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F61" w:rsidRDefault="0068642E" w:rsidP="00290C63">
      <w:pPr>
        <w:rPr>
          <w:rFonts w:eastAsiaTheme="majorEastAsia" w:cstheme="majorBidi"/>
          <w:noProof/>
          <w:sz w:val="36"/>
          <w:szCs w:val="36"/>
          <w:lang w:eastAsia="en-AU"/>
        </w:rPr>
      </w:pPr>
      <w:r w:rsidRPr="00303A07">
        <w:rPr>
          <w:noProof/>
          <w:lang w:eastAsia="en-AU"/>
        </w:rPr>
        <w:drawing>
          <wp:anchor distT="0" distB="0" distL="114300" distR="114300" simplePos="0" relativeHeight="251665408" behindDoc="1" locked="0" layoutInCell="1" allowOverlap="1" wp14:anchorId="3EA382F4" wp14:editId="21E39B7E">
            <wp:simplePos x="0" y="0"/>
            <wp:positionH relativeFrom="column">
              <wp:posOffset>-1097915</wp:posOffset>
            </wp:positionH>
            <wp:positionV relativeFrom="paragraph">
              <wp:posOffset>-903301</wp:posOffset>
            </wp:positionV>
            <wp:extent cx="7572375" cy="10703560"/>
            <wp:effectExtent l="0" t="0" r="952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2375" cy="10703560"/>
                    </a:xfrm>
                    <a:prstGeom prst="rect">
                      <a:avLst/>
                    </a:prstGeom>
                    <a:noFill/>
                  </pic:spPr>
                </pic:pic>
              </a:graphicData>
            </a:graphic>
            <wp14:sizeRelH relativeFrom="page">
              <wp14:pctWidth>0</wp14:pctWidth>
            </wp14:sizeRelH>
            <wp14:sizeRelV relativeFrom="page">
              <wp14:pctHeight>0</wp14:pctHeight>
            </wp14:sizeRelV>
          </wp:anchor>
        </w:drawing>
      </w:r>
      <w:r w:rsidR="00CA3F61">
        <w:t xml:space="preserve"> </w:t>
      </w:r>
    </w:p>
    <w:sdt>
      <w:sdtPr>
        <w:rPr>
          <w:rFonts w:eastAsiaTheme="majorEastAsia" w:cstheme="majorBidi"/>
          <w:noProof/>
          <w:sz w:val="36"/>
          <w:szCs w:val="36"/>
          <w:lang w:eastAsia="en-AU"/>
        </w:rPr>
        <w:id w:val="1021519724"/>
        <w:docPartObj>
          <w:docPartGallery w:val="Cover Pages"/>
          <w:docPartUnique/>
        </w:docPartObj>
      </w:sdtPr>
      <w:sdtContent>
        <w:p w:rsidR="000A6C7B" w:rsidRPr="00290C63" w:rsidRDefault="000A6C7B" w:rsidP="00290C63"/>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B9733D">
            <w:t>DRAFT</w:t>
          </w:r>
          <w:r w:rsidR="00DA4752">
            <w:t xml:space="preserve"> DECISION</w:t>
          </w:r>
        </w:p>
        <w:p w:rsidR="00415F31" w:rsidRDefault="00B9733D" w:rsidP="008F07A3">
          <w:pPr>
            <w:pStyle w:val="ReportSubtitle"/>
          </w:pPr>
          <w:r>
            <w:t>AusNet Services</w:t>
          </w:r>
          <w:r w:rsidR="00415F31">
            <w:t xml:space="preserve"> transmission </w:t>
          </w:r>
          <w:r w:rsidR="00DA4752">
            <w:t>determination</w:t>
          </w:r>
        </w:p>
        <w:p w:rsidR="00303A07" w:rsidRDefault="00303A07" w:rsidP="008F07A3">
          <w:pPr>
            <w:pStyle w:val="ReportSubtitle"/>
          </w:pPr>
          <w:r>
            <w:t>2017–18 to 2021–22</w:t>
          </w:r>
        </w:p>
        <w:p w:rsidR="008F07A3" w:rsidRPr="000A6C7B" w:rsidRDefault="008F07A3" w:rsidP="008F07A3">
          <w:pPr>
            <w:pStyle w:val="ReportSubtitle"/>
          </w:pPr>
        </w:p>
        <w:p w:rsidR="000A6C7B" w:rsidRPr="000A6C7B" w:rsidRDefault="00DA4752" w:rsidP="008F07A3">
          <w:pPr>
            <w:pStyle w:val="ReportSubtitle"/>
          </w:pPr>
          <w:r>
            <w:t xml:space="preserve">Attachment </w:t>
          </w:r>
          <w:r w:rsidR="00E7682C">
            <w:t>3</w:t>
          </w:r>
          <w:r>
            <w:t xml:space="preserve"> </w:t>
          </w:r>
          <w:r w:rsidR="00415F31">
            <w:rPr>
              <w:rFonts w:cs="Arial"/>
            </w:rPr>
            <w:t>–</w:t>
          </w:r>
          <w:r>
            <w:t xml:space="preserve"> </w:t>
          </w:r>
          <w:r w:rsidR="00E7682C">
            <w:t>Rate of return</w:t>
          </w:r>
        </w:p>
        <w:p w:rsidR="00B9733D" w:rsidRDefault="00B9733D" w:rsidP="00327A1E">
          <w:pPr>
            <w:pStyle w:val="ReportDate"/>
          </w:pPr>
        </w:p>
        <w:p w:rsidR="000A6C7B" w:rsidRPr="00327A1E" w:rsidRDefault="00303A07" w:rsidP="00327A1E">
          <w:pPr>
            <w:pStyle w:val="ReportDate"/>
          </w:pPr>
          <w:r>
            <w:t xml:space="preserve">July </w:t>
          </w:r>
          <w:r w:rsidR="00DA4752">
            <w:t>201</w:t>
          </w:r>
          <w:r w:rsidR="00B9733D">
            <w:t>6</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proofErr w:type="gramStart"/>
      <w:r>
        <w:t>or</w:t>
      </w:r>
      <w:proofErr w:type="gramEnd"/>
      <w:r>
        <w:t xml:space="preserve">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proofErr w:type="gramStart"/>
      <w:r>
        <w:t>Melbourne  Vic</w:t>
      </w:r>
      <w:proofErr w:type="gramEnd"/>
      <w:r>
        <w:t xml:space="preserve">  3001</w:t>
      </w:r>
    </w:p>
    <w:p w:rsidR="00B9562D" w:rsidRDefault="000A6C7B" w:rsidP="00B9562D">
      <w:pPr>
        <w:pStyle w:val="Copyright"/>
      </w:pPr>
      <w:r>
        <w:t xml:space="preserve">Tel: </w:t>
      </w:r>
      <w:r w:rsidR="007F235D">
        <w:t>1300 585 165</w:t>
      </w:r>
      <w:r w:rsidR="00951978">
        <w:br/>
      </w:r>
      <w:r>
        <w:t xml:space="preserve">Email: </w:t>
      </w:r>
      <w:hyperlink r:id="rId11" w:history="1">
        <w:r w:rsidRPr="00D64888">
          <w:rPr>
            <w:rStyle w:val="Hyperlink"/>
          </w:rPr>
          <w:t>AERInquiry@aer.gov.au</w:t>
        </w:r>
      </w:hyperlink>
      <w:r w:rsidR="00951978">
        <w:rPr>
          <w:rStyle w:val="Hyperlink"/>
        </w:rPr>
        <w:br/>
      </w:r>
    </w:p>
    <w:p w:rsidR="008F07A3" w:rsidRPr="009D3906" w:rsidRDefault="00415F31" w:rsidP="00B9562D">
      <w:pPr>
        <w:pStyle w:val="Copyright"/>
      </w:pPr>
      <w:r w:rsidRPr="009D3906">
        <w:t>AER reference:</w:t>
      </w:r>
      <w:r w:rsidRPr="009D3906">
        <w:tab/>
      </w:r>
      <w:r w:rsidR="0028246C">
        <w:t>56417</w:t>
      </w:r>
    </w:p>
    <w:p w:rsidR="009001B6" w:rsidRDefault="009001B6">
      <w:pPr>
        <w:spacing w:line="240" w:lineRule="auto"/>
      </w:pPr>
      <w:bookmarkStart w:id="0" w:name="_Toc404354899"/>
      <w:bookmarkStart w:id="1" w:name="_Toc404353070"/>
      <w:bookmarkStart w:id="2" w:name="_Toc404684201"/>
      <w:bookmarkStart w:id="3" w:name="_Toc404700923"/>
      <w:r>
        <w:br w:type="page"/>
      </w:r>
    </w:p>
    <w:p w:rsidR="008F07A3" w:rsidRDefault="00DA61F3" w:rsidP="008F07A3">
      <w:pPr>
        <w:pStyle w:val="UnnumberedHeading"/>
        <w:numPr>
          <w:ilvl w:val="0"/>
          <w:numId w:val="24"/>
        </w:numPr>
      </w:pPr>
      <w:bookmarkStart w:id="4" w:name="_Toc456686689"/>
      <w:r>
        <w:lastRenderedPageBreak/>
        <w:t>N</w:t>
      </w:r>
      <w:r w:rsidR="008F07A3">
        <w:t>ote</w:t>
      </w:r>
      <w:bookmarkEnd w:id="0"/>
      <w:bookmarkEnd w:id="1"/>
      <w:bookmarkEnd w:id="2"/>
      <w:bookmarkEnd w:id="3"/>
      <w:bookmarkEnd w:id="4"/>
    </w:p>
    <w:p w:rsidR="00415F31" w:rsidRDefault="00415F31" w:rsidP="00415F31">
      <w:pPr>
        <w:numPr>
          <w:ilvl w:val="0"/>
          <w:numId w:val="25"/>
        </w:numPr>
        <w:spacing w:before="0" w:after="240" w:line="288" w:lineRule="auto"/>
        <w:jc w:val="both"/>
      </w:pPr>
    </w:p>
    <w:p w:rsidR="00415F31" w:rsidRDefault="008F07A3" w:rsidP="00415F31">
      <w:pPr>
        <w:numPr>
          <w:ilvl w:val="0"/>
          <w:numId w:val="25"/>
        </w:numPr>
        <w:spacing w:before="0" w:after="240" w:line="288" w:lineRule="auto"/>
        <w:jc w:val="both"/>
      </w:pPr>
      <w:r>
        <w:t xml:space="preserve">This </w:t>
      </w:r>
      <w:r w:rsidR="00415F31">
        <w:t xml:space="preserve">attachment forms part of the AER's </w:t>
      </w:r>
      <w:r w:rsidR="000B321F">
        <w:t>draft</w:t>
      </w:r>
      <w:r w:rsidR="00415F31">
        <w:t xml:space="preserve"> decision on </w:t>
      </w:r>
      <w:r w:rsidR="000B321F">
        <w:t>AusNet Services’</w:t>
      </w:r>
      <w:r w:rsidR="00415F31">
        <w:t xml:space="preserve"> </w:t>
      </w:r>
      <w:r w:rsidR="00725729">
        <w:t xml:space="preserve">regulatory </w:t>
      </w:r>
      <w:r w:rsidR="00415F31">
        <w:t>proposal 201</w:t>
      </w:r>
      <w:r w:rsidR="000B321F">
        <w:t>7</w:t>
      </w:r>
      <w:r w:rsidR="00415F31" w:rsidRPr="00D904FA">
        <w:t>–</w:t>
      </w:r>
      <w:r w:rsidR="000B321F">
        <w:t>22</w:t>
      </w:r>
      <w:r w:rsidR="00415F31">
        <w:t xml:space="preserve">. It should be read with other parts of the </w:t>
      </w:r>
      <w:r w:rsidR="000B321F">
        <w:t>draft</w:t>
      </w:r>
      <w:r w:rsidR="00415F31">
        <w:t xml:space="preserve"> decision.</w:t>
      </w:r>
    </w:p>
    <w:p w:rsidR="00415F31" w:rsidRDefault="00415F31" w:rsidP="00415F31">
      <w:pPr>
        <w:numPr>
          <w:ilvl w:val="0"/>
          <w:numId w:val="25"/>
        </w:numPr>
        <w:spacing w:before="0" w:after="240" w:line="288" w:lineRule="auto"/>
        <w:jc w:val="both"/>
      </w:pPr>
      <w:r>
        <w:t xml:space="preserve">The </w:t>
      </w:r>
      <w:r w:rsidR="000B321F">
        <w:t>draft</w:t>
      </w:r>
      <w:r>
        <w:t xml:space="preserve"> decision includes the following documents:</w:t>
      </w:r>
    </w:p>
    <w:p w:rsidR="00415F31" w:rsidRDefault="00415F31" w:rsidP="00415F31">
      <w:pPr>
        <w:numPr>
          <w:ilvl w:val="0"/>
          <w:numId w:val="25"/>
        </w:numPr>
        <w:spacing w:before="0" w:after="240" w:line="288" w:lineRule="auto"/>
        <w:jc w:val="both"/>
      </w:pPr>
      <w:r>
        <w:t>Overview</w:t>
      </w:r>
    </w:p>
    <w:p w:rsidR="00415F31" w:rsidRDefault="00415F31" w:rsidP="00415F31">
      <w:pPr>
        <w:numPr>
          <w:ilvl w:val="0"/>
          <w:numId w:val="25"/>
        </w:numPr>
        <w:spacing w:before="0" w:after="240" w:line="288" w:lineRule="auto"/>
        <w:jc w:val="both"/>
      </w:pPr>
      <w:r>
        <w:t>Attachment 1 – maximum allowed revenue</w:t>
      </w:r>
    </w:p>
    <w:p w:rsidR="00415F31" w:rsidRDefault="00415F31" w:rsidP="00415F31">
      <w:pPr>
        <w:numPr>
          <w:ilvl w:val="0"/>
          <w:numId w:val="25"/>
        </w:numPr>
        <w:spacing w:before="0" w:after="240" w:line="288" w:lineRule="auto"/>
        <w:jc w:val="both"/>
      </w:pPr>
      <w:r>
        <w:t>Attachment 2 – regulatory asset base</w:t>
      </w:r>
    </w:p>
    <w:p w:rsidR="00415F31" w:rsidRDefault="00415F31" w:rsidP="00415F31">
      <w:pPr>
        <w:numPr>
          <w:ilvl w:val="0"/>
          <w:numId w:val="25"/>
        </w:numPr>
        <w:spacing w:before="0" w:after="240" w:line="288" w:lineRule="auto"/>
        <w:jc w:val="both"/>
      </w:pPr>
      <w:r>
        <w:t>Attachment 3 – rate of return</w:t>
      </w:r>
    </w:p>
    <w:p w:rsidR="00415F31" w:rsidRDefault="00415F31" w:rsidP="00415F31">
      <w:pPr>
        <w:numPr>
          <w:ilvl w:val="0"/>
          <w:numId w:val="25"/>
        </w:numPr>
        <w:spacing w:before="0" w:after="240" w:line="288" w:lineRule="auto"/>
        <w:jc w:val="both"/>
      </w:pPr>
      <w:r>
        <w:t>Attachment 4 – value of imputation credits</w:t>
      </w:r>
    </w:p>
    <w:p w:rsidR="00415F31" w:rsidRDefault="00415F31" w:rsidP="00415F31">
      <w:pPr>
        <w:numPr>
          <w:ilvl w:val="0"/>
          <w:numId w:val="25"/>
        </w:numPr>
        <w:spacing w:before="0" w:after="240" w:line="288" w:lineRule="auto"/>
        <w:jc w:val="both"/>
      </w:pPr>
      <w:r>
        <w:t>Attachment 5 – regulatory depreciation</w:t>
      </w:r>
    </w:p>
    <w:p w:rsidR="00415F31" w:rsidRDefault="00415F31" w:rsidP="00415F31">
      <w:pPr>
        <w:numPr>
          <w:ilvl w:val="0"/>
          <w:numId w:val="25"/>
        </w:numPr>
        <w:spacing w:before="0" w:after="240" w:line="288" w:lineRule="auto"/>
        <w:jc w:val="both"/>
      </w:pPr>
      <w:r>
        <w:t xml:space="preserve">Attachment 6 – capital expenditure </w:t>
      </w:r>
    </w:p>
    <w:p w:rsidR="00415F31" w:rsidRDefault="00415F31" w:rsidP="00415F31">
      <w:pPr>
        <w:numPr>
          <w:ilvl w:val="0"/>
          <w:numId w:val="25"/>
        </w:numPr>
        <w:spacing w:before="0" w:after="240" w:line="288" w:lineRule="auto"/>
        <w:jc w:val="both"/>
      </w:pPr>
      <w:r>
        <w:t>Attachment 7 – operating expenditure</w:t>
      </w:r>
    </w:p>
    <w:p w:rsidR="00415F31" w:rsidRDefault="00415F31" w:rsidP="00415F31">
      <w:pPr>
        <w:numPr>
          <w:ilvl w:val="0"/>
          <w:numId w:val="25"/>
        </w:numPr>
        <w:spacing w:before="0" w:after="240" w:line="288" w:lineRule="auto"/>
        <w:jc w:val="both"/>
      </w:pPr>
      <w:r>
        <w:t>Attachment 8 – corporate income tax</w:t>
      </w:r>
    </w:p>
    <w:p w:rsidR="00415F31" w:rsidRDefault="00415F31" w:rsidP="00415F31">
      <w:pPr>
        <w:numPr>
          <w:ilvl w:val="0"/>
          <w:numId w:val="25"/>
        </w:numPr>
        <w:spacing w:before="0" w:after="240" w:line="288" w:lineRule="auto"/>
        <w:jc w:val="both"/>
      </w:pPr>
      <w:r>
        <w:t>Attachment 9 – efficiency benefit sharing scheme</w:t>
      </w:r>
    </w:p>
    <w:p w:rsidR="00415F31" w:rsidRDefault="00415F31" w:rsidP="00415F31">
      <w:pPr>
        <w:numPr>
          <w:ilvl w:val="0"/>
          <w:numId w:val="25"/>
        </w:numPr>
        <w:spacing w:before="0" w:after="240" w:line="288" w:lineRule="auto"/>
        <w:jc w:val="both"/>
      </w:pPr>
      <w:r>
        <w:t>Attachment 10 – capital expenditure sharing scheme</w:t>
      </w:r>
    </w:p>
    <w:p w:rsidR="00415F31" w:rsidRDefault="00415F31" w:rsidP="00415F31">
      <w:pPr>
        <w:numPr>
          <w:ilvl w:val="0"/>
          <w:numId w:val="25"/>
        </w:numPr>
        <w:spacing w:before="0" w:after="240" w:line="288" w:lineRule="auto"/>
        <w:jc w:val="both"/>
      </w:pPr>
      <w:r>
        <w:t>Attachment 11 – service target performance incentive scheme</w:t>
      </w:r>
    </w:p>
    <w:p w:rsidR="00415F31" w:rsidRPr="00D904FA" w:rsidRDefault="00415F31" w:rsidP="00415F31">
      <w:pPr>
        <w:numPr>
          <w:ilvl w:val="0"/>
          <w:numId w:val="25"/>
        </w:numPr>
        <w:spacing w:before="0" w:after="240" w:line="288" w:lineRule="auto"/>
        <w:jc w:val="both"/>
      </w:pPr>
      <w:r>
        <w:t xml:space="preserve">Attachment 12 – </w:t>
      </w:r>
      <w:r w:rsidRPr="00D904FA">
        <w:t>pricing methodology</w:t>
      </w:r>
    </w:p>
    <w:p w:rsidR="00415F31" w:rsidRPr="00D904FA" w:rsidRDefault="00415F31" w:rsidP="00415F31">
      <w:pPr>
        <w:numPr>
          <w:ilvl w:val="0"/>
          <w:numId w:val="25"/>
        </w:numPr>
        <w:spacing w:before="0" w:after="240" w:line="288" w:lineRule="auto"/>
        <w:jc w:val="both"/>
      </w:pPr>
      <w:r>
        <w:t xml:space="preserve">Attachment 13 </w:t>
      </w:r>
      <w:r w:rsidRPr="00D904FA">
        <w:t>– pass through events</w:t>
      </w:r>
    </w:p>
    <w:p w:rsidR="00415F31" w:rsidRDefault="00415F31" w:rsidP="00415F31">
      <w:r w:rsidRPr="00D904FA">
        <w:t>Attachment 14 – negotiated services</w:t>
      </w:r>
    </w:p>
    <w:p w:rsidR="008F07A3" w:rsidRPr="008F07A3" w:rsidRDefault="008F07A3" w:rsidP="00415F31">
      <w:pPr>
        <w:numPr>
          <w:ilvl w:val="0"/>
          <w:numId w:val="25"/>
        </w:numPr>
        <w:sectPr w:rsidR="008F07A3" w:rsidRPr="008F07A3" w:rsidSect="001754EE">
          <w:footerReference w:type="even" r:id="rId12"/>
          <w:footerReference w:type="default" r:id="rId13"/>
          <w:footerReference w:type="first" r:id="rId14"/>
          <w:pgSz w:w="11906" w:h="16838" w:code="9"/>
          <w:pgMar w:top="1440" w:right="1700" w:bottom="1582" w:left="1729" w:header="720" w:footer="0" w:gutter="0"/>
          <w:pgNumType w:start="0" w:chapStyle="1"/>
          <w:cols w:space="720"/>
          <w:docGrid w:linePitch="326"/>
        </w:sectPr>
      </w:pPr>
    </w:p>
    <w:p w:rsidR="00DE563D" w:rsidRPr="00A72B34" w:rsidRDefault="00DE563D" w:rsidP="00DE563D">
      <w:pPr>
        <w:pStyle w:val="UnnumberedHeading"/>
        <w:numPr>
          <w:ilvl w:val="0"/>
          <w:numId w:val="24"/>
        </w:numPr>
      </w:pPr>
      <w:bookmarkStart w:id="5" w:name="_Toc403144133"/>
      <w:bookmarkStart w:id="6" w:name="_Toc456686690"/>
      <w:r>
        <w:t>Contents</w:t>
      </w:r>
      <w:bookmarkEnd w:id="5"/>
      <w:bookmarkEnd w:id="6"/>
    </w:p>
    <w:p w:rsidR="005D7BA2" w:rsidRDefault="005D7BA2">
      <w:pPr>
        <w:spacing w:line="240" w:lineRule="auto"/>
      </w:pPr>
    </w:p>
    <w:sdt>
      <w:sdtPr>
        <w:rPr>
          <w:b w:val="0"/>
          <w:noProof w:val="0"/>
          <w:color w:val="auto"/>
          <w:sz w:val="22"/>
          <w:lang w:val="en-AU" w:eastAsia="en-US"/>
        </w:rPr>
        <w:id w:val="-1430034921"/>
        <w:docPartObj>
          <w:docPartGallery w:val="Table of Contents"/>
          <w:docPartUnique/>
        </w:docPartObj>
      </w:sdtPr>
      <w:sdtEndPr>
        <w:rPr>
          <w:b/>
          <w:noProof/>
          <w:color w:val="70635A" w:themeColor="text2"/>
          <w:sz w:val="24"/>
          <w:lang w:val="en-US" w:eastAsia="ja-JP"/>
        </w:rPr>
      </w:sdtEndPr>
      <w:sdtContent>
        <w:p w:rsidR="00DB752F" w:rsidRDefault="00DB752F">
          <w:pPr>
            <w:pStyle w:val="TOC1"/>
            <w:rPr>
              <w:rFonts w:asciiTheme="minorHAnsi" w:eastAsiaTheme="minorEastAsia" w:hAnsiTheme="minorHAnsi"/>
              <w:b w:val="0"/>
              <w:color w:val="auto"/>
              <w:sz w:val="22"/>
              <w:lang w:val="en-AU" w:eastAsia="en-AU"/>
            </w:rPr>
          </w:pPr>
          <w:r>
            <w:fldChar w:fldCharType="begin"/>
          </w:r>
          <w:r>
            <w:instrText xml:space="preserve"> TOC \o "2-2" \h \z \t "Heading 1,1,Heading 3,3,Heading 7,1,Heading 8,2,Heading 9,3,Unnumbered Heading,1" </w:instrText>
          </w:r>
          <w:r>
            <w:fldChar w:fldCharType="separate"/>
          </w:r>
          <w:hyperlink w:anchor="_Toc456686689" w:history="1">
            <w:r w:rsidRPr="005C33B9">
              <w:rPr>
                <w:rStyle w:val="Hyperlink"/>
              </w:rPr>
              <w:t>Note</w:t>
            </w:r>
            <w:r>
              <w:rPr>
                <w:webHidden/>
              </w:rPr>
              <w:tab/>
            </w:r>
            <w:r>
              <w:rPr>
                <w:webHidden/>
              </w:rPr>
              <w:fldChar w:fldCharType="begin"/>
            </w:r>
            <w:r>
              <w:rPr>
                <w:webHidden/>
              </w:rPr>
              <w:instrText xml:space="preserve"> PAGEREF _Toc456686689 \h </w:instrText>
            </w:r>
            <w:r>
              <w:rPr>
                <w:webHidden/>
              </w:rPr>
            </w:r>
            <w:r>
              <w:rPr>
                <w:webHidden/>
              </w:rPr>
              <w:fldChar w:fldCharType="separate"/>
            </w:r>
            <w:r w:rsidR="003F1AAB">
              <w:rPr>
                <w:webHidden/>
              </w:rPr>
              <w:t>3-2</w:t>
            </w:r>
            <w:r>
              <w:rPr>
                <w:webHidden/>
              </w:rPr>
              <w:fldChar w:fldCharType="end"/>
            </w:r>
          </w:hyperlink>
        </w:p>
        <w:p w:rsidR="00DB752F" w:rsidRDefault="003F1AAB">
          <w:pPr>
            <w:pStyle w:val="TOC1"/>
            <w:rPr>
              <w:rFonts w:asciiTheme="minorHAnsi" w:eastAsiaTheme="minorEastAsia" w:hAnsiTheme="minorHAnsi"/>
              <w:b w:val="0"/>
              <w:color w:val="auto"/>
              <w:sz w:val="22"/>
              <w:lang w:val="en-AU" w:eastAsia="en-AU"/>
            </w:rPr>
          </w:pPr>
          <w:hyperlink w:anchor="_Toc456686690" w:history="1">
            <w:r w:rsidR="00DB752F" w:rsidRPr="005C33B9">
              <w:rPr>
                <w:rStyle w:val="Hyperlink"/>
              </w:rPr>
              <w:t>Contents</w:t>
            </w:r>
            <w:r w:rsidR="00DB752F">
              <w:rPr>
                <w:webHidden/>
              </w:rPr>
              <w:tab/>
            </w:r>
            <w:r w:rsidR="00DB752F">
              <w:rPr>
                <w:webHidden/>
              </w:rPr>
              <w:fldChar w:fldCharType="begin"/>
            </w:r>
            <w:r w:rsidR="00DB752F">
              <w:rPr>
                <w:webHidden/>
              </w:rPr>
              <w:instrText xml:space="preserve"> PAGEREF _Toc456686690 \h </w:instrText>
            </w:r>
            <w:r w:rsidR="00DB752F">
              <w:rPr>
                <w:webHidden/>
              </w:rPr>
            </w:r>
            <w:r w:rsidR="00DB752F">
              <w:rPr>
                <w:webHidden/>
              </w:rPr>
              <w:fldChar w:fldCharType="separate"/>
            </w:r>
            <w:r>
              <w:rPr>
                <w:webHidden/>
              </w:rPr>
              <w:t>3-3</w:t>
            </w:r>
            <w:r w:rsidR="00DB752F">
              <w:rPr>
                <w:webHidden/>
              </w:rPr>
              <w:fldChar w:fldCharType="end"/>
            </w:r>
          </w:hyperlink>
        </w:p>
        <w:p w:rsidR="00DB752F" w:rsidRDefault="003F1AAB">
          <w:pPr>
            <w:pStyle w:val="TOC1"/>
            <w:rPr>
              <w:rFonts w:asciiTheme="minorHAnsi" w:eastAsiaTheme="minorEastAsia" w:hAnsiTheme="minorHAnsi"/>
              <w:b w:val="0"/>
              <w:color w:val="auto"/>
              <w:sz w:val="22"/>
              <w:lang w:val="en-AU" w:eastAsia="en-AU"/>
            </w:rPr>
          </w:pPr>
          <w:hyperlink w:anchor="_Toc456686691" w:history="1">
            <w:r w:rsidR="00DB752F" w:rsidRPr="005C33B9">
              <w:rPr>
                <w:rStyle w:val="Hyperlink"/>
              </w:rPr>
              <w:t>Shortened forms</w:t>
            </w:r>
            <w:r w:rsidR="00DB752F">
              <w:rPr>
                <w:webHidden/>
              </w:rPr>
              <w:tab/>
            </w:r>
            <w:r w:rsidR="00DB752F">
              <w:rPr>
                <w:webHidden/>
              </w:rPr>
              <w:fldChar w:fldCharType="begin"/>
            </w:r>
            <w:r w:rsidR="00DB752F">
              <w:rPr>
                <w:webHidden/>
              </w:rPr>
              <w:instrText xml:space="preserve"> PAGEREF _Toc456686691 \h </w:instrText>
            </w:r>
            <w:r w:rsidR="00DB752F">
              <w:rPr>
                <w:webHidden/>
              </w:rPr>
            </w:r>
            <w:r w:rsidR="00DB752F">
              <w:rPr>
                <w:webHidden/>
              </w:rPr>
              <w:fldChar w:fldCharType="separate"/>
            </w:r>
            <w:r>
              <w:rPr>
                <w:webHidden/>
              </w:rPr>
              <w:t>3-8</w:t>
            </w:r>
            <w:r w:rsidR="00DB752F">
              <w:rPr>
                <w:webHidden/>
              </w:rPr>
              <w:fldChar w:fldCharType="end"/>
            </w:r>
          </w:hyperlink>
        </w:p>
        <w:p w:rsidR="00DB752F" w:rsidRDefault="003F1AAB">
          <w:pPr>
            <w:pStyle w:val="TOC1"/>
            <w:rPr>
              <w:rFonts w:asciiTheme="minorHAnsi" w:eastAsiaTheme="minorEastAsia" w:hAnsiTheme="minorHAnsi"/>
              <w:b w:val="0"/>
              <w:color w:val="auto"/>
              <w:sz w:val="22"/>
              <w:lang w:val="en-AU" w:eastAsia="en-AU"/>
            </w:rPr>
          </w:pPr>
          <w:hyperlink w:anchor="_Toc456686692" w:history="1">
            <w:r w:rsidR="00DB752F" w:rsidRPr="005C33B9">
              <w:rPr>
                <w:rStyle w:val="Hyperlink"/>
              </w:rPr>
              <w:t>3</w:t>
            </w:r>
            <w:r w:rsidR="00DB752F">
              <w:rPr>
                <w:rFonts w:asciiTheme="minorHAnsi" w:eastAsiaTheme="minorEastAsia" w:hAnsiTheme="minorHAnsi"/>
                <w:b w:val="0"/>
                <w:color w:val="auto"/>
                <w:sz w:val="22"/>
                <w:lang w:val="en-AU" w:eastAsia="en-AU"/>
              </w:rPr>
              <w:tab/>
            </w:r>
            <w:r w:rsidR="00DB752F" w:rsidRPr="005C33B9">
              <w:rPr>
                <w:rStyle w:val="Hyperlink"/>
              </w:rPr>
              <w:t>Rate of return</w:t>
            </w:r>
            <w:r w:rsidR="00DB752F">
              <w:rPr>
                <w:webHidden/>
              </w:rPr>
              <w:tab/>
            </w:r>
            <w:r w:rsidR="00DB752F">
              <w:rPr>
                <w:webHidden/>
              </w:rPr>
              <w:fldChar w:fldCharType="begin"/>
            </w:r>
            <w:r w:rsidR="00DB752F">
              <w:rPr>
                <w:webHidden/>
              </w:rPr>
              <w:instrText xml:space="preserve"> PAGEREF _Toc456686692 \h </w:instrText>
            </w:r>
            <w:r w:rsidR="00DB752F">
              <w:rPr>
                <w:webHidden/>
              </w:rPr>
            </w:r>
            <w:r w:rsidR="00DB752F">
              <w:rPr>
                <w:webHidden/>
              </w:rPr>
              <w:fldChar w:fldCharType="separate"/>
            </w:r>
            <w:r>
              <w:rPr>
                <w:webHidden/>
              </w:rPr>
              <w:t>3-10</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693" w:history="1">
            <w:r w:rsidR="00DB752F" w:rsidRPr="005C33B9">
              <w:rPr>
                <w:rStyle w:val="Hyperlink"/>
              </w:rPr>
              <w:t>3.1</w:t>
            </w:r>
            <w:r w:rsidR="00DB752F">
              <w:rPr>
                <w:rFonts w:asciiTheme="minorHAnsi" w:eastAsiaTheme="minorEastAsia" w:hAnsiTheme="minorHAnsi"/>
                <w:b w:val="0"/>
                <w:color w:val="auto"/>
                <w:sz w:val="22"/>
                <w:lang w:eastAsia="en-AU"/>
              </w:rPr>
              <w:tab/>
            </w:r>
            <w:r w:rsidR="00DB752F" w:rsidRPr="005C33B9">
              <w:rPr>
                <w:rStyle w:val="Hyperlink"/>
              </w:rPr>
              <w:t>Draft decision</w:t>
            </w:r>
            <w:r w:rsidR="00DB752F">
              <w:rPr>
                <w:webHidden/>
              </w:rPr>
              <w:tab/>
            </w:r>
            <w:r w:rsidR="00DB752F">
              <w:rPr>
                <w:webHidden/>
              </w:rPr>
              <w:fldChar w:fldCharType="begin"/>
            </w:r>
            <w:r w:rsidR="00DB752F">
              <w:rPr>
                <w:webHidden/>
              </w:rPr>
              <w:instrText xml:space="preserve"> PAGEREF _Toc456686693 \h </w:instrText>
            </w:r>
            <w:r w:rsidR="00DB752F">
              <w:rPr>
                <w:webHidden/>
              </w:rPr>
            </w:r>
            <w:r w:rsidR="00DB752F">
              <w:rPr>
                <w:webHidden/>
              </w:rPr>
              <w:fldChar w:fldCharType="separate"/>
            </w:r>
            <w:r>
              <w:rPr>
                <w:webHidden/>
              </w:rPr>
              <w:t>3-10</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694" w:history="1">
            <w:r w:rsidR="00DB752F" w:rsidRPr="005C33B9">
              <w:rPr>
                <w:rStyle w:val="Hyperlink"/>
              </w:rPr>
              <w:t>3.2</w:t>
            </w:r>
            <w:r w:rsidR="00DB752F">
              <w:rPr>
                <w:rFonts w:asciiTheme="minorHAnsi" w:eastAsiaTheme="minorEastAsia" w:hAnsiTheme="minorHAnsi"/>
                <w:b w:val="0"/>
                <w:color w:val="auto"/>
                <w:sz w:val="22"/>
                <w:lang w:eastAsia="en-AU"/>
              </w:rPr>
              <w:tab/>
            </w:r>
            <w:r w:rsidR="00DB752F" w:rsidRPr="005C33B9">
              <w:rPr>
                <w:rStyle w:val="Hyperlink"/>
              </w:rPr>
              <w:t>AusNet Services’ proposal</w:t>
            </w:r>
            <w:r w:rsidR="00DB752F">
              <w:rPr>
                <w:webHidden/>
              </w:rPr>
              <w:tab/>
            </w:r>
            <w:r w:rsidR="00DB752F">
              <w:rPr>
                <w:webHidden/>
              </w:rPr>
              <w:fldChar w:fldCharType="begin"/>
            </w:r>
            <w:r w:rsidR="00DB752F">
              <w:rPr>
                <w:webHidden/>
              </w:rPr>
              <w:instrText xml:space="preserve"> PAGEREF _Toc456686694 \h </w:instrText>
            </w:r>
            <w:r w:rsidR="00DB752F">
              <w:rPr>
                <w:webHidden/>
              </w:rPr>
            </w:r>
            <w:r w:rsidR="00DB752F">
              <w:rPr>
                <w:webHidden/>
              </w:rPr>
              <w:fldChar w:fldCharType="separate"/>
            </w:r>
            <w:r>
              <w:rPr>
                <w:webHidden/>
              </w:rPr>
              <w:t>3-14</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695" w:history="1">
            <w:r w:rsidR="00DB752F" w:rsidRPr="005C33B9">
              <w:rPr>
                <w:rStyle w:val="Hyperlink"/>
              </w:rPr>
              <w:t>3.3</w:t>
            </w:r>
            <w:r w:rsidR="00DB752F">
              <w:rPr>
                <w:rFonts w:asciiTheme="minorHAnsi" w:eastAsiaTheme="minorEastAsia" w:hAnsiTheme="minorHAnsi"/>
                <w:b w:val="0"/>
                <w:color w:val="auto"/>
                <w:sz w:val="22"/>
                <w:lang w:eastAsia="en-AU"/>
              </w:rPr>
              <w:tab/>
            </w:r>
            <w:r w:rsidR="00DB752F" w:rsidRPr="005C33B9">
              <w:rPr>
                <w:rStyle w:val="Hyperlink"/>
              </w:rPr>
              <w:t>AER’s assessment approach</w:t>
            </w:r>
            <w:r w:rsidR="00DB752F">
              <w:rPr>
                <w:webHidden/>
              </w:rPr>
              <w:tab/>
            </w:r>
            <w:r w:rsidR="00DB752F">
              <w:rPr>
                <w:webHidden/>
              </w:rPr>
              <w:fldChar w:fldCharType="begin"/>
            </w:r>
            <w:r w:rsidR="00DB752F">
              <w:rPr>
                <w:webHidden/>
              </w:rPr>
              <w:instrText xml:space="preserve"> PAGEREF _Toc456686695 \h </w:instrText>
            </w:r>
            <w:r w:rsidR="00DB752F">
              <w:rPr>
                <w:webHidden/>
              </w:rPr>
            </w:r>
            <w:r w:rsidR="00DB752F">
              <w:rPr>
                <w:webHidden/>
              </w:rPr>
              <w:fldChar w:fldCharType="separate"/>
            </w:r>
            <w:r>
              <w:rPr>
                <w:webHidden/>
              </w:rPr>
              <w:t>3-15</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696" w:history="1">
            <w:r w:rsidR="00DB752F" w:rsidRPr="005C33B9">
              <w:rPr>
                <w:rStyle w:val="Hyperlink"/>
              </w:rPr>
              <w:t>3.3.1</w:t>
            </w:r>
            <w:r w:rsidR="00DB752F">
              <w:rPr>
                <w:rFonts w:asciiTheme="minorHAnsi" w:eastAsiaTheme="minorEastAsia" w:hAnsiTheme="minorHAnsi"/>
                <w:lang w:eastAsia="en-AU"/>
              </w:rPr>
              <w:tab/>
            </w:r>
            <w:r w:rsidR="00DB752F" w:rsidRPr="005C33B9">
              <w:rPr>
                <w:rStyle w:val="Hyperlink"/>
              </w:rPr>
              <w:t>National electricity and gas laws</w:t>
            </w:r>
            <w:r w:rsidR="00DB752F">
              <w:rPr>
                <w:webHidden/>
              </w:rPr>
              <w:tab/>
            </w:r>
            <w:r w:rsidR="00DB752F">
              <w:rPr>
                <w:webHidden/>
              </w:rPr>
              <w:fldChar w:fldCharType="begin"/>
            </w:r>
            <w:r w:rsidR="00DB752F">
              <w:rPr>
                <w:webHidden/>
              </w:rPr>
              <w:instrText xml:space="preserve"> PAGEREF _Toc456686696 \h </w:instrText>
            </w:r>
            <w:r w:rsidR="00DB752F">
              <w:rPr>
                <w:webHidden/>
              </w:rPr>
            </w:r>
            <w:r w:rsidR="00DB752F">
              <w:rPr>
                <w:webHidden/>
              </w:rPr>
              <w:fldChar w:fldCharType="separate"/>
            </w:r>
            <w:r>
              <w:rPr>
                <w:webHidden/>
              </w:rPr>
              <w:t>3-15</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697" w:history="1">
            <w:r w:rsidR="00DB752F" w:rsidRPr="005C33B9">
              <w:rPr>
                <w:rStyle w:val="Hyperlink"/>
              </w:rPr>
              <w:t>3.3.2</w:t>
            </w:r>
            <w:r w:rsidR="00DB752F">
              <w:rPr>
                <w:rFonts w:asciiTheme="minorHAnsi" w:eastAsiaTheme="minorEastAsia" w:hAnsiTheme="minorHAnsi"/>
                <w:lang w:eastAsia="en-AU"/>
              </w:rPr>
              <w:tab/>
            </w:r>
            <w:r w:rsidR="00DB752F" w:rsidRPr="005C33B9">
              <w:rPr>
                <w:rStyle w:val="Hyperlink"/>
              </w:rPr>
              <w:t>The overall rate of return</w:t>
            </w:r>
            <w:r w:rsidR="00DB752F">
              <w:rPr>
                <w:webHidden/>
              </w:rPr>
              <w:tab/>
            </w:r>
            <w:r w:rsidR="00DB752F">
              <w:rPr>
                <w:webHidden/>
              </w:rPr>
              <w:fldChar w:fldCharType="begin"/>
            </w:r>
            <w:r w:rsidR="00DB752F">
              <w:rPr>
                <w:webHidden/>
              </w:rPr>
              <w:instrText xml:space="preserve"> PAGEREF _Toc456686697 \h </w:instrText>
            </w:r>
            <w:r w:rsidR="00DB752F">
              <w:rPr>
                <w:webHidden/>
              </w:rPr>
            </w:r>
            <w:r w:rsidR="00DB752F">
              <w:rPr>
                <w:webHidden/>
              </w:rPr>
              <w:fldChar w:fldCharType="separate"/>
            </w:r>
            <w:r>
              <w:rPr>
                <w:webHidden/>
              </w:rPr>
              <w:t>3-16</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698" w:history="1">
            <w:r w:rsidR="00DB752F" w:rsidRPr="005C33B9">
              <w:rPr>
                <w:rStyle w:val="Hyperlink"/>
              </w:rPr>
              <w:t>3.3.3</w:t>
            </w:r>
            <w:r w:rsidR="00DB752F">
              <w:rPr>
                <w:rFonts w:asciiTheme="minorHAnsi" w:eastAsiaTheme="minorEastAsia" w:hAnsiTheme="minorHAnsi"/>
                <w:lang w:eastAsia="en-AU"/>
              </w:rPr>
              <w:tab/>
            </w:r>
            <w:r w:rsidR="00DB752F" w:rsidRPr="005C33B9">
              <w:rPr>
                <w:rStyle w:val="Hyperlink"/>
              </w:rPr>
              <w:t>Allowed rate of return objective</w:t>
            </w:r>
            <w:r w:rsidR="00DB752F">
              <w:rPr>
                <w:webHidden/>
              </w:rPr>
              <w:tab/>
            </w:r>
            <w:r w:rsidR="00DB752F">
              <w:rPr>
                <w:webHidden/>
              </w:rPr>
              <w:fldChar w:fldCharType="begin"/>
            </w:r>
            <w:r w:rsidR="00DB752F">
              <w:rPr>
                <w:webHidden/>
              </w:rPr>
              <w:instrText xml:space="preserve"> PAGEREF _Toc456686698 \h </w:instrText>
            </w:r>
            <w:r w:rsidR="00DB752F">
              <w:rPr>
                <w:webHidden/>
              </w:rPr>
            </w:r>
            <w:r w:rsidR="00DB752F">
              <w:rPr>
                <w:webHidden/>
              </w:rPr>
              <w:fldChar w:fldCharType="separate"/>
            </w:r>
            <w:r>
              <w:rPr>
                <w:webHidden/>
              </w:rPr>
              <w:t>3-17</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699" w:history="1">
            <w:r w:rsidR="00DB752F" w:rsidRPr="005C33B9">
              <w:rPr>
                <w:rStyle w:val="Hyperlink"/>
              </w:rPr>
              <w:t>3.3.4</w:t>
            </w:r>
            <w:r w:rsidR="00DB752F">
              <w:rPr>
                <w:rFonts w:asciiTheme="minorHAnsi" w:eastAsiaTheme="minorEastAsia" w:hAnsiTheme="minorHAnsi"/>
                <w:lang w:eastAsia="en-AU"/>
              </w:rPr>
              <w:tab/>
            </w:r>
            <w:r w:rsidR="00DB752F" w:rsidRPr="005C33B9">
              <w:rPr>
                <w:rStyle w:val="Hyperlink"/>
              </w:rPr>
              <w:t>Return on debt factors in the rules</w:t>
            </w:r>
            <w:r w:rsidR="00DB752F">
              <w:rPr>
                <w:webHidden/>
              </w:rPr>
              <w:tab/>
            </w:r>
            <w:r w:rsidR="00DB752F">
              <w:rPr>
                <w:webHidden/>
              </w:rPr>
              <w:fldChar w:fldCharType="begin"/>
            </w:r>
            <w:r w:rsidR="00DB752F">
              <w:rPr>
                <w:webHidden/>
              </w:rPr>
              <w:instrText xml:space="preserve"> PAGEREF _Toc456686699 \h </w:instrText>
            </w:r>
            <w:r w:rsidR="00DB752F">
              <w:rPr>
                <w:webHidden/>
              </w:rPr>
            </w:r>
            <w:r w:rsidR="00DB752F">
              <w:rPr>
                <w:webHidden/>
              </w:rPr>
              <w:fldChar w:fldCharType="separate"/>
            </w:r>
            <w:r>
              <w:rPr>
                <w:webHidden/>
              </w:rPr>
              <w:t>3-28</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00" w:history="1">
            <w:r w:rsidR="00DB752F" w:rsidRPr="005C33B9">
              <w:rPr>
                <w:rStyle w:val="Hyperlink"/>
              </w:rPr>
              <w:t>3.3.5</w:t>
            </w:r>
            <w:r w:rsidR="00DB752F">
              <w:rPr>
                <w:rFonts w:asciiTheme="minorHAnsi" w:eastAsiaTheme="minorEastAsia" w:hAnsiTheme="minorHAnsi"/>
                <w:lang w:eastAsia="en-AU"/>
              </w:rPr>
              <w:tab/>
            </w:r>
            <w:r w:rsidR="00DB752F" w:rsidRPr="005C33B9">
              <w:rPr>
                <w:rStyle w:val="Hyperlink"/>
              </w:rPr>
              <w:t>Rate of return Guideline</w:t>
            </w:r>
            <w:r w:rsidR="00DB752F">
              <w:rPr>
                <w:webHidden/>
              </w:rPr>
              <w:tab/>
            </w:r>
            <w:r w:rsidR="00DB752F">
              <w:rPr>
                <w:webHidden/>
              </w:rPr>
              <w:fldChar w:fldCharType="begin"/>
            </w:r>
            <w:r w:rsidR="00DB752F">
              <w:rPr>
                <w:webHidden/>
              </w:rPr>
              <w:instrText xml:space="preserve"> PAGEREF _Toc456686700 \h </w:instrText>
            </w:r>
            <w:r w:rsidR="00DB752F">
              <w:rPr>
                <w:webHidden/>
              </w:rPr>
            </w:r>
            <w:r w:rsidR="00DB752F">
              <w:rPr>
                <w:webHidden/>
              </w:rPr>
              <w:fldChar w:fldCharType="separate"/>
            </w:r>
            <w:r>
              <w:rPr>
                <w:webHidden/>
              </w:rPr>
              <w:t>3-30</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01" w:history="1">
            <w:r w:rsidR="00DB752F" w:rsidRPr="005C33B9">
              <w:rPr>
                <w:rStyle w:val="Hyperlink"/>
              </w:rPr>
              <w:t>3.3.6</w:t>
            </w:r>
            <w:r w:rsidR="00DB752F">
              <w:rPr>
                <w:rFonts w:asciiTheme="minorHAnsi" w:eastAsiaTheme="minorEastAsia" w:hAnsiTheme="minorHAnsi"/>
                <w:lang w:eastAsia="en-AU"/>
              </w:rPr>
              <w:tab/>
            </w:r>
            <w:r w:rsidR="00DB752F" w:rsidRPr="005C33B9">
              <w:rPr>
                <w:rStyle w:val="Hyperlink"/>
              </w:rPr>
              <w:t>Interrelationships</w:t>
            </w:r>
            <w:r w:rsidR="00DB752F">
              <w:rPr>
                <w:webHidden/>
              </w:rPr>
              <w:tab/>
            </w:r>
            <w:r w:rsidR="00DB752F">
              <w:rPr>
                <w:webHidden/>
              </w:rPr>
              <w:fldChar w:fldCharType="begin"/>
            </w:r>
            <w:r w:rsidR="00DB752F">
              <w:rPr>
                <w:webHidden/>
              </w:rPr>
              <w:instrText xml:space="preserve"> PAGEREF _Toc456686701 \h </w:instrText>
            </w:r>
            <w:r w:rsidR="00DB752F">
              <w:rPr>
                <w:webHidden/>
              </w:rPr>
            </w:r>
            <w:r w:rsidR="00DB752F">
              <w:rPr>
                <w:webHidden/>
              </w:rPr>
              <w:fldChar w:fldCharType="separate"/>
            </w:r>
            <w:r>
              <w:rPr>
                <w:webHidden/>
              </w:rPr>
              <w:t>3-36</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02" w:history="1">
            <w:r w:rsidR="00DB752F" w:rsidRPr="005C33B9">
              <w:rPr>
                <w:rStyle w:val="Hyperlink"/>
              </w:rPr>
              <w:t>3.3.7</w:t>
            </w:r>
            <w:r w:rsidR="00DB752F">
              <w:rPr>
                <w:rFonts w:asciiTheme="minorHAnsi" w:eastAsiaTheme="minorEastAsia" w:hAnsiTheme="minorHAnsi"/>
                <w:lang w:eastAsia="en-AU"/>
              </w:rPr>
              <w:tab/>
            </w:r>
            <w:r w:rsidR="00DB752F" w:rsidRPr="005C33B9">
              <w:rPr>
                <w:rStyle w:val="Hyperlink"/>
              </w:rPr>
              <w:t>Consideration of relevant material</w:t>
            </w:r>
            <w:r w:rsidR="00DB752F">
              <w:rPr>
                <w:webHidden/>
              </w:rPr>
              <w:tab/>
            </w:r>
            <w:r w:rsidR="00DB752F">
              <w:rPr>
                <w:webHidden/>
              </w:rPr>
              <w:fldChar w:fldCharType="begin"/>
            </w:r>
            <w:r w:rsidR="00DB752F">
              <w:rPr>
                <w:webHidden/>
              </w:rPr>
              <w:instrText xml:space="preserve"> PAGEREF _Toc456686702 \h </w:instrText>
            </w:r>
            <w:r w:rsidR="00DB752F">
              <w:rPr>
                <w:webHidden/>
              </w:rPr>
            </w:r>
            <w:r w:rsidR="00DB752F">
              <w:rPr>
                <w:webHidden/>
              </w:rPr>
              <w:fldChar w:fldCharType="separate"/>
            </w:r>
            <w:r>
              <w:rPr>
                <w:webHidden/>
              </w:rPr>
              <w:t>3-39</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03" w:history="1">
            <w:r w:rsidR="00DB752F" w:rsidRPr="005C33B9">
              <w:rPr>
                <w:rStyle w:val="Hyperlink"/>
              </w:rPr>
              <w:t>3.4</w:t>
            </w:r>
            <w:r w:rsidR="00DB752F">
              <w:rPr>
                <w:rFonts w:asciiTheme="minorHAnsi" w:eastAsiaTheme="minorEastAsia" w:hAnsiTheme="minorHAnsi"/>
                <w:b w:val="0"/>
                <w:color w:val="auto"/>
                <w:sz w:val="22"/>
                <w:lang w:eastAsia="en-AU"/>
              </w:rPr>
              <w:tab/>
            </w:r>
            <w:r w:rsidR="00DB752F" w:rsidRPr="005C33B9">
              <w:rPr>
                <w:rStyle w:val="Hyperlink"/>
              </w:rPr>
              <w:t>Reasons for draft decision</w:t>
            </w:r>
            <w:r w:rsidR="00DB752F">
              <w:rPr>
                <w:webHidden/>
              </w:rPr>
              <w:tab/>
            </w:r>
            <w:r w:rsidR="00DB752F">
              <w:rPr>
                <w:webHidden/>
              </w:rPr>
              <w:fldChar w:fldCharType="begin"/>
            </w:r>
            <w:r w:rsidR="00DB752F">
              <w:rPr>
                <w:webHidden/>
              </w:rPr>
              <w:instrText xml:space="preserve"> PAGEREF _Toc456686703 \h </w:instrText>
            </w:r>
            <w:r w:rsidR="00DB752F">
              <w:rPr>
                <w:webHidden/>
              </w:rPr>
            </w:r>
            <w:r w:rsidR="00DB752F">
              <w:rPr>
                <w:webHidden/>
              </w:rPr>
              <w:fldChar w:fldCharType="separate"/>
            </w:r>
            <w:r>
              <w:rPr>
                <w:webHidden/>
              </w:rPr>
              <w:t>3-43</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04" w:history="1">
            <w:r w:rsidR="00DB752F" w:rsidRPr="005C33B9">
              <w:rPr>
                <w:rStyle w:val="Hyperlink"/>
              </w:rPr>
              <w:t>3.4.1</w:t>
            </w:r>
            <w:r w:rsidR="00DB752F">
              <w:rPr>
                <w:rFonts w:asciiTheme="minorHAnsi" w:eastAsiaTheme="minorEastAsia" w:hAnsiTheme="minorHAnsi"/>
                <w:lang w:eastAsia="en-AU"/>
              </w:rPr>
              <w:tab/>
            </w:r>
            <w:r w:rsidR="00DB752F" w:rsidRPr="005C33B9">
              <w:rPr>
                <w:rStyle w:val="Hyperlink"/>
              </w:rPr>
              <w:t>Return on equity</w:t>
            </w:r>
            <w:r w:rsidR="00DB752F">
              <w:rPr>
                <w:webHidden/>
              </w:rPr>
              <w:tab/>
            </w:r>
            <w:r w:rsidR="00DB752F">
              <w:rPr>
                <w:webHidden/>
              </w:rPr>
              <w:fldChar w:fldCharType="begin"/>
            </w:r>
            <w:r w:rsidR="00DB752F">
              <w:rPr>
                <w:webHidden/>
              </w:rPr>
              <w:instrText xml:space="preserve"> PAGEREF _Toc456686704 \h </w:instrText>
            </w:r>
            <w:r w:rsidR="00DB752F">
              <w:rPr>
                <w:webHidden/>
              </w:rPr>
            </w:r>
            <w:r w:rsidR="00DB752F">
              <w:rPr>
                <w:webHidden/>
              </w:rPr>
              <w:fldChar w:fldCharType="separate"/>
            </w:r>
            <w:r>
              <w:rPr>
                <w:webHidden/>
              </w:rPr>
              <w:t>3-44</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05" w:history="1">
            <w:r w:rsidR="00DB752F" w:rsidRPr="005C33B9">
              <w:rPr>
                <w:rStyle w:val="Hyperlink"/>
              </w:rPr>
              <w:t>3.4.2</w:t>
            </w:r>
            <w:r w:rsidR="00DB752F">
              <w:rPr>
                <w:rFonts w:asciiTheme="minorHAnsi" w:eastAsiaTheme="minorEastAsia" w:hAnsiTheme="minorHAnsi"/>
                <w:lang w:eastAsia="en-AU"/>
              </w:rPr>
              <w:tab/>
            </w:r>
            <w:r w:rsidR="00DB752F" w:rsidRPr="005C33B9">
              <w:rPr>
                <w:rStyle w:val="Hyperlink"/>
              </w:rPr>
              <w:t>Return on debt</w:t>
            </w:r>
            <w:r w:rsidR="00DB752F">
              <w:rPr>
                <w:webHidden/>
              </w:rPr>
              <w:tab/>
            </w:r>
            <w:r w:rsidR="00DB752F">
              <w:rPr>
                <w:webHidden/>
              </w:rPr>
              <w:fldChar w:fldCharType="begin"/>
            </w:r>
            <w:r w:rsidR="00DB752F">
              <w:rPr>
                <w:webHidden/>
              </w:rPr>
              <w:instrText xml:space="preserve"> PAGEREF _Toc456686705 \h </w:instrText>
            </w:r>
            <w:r w:rsidR="00DB752F">
              <w:rPr>
                <w:webHidden/>
              </w:rPr>
            </w:r>
            <w:r w:rsidR="00DB752F">
              <w:rPr>
                <w:webHidden/>
              </w:rPr>
              <w:fldChar w:fldCharType="separate"/>
            </w:r>
            <w:r>
              <w:rPr>
                <w:webHidden/>
              </w:rPr>
              <w:t>3-92</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06" w:history="1">
            <w:r w:rsidR="00DB752F" w:rsidRPr="005C33B9">
              <w:rPr>
                <w:rStyle w:val="Hyperlink"/>
              </w:rPr>
              <w:t>3.4.3</w:t>
            </w:r>
            <w:r w:rsidR="00DB752F">
              <w:rPr>
                <w:rFonts w:asciiTheme="minorHAnsi" w:eastAsiaTheme="minorEastAsia" w:hAnsiTheme="minorHAnsi"/>
                <w:lang w:eastAsia="en-AU"/>
              </w:rPr>
              <w:tab/>
            </w:r>
            <w:r w:rsidR="00DB752F" w:rsidRPr="005C33B9">
              <w:rPr>
                <w:rStyle w:val="Hyperlink"/>
              </w:rPr>
              <w:t>Gearing ratio</w:t>
            </w:r>
            <w:r w:rsidR="00DB752F">
              <w:rPr>
                <w:webHidden/>
              </w:rPr>
              <w:tab/>
            </w:r>
            <w:r w:rsidR="00DB752F">
              <w:rPr>
                <w:webHidden/>
              </w:rPr>
              <w:fldChar w:fldCharType="begin"/>
            </w:r>
            <w:r w:rsidR="00DB752F">
              <w:rPr>
                <w:webHidden/>
              </w:rPr>
              <w:instrText xml:space="preserve"> PAGEREF _Toc456686706 \h </w:instrText>
            </w:r>
            <w:r w:rsidR="00DB752F">
              <w:rPr>
                <w:webHidden/>
              </w:rPr>
            </w:r>
            <w:r w:rsidR="00DB752F">
              <w:rPr>
                <w:webHidden/>
              </w:rPr>
              <w:fldChar w:fldCharType="separate"/>
            </w:r>
            <w:r>
              <w:rPr>
                <w:webHidden/>
              </w:rPr>
              <w:t>3-128</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07" w:history="1">
            <w:r w:rsidR="00DB752F" w:rsidRPr="005C33B9">
              <w:rPr>
                <w:rStyle w:val="Hyperlink"/>
              </w:rPr>
              <w:t>3.4.4</w:t>
            </w:r>
            <w:r w:rsidR="00DB752F">
              <w:rPr>
                <w:rFonts w:asciiTheme="minorHAnsi" w:eastAsiaTheme="minorEastAsia" w:hAnsiTheme="minorHAnsi"/>
                <w:lang w:eastAsia="en-AU"/>
              </w:rPr>
              <w:tab/>
            </w:r>
            <w:r w:rsidR="00DB752F" w:rsidRPr="005C33B9">
              <w:rPr>
                <w:rStyle w:val="Hyperlink"/>
              </w:rPr>
              <w:t>Expected inflation rate</w:t>
            </w:r>
            <w:r w:rsidR="00DB752F">
              <w:rPr>
                <w:webHidden/>
              </w:rPr>
              <w:tab/>
            </w:r>
            <w:r w:rsidR="00DB752F">
              <w:rPr>
                <w:webHidden/>
              </w:rPr>
              <w:fldChar w:fldCharType="begin"/>
            </w:r>
            <w:r w:rsidR="00DB752F">
              <w:rPr>
                <w:webHidden/>
              </w:rPr>
              <w:instrText xml:space="preserve"> PAGEREF _Toc456686707 \h </w:instrText>
            </w:r>
            <w:r w:rsidR="00DB752F">
              <w:rPr>
                <w:webHidden/>
              </w:rPr>
            </w:r>
            <w:r w:rsidR="00DB752F">
              <w:rPr>
                <w:webHidden/>
              </w:rPr>
              <w:fldChar w:fldCharType="separate"/>
            </w:r>
            <w:r>
              <w:rPr>
                <w:webHidden/>
              </w:rPr>
              <w:t>3-129</w:t>
            </w:r>
            <w:r w:rsidR="00DB752F">
              <w:rPr>
                <w:webHidden/>
              </w:rPr>
              <w:fldChar w:fldCharType="end"/>
            </w:r>
          </w:hyperlink>
        </w:p>
        <w:p w:rsidR="00DB752F" w:rsidRDefault="003F1AAB">
          <w:pPr>
            <w:pStyle w:val="TOC1"/>
            <w:rPr>
              <w:rFonts w:asciiTheme="minorHAnsi" w:eastAsiaTheme="minorEastAsia" w:hAnsiTheme="minorHAnsi"/>
              <w:b w:val="0"/>
              <w:color w:val="auto"/>
              <w:sz w:val="22"/>
              <w:lang w:val="en-AU" w:eastAsia="en-AU"/>
            </w:rPr>
          </w:pPr>
          <w:hyperlink w:anchor="_Toc456686708" w:history="1">
            <w:r w:rsidR="00DB752F" w:rsidRPr="005C33B9">
              <w:rPr>
                <w:rStyle w:val="Hyperlink"/>
              </w:rPr>
              <w:t>A</w:t>
            </w:r>
            <w:r w:rsidR="00DB752F">
              <w:rPr>
                <w:rFonts w:asciiTheme="minorHAnsi" w:eastAsiaTheme="minorEastAsia" w:hAnsiTheme="minorHAnsi"/>
                <w:b w:val="0"/>
                <w:color w:val="auto"/>
                <w:sz w:val="22"/>
                <w:lang w:val="en-AU" w:eastAsia="en-AU"/>
              </w:rPr>
              <w:tab/>
            </w:r>
            <w:r w:rsidR="00DB752F" w:rsidRPr="005C33B9">
              <w:rPr>
                <w:rStyle w:val="Hyperlink"/>
              </w:rPr>
              <w:t>Our foundation model approach</w:t>
            </w:r>
            <w:r w:rsidR="00DB752F">
              <w:rPr>
                <w:webHidden/>
              </w:rPr>
              <w:tab/>
            </w:r>
            <w:r w:rsidR="00DB752F">
              <w:rPr>
                <w:webHidden/>
              </w:rPr>
              <w:fldChar w:fldCharType="begin"/>
            </w:r>
            <w:r w:rsidR="00DB752F">
              <w:rPr>
                <w:webHidden/>
              </w:rPr>
              <w:instrText xml:space="preserve"> PAGEREF _Toc456686708 \h </w:instrText>
            </w:r>
            <w:r w:rsidR="00DB752F">
              <w:rPr>
                <w:webHidden/>
              </w:rPr>
            </w:r>
            <w:r w:rsidR="00DB752F">
              <w:rPr>
                <w:webHidden/>
              </w:rPr>
              <w:fldChar w:fldCharType="separate"/>
            </w:r>
            <w:r>
              <w:rPr>
                <w:webHidden/>
              </w:rPr>
              <w:t>3-139</w:t>
            </w:r>
            <w:r w:rsidR="00DB752F">
              <w:rPr>
                <w:webHidden/>
              </w:rPr>
              <w:fldChar w:fldCharType="end"/>
            </w:r>
          </w:hyperlink>
        </w:p>
        <w:p w:rsidR="00DB752F" w:rsidRDefault="003F1AAB">
          <w:pPr>
            <w:pStyle w:val="TOC1"/>
            <w:rPr>
              <w:rFonts w:asciiTheme="minorHAnsi" w:eastAsiaTheme="minorEastAsia" w:hAnsiTheme="minorHAnsi"/>
              <w:b w:val="0"/>
              <w:color w:val="auto"/>
              <w:sz w:val="22"/>
              <w:lang w:val="en-AU" w:eastAsia="en-AU"/>
            </w:rPr>
          </w:pPr>
          <w:hyperlink w:anchor="_Toc456686709" w:history="1">
            <w:r w:rsidR="00DB752F" w:rsidRPr="005C33B9">
              <w:rPr>
                <w:rStyle w:val="Hyperlink"/>
              </w:rPr>
              <w:t>B</w:t>
            </w:r>
            <w:r w:rsidR="00DB752F">
              <w:rPr>
                <w:rFonts w:asciiTheme="minorHAnsi" w:eastAsiaTheme="minorEastAsia" w:hAnsiTheme="minorHAnsi"/>
                <w:b w:val="0"/>
                <w:color w:val="auto"/>
                <w:sz w:val="22"/>
                <w:lang w:val="en-AU" w:eastAsia="en-AU"/>
              </w:rPr>
              <w:tab/>
            </w:r>
            <w:r w:rsidR="00DB752F" w:rsidRPr="005C33B9">
              <w:rPr>
                <w:rStyle w:val="Hyperlink"/>
              </w:rPr>
              <w:t>Equity models</w:t>
            </w:r>
            <w:r w:rsidR="00DB752F">
              <w:rPr>
                <w:webHidden/>
              </w:rPr>
              <w:tab/>
            </w:r>
            <w:r w:rsidR="00DB752F">
              <w:rPr>
                <w:webHidden/>
              </w:rPr>
              <w:fldChar w:fldCharType="begin"/>
            </w:r>
            <w:r w:rsidR="00DB752F">
              <w:rPr>
                <w:webHidden/>
              </w:rPr>
              <w:instrText xml:space="preserve"> PAGEREF _Toc456686709 \h </w:instrText>
            </w:r>
            <w:r w:rsidR="00DB752F">
              <w:rPr>
                <w:webHidden/>
              </w:rPr>
            </w:r>
            <w:r w:rsidR="00DB752F">
              <w:rPr>
                <w:webHidden/>
              </w:rPr>
              <w:fldChar w:fldCharType="separate"/>
            </w:r>
            <w:r>
              <w:rPr>
                <w:webHidden/>
              </w:rPr>
              <w:t>3-142</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10" w:history="1">
            <w:r w:rsidR="00DB752F" w:rsidRPr="005C33B9">
              <w:rPr>
                <w:rStyle w:val="Hyperlink"/>
              </w:rPr>
              <w:t>B.1</w:t>
            </w:r>
            <w:r w:rsidR="00DB752F">
              <w:rPr>
                <w:rFonts w:asciiTheme="minorHAnsi" w:eastAsiaTheme="minorEastAsia" w:hAnsiTheme="minorHAnsi"/>
                <w:b w:val="0"/>
                <w:color w:val="auto"/>
                <w:sz w:val="22"/>
                <w:lang w:eastAsia="en-AU"/>
              </w:rPr>
              <w:tab/>
            </w:r>
            <w:r w:rsidR="00DB752F" w:rsidRPr="005C33B9">
              <w:rPr>
                <w:rStyle w:val="Hyperlink"/>
              </w:rPr>
              <w:t>Sharpe-Lintner CAPM</w:t>
            </w:r>
            <w:r w:rsidR="00DB752F">
              <w:rPr>
                <w:webHidden/>
              </w:rPr>
              <w:tab/>
            </w:r>
            <w:r w:rsidR="00DB752F">
              <w:rPr>
                <w:webHidden/>
              </w:rPr>
              <w:fldChar w:fldCharType="begin"/>
            </w:r>
            <w:r w:rsidR="00DB752F">
              <w:rPr>
                <w:webHidden/>
              </w:rPr>
              <w:instrText xml:space="preserve"> PAGEREF _Toc456686710 \h </w:instrText>
            </w:r>
            <w:r w:rsidR="00DB752F">
              <w:rPr>
                <w:webHidden/>
              </w:rPr>
            </w:r>
            <w:r w:rsidR="00DB752F">
              <w:rPr>
                <w:webHidden/>
              </w:rPr>
              <w:fldChar w:fldCharType="separate"/>
            </w:r>
            <w:r>
              <w:rPr>
                <w:webHidden/>
              </w:rPr>
              <w:t>3-143</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11" w:history="1">
            <w:r w:rsidR="00DB752F" w:rsidRPr="005C33B9">
              <w:rPr>
                <w:rStyle w:val="Hyperlink"/>
              </w:rPr>
              <w:t>B.1.1</w:t>
            </w:r>
            <w:r w:rsidR="00DB752F">
              <w:rPr>
                <w:rFonts w:asciiTheme="minorHAnsi" w:eastAsiaTheme="minorEastAsia" w:hAnsiTheme="minorHAnsi"/>
                <w:lang w:eastAsia="en-AU"/>
              </w:rPr>
              <w:tab/>
            </w:r>
            <w:r w:rsidR="00DB752F" w:rsidRPr="005C33B9">
              <w:rPr>
                <w:rStyle w:val="Hyperlink"/>
              </w:rPr>
              <w:t>Submissions supporting the use of the Sharpe-Lintner CAPM as the foundation model</w:t>
            </w:r>
            <w:r w:rsidR="00DB752F">
              <w:rPr>
                <w:webHidden/>
              </w:rPr>
              <w:tab/>
            </w:r>
            <w:r w:rsidR="00DB752F">
              <w:rPr>
                <w:webHidden/>
              </w:rPr>
              <w:fldChar w:fldCharType="begin"/>
            </w:r>
            <w:r w:rsidR="00DB752F">
              <w:rPr>
                <w:webHidden/>
              </w:rPr>
              <w:instrText xml:space="preserve"> PAGEREF _Toc456686711 \h </w:instrText>
            </w:r>
            <w:r w:rsidR="00DB752F">
              <w:rPr>
                <w:webHidden/>
              </w:rPr>
            </w:r>
            <w:r w:rsidR="00DB752F">
              <w:rPr>
                <w:webHidden/>
              </w:rPr>
              <w:fldChar w:fldCharType="separate"/>
            </w:r>
            <w:r>
              <w:rPr>
                <w:webHidden/>
              </w:rPr>
              <w:t>3-148</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12" w:history="1">
            <w:r w:rsidR="00DB752F" w:rsidRPr="005C33B9">
              <w:rPr>
                <w:rStyle w:val="Hyperlink"/>
              </w:rPr>
              <w:t>B.1.2</w:t>
            </w:r>
            <w:r w:rsidR="00DB752F">
              <w:rPr>
                <w:rFonts w:asciiTheme="minorHAnsi" w:eastAsiaTheme="minorEastAsia" w:hAnsiTheme="minorHAnsi"/>
                <w:lang w:eastAsia="en-AU"/>
              </w:rPr>
              <w:tab/>
            </w:r>
            <w:r w:rsidR="00DB752F" w:rsidRPr="005C33B9">
              <w:rPr>
                <w:rStyle w:val="Hyperlink"/>
              </w:rPr>
              <w:t>Empirical tests of the Sharpe-Lintner CAPM</w:t>
            </w:r>
            <w:r w:rsidR="00DB752F">
              <w:rPr>
                <w:webHidden/>
              </w:rPr>
              <w:tab/>
            </w:r>
            <w:r w:rsidR="00DB752F">
              <w:rPr>
                <w:webHidden/>
              </w:rPr>
              <w:fldChar w:fldCharType="begin"/>
            </w:r>
            <w:r w:rsidR="00DB752F">
              <w:rPr>
                <w:webHidden/>
              </w:rPr>
              <w:instrText xml:space="preserve"> PAGEREF _Toc456686712 \h </w:instrText>
            </w:r>
            <w:r w:rsidR="00DB752F">
              <w:rPr>
                <w:webHidden/>
              </w:rPr>
            </w:r>
            <w:r w:rsidR="00DB752F">
              <w:rPr>
                <w:webHidden/>
              </w:rPr>
              <w:fldChar w:fldCharType="separate"/>
            </w:r>
            <w:r>
              <w:rPr>
                <w:webHidden/>
              </w:rPr>
              <w:t>3-151</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13" w:history="1">
            <w:r w:rsidR="00DB752F" w:rsidRPr="005C33B9">
              <w:rPr>
                <w:rStyle w:val="Hyperlink"/>
              </w:rPr>
              <w:t>B.1.3</w:t>
            </w:r>
            <w:r w:rsidR="00DB752F">
              <w:rPr>
                <w:rFonts w:asciiTheme="minorHAnsi" w:eastAsiaTheme="minorEastAsia" w:hAnsiTheme="minorHAnsi"/>
                <w:lang w:eastAsia="en-AU"/>
              </w:rPr>
              <w:tab/>
            </w:r>
            <w:r w:rsidR="00DB752F" w:rsidRPr="005C33B9">
              <w:rPr>
                <w:rStyle w:val="Hyperlink"/>
              </w:rPr>
              <w:t>Evidence from estimates of other models</w:t>
            </w:r>
            <w:r w:rsidR="00DB752F">
              <w:rPr>
                <w:webHidden/>
              </w:rPr>
              <w:tab/>
            </w:r>
            <w:r w:rsidR="00DB752F">
              <w:rPr>
                <w:webHidden/>
              </w:rPr>
              <w:fldChar w:fldCharType="begin"/>
            </w:r>
            <w:r w:rsidR="00DB752F">
              <w:rPr>
                <w:webHidden/>
              </w:rPr>
              <w:instrText xml:space="preserve"> PAGEREF _Toc456686713 \h </w:instrText>
            </w:r>
            <w:r w:rsidR="00DB752F">
              <w:rPr>
                <w:webHidden/>
              </w:rPr>
            </w:r>
            <w:r w:rsidR="00DB752F">
              <w:rPr>
                <w:webHidden/>
              </w:rPr>
              <w:fldChar w:fldCharType="separate"/>
            </w:r>
            <w:r>
              <w:rPr>
                <w:webHidden/>
              </w:rPr>
              <w:t>3-156</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14" w:history="1">
            <w:r w:rsidR="00DB752F" w:rsidRPr="005C33B9">
              <w:rPr>
                <w:rStyle w:val="Hyperlink"/>
              </w:rPr>
              <w:t>B.2</w:t>
            </w:r>
            <w:r w:rsidR="00DB752F">
              <w:rPr>
                <w:rFonts w:asciiTheme="minorHAnsi" w:eastAsiaTheme="minorEastAsia" w:hAnsiTheme="minorHAnsi"/>
                <w:b w:val="0"/>
                <w:color w:val="auto"/>
                <w:sz w:val="22"/>
                <w:lang w:eastAsia="en-AU"/>
              </w:rPr>
              <w:tab/>
            </w:r>
            <w:r w:rsidR="00DB752F" w:rsidRPr="005C33B9">
              <w:rPr>
                <w:rStyle w:val="Hyperlink"/>
              </w:rPr>
              <w:t>Black CAPM</w:t>
            </w:r>
            <w:r w:rsidR="00DB752F">
              <w:rPr>
                <w:webHidden/>
              </w:rPr>
              <w:tab/>
            </w:r>
            <w:r w:rsidR="00DB752F">
              <w:rPr>
                <w:webHidden/>
              </w:rPr>
              <w:fldChar w:fldCharType="begin"/>
            </w:r>
            <w:r w:rsidR="00DB752F">
              <w:rPr>
                <w:webHidden/>
              </w:rPr>
              <w:instrText xml:space="preserve"> PAGEREF _Toc456686714 \h </w:instrText>
            </w:r>
            <w:r w:rsidR="00DB752F">
              <w:rPr>
                <w:webHidden/>
              </w:rPr>
            </w:r>
            <w:r w:rsidR="00DB752F">
              <w:rPr>
                <w:webHidden/>
              </w:rPr>
              <w:fldChar w:fldCharType="separate"/>
            </w:r>
            <w:r>
              <w:rPr>
                <w:webHidden/>
              </w:rPr>
              <w:t>3-156</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15" w:history="1">
            <w:r w:rsidR="00DB752F" w:rsidRPr="005C33B9">
              <w:rPr>
                <w:rStyle w:val="Hyperlink"/>
              </w:rPr>
              <w:t>B.2.1</w:t>
            </w:r>
            <w:r w:rsidR="00DB752F">
              <w:rPr>
                <w:rFonts w:asciiTheme="minorHAnsi" w:eastAsiaTheme="minorEastAsia" w:hAnsiTheme="minorHAnsi"/>
                <w:lang w:eastAsia="en-AU"/>
              </w:rPr>
              <w:tab/>
            </w:r>
            <w:r w:rsidR="00DB752F" w:rsidRPr="005C33B9">
              <w:rPr>
                <w:rStyle w:val="Hyperlink"/>
              </w:rPr>
              <w:t>Empirical reliability of the Black CAPM</w:t>
            </w:r>
            <w:r w:rsidR="00DB752F">
              <w:rPr>
                <w:webHidden/>
              </w:rPr>
              <w:tab/>
            </w:r>
            <w:r w:rsidR="00DB752F">
              <w:rPr>
                <w:webHidden/>
              </w:rPr>
              <w:fldChar w:fldCharType="begin"/>
            </w:r>
            <w:r w:rsidR="00DB752F">
              <w:rPr>
                <w:webHidden/>
              </w:rPr>
              <w:instrText xml:space="preserve"> PAGEREF _Toc456686715 \h </w:instrText>
            </w:r>
            <w:r w:rsidR="00DB752F">
              <w:rPr>
                <w:webHidden/>
              </w:rPr>
            </w:r>
            <w:r w:rsidR="00DB752F">
              <w:rPr>
                <w:webHidden/>
              </w:rPr>
              <w:fldChar w:fldCharType="separate"/>
            </w:r>
            <w:r>
              <w:rPr>
                <w:webHidden/>
              </w:rPr>
              <w:t>3-160</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16" w:history="1">
            <w:r w:rsidR="00DB752F" w:rsidRPr="005C33B9">
              <w:rPr>
                <w:rStyle w:val="Hyperlink"/>
              </w:rPr>
              <w:t>B.2.2</w:t>
            </w:r>
            <w:r w:rsidR="00DB752F">
              <w:rPr>
                <w:rFonts w:asciiTheme="minorHAnsi" w:eastAsiaTheme="minorEastAsia" w:hAnsiTheme="minorHAnsi"/>
                <w:lang w:eastAsia="en-AU"/>
              </w:rPr>
              <w:tab/>
            </w:r>
            <w:r w:rsidR="00DB752F" w:rsidRPr="005C33B9">
              <w:rPr>
                <w:rStyle w:val="Hyperlink"/>
              </w:rPr>
              <w:t>Low beta bias may not reflect ex ante priced risk</w:t>
            </w:r>
            <w:r w:rsidR="00DB752F">
              <w:rPr>
                <w:webHidden/>
              </w:rPr>
              <w:tab/>
            </w:r>
            <w:r w:rsidR="00DB752F">
              <w:rPr>
                <w:webHidden/>
              </w:rPr>
              <w:fldChar w:fldCharType="begin"/>
            </w:r>
            <w:r w:rsidR="00DB752F">
              <w:rPr>
                <w:webHidden/>
              </w:rPr>
              <w:instrText xml:space="preserve"> PAGEREF _Toc456686716 \h </w:instrText>
            </w:r>
            <w:r w:rsidR="00DB752F">
              <w:rPr>
                <w:webHidden/>
              </w:rPr>
            </w:r>
            <w:r w:rsidR="00DB752F">
              <w:rPr>
                <w:webHidden/>
              </w:rPr>
              <w:fldChar w:fldCharType="separate"/>
            </w:r>
            <w:r>
              <w:rPr>
                <w:webHidden/>
              </w:rPr>
              <w:t>3-166</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17" w:history="1">
            <w:r w:rsidR="00DB752F" w:rsidRPr="005C33B9">
              <w:rPr>
                <w:rStyle w:val="Hyperlink"/>
              </w:rPr>
              <w:t>B.2.3</w:t>
            </w:r>
            <w:r w:rsidR="00DB752F">
              <w:rPr>
                <w:rFonts w:asciiTheme="minorHAnsi" w:eastAsiaTheme="minorEastAsia" w:hAnsiTheme="minorHAnsi"/>
                <w:lang w:eastAsia="en-AU"/>
              </w:rPr>
              <w:tab/>
            </w:r>
            <w:r w:rsidR="00DB752F" w:rsidRPr="005C33B9">
              <w:rPr>
                <w:rStyle w:val="Hyperlink"/>
              </w:rPr>
              <w:t>AER's role for the theory of the Black CAPM</w:t>
            </w:r>
            <w:r w:rsidR="00DB752F">
              <w:rPr>
                <w:webHidden/>
              </w:rPr>
              <w:tab/>
            </w:r>
            <w:r w:rsidR="00DB752F">
              <w:rPr>
                <w:webHidden/>
              </w:rPr>
              <w:fldChar w:fldCharType="begin"/>
            </w:r>
            <w:r w:rsidR="00DB752F">
              <w:rPr>
                <w:webHidden/>
              </w:rPr>
              <w:instrText xml:space="preserve"> PAGEREF _Toc456686717 \h </w:instrText>
            </w:r>
            <w:r w:rsidR="00DB752F">
              <w:rPr>
                <w:webHidden/>
              </w:rPr>
            </w:r>
            <w:r w:rsidR="00DB752F">
              <w:rPr>
                <w:webHidden/>
              </w:rPr>
              <w:fldChar w:fldCharType="separate"/>
            </w:r>
            <w:r>
              <w:rPr>
                <w:webHidden/>
              </w:rPr>
              <w:t>3-167</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18" w:history="1">
            <w:r w:rsidR="00DB752F" w:rsidRPr="005C33B9">
              <w:rPr>
                <w:rStyle w:val="Hyperlink"/>
              </w:rPr>
              <w:t>B.3</w:t>
            </w:r>
            <w:r w:rsidR="00DB752F">
              <w:rPr>
                <w:rFonts w:asciiTheme="minorHAnsi" w:eastAsiaTheme="minorEastAsia" w:hAnsiTheme="minorHAnsi"/>
                <w:b w:val="0"/>
                <w:color w:val="auto"/>
                <w:sz w:val="22"/>
                <w:lang w:eastAsia="en-AU"/>
              </w:rPr>
              <w:tab/>
            </w:r>
            <w:r w:rsidR="00DB752F" w:rsidRPr="005C33B9">
              <w:rPr>
                <w:rStyle w:val="Hyperlink"/>
              </w:rPr>
              <w:t>Fama-French model</w:t>
            </w:r>
            <w:r w:rsidR="00DB752F">
              <w:rPr>
                <w:webHidden/>
              </w:rPr>
              <w:tab/>
            </w:r>
            <w:r w:rsidR="00DB752F">
              <w:rPr>
                <w:webHidden/>
              </w:rPr>
              <w:fldChar w:fldCharType="begin"/>
            </w:r>
            <w:r w:rsidR="00DB752F">
              <w:rPr>
                <w:webHidden/>
              </w:rPr>
              <w:instrText xml:space="preserve"> PAGEREF _Toc456686718 \h </w:instrText>
            </w:r>
            <w:r w:rsidR="00DB752F">
              <w:rPr>
                <w:webHidden/>
              </w:rPr>
            </w:r>
            <w:r w:rsidR="00DB752F">
              <w:rPr>
                <w:webHidden/>
              </w:rPr>
              <w:fldChar w:fldCharType="separate"/>
            </w:r>
            <w:r>
              <w:rPr>
                <w:webHidden/>
              </w:rPr>
              <w:t>3-171</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19" w:history="1">
            <w:r w:rsidR="00DB752F" w:rsidRPr="005C33B9">
              <w:rPr>
                <w:rStyle w:val="Hyperlink"/>
              </w:rPr>
              <w:t>B.3.1</w:t>
            </w:r>
            <w:r w:rsidR="00DB752F">
              <w:rPr>
                <w:rFonts w:asciiTheme="minorHAnsi" w:eastAsiaTheme="minorEastAsia" w:hAnsiTheme="minorHAnsi"/>
                <w:lang w:eastAsia="en-AU"/>
              </w:rPr>
              <w:tab/>
            </w:r>
            <w:r w:rsidR="00DB752F" w:rsidRPr="005C33B9">
              <w:rPr>
                <w:rStyle w:val="Hyperlink"/>
              </w:rPr>
              <w:t>Sensitivity to methodological choices</w:t>
            </w:r>
            <w:r w:rsidR="00DB752F">
              <w:rPr>
                <w:webHidden/>
              </w:rPr>
              <w:tab/>
            </w:r>
            <w:r w:rsidR="00DB752F">
              <w:rPr>
                <w:webHidden/>
              </w:rPr>
              <w:fldChar w:fldCharType="begin"/>
            </w:r>
            <w:r w:rsidR="00DB752F">
              <w:rPr>
                <w:webHidden/>
              </w:rPr>
              <w:instrText xml:space="preserve"> PAGEREF _Toc456686719 \h </w:instrText>
            </w:r>
            <w:r w:rsidR="00DB752F">
              <w:rPr>
                <w:webHidden/>
              </w:rPr>
            </w:r>
            <w:r w:rsidR="00DB752F">
              <w:rPr>
                <w:webHidden/>
              </w:rPr>
              <w:fldChar w:fldCharType="separate"/>
            </w:r>
            <w:r>
              <w:rPr>
                <w:webHidden/>
              </w:rPr>
              <w:t>3-175</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20" w:history="1">
            <w:r w:rsidR="00DB752F" w:rsidRPr="005C33B9">
              <w:rPr>
                <w:rStyle w:val="Hyperlink"/>
              </w:rPr>
              <w:t>B.3.2</w:t>
            </w:r>
            <w:r w:rsidR="00DB752F">
              <w:rPr>
                <w:rFonts w:asciiTheme="minorHAnsi" w:eastAsiaTheme="minorEastAsia" w:hAnsiTheme="minorHAnsi"/>
                <w:lang w:eastAsia="en-AU"/>
              </w:rPr>
              <w:tab/>
            </w:r>
            <w:r w:rsidR="00DB752F" w:rsidRPr="005C33B9">
              <w:rPr>
                <w:rStyle w:val="Hyperlink"/>
              </w:rPr>
              <w:t>Fama-French factors may not reflect ex ante priced risk</w:t>
            </w:r>
            <w:r w:rsidR="00DB752F">
              <w:rPr>
                <w:webHidden/>
              </w:rPr>
              <w:tab/>
            </w:r>
            <w:r w:rsidR="00DB752F">
              <w:rPr>
                <w:webHidden/>
              </w:rPr>
              <w:fldChar w:fldCharType="begin"/>
            </w:r>
            <w:r w:rsidR="00DB752F">
              <w:rPr>
                <w:webHidden/>
              </w:rPr>
              <w:instrText xml:space="preserve"> PAGEREF _Toc456686720 \h </w:instrText>
            </w:r>
            <w:r w:rsidR="00DB752F">
              <w:rPr>
                <w:webHidden/>
              </w:rPr>
            </w:r>
            <w:r w:rsidR="00DB752F">
              <w:rPr>
                <w:webHidden/>
              </w:rPr>
              <w:fldChar w:fldCharType="separate"/>
            </w:r>
            <w:r>
              <w:rPr>
                <w:webHidden/>
              </w:rPr>
              <w:t>3-178</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21" w:history="1">
            <w:r w:rsidR="00DB752F" w:rsidRPr="005C33B9">
              <w:rPr>
                <w:rStyle w:val="Hyperlink"/>
              </w:rPr>
              <w:t>B.4</w:t>
            </w:r>
            <w:r w:rsidR="00DB752F">
              <w:rPr>
                <w:rFonts w:asciiTheme="minorHAnsi" w:eastAsiaTheme="minorEastAsia" w:hAnsiTheme="minorHAnsi"/>
                <w:b w:val="0"/>
                <w:color w:val="auto"/>
                <w:sz w:val="22"/>
                <w:lang w:eastAsia="en-AU"/>
              </w:rPr>
              <w:tab/>
            </w:r>
            <w:r w:rsidR="00DB752F" w:rsidRPr="005C33B9">
              <w:rPr>
                <w:rStyle w:val="Hyperlink"/>
              </w:rPr>
              <w:t>Dividend growth model</w:t>
            </w:r>
            <w:r w:rsidR="00DB752F">
              <w:rPr>
                <w:webHidden/>
              </w:rPr>
              <w:tab/>
            </w:r>
            <w:r w:rsidR="00DB752F">
              <w:rPr>
                <w:webHidden/>
              </w:rPr>
              <w:fldChar w:fldCharType="begin"/>
            </w:r>
            <w:r w:rsidR="00DB752F">
              <w:rPr>
                <w:webHidden/>
              </w:rPr>
              <w:instrText xml:space="preserve"> PAGEREF _Toc456686721 \h </w:instrText>
            </w:r>
            <w:r w:rsidR="00DB752F">
              <w:rPr>
                <w:webHidden/>
              </w:rPr>
            </w:r>
            <w:r w:rsidR="00DB752F">
              <w:rPr>
                <w:webHidden/>
              </w:rPr>
              <w:fldChar w:fldCharType="separate"/>
            </w:r>
            <w:r>
              <w:rPr>
                <w:webHidden/>
              </w:rPr>
              <w:t>3-180</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22" w:history="1">
            <w:r w:rsidR="00DB752F" w:rsidRPr="005C33B9">
              <w:rPr>
                <w:rStyle w:val="Hyperlink"/>
              </w:rPr>
              <w:t>B.4.1</w:t>
            </w:r>
            <w:r w:rsidR="00DB752F">
              <w:rPr>
                <w:rFonts w:asciiTheme="minorHAnsi" w:eastAsiaTheme="minorEastAsia" w:hAnsiTheme="minorHAnsi"/>
                <w:lang w:eastAsia="en-AU"/>
              </w:rPr>
              <w:tab/>
            </w:r>
            <w:r w:rsidR="00DB752F" w:rsidRPr="005C33B9">
              <w:rPr>
                <w:rStyle w:val="Hyperlink"/>
              </w:rPr>
              <w:t>SFG's construction of the dividend growth model</w:t>
            </w:r>
            <w:r w:rsidR="00DB752F">
              <w:rPr>
                <w:webHidden/>
              </w:rPr>
              <w:tab/>
            </w:r>
            <w:r w:rsidR="00DB752F">
              <w:rPr>
                <w:webHidden/>
              </w:rPr>
              <w:fldChar w:fldCharType="begin"/>
            </w:r>
            <w:r w:rsidR="00DB752F">
              <w:rPr>
                <w:webHidden/>
              </w:rPr>
              <w:instrText xml:space="preserve"> PAGEREF _Toc456686722 \h </w:instrText>
            </w:r>
            <w:r w:rsidR="00DB752F">
              <w:rPr>
                <w:webHidden/>
              </w:rPr>
            </w:r>
            <w:r w:rsidR="00DB752F">
              <w:rPr>
                <w:webHidden/>
              </w:rPr>
              <w:fldChar w:fldCharType="separate"/>
            </w:r>
            <w:r>
              <w:rPr>
                <w:webHidden/>
              </w:rPr>
              <w:t>3-183</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23" w:history="1">
            <w:r w:rsidR="00DB752F" w:rsidRPr="005C33B9">
              <w:rPr>
                <w:rStyle w:val="Hyperlink"/>
              </w:rPr>
              <w:t>B.5</w:t>
            </w:r>
            <w:r w:rsidR="00DB752F">
              <w:rPr>
                <w:rFonts w:asciiTheme="minorHAnsi" w:eastAsiaTheme="minorEastAsia" w:hAnsiTheme="minorHAnsi"/>
                <w:b w:val="0"/>
                <w:color w:val="auto"/>
                <w:sz w:val="22"/>
                <w:lang w:eastAsia="en-AU"/>
              </w:rPr>
              <w:tab/>
            </w:r>
            <w:r w:rsidR="00DB752F" w:rsidRPr="005C33B9">
              <w:rPr>
                <w:rStyle w:val="Hyperlink"/>
              </w:rPr>
              <w:t>Wright CAPM and historical CAPM</w:t>
            </w:r>
            <w:r w:rsidR="00DB752F">
              <w:rPr>
                <w:webHidden/>
              </w:rPr>
              <w:tab/>
            </w:r>
            <w:r w:rsidR="00DB752F">
              <w:rPr>
                <w:webHidden/>
              </w:rPr>
              <w:fldChar w:fldCharType="begin"/>
            </w:r>
            <w:r w:rsidR="00DB752F">
              <w:rPr>
                <w:webHidden/>
              </w:rPr>
              <w:instrText xml:space="preserve"> PAGEREF _Toc456686723 \h </w:instrText>
            </w:r>
            <w:r w:rsidR="00DB752F">
              <w:rPr>
                <w:webHidden/>
              </w:rPr>
            </w:r>
            <w:r w:rsidR="00DB752F">
              <w:rPr>
                <w:webHidden/>
              </w:rPr>
              <w:fldChar w:fldCharType="separate"/>
            </w:r>
            <w:r>
              <w:rPr>
                <w:webHidden/>
              </w:rPr>
              <w:t>3-186</w:t>
            </w:r>
            <w:r w:rsidR="00DB752F">
              <w:rPr>
                <w:webHidden/>
              </w:rPr>
              <w:fldChar w:fldCharType="end"/>
            </w:r>
          </w:hyperlink>
        </w:p>
        <w:p w:rsidR="00DB752F" w:rsidRDefault="003F1AAB">
          <w:pPr>
            <w:pStyle w:val="TOC1"/>
            <w:rPr>
              <w:rFonts w:asciiTheme="minorHAnsi" w:eastAsiaTheme="minorEastAsia" w:hAnsiTheme="minorHAnsi"/>
              <w:b w:val="0"/>
              <w:color w:val="auto"/>
              <w:sz w:val="22"/>
              <w:lang w:val="en-AU" w:eastAsia="en-AU"/>
            </w:rPr>
          </w:pPr>
          <w:hyperlink w:anchor="_Toc456686724" w:history="1">
            <w:r w:rsidR="00DB752F" w:rsidRPr="005C33B9">
              <w:rPr>
                <w:rStyle w:val="Hyperlink"/>
              </w:rPr>
              <w:t>C</w:t>
            </w:r>
            <w:r w:rsidR="00DB752F">
              <w:rPr>
                <w:rFonts w:asciiTheme="minorHAnsi" w:eastAsiaTheme="minorEastAsia" w:hAnsiTheme="minorHAnsi"/>
                <w:b w:val="0"/>
                <w:color w:val="auto"/>
                <w:sz w:val="22"/>
                <w:lang w:val="en-AU" w:eastAsia="en-AU"/>
              </w:rPr>
              <w:tab/>
            </w:r>
            <w:r w:rsidR="00DB752F" w:rsidRPr="005C33B9">
              <w:rPr>
                <w:rStyle w:val="Hyperlink"/>
              </w:rPr>
              <w:t>Historical stock returns</w:t>
            </w:r>
            <w:r w:rsidR="00DB752F">
              <w:rPr>
                <w:webHidden/>
              </w:rPr>
              <w:tab/>
            </w:r>
            <w:r w:rsidR="00DB752F">
              <w:rPr>
                <w:webHidden/>
              </w:rPr>
              <w:fldChar w:fldCharType="begin"/>
            </w:r>
            <w:r w:rsidR="00DB752F">
              <w:rPr>
                <w:webHidden/>
              </w:rPr>
              <w:instrText xml:space="preserve"> PAGEREF _Toc456686724 \h </w:instrText>
            </w:r>
            <w:r w:rsidR="00DB752F">
              <w:rPr>
                <w:webHidden/>
              </w:rPr>
            </w:r>
            <w:r w:rsidR="00DB752F">
              <w:rPr>
                <w:webHidden/>
              </w:rPr>
              <w:fldChar w:fldCharType="separate"/>
            </w:r>
            <w:r>
              <w:rPr>
                <w:webHidden/>
              </w:rPr>
              <w:t>3-191</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25" w:history="1">
            <w:r w:rsidR="00DB752F" w:rsidRPr="005C33B9">
              <w:rPr>
                <w:rStyle w:val="Hyperlink"/>
              </w:rPr>
              <w:t>C.1</w:t>
            </w:r>
            <w:r w:rsidR="00DB752F">
              <w:rPr>
                <w:rFonts w:asciiTheme="minorHAnsi" w:eastAsiaTheme="minorEastAsia" w:hAnsiTheme="minorHAnsi"/>
                <w:b w:val="0"/>
                <w:color w:val="auto"/>
                <w:sz w:val="22"/>
                <w:lang w:eastAsia="en-AU"/>
              </w:rPr>
              <w:tab/>
            </w:r>
            <w:r w:rsidR="00DB752F" w:rsidRPr="005C33B9">
              <w:rPr>
                <w:rStyle w:val="Hyperlink"/>
              </w:rPr>
              <w:t>Prevailing estimates: excess returns</w:t>
            </w:r>
            <w:r w:rsidR="00DB752F">
              <w:rPr>
                <w:webHidden/>
              </w:rPr>
              <w:tab/>
            </w:r>
            <w:r w:rsidR="00DB752F">
              <w:rPr>
                <w:webHidden/>
              </w:rPr>
              <w:fldChar w:fldCharType="begin"/>
            </w:r>
            <w:r w:rsidR="00DB752F">
              <w:rPr>
                <w:webHidden/>
              </w:rPr>
              <w:instrText xml:space="preserve"> PAGEREF _Toc456686725 \h </w:instrText>
            </w:r>
            <w:r w:rsidR="00DB752F">
              <w:rPr>
                <w:webHidden/>
              </w:rPr>
            </w:r>
            <w:r w:rsidR="00DB752F">
              <w:rPr>
                <w:webHidden/>
              </w:rPr>
              <w:fldChar w:fldCharType="separate"/>
            </w:r>
            <w:r>
              <w:rPr>
                <w:webHidden/>
              </w:rPr>
              <w:t>3-191</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26" w:history="1">
            <w:r w:rsidR="00DB752F" w:rsidRPr="005C33B9">
              <w:rPr>
                <w:rStyle w:val="Hyperlink"/>
              </w:rPr>
              <w:t>C.2</w:t>
            </w:r>
            <w:r w:rsidR="00DB752F">
              <w:rPr>
                <w:rFonts w:asciiTheme="minorHAnsi" w:eastAsiaTheme="minorEastAsia" w:hAnsiTheme="minorHAnsi"/>
                <w:b w:val="0"/>
                <w:color w:val="auto"/>
                <w:sz w:val="22"/>
                <w:lang w:eastAsia="en-AU"/>
              </w:rPr>
              <w:tab/>
            </w:r>
            <w:r w:rsidR="00DB752F" w:rsidRPr="005C33B9">
              <w:rPr>
                <w:rStyle w:val="Hyperlink"/>
              </w:rPr>
              <w:t>Prevailing estimates: total returns</w:t>
            </w:r>
            <w:r w:rsidR="00DB752F">
              <w:rPr>
                <w:webHidden/>
              </w:rPr>
              <w:tab/>
            </w:r>
            <w:r w:rsidR="00DB752F">
              <w:rPr>
                <w:webHidden/>
              </w:rPr>
              <w:fldChar w:fldCharType="begin"/>
            </w:r>
            <w:r w:rsidR="00DB752F">
              <w:rPr>
                <w:webHidden/>
              </w:rPr>
              <w:instrText xml:space="preserve"> PAGEREF _Toc456686726 \h </w:instrText>
            </w:r>
            <w:r w:rsidR="00DB752F">
              <w:rPr>
                <w:webHidden/>
              </w:rPr>
            </w:r>
            <w:r w:rsidR="00DB752F">
              <w:rPr>
                <w:webHidden/>
              </w:rPr>
              <w:fldChar w:fldCharType="separate"/>
            </w:r>
            <w:r>
              <w:rPr>
                <w:webHidden/>
              </w:rPr>
              <w:t>3-192</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27" w:history="1">
            <w:r w:rsidR="00DB752F" w:rsidRPr="005C33B9">
              <w:rPr>
                <w:rStyle w:val="Hyperlink"/>
              </w:rPr>
              <w:t>C.3</w:t>
            </w:r>
            <w:r w:rsidR="00DB752F">
              <w:rPr>
                <w:rFonts w:asciiTheme="minorHAnsi" w:eastAsiaTheme="minorEastAsia" w:hAnsiTheme="minorHAnsi"/>
                <w:b w:val="0"/>
                <w:color w:val="auto"/>
                <w:sz w:val="22"/>
                <w:lang w:eastAsia="en-AU"/>
              </w:rPr>
              <w:tab/>
            </w:r>
            <w:r w:rsidR="00DB752F" w:rsidRPr="005C33B9">
              <w:rPr>
                <w:rStyle w:val="Hyperlink"/>
              </w:rPr>
              <w:t>Arithmetic and geometric averages</w:t>
            </w:r>
            <w:r w:rsidR="00DB752F">
              <w:rPr>
                <w:webHidden/>
              </w:rPr>
              <w:tab/>
            </w:r>
            <w:r w:rsidR="00DB752F">
              <w:rPr>
                <w:webHidden/>
              </w:rPr>
              <w:fldChar w:fldCharType="begin"/>
            </w:r>
            <w:r w:rsidR="00DB752F">
              <w:rPr>
                <w:webHidden/>
              </w:rPr>
              <w:instrText xml:space="preserve"> PAGEREF _Toc456686727 \h </w:instrText>
            </w:r>
            <w:r w:rsidR="00DB752F">
              <w:rPr>
                <w:webHidden/>
              </w:rPr>
            </w:r>
            <w:r w:rsidR="00DB752F">
              <w:rPr>
                <w:webHidden/>
              </w:rPr>
              <w:fldChar w:fldCharType="separate"/>
            </w:r>
            <w:r>
              <w:rPr>
                <w:webHidden/>
              </w:rPr>
              <w:t>3-193</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28" w:history="1">
            <w:r w:rsidR="00DB752F" w:rsidRPr="005C33B9">
              <w:rPr>
                <w:rStyle w:val="Hyperlink"/>
              </w:rPr>
              <w:t>C.4</w:t>
            </w:r>
            <w:r w:rsidR="00DB752F">
              <w:rPr>
                <w:rFonts w:asciiTheme="minorHAnsi" w:eastAsiaTheme="minorEastAsia" w:hAnsiTheme="minorHAnsi"/>
                <w:b w:val="0"/>
                <w:color w:val="auto"/>
                <w:sz w:val="22"/>
                <w:lang w:eastAsia="en-AU"/>
              </w:rPr>
              <w:tab/>
            </w:r>
            <w:r w:rsidR="00DB752F" w:rsidRPr="005C33B9">
              <w:rPr>
                <w:rStyle w:val="Hyperlink"/>
              </w:rPr>
              <w:t>ASX adjustment to historical data</w:t>
            </w:r>
            <w:r w:rsidR="00DB752F">
              <w:rPr>
                <w:webHidden/>
              </w:rPr>
              <w:tab/>
            </w:r>
            <w:r w:rsidR="00DB752F">
              <w:rPr>
                <w:webHidden/>
              </w:rPr>
              <w:fldChar w:fldCharType="begin"/>
            </w:r>
            <w:r w:rsidR="00DB752F">
              <w:rPr>
                <w:webHidden/>
              </w:rPr>
              <w:instrText xml:space="preserve"> PAGEREF _Toc456686728 \h </w:instrText>
            </w:r>
            <w:r w:rsidR="00DB752F">
              <w:rPr>
                <w:webHidden/>
              </w:rPr>
            </w:r>
            <w:r w:rsidR="00DB752F">
              <w:rPr>
                <w:webHidden/>
              </w:rPr>
              <w:fldChar w:fldCharType="separate"/>
            </w:r>
            <w:r>
              <w:rPr>
                <w:webHidden/>
              </w:rPr>
              <w:t>3-197</w:t>
            </w:r>
            <w:r w:rsidR="00DB752F">
              <w:rPr>
                <w:webHidden/>
              </w:rPr>
              <w:fldChar w:fldCharType="end"/>
            </w:r>
          </w:hyperlink>
        </w:p>
        <w:p w:rsidR="00DB752F" w:rsidRDefault="003F1AAB">
          <w:pPr>
            <w:pStyle w:val="TOC1"/>
            <w:rPr>
              <w:rFonts w:asciiTheme="minorHAnsi" w:eastAsiaTheme="minorEastAsia" w:hAnsiTheme="minorHAnsi"/>
              <w:b w:val="0"/>
              <w:color w:val="auto"/>
              <w:sz w:val="22"/>
              <w:lang w:val="en-AU" w:eastAsia="en-AU"/>
            </w:rPr>
          </w:pPr>
          <w:hyperlink w:anchor="_Toc456686729" w:history="1">
            <w:r w:rsidR="00DB752F" w:rsidRPr="005C33B9">
              <w:rPr>
                <w:rStyle w:val="Hyperlink"/>
              </w:rPr>
              <w:t>D</w:t>
            </w:r>
            <w:r w:rsidR="00DB752F">
              <w:rPr>
                <w:rFonts w:asciiTheme="minorHAnsi" w:eastAsiaTheme="minorEastAsia" w:hAnsiTheme="minorHAnsi"/>
                <w:b w:val="0"/>
                <w:color w:val="auto"/>
                <w:sz w:val="22"/>
                <w:lang w:val="en-AU" w:eastAsia="en-AU"/>
              </w:rPr>
              <w:tab/>
            </w:r>
            <w:r w:rsidR="00DB752F" w:rsidRPr="005C33B9">
              <w:rPr>
                <w:rStyle w:val="Hyperlink"/>
              </w:rPr>
              <w:t>AER's dividend growth model</w:t>
            </w:r>
            <w:r w:rsidR="00DB752F">
              <w:rPr>
                <w:webHidden/>
              </w:rPr>
              <w:tab/>
            </w:r>
            <w:r w:rsidR="00DB752F">
              <w:rPr>
                <w:webHidden/>
              </w:rPr>
              <w:fldChar w:fldCharType="begin"/>
            </w:r>
            <w:r w:rsidR="00DB752F">
              <w:rPr>
                <w:webHidden/>
              </w:rPr>
              <w:instrText xml:space="preserve"> PAGEREF _Toc456686729 \h </w:instrText>
            </w:r>
            <w:r w:rsidR="00DB752F">
              <w:rPr>
                <w:webHidden/>
              </w:rPr>
            </w:r>
            <w:r w:rsidR="00DB752F">
              <w:rPr>
                <w:webHidden/>
              </w:rPr>
              <w:fldChar w:fldCharType="separate"/>
            </w:r>
            <w:r>
              <w:rPr>
                <w:webHidden/>
              </w:rPr>
              <w:t>3-201</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30" w:history="1">
            <w:r w:rsidR="00DB752F" w:rsidRPr="005C33B9">
              <w:rPr>
                <w:rStyle w:val="Hyperlink"/>
              </w:rPr>
              <w:t>D.1</w:t>
            </w:r>
            <w:r w:rsidR="00DB752F">
              <w:rPr>
                <w:rFonts w:asciiTheme="minorHAnsi" w:eastAsiaTheme="minorEastAsia" w:hAnsiTheme="minorHAnsi"/>
                <w:b w:val="0"/>
                <w:color w:val="auto"/>
                <w:sz w:val="22"/>
                <w:lang w:eastAsia="en-AU"/>
              </w:rPr>
              <w:tab/>
            </w:r>
            <w:r w:rsidR="00DB752F" w:rsidRPr="005C33B9">
              <w:rPr>
                <w:rStyle w:val="Hyperlink"/>
              </w:rPr>
              <w:t>Prevailing estimates</w:t>
            </w:r>
            <w:r w:rsidR="00DB752F">
              <w:rPr>
                <w:webHidden/>
              </w:rPr>
              <w:tab/>
            </w:r>
            <w:r w:rsidR="00DB752F">
              <w:rPr>
                <w:webHidden/>
              </w:rPr>
              <w:fldChar w:fldCharType="begin"/>
            </w:r>
            <w:r w:rsidR="00DB752F">
              <w:rPr>
                <w:webHidden/>
              </w:rPr>
              <w:instrText xml:space="preserve"> PAGEREF _Toc456686730 \h </w:instrText>
            </w:r>
            <w:r w:rsidR="00DB752F">
              <w:rPr>
                <w:webHidden/>
              </w:rPr>
            </w:r>
            <w:r w:rsidR="00DB752F">
              <w:rPr>
                <w:webHidden/>
              </w:rPr>
              <w:fldChar w:fldCharType="separate"/>
            </w:r>
            <w:r>
              <w:rPr>
                <w:webHidden/>
              </w:rPr>
              <w:t>3-201</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31" w:history="1">
            <w:r w:rsidR="00DB752F" w:rsidRPr="005C33B9">
              <w:rPr>
                <w:rStyle w:val="Hyperlink"/>
              </w:rPr>
              <w:t>D.2</w:t>
            </w:r>
            <w:r w:rsidR="00DB752F">
              <w:rPr>
                <w:rFonts w:asciiTheme="minorHAnsi" w:eastAsiaTheme="minorEastAsia" w:hAnsiTheme="minorHAnsi"/>
                <w:b w:val="0"/>
                <w:color w:val="auto"/>
                <w:sz w:val="22"/>
                <w:lang w:eastAsia="en-AU"/>
              </w:rPr>
              <w:tab/>
            </w:r>
            <w:r w:rsidR="00DB752F" w:rsidRPr="005C33B9">
              <w:rPr>
                <w:rStyle w:val="Hyperlink"/>
              </w:rPr>
              <w:t>Sensitivity analysis</w:t>
            </w:r>
            <w:r w:rsidR="00DB752F">
              <w:rPr>
                <w:webHidden/>
              </w:rPr>
              <w:tab/>
            </w:r>
            <w:r w:rsidR="00DB752F">
              <w:rPr>
                <w:webHidden/>
              </w:rPr>
              <w:fldChar w:fldCharType="begin"/>
            </w:r>
            <w:r w:rsidR="00DB752F">
              <w:rPr>
                <w:webHidden/>
              </w:rPr>
              <w:instrText xml:space="preserve"> PAGEREF _Toc456686731 \h </w:instrText>
            </w:r>
            <w:r w:rsidR="00DB752F">
              <w:rPr>
                <w:webHidden/>
              </w:rPr>
            </w:r>
            <w:r w:rsidR="00DB752F">
              <w:rPr>
                <w:webHidden/>
              </w:rPr>
              <w:fldChar w:fldCharType="separate"/>
            </w:r>
            <w:r>
              <w:rPr>
                <w:webHidden/>
              </w:rPr>
              <w:t>3-201</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32" w:history="1">
            <w:r w:rsidR="00DB752F" w:rsidRPr="005C33B9">
              <w:rPr>
                <w:rStyle w:val="Hyperlink"/>
              </w:rPr>
              <w:t>D.3</w:t>
            </w:r>
            <w:r w:rsidR="00DB752F">
              <w:rPr>
                <w:rFonts w:asciiTheme="minorHAnsi" w:eastAsiaTheme="minorEastAsia" w:hAnsiTheme="minorHAnsi"/>
                <w:b w:val="0"/>
                <w:color w:val="auto"/>
                <w:sz w:val="22"/>
                <w:lang w:eastAsia="en-AU"/>
              </w:rPr>
              <w:tab/>
            </w:r>
            <w:r w:rsidR="00DB752F" w:rsidRPr="005C33B9">
              <w:rPr>
                <w:rStyle w:val="Hyperlink"/>
              </w:rPr>
              <w:t>Preferred construction of the dividend growth model</w:t>
            </w:r>
            <w:r w:rsidR="00DB752F">
              <w:rPr>
                <w:webHidden/>
              </w:rPr>
              <w:tab/>
            </w:r>
            <w:r w:rsidR="00DB752F">
              <w:rPr>
                <w:webHidden/>
              </w:rPr>
              <w:fldChar w:fldCharType="begin"/>
            </w:r>
            <w:r w:rsidR="00DB752F">
              <w:rPr>
                <w:webHidden/>
              </w:rPr>
              <w:instrText xml:space="preserve"> PAGEREF _Toc456686732 \h </w:instrText>
            </w:r>
            <w:r w:rsidR="00DB752F">
              <w:rPr>
                <w:webHidden/>
              </w:rPr>
            </w:r>
            <w:r w:rsidR="00DB752F">
              <w:rPr>
                <w:webHidden/>
              </w:rPr>
              <w:fldChar w:fldCharType="separate"/>
            </w:r>
            <w:r>
              <w:rPr>
                <w:webHidden/>
              </w:rPr>
              <w:t>3-203</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33" w:history="1">
            <w:r w:rsidR="00DB752F" w:rsidRPr="005C33B9">
              <w:rPr>
                <w:rStyle w:val="Hyperlink"/>
              </w:rPr>
              <w:t>D.4</w:t>
            </w:r>
            <w:r w:rsidR="00DB752F">
              <w:rPr>
                <w:rFonts w:asciiTheme="minorHAnsi" w:eastAsiaTheme="minorEastAsia" w:hAnsiTheme="minorHAnsi"/>
                <w:b w:val="0"/>
                <w:color w:val="auto"/>
                <w:sz w:val="22"/>
                <w:lang w:eastAsia="en-AU"/>
              </w:rPr>
              <w:tab/>
            </w:r>
            <w:r w:rsidR="00DB752F" w:rsidRPr="005C33B9">
              <w:rPr>
                <w:rStyle w:val="Hyperlink"/>
              </w:rPr>
              <w:t>Sources of potential upward bias</w:t>
            </w:r>
            <w:r w:rsidR="00DB752F">
              <w:rPr>
                <w:webHidden/>
              </w:rPr>
              <w:tab/>
            </w:r>
            <w:r w:rsidR="00DB752F">
              <w:rPr>
                <w:webHidden/>
              </w:rPr>
              <w:fldChar w:fldCharType="begin"/>
            </w:r>
            <w:r w:rsidR="00DB752F">
              <w:rPr>
                <w:webHidden/>
              </w:rPr>
              <w:instrText xml:space="preserve"> PAGEREF _Toc456686733 \h </w:instrText>
            </w:r>
            <w:r w:rsidR="00DB752F">
              <w:rPr>
                <w:webHidden/>
              </w:rPr>
            </w:r>
            <w:r w:rsidR="00DB752F">
              <w:rPr>
                <w:webHidden/>
              </w:rPr>
              <w:fldChar w:fldCharType="separate"/>
            </w:r>
            <w:r>
              <w:rPr>
                <w:webHidden/>
              </w:rPr>
              <w:t>3-205</w:t>
            </w:r>
            <w:r w:rsidR="00DB752F">
              <w:rPr>
                <w:webHidden/>
              </w:rPr>
              <w:fldChar w:fldCharType="end"/>
            </w:r>
          </w:hyperlink>
        </w:p>
        <w:p w:rsidR="00DB752F" w:rsidRDefault="003F1AAB">
          <w:pPr>
            <w:pStyle w:val="TOC1"/>
            <w:rPr>
              <w:rFonts w:asciiTheme="minorHAnsi" w:eastAsiaTheme="minorEastAsia" w:hAnsiTheme="minorHAnsi"/>
              <w:b w:val="0"/>
              <w:color w:val="auto"/>
              <w:sz w:val="22"/>
              <w:lang w:val="en-AU" w:eastAsia="en-AU"/>
            </w:rPr>
          </w:pPr>
          <w:hyperlink w:anchor="_Toc456686734" w:history="1">
            <w:r w:rsidR="00DB752F" w:rsidRPr="005C33B9">
              <w:rPr>
                <w:rStyle w:val="Hyperlink"/>
              </w:rPr>
              <w:t>E</w:t>
            </w:r>
            <w:r w:rsidR="00DB752F">
              <w:rPr>
                <w:rFonts w:asciiTheme="minorHAnsi" w:eastAsiaTheme="minorEastAsia" w:hAnsiTheme="minorHAnsi"/>
                <w:b w:val="0"/>
                <w:color w:val="auto"/>
                <w:sz w:val="22"/>
                <w:lang w:val="en-AU" w:eastAsia="en-AU"/>
              </w:rPr>
              <w:tab/>
            </w:r>
            <w:r w:rsidR="00DB752F" w:rsidRPr="005C33B9">
              <w:rPr>
                <w:rStyle w:val="Hyperlink"/>
              </w:rPr>
              <w:t>Return on equity conditioning variables</w:t>
            </w:r>
            <w:r w:rsidR="00DB752F">
              <w:rPr>
                <w:webHidden/>
              </w:rPr>
              <w:tab/>
            </w:r>
            <w:r w:rsidR="00DB752F">
              <w:rPr>
                <w:webHidden/>
              </w:rPr>
              <w:fldChar w:fldCharType="begin"/>
            </w:r>
            <w:r w:rsidR="00DB752F">
              <w:rPr>
                <w:webHidden/>
              </w:rPr>
              <w:instrText xml:space="preserve"> PAGEREF _Toc456686734 \h </w:instrText>
            </w:r>
            <w:r w:rsidR="00DB752F">
              <w:rPr>
                <w:webHidden/>
              </w:rPr>
            </w:r>
            <w:r w:rsidR="00DB752F">
              <w:rPr>
                <w:webHidden/>
              </w:rPr>
              <w:fldChar w:fldCharType="separate"/>
            </w:r>
            <w:r>
              <w:rPr>
                <w:webHidden/>
              </w:rPr>
              <w:t>3-208</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35" w:history="1">
            <w:r w:rsidR="00DB752F" w:rsidRPr="005C33B9">
              <w:rPr>
                <w:rStyle w:val="Hyperlink"/>
              </w:rPr>
              <w:t>E.1</w:t>
            </w:r>
            <w:r w:rsidR="00DB752F">
              <w:rPr>
                <w:rFonts w:asciiTheme="minorHAnsi" w:eastAsiaTheme="minorEastAsia" w:hAnsiTheme="minorHAnsi"/>
                <w:b w:val="0"/>
                <w:color w:val="auto"/>
                <w:sz w:val="22"/>
                <w:lang w:eastAsia="en-AU"/>
              </w:rPr>
              <w:tab/>
            </w:r>
            <w:r w:rsidR="00DB752F" w:rsidRPr="005C33B9">
              <w:rPr>
                <w:rStyle w:val="Hyperlink"/>
              </w:rPr>
              <w:t>Implied volatility</w:t>
            </w:r>
            <w:r w:rsidR="00DB752F">
              <w:rPr>
                <w:webHidden/>
              </w:rPr>
              <w:tab/>
            </w:r>
            <w:r w:rsidR="00DB752F">
              <w:rPr>
                <w:webHidden/>
              </w:rPr>
              <w:fldChar w:fldCharType="begin"/>
            </w:r>
            <w:r w:rsidR="00DB752F">
              <w:rPr>
                <w:webHidden/>
              </w:rPr>
              <w:instrText xml:space="preserve"> PAGEREF _Toc456686735 \h </w:instrText>
            </w:r>
            <w:r w:rsidR="00DB752F">
              <w:rPr>
                <w:webHidden/>
              </w:rPr>
            </w:r>
            <w:r w:rsidR="00DB752F">
              <w:rPr>
                <w:webHidden/>
              </w:rPr>
              <w:fldChar w:fldCharType="separate"/>
            </w:r>
            <w:r>
              <w:rPr>
                <w:webHidden/>
              </w:rPr>
              <w:t>3-209</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36" w:history="1">
            <w:r w:rsidR="00DB752F" w:rsidRPr="005C33B9">
              <w:rPr>
                <w:rStyle w:val="Hyperlink"/>
              </w:rPr>
              <w:t>E.2</w:t>
            </w:r>
            <w:r w:rsidR="00DB752F">
              <w:rPr>
                <w:rFonts w:asciiTheme="minorHAnsi" w:eastAsiaTheme="minorEastAsia" w:hAnsiTheme="minorHAnsi"/>
                <w:b w:val="0"/>
                <w:color w:val="auto"/>
                <w:sz w:val="22"/>
                <w:lang w:eastAsia="en-AU"/>
              </w:rPr>
              <w:tab/>
            </w:r>
            <w:r w:rsidR="00DB752F" w:rsidRPr="005C33B9">
              <w:rPr>
                <w:rStyle w:val="Hyperlink"/>
              </w:rPr>
              <w:t>Dividend yields</w:t>
            </w:r>
            <w:r w:rsidR="00DB752F">
              <w:rPr>
                <w:webHidden/>
              </w:rPr>
              <w:tab/>
            </w:r>
            <w:r w:rsidR="00DB752F">
              <w:rPr>
                <w:webHidden/>
              </w:rPr>
              <w:fldChar w:fldCharType="begin"/>
            </w:r>
            <w:r w:rsidR="00DB752F">
              <w:rPr>
                <w:webHidden/>
              </w:rPr>
              <w:instrText xml:space="preserve"> PAGEREF _Toc456686736 \h </w:instrText>
            </w:r>
            <w:r w:rsidR="00DB752F">
              <w:rPr>
                <w:webHidden/>
              </w:rPr>
            </w:r>
            <w:r w:rsidR="00DB752F">
              <w:rPr>
                <w:webHidden/>
              </w:rPr>
              <w:fldChar w:fldCharType="separate"/>
            </w:r>
            <w:r>
              <w:rPr>
                <w:webHidden/>
              </w:rPr>
              <w:t>3-210</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37" w:history="1">
            <w:r w:rsidR="00DB752F" w:rsidRPr="005C33B9">
              <w:rPr>
                <w:rStyle w:val="Hyperlink"/>
              </w:rPr>
              <w:t>E.3</w:t>
            </w:r>
            <w:r w:rsidR="00DB752F">
              <w:rPr>
                <w:rFonts w:asciiTheme="minorHAnsi" w:eastAsiaTheme="minorEastAsia" w:hAnsiTheme="minorHAnsi"/>
                <w:b w:val="0"/>
                <w:color w:val="auto"/>
                <w:sz w:val="22"/>
                <w:lang w:eastAsia="en-AU"/>
              </w:rPr>
              <w:tab/>
            </w:r>
            <w:r w:rsidR="00DB752F" w:rsidRPr="005C33B9">
              <w:rPr>
                <w:rStyle w:val="Hyperlink"/>
              </w:rPr>
              <w:t>Yield spreads</w:t>
            </w:r>
            <w:r w:rsidR="00DB752F">
              <w:rPr>
                <w:webHidden/>
              </w:rPr>
              <w:tab/>
            </w:r>
            <w:r w:rsidR="00DB752F">
              <w:rPr>
                <w:webHidden/>
              </w:rPr>
              <w:fldChar w:fldCharType="begin"/>
            </w:r>
            <w:r w:rsidR="00DB752F">
              <w:rPr>
                <w:webHidden/>
              </w:rPr>
              <w:instrText xml:space="preserve"> PAGEREF _Toc456686737 \h </w:instrText>
            </w:r>
            <w:r w:rsidR="00DB752F">
              <w:rPr>
                <w:webHidden/>
              </w:rPr>
            </w:r>
            <w:r w:rsidR="00DB752F">
              <w:rPr>
                <w:webHidden/>
              </w:rPr>
              <w:fldChar w:fldCharType="separate"/>
            </w:r>
            <w:r>
              <w:rPr>
                <w:webHidden/>
              </w:rPr>
              <w:t>3-211</w:t>
            </w:r>
            <w:r w:rsidR="00DB752F">
              <w:rPr>
                <w:webHidden/>
              </w:rPr>
              <w:fldChar w:fldCharType="end"/>
            </w:r>
          </w:hyperlink>
        </w:p>
        <w:p w:rsidR="00DB752F" w:rsidRDefault="003F1AAB">
          <w:pPr>
            <w:pStyle w:val="TOC1"/>
            <w:rPr>
              <w:rFonts w:asciiTheme="minorHAnsi" w:eastAsiaTheme="minorEastAsia" w:hAnsiTheme="minorHAnsi"/>
              <w:b w:val="0"/>
              <w:color w:val="auto"/>
              <w:sz w:val="22"/>
              <w:lang w:val="en-AU" w:eastAsia="en-AU"/>
            </w:rPr>
          </w:pPr>
          <w:hyperlink w:anchor="_Toc456686738" w:history="1">
            <w:r w:rsidR="00DB752F" w:rsidRPr="005C33B9">
              <w:rPr>
                <w:rStyle w:val="Hyperlink"/>
              </w:rPr>
              <w:t>F</w:t>
            </w:r>
            <w:r w:rsidR="00DB752F">
              <w:rPr>
                <w:rFonts w:asciiTheme="minorHAnsi" w:eastAsiaTheme="minorEastAsia" w:hAnsiTheme="minorHAnsi"/>
                <w:b w:val="0"/>
                <w:color w:val="auto"/>
                <w:sz w:val="22"/>
                <w:lang w:val="en-AU" w:eastAsia="en-AU"/>
              </w:rPr>
              <w:tab/>
            </w:r>
            <w:r w:rsidR="00DB752F" w:rsidRPr="005C33B9">
              <w:rPr>
                <w:rStyle w:val="Hyperlink"/>
              </w:rPr>
              <w:t>Other practitioner's return on equity estimates</w:t>
            </w:r>
            <w:r w:rsidR="00DB752F">
              <w:rPr>
                <w:webHidden/>
              </w:rPr>
              <w:tab/>
            </w:r>
            <w:r w:rsidR="00DB752F">
              <w:rPr>
                <w:webHidden/>
              </w:rPr>
              <w:fldChar w:fldCharType="begin"/>
            </w:r>
            <w:r w:rsidR="00DB752F">
              <w:rPr>
                <w:webHidden/>
              </w:rPr>
              <w:instrText xml:space="preserve"> PAGEREF _Toc456686738 \h </w:instrText>
            </w:r>
            <w:r w:rsidR="00DB752F">
              <w:rPr>
                <w:webHidden/>
              </w:rPr>
            </w:r>
            <w:r w:rsidR="00DB752F">
              <w:rPr>
                <w:webHidden/>
              </w:rPr>
              <w:fldChar w:fldCharType="separate"/>
            </w:r>
            <w:r>
              <w:rPr>
                <w:webHidden/>
              </w:rPr>
              <w:t>3-217</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39" w:history="1">
            <w:r w:rsidR="00DB752F" w:rsidRPr="005C33B9">
              <w:rPr>
                <w:rStyle w:val="Hyperlink"/>
              </w:rPr>
              <w:t>F.1</w:t>
            </w:r>
            <w:r w:rsidR="00DB752F">
              <w:rPr>
                <w:rFonts w:asciiTheme="minorHAnsi" w:eastAsiaTheme="minorEastAsia" w:hAnsiTheme="minorHAnsi"/>
                <w:b w:val="0"/>
                <w:color w:val="auto"/>
                <w:sz w:val="22"/>
                <w:lang w:eastAsia="en-AU"/>
              </w:rPr>
              <w:tab/>
            </w:r>
            <w:r w:rsidR="00DB752F" w:rsidRPr="005C33B9">
              <w:rPr>
                <w:rStyle w:val="Hyperlink"/>
              </w:rPr>
              <w:t>Prevailing estimates: surveys</w:t>
            </w:r>
            <w:r w:rsidR="00DB752F">
              <w:rPr>
                <w:webHidden/>
              </w:rPr>
              <w:tab/>
            </w:r>
            <w:r w:rsidR="00DB752F">
              <w:rPr>
                <w:webHidden/>
              </w:rPr>
              <w:fldChar w:fldCharType="begin"/>
            </w:r>
            <w:r w:rsidR="00DB752F">
              <w:rPr>
                <w:webHidden/>
              </w:rPr>
              <w:instrText xml:space="preserve"> PAGEREF _Toc456686739 \h </w:instrText>
            </w:r>
            <w:r w:rsidR="00DB752F">
              <w:rPr>
                <w:webHidden/>
              </w:rPr>
            </w:r>
            <w:r w:rsidR="00DB752F">
              <w:rPr>
                <w:webHidden/>
              </w:rPr>
              <w:fldChar w:fldCharType="separate"/>
            </w:r>
            <w:r>
              <w:rPr>
                <w:webHidden/>
              </w:rPr>
              <w:t>3-218</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40" w:history="1">
            <w:r w:rsidR="00DB752F" w:rsidRPr="005C33B9">
              <w:rPr>
                <w:rStyle w:val="Hyperlink"/>
              </w:rPr>
              <w:t>F.2</w:t>
            </w:r>
            <w:r w:rsidR="00DB752F">
              <w:rPr>
                <w:rFonts w:asciiTheme="minorHAnsi" w:eastAsiaTheme="minorEastAsia" w:hAnsiTheme="minorHAnsi"/>
                <w:b w:val="0"/>
                <w:color w:val="auto"/>
                <w:sz w:val="22"/>
                <w:lang w:eastAsia="en-AU"/>
              </w:rPr>
              <w:tab/>
            </w:r>
            <w:r w:rsidR="00DB752F" w:rsidRPr="005C33B9">
              <w:rPr>
                <w:rStyle w:val="Hyperlink"/>
              </w:rPr>
              <w:t>Prevailing estimates: broker reports</w:t>
            </w:r>
            <w:r w:rsidR="00DB752F">
              <w:rPr>
                <w:webHidden/>
              </w:rPr>
              <w:tab/>
            </w:r>
            <w:r w:rsidR="00DB752F">
              <w:rPr>
                <w:webHidden/>
              </w:rPr>
              <w:fldChar w:fldCharType="begin"/>
            </w:r>
            <w:r w:rsidR="00DB752F">
              <w:rPr>
                <w:webHidden/>
              </w:rPr>
              <w:instrText xml:space="preserve"> PAGEREF _Toc456686740 \h </w:instrText>
            </w:r>
            <w:r w:rsidR="00DB752F">
              <w:rPr>
                <w:webHidden/>
              </w:rPr>
            </w:r>
            <w:r w:rsidR="00DB752F">
              <w:rPr>
                <w:webHidden/>
              </w:rPr>
              <w:fldChar w:fldCharType="separate"/>
            </w:r>
            <w:r>
              <w:rPr>
                <w:webHidden/>
              </w:rPr>
              <w:t>3-220</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41" w:history="1">
            <w:r w:rsidR="00DB752F" w:rsidRPr="005C33B9">
              <w:rPr>
                <w:rStyle w:val="Hyperlink"/>
              </w:rPr>
              <w:t>F.3</w:t>
            </w:r>
            <w:r w:rsidR="00DB752F">
              <w:rPr>
                <w:rFonts w:asciiTheme="minorHAnsi" w:eastAsiaTheme="minorEastAsia" w:hAnsiTheme="minorHAnsi"/>
                <w:b w:val="0"/>
                <w:color w:val="auto"/>
                <w:sz w:val="22"/>
                <w:lang w:eastAsia="en-AU"/>
              </w:rPr>
              <w:tab/>
            </w:r>
            <w:r w:rsidR="00DB752F" w:rsidRPr="005C33B9">
              <w:rPr>
                <w:rStyle w:val="Hyperlink"/>
              </w:rPr>
              <w:t>Prevailing estimates: valuation reports</w:t>
            </w:r>
            <w:r w:rsidR="00DB752F">
              <w:rPr>
                <w:webHidden/>
              </w:rPr>
              <w:tab/>
            </w:r>
            <w:r w:rsidR="00DB752F">
              <w:rPr>
                <w:webHidden/>
              </w:rPr>
              <w:fldChar w:fldCharType="begin"/>
            </w:r>
            <w:r w:rsidR="00DB752F">
              <w:rPr>
                <w:webHidden/>
              </w:rPr>
              <w:instrText xml:space="preserve"> PAGEREF _Toc456686741 \h </w:instrText>
            </w:r>
            <w:r w:rsidR="00DB752F">
              <w:rPr>
                <w:webHidden/>
              </w:rPr>
            </w:r>
            <w:r w:rsidR="00DB752F">
              <w:rPr>
                <w:webHidden/>
              </w:rPr>
              <w:fldChar w:fldCharType="separate"/>
            </w:r>
            <w:r>
              <w:rPr>
                <w:webHidden/>
              </w:rPr>
              <w:t>3-221</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42" w:history="1">
            <w:r w:rsidR="00DB752F" w:rsidRPr="005C33B9">
              <w:rPr>
                <w:rStyle w:val="Hyperlink"/>
              </w:rPr>
              <w:t>F.4</w:t>
            </w:r>
            <w:r w:rsidR="00DB752F">
              <w:rPr>
                <w:rFonts w:asciiTheme="minorHAnsi" w:eastAsiaTheme="minorEastAsia" w:hAnsiTheme="minorHAnsi"/>
                <w:b w:val="0"/>
                <w:color w:val="auto"/>
                <w:sz w:val="22"/>
                <w:lang w:eastAsia="en-AU"/>
              </w:rPr>
              <w:tab/>
            </w:r>
            <w:r w:rsidR="00DB752F" w:rsidRPr="005C33B9">
              <w:rPr>
                <w:rStyle w:val="Hyperlink"/>
              </w:rPr>
              <w:t>Prevailing estimates: other regulators</w:t>
            </w:r>
            <w:r w:rsidR="00DB752F">
              <w:rPr>
                <w:webHidden/>
              </w:rPr>
              <w:tab/>
            </w:r>
            <w:r w:rsidR="00DB752F">
              <w:rPr>
                <w:webHidden/>
              </w:rPr>
              <w:fldChar w:fldCharType="begin"/>
            </w:r>
            <w:r w:rsidR="00DB752F">
              <w:rPr>
                <w:webHidden/>
              </w:rPr>
              <w:instrText xml:space="preserve"> PAGEREF _Toc456686742 \h </w:instrText>
            </w:r>
            <w:r w:rsidR="00DB752F">
              <w:rPr>
                <w:webHidden/>
              </w:rPr>
            </w:r>
            <w:r w:rsidR="00DB752F">
              <w:rPr>
                <w:webHidden/>
              </w:rPr>
              <w:fldChar w:fldCharType="separate"/>
            </w:r>
            <w:r>
              <w:rPr>
                <w:webHidden/>
              </w:rPr>
              <w:t>3-224</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43" w:history="1">
            <w:r w:rsidR="00DB752F" w:rsidRPr="005C33B9">
              <w:rPr>
                <w:rStyle w:val="Hyperlink"/>
              </w:rPr>
              <w:t>F.5</w:t>
            </w:r>
            <w:r w:rsidR="00DB752F">
              <w:rPr>
                <w:rFonts w:asciiTheme="minorHAnsi" w:eastAsiaTheme="minorEastAsia" w:hAnsiTheme="minorHAnsi"/>
                <w:b w:val="0"/>
                <w:color w:val="auto"/>
                <w:sz w:val="22"/>
                <w:lang w:eastAsia="en-AU"/>
              </w:rPr>
              <w:tab/>
            </w:r>
            <w:r w:rsidR="00DB752F" w:rsidRPr="005C33B9">
              <w:rPr>
                <w:rStyle w:val="Hyperlink"/>
              </w:rPr>
              <w:t>Relationship between risk free rate and market risk premium in valuation reports</w:t>
            </w:r>
            <w:r w:rsidR="00DB752F">
              <w:rPr>
                <w:webHidden/>
              </w:rPr>
              <w:tab/>
            </w:r>
            <w:r w:rsidR="00DB752F">
              <w:rPr>
                <w:webHidden/>
              </w:rPr>
              <w:fldChar w:fldCharType="begin"/>
            </w:r>
            <w:r w:rsidR="00DB752F">
              <w:rPr>
                <w:webHidden/>
              </w:rPr>
              <w:instrText xml:space="preserve"> PAGEREF _Toc456686743 \h </w:instrText>
            </w:r>
            <w:r w:rsidR="00DB752F">
              <w:rPr>
                <w:webHidden/>
              </w:rPr>
            </w:r>
            <w:r w:rsidR="00DB752F">
              <w:rPr>
                <w:webHidden/>
              </w:rPr>
              <w:fldChar w:fldCharType="separate"/>
            </w:r>
            <w:r>
              <w:rPr>
                <w:webHidden/>
              </w:rPr>
              <w:t>3-226</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44" w:history="1">
            <w:r w:rsidR="00DB752F" w:rsidRPr="005C33B9">
              <w:rPr>
                <w:rStyle w:val="Hyperlink"/>
              </w:rPr>
              <w:t>F.5.1</w:t>
            </w:r>
            <w:r w:rsidR="00DB752F">
              <w:rPr>
                <w:rFonts w:asciiTheme="minorHAnsi" w:eastAsiaTheme="minorEastAsia" w:hAnsiTheme="minorHAnsi"/>
                <w:lang w:eastAsia="en-AU"/>
              </w:rPr>
              <w:tab/>
            </w:r>
            <w:r w:rsidR="00DB752F" w:rsidRPr="005C33B9">
              <w:rPr>
                <w:rStyle w:val="Hyperlink"/>
              </w:rPr>
              <w:t>Our assessment of Incenta's submission</w:t>
            </w:r>
            <w:r w:rsidR="00DB752F">
              <w:rPr>
                <w:webHidden/>
              </w:rPr>
              <w:tab/>
            </w:r>
            <w:r w:rsidR="00DB752F">
              <w:rPr>
                <w:webHidden/>
              </w:rPr>
              <w:fldChar w:fldCharType="begin"/>
            </w:r>
            <w:r w:rsidR="00DB752F">
              <w:rPr>
                <w:webHidden/>
              </w:rPr>
              <w:instrText xml:space="preserve"> PAGEREF _Toc456686744 \h </w:instrText>
            </w:r>
            <w:r w:rsidR="00DB752F">
              <w:rPr>
                <w:webHidden/>
              </w:rPr>
            </w:r>
            <w:r w:rsidR="00DB752F">
              <w:rPr>
                <w:webHidden/>
              </w:rPr>
              <w:fldChar w:fldCharType="separate"/>
            </w:r>
            <w:r>
              <w:rPr>
                <w:webHidden/>
              </w:rPr>
              <w:t>3-227</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45" w:history="1">
            <w:r w:rsidR="00DB752F" w:rsidRPr="005C33B9">
              <w:rPr>
                <w:rStyle w:val="Hyperlink"/>
              </w:rPr>
              <w:t>F.5.2</w:t>
            </w:r>
            <w:r w:rsidR="00DB752F">
              <w:rPr>
                <w:rFonts w:asciiTheme="minorHAnsi" w:eastAsiaTheme="minorEastAsia" w:hAnsiTheme="minorHAnsi"/>
                <w:lang w:eastAsia="en-AU"/>
              </w:rPr>
              <w:tab/>
            </w:r>
            <w:r w:rsidR="00DB752F" w:rsidRPr="005C33B9">
              <w:rPr>
                <w:rStyle w:val="Hyperlink"/>
              </w:rPr>
              <w:t>Regression analyses by NERA and HoustonKemp</w:t>
            </w:r>
            <w:r w:rsidR="00DB752F">
              <w:rPr>
                <w:webHidden/>
              </w:rPr>
              <w:tab/>
            </w:r>
            <w:r w:rsidR="00DB752F">
              <w:rPr>
                <w:webHidden/>
              </w:rPr>
              <w:fldChar w:fldCharType="begin"/>
            </w:r>
            <w:r w:rsidR="00DB752F">
              <w:rPr>
                <w:webHidden/>
              </w:rPr>
              <w:instrText xml:space="preserve"> PAGEREF _Toc456686745 \h </w:instrText>
            </w:r>
            <w:r w:rsidR="00DB752F">
              <w:rPr>
                <w:webHidden/>
              </w:rPr>
            </w:r>
            <w:r w:rsidR="00DB752F">
              <w:rPr>
                <w:webHidden/>
              </w:rPr>
              <w:fldChar w:fldCharType="separate"/>
            </w:r>
            <w:r>
              <w:rPr>
                <w:webHidden/>
              </w:rPr>
              <w:t>3-230</w:t>
            </w:r>
            <w:r w:rsidR="00DB752F">
              <w:rPr>
                <w:webHidden/>
              </w:rPr>
              <w:fldChar w:fldCharType="end"/>
            </w:r>
          </w:hyperlink>
        </w:p>
        <w:p w:rsidR="00DB752F" w:rsidRDefault="003F1AAB">
          <w:pPr>
            <w:pStyle w:val="TOC1"/>
            <w:rPr>
              <w:rFonts w:asciiTheme="minorHAnsi" w:eastAsiaTheme="minorEastAsia" w:hAnsiTheme="minorHAnsi"/>
              <w:b w:val="0"/>
              <w:color w:val="auto"/>
              <w:sz w:val="22"/>
              <w:lang w:val="en-AU" w:eastAsia="en-AU"/>
            </w:rPr>
          </w:pPr>
          <w:hyperlink w:anchor="_Toc456686746" w:history="1">
            <w:r w:rsidR="00DB752F" w:rsidRPr="005C33B9">
              <w:rPr>
                <w:rStyle w:val="Hyperlink"/>
              </w:rPr>
              <w:t>G</w:t>
            </w:r>
            <w:r w:rsidR="00DB752F">
              <w:rPr>
                <w:rFonts w:asciiTheme="minorHAnsi" w:eastAsiaTheme="minorEastAsia" w:hAnsiTheme="minorHAnsi"/>
                <w:b w:val="0"/>
                <w:color w:val="auto"/>
                <w:sz w:val="22"/>
                <w:lang w:val="en-AU" w:eastAsia="en-AU"/>
              </w:rPr>
              <w:tab/>
            </w:r>
            <w:r w:rsidR="00DB752F" w:rsidRPr="005C33B9">
              <w:rPr>
                <w:rStyle w:val="Hyperlink"/>
              </w:rPr>
              <w:t>Empirical estimates of equity beta</w:t>
            </w:r>
            <w:r w:rsidR="00DB752F">
              <w:rPr>
                <w:webHidden/>
              </w:rPr>
              <w:tab/>
            </w:r>
            <w:r w:rsidR="00DB752F">
              <w:rPr>
                <w:webHidden/>
              </w:rPr>
              <w:fldChar w:fldCharType="begin"/>
            </w:r>
            <w:r w:rsidR="00DB752F">
              <w:rPr>
                <w:webHidden/>
              </w:rPr>
              <w:instrText xml:space="preserve"> PAGEREF _Toc456686746 \h </w:instrText>
            </w:r>
            <w:r w:rsidR="00DB752F">
              <w:rPr>
                <w:webHidden/>
              </w:rPr>
            </w:r>
            <w:r w:rsidR="00DB752F">
              <w:rPr>
                <w:webHidden/>
              </w:rPr>
              <w:fldChar w:fldCharType="separate"/>
            </w:r>
            <w:r>
              <w:rPr>
                <w:webHidden/>
              </w:rPr>
              <w:t>3-233</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47" w:history="1">
            <w:r w:rsidR="00DB752F" w:rsidRPr="005C33B9">
              <w:rPr>
                <w:rStyle w:val="Hyperlink"/>
              </w:rPr>
              <w:t>G.1</w:t>
            </w:r>
            <w:r w:rsidR="00DB752F">
              <w:rPr>
                <w:rFonts w:asciiTheme="minorHAnsi" w:eastAsiaTheme="minorEastAsia" w:hAnsiTheme="minorHAnsi"/>
                <w:b w:val="0"/>
                <w:color w:val="auto"/>
                <w:sz w:val="22"/>
                <w:lang w:eastAsia="en-AU"/>
              </w:rPr>
              <w:tab/>
            </w:r>
            <w:r w:rsidR="00DB752F" w:rsidRPr="005C33B9">
              <w:rPr>
                <w:rStyle w:val="Hyperlink"/>
              </w:rPr>
              <w:t>Australian empirical estimates from Henry's 2014 report</w:t>
            </w:r>
            <w:r w:rsidR="00DB752F">
              <w:rPr>
                <w:webHidden/>
              </w:rPr>
              <w:tab/>
            </w:r>
            <w:r w:rsidR="00DB752F">
              <w:rPr>
                <w:webHidden/>
              </w:rPr>
              <w:fldChar w:fldCharType="begin"/>
            </w:r>
            <w:r w:rsidR="00DB752F">
              <w:rPr>
                <w:webHidden/>
              </w:rPr>
              <w:instrText xml:space="preserve"> PAGEREF _Toc456686747 \h </w:instrText>
            </w:r>
            <w:r w:rsidR="00DB752F">
              <w:rPr>
                <w:webHidden/>
              </w:rPr>
            </w:r>
            <w:r w:rsidR="00DB752F">
              <w:rPr>
                <w:webHidden/>
              </w:rPr>
              <w:fldChar w:fldCharType="separate"/>
            </w:r>
            <w:r>
              <w:rPr>
                <w:webHidden/>
              </w:rPr>
              <w:t>3-233</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48" w:history="1">
            <w:r w:rsidR="00DB752F" w:rsidRPr="005C33B9">
              <w:rPr>
                <w:rStyle w:val="Hyperlink"/>
              </w:rPr>
              <w:t>G.2</w:t>
            </w:r>
            <w:r w:rsidR="00DB752F">
              <w:rPr>
                <w:rFonts w:asciiTheme="minorHAnsi" w:eastAsiaTheme="minorEastAsia" w:hAnsiTheme="minorHAnsi"/>
                <w:b w:val="0"/>
                <w:color w:val="auto"/>
                <w:sz w:val="22"/>
                <w:lang w:eastAsia="en-AU"/>
              </w:rPr>
              <w:tab/>
            </w:r>
            <w:r w:rsidR="00DB752F" w:rsidRPr="005C33B9">
              <w:rPr>
                <w:rStyle w:val="Hyperlink"/>
              </w:rPr>
              <w:t>Australian empirical estimates from other studies</w:t>
            </w:r>
            <w:r w:rsidR="00DB752F">
              <w:rPr>
                <w:webHidden/>
              </w:rPr>
              <w:tab/>
            </w:r>
            <w:r w:rsidR="00DB752F">
              <w:rPr>
                <w:webHidden/>
              </w:rPr>
              <w:fldChar w:fldCharType="begin"/>
            </w:r>
            <w:r w:rsidR="00DB752F">
              <w:rPr>
                <w:webHidden/>
              </w:rPr>
              <w:instrText xml:space="preserve"> PAGEREF _Toc456686748 \h </w:instrText>
            </w:r>
            <w:r w:rsidR="00DB752F">
              <w:rPr>
                <w:webHidden/>
              </w:rPr>
            </w:r>
            <w:r w:rsidR="00DB752F">
              <w:rPr>
                <w:webHidden/>
              </w:rPr>
              <w:fldChar w:fldCharType="separate"/>
            </w:r>
            <w:r>
              <w:rPr>
                <w:webHidden/>
              </w:rPr>
              <w:t>3-237</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49" w:history="1">
            <w:r w:rsidR="00DB752F" w:rsidRPr="005C33B9">
              <w:rPr>
                <w:rStyle w:val="Hyperlink"/>
              </w:rPr>
              <w:t>G.3</w:t>
            </w:r>
            <w:r w:rsidR="00DB752F">
              <w:rPr>
                <w:rFonts w:asciiTheme="minorHAnsi" w:eastAsiaTheme="minorEastAsia" w:hAnsiTheme="minorHAnsi"/>
                <w:b w:val="0"/>
                <w:color w:val="auto"/>
                <w:sz w:val="22"/>
                <w:lang w:eastAsia="en-AU"/>
              </w:rPr>
              <w:tab/>
            </w:r>
            <w:r w:rsidR="00DB752F" w:rsidRPr="005C33B9">
              <w:rPr>
                <w:rStyle w:val="Hyperlink"/>
              </w:rPr>
              <w:t>International empirical estimates</w:t>
            </w:r>
            <w:r w:rsidR="00DB752F">
              <w:rPr>
                <w:webHidden/>
              </w:rPr>
              <w:tab/>
            </w:r>
            <w:r w:rsidR="00DB752F">
              <w:rPr>
                <w:webHidden/>
              </w:rPr>
              <w:fldChar w:fldCharType="begin"/>
            </w:r>
            <w:r w:rsidR="00DB752F">
              <w:rPr>
                <w:webHidden/>
              </w:rPr>
              <w:instrText xml:space="preserve"> PAGEREF _Toc456686749 \h </w:instrText>
            </w:r>
            <w:r w:rsidR="00DB752F">
              <w:rPr>
                <w:webHidden/>
              </w:rPr>
            </w:r>
            <w:r w:rsidR="00DB752F">
              <w:rPr>
                <w:webHidden/>
              </w:rPr>
              <w:fldChar w:fldCharType="separate"/>
            </w:r>
            <w:r>
              <w:rPr>
                <w:webHidden/>
              </w:rPr>
              <w:t>3-239</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50" w:history="1">
            <w:r w:rsidR="00DB752F" w:rsidRPr="005C33B9">
              <w:rPr>
                <w:rStyle w:val="Hyperlink"/>
              </w:rPr>
              <w:t>G.4</w:t>
            </w:r>
            <w:r w:rsidR="00DB752F">
              <w:rPr>
                <w:rFonts w:asciiTheme="minorHAnsi" w:eastAsiaTheme="minorEastAsia" w:hAnsiTheme="minorHAnsi"/>
                <w:b w:val="0"/>
                <w:color w:val="auto"/>
                <w:sz w:val="22"/>
                <w:lang w:eastAsia="en-AU"/>
              </w:rPr>
              <w:tab/>
            </w:r>
            <w:r w:rsidR="00DB752F" w:rsidRPr="005C33B9">
              <w:rPr>
                <w:rStyle w:val="Hyperlink"/>
              </w:rPr>
              <w:t>Choice of comparator set</w:t>
            </w:r>
            <w:r w:rsidR="00DB752F">
              <w:rPr>
                <w:webHidden/>
              </w:rPr>
              <w:tab/>
            </w:r>
            <w:r w:rsidR="00DB752F">
              <w:rPr>
                <w:webHidden/>
              </w:rPr>
              <w:fldChar w:fldCharType="begin"/>
            </w:r>
            <w:r w:rsidR="00DB752F">
              <w:rPr>
                <w:webHidden/>
              </w:rPr>
              <w:instrText xml:space="preserve"> PAGEREF _Toc456686750 \h </w:instrText>
            </w:r>
            <w:r w:rsidR="00DB752F">
              <w:rPr>
                <w:webHidden/>
              </w:rPr>
            </w:r>
            <w:r w:rsidR="00DB752F">
              <w:rPr>
                <w:webHidden/>
              </w:rPr>
              <w:fldChar w:fldCharType="separate"/>
            </w:r>
            <w:r>
              <w:rPr>
                <w:webHidden/>
              </w:rPr>
              <w:t>3-241</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51" w:history="1">
            <w:r w:rsidR="00DB752F" w:rsidRPr="005C33B9">
              <w:rPr>
                <w:rStyle w:val="Hyperlink"/>
              </w:rPr>
              <w:t>G.4.1</w:t>
            </w:r>
            <w:r w:rsidR="00DB752F">
              <w:rPr>
                <w:rFonts w:asciiTheme="minorHAnsi" w:eastAsiaTheme="minorEastAsia" w:hAnsiTheme="minorHAnsi"/>
                <w:lang w:eastAsia="en-AU"/>
              </w:rPr>
              <w:tab/>
            </w:r>
            <w:r w:rsidR="00DB752F" w:rsidRPr="005C33B9">
              <w:rPr>
                <w:rStyle w:val="Hyperlink"/>
              </w:rPr>
              <w:t>Comparator set for Australian empirical analysis</w:t>
            </w:r>
            <w:r w:rsidR="00DB752F">
              <w:rPr>
                <w:webHidden/>
              </w:rPr>
              <w:tab/>
            </w:r>
            <w:r w:rsidR="00DB752F">
              <w:rPr>
                <w:webHidden/>
              </w:rPr>
              <w:fldChar w:fldCharType="begin"/>
            </w:r>
            <w:r w:rsidR="00DB752F">
              <w:rPr>
                <w:webHidden/>
              </w:rPr>
              <w:instrText xml:space="preserve"> PAGEREF _Toc456686751 \h </w:instrText>
            </w:r>
            <w:r w:rsidR="00DB752F">
              <w:rPr>
                <w:webHidden/>
              </w:rPr>
            </w:r>
            <w:r w:rsidR="00DB752F">
              <w:rPr>
                <w:webHidden/>
              </w:rPr>
              <w:fldChar w:fldCharType="separate"/>
            </w:r>
            <w:r>
              <w:rPr>
                <w:webHidden/>
              </w:rPr>
              <w:t>3-242</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52" w:history="1">
            <w:r w:rsidR="00DB752F" w:rsidRPr="005C33B9">
              <w:rPr>
                <w:rStyle w:val="Hyperlink"/>
              </w:rPr>
              <w:t>G.4.2</w:t>
            </w:r>
            <w:r w:rsidR="00DB752F">
              <w:rPr>
                <w:rFonts w:asciiTheme="minorHAnsi" w:eastAsiaTheme="minorEastAsia" w:hAnsiTheme="minorHAnsi"/>
                <w:lang w:eastAsia="en-AU"/>
              </w:rPr>
              <w:tab/>
            </w:r>
            <w:r w:rsidR="00DB752F" w:rsidRPr="005C33B9">
              <w:rPr>
                <w:rStyle w:val="Hyperlink"/>
              </w:rPr>
              <w:t>Precision and stability of Australian empirical estimates</w:t>
            </w:r>
            <w:r w:rsidR="00DB752F">
              <w:rPr>
                <w:webHidden/>
              </w:rPr>
              <w:tab/>
            </w:r>
            <w:r w:rsidR="00DB752F">
              <w:rPr>
                <w:webHidden/>
              </w:rPr>
              <w:fldChar w:fldCharType="begin"/>
            </w:r>
            <w:r w:rsidR="00DB752F">
              <w:rPr>
                <w:webHidden/>
              </w:rPr>
              <w:instrText xml:space="preserve"> PAGEREF _Toc456686752 \h </w:instrText>
            </w:r>
            <w:r w:rsidR="00DB752F">
              <w:rPr>
                <w:webHidden/>
              </w:rPr>
            </w:r>
            <w:r w:rsidR="00DB752F">
              <w:rPr>
                <w:webHidden/>
              </w:rPr>
              <w:fldChar w:fldCharType="separate"/>
            </w:r>
            <w:r>
              <w:rPr>
                <w:webHidden/>
              </w:rPr>
              <w:t>3-244</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53" w:history="1">
            <w:r w:rsidR="00DB752F" w:rsidRPr="005C33B9">
              <w:rPr>
                <w:rStyle w:val="Hyperlink"/>
              </w:rPr>
              <w:t>G.4.3</w:t>
            </w:r>
            <w:r w:rsidR="00DB752F">
              <w:rPr>
                <w:rFonts w:asciiTheme="minorHAnsi" w:eastAsiaTheme="minorEastAsia" w:hAnsiTheme="minorHAnsi"/>
                <w:lang w:eastAsia="en-AU"/>
              </w:rPr>
              <w:tab/>
            </w:r>
            <w:r w:rsidR="00DB752F" w:rsidRPr="005C33B9">
              <w:rPr>
                <w:rStyle w:val="Hyperlink"/>
              </w:rPr>
              <w:t>Use of international energy firms</w:t>
            </w:r>
            <w:r w:rsidR="00DB752F">
              <w:rPr>
                <w:webHidden/>
              </w:rPr>
              <w:tab/>
            </w:r>
            <w:r w:rsidR="00DB752F">
              <w:rPr>
                <w:webHidden/>
              </w:rPr>
              <w:fldChar w:fldCharType="begin"/>
            </w:r>
            <w:r w:rsidR="00DB752F">
              <w:rPr>
                <w:webHidden/>
              </w:rPr>
              <w:instrText xml:space="preserve"> PAGEREF _Toc456686753 \h </w:instrText>
            </w:r>
            <w:r w:rsidR="00DB752F">
              <w:rPr>
                <w:webHidden/>
              </w:rPr>
            </w:r>
            <w:r w:rsidR="00DB752F">
              <w:rPr>
                <w:webHidden/>
              </w:rPr>
              <w:fldChar w:fldCharType="separate"/>
            </w:r>
            <w:r>
              <w:rPr>
                <w:webHidden/>
              </w:rPr>
              <w:t>3-246</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54" w:history="1">
            <w:r w:rsidR="00DB752F" w:rsidRPr="005C33B9">
              <w:rPr>
                <w:rStyle w:val="Hyperlink"/>
              </w:rPr>
              <w:t>G.4.4</w:t>
            </w:r>
            <w:r w:rsidR="00DB752F">
              <w:rPr>
                <w:rFonts w:asciiTheme="minorHAnsi" w:eastAsiaTheme="minorEastAsia" w:hAnsiTheme="minorHAnsi"/>
                <w:lang w:eastAsia="en-AU"/>
              </w:rPr>
              <w:tab/>
            </w:r>
            <w:r w:rsidR="00DB752F" w:rsidRPr="005C33B9">
              <w:rPr>
                <w:rStyle w:val="Hyperlink"/>
              </w:rPr>
              <w:t>Use of non-energy infrastructure firms</w:t>
            </w:r>
            <w:r w:rsidR="00DB752F">
              <w:rPr>
                <w:webHidden/>
              </w:rPr>
              <w:tab/>
            </w:r>
            <w:r w:rsidR="00DB752F">
              <w:rPr>
                <w:webHidden/>
              </w:rPr>
              <w:fldChar w:fldCharType="begin"/>
            </w:r>
            <w:r w:rsidR="00DB752F">
              <w:rPr>
                <w:webHidden/>
              </w:rPr>
              <w:instrText xml:space="preserve"> PAGEREF _Toc456686754 \h </w:instrText>
            </w:r>
            <w:r w:rsidR="00DB752F">
              <w:rPr>
                <w:webHidden/>
              </w:rPr>
            </w:r>
            <w:r w:rsidR="00DB752F">
              <w:rPr>
                <w:webHidden/>
              </w:rPr>
              <w:fldChar w:fldCharType="separate"/>
            </w:r>
            <w:r>
              <w:rPr>
                <w:webHidden/>
              </w:rPr>
              <w:t>3-249</w:t>
            </w:r>
            <w:r w:rsidR="00DB752F">
              <w:rPr>
                <w:webHidden/>
              </w:rPr>
              <w:fldChar w:fldCharType="end"/>
            </w:r>
          </w:hyperlink>
        </w:p>
        <w:p w:rsidR="00DB752F" w:rsidRDefault="003F1AAB">
          <w:pPr>
            <w:pStyle w:val="TOC1"/>
            <w:rPr>
              <w:rFonts w:asciiTheme="minorHAnsi" w:eastAsiaTheme="minorEastAsia" w:hAnsiTheme="minorHAnsi"/>
              <w:b w:val="0"/>
              <w:color w:val="auto"/>
              <w:sz w:val="22"/>
              <w:lang w:val="en-AU" w:eastAsia="en-AU"/>
            </w:rPr>
          </w:pPr>
          <w:hyperlink w:anchor="_Toc456686755" w:history="1">
            <w:r w:rsidR="00DB752F" w:rsidRPr="005C33B9">
              <w:rPr>
                <w:rStyle w:val="Hyperlink"/>
              </w:rPr>
              <w:t>H</w:t>
            </w:r>
            <w:r w:rsidR="00DB752F">
              <w:rPr>
                <w:rFonts w:asciiTheme="minorHAnsi" w:eastAsiaTheme="minorEastAsia" w:hAnsiTheme="minorHAnsi"/>
                <w:b w:val="0"/>
                <w:color w:val="auto"/>
                <w:sz w:val="22"/>
                <w:lang w:val="en-AU" w:eastAsia="en-AU"/>
              </w:rPr>
              <w:tab/>
            </w:r>
            <w:r w:rsidR="00DB752F" w:rsidRPr="005C33B9">
              <w:rPr>
                <w:rStyle w:val="Hyperlink"/>
              </w:rPr>
              <w:t>Return on debt approach</w:t>
            </w:r>
            <w:r w:rsidR="00DB752F">
              <w:rPr>
                <w:webHidden/>
              </w:rPr>
              <w:tab/>
            </w:r>
            <w:r w:rsidR="00DB752F">
              <w:rPr>
                <w:webHidden/>
              </w:rPr>
              <w:fldChar w:fldCharType="begin"/>
            </w:r>
            <w:r w:rsidR="00DB752F">
              <w:rPr>
                <w:webHidden/>
              </w:rPr>
              <w:instrText xml:space="preserve"> PAGEREF _Toc456686755 \h </w:instrText>
            </w:r>
            <w:r w:rsidR="00DB752F">
              <w:rPr>
                <w:webHidden/>
              </w:rPr>
            </w:r>
            <w:r w:rsidR="00DB752F">
              <w:rPr>
                <w:webHidden/>
              </w:rPr>
              <w:fldChar w:fldCharType="separate"/>
            </w:r>
            <w:r>
              <w:rPr>
                <w:webHidden/>
              </w:rPr>
              <w:t>3-253</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56" w:history="1">
            <w:r w:rsidR="00DB752F" w:rsidRPr="005C33B9">
              <w:rPr>
                <w:rStyle w:val="Hyperlink"/>
              </w:rPr>
              <w:t>H.5</w:t>
            </w:r>
            <w:r w:rsidR="00DB752F">
              <w:rPr>
                <w:rFonts w:asciiTheme="minorHAnsi" w:eastAsiaTheme="minorEastAsia" w:hAnsiTheme="minorHAnsi"/>
                <w:b w:val="0"/>
                <w:color w:val="auto"/>
                <w:sz w:val="22"/>
                <w:lang w:eastAsia="en-AU"/>
              </w:rPr>
              <w:tab/>
            </w:r>
            <w:r w:rsidR="00DB752F" w:rsidRPr="005C33B9">
              <w:rPr>
                <w:rStyle w:val="Hyperlink"/>
              </w:rPr>
              <w:t>Interpretation of the ARORO</w:t>
            </w:r>
            <w:r w:rsidR="00DB752F">
              <w:rPr>
                <w:webHidden/>
              </w:rPr>
              <w:tab/>
            </w:r>
            <w:r w:rsidR="00DB752F">
              <w:rPr>
                <w:webHidden/>
              </w:rPr>
              <w:fldChar w:fldCharType="begin"/>
            </w:r>
            <w:r w:rsidR="00DB752F">
              <w:rPr>
                <w:webHidden/>
              </w:rPr>
              <w:instrText xml:space="preserve"> PAGEREF _Toc456686756 \h </w:instrText>
            </w:r>
            <w:r w:rsidR="00DB752F">
              <w:rPr>
                <w:webHidden/>
              </w:rPr>
            </w:r>
            <w:r w:rsidR="00DB752F">
              <w:rPr>
                <w:webHidden/>
              </w:rPr>
              <w:fldChar w:fldCharType="separate"/>
            </w:r>
            <w:r>
              <w:rPr>
                <w:webHidden/>
              </w:rPr>
              <w:t>3-253</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57" w:history="1">
            <w:r w:rsidR="00DB752F" w:rsidRPr="005C33B9">
              <w:rPr>
                <w:rStyle w:val="Hyperlink"/>
              </w:rPr>
              <w:t>H.5.1</w:t>
            </w:r>
            <w:r w:rsidR="00DB752F">
              <w:rPr>
                <w:rFonts w:asciiTheme="minorHAnsi" w:eastAsiaTheme="minorEastAsia" w:hAnsiTheme="minorHAnsi"/>
                <w:lang w:eastAsia="en-AU"/>
              </w:rPr>
              <w:tab/>
            </w:r>
            <w:r w:rsidR="00DB752F" w:rsidRPr="005C33B9">
              <w:rPr>
                <w:rStyle w:val="Hyperlink"/>
              </w:rPr>
              <w:t>Efficient financing costs</w:t>
            </w:r>
            <w:r w:rsidR="00DB752F">
              <w:rPr>
                <w:webHidden/>
              </w:rPr>
              <w:tab/>
            </w:r>
            <w:r w:rsidR="00DB752F">
              <w:rPr>
                <w:webHidden/>
              </w:rPr>
              <w:fldChar w:fldCharType="begin"/>
            </w:r>
            <w:r w:rsidR="00DB752F">
              <w:rPr>
                <w:webHidden/>
              </w:rPr>
              <w:instrText xml:space="preserve"> PAGEREF _Toc456686757 \h </w:instrText>
            </w:r>
            <w:r w:rsidR="00DB752F">
              <w:rPr>
                <w:webHidden/>
              </w:rPr>
            </w:r>
            <w:r w:rsidR="00DB752F">
              <w:rPr>
                <w:webHidden/>
              </w:rPr>
              <w:fldChar w:fldCharType="separate"/>
            </w:r>
            <w:r>
              <w:rPr>
                <w:webHidden/>
              </w:rPr>
              <w:t>3-254</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58" w:history="1">
            <w:r w:rsidR="00DB752F" w:rsidRPr="005C33B9">
              <w:rPr>
                <w:rStyle w:val="Hyperlink"/>
              </w:rPr>
              <w:t>H.5.2</w:t>
            </w:r>
            <w:r w:rsidR="00DB752F">
              <w:rPr>
                <w:rFonts w:asciiTheme="minorHAnsi" w:eastAsiaTheme="minorEastAsia" w:hAnsiTheme="minorHAnsi"/>
                <w:lang w:eastAsia="en-AU"/>
              </w:rPr>
              <w:tab/>
            </w:r>
            <w:r w:rsidR="00DB752F" w:rsidRPr="005C33B9">
              <w:rPr>
                <w:rStyle w:val="Hyperlink"/>
              </w:rPr>
              <w:t>Benchmark efficient entity</w:t>
            </w:r>
            <w:r w:rsidR="00DB752F">
              <w:rPr>
                <w:webHidden/>
              </w:rPr>
              <w:tab/>
            </w:r>
            <w:r w:rsidR="00DB752F">
              <w:rPr>
                <w:webHidden/>
              </w:rPr>
              <w:fldChar w:fldCharType="begin"/>
            </w:r>
            <w:r w:rsidR="00DB752F">
              <w:rPr>
                <w:webHidden/>
              </w:rPr>
              <w:instrText xml:space="preserve"> PAGEREF _Toc456686758 \h </w:instrText>
            </w:r>
            <w:r w:rsidR="00DB752F">
              <w:rPr>
                <w:webHidden/>
              </w:rPr>
            </w:r>
            <w:r w:rsidR="00DB752F">
              <w:rPr>
                <w:webHidden/>
              </w:rPr>
              <w:fldChar w:fldCharType="separate"/>
            </w:r>
            <w:r>
              <w:rPr>
                <w:webHidden/>
              </w:rPr>
              <w:t>3-256</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59" w:history="1">
            <w:r w:rsidR="00DB752F" w:rsidRPr="005C33B9">
              <w:rPr>
                <w:rStyle w:val="Hyperlink"/>
              </w:rPr>
              <w:t>H.6</w:t>
            </w:r>
            <w:r w:rsidR="00DB752F">
              <w:rPr>
                <w:rFonts w:asciiTheme="minorHAnsi" w:eastAsiaTheme="minorEastAsia" w:hAnsiTheme="minorHAnsi"/>
                <w:b w:val="0"/>
                <w:color w:val="auto"/>
                <w:sz w:val="22"/>
                <w:lang w:eastAsia="en-AU"/>
              </w:rPr>
              <w:tab/>
            </w:r>
            <w:r w:rsidR="00DB752F" w:rsidRPr="005C33B9">
              <w:rPr>
                <w:rStyle w:val="Hyperlink"/>
              </w:rPr>
              <w:t>Requirements under the ARORO</w:t>
            </w:r>
            <w:r w:rsidR="00DB752F">
              <w:rPr>
                <w:webHidden/>
              </w:rPr>
              <w:tab/>
            </w:r>
            <w:r w:rsidR="00DB752F">
              <w:rPr>
                <w:webHidden/>
              </w:rPr>
              <w:fldChar w:fldCharType="begin"/>
            </w:r>
            <w:r w:rsidR="00DB752F">
              <w:rPr>
                <w:webHidden/>
              </w:rPr>
              <w:instrText xml:space="preserve"> PAGEREF _Toc456686759 \h </w:instrText>
            </w:r>
            <w:r w:rsidR="00DB752F">
              <w:rPr>
                <w:webHidden/>
              </w:rPr>
            </w:r>
            <w:r w:rsidR="00DB752F">
              <w:rPr>
                <w:webHidden/>
              </w:rPr>
              <w:fldChar w:fldCharType="separate"/>
            </w:r>
            <w:r>
              <w:rPr>
                <w:webHidden/>
              </w:rPr>
              <w:t>3-258</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60" w:history="1">
            <w:r w:rsidR="00DB752F" w:rsidRPr="005C33B9">
              <w:rPr>
                <w:rStyle w:val="Hyperlink"/>
              </w:rPr>
              <w:t>H.6.1</w:t>
            </w:r>
            <w:r w:rsidR="00DB752F">
              <w:rPr>
                <w:rFonts w:asciiTheme="minorHAnsi" w:eastAsiaTheme="minorEastAsia" w:hAnsiTheme="minorHAnsi"/>
                <w:lang w:eastAsia="en-AU"/>
              </w:rPr>
              <w:tab/>
            </w:r>
            <w:r w:rsidR="00DB752F" w:rsidRPr="005C33B9">
              <w:rPr>
                <w:rStyle w:val="Hyperlink"/>
              </w:rPr>
              <w:t>Ex-ante efficient compensation</w:t>
            </w:r>
            <w:r w:rsidR="00DB752F">
              <w:rPr>
                <w:webHidden/>
              </w:rPr>
              <w:tab/>
            </w:r>
            <w:r w:rsidR="00DB752F">
              <w:rPr>
                <w:webHidden/>
              </w:rPr>
              <w:fldChar w:fldCharType="begin"/>
            </w:r>
            <w:r w:rsidR="00DB752F">
              <w:rPr>
                <w:webHidden/>
              </w:rPr>
              <w:instrText xml:space="preserve"> PAGEREF _Toc456686760 \h </w:instrText>
            </w:r>
            <w:r w:rsidR="00DB752F">
              <w:rPr>
                <w:webHidden/>
              </w:rPr>
            </w:r>
            <w:r w:rsidR="00DB752F">
              <w:rPr>
                <w:webHidden/>
              </w:rPr>
              <w:fldChar w:fldCharType="separate"/>
            </w:r>
            <w:r>
              <w:rPr>
                <w:webHidden/>
              </w:rPr>
              <w:t>3-258</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61" w:history="1">
            <w:r w:rsidR="00DB752F" w:rsidRPr="005C33B9">
              <w:rPr>
                <w:rStyle w:val="Hyperlink"/>
              </w:rPr>
              <w:t>H.6.2</w:t>
            </w:r>
            <w:r w:rsidR="00DB752F">
              <w:rPr>
                <w:rFonts w:asciiTheme="minorHAnsi" w:eastAsiaTheme="minorEastAsia" w:hAnsiTheme="minorHAnsi"/>
                <w:lang w:eastAsia="en-AU"/>
              </w:rPr>
              <w:tab/>
            </w:r>
            <w:r w:rsidR="00DB752F" w:rsidRPr="005C33B9">
              <w:rPr>
                <w:rStyle w:val="Hyperlink"/>
              </w:rPr>
              <w:t>Consistency with the NEL/NGL</w:t>
            </w:r>
            <w:r w:rsidR="00DB752F">
              <w:rPr>
                <w:webHidden/>
              </w:rPr>
              <w:tab/>
            </w:r>
            <w:r w:rsidR="00DB752F">
              <w:rPr>
                <w:webHidden/>
              </w:rPr>
              <w:fldChar w:fldCharType="begin"/>
            </w:r>
            <w:r w:rsidR="00DB752F">
              <w:rPr>
                <w:webHidden/>
              </w:rPr>
              <w:instrText xml:space="preserve"> PAGEREF _Toc456686761 \h </w:instrText>
            </w:r>
            <w:r w:rsidR="00DB752F">
              <w:rPr>
                <w:webHidden/>
              </w:rPr>
            </w:r>
            <w:r w:rsidR="00DB752F">
              <w:rPr>
                <w:webHidden/>
              </w:rPr>
              <w:fldChar w:fldCharType="separate"/>
            </w:r>
            <w:r>
              <w:rPr>
                <w:webHidden/>
              </w:rPr>
              <w:t>3-264</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62" w:history="1">
            <w:r w:rsidR="00DB752F" w:rsidRPr="005C33B9">
              <w:rPr>
                <w:rStyle w:val="Hyperlink"/>
              </w:rPr>
              <w:t>H.6.3</w:t>
            </w:r>
            <w:r w:rsidR="00DB752F">
              <w:rPr>
                <w:rFonts w:asciiTheme="minorHAnsi" w:eastAsiaTheme="minorEastAsia" w:hAnsiTheme="minorHAnsi"/>
                <w:lang w:eastAsia="en-AU"/>
              </w:rPr>
              <w:tab/>
            </w:r>
            <w:r w:rsidR="00DB752F" w:rsidRPr="005C33B9">
              <w:rPr>
                <w:rStyle w:val="Hyperlink"/>
              </w:rPr>
              <w:t>Requirement for a revenue-neutral transition if there is a regime change</w:t>
            </w:r>
            <w:r w:rsidR="00DB752F">
              <w:rPr>
                <w:webHidden/>
              </w:rPr>
              <w:tab/>
            </w:r>
            <w:r w:rsidR="00DB752F">
              <w:rPr>
                <w:webHidden/>
              </w:rPr>
              <w:fldChar w:fldCharType="begin"/>
            </w:r>
            <w:r w:rsidR="00DB752F">
              <w:rPr>
                <w:webHidden/>
              </w:rPr>
              <w:instrText xml:space="preserve"> PAGEREF _Toc456686762 \h </w:instrText>
            </w:r>
            <w:r w:rsidR="00DB752F">
              <w:rPr>
                <w:webHidden/>
              </w:rPr>
            </w:r>
            <w:r w:rsidR="00DB752F">
              <w:rPr>
                <w:webHidden/>
              </w:rPr>
              <w:fldChar w:fldCharType="separate"/>
            </w:r>
            <w:r>
              <w:rPr>
                <w:webHidden/>
              </w:rPr>
              <w:t>3-265</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63" w:history="1">
            <w:r w:rsidR="00DB752F" w:rsidRPr="005C33B9">
              <w:rPr>
                <w:rStyle w:val="Hyperlink"/>
              </w:rPr>
              <w:t>H.7</w:t>
            </w:r>
            <w:r w:rsidR="00DB752F">
              <w:rPr>
                <w:rFonts w:asciiTheme="minorHAnsi" w:eastAsiaTheme="minorEastAsia" w:hAnsiTheme="minorHAnsi"/>
                <w:b w:val="0"/>
                <w:color w:val="auto"/>
                <w:sz w:val="22"/>
                <w:lang w:eastAsia="en-AU"/>
              </w:rPr>
              <w:tab/>
            </w:r>
            <w:r w:rsidR="00DB752F" w:rsidRPr="005C33B9">
              <w:rPr>
                <w:rStyle w:val="Hyperlink"/>
              </w:rPr>
              <w:t>On-the-day and trailing average approaches</w:t>
            </w:r>
            <w:r w:rsidR="00DB752F">
              <w:rPr>
                <w:webHidden/>
              </w:rPr>
              <w:tab/>
            </w:r>
            <w:r w:rsidR="00DB752F">
              <w:rPr>
                <w:webHidden/>
              </w:rPr>
              <w:fldChar w:fldCharType="begin"/>
            </w:r>
            <w:r w:rsidR="00DB752F">
              <w:rPr>
                <w:webHidden/>
              </w:rPr>
              <w:instrText xml:space="preserve"> PAGEREF _Toc456686763 \h </w:instrText>
            </w:r>
            <w:r w:rsidR="00DB752F">
              <w:rPr>
                <w:webHidden/>
              </w:rPr>
            </w:r>
            <w:r w:rsidR="00DB752F">
              <w:rPr>
                <w:webHidden/>
              </w:rPr>
              <w:fldChar w:fldCharType="separate"/>
            </w:r>
            <w:r>
              <w:rPr>
                <w:webHidden/>
              </w:rPr>
              <w:t>3-268</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64" w:history="1">
            <w:r w:rsidR="00DB752F" w:rsidRPr="005C33B9">
              <w:rPr>
                <w:rStyle w:val="Hyperlink"/>
              </w:rPr>
              <w:t>H.7.1</w:t>
            </w:r>
            <w:r w:rsidR="00DB752F">
              <w:rPr>
                <w:rFonts w:asciiTheme="minorHAnsi" w:eastAsiaTheme="minorEastAsia" w:hAnsiTheme="minorHAnsi"/>
                <w:lang w:eastAsia="en-AU"/>
              </w:rPr>
              <w:tab/>
            </w:r>
            <w:r w:rsidR="00DB752F" w:rsidRPr="005C33B9">
              <w:rPr>
                <w:rStyle w:val="Hyperlink"/>
              </w:rPr>
              <w:t>On-the-day approach</w:t>
            </w:r>
            <w:r w:rsidR="00DB752F">
              <w:rPr>
                <w:webHidden/>
              </w:rPr>
              <w:tab/>
            </w:r>
            <w:r w:rsidR="00DB752F">
              <w:rPr>
                <w:webHidden/>
              </w:rPr>
              <w:fldChar w:fldCharType="begin"/>
            </w:r>
            <w:r w:rsidR="00DB752F">
              <w:rPr>
                <w:webHidden/>
              </w:rPr>
              <w:instrText xml:space="preserve"> PAGEREF _Toc456686764 \h </w:instrText>
            </w:r>
            <w:r w:rsidR="00DB752F">
              <w:rPr>
                <w:webHidden/>
              </w:rPr>
            </w:r>
            <w:r w:rsidR="00DB752F">
              <w:rPr>
                <w:webHidden/>
              </w:rPr>
              <w:fldChar w:fldCharType="separate"/>
            </w:r>
            <w:r>
              <w:rPr>
                <w:webHidden/>
              </w:rPr>
              <w:t>3-269</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65" w:history="1">
            <w:r w:rsidR="00DB752F" w:rsidRPr="005C33B9">
              <w:rPr>
                <w:rStyle w:val="Hyperlink"/>
              </w:rPr>
              <w:t>H.7.2</w:t>
            </w:r>
            <w:r w:rsidR="00DB752F">
              <w:rPr>
                <w:rFonts w:asciiTheme="minorHAnsi" w:eastAsiaTheme="minorEastAsia" w:hAnsiTheme="minorHAnsi"/>
                <w:lang w:eastAsia="en-AU"/>
              </w:rPr>
              <w:tab/>
            </w:r>
            <w:r w:rsidR="00DB752F" w:rsidRPr="005C33B9">
              <w:rPr>
                <w:rStyle w:val="Hyperlink"/>
              </w:rPr>
              <w:t>Trailing average approach</w:t>
            </w:r>
            <w:r w:rsidR="00DB752F">
              <w:rPr>
                <w:webHidden/>
              </w:rPr>
              <w:tab/>
            </w:r>
            <w:r w:rsidR="00DB752F">
              <w:rPr>
                <w:webHidden/>
              </w:rPr>
              <w:fldChar w:fldCharType="begin"/>
            </w:r>
            <w:r w:rsidR="00DB752F">
              <w:rPr>
                <w:webHidden/>
              </w:rPr>
              <w:instrText xml:space="preserve"> PAGEREF _Toc456686765 \h </w:instrText>
            </w:r>
            <w:r w:rsidR="00DB752F">
              <w:rPr>
                <w:webHidden/>
              </w:rPr>
            </w:r>
            <w:r w:rsidR="00DB752F">
              <w:rPr>
                <w:webHidden/>
              </w:rPr>
              <w:fldChar w:fldCharType="separate"/>
            </w:r>
            <w:r>
              <w:rPr>
                <w:webHidden/>
              </w:rPr>
              <w:t>3-273</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66" w:history="1">
            <w:r w:rsidR="00DB752F" w:rsidRPr="005C33B9">
              <w:rPr>
                <w:rStyle w:val="Hyperlink"/>
              </w:rPr>
              <w:t>H.7.3</w:t>
            </w:r>
            <w:r w:rsidR="00DB752F">
              <w:rPr>
                <w:rFonts w:asciiTheme="minorHAnsi" w:eastAsiaTheme="minorEastAsia" w:hAnsiTheme="minorHAnsi"/>
                <w:lang w:eastAsia="en-AU"/>
              </w:rPr>
              <w:tab/>
            </w:r>
            <w:r w:rsidR="00DB752F" w:rsidRPr="005C33B9">
              <w:rPr>
                <w:rStyle w:val="Hyperlink"/>
              </w:rPr>
              <w:t>Mathematical explanation</w:t>
            </w:r>
            <w:r w:rsidR="00DB752F">
              <w:rPr>
                <w:webHidden/>
              </w:rPr>
              <w:tab/>
            </w:r>
            <w:r w:rsidR="00DB752F">
              <w:rPr>
                <w:webHidden/>
              </w:rPr>
              <w:fldChar w:fldCharType="begin"/>
            </w:r>
            <w:r w:rsidR="00DB752F">
              <w:rPr>
                <w:webHidden/>
              </w:rPr>
              <w:instrText xml:space="preserve"> PAGEREF _Toc456686766 \h </w:instrText>
            </w:r>
            <w:r w:rsidR="00DB752F">
              <w:rPr>
                <w:webHidden/>
              </w:rPr>
            </w:r>
            <w:r w:rsidR="00DB752F">
              <w:rPr>
                <w:webHidden/>
              </w:rPr>
              <w:fldChar w:fldCharType="separate"/>
            </w:r>
            <w:r>
              <w:rPr>
                <w:webHidden/>
              </w:rPr>
              <w:t>3-274</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67" w:history="1">
            <w:r w:rsidR="00DB752F" w:rsidRPr="005C33B9">
              <w:rPr>
                <w:rStyle w:val="Hyperlink"/>
              </w:rPr>
              <w:t>H.8</w:t>
            </w:r>
            <w:r w:rsidR="00DB752F">
              <w:rPr>
                <w:rFonts w:asciiTheme="minorHAnsi" w:eastAsiaTheme="minorEastAsia" w:hAnsiTheme="minorHAnsi"/>
                <w:b w:val="0"/>
                <w:color w:val="auto"/>
                <w:sz w:val="22"/>
                <w:lang w:eastAsia="en-AU"/>
              </w:rPr>
              <w:tab/>
            </w:r>
            <w:r w:rsidR="00DB752F" w:rsidRPr="005C33B9">
              <w:rPr>
                <w:rStyle w:val="Hyperlink"/>
              </w:rPr>
              <w:t>A full transition satisfies the ARORO</w:t>
            </w:r>
            <w:r w:rsidR="00DB752F">
              <w:rPr>
                <w:webHidden/>
              </w:rPr>
              <w:tab/>
            </w:r>
            <w:r w:rsidR="00DB752F">
              <w:rPr>
                <w:webHidden/>
              </w:rPr>
              <w:fldChar w:fldCharType="begin"/>
            </w:r>
            <w:r w:rsidR="00DB752F">
              <w:rPr>
                <w:webHidden/>
              </w:rPr>
              <w:instrText xml:space="preserve"> PAGEREF _Toc456686767 \h </w:instrText>
            </w:r>
            <w:r w:rsidR="00DB752F">
              <w:rPr>
                <w:webHidden/>
              </w:rPr>
            </w:r>
            <w:r w:rsidR="00DB752F">
              <w:rPr>
                <w:webHidden/>
              </w:rPr>
              <w:fldChar w:fldCharType="separate"/>
            </w:r>
            <w:r>
              <w:rPr>
                <w:webHidden/>
              </w:rPr>
              <w:t>3-283</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68" w:history="1">
            <w:r w:rsidR="00DB752F" w:rsidRPr="005C33B9">
              <w:rPr>
                <w:rStyle w:val="Hyperlink"/>
              </w:rPr>
              <w:t>H.9</w:t>
            </w:r>
            <w:r w:rsidR="00DB752F">
              <w:rPr>
                <w:rFonts w:asciiTheme="minorHAnsi" w:eastAsiaTheme="minorEastAsia" w:hAnsiTheme="minorHAnsi"/>
                <w:b w:val="0"/>
                <w:color w:val="auto"/>
                <w:sz w:val="22"/>
                <w:lang w:eastAsia="en-AU"/>
              </w:rPr>
              <w:tab/>
            </w:r>
            <w:r w:rsidR="00DB752F" w:rsidRPr="005C33B9">
              <w:rPr>
                <w:rStyle w:val="Hyperlink"/>
              </w:rPr>
              <w:t>An immediate (or hybrid) transition will not satisfy the ARORO</w:t>
            </w:r>
            <w:r w:rsidR="00DB752F">
              <w:rPr>
                <w:webHidden/>
              </w:rPr>
              <w:tab/>
            </w:r>
            <w:r w:rsidR="00DB752F">
              <w:rPr>
                <w:webHidden/>
              </w:rPr>
              <w:fldChar w:fldCharType="begin"/>
            </w:r>
            <w:r w:rsidR="00DB752F">
              <w:rPr>
                <w:webHidden/>
              </w:rPr>
              <w:instrText xml:space="preserve"> PAGEREF _Toc456686768 \h </w:instrText>
            </w:r>
            <w:r w:rsidR="00DB752F">
              <w:rPr>
                <w:webHidden/>
              </w:rPr>
            </w:r>
            <w:r w:rsidR="00DB752F">
              <w:rPr>
                <w:webHidden/>
              </w:rPr>
              <w:fldChar w:fldCharType="separate"/>
            </w:r>
            <w:r>
              <w:rPr>
                <w:webHidden/>
              </w:rPr>
              <w:t>3-284</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69" w:history="1">
            <w:r w:rsidR="00DB752F" w:rsidRPr="005C33B9">
              <w:rPr>
                <w:rStyle w:val="Hyperlink"/>
              </w:rPr>
              <w:t>H.9.1</w:t>
            </w:r>
            <w:r w:rsidR="00DB752F">
              <w:rPr>
                <w:rFonts w:asciiTheme="minorHAnsi" w:eastAsiaTheme="minorEastAsia" w:hAnsiTheme="minorHAnsi"/>
                <w:lang w:eastAsia="en-AU"/>
              </w:rPr>
              <w:tab/>
            </w:r>
            <w:r w:rsidR="00DB752F" w:rsidRPr="005C33B9">
              <w:rPr>
                <w:rStyle w:val="Hyperlink"/>
              </w:rPr>
              <w:t>Mathematical explanation</w:t>
            </w:r>
            <w:r w:rsidR="00DB752F">
              <w:rPr>
                <w:webHidden/>
              </w:rPr>
              <w:tab/>
            </w:r>
            <w:r w:rsidR="00DB752F">
              <w:rPr>
                <w:webHidden/>
              </w:rPr>
              <w:fldChar w:fldCharType="begin"/>
            </w:r>
            <w:r w:rsidR="00DB752F">
              <w:rPr>
                <w:webHidden/>
              </w:rPr>
              <w:instrText xml:space="preserve"> PAGEREF _Toc456686769 \h </w:instrText>
            </w:r>
            <w:r w:rsidR="00DB752F">
              <w:rPr>
                <w:webHidden/>
              </w:rPr>
            </w:r>
            <w:r w:rsidR="00DB752F">
              <w:rPr>
                <w:webHidden/>
              </w:rPr>
              <w:fldChar w:fldCharType="separate"/>
            </w:r>
            <w:r>
              <w:rPr>
                <w:webHidden/>
              </w:rPr>
              <w:t>3-285</w:t>
            </w:r>
            <w:r w:rsidR="00DB752F">
              <w:rPr>
                <w:webHidden/>
              </w:rPr>
              <w:fldChar w:fldCharType="end"/>
            </w:r>
          </w:hyperlink>
        </w:p>
        <w:p w:rsidR="00DB752F" w:rsidRDefault="003F1AAB">
          <w:pPr>
            <w:pStyle w:val="TOC1"/>
            <w:rPr>
              <w:rFonts w:asciiTheme="minorHAnsi" w:eastAsiaTheme="minorEastAsia" w:hAnsiTheme="minorHAnsi"/>
              <w:b w:val="0"/>
              <w:color w:val="auto"/>
              <w:sz w:val="22"/>
              <w:lang w:val="en-AU" w:eastAsia="en-AU"/>
            </w:rPr>
          </w:pPr>
          <w:hyperlink w:anchor="_Toc456686770" w:history="1">
            <w:r w:rsidR="00DB752F" w:rsidRPr="005C33B9">
              <w:rPr>
                <w:rStyle w:val="Hyperlink"/>
              </w:rPr>
              <w:t>I</w:t>
            </w:r>
            <w:r w:rsidR="00DB752F">
              <w:rPr>
                <w:rFonts w:asciiTheme="minorHAnsi" w:eastAsiaTheme="minorEastAsia" w:hAnsiTheme="minorHAnsi"/>
                <w:b w:val="0"/>
                <w:color w:val="auto"/>
                <w:sz w:val="22"/>
                <w:lang w:val="en-AU" w:eastAsia="en-AU"/>
              </w:rPr>
              <w:tab/>
            </w:r>
            <w:r w:rsidR="00DB752F" w:rsidRPr="005C33B9">
              <w:rPr>
                <w:rStyle w:val="Hyperlink"/>
              </w:rPr>
              <w:t>Return on debt implementation</w:t>
            </w:r>
            <w:r w:rsidR="00DB752F">
              <w:rPr>
                <w:webHidden/>
              </w:rPr>
              <w:tab/>
            </w:r>
            <w:r w:rsidR="00DB752F">
              <w:rPr>
                <w:webHidden/>
              </w:rPr>
              <w:fldChar w:fldCharType="begin"/>
            </w:r>
            <w:r w:rsidR="00DB752F">
              <w:rPr>
                <w:webHidden/>
              </w:rPr>
              <w:instrText xml:space="preserve"> PAGEREF _Toc456686770 \h </w:instrText>
            </w:r>
            <w:r w:rsidR="00DB752F">
              <w:rPr>
                <w:webHidden/>
              </w:rPr>
            </w:r>
            <w:r w:rsidR="00DB752F">
              <w:rPr>
                <w:webHidden/>
              </w:rPr>
              <w:fldChar w:fldCharType="separate"/>
            </w:r>
            <w:r>
              <w:rPr>
                <w:webHidden/>
              </w:rPr>
              <w:t>3-289</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71" w:history="1">
            <w:r w:rsidR="00DB752F" w:rsidRPr="005C33B9">
              <w:rPr>
                <w:rStyle w:val="Hyperlink"/>
              </w:rPr>
              <w:t>I.1</w:t>
            </w:r>
            <w:r w:rsidR="00DB752F">
              <w:rPr>
                <w:rFonts w:asciiTheme="minorHAnsi" w:eastAsiaTheme="minorEastAsia" w:hAnsiTheme="minorHAnsi"/>
                <w:b w:val="0"/>
                <w:color w:val="auto"/>
                <w:sz w:val="22"/>
                <w:lang w:eastAsia="en-AU"/>
              </w:rPr>
              <w:tab/>
            </w:r>
            <w:r w:rsidR="00DB752F" w:rsidRPr="005C33B9">
              <w:rPr>
                <w:rStyle w:val="Hyperlink"/>
              </w:rPr>
              <w:t>The Thomson Reuters curve</w:t>
            </w:r>
            <w:r w:rsidR="00DB752F">
              <w:rPr>
                <w:webHidden/>
              </w:rPr>
              <w:tab/>
            </w:r>
            <w:r w:rsidR="00DB752F">
              <w:rPr>
                <w:webHidden/>
              </w:rPr>
              <w:fldChar w:fldCharType="begin"/>
            </w:r>
            <w:r w:rsidR="00DB752F">
              <w:rPr>
                <w:webHidden/>
              </w:rPr>
              <w:instrText xml:space="preserve"> PAGEREF _Toc456686771 \h </w:instrText>
            </w:r>
            <w:r w:rsidR="00DB752F">
              <w:rPr>
                <w:webHidden/>
              </w:rPr>
            </w:r>
            <w:r w:rsidR="00DB752F">
              <w:rPr>
                <w:webHidden/>
              </w:rPr>
              <w:fldChar w:fldCharType="separate"/>
            </w:r>
            <w:r>
              <w:rPr>
                <w:webHidden/>
              </w:rPr>
              <w:t>3-289</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72" w:history="1">
            <w:r w:rsidR="00DB752F" w:rsidRPr="005C33B9">
              <w:rPr>
                <w:rStyle w:val="Hyperlink"/>
              </w:rPr>
              <w:t>I.1.1</w:t>
            </w:r>
            <w:r w:rsidR="00DB752F">
              <w:rPr>
                <w:rFonts w:asciiTheme="minorHAnsi" w:eastAsiaTheme="minorEastAsia" w:hAnsiTheme="minorHAnsi"/>
                <w:lang w:eastAsia="en-AU"/>
              </w:rPr>
              <w:tab/>
            </w:r>
            <w:r w:rsidR="00DB752F" w:rsidRPr="005C33B9">
              <w:rPr>
                <w:rStyle w:val="Hyperlink"/>
              </w:rPr>
              <w:t>Limited assessment of the Thomson Reuters curve</w:t>
            </w:r>
            <w:r w:rsidR="00DB752F">
              <w:rPr>
                <w:webHidden/>
              </w:rPr>
              <w:tab/>
            </w:r>
            <w:r w:rsidR="00DB752F">
              <w:rPr>
                <w:webHidden/>
              </w:rPr>
              <w:fldChar w:fldCharType="begin"/>
            </w:r>
            <w:r w:rsidR="00DB752F">
              <w:rPr>
                <w:webHidden/>
              </w:rPr>
              <w:instrText xml:space="preserve"> PAGEREF _Toc456686772 \h </w:instrText>
            </w:r>
            <w:r w:rsidR="00DB752F">
              <w:rPr>
                <w:webHidden/>
              </w:rPr>
            </w:r>
            <w:r w:rsidR="00DB752F">
              <w:rPr>
                <w:webHidden/>
              </w:rPr>
              <w:fldChar w:fldCharType="separate"/>
            </w:r>
            <w:r>
              <w:rPr>
                <w:webHidden/>
              </w:rPr>
              <w:t>3-289</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73" w:history="1">
            <w:r w:rsidR="00DB752F" w:rsidRPr="005C33B9">
              <w:rPr>
                <w:rStyle w:val="Hyperlink"/>
              </w:rPr>
              <w:t>I.2</w:t>
            </w:r>
            <w:r w:rsidR="00DB752F">
              <w:rPr>
                <w:rFonts w:asciiTheme="minorHAnsi" w:eastAsiaTheme="minorEastAsia" w:hAnsiTheme="minorHAnsi"/>
                <w:b w:val="0"/>
                <w:color w:val="auto"/>
                <w:sz w:val="22"/>
                <w:lang w:eastAsia="en-AU"/>
              </w:rPr>
              <w:tab/>
            </w:r>
            <w:r w:rsidR="00DB752F" w:rsidRPr="005C33B9">
              <w:rPr>
                <w:rStyle w:val="Hyperlink"/>
              </w:rPr>
              <w:t>Criticisms of the BVAL curve</w:t>
            </w:r>
            <w:r w:rsidR="00DB752F">
              <w:rPr>
                <w:webHidden/>
              </w:rPr>
              <w:tab/>
            </w:r>
            <w:r w:rsidR="00DB752F">
              <w:rPr>
                <w:webHidden/>
              </w:rPr>
              <w:fldChar w:fldCharType="begin"/>
            </w:r>
            <w:r w:rsidR="00DB752F">
              <w:rPr>
                <w:webHidden/>
              </w:rPr>
              <w:instrText xml:space="preserve"> PAGEREF _Toc456686773 \h </w:instrText>
            </w:r>
            <w:r w:rsidR="00DB752F">
              <w:rPr>
                <w:webHidden/>
              </w:rPr>
            </w:r>
            <w:r w:rsidR="00DB752F">
              <w:rPr>
                <w:webHidden/>
              </w:rPr>
              <w:fldChar w:fldCharType="separate"/>
            </w:r>
            <w:r>
              <w:rPr>
                <w:webHidden/>
              </w:rPr>
              <w:t>3-292</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74" w:history="1">
            <w:r w:rsidR="00DB752F" w:rsidRPr="005C33B9">
              <w:rPr>
                <w:rStyle w:val="Hyperlink"/>
              </w:rPr>
              <w:t>I.3</w:t>
            </w:r>
            <w:r w:rsidR="00DB752F">
              <w:rPr>
                <w:rFonts w:asciiTheme="minorHAnsi" w:eastAsiaTheme="minorEastAsia" w:hAnsiTheme="minorHAnsi"/>
                <w:b w:val="0"/>
                <w:color w:val="auto"/>
                <w:sz w:val="22"/>
                <w:lang w:eastAsia="en-AU"/>
              </w:rPr>
              <w:tab/>
            </w:r>
            <w:r w:rsidR="00DB752F" w:rsidRPr="005C33B9">
              <w:rPr>
                <w:rStyle w:val="Hyperlink"/>
              </w:rPr>
              <w:t>Other issues</w:t>
            </w:r>
            <w:r w:rsidR="00DB752F">
              <w:rPr>
                <w:webHidden/>
              </w:rPr>
              <w:tab/>
            </w:r>
            <w:r w:rsidR="00DB752F">
              <w:rPr>
                <w:webHidden/>
              </w:rPr>
              <w:fldChar w:fldCharType="begin"/>
            </w:r>
            <w:r w:rsidR="00DB752F">
              <w:rPr>
                <w:webHidden/>
              </w:rPr>
              <w:instrText xml:space="preserve"> PAGEREF _Toc456686774 \h </w:instrText>
            </w:r>
            <w:r w:rsidR="00DB752F">
              <w:rPr>
                <w:webHidden/>
              </w:rPr>
            </w:r>
            <w:r w:rsidR="00DB752F">
              <w:rPr>
                <w:webHidden/>
              </w:rPr>
              <w:fldChar w:fldCharType="separate"/>
            </w:r>
            <w:r>
              <w:rPr>
                <w:webHidden/>
              </w:rPr>
              <w:t>3-307</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75" w:history="1">
            <w:r w:rsidR="00DB752F" w:rsidRPr="005C33B9">
              <w:rPr>
                <w:rStyle w:val="Hyperlink"/>
              </w:rPr>
              <w:t>I.4</w:t>
            </w:r>
            <w:r w:rsidR="00DB752F">
              <w:rPr>
                <w:rFonts w:asciiTheme="minorHAnsi" w:eastAsiaTheme="minorEastAsia" w:hAnsiTheme="minorHAnsi"/>
                <w:b w:val="0"/>
                <w:color w:val="auto"/>
                <w:sz w:val="22"/>
                <w:lang w:eastAsia="en-AU"/>
              </w:rPr>
              <w:tab/>
            </w:r>
            <w:r w:rsidR="00DB752F" w:rsidRPr="005C33B9">
              <w:rPr>
                <w:rStyle w:val="Hyperlink"/>
              </w:rPr>
              <w:t>Credit rating</w:t>
            </w:r>
            <w:r w:rsidR="00DB752F">
              <w:rPr>
                <w:webHidden/>
              </w:rPr>
              <w:tab/>
            </w:r>
            <w:r w:rsidR="00DB752F">
              <w:rPr>
                <w:webHidden/>
              </w:rPr>
              <w:fldChar w:fldCharType="begin"/>
            </w:r>
            <w:r w:rsidR="00DB752F">
              <w:rPr>
                <w:webHidden/>
              </w:rPr>
              <w:instrText xml:space="preserve"> PAGEREF _Toc456686775 \h </w:instrText>
            </w:r>
            <w:r w:rsidR="00DB752F">
              <w:rPr>
                <w:webHidden/>
              </w:rPr>
            </w:r>
            <w:r w:rsidR="00DB752F">
              <w:rPr>
                <w:webHidden/>
              </w:rPr>
              <w:fldChar w:fldCharType="separate"/>
            </w:r>
            <w:r>
              <w:rPr>
                <w:webHidden/>
              </w:rPr>
              <w:t>3-309</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76" w:history="1">
            <w:r w:rsidR="00DB752F" w:rsidRPr="005C33B9">
              <w:rPr>
                <w:rStyle w:val="Hyperlink"/>
              </w:rPr>
              <w:t>I.4.1</w:t>
            </w:r>
            <w:r w:rsidR="00DB752F">
              <w:rPr>
                <w:rFonts w:asciiTheme="minorHAnsi" w:eastAsiaTheme="minorEastAsia" w:hAnsiTheme="minorHAnsi"/>
                <w:lang w:eastAsia="en-AU"/>
              </w:rPr>
              <w:tab/>
            </w:r>
            <w:r w:rsidR="00DB752F" w:rsidRPr="005C33B9">
              <w:rPr>
                <w:rStyle w:val="Hyperlink"/>
              </w:rPr>
              <w:t>Comparator Set</w:t>
            </w:r>
            <w:r w:rsidR="00DB752F">
              <w:rPr>
                <w:webHidden/>
              </w:rPr>
              <w:tab/>
            </w:r>
            <w:r w:rsidR="00DB752F">
              <w:rPr>
                <w:webHidden/>
              </w:rPr>
              <w:fldChar w:fldCharType="begin"/>
            </w:r>
            <w:r w:rsidR="00DB752F">
              <w:rPr>
                <w:webHidden/>
              </w:rPr>
              <w:instrText xml:space="preserve"> PAGEREF _Toc456686776 \h </w:instrText>
            </w:r>
            <w:r w:rsidR="00DB752F">
              <w:rPr>
                <w:webHidden/>
              </w:rPr>
            </w:r>
            <w:r w:rsidR="00DB752F">
              <w:rPr>
                <w:webHidden/>
              </w:rPr>
              <w:fldChar w:fldCharType="separate"/>
            </w:r>
            <w:r>
              <w:rPr>
                <w:webHidden/>
              </w:rPr>
              <w:t>3-310</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77" w:history="1">
            <w:r w:rsidR="00DB752F" w:rsidRPr="005C33B9">
              <w:rPr>
                <w:rStyle w:val="Hyperlink"/>
              </w:rPr>
              <w:t>I.4.2</w:t>
            </w:r>
            <w:r w:rsidR="00DB752F">
              <w:rPr>
                <w:rFonts w:asciiTheme="minorHAnsi" w:eastAsiaTheme="minorEastAsia" w:hAnsiTheme="minorHAnsi"/>
                <w:lang w:eastAsia="en-AU"/>
              </w:rPr>
              <w:tab/>
            </w:r>
            <w:r w:rsidR="00DB752F" w:rsidRPr="005C33B9">
              <w:rPr>
                <w:rStyle w:val="Hyperlink"/>
              </w:rPr>
              <w:t>Current Industry Median</w:t>
            </w:r>
            <w:r w:rsidR="00DB752F">
              <w:rPr>
                <w:webHidden/>
              </w:rPr>
              <w:tab/>
            </w:r>
            <w:r w:rsidR="00DB752F">
              <w:rPr>
                <w:webHidden/>
              </w:rPr>
              <w:fldChar w:fldCharType="begin"/>
            </w:r>
            <w:r w:rsidR="00DB752F">
              <w:rPr>
                <w:webHidden/>
              </w:rPr>
              <w:instrText xml:space="preserve"> PAGEREF _Toc456686777 \h </w:instrText>
            </w:r>
            <w:r w:rsidR="00DB752F">
              <w:rPr>
                <w:webHidden/>
              </w:rPr>
            </w:r>
            <w:r w:rsidR="00DB752F">
              <w:rPr>
                <w:webHidden/>
              </w:rPr>
              <w:fldChar w:fldCharType="separate"/>
            </w:r>
            <w:r>
              <w:rPr>
                <w:webHidden/>
              </w:rPr>
              <w:t>3-311</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78" w:history="1">
            <w:r w:rsidR="00DB752F" w:rsidRPr="005C33B9">
              <w:rPr>
                <w:rStyle w:val="Hyperlink"/>
              </w:rPr>
              <w:t>I.4.3</w:t>
            </w:r>
            <w:r w:rsidR="00DB752F">
              <w:rPr>
                <w:rFonts w:asciiTheme="minorHAnsi" w:eastAsiaTheme="minorEastAsia" w:hAnsiTheme="minorHAnsi"/>
                <w:lang w:eastAsia="en-AU"/>
              </w:rPr>
              <w:tab/>
            </w:r>
            <w:r w:rsidR="00DB752F" w:rsidRPr="005C33B9">
              <w:rPr>
                <w:rStyle w:val="Hyperlink"/>
              </w:rPr>
              <w:t>Equity buffer and historical credit ratings</w:t>
            </w:r>
            <w:r w:rsidR="00DB752F">
              <w:rPr>
                <w:webHidden/>
              </w:rPr>
              <w:tab/>
            </w:r>
            <w:r w:rsidR="00DB752F">
              <w:rPr>
                <w:webHidden/>
              </w:rPr>
              <w:fldChar w:fldCharType="begin"/>
            </w:r>
            <w:r w:rsidR="00DB752F">
              <w:rPr>
                <w:webHidden/>
              </w:rPr>
              <w:instrText xml:space="preserve"> PAGEREF _Toc456686778 \h </w:instrText>
            </w:r>
            <w:r w:rsidR="00DB752F">
              <w:rPr>
                <w:webHidden/>
              </w:rPr>
            </w:r>
            <w:r w:rsidR="00DB752F">
              <w:rPr>
                <w:webHidden/>
              </w:rPr>
              <w:fldChar w:fldCharType="separate"/>
            </w:r>
            <w:r>
              <w:rPr>
                <w:webHidden/>
              </w:rPr>
              <w:t>3-313</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79" w:history="1">
            <w:r w:rsidR="00DB752F" w:rsidRPr="005C33B9">
              <w:rPr>
                <w:rStyle w:val="Hyperlink"/>
              </w:rPr>
              <w:t>I.5</w:t>
            </w:r>
            <w:r w:rsidR="00DB752F">
              <w:rPr>
                <w:rFonts w:asciiTheme="minorHAnsi" w:eastAsiaTheme="minorEastAsia" w:hAnsiTheme="minorHAnsi"/>
                <w:b w:val="0"/>
                <w:color w:val="auto"/>
                <w:sz w:val="22"/>
                <w:lang w:eastAsia="en-AU"/>
              </w:rPr>
              <w:tab/>
            </w:r>
            <w:r w:rsidR="00DB752F" w:rsidRPr="005C33B9">
              <w:rPr>
                <w:rStyle w:val="Hyperlink"/>
              </w:rPr>
              <w:t>Averaging periods</w:t>
            </w:r>
            <w:r w:rsidR="00DB752F">
              <w:rPr>
                <w:webHidden/>
              </w:rPr>
              <w:tab/>
            </w:r>
            <w:r w:rsidR="00DB752F">
              <w:rPr>
                <w:webHidden/>
              </w:rPr>
              <w:fldChar w:fldCharType="begin"/>
            </w:r>
            <w:r w:rsidR="00DB752F">
              <w:rPr>
                <w:webHidden/>
              </w:rPr>
              <w:instrText xml:space="preserve"> PAGEREF _Toc456686779 \h </w:instrText>
            </w:r>
            <w:r w:rsidR="00DB752F">
              <w:rPr>
                <w:webHidden/>
              </w:rPr>
            </w:r>
            <w:r w:rsidR="00DB752F">
              <w:rPr>
                <w:webHidden/>
              </w:rPr>
              <w:fldChar w:fldCharType="separate"/>
            </w:r>
            <w:r>
              <w:rPr>
                <w:webHidden/>
              </w:rPr>
              <w:t>3-315</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80" w:history="1">
            <w:r w:rsidR="00DB752F" w:rsidRPr="005C33B9">
              <w:rPr>
                <w:rStyle w:val="Hyperlink"/>
              </w:rPr>
              <w:t>I.5.1</w:t>
            </w:r>
            <w:r w:rsidR="00DB752F">
              <w:rPr>
                <w:rFonts w:asciiTheme="minorHAnsi" w:eastAsiaTheme="minorEastAsia" w:hAnsiTheme="minorHAnsi"/>
                <w:lang w:eastAsia="en-AU"/>
              </w:rPr>
              <w:tab/>
            </w:r>
            <w:r w:rsidR="00DB752F" w:rsidRPr="005C33B9">
              <w:rPr>
                <w:rStyle w:val="Hyperlink"/>
              </w:rPr>
              <w:t>Response to key issues raised by stakeholders</w:t>
            </w:r>
            <w:r w:rsidR="00DB752F">
              <w:rPr>
                <w:webHidden/>
              </w:rPr>
              <w:tab/>
            </w:r>
            <w:r w:rsidR="00DB752F">
              <w:rPr>
                <w:webHidden/>
              </w:rPr>
              <w:fldChar w:fldCharType="begin"/>
            </w:r>
            <w:r w:rsidR="00DB752F">
              <w:rPr>
                <w:webHidden/>
              </w:rPr>
              <w:instrText xml:space="preserve"> PAGEREF _Toc456686780 \h </w:instrText>
            </w:r>
            <w:r w:rsidR="00DB752F">
              <w:rPr>
                <w:webHidden/>
              </w:rPr>
            </w:r>
            <w:r w:rsidR="00DB752F">
              <w:rPr>
                <w:webHidden/>
              </w:rPr>
              <w:fldChar w:fldCharType="separate"/>
            </w:r>
            <w:r>
              <w:rPr>
                <w:webHidden/>
              </w:rPr>
              <w:t>3-315</w:t>
            </w:r>
            <w:r w:rsidR="00DB752F">
              <w:rPr>
                <w:webHidden/>
              </w:rPr>
              <w:fldChar w:fldCharType="end"/>
            </w:r>
          </w:hyperlink>
        </w:p>
        <w:p w:rsidR="00DB752F" w:rsidRDefault="003F1AAB">
          <w:pPr>
            <w:pStyle w:val="TOC1"/>
            <w:rPr>
              <w:rFonts w:asciiTheme="minorHAnsi" w:eastAsiaTheme="minorEastAsia" w:hAnsiTheme="minorHAnsi"/>
              <w:b w:val="0"/>
              <w:color w:val="auto"/>
              <w:sz w:val="22"/>
              <w:lang w:val="en-AU" w:eastAsia="en-AU"/>
            </w:rPr>
          </w:pPr>
          <w:hyperlink w:anchor="_Toc456686781" w:history="1">
            <w:r w:rsidR="00DB752F" w:rsidRPr="005C33B9">
              <w:rPr>
                <w:rStyle w:val="Hyperlink"/>
              </w:rPr>
              <w:t>J</w:t>
            </w:r>
            <w:r w:rsidR="00DB752F">
              <w:rPr>
                <w:rFonts w:asciiTheme="minorHAnsi" w:eastAsiaTheme="minorEastAsia" w:hAnsiTheme="minorHAnsi"/>
                <w:b w:val="0"/>
                <w:color w:val="auto"/>
                <w:sz w:val="22"/>
                <w:lang w:val="en-AU" w:eastAsia="en-AU"/>
              </w:rPr>
              <w:tab/>
            </w:r>
            <w:r w:rsidR="00DB752F" w:rsidRPr="005C33B9">
              <w:rPr>
                <w:rStyle w:val="Hyperlink"/>
              </w:rPr>
              <w:t>Annually updating the return on debt</w:t>
            </w:r>
            <w:r w:rsidR="00DB752F">
              <w:rPr>
                <w:webHidden/>
              </w:rPr>
              <w:tab/>
            </w:r>
            <w:r w:rsidR="00DB752F">
              <w:rPr>
                <w:webHidden/>
              </w:rPr>
              <w:fldChar w:fldCharType="begin"/>
            </w:r>
            <w:r w:rsidR="00DB752F">
              <w:rPr>
                <w:webHidden/>
              </w:rPr>
              <w:instrText xml:space="preserve"> PAGEREF _Toc456686781 \h </w:instrText>
            </w:r>
            <w:r w:rsidR="00DB752F">
              <w:rPr>
                <w:webHidden/>
              </w:rPr>
            </w:r>
            <w:r w:rsidR="00DB752F">
              <w:rPr>
                <w:webHidden/>
              </w:rPr>
              <w:fldChar w:fldCharType="separate"/>
            </w:r>
            <w:r>
              <w:rPr>
                <w:webHidden/>
              </w:rPr>
              <w:t>3-326</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82" w:history="1">
            <w:r w:rsidR="00DB752F" w:rsidRPr="005C33B9">
              <w:rPr>
                <w:rStyle w:val="Hyperlink"/>
              </w:rPr>
              <w:t>J.1</w:t>
            </w:r>
            <w:r w:rsidR="00DB752F">
              <w:rPr>
                <w:rFonts w:asciiTheme="minorHAnsi" w:eastAsiaTheme="minorEastAsia" w:hAnsiTheme="minorHAnsi"/>
                <w:b w:val="0"/>
                <w:color w:val="auto"/>
                <w:sz w:val="22"/>
                <w:lang w:eastAsia="en-AU"/>
              </w:rPr>
              <w:tab/>
            </w:r>
            <w:r w:rsidR="00DB752F" w:rsidRPr="005C33B9">
              <w:rPr>
                <w:rStyle w:val="Hyperlink"/>
              </w:rPr>
              <w:t>Approach to estimating the return on debt</w:t>
            </w:r>
            <w:r w:rsidR="00DB752F">
              <w:rPr>
                <w:webHidden/>
              </w:rPr>
              <w:tab/>
            </w:r>
            <w:r w:rsidR="00DB752F">
              <w:rPr>
                <w:webHidden/>
              </w:rPr>
              <w:fldChar w:fldCharType="begin"/>
            </w:r>
            <w:r w:rsidR="00DB752F">
              <w:rPr>
                <w:webHidden/>
              </w:rPr>
              <w:instrText xml:space="preserve"> PAGEREF _Toc456686782 \h </w:instrText>
            </w:r>
            <w:r w:rsidR="00DB752F">
              <w:rPr>
                <w:webHidden/>
              </w:rPr>
            </w:r>
            <w:r w:rsidR="00DB752F">
              <w:rPr>
                <w:webHidden/>
              </w:rPr>
              <w:fldChar w:fldCharType="separate"/>
            </w:r>
            <w:r>
              <w:rPr>
                <w:webHidden/>
              </w:rPr>
              <w:t>3-326</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83" w:history="1">
            <w:r w:rsidR="00DB752F" w:rsidRPr="005C33B9">
              <w:rPr>
                <w:rStyle w:val="Hyperlink"/>
              </w:rPr>
              <w:t>J.2</w:t>
            </w:r>
            <w:r w:rsidR="00DB752F">
              <w:rPr>
                <w:rFonts w:asciiTheme="minorHAnsi" w:eastAsiaTheme="minorEastAsia" w:hAnsiTheme="minorHAnsi"/>
                <w:b w:val="0"/>
                <w:color w:val="auto"/>
                <w:sz w:val="22"/>
                <w:lang w:eastAsia="en-AU"/>
              </w:rPr>
              <w:tab/>
            </w:r>
            <w:r w:rsidR="00DB752F" w:rsidRPr="005C33B9">
              <w:rPr>
                <w:rStyle w:val="Hyperlink"/>
              </w:rPr>
              <w:t>Implementing the return on debt approach</w:t>
            </w:r>
            <w:r w:rsidR="00DB752F">
              <w:rPr>
                <w:webHidden/>
              </w:rPr>
              <w:tab/>
            </w:r>
            <w:r w:rsidR="00DB752F">
              <w:rPr>
                <w:webHidden/>
              </w:rPr>
              <w:fldChar w:fldCharType="begin"/>
            </w:r>
            <w:r w:rsidR="00DB752F">
              <w:rPr>
                <w:webHidden/>
              </w:rPr>
              <w:instrText xml:space="preserve"> PAGEREF _Toc456686783 \h </w:instrText>
            </w:r>
            <w:r w:rsidR="00DB752F">
              <w:rPr>
                <w:webHidden/>
              </w:rPr>
            </w:r>
            <w:r w:rsidR="00DB752F">
              <w:rPr>
                <w:webHidden/>
              </w:rPr>
              <w:fldChar w:fldCharType="separate"/>
            </w:r>
            <w:r>
              <w:rPr>
                <w:webHidden/>
              </w:rPr>
              <w:t>3-328</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84" w:history="1">
            <w:r w:rsidR="00DB752F" w:rsidRPr="005C33B9">
              <w:rPr>
                <w:rStyle w:val="Hyperlink"/>
              </w:rPr>
              <w:t>J.2.1</w:t>
            </w:r>
            <w:r w:rsidR="00DB752F">
              <w:rPr>
                <w:rFonts w:asciiTheme="minorHAnsi" w:eastAsiaTheme="minorEastAsia" w:hAnsiTheme="minorHAnsi"/>
                <w:lang w:eastAsia="en-AU"/>
              </w:rPr>
              <w:tab/>
            </w:r>
            <w:r w:rsidR="00DB752F" w:rsidRPr="005C33B9">
              <w:rPr>
                <w:rStyle w:val="Hyperlink"/>
              </w:rPr>
              <w:t>Choice of data series</w:t>
            </w:r>
            <w:r w:rsidR="00DB752F">
              <w:rPr>
                <w:webHidden/>
              </w:rPr>
              <w:tab/>
            </w:r>
            <w:r w:rsidR="00DB752F">
              <w:rPr>
                <w:webHidden/>
              </w:rPr>
              <w:fldChar w:fldCharType="begin"/>
            </w:r>
            <w:r w:rsidR="00DB752F">
              <w:rPr>
                <w:webHidden/>
              </w:rPr>
              <w:instrText xml:space="preserve"> PAGEREF _Toc456686784 \h </w:instrText>
            </w:r>
            <w:r w:rsidR="00DB752F">
              <w:rPr>
                <w:webHidden/>
              </w:rPr>
            </w:r>
            <w:r w:rsidR="00DB752F">
              <w:rPr>
                <w:webHidden/>
              </w:rPr>
              <w:fldChar w:fldCharType="separate"/>
            </w:r>
            <w:r>
              <w:rPr>
                <w:webHidden/>
              </w:rPr>
              <w:t>3-328</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85" w:history="1">
            <w:r w:rsidR="00DB752F" w:rsidRPr="005C33B9">
              <w:rPr>
                <w:rStyle w:val="Hyperlink"/>
              </w:rPr>
              <w:t>J.2.2</w:t>
            </w:r>
            <w:r w:rsidR="00DB752F">
              <w:rPr>
                <w:rFonts w:asciiTheme="minorHAnsi" w:eastAsiaTheme="minorEastAsia" w:hAnsiTheme="minorHAnsi"/>
                <w:lang w:eastAsia="en-AU"/>
              </w:rPr>
              <w:tab/>
            </w:r>
            <w:r w:rsidR="00DB752F" w:rsidRPr="005C33B9">
              <w:rPr>
                <w:rStyle w:val="Hyperlink"/>
              </w:rPr>
              <w:t>Choice of data series—Extrapolation and interpolation issues</w:t>
            </w:r>
            <w:r w:rsidR="00DB752F">
              <w:rPr>
                <w:webHidden/>
              </w:rPr>
              <w:tab/>
            </w:r>
            <w:r w:rsidR="00DB752F">
              <w:rPr>
                <w:webHidden/>
              </w:rPr>
              <w:fldChar w:fldCharType="begin"/>
            </w:r>
            <w:r w:rsidR="00DB752F">
              <w:rPr>
                <w:webHidden/>
              </w:rPr>
              <w:instrText xml:space="preserve"> PAGEREF _Toc456686785 \h </w:instrText>
            </w:r>
            <w:r w:rsidR="00DB752F">
              <w:rPr>
                <w:webHidden/>
              </w:rPr>
            </w:r>
            <w:r w:rsidR="00DB752F">
              <w:rPr>
                <w:webHidden/>
              </w:rPr>
              <w:fldChar w:fldCharType="separate"/>
            </w:r>
            <w:r>
              <w:rPr>
                <w:webHidden/>
              </w:rPr>
              <w:t>3-329</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86" w:history="1">
            <w:r w:rsidR="00DB752F" w:rsidRPr="005C33B9">
              <w:rPr>
                <w:rStyle w:val="Hyperlink"/>
              </w:rPr>
              <w:t>J.2.3</w:t>
            </w:r>
            <w:r w:rsidR="00DB752F">
              <w:rPr>
                <w:rFonts w:asciiTheme="minorHAnsi" w:eastAsiaTheme="minorEastAsia" w:hAnsiTheme="minorHAnsi"/>
                <w:lang w:eastAsia="en-AU"/>
              </w:rPr>
              <w:tab/>
            </w:r>
            <w:r w:rsidR="00DB752F" w:rsidRPr="005C33B9">
              <w:rPr>
                <w:rStyle w:val="Hyperlink"/>
              </w:rPr>
              <w:t>Choice of data series—Step-by-step guide to calculations</w:t>
            </w:r>
            <w:r w:rsidR="00DB752F">
              <w:rPr>
                <w:webHidden/>
              </w:rPr>
              <w:tab/>
            </w:r>
            <w:r w:rsidR="00DB752F">
              <w:rPr>
                <w:webHidden/>
              </w:rPr>
              <w:fldChar w:fldCharType="begin"/>
            </w:r>
            <w:r w:rsidR="00DB752F">
              <w:rPr>
                <w:webHidden/>
              </w:rPr>
              <w:instrText xml:space="preserve"> PAGEREF _Toc456686786 \h </w:instrText>
            </w:r>
            <w:r w:rsidR="00DB752F">
              <w:rPr>
                <w:webHidden/>
              </w:rPr>
            </w:r>
            <w:r w:rsidR="00DB752F">
              <w:rPr>
                <w:webHidden/>
              </w:rPr>
              <w:fldChar w:fldCharType="separate"/>
            </w:r>
            <w:r>
              <w:rPr>
                <w:webHidden/>
              </w:rPr>
              <w:t>3-331</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87" w:history="1">
            <w:r w:rsidR="00DB752F" w:rsidRPr="005C33B9">
              <w:rPr>
                <w:rStyle w:val="Hyperlink"/>
              </w:rPr>
              <w:t>J.2.4</w:t>
            </w:r>
            <w:r w:rsidR="00DB752F">
              <w:rPr>
                <w:rFonts w:asciiTheme="minorHAnsi" w:eastAsiaTheme="minorEastAsia" w:hAnsiTheme="minorHAnsi"/>
                <w:lang w:eastAsia="en-AU"/>
              </w:rPr>
              <w:tab/>
            </w:r>
            <w:r w:rsidR="00DB752F" w:rsidRPr="005C33B9">
              <w:rPr>
                <w:rStyle w:val="Hyperlink"/>
              </w:rPr>
              <w:t>Choice of data series—Contingencies</w:t>
            </w:r>
            <w:r w:rsidR="00DB752F">
              <w:rPr>
                <w:webHidden/>
              </w:rPr>
              <w:tab/>
            </w:r>
            <w:r w:rsidR="00DB752F">
              <w:rPr>
                <w:webHidden/>
              </w:rPr>
              <w:fldChar w:fldCharType="begin"/>
            </w:r>
            <w:r w:rsidR="00DB752F">
              <w:rPr>
                <w:webHidden/>
              </w:rPr>
              <w:instrText xml:space="preserve"> PAGEREF _Toc456686787 \h </w:instrText>
            </w:r>
            <w:r w:rsidR="00DB752F">
              <w:rPr>
                <w:webHidden/>
              </w:rPr>
            </w:r>
            <w:r w:rsidR="00DB752F">
              <w:rPr>
                <w:webHidden/>
              </w:rPr>
              <w:fldChar w:fldCharType="separate"/>
            </w:r>
            <w:r>
              <w:rPr>
                <w:webHidden/>
              </w:rPr>
              <w:t>3-334</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88" w:history="1">
            <w:r w:rsidR="00DB752F" w:rsidRPr="005C33B9">
              <w:rPr>
                <w:rStyle w:val="Hyperlink"/>
              </w:rPr>
              <w:t>J.2.5</w:t>
            </w:r>
            <w:r w:rsidR="00DB752F">
              <w:rPr>
                <w:rFonts w:asciiTheme="minorHAnsi" w:eastAsiaTheme="minorEastAsia" w:hAnsiTheme="minorHAnsi"/>
                <w:lang w:eastAsia="en-AU"/>
              </w:rPr>
              <w:tab/>
            </w:r>
            <w:r w:rsidR="00DB752F" w:rsidRPr="005C33B9">
              <w:rPr>
                <w:rStyle w:val="Hyperlink"/>
              </w:rPr>
              <w:t>Timing of annual updates</w:t>
            </w:r>
            <w:r w:rsidR="00DB752F">
              <w:rPr>
                <w:webHidden/>
              </w:rPr>
              <w:tab/>
            </w:r>
            <w:r w:rsidR="00DB752F">
              <w:rPr>
                <w:webHidden/>
              </w:rPr>
              <w:fldChar w:fldCharType="begin"/>
            </w:r>
            <w:r w:rsidR="00DB752F">
              <w:rPr>
                <w:webHidden/>
              </w:rPr>
              <w:instrText xml:space="preserve"> PAGEREF _Toc456686788 \h </w:instrText>
            </w:r>
            <w:r w:rsidR="00DB752F">
              <w:rPr>
                <w:webHidden/>
              </w:rPr>
            </w:r>
            <w:r w:rsidR="00DB752F">
              <w:rPr>
                <w:webHidden/>
              </w:rPr>
              <w:fldChar w:fldCharType="separate"/>
            </w:r>
            <w:r>
              <w:rPr>
                <w:webHidden/>
              </w:rPr>
              <w:t>3-336</w:t>
            </w:r>
            <w:r w:rsidR="00DB752F">
              <w:rPr>
                <w:webHidden/>
              </w:rPr>
              <w:fldChar w:fldCharType="end"/>
            </w:r>
          </w:hyperlink>
        </w:p>
        <w:p w:rsidR="00DB752F" w:rsidRDefault="003F1AAB">
          <w:pPr>
            <w:pStyle w:val="TOC1"/>
            <w:rPr>
              <w:rFonts w:asciiTheme="minorHAnsi" w:eastAsiaTheme="minorEastAsia" w:hAnsiTheme="minorHAnsi"/>
              <w:b w:val="0"/>
              <w:color w:val="auto"/>
              <w:sz w:val="22"/>
              <w:lang w:val="en-AU" w:eastAsia="en-AU"/>
            </w:rPr>
          </w:pPr>
          <w:hyperlink w:anchor="_Toc456686789" w:history="1">
            <w:r w:rsidR="00DB752F" w:rsidRPr="005C33B9">
              <w:rPr>
                <w:rStyle w:val="Hyperlink"/>
              </w:rPr>
              <w:t>K</w:t>
            </w:r>
            <w:r w:rsidR="00DB752F">
              <w:rPr>
                <w:rFonts w:asciiTheme="minorHAnsi" w:eastAsiaTheme="minorEastAsia" w:hAnsiTheme="minorHAnsi"/>
                <w:b w:val="0"/>
                <w:color w:val="auto"/>
                <w:sz w:val="22"/>
                <w:lang w:val="en-AU" w:eastAsia="en-AU"/>
              </w:rPr>
              <w:tab/>
            </w:r>
            <w:r w:rsidR="00DB752F" w:rsidRPr="005C33B9">
              <w:rPr>
                <w:rStyle w:val="Hyperlink"/>
              </w:rPr>
              <w:t>Equity and debt raising costs</w:t>
            </w:r>
            <w:r w:rsidR="00DB752F">
              <w:rPr>
                <w:webHidden/>
              </w:rPr>
              <w:tab/>
            </w:r>
            <w:r w:rsidR="00DB752F">
              <w:rPr>
                <w:webHidden/>
              </w:rPr>
              <w:fldChar w:fldCharType="begin"/>
            </w:r>
            <w:r w:rsidR="00DB752F">
              <w:rPr>
                <w:webHidden/>
              </w:rPr>
              <w:instrText xml:space="preserve"> PAGEREF _Toc456686789 \h </w:instrText>
            </w:r>
            <w:r w:rsidR="00DB752F">
              <w:rPr>
                <w:webHidden/>
              </w:rPr>
            </w:r>
            <w:r w:rsidR="00DB752F">
              <w:rPr>
                <w:webHidden/>
              </w:rPr>
              <w:fldChar w:fldCharType="separate"/>
            </w:r>
            <w:r>
              <w:rPr>
                <w:webHidden/>
              </w:rPr>
              <w:t>3-338</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90" w:history="1">
            <w:r w:rsidR="00DB752F" w:rsidRPr="005C33B9">
              <w:rPr>
                <w:rStyle w:val="Hyperlink"/>
              </w:rPr>
              <w:t>K.1</w:t>
            </w:r>
            <w:r w:rsidR="00DB752F">
              <w:rPr>
                <w:rFonts w:asciiTheme="minorHAnsi" w:eastAsiaTheme="minorEastAsia" w:hAnsiTheme="minorHAnsi"/>
                <w:b w:val="0"/>
                <w:color w:val="auto"/>
                <w:sz w:val="22"/>
                <w:lang w:eastAsia="en-AU"/>
              </w:rPr>
              <w:tab/>
            </w:r>
            <w:r w:rsidR="00DB752F" w:rsidRPr="005C33B9">
              <w:rPr>
                <w:rStyle w:val="Hyperlink"/>
              </w:rPr>
              <w:t>Equity raising costs</w:t>
            </w:r>
            <w:r w:rsidR="00DB752F">
              <w:rPr>
                <w:webHidden/>
              </w:rPr>
              <w:tab/>
            </w:r>
            <w:r w:rsidR="00DB752F">
              <w:rPr>
                <w:webHidden/>
              </w:rPr>
              <w:fldChar w:fldCharType="begin"/>
            </w:r>
            <w:r w:rsidR="00DB752F">
              <w:rPr>
                <w:webHidden/>
              </w:rPr>
              <w:instrText xml:space="preserve"> PAGEREF _Toc456686790 \h </w:instrText>
            </w:r>
            <w:r w:rsidR="00DB752F">
              <w:rPr>
                <w:webHidden/>
              </w:rPr>
            </w:r>
            <w:r w:rsidR="00DB752F">
              <w:rPr>
                <w:webHidden/>
              </w:rPr>
              <w:fldChar w:fldCharType="separate"/>
            </w:r>
            <w:r>
              <w:rPr>
                <w:webHidden/>
              </w:rPr>
              <w:t>3-338</w:t>
            </w:r>
            <w:r w:rsidR="00DB752F">
              <w:rPr>
                <w:webHidden/>
              </w:rPr>
              <w:fldChar w:fldCharType="end"/>
            </w:r>
          </w:hyperlink>
        </w:p>
        <w:p w:rsidR="00DB752F" w:rsidRDefault="003F1AAB">
          <w:pPr>
            <w:pStyle w:val="TOC2"/>
            <w:rPr>
              <w:rFonts w:asciiTheme="minorHAnsi" w:eastAsiaTheme="minorEastAsia" w:hAnsiTheme="minorHAnsi"/>
              <w:b w:val="0"/>
              <w:color w:val="auto"/>
              <w:sz w:val="22"/>
              <w:lang w:eastAsia="en-AU"/>
            </w:rPr>
          </w:pPr>
          <w:hyperlink w:anchor="_Toc456686791" w:history="1">
            <w:r w:rsidR="00DB752F" w:rsidRPr="005C33B9">
              <w:rPr>
                <w:rStyle w:val="Hyperlink"/>
              </w:rPr>
              <w:t>K.2</w:t>
            </w:r>
            <w:r w:rsidR="00DB752F">
              <w:rPr>
                <w:rFonts w:asciiTheme="minorHAnsi" w:eastAsiaTheme="minorEastAsia" w:hAnsiTheme="minorHAnsi"/>
                <w:b w:val="0"/>
                <w:color w:val="auto"/>
                <w:sz w:val="22"/>
                <w:lang w:eastAsia="en-AU"/>
              </w:rPr>
              <w:tab/>
            </w:r>
            <w:r w:rsidR="00DB752F" w:rsidRPr="005C33B9">
              <w:rPr>
                <w:rStyle w:val="Hyperlink"/>
              </w:rPr>
              <w:t>Debt raising costs</w:t>
            </w:r>
            <w:r w:rsidR="00DB752F">
              <w:rPr>
                <w:webHidden/>
              </w:rPr>
              <w:tab/>
            </w:r>
            <w:r w:rsidR="00DB752F">
              <w:rPr>
                <w:webHidden/>
              </w:rPr>
              <w:fldChar w:fldCharType="begin"/>
            </w:r>
            <w:r w:rsidR="00DB752F">
              <w:rPr>
                <w:webHidden/>
              </w:rPr>
              <w:instrText xml:space="preserve"> PAGEREF _Toc456686791 \h </w:instrText>
            </w:r>
            <w:r w:rsidR="00DB752F">
              <w:rPr>
                <w:webHidden/>
              </w:rPr>
            </w:r>
            <w:r w:rsidR="00DB752F">
              <w:rPr>
                <w:webHidden/>
              </w:rPr>
              <w:fldChar w:fldCharType="separate"/>
            </w:r>
            <w:r>
              <w:rPr>
                <w:webHidden/>
              </w:rPr>
              <w:t>3-339</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92" w:history="1">
            <w:r w:rsidR="00DB752F" w:rsidRPr="005C33B9">
              <w:rPr>
                <w:rStyle w:val="Hyperlink"/>
              </w:rPr>
              <w:t>K.2.1</w:t>
            </w:r>
            <w:r w:rsidR="00DB752F">
              <w:rPr>
                <w:rFonts w:asciiTheme="minorHAnsi" w:eastAsiaTheme="minorEastAsia" w:hAnsiTheme="minorHAnsi"/>
                <w:lang w:eastAsia="en-AU"/>
              </w:rPr>
              <w:tab/>
            </w:r>
            <w:r w:rsidR="00DB752F" w:rsidRPr="005C33B9">
              <w:rPr>
                <w:rStyle w:val="Hyperlink"/>
              </w:rPr>
              <w:t>Draft decision</w:t>
            </w:r>
            <w:r w:rsidR="00DB752F">
              <w:rPr>
                <w:webHidden/>
              </w:rPr>
              <w:tab/>
            </w:r>
            <w:r w:rsidR="00DB752F">
              <w:rPr>
                <w:webHidden/>
              </w:rPr>
              <w:fldChar w:fldCharType="begin"/>
            </w:r>
            <w:r w:rsidR="00DB752F">
              <w:rPr>
                <w:webHidden/>
              </w:rPr>
              <w:instrText xml:space="preserve"> PAGEREF _Toc456686792 \h </w:instrText>
            </w:r>
            <w:r w:rsidR="00DB752F">
              <w:rPr>
                <w:webHidden/>
              </w:rPr>
            </w:r>
            <w:r w:rsidR="00DB752F">
              <w:rPr>
                <w:webHidden/>
              </w:rPr>
              <w:fldChar w:fldCharType="separate"/>
            </w:r>
            <w:r>
              <w:rPr>
                <w:webHidden/>
              </w:rPr>
              <w:t>3-339</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93" w:history="1">
            <w:r w:rsidR="00DB752F" w:rsidRPr="005C33B9">
              <w:rPr>
                <w:rStyle w:val="Hyperlink"/>
              </w:rPr>
              <w:t>K.2.2</w:t>
            </w:r>
            <w:r w:rsidR="00DB752F">
              <w:rPr>
                <w:rFonts w:asciiTheme="minorHAnsi" w:eastAsiaTheme="minorEastAsia" w:hAnsiTheme="minorHAnsi"/>
                <w:lang w:eastAsia="en-AU"/>
              </w:rPr>
              <w:tab/>
            </w:r>
            <w:r w:rsidR="00DB752F" w:rsidRPr="005C33B9">
              <w:rPr>
                <w:rStyle w:val="Hyperlink"/>
              </w:rPr>
              <w:t>AER's assessment approach</w:t>
            </w:r>
            <w:r w:rsidR="00DB752F">
              <w:rPr>
                <w:webHidden/>
              </w:rPr>
              <w:tab/>
            </w:r>
            <w:r w:rsidR="00DB752F">
              <w:rPr>
                <w:webHidden/>
              </w:rPr>
              <w:fldChar w:fldCharType="begin"/>
            </w:r>
            <w:r w:rsidR="00DB752F">
              <w:rPr>
                <w:webHidden/>
              </w:rPr>
              <w:instrText xml:space="preserve"> PAGEREF _Toc456686793 \h </w:instrText>
            </w:r>
            <w:r w:rsidR="00DB752F">
              <w:rPr>
                <w:webHidden/>
              </w:rPr>
            </w:r>
            <w:r w:rsidR="00DB752F">
              <w:rPr>
                <w:webHidden/>
              </w:rPr>
              <w:fldChar w:fldCharType="separate"/>
            </w:r>
            <w:r>
              <w:rPr>
                <w:webHidden/>
              </w:rPr>
              <w:t>3-339</w:t>
            </w:r>
            <w:r w:rsidR="00DB752F">
              <w:rPr>
                <w:webHidden/>
              </w:rPr>
              <w:fldChar w:fldCharType="end"/>
            </w:r>
          </w:hyperlink>
        </w:p>
        <w:p w:rsidR="00DB752F" w:rsidRDefault="003F1AAB">
          <w:pPr>
            <w:pStyle w:val="TOC3"/>
            <w:rPr>
              <w:rFonts w:asciiTheme="minorHAnsi" w:eastAsiaTheme="minorEastAsia" w:hAnsiTheme="minorHAnsi"/>
              <w:lang w:eastAsia="en-AU"/>
            </w:rPr>
          </w:pPr>
          <w:hyperlink w:anchor="_Toc456686794" w:history="1">
            <w:r w:rsidR="00DB752F" w:rsidRPr="005C33B9">
              <w:rPr>
                <w:rStyle w:val="Hyperlink"/>
              </w:rPr>
              <w:t>K.2.3</w:t>
            </w:r>
            <w:r w:rsidR="00DB752F">
              <w:rPr>
                <w:rFonts w:asciiTheme="minorHAnsi" w:eastAsiaTheme="minorEastAsia" w:hAnsiTheme="minorHAnsi"/>
                <w:lang w:eastAsia="en-AU"/>
              </w:rPr>
              <w:tab/>
            </w:r>
            <w:r w:rsidR="00DB752F" w:rsidRPr="005C33B9">
              <w:rPr>
                <w:rStyle w:val="Hyperlink"/>
              </w:rPr>
              <w:t>Reasons for draft decision</w:t>
            </w:r>
            <w:r w:rsidR="00DB752F">
              <w:rPr>
                <w:webHidden/>
              </w:rPr>
              <w:tab/>
            </w:r>
            <w:r w:rsidR="00DB752F">
              <w:rPr>
                <w:webHidden/>
              </w:rPr>
              <w:fldChar w:fldCharType="begin"/>
            </w:r>
            <w:r w:rsidR="00DB752F">
              <w:rPr>
                <w:webHidden/>
              </w:rPr>
              <w:instrText xml:space="preserve"> PAGEREF _Toc456686794 \h </w:instrText>
            </w:r>
            <w:r w:rsidR="00DB752F">
              <w:rPr>
                <w:webHidden/>
              </w:rPr>
            </w:r>
            <w:r w:rsidR="00DB752F">
              <w:rPr>
                <w:webHidden/>
              </w:rPr>
              <w:fldChar w:fldCharType="separate"/>
            </w:r>
            <w:r>
              <w:rPr>
                <w:webHidden/>
              </w:rPr>
              <w:t>3-340</w:t>
            </w:r>
            <w:r w:rsidR="00DB752F">
              <w:rPr>
                <w:webHidden/>
              </w:rPr>
              <w:fldChar w:fldCharType="end"/>
            </w:r>
          </w:hyperlink>
        </w:p>
        <w:p w:rsidR="00E42A91" w:rsidRDefault="00DB752F" w:rsidP="00DB752F">
          <w:pPr>
            <w:pStyle w:val="TOC1"/>
          </w:pPr>
          <w:r>
            <w:fldChar w:fldCharType="end"/>
          </w:r>
        </w:p>
      </w:sdtContent>
    </w:sdt>
    <w:p w:rsidR="00DE563D" w:rsidRDefault="00C84560">
      <w:pPr>
        <w:spacing w:line="240" w:lineRule="auto"/>
      </w:pPr>
      <w:r>
        <w:t xml:space="preserve"> </w:t>
      </w:r>
    </w:p>
    <w:p w:rsidR="00DE563D" w:rsidRDefault="00DE563D" w:rsidP="00DE563D">
      <w:pPr>
        <w:pStyle w:val="UnnumberedHeading"/>
        <w:numPr>
          <w:ilvl w:val="0"/>
          <w:numId w:val="24"/>
        </w:numPr>
      </w:pPr>
      <w:bookmarkStart w:id="7" w:name="_Toc404700925"/>
      <w:bookmarkStart w:id="8" w:name="_Toc456686691"/>
      <w:r>
        <w:t>Shortened forms</w:t>
      </w:r>
      <w:bookmarkEnd w:id="7"/>
      <w:bookmarkEnd w:id="8"/>
    </w:p>
    <w:p w:rsidR="00DE563D" w:rsidRDefault="00DE563D" w:rsidP="00415F31"/>
    <w:tbl>
      <w:tblPr>
        <w:tblStyle w:val="AERtable-numbers"/>
        <w:tblW w:w="0" w:type="auto"/>
        <w:tblLook w:val="04A0" w:firstRow="1" w:lastRow="0" w:firstColumn="1" w:lastColumn="0" w:noHBand="0" w:noVBand="1"/>
      </w:tblPr>
      <w:tblGrid>
        <w:gridCol w:w="4340"/>
        <w:gridCol w:w="4353"/>
      </w:tblGrid>
      <w:tr w:rsidR="00415F31" w:rsidTr="00E76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Shortened form</w:t>
            </w:r>
          </w:p>
        </w:tc>
        <w:tc>
          <w:tcPr>
            <w:tcW w:w="4621" w:type="dxa"/>
          </w:tcPr>
          <w:p w:rsidR="00415F31" w:rsidRDefault="00415F31" w:rsidP="00415F31">
            <w:pPr>
              <w:numPr>
                <w:ilvl w:val="0"/>
                <w:numId w:val="25"/>
              </w:numPr>
              <w:spacing w:after="240" w:line="288" w:lineRule="auto"/>
              <w:jc w:val="both"/>
              <w:cnfStyle w:val="100000000000" w:firstRow="1" w:lastRow="0" w:firstColumn="0" w:lastColumn="0" w:oddVBand="0" w:evenVBand="0" w:oddHBand="0" w:evenHBand="0" w:firstRowFirstColumn="0" w:firstRowLastColumn="0" w:lastRowFirstColumn="0" w:lastRowLastColumn="0"/>
            </w:pPr>
            <w:r>
              <w:t>Extended form</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AARR</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aggregate annual revenue requirement</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AEMC</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Australian Energy Market Commission</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AEMO</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Australian Energy Market Operator</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AER</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Australian Energy Regulator</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ASRR</w:t>
            </w:r>
          </w:p>
        </w:tc>
        <w:tc>
          <w:tcPr>
            <w:tcW w:w="4621" w:type="dxa"/>
          </w:tcPr>
          <w:p w:rsidR="00415F31" w:rsidRDefault="009D3906"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annual</w:t>
            </w:r>
            <w:r w:rsidR="00415F31">
              <w:t xml:space="preserve"> service revenue requirement</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augex</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augmentation expenditure</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capex</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capital expenditure</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CCP</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Consumer Challenge Panel</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CESS</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capital expenditure sharing scheme</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CPI</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consumer price index</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DRP</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debt risk premium</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EBSS</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efficiency benefit sharing scheme</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ERP</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equity risk premium</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MAR</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maximum allowed revenue</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MRP</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market risk premium</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NEL</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national electricity law</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NEM</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national electricity market</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NEO</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national electricity objective</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NER</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national electricity rules</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NSP</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network service provider</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NTSC</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negotiated transmission service criteria</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opex</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operating expenditure</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PPI</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partial performance indicators</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PTRM</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post-tax revenue model</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RAB</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regulatory asset base</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RBA</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Reserve Bank of Australia</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repex</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replacement expenditure</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RFM</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roll forward model</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RIN</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regulatory information notice</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RPP</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 xml:space="preserve">revenue </w:t>
            </w:r>
            <w:r w:rsidR="002D72E8">
              <w:t xml:space="preserve">and </w:t>
            </w:r>
            <w:r>
              <w:t>pricing principles</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SLCAPM</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Sharpe-Lintner capital asset pricing model</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STPIS</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service target performance incentive scheme</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TNSP</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transmission network service provider</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TUoS</w:t>
            </w:r>
          </w:p>
        </w:tc>
        <w:tc>
          <w:tcPr>
            <w:tcW w:w="4621"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transmission use of system</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415F31">
            <w:pPr>
              <w:numPr>
                <w:ilvl w:val="0"/>
                <w:numId w:val="25"/>
              </w:numPr>
              <w:spacing w:after="240" w:line="288" w:lineRule="auto"/>
              <w:jc w:val="both"/>
            </w:pPr>
            <w:r>
              <w:t>WACC</w:t>
            </w:r>
          </w:p>
        </w:tc>
        <w:tc>
          <w:tcPr>
            <w:tcW w:w="4621"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weighted average cost of capital</w:t>
            </w:r>
          </w:p>
        </w:tc>
      </w:tr>
    </w:tbl>
    <w:p w:rsidR="00415F31" w:rsidRPr="00271F7C" w:rsidRDefault="00415F31" w:rsidP="00415F31"/>
    <w:p w:rsidR="00DE563D" w:rsidRPr="00436A39" w:rsidRDefault="00DE563D" w:rsidP="00DE563D">
      <w:pPr>
        <w:numPr>
          <w:ilvl w:val="0"/>
          <w:numId w:val="25"/>
        </w:numPr>
      </w:pPr>
    </w:p>
    <w:p w:rsidR="00DE563D" w:rsidRDefault="00DE563D" w:rsidP="00DE563D"/>
    <w:p w:rsidR="00DE563D" w:rsidRDefault="00E7682C" w:rsidP="00E7682C">
      <w:pPr>
        <w:pStyle w:val="Heading1"/>
      </w:pPr>
      <w:bookmarkStart w:id="9" w:name="_Toc456686692"/>
      <w:r>
        <w:t>Rate of return</w:t>
      </w:r>
      <w:bookmarkEnd w:id="9"/>
    </w:p>
    <w:p w:rsidR="00933E3E" w:rsidRPr="00132D43" w:rsidRDefault="00933E3E" w:rsidP="00933E3E">
      <w:bookmarkStart w:id="10" w:name="_Toc403144137"/>
      <w:r w:rsidRPr="00796C00">
        <w:t>The allowed rate of return provides a network service provider a return on capital</w:t>
      </w:r>
      <w:r>
        <w:t xml:space="preserve"> that a benchmark efficient entity would require</w:t>
      </w:r>
      <w:r w:rsidRPr="00796C00">
        <w:t xml:space="preserve"> to </w:t>
      </w:r>
      <w:r>
        <w:t>finance (through debt and equity) investment in its network</w:t>
      </w:r>
      <w:r w:rsidRPr="00796C00">
        <w:t>.</w:t>
      </w:r>
      <w:r>
        <w:rPr>
          <w:rStyle w:val="FootnoteReference"/>
        </w:rPr>
        <w:footnoteReference w:id="1"/>
      </w:r>
      <w:r w:rsidRPr="00796C00">
        <w:t xml:space="preserve"> The return on capital building block is calculated as a product of the rate of return and the value of the regulatory asset base (RAB). The rate of return is discussed in this attachment.</w:t>
      </w:r>
    </w:p>
    <w:p w:rsidR="00933E3E" w:rsidRPr="009E2035" w:rsidRDefault="00933E3E" w:rsidP="009E2035">
      <w:pPr>
        <w:pStyle w:val="Heading2"/>
      </w:pPr>
      <w:bookmarkStart w:id="11" w:name="_Toc456686693"/>
      <w:r w:rsidRPr="009E2035">
        <w:t>Draft decision</w:t>
      </w:r>
      <w:bookmarkEnd w:id="11"/>
    </w:p>
    <w:p w:rsidR="00933E3E" w:rsidRDefault="00933E3E" w:rsidP="00933E3E">
      <w:pPr>
        <w:numPr>
          <w:ilvl w:val="0"/>
          <w:numId w:val="25"/>
        </w:numPr>
      </w:pPr>
      <w:r>
        <w:t xml:space="preserve">We are satisfied that the allowed rate of return of </w:t>
      </w:r>
      <w:r w:rsidR="00FD4521">
        <w:t>6.16</w:t>
      </w:r>
      <w:r>
        <w:t xml:space="preserve"> per cent (nominal vanilla) we </w:t>
      </w:r>
      <w:r w:rsidR="006432F7">
        <w:t xml:space="preserve">have </w:t>
      </w:r>
      <w:r>
        <w:t xml:space="preserve">determined achieves the </w:t>
      </w:r>
      <w:r w:rsidRPr="00E75E61">
        <w:t xml:space="preserve">allowed </w:t>
      </w:r>
      <w:r>
        <w:t>rate of return objective (ARORO).</w:t>
      </w:r>
      <w:r>
        <w:rPr>
          <w:rStyle w:val="FootnoteReference"/>
        </w:rPr>
        <w:footnoteReference w:id="2"/>
      </w:r>
      <w:r>
        <w:t xml:space="preserve"> That is, we are satisfied that this allowed rate of return is commensurate with the efficient financing costs of a benchmark efficient entity with a similar degree of risk as that which applies to AusNet Services in providing </w:t>
      </w:r>
      <w:r w:rsidR="00725729">
        <w:t>prescribed</w:t>
      </w:r>
      <w:r w:rsidR="0042654C">
        <w:t xml:space="preserve"> transmission</w:t>
      </w:r>
      <w:r>
        <w:t xml:space="preserve"> services.</w:t>
      </w:r>
      <w:r>
        <w:rPr>
          <w:rStyle w:val="FootnoteReference"/>
        </w:rPr>
        <w:footnoteReference w:id="3"/>
      </w:r>
    </w:p>
    <w:p w:rsidR="00933E3E" w:rsidRDefault="00933E3E" w:rsidP="00933E3E">
      <w:pPr>
        <w:numPr>
          <w:ilvl w:val="0"/>
          <w:numId w:val="25"/>
        </w:numPr>
      </w:pPr>
      <w:r>
        <w:t>This allowed rate of return wi</w:t>
      </w:r>
      <w:r w:rsidR="00720FD1">
        <w:t>ll apply to AusNet Services for 201</w:t>
      </w:r>
      <w:r w:rsidR="00CD007F">
        <w:t>7</w:t>
      </w:r>
      <w:r w:rsidR="00720FD1">
        <w:t>–1</w:t>
      </w:r>
      <w:r w:rsidR="00CD007F">
        <w:t>8</w:t>
      </w:r>
      <w:r>
        <w:t>. A different rate of return will apply to AusNet Services for the remaining regulatory years of the 201</w:t>
      </w:r>
      <w:r w:rsidR="00FB2460">
        <w:t>7</w:t>
      </w:r>
      <w:r w:rsidR="00720FD1">
        <w:t>–</w:t>
      </w:r>
      <w:r>
        <w:t xml:space="preserve">22 regulatory control </w:t>
      </w:r>
      <w:proofErr w:type="gramStart"/>
      <w:r>
        <w:t>period</w:t>
      </w:r>
      <w:proofErr w:type="gramEnd"/>
      <w:r>
        <w:t xml:space="preserve">. This is because we will update the return on debt component of the rate of return each year to partially reflect prevailing debt market conditions in each year. We discuss this annual update further below. </w:t>
      </w:r>
    </w:p>
    <w:p w:rsidR="00933E3E" w:rsidRPr="009E54A9" w:rsidRDefault="00933E3E" w:rsidP="00933E3E">
      <w:r>
        <w:t xml:space="preserve">We are not satisfied that AusNet Services' proposed (indicative) 7.22 per cent rate of return for </w:t>
      </w:r>
      <w:r w:rsidR="00720FD1">
        <w:t>201</w:t>
      </w:r>
      <w:r w:rsidR="00CD007F">
        <w:t>7</w:t>
      </w:r>
      <w:r w:rsidR="00720FD1">
        <w:t>–1</w:t>
      </w:r>
      <w:r w:rsidR="00CD007F">
        <w:t>8</w:t>
      </w:r>
      <w:r w:rsidR="00720FD1">
        <w:t xml:space="preserve"> </w:t>
      </w:r>
      <w:r>
        <w:t>has been determined such that it achieves the ARORO.</w:t>
      </w:r>
      <w:r>
        <w:rPr>
          <w:rStyle w:val="FootnoteReference"/>
        </w:rPr>
        <w:footnoteReference w:id="4"/>
      </w:r>
      <w:r>
        <w:t xml:space="preserve"> </w:t>
      </w:r>
    </w:p>
    <w:p w:rsidR="00933E3E" w:rsidRDefault="00933E3E" w:rsidP="00933E3E">
      <w:pPr>
        <w:numPr>
          <w:ilvl w:val="0"/>
          <w:numId w:val="25"/>
        </w:numPr>
      </w:pPr>
      <w:r>
        <w:t>Our allowed rate of return is a weighted average of our return on equity and return on debt estimates (WACC)</w:t>
      </w:r>
      <w:r w:rsidRPr="008E2B69">
        <w:t xml:space="preserve"> </w:t>
      </w:r>
      <w:r>
        <w:t>determined on a nominal vanilla basis that is consistent with our estimate of the value of imputation credits.</w:t>
      </w:r>
      <w:r>
        <w:rPr>
          <w:rStyle w:val="FootnoteReference"/>
        </w:rPr>
        <w:footnoteReference w:id="5"/>
      </w:r>
      <w:r>
        <w:t xml:space="preserve"> We are to determine the allowed rate of return such that it </w:t>
      </w:r>
      <w:r w:rsidRPr="003248EB">
        <w:t xml:space="preserve">achieves the </w:t>
      </w:r>
      <w:r>
        <w:t>ARORO.</w:t>
      </w:r>
      <w:r>
        <w:rPr>
          <w:rStyle w:val="FootnoteReference"/>
        </w:rPr>
        <w:footnoteReference w:id="6"/>
      </w:r>
      <w:r>
        <w:t xml:space="preserve">  Also, in arriving at our decision we have taken into account the revenue and pricing principles (RPPs) and are also satisfied that our decision will or is likely to contribute to the achievement of the National Electricity Objective (NEO).</w:t>
      </w:r>
      <w:r>
        <w:rPr>
          <w:rStyle w:val="FootnoteReference"/>
        </w:rPr>
        <w:footnoteReference w:id="7"/>
      </w:r>
      <w:r>
        <w:t xml:space="preserve"> Our rate of return and AusNet Services' proposed rate of return is set out in the following </w:t>
      </w:r>
      <w:r>
        <w:fldChar w:fldCharType="begin"/>
      </w:r>
      <w:r>
        <w:instrText xml:space="preserve"> REF  _Ref420688085 \* Lower \h </w:instrText>
      </w:r>
      <w:r>
        <w:fldChar w:fldCharType="separate"/>
      </w:r>
      <w:r w:rsidR="003F1AAB">
        <w:t xml:space="preserve">table </w:t>
      </w:r>
      <w:r w:rsidR="003F1AAB">
        <w:rPr>
          <w:noProof/>
        </w:rPr>
        <w:t>3</w:t>
      </w:r>
      <w:r w:rsidR="003F1AAB">
        <w:noBreakHyphen/>
      </w:r>
      <w:r w:rsidR="003F1AAB">
        <w:rPr>
          <w:noProof/>
        </w:rPr>
        <w:t>1</w:t>
      </w:r>
      <w:r>
        <w:fldChar w:fldCharType="end"/>
      </w:r>
      <w:r>
        <w:t>.</w:t>
      </w:r>
    </w:p>
    <w:p w:rsidR="00720FD1" w:rsidRDefault="00720FD1" w:rsidP="00933E3E">
      <w:pPr>
        <w:numPr>
          <w:ilvl w:val="0"/>
          <w:numId w:val="25"/>
        </w:numPr>
      </w:pPr>
    </w:p>
    <w:p w:rsidR="00933E3E" w:rsidRDefault="00933E3E" w:rsidP="00933E3E">
      <w:pPr>
        <w:pStyle w:val="Caption"/>
        <w:numPr>
          <w:ilvl w:val="0"/>
          <w:numId w:val="25"/>
        </w:numPr>
      </w:pPr>
      <w:bookmarkStart w:id="12" w:name="_Ref420688085"/>
      <w:r>
        <w:t xml:space="preserve">Table </w:t>
      </w:r>
      <w:r w:rsidRPr="00933E3E">
        <w:fldChar w:fldCharType="begin"/>
      </w:r>
      <w:r>
        <w:instrText xml:space="preserve"> STYLEREF 1 \s </w:instrText>
      </w:r>
      <w:r w:rsidRPr="00933E3E">
        <w:fldChar w:fldCharType="separate"/>
      </w:r>
      <w:r w:rsidR="003F1AAB">
        <w:rPr>
          <w:noProof/>
        </w:rPr>
        <w:t>3</w:t>
      </w:r>
      <w:r w:rsidRPr="00933E3E">
        <w:fldChar w:fldCharType="end"/>
      </w:r>
      <w:r>
        <w:noBreakHyphen/>
      </w:r>
      <w:r w:rsidRPr="00933E3E">
        <w:fldChar w:fldCharType="begin"/>
      </w:r>
      <w:r>
        <w:instrText xml:space="preserve"> SEQ Table \* ARABIC \s 1 </w:instrText>
      </w:r>
      <w:r w:rsidRPr="00933E3E">
        <w:fldChar w:fldCharType="separate"/>
      </w:r>
      <w:r w:rsidR="003F1AAB">
        <w:rPr>
          <w:noProof/>
        </w:rPr>
        <w:t>1</w:t>
      </w:r>
      <w:r w:rsidRPr="00933E3E">
        <w:fldChar w:fldCharType="end"/>
      </w:r>
      <w:bookmarkEnd w:id="12"/>
      <w:r>
        <w:tab/>
        <w:t>Draft decision on AusNet Services' rate of return (% nominal)</w:t>
      </w:r>
    </w:p>
    <w:tbl>
      <w:tblPr>
        <w:tblStyle w:val="AERtable-text0"/>
        <w:tblW w:w="5000" w:type="pct"/>
        <w:tblLook w:val="04A0" w:firstRow="1" w:lastRow="0" w:firstColumn="1" w:lastColumn="0" w:noHBand="0" w:noVBand="1"/>
      </w:tblPr>
      <w:tblGrid>
        <w:gridCol w:w="1953"/>
        <w:gridCol w:w="1686"/>
        <w:gridCol w:w="1855"/>
        <w:gridCol w:w="1280"/>
        <w:gridCol w:w="1919"/>
      </w:tblGrid>
      <w:tr w:rsidR="00933E3E" w:rsidRPr="0036067E" w:rsidTr="00FB2460">
        <w:trPr>
          <w:cnfStyle w:val="100000000000" w:firstRow="1" w:lastRow="0" w:firstColumn="0" w:lastColumn="0" w:oddVBand="0" w:evenVBand="0" w:oddHBand="0" w:evenHBand="0" w:firstRowFirstColumn="0" w:firstRowLastColumn="0" w:lastRowFirstColumn="0" w:lastRowLastColumn="0"/>
        </w:trPr>
        <w:tc>
          <w:tcPr>
            <w:tcW w:w="1123" w:type="pct"/>
          </w:tcPr>
          <w:p w:rsidR="00933E3E" w:rsidRPr="00796C00" w:rsidRDefault="00933E3E" w:rsidP="00933E3E"/>
        </w:tc>
        <w:tc>
          <w:tcPr>
            <w:tcW w:w="970" w:type="pct"/>
          </w:tcPr>
          <w:p w:rsidR="00933E3E" w:rsidRPr="00933E3E" w:rsidRDefault="00933E3E" w:rsidP="00933E3E">
            <w:r w:rsidRPr="000954D7">
              <w:t xml:space="preserve">AER </w:t>
            </w:r>
            <w:r w:rsidRPr="00933E3E">
              <w:t>previous decision (2014</w:t>
            </w:r>
            <w:r w:rsidR="00720FD1" w:rsidRPr="00933E3E">
              <w:t>–</w:t>
            </w:r>
            <w:r w:rsidRPr="00933E3E">
              <w:t>17)</w:t>
            </w:r>
          </w:p>
        </w:tc>
        <w:tc>
          <w:tcPr>
            <w:tcW w:w="1067" w:type="pct"/>
          </w:tcPr>
          <w:p w:rsidR="00933E3E" w:rsidRPr="00933E3E" w:rsidRDefault="00933E3E" w:rsidP="003D3376">
            <w:r>
              <w:t>AusNet Services</w:t>
            </w:r>
            <w:r w:rsidRPr="00933E3E">
              <w:t xml:space="preserve"> proposal (201</w:t>
            </w:r>
            <w:r w:rsidR="00CD007F">
              <w:t>7</w:t>
            </w:r>
            <w:r w:rsidR="00720FD1" w:rsidRPr="00933E3E">
              <w:t>–</w:t>
            </w:r>
            <w:r w:rsidR="002F6577">
              <w:t>1</w:t>
            </w:r>
            <w:r w:rsidR="00CD007F">
              <w:t>8</w:t>
            </w:r>
            <w:r w:rsidRPr="00933E3E">
              <w:t>)</w:t>
            </w:r>
          </w:p>
        </w:tc>
        <w:tc>
          <w:tcPr>
            <w:tcW w:w="736" w:type="pct"/>
          </w:tcPr>
          <w:p w:rsidR="00933E3E" w:rsidRPr="00933E3E" w:rsidRDefault="00933E3E" w:rsidP="00933E3E">
            <w:r w:rsidRPr="00381B0E">
              <w:t xml:space="preserve">AER </w:t>
            </w:r>
            <w:r w:rsidR="003D3376">
              <w:t>draft decision (201</w:t>
            </w:r>
            <w:r w:rsidR="00CD007F">
              <w:t>7</w:t>
            </w:r>
            <w:r w:rsidR="00720FD1" w:rsidRPr="00933E3E">
              <w:t>–</w:t>
            </w:r>
            <w:r w:rsidR="002F6577">
              <w:t>1</w:t>
            </w:r>
            <w:r w:rsidR="00CD007F">
              <w:t>8</w:t>
            </w:r>
            <w:r w:rsidRPr="00933E3E">
              <w:t>)</w:t>
            </w:r>
          </w:p>
        </w:tc>
        <w:tc>
          <w:tcPr>
            <w:tcW w:w="1104" w:type="pct"/>
          </w:tcPr>
          <w:p w:rsidR="00933E3E" w:rsidRPr="00933E3E" w:rsidRDefault="00933E3E" w:rsidP="00933E3E">
            <w:r>
              <w:t>Allowed r</w:t>
            </w:r>
            <w:r w:rsidRPr="00933E3E">
              <w:t>eturn over 201</w:t>
            </w:r>
            <w:r w:rsidR="00EB2351">
              <w:t>7</w:t>
            </w:r>
            <w:r w:rsidRPr="00933E3E">
              <w:t>–22 regulatory control period</w:t>
            </w:r>
          </w:p>
        </w:tc>
      </w:tr>
      <w:tr w:rsidR="00933E3E" w:rsidRPr="00BD56F3" w:rsidTr="00FB2460">
        <w:tc>
          <w:tcPr>
            <w:tcW w:w="1123" w:type="pct"/>
          </w:tcPr>
          <w:p w:rsidR="00933E3E" w:rsidRPr="00933E3E" w:rsidRDefault="00933E3E" w:rsidP="00933E3E">
            <w:r>
              <w:t>R</w:t>
            </w:r>
            <w:r w:rsidRPr="00933E3E">
              <w:t xml:space="preserve">eturn on equity    (nominal post–tax) </w:t>
            </w:r>
          </w:p>
        </w:tc>
        <w:tc>
          <w:tcPr>
            <w:tcW w:w="970" w:type="pct"/>
            <w:vAlign w:val="top"/>
          </w:tcPr>
          <w:p w:rsidR="00933E3E" w:rsidRPr="00933E3E" w:rsidRDefault="00933E3E" w:rsidP="00933E3E">
            <w:pPr>
              <w:rPr>
                <w:rStyle w:val="AERtextsize8"/>
              </w:rPr>
            </w:pPr>
            <w:r>
              <w:rPr>
                <w:rStyle w:val="AERtextsize8"/>
              </w:rPr>
              <w:t>9.51</w:t>
            </w:r>
          </w:p>
        </w:tc>
        <w:tc>
          <w:tcPr>
            <w:tcW w:w="1067" w:type="pct"/>
            <w:vAlign w:val="top"/>
          </w:tcPr>
          <w:p w:rsidR="00933E3E" w:rsidRPr="00933E3E" w:rsidRDefault="00C25DC2" w:rsidP="00933E3E">
            <w:pPr>
              <w:rPr>
                <w:rStyle w:val="AERtextsize8"/>
              </w:rPr>
            </w:pPr>
            <w:r>
              <w:rPr>
                <w:rStyle w:val="AERtextsize8"/>
              </w:rPr>
              <w:t>10</w:t>
            </w:r>
          </w:p>
        </w:tc>
        <w:tc>
          <w:tcPr>
            <w:tcW w:w="736" w:type="pct"/>
            <w:vAlign w:val="top"/>
          </w:tcPr>
          <w:p w:rsidR="00933E3E" w:rsidRPr="00933E3E" w:rsidRDefault="00933E3E" w:rsidP="00933E3E">
            <w:pPr>
              <w:rPr>
                <w:rStyle w:val="AERtextsize8"/>
              </w:rPr>
            </w:pPr>
            <w:r w:rsidRPr="00C24DB1">
              <w:rPr>
                <w:rStyle w:val="AERtextsize8"/>
              </w:rPr>
              <w:t>7.</w:t>
            </w:r>
            <w:r w:rsidR="00666FB5">
              <w:rPr>
                <w:rStyle w:val="AERtextsize8"/>
              </w:rPr>
              <w:t>1</w:t>
            </w:r>
          </w:p>
        </w:tc>
        <w:tc>
          <w:tcPr>
            <w:tcW w:w="1104" w:type="pct"/>
            <w:vAlign w:val="top"/>
          </w:tcPr>
          <w:p w:rsidR="00933E3E" w:rsidRPr="00933E3E" w:rsidRDefault="00933E3E" w:rsidP="00666FB5">
            <w:pPr>
              <w:rPr>
                <w:rStyle w:val="AERtextsize8"/>
              </w:rPr>
            </w:pPr>
            <w:r w:rsidRPr="00C24DB1">
              <w:rPr>
                <w:rStyle w:val="AERtextsize8"/>
              </w:rPr>
              <w:t xml:space="preserve">Constant </w:t>
            </w:r>
            <w:r w:rsidRPr="00933E3E">
              <w:rPr>
                <w:rStyle w:val="AERtextsize8"/>
              </w:rPr>
              <w:t xml:space="preserve">  (7.</w:t>
            </w:r>
            <w:r w:rsidR="00666FB5">
              <w:rPr>
                <w:rStyle w:val="AERtextsize8"/>
              </w:rPr>
              <w:t>1</w:t>
            </w:r>
            <w:r w:rsidRPr="00933E3E">
              <w:rPr>
                <w:rStyle w:val="AERtextsize8"/>
              </w:rPr>
              <w:t>%)</w:t>
            </w:r>
          </w:p>
        </w:tc>
      </w:tr>
      <w:tr w:rsidR="00933E3E" w:rsidRPr="00BD56F3" w:rsidTr="00FB2460">
        <w:trPr>
          <w:cnfStyle w:val="000000010000" w:firstRow="0" w:lastRow="0" w:firstColumn="0" w:lastColumn="0" w:oddVBand="0" w:evenVBand="0" w:oddHBand="0" w:evenHBand="1" w:firstRowFirstColumn="0" w:firstRowLastColumn="0" w:lastRowFirstColumn="0" w:lastRowLastColumn="0"/>
        </w:trPr>
        <w:tc>
          <w:tcPr>
            <w:tcW w:w="1123" w:type="pct"/>
          </w:tcPr>
          <w:p w:rsidR="00933E3E" w:rsidRPr="00933E3E" w:rsidRDefault="00933E3E" w:rsidP="00933E3E">
            <w:r>
              <w:t>Return on debt</w:t>
            </w:r>
            <w:r w:rsidRPr="00933E3E">
              <w:t xml:space="preserve">      (nominal pre–tax)</w:t>
            </w:r>
          </w:p>
        </w:tc>
        <w:tc>
          <w:tcPr>
            <w:tcW w:w="970" w:type="pct"/>
            <w:vAlign w:val="top"/>
          </w:tcPr>
          <w:p w:rsidR="00933E3E" w:rsidRPr="00933E3E" w:rsidRDefault="00933E3E" w:rsidP="00933E3E">
            <w:pPr>
              <w:rPr>
                <w:rStyle w:val="AERtextsize8"/>
              </w:rPr>
            </w:pPr>
            <w:r>
              <w:rPr>
                <w:rStyle w:val="AERtextsize8"/>
              </w:rPr>
              <w:t>6.79</w:t>
            </w:r>
          </w:p>
        </w:tc>
        <w:tc>
          <w:tcPr>
            <w:tcW w:w="1067" w:type="pct"/>
            <w:vAlign w:val="top"/>
          </w:tcPr>
          <w:p w:rsidR="00933E3E" w:rsidRPr="00933E3E" w:rsidRDefault="00C25DC2" w:rsidP="00933E3E">
            <w:pPr>
              <w:rPr>
                <w:rStyle w:val="AERtextsize8"/>
              </w:rPr>
            </w:pPr>
            <w:r>
              <w:rPr>
                <w:rStyle w:val="AERtextsize8"/>
              </w:rPr>
              <w:t>5.37</w:t>
            </w:r>
          </w:p>
        </w:tc>
        <w:tc>
          <w:tcPr>
            <w:tcW w:w="736" w:type="pct"/>
            <w:vAlign w:val="top"/>
          </w:tcPr>
          <w:p w:rsidR="00933E3E" w:rsidRPr="00933E3E" w:rsidRDefault="00666FB5" w:rsidP="00933E3E">
            <w:pPr>
              <w:rPr>
                <w:rStyle w:val="AERtextsize8"/>
              </w:rPr>
            </w:pPr>
            <w:r>
              <w:rPr>
                <w:rStyle w:val="AERtextsize8"/>
              </w:rPr>
              <w:t>5.</w:t>
            </w:r>
            <w:r w:rsidR="00294D22">
              <w:rPr>
                <w:rStyle w:val="AERtextsize8"/>
              </w:rPr>
              <w:t>54</w:t>
            </w:r>
          </w:p>
        </w:tc>
        <w:tc>
          <w:tcPr>
            <w:tcW w:w="1104" w:type="pct"/>
            <w:vAlign w:val="top"/>
          </w:tcPr>
          <w:p w:rsidR="00933E3E" w:rsidRPr="00933E3E" w:rsidRDefault="00933E3E" w:rsidP="00933E3E">
            <w:pPr>
              <w:rPr>
                <w:rStyle w:val="AERtextsize8"/>
              </w:rPr>
            </w:pPr>
            <w:r w:rsidRPr="00C24DB1">
              <w:rPr>
                <w:rStyle w:val="AERtextsize8"/>
              </w:rPr>
              <w:t>Updated annually</w:t>
            </w:r>
          </w:p>
        </w:tc>
      </w:tr>
      <w:tr w:rsidR="00933E3E" w:rsidRPr="00BD56F3" w:rsidTr="00FB2460">
        <w:tc>
          <w:tcPr>
            <w:tcW w:w="1123" w:type="pct"/>
          </w:tcPr>
          <w:p w:rsidR="00933E3E" w:rsidRPr="00933E3E" w:rsidRDefault="00933E3E" w:rsidP="00933E3E">
            <w:r>
              <w:t>Gearing</w:t>
            </w:r>
          </w:p>
        </w:tc>
        <w:tc>
          <w:tcPr>
            <w:tcW w:w="970" w:type="pct"/>
            <w:vAlign w:val="top"/>
          </w:tcPr>
          <w:p w:rsidR="00933E3E" w:rsidRPr="00933E3E" w:rsidRDefault="00933E3E" w:rsidP="00933E3E">
            <w:pPr>
              <w:rPr>
                <w:rStyle w:val="AERtextsize8"/>
              </w:rPr>
            </w:pPr>
            <w:r w:rsidRPr="00C24DB1">
              <w:rPr>
                <w:rStyle w:val="AERtextsize8"/>
              </w:rPr>
              <w:t>60</w:t>
            </w:r>
          </w:p>
        </w:tc>
        <w:tc>
          <w:tcPr>
            <w:tcW w:w="1067" w:type="pct"/>
            <w:vAlign w:val="top"/>
          </w:tcPr>
          <w:p w:rsidR="00933E3E" w:rsidRPr="00933E3E" w:rsidRDefault="00933E3E" w:rsidP="00933E3E">
            <w:pPr>
              <w:rPr>
                <w:rStyle w:val="AERtextsize8"/>
              </w:rPr>
            </w:pPr>
            <w:r w:rsidRPr="00C24DB1">
              <w:rPr>
                <w:rStyle w:val="AERtextsize8"/>
              </w:rPr>
              <w:t>60</w:t>
            </w:r>
          </w:p>
        </w:tc>
        <w:tc>
          <w:tcPr>
            <w:tcW w:w="736" w:type="pct"/>
            <w:vAlign w:val="top"/>
          </w:tcPr>
          <w:p w:rsidR="00933E3E" w:rsidRPr="00933E3E" w:rsidRDefault="00933E3E" w:rsidP="00933E3E">
            <w:pPr>
              <w:rPr>
                <w:rStyle w:val="AERtextsize8"/>
              </w:rPr>
            </w:pPr>
            <w:r w:rsidRPr="00C24DB1">
              <w:rPr>
                <w:rStyle w:val="AERtextsize8"/>
              </w:rPr>
              <w:t>60</w:t>
            </w:r>
          </w:p>
        </w:tc>
        <w:tc>
          <w:tcPr>
            <w:tcW w:w="1104" w:type="pct"/>
            <w:vAlign w:val="top"/>
          </w:tcPr>
          <w:p w:rsidR="00933E3E" w:rsidRPr="00933E3E" w:rsidRDefault="00933E3E" w:rsidP="00933E3E">
            <w:pPr>
              <w:rPr>
                <w:rStyle w:val="AERtextsize8"/>
              </w:rPr>
            </w:pPr>
            <w:r w:rsidRPr="00C24DB1">
              <w:rPr>
                <w:rStyle w:val="AERtextsize8"/>
              </w:rPr>
              <w:t>Constant   (60%)</w:t>
            </w:r>
          </w:p>
        </w:tc>
      </w:tr>
      <w:tr w:rsidR="00933E3E" w:rsidRPr="00BD56F3" w:rsidTr="00FB2460">
        <w:trPr>
          <w:cnfStyle w:val="000000010000" w:firstRow="0" w:lastRow="0" w:firstColumn="0" w:lastColumn="0" w:oddVBand="0" w:evenVBand="0" w:oddHBand="0" w:evenHBand="1" w:firstRowFirstColumn="0" w:firstRowLastColumn="0" w:lastRowFirstColumn="0" w:lastRowLastColumn="0"/>
        </w:trPr>
        <w:tc>
          <w:tcPr>
            <w:tcW w:w="1123" w:type="pct"/>
          </w:tcPr>
          <w:p w:rsidR="00933E3E" w:rsidRPr="00933E3E" w:rsidRDefault="00933E3E" w:rsidP="00933E3E">
            <w:r w:rsidRPr="00796C00">
              <w:t xml:space="preserve">Nominal vanilla </w:t>
            </w:r>
            <w:r w:rsidRPr="00933E3E">
              <w:t>WACC</w:t>
            </w:r>
          </w:p>
        </w:tc>
        <w:tc>
          <w:tcPr>
            <w:tcW w:w="970" w:type="pct"/>
            <w:vAlign w:val="top"/>
          </w:tcPr>
          <w:p w:rsidR="00933E3E" w:rsidRPr="00933E3E" w:rsidRDefault="00933E3E" w:rsidP="00933E3E">
            <w:pPr>
              <w:rPr>
                <w:rStyle w:val="AERtextsize8"/>
              </w:rPr>
            </w:pPr>
            <w:r>
              <w:rPr>
                <w:rStyle w:val="AERtextsize8"/>
              </w:rPr>
              <w:t>7.87</w:t>
            </w:r>
          </w:p>
        </w:tc>
        <w:tc>
          <w:tcPr>
            <w:tcW w:w="1067" w:type="pct"/>
            <w:vAlign w:val="top"/>
          </w:tcPr>
          <w:p w:rsidR="00933E3E" w:rsidRPr="00933E3E" w:rsidRDefault="00C25DC2" w:rsidP="00933E3E">
            <w:pPr>
              <w:rPr>
                <w:rStyle w:val="AERtextsize8"/>
              </w:rPr>
            </w:pPr>
            <w:r>
              <w:rPr>
                <w:rStyle w:val="AERtextsize8"/>
              </w:rPr>
              <w:t>7.22</w:t>
            </w:r>
          </w:p>
        </w:tc>
        <w:tc>
          <w:tcPr>
            <w:tcW w:w="736" w:type="pct"/>
            <w:vAlign w:val="top"/>
          </w:tcPr>
          <w:p w:rsidR="00933E3E" w:rsidRPr="00933E3E" w:rsidRDefault="00666FB5" w:rsidP="00FD4521">
            <w:pPr>
              <w:rPr>
                <w:rStyle w:val="AERtextsize8"/>
              </w:rPr>
            </w:pPr>
            <w:r>
              <w:rPr>
                <w:rStyle w:val="AERtextsize8"/>
              </w:rPr>
              <w:t>6.</w:t>
            </w:r>
            <w:r w:rsidR="00FD4521">
              <w:rPr>
                <w:rStyle w:val="AERtextsize8"/>
              </w:rPr>
              <w:t>16</w:t>
            </w:r>
          </w:p>
        </w:tc>
        <w:tc>
          <w:tcPr>
            <w:tcW w:w="1104" w:type="pct"/>
            <w:vAlign w:val="top"/>
          </w:tcPr>
          <w:p w:rsidR="00933E3E" w:rsidRPr="00933E3E" w:rsidRDefault="00933E3E" w:rsidP="00933E3E">
            <w:pPr>
              <w:rPr>
                <w:rStyle w:val="AERtextsize8"/>
              </w:rPr>
            </w:pPr>
            <w:r w:rsidRPr="00C24DB1">
              <w:rPr>
                <w:rStyle w:val="AERtextsize8"/>
              </w:rPr>
              <w:t>Updated annually for return on debt</w:t>
            </w:r>
          </w:p>
        </w:tc>
      </w:tr>
      <w:tr w:rsidR="00933E3E" w:rsidRPr="00BD56F3" w:rsidTr="00FB2460">
        <w:tc>
          <w:tcPr>
            <w:tcW w:w="1123" w:type="pct"/>
          </w:tcPr>
          <w:p w:rsidR="00933E3E" w:rsidRPr="00933E3E" w:rsidRDefault="00933E3E" w:rsidP="00933E3E">
            <w:r>
              <w:t>Forecast inflation</w:t>
            </w:r>
          </w:p>
        </w:tc>
        <w:tc>
          <w:tcPr>
            <w:tcW w:w="970" w:type="pct"/>
            <w:vAlign w:val="top"/>
          </w:tcPr>
          <w:p w:rsidR="00933E3E" w:rsidRPr="00933E3E" w:rsidRDefault="00933E3E" w:rsidP="00933E3E">
            <w:pPr>
              <w:rPr>
                <w:rStyle w:val="AERtextsize8"/>
              </w:rPr>
            </w:pPr>
            <w:r>
              <w:rPr>
                <w:rStyle w:val="AERtextsize8"/>
              </w:rPr>
              <w:t>2.45</w:t>
            </w:r>
          </w:p>
        </w:tc>
        <w:tc>
          <w:tcPr>
            <w:tcW w:w="1067" w:type="pct"/>
            <w:vAlign w:val="top"/>
          </w:tcPr>
          <w:p w:rsidR="00933E3E" w:rsidRPr="00933E3E" w:rsidRDefault="00C25DC2" w:rsidP="00933E3E">
            <w:pPr>
              <w:rPr>
                <w:rStyle w:val="AERtextsize8"/>
              </w:rPr>
            </w:pPr>
            <w:r>
              <w:rPr>
                <w:rStyle w:val="AERtextsize8"/>
              </w:rPr>
              <w:t>2.35</w:t>
            </w:r>
          </w:p>
        </w:tc>
        <w:tc>
          <w:tcPr>
            <w:tcW w:w="736" w:type="pct"/>
            <w:vAlign w:val="top"/>
          </w:tcPr>
          <w:p w:rsidR="00933E3E" w:rsidRPr="00933E3E" w:rsidRDefault="003F2928" w:rsidP="00367C32">
            <w:pPr>
              <w:rPr>
                <w:rStyle w:val="AERtextsize8"/>
              </w:rPr>
            </w:pPr>
            <w:r>
              <w:rPr>
                <w:rStyle w:val="AERtextsize8"/>
              </w:rPr>
              <w:t>2.</w:t>
            </w:r>
            <w:r w:rsidR="00367C32">
              <w:rPr>
                <w:rStyle w:val="AERtextsize8"/>
              </w:rPr>
              <w:t>44</w:t>
            </w:r>
          </w:p>
        </w:tc>
        <w:tc>
          <w:tcPr>
            <w:tcW w:w="1104" w:type="pct"/>
            <w:vAlign w:val="top"/>
          </w:tcPr>
          <w:p w:rsidR="00933E3E" w:rsidRPr="00933E3E" w:rsidRDefault="00933E3E" w:rsidP="00367C32">
            <w:pPr>
              <w:rPr>
                <w:rStyle w:val="AERtextsize8"/>
              </w:rPr>
            </w:pPr>
            <w:r w:rsidRPr="00C24DB1">
              <w:rPr>
                <w:rStyle w:val="AERtextsize8"/>
              </w:rPr>
              <w:t>Constant</w:t>
            </w:r>
            <w:r w:rsidR="003F2928">
              <w:rPr>
                <w:rStyle w:val="AERtextsize8"/>
              </w:rPr>
              <w:t xml:space="preserve">   (2.</w:t>
            </w:r>
            <w:r w:rsidR="00367C32">
              <w:rPr>
                <w:rStyle w:val="AERtextsize8"/>
              </w:rPr>
              <w:t>44</w:t>
            </w:r>
            <w:r w:rsidRPr="00933E3E">
              <w:rPr>
                <w:rStyle w:val="AERtextsize8"/>
              </w:rPr>
              <w:t>%)</w:t>
            </w:r>
          </w:p>
        </w:tc>
      </w:tr>
    </w:tbl>
    <w:p w:rsidR="00933E3E" w:rsidRDefault="00933E3E" w:rsidP="00933E3E">
      <w:pPr>
        <w:pStyle w:val="AERtablesource"/>
      </w:pPr>
      <w:r>
        <w:t>Source:</w:t>
      </w:r>
      <w:r>
        <w:tab/>
        <w:t xml:space="preserve">AER analysis; </w:t>
      </w:r>
      <w:r w:rsidR="0084613C">
        <w:t xml:space="preserve">AusNet Services, </w:t>
      </w:r>
      <w:r w:rsidR="0084613C" w:rsidRPr="006C0405">
        <w:rPr>
          <w:rStyle w:val="AERtextitalic"/>
        </w:rPr>
        <w:t>Transmission Revenue Review 2017–2022 regulatory proposal</w:t>
      </w:r>
      <w:r w:rsidR="0084613C">
        <w:t>, 30 October 2015</w:t>
      </w:r>
      <w:r>
        <w:t xml:space="preserve">; </w:t>
      </w:r>
      <w:r>
        <w:rPr>
          <w:rStyle w:val="AERtextsize8"/>
        </w:rPr>
        <w:t xml:space="preserve">AER, </w:t>
      </w:r>
      <w:r>
        <w:rPr>
          <w:rStyle w:val="AERtextitalic"/>
        </w:rPr>
        <w:t>Final Decision: SP AusNet Transmission determination 2014-2017</w:t>
      </w:r>
      <w:r>
        <w:rPr>
          <w:rStyle w:val="AERtextsize8"/>
        </w:rPr>
        <w:t>, January 2014</w:t>
      </w:r>
      <w:r>
        <w:t>.</w:t>
      </w:r>
    </w:p>
    <w:p w:rsidR="00933E3E" w:rsidRDefault="00933E3E" w:rsidP="00933E3E">
      <w:r>
        <w:t xml:space="preserve">Our return on equity estimate is </w:t>
      </w:r>
      <w:r w:rsidR="00B87262">
        <w:t>7.1</w:t>
      </w:r>
      <w:r>
        <w:t xml:space="preserve"> per cent. This rate will apply to AusNet Services in each regulatory year. Our return on debt estimate for the </w:t>
      </w:r>
      <w:r w:rsidR="00CD007F">
        <w:t xml:space="preserve">2017–18 </w:t>
      </w:r>
      <w:r>
        <w:t xml:space="preserve">regulatory </w:t>
      </w:r>
      <w:proofErr w:type="gramStart"/>
      <w:r>
        <w:t>year</w:t>
      </w:r>
      <w:proofErr w:type="gramEnd"/>
      <w:r>
        <w:t xml:space="preserve"> is </w:t>
      </w:r>
      <w:r w:rsidR="00720FD1">
        <w:t>5.54</w:t>
      </w:r>
      <w:r>
        <w:t> per cent. This estimate will change each year as we partially update the return on debt to reflect prevailing interest rates over AusNet Services' debt averaging period in each year. Our return on debt estimate for future regulatory years will be determined in accordance with the methodology and formulae we have specified in this decision. As a result of updating the return on debt each year, the overall rate of return and AusNet Services' revenue will also be updated.</w:t>
      </w:r>
    </w:p>
    <w:p w:rsidR="00933E3E" w:rsidRDefault="00933E3E" w:rsidP="00933E3E">
      <w:pPr>
        <w:numPr>
          <w:ilvl w:val="0"/>
          <w:numId w:val="25"/>
        </w:numPr>
      </w:pPr>
      <w:r>
        <w:t>We agree with the following aspects of AusNet Services' rate of return proposal:</w:t>
      </w:r>
    </w:p>
    <w:p w:rsidR="00933E3E" w:rsidRPr="00796C00" w:rsidRDefault="00933E3E" w:rsidP="00933E3E">
      <w:pPr>
        <w:pStyle w:val="AERbulletlistfirststyle"/>
      </w:pPr>
      <w:r>
        <w:t>adopting a weighted average of the return on equity and return on debt (WACC)</w:t>
      </w:r>
      <w:r w:rsidRPr="00796C00">
        <w:t xml:space="preserve"> determined on a nominal vanilla basis (as required by </w:t>
      </w:r>
      <w:r>
        <w:t>the rules</w:t>
      </w:r>
      <w:r w:rsidRPr="00796C00">
        <w:t>)</w:t>
      </w:r>
    </w:p>
    <w:p w:rsidR="00933E3E" w:rsidRDefault="00933E3E" w:rsidP="00933E3E">
      <w:pPr>
        <w:pStyle w:val="AERbulletlistfirststyle"/>
      </w:pPr>
      <w:r>
        <w:t>adopting a 60</w:t>
      </w:r>
      <w:r w:rsidRPr="00796C00">
        <w:t xml:space="preserve"> per cent gearing ratio</w:t>
      </w:r>
    </w:p>
    <w:p w:rsidR="00933E3E" w:rsidRDefault="00933E3E" w:rsidP="00933E3E">
      <w:pPr>
        <w:pStyle w:val="AERbulletlistfirststyle"/>
      </w:pPr>
      <w:r>
        <w:t>adopting a 10 year term for the return on debt</w:t>
      </w:r>
    </w:p>
    <w:p w:rsidR="00933E3E" w:rsidRDefault="00933E3E" w:rsidP="00933E3E">
      <w:pPr>
        <w:pStyle w:val="AERbulletlistfirststyle"/>
      </w:pPr>
      <w:r>
        <w:t>applying our method of extrapolating third party data series and updating the return on debt each year</w:t>
      </w:r>
    </w:p>
    <w:p w:rsidR="00933E3E" w:rsidRDefault="00933E3E" w:rsidP="00933E3E">
      <w:pPr>
        <w:pStyle w:val="AERbulletlistfirststyle"/>
      </w:pPr>
      <w:r>
        <w:t>estimating the return on debt by reference to a third party data series, and</w:t>
      </w:r>
    </w:p>
    <w:p w:rsidR="00933E3E" w:rsidRDefault="00933E3E" w:rsidP="00933E3E">
      <w:pPr>
        <w:pStyle w:val="AERbulletlistfirststyle"/>
      </w:pPr>
      <w:proofErr w:type="gramStart"/>
      <w:r>
        <w:t>e</w:t>
      </w:r>
      <w:r w:rsidRPr="00D020D4">
        <w:t>stimating</w:t>
      </w:r>
      <w:proofErr w:type="gramEnd"/>
      <w:r w:rsidRPr="00D020D4">
        <w:t xml:space="preserve"> the risk free rate used in the return on equity with nominal Commonwealth government securities (CGS) averaged over 20 business days as close as practical to the commencement of the </w:t>
      </w:r>
      <w:r>
        <w:t>regulatory control</w:t>
      </w:r>
      <w:r w:rsidRPr="00D020D4">
        <w:t xml:space="preserve"> period.</w:t>
      </w:r>
    </w:p>
    <w:p w:rsidR="001D6815" w:rsidRDefault="009F1358" w:rsidP="00933E3E">
      <w:pPr>
        <w:numPr>
          <w:ilvl w:val="0"/>
          <w:numId w:val="25"/>
        </w:numPr>
      </w:pPr>
      <w:r>
        <w:t>We disagree with AusNet Services on a number of other components of the rate of return.</w:t>
      </w:r>
    </w:p>
    <w:p w:rsidR="00933E3E" w:rsidRDefault="00933E3E" w:rsidP="00933E3E">
      <w:pPr>
        <w:numPr>
          <w:ilvl w:val="0"/>
          <w:numId w:val="25"/>
        </w:numPr>
      </w:pPr>
      <w:r>
        <w:t xml:space="preserve">Our </w:t>
      </w:r>
      <w:r w:rsidRPr="00B174EF">
        <w:t xml:space="preserve">return on equity estimate </w:t>
      </w:r>
      <w:r>
        <w:t>for this draft decision</w:t>
      </w:r>
      <w:r w:rsidRPr="00B174EF">
        <w:t xml:space="preserve"> </w:t>
      </w:r>
      <w:r>
        <w:t xml:space="preserve">is </w:t>
      </w:r>
      <w:r w:rsidR="00294D22">
        <w:t>7.1</w:t>
      </w:r>
      <w:r>
        <w:t xml:space="preserve"> </w:t>
      </w:r>
      <w:r w:rsidRPr="00B174EF">
        <w:t>per cent</w:t>
      </w:r>
      <w:r>
        <w:t>.</w:t>
      </w:r>
      <w:r w:rsidRPr="0083677A">
        <w:t xml:space="preserve"> </w:t>
      </w:r>
      <w:r>
        <w:t>We derived this estimate by applying the same approach we applied to determine the allowed return on equity in our most recent decisions.</w:t>
      </w:r>
      <w:r>
        <w:rPr>
          <w:rStyle w:val="FootnoteReference"/>
        </w:rPr>
        <w:footnoteReference w:id="8"/>
      </w:r>
      <w:r>
        <w:t xml:space="preserve"> The Australian Competition Tribunal (Tribunal) recently upheld this approach.</w:t>
      </w:r>
      <w:r>
        <w:rPr>
          <w:rStyle w:val="FootnoteReference"/>
        </w:rPr>
        <w:footnoteReference w:id="9"/>
      </w:r>
      <w:r>
        <w:t xml:space="preserve"> This approach entails applying the Guideline approach referred to as the foundation model approach.</w:t>
      </w:r>
      <w:r>
        <w:rPr>
          <w:rStyle w:val="FootnoteReference"/>
        </w:rPr>
        <w:footnoteReference w:id="10"/>
      </w:r>
      <w:r>
        <w:t xml:space="preserve"> This is a</w:t>
      </w:r>
      <w:r w:rsidRPr="00F15CAB">
        <w:t xml:space="preserve"> six step process</w:t>
      </w:r>
      <w:r>
        <w:t>, where we</w:t>
      </w:r>
      <w:r w:rsidRPr="00F15CAB">
        <w:t xml:space="preserve"> </w:t>
      </w:r>
      <w:r>
        <w:t xml:space="preserve">have </w:t>
      </w:r>
      <w:r w:rsidRPr="00F15CAB">
        <w:t xml:space="preserve">regard to a considerable amount of relevant information, including </w:t>
      </w:r>
      <w:r>
        <w:t>various</w:t>
      </w:r>
      <w:r w:rsidRPr="00F15CAB">
        <w:t xml:space="preserve"> equity models. At different stages of our </w:t>
      </w:r>
      <w:r>
        <w:t>approach we have used</w:t>
      </w:r>
      <w:r w:rsidRPr="00F15CAB">
        <w:t xml:space="preserve"> this material</w:t>
      </w:r>
      <w:r>
        <w:t xml:space="preserve"> </w:t>
      </w:r>
      <w:r w:rsidRPr="00F15CAB">
        <w:t>to inform the return on equity estimate</w:t>
      </w:r>
      <w:r>
        <w:t xml:space="preserve">. </w:t>
      </w:r>
    </w:p>
    <w:p w:rsidR="00933E3E" w:rsidRDefault="00933E3E" w:rsidP="00933E3E">
      <w:pPr>
        <w:numPr>
          <w:ilvl w:val="0"/>
          <w:numId w:val="25"/>
        </w:numPr>
      </w:pPr>
      <w:r>
        <w:t xml:space="preserve">Our return on equity point estimate and the parameter inputs are set out in the </w:t>
      </w:r>
      <w:r>
        <w:fldChar w:fldCharType="begin"/>
      </w:r>
      <w:r>
        <w:instrText xml:space="preserve"> REF  _Ref433137430 \* Lower \h </w:instrText>
      </w:r>
      <w:r>
        <w:fldChar w:fldCharType="separate"/>
      </w:r>
      <w:r w:rsidR="003F1AAB">
        <w:t xml:space="preserve">table </w:t>
      </w:r>
      <w:r w:rsidR="003F1AAB">
        <w:rPr>
          <w:noProof/>
        </w:rPr>
        <w:t>3</w:t>
      </w:r>
      <w:r w:rsidR="003F1AAB">
        <w:noBreakHyphen/>
      </w:r>
      <w:r w:rsidR="003F1AAB">
        <w:rPr>
          <w:noProof/>
        </w:rPr>
        <w:t>2</w:t>
      </w:r>
      <w:r>
        <w:fldChar w:fldCharType="end"/>
      </w:r>
      <w:r>
        <w:t xml:space="preserve">. AusNet Services proposed departing from the approach in the Guideline. </w:t>
      </w:r>
      <w:r w:rsidRPr="00185E39">
        <w:t xml:space="preserve">We are not satisfied </w:t>
      </w:r>
      <w:r>
        <w:t xml:space="preserve">that doing so </w:t>
      </w:r>
      <w:r w:rsidRPr="00185E39">
        <w:t xml:space="preserve">would result in an outcome that better achieves the </w:t>
      </w:r>
      <w:r>
        <w:t>ARORO</w:t>
      </w:r>
      <w:r w:rsidRPr="00185E39">
        <w:t>.</w:t>
      </w:r>
      <w:r w:rsidRPr="00185E39">
        <w:rPr>
          <w:rStyle w:val="FootnoteReference"/>
        </w:rPr>
        <w:footnoteReference w:id="11"/>
      </w:r>
      <w:r w:rsidRPr="00185E39">
        <w:t xml:space="preserve"> </w:t>
      </w:r>
      <w:r w:rsidRPr="00583F17">
        <w:t xml:space="preserve">We do not agree with </w:t>
      </w:r>
      <w:r>
        <w:t>AusNet Services</w:t>
      </w:r>
      <w:r w:rsidRPr="00583F17">
        <w:t xml:space="preserve"> that our method outlined in the Guideline will result in a return on equity which is inconsistent with the allowed rate of return objective.</w:t>
      </w:r>
      <w:r w:rsidRPr="00583F17">
        <w:rPr>
          <w:rStyle w:val="FootnoteReference"/>
        </w:rPr>
        <w:footnoteReference w:id="12"/>
      </w:r>
      <w:r w:rsidRPr="00583F17">
        <w:t xml:space="preserve"> Our return on equity </w:t>
      </w:r>
      <w:r>
        <w:t>draft</w:t>
      </w:r>
      <w:r w:rsidRPr="00583F17">
        <w:t xml:space="preserve"> decision is largely consistent with the views in the Guideline.</w:t>
      </w:r>
    </w:p>
    <w:p w:rsidR="00933E3E" w:rsidRDefault="00933E3E" w:rsidP="00933E3E">
      <w:pPr>
        <w:pStyle w:val="Caption"/>
      </w:pPr>
      <w:bookmarkStart w:id="13" w:name="_Ref433137430"/>
      <w:r>
        <w:t xml:space="preserve">Table </w:t>
      </w:r>
      <w:r w:rsidRPr="00933E3E">
        <w:fldChar w:fldCharType="begin"/>
      </w:r>
      <w:r>
        <w:instrText xml:space="preserve"> STYLEREF 1 \s </w:instrText>
      </w:r>
      <w:r w:rsidRPr="00933E3E">
        <w:fldChar w:fldCharType="separate"/>
      </w:r>
      <w:r w:rsidR="003F1AAB">
        <w:rPr>
          <w:noProof/>
        </w:rPr>
        <w:t>3</w:t>
      </w:r>
      <w:r w:rsidRPr="00933E3E">
        <w:fldChar w:fldCharType="end"/>
      </w:r>
      <w:r>
        <w:noBreakHyphen/>
      </w:r>
      <w:r w:rsidRPr="00933E3E">
        <w:fldChar w:fldCharType="begin"/>
      </w:r>
      <w:r>
        <w:instrText xml:space="preserve"> SEQ Table \* ARABIC \s 1 </w:instrText>
      </w:r>
      <w:r w:rsidRPr="00933E3E">
        <w:fldChar w:fldCharType="separate"/>
      </w:r>
      <w:r w:rsidR="003F1AAB">
        <w:rPr>
          <w:noProof/>
        </w:rPr>
        <w:t>2</w:t>
      </w:r>
      <w:r w:rsidRPr="00933E3E">
        <w:fldChar w:fldCharType="end"/>
      </w:r>
      <w:bookmarkEnd w:id="13"/>
      <w:r>
        <w:tab/>
      </w:r>
      <w:r w:rsidR="003E2480">
        <w:t xml:space="preserve">Draft </w:t>
      </w:r>
      <w:r>
        <w:t>decision on AusNet Services' return on equity (nominal)</w:t>
      </w:r>
    </w:p>
    <w:tbl>
      <w:tblPr>
        <w:tblStyle w:val="AERtable-numbers"/>
        <w:tblW w:w="5000" w:type="pct"/>
        <w:tblLook w:val="04A0" w:firstRow="1" w:lastRow="0" w:firstColumn="1" w:lastColumn="0" w:noHBand="0" w:noVBand="1"/>
      </w:tblPr>
      <w:tblGrid>
        <w:gridCol w:w="2173"/>
        <w:gridCol w:w="2046"/>
        <w:gridCol w:w="2410"/>
        <w:gridCol w:w="2064"/>
      </w:tblGrid>
      <w:tr w:rsidR="00933E3E" w:rsidRPr="0036067E" w:rsidTr="00FB24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933E3E" w:rsidRPr="00796C00" w:rsidRDefault="00933E3E" w:rsidP="00933E3E"/>
        </w:tc>
        <w:tc>
          <w:tcPr>
            <w:tcW w:w="1177" w:type="pct"/>
          </w:tcPr>
          <w:p w:rsidR="00933E3E" w:rsidRPr="00933E3E" w:rsidRDefault="00933E3E" w:rsidP="00933E3E">
            <w:pPr>
              <w:cnfStyle w:val="100000000000" w:firstRow="1" w:lastRow="0" w:firstColumn="0" w:lastColumn="0" w:oddVBand="0" w:evenVBand="0" w:oddHBand="0" w:evenHBand="0" w:firstRowFirstColumn="0" w:firstRowLastColumn="0" w:lastRowFirstColumn="0" w:lastRowLastColumn="0"/>
            </w:pPr>
            <w:r w:rsidRPr="000954D7">
              <w:t xml:space="preserve">AER </w:t>
            </w:r>
            <w:r w:rsidRPr="00933E3E">
              <w:t>previous decision (2014–17)</w:t>
            </w:r>
          </w:p>
        </w:tc>
        <w:tc>
          <w:tcPr>
            <w:tcW w:w="1386" w:type="pct"/>
          </w:tcPr>
          <w:p w:rsidR="00933E3E" w:rsidRPr="00933E3E" w:rsidRDefault="00933E3E" w:rsidP="00720FD1">
            <w:pPr>
              <w:cnfStyle w:val="100000000000" w:firstRow="1" w:lastRow="0" w:firstColumn="0" w:lastColumn="0" w:oddVBand="0" w:evenVBand="0" w:oddHBand="0" w:evenHBand="0" w:firstRowFirstColumn="0" w:firstRowLastColumn="0" w:lastRowFirstColumn="0" w:lastRowLastColumn="0"/>
            </w:pPr>
            <w:r>
              <w:t>AusNet Services</w:t>
            </w:r>
            <w:r w:rsidRPr="00933E3E">
              <w:t xml:space="preserve"> proposal (201</w:t>
            </w:r>
            <w:r w:rsidR="00720FD1">
              <w:t>7</w:t>
            </w:r>
            <w:r w:rsidRPr="00933E3E">
              <w:t>-22)</w:t>
            </w:r>
            <w:r w:rsidRPr="00933E3E">
              <w:rPr>
                <w:rStyle w:val="AERsuperscript"/>
              </w:rPr>
              <w:t>a)</w:t>
            </w:r>
          </w:p>
        </w:tc>
        <w:tc>
          <w:tcPr>
            <w:tcW w:w="1187" w:type="pct"/>
          </w:tcPr>
          <w:p w:rsidR="00933E3E" w:rsidRPr="00933E3E" w:rsidRDefault="00933E3E" w:rsidP="00933E3E">
            <w:pPr>
              <w:cnfStyle w:val="100000000000" w:firstRow="1" w:lastRow="0" w:firstColumn="0" w:lastColumn="0" w:oddVBand="0" w:evenVBand="0" w:oddHBand="0" w:evenHBand="0" w:firstRowFirstColumn="0" w:firstRowLastColumn="0" w:lastRowFirstColumn="0" w:lastRowLastColumn="0"/>
            </w:pPr>
            <w:r w:rsidRPr="00381B0E">
              <w:t xml:space="preserve">AER </w:t>
            </w:r>
            <w:r w:rsidRPr="00933E3E">
              <w:t>draft decision (201</w:t>
            </w:r>
            <w:r w:rsidR="00720FD1">
              <w:t>7</w:t>
            </w:r>
            <w:r w:rsidRPr="00933E3E">
              <w:t>–22)</w:t>
            </w:r>
          </w:p>
        </w:tc>
      </w:tr>
      <w:tr w:rsidR="00933E3E" w:rsidRPr="00BD56F3" w:rsidTr="00FB2460">
        <w:tc>
          <w:tcPr>
            <w:cnfStyle w:val="001000000000" w:firstRow="0" w:lastRow="0" w:firstColumn="1" w:lastColumn="0" w:oddVBand="0" w:evenVBand="0" w:oddHBand="0" w:evenHBand="0" w:firstRowFirstColumn="0" w:firstRowLastColumn="0" w:lastRowFirstColumn="0" w:lastRowLastColumn="0"/>
            <w:tcW w:w="1250" w:type="pct"/>
          </w:tcPr>
          <w:p w:rsidR="00933E3E" w:rsidRPr="00933E3E" w:rsidRDefault="00933E3E" w:rsidP="00933E3E">
            <w:r w:rsidRPr="00796C00">
              <w:t>Nominal risk free rate</w:t>
            </w:r>
            <w:r w:rsidRPr="00933E3E">
              <w:t xml:space="preserve"> (return on equity only)</w:t>
            </w:r>
          </w:p>
        </w:tc>
        <w:tc>
          <w:tcPr>
            <w:tcW w:w="1177" w:type="pct"/>
            <w:vAlign w:val="top"/>
          </w:tcPr>
          <w:p w:rsidR="00933E3E" w:rsidRPr="00933E3E" w:rsidRDefault="00933E3E" w:rsidP="00933E3E">
            <w:pPr>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4.31</w:t>
            </w:r>
            <w:r w:rsidRPr="00933E3E">
              <w:rPr>
                <w:rStyle w:val="AERtextsize8"/>
              </w:rPr>
              <w:t>%</w:t>
            </w:r>
          </w:p>
        </w:tc>
        <w:tc>
          <w:tcPr>
            <w:tcW w:w="1386" w:type="pct"/>
            <w:vAlign w:val="top"/>
          </w:tcPr>
          <w:p w:rsidR="00933E3E" w:rsidRPr="00933E3E" w:rsidRDefault="00933E3E" w:rsidP="00933E3E">
            <w:pPr>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3.02</w:t>
            </w:r>
            <w:r w:rsidRPr="00933E3E">
              <w:rPr>
                <w:rStyle w:val="AERtextsize8"/>
              </w:rPr>
              <w:t>%</w:t>
            </w:r>
          </w:p>
        </w:tc>
        <w:tc>
          <w:tcPr>
            <w:tcW w:w="1187" w:type="pct"/>
            <w:vAlign w:val="top"/>
          </w:tcPr>
          <w:p w:rsidR="00933E3E" w:rsidRPr="00933E3E" w:rsidRDefault="00294D22" w:rsidP="00933E3E">
            <w:pPr>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2.57</w:t>
            </w:r>
            <w:r w:rsidR="00933E3E" w:rsidRPr="00C24DB1">
              <w:rPr>
                <w:rStyle w:val="AERtextsize8"/>
              </w:rPr>
              <w:t>%</w:t>
            </w:r>
          </w:p>
        </w:tc>
      </w:tr>
      <w:tr w:rsidR="00933E3E" w:rsidRPr="00BD56F3" w:rsidTr="00FB24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933E3E" w:rsidRPr="00933E3E" w:rsidRDefault="00933E3E" w:rsidP="00933E3E">
            <w:r w:rsidRPr="00796C00">
              <w:t xml:space="preserve">Equity risk premium </w:t>
            </w:r>
          </w:p>
        </w:tc>
        <w:tc>
          <w:tcPr>
            <w:tcW w:w="1177" w:type="pct"/>
            <w:vAlign w:val="top"/>
          </w:tcPr>
          <w:p w:rsidR="00933E3E" w:rsidRPr="00933E3E" w:rsidRDefault="00933E3E" w:rsidP="00933E3E">
            <w:pPr>
              <w:cnfStyle w:val="000000010000" w:firstRow="0" w:lastRow="0" w:firstColumn="0" w:lastColumn="0" w:oddVBand="0" w:evenVBand="0" w:oddHBand="0" w:evenHBand="1" w:firstRowFirstColumn="0" w:firstRowLastColumn="0" w:lastRowFirstColumn="0" w:lastRowLastColumn="0"/>
              <w:rPr>
                <w:rStyle w:val="AERtextsize8"/>
              </w:rPr>
            </w:pPr>
            <w:r w:rsidRPr="00C24DB1">
              <w:rPr>
                <w:rStyle w:val="AERtextsize8"/>
              </w:rPr>
              <w:t>5.20%</w:t>
            </w:r>
          </w:p>
        </w:tc>
        <w:tc>
          <w:tcPr>
            <w:tcW w:w="1386" w:type="pct"/>
            <w:vAlign w:val="top"/>
          </w:tcPr>
          <w:p w:rsidR="00933E3E" w:rsidRPr="00933E3E" w:rsidRDefault="00933E3E" w:rsidP="00933E3E">
            <w:pPr>
              <w:cnfStyle w:val="000000010000" w:firstRow="0" w:lastRow="0" w:firstColumn="0" w:lastColumn="0" w:oddVBand="0" w:evenVBand="0" w:oddHBand="0" w:evenHBand="1" w:firstRowFirstColumn="0" w:firstRowLastColumn="0" w:lastRowFirstColumn="0" w:lastRowLastColumn="0"/>
              <w:rPr>
                <w:rStyle w:val="AERtextsize8"/>
              </w:rPr>
            </w:pPr>
            <w:r>
              <w:rPr>
                <w:rStyle w:val="AERtextsize8"/>
              </w:rPr>
              <w:t>7.24</w:t>
            </w:r>
            <w:r w:rsidRPr="00933E3E">
              <w:rPr>
                <w:rStyle w:val="AERtextsize8"/>
              </w:rPr>
              <w:t>%</w:t>
            </w:r>
          </w:p>
        </w:tc>
        <w:tc>
          <w:tcPr>
            <w:tcW w:w="1187" w:type="pct"/>
            <w:vAlign w:val="top"/>
          </w:tcPr>
          <w:p w:rsidR="00933E3E" w:rsidRPr="00933E3E" w:rsidRDefault="00933E3E" w:rsidP="00933E3E">
            <w:pPr>
              <w:cnfStyle w:val="000000010000" w:firstRow="0" w:lastRow="0" w:firstColumn="0" w:lastColumn="0" w:oddVBand="0" w:evenVBand="0" w:oddHBand="0" w:evenHBand="1" w:firstRowFirstColumn="0" w:firstRowLastColumn="0" w:lastRowFirstColumn="0" w:lastRowLastColumn="0"/>
              <w:rPr>
                <w:rStyle w:val="AERtextsize8"/>
              </w:rPr>
            </w:pPr>
            <w:r w:rsidRPr="00C24DB1">
              <w:rPr>
                <w:rStyle w:val="AERtextsize8"/>
              </w:rPr>
              <w:t>4.55%</w:t>
            </w:r>
          </w:p>
        </w:tc>
      </w:tr>
      <w:tr w:rsidR="00933E3E" w:rsidRPr="00BD56F3" w:rsidTr="00FB2460">
        <w:tc>
          <w:tcPr>
            <w:cnfStyle w:val="001000000000" w:firstRow="0" w:lastRow="0" w:firstColumn="1" w:lastColumn="0" w:oddVBand="0" w:evenVBand="0" w:oddHBand="0" w:evenHBand="0" w:firstRowFirstColumn="0" w:firstRowLastColumn="0" w:lastRowFirstColumn="0" w:lastRowLastColumn="0"/>
            <w:tcW w:w="1250" w:type="pct"/>
          </w:tcPr>
          <w:p w:rsidR="00933E3E" w:rsidRPr="00933E3E" w:rsidRDefault="00BB4CAA" w:rsidP="00933E3E">
            <w:r>
              <w:t>Market risk premium</w:t>
            </w:r>
          </w:p>
        </w:tc>
        <w:tc>
          <w:tcPr>
            <w:tcW w:w="1177" w:type="pct"/>
            <w:vAlign w:val="top"/>
          </w:tcPr>
          <w:p w:rsidR="00933E3E" w:rsidRPr="00933E3E" w:rsidRDefault="00933E3E" w:rsidP="00933E3E">
            <w:pPr>
              <w:cnfStyle w:val="000000000000" w:firstRow="0" w:lastRow="0" w:firstColumn="0" w:lastColumn="0" w:oddVBand="0" w:evenVBand="0" w:oddHBand="0" w:evenHBand="0" w:firstRowFirstColumn="0" w:firstRowLastColumn="0" w:lastRowFirstColumn="0" w:lastRowLastColumn="0"/>
              <w:rPr>
                <w:rStyle w:val="AERtextsize8"/>
              </w:rPr>
            </w:pPr>
            <w:r w:rsidRPr="00C24DB1">
              <w:rPr>
                <w:rStyle w:val="AERtextsize8"/>
              </w:rPr>
              <w:t>6.50%</w:t>
            </w:r>
          </w:p>
        </w:tc>
        <w:tc>
          <w:tcPr>
            <w:tcW w:w="1386" w:type="pct"/>
            <w:vAlign w:val="top"/>
          </w:tcPr>
          <w:p w:rsidR="00933E3E" w:rsidRPr="00933E3E" w:rsidRDefault="00933E3E" w:rsidP="00933E3E">
            <w:pPr>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8.17</w:t>
            </w:r>
            <w:r w:rsidRPr="00933E3E">
              <w:rPr>
                <w:rStyle w:val="AERtextsize8"/>
              </w:rPr>
              <w:t>%</w:t>
            </w:r>
          </w:p>
        </w:tc>
        <w:tc>
          <w:tcPr>
            <w:tcW w:w="1187" w:type="pct"/>
            <w:vAlign w:val="top"/>
          </w:tcPr>
          <w:p w:rsidR="00933E3E" w:rsidRPr="00933E3E" w:rsidRDefault="00933E3E" w:rsidP="00933E3E">
            <w:pPr>
              <w:cnfStyle w:val="000000000000" w:firstRow="0" w:lastRow="0" w:firstColumn="0" w:lastColumn="0" w:oddVBand="0" w:evenVBand="0" w:oddHBand="0" w:evenHBand="0" w:firstRowFirstColumn="0" w:firstRowLastColumn="0" w:lastRowFirstColumn="0" w:lastRowLastColumn="0"/>
              <w:rPr>
                <w:rStyle w:val="AERtextsize8"/>
              </w:rPr>
            </w:pPr>
            <w:r w:rsidRPr="00C24DB1">
              <w:rPr>
                <w:rStyle w:val="AERtextsize8"/>
              </w:rPr>
              <w:t>6.50%</w:t>
            </w:r>
          </w:p>
        </w:tc>
      </w:tr>
      <w:tr w:rsidR="00933E3E" w:rsidRPr="00BD56F3" w:rsidTr="00FB24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933E3E" w:rsidRPr="00933E3E" w:rsidRDefault="00933E3E" w:rsidP="00933E3E">
            <w:r w:rsidRPr="00796C00">
              <w:t>Equity beta</w:t>
            </w:r>
          </w:p>
        </w:tc>
        <w:tc>
          <w:tcPr>
            <w:tcW w:w="1177" w:type="pct"/>
            <w:vAlign w:val="top"/>
          </w:tcPr>
          <w:p w:rsidR="00933E3E" w:rsidRPr="00933E3E" w:rsidRDefault="00933E3E" w:rsidP="00933E3E">
            <w:pPr>
              <w:cnfStyle w:val="000000010000" w:firstRow="0" w:lastRow="0" w:firstColumn="0" w:lastColumn="0" w:oddVBand="0" w:evenVBand="0" w:oddHBand="0" w:evenHBand="1" w:firstRowFirstColumn="0" w:firstRowLastColumn="0" w:lastRowFirstColumn="0" w:lastRowLastColumn="0"/>
              <w:rPr>
                <w:rStyle w:val="AERtextsize8"/>
              </w:rPr>
            </w:pPr>
            <w:r w:rsidRPr="00C24DB1">
              <w:rPr>
                <w:rStyle w:val="AERtextsize8"/>
              </w:rPr>
              <w:t>0.8</w:t>
            </w:r>
          </w:p>
        </w:tc>
        <w:tc>
          <w:tcPr>
            <w:tcW w:w="1386" w:type="pct"/>
            <w:vAlign w:val="top"/>
          </w:tcPr>
          <w:p w:rsidR="00933E3E" w:rsidRPr="00933E3E" w:rsidRDefault="00933E3E" w:rsidP="00933E3E">
            <w:pPr>
              <w:cnfStyle w:val="000000010000" w:firstRow="0" w:lastRow="0" w:firstColumn="0" w:lastColumn="0" w:oddVBand="0" w:evenVBand="0" w:oddHBand="0" w:evenHBand="1" w:firstRowFirstColumn="0" w:firstRowLastColumn="0" w:lastRowFirstColumn="0" w:lastRowLastColumn="0"/>
              <w:rPr>
                <w:rStyle w:val="AERtextsize8"/>
              </w:rPr>
            </w:pPr>
            <w:r>
              <w:rPr>
                <w:rStyle w:val="AERtextsize8"/>
              </w:rPr>
              <w:t>0.886</w:t>
            </w:r>
          </w:p>
        </w:tc>
        <w:tc>
          <w:tcPr>
            <w:tcW w:w="1187" w:type="pct"/>
            <w:vAlign w:val="top"/>
          </w:tcPr>
          <w:p w:rsidR="00933E3E" w:rsidRPr="00933E3E" w:rsidRDefault="00933E3E" w:rsidP="00933E3E">
            <w:pPr>
              <w:cnfStyle w:val="000000010000" w:firstRow="0" w:lastRow="0" w:firstColumn="0" w:lastColumn="0" w:oddVBand="0" w:evenVBand="0" w:oddHBand="0" w:evenHBand="1" w:firstRowFirstColumn="0" w:firstRowLastColumn="0" w:lastRowFirstColumn="0" w:lastRowLastColumn="0"/>
              <w:rPr>
                <w:rStyle w:val="AERtextsize8"/>
              </w:rPr>
            </w:pPr>
            <w:r w:rsidRPr="00C24DB1">
              <w:rPr>
                <w:rStyle w:val="AERtextsize8"/>
              </w:rPr>
              <w:t>0.7</w:t>
            </w:r>
          </w:p>
        </w:tc>
      </w:tr>
      <w:tr w:rsidR="00933E3E" w:rsidRPr="00BD56F3" w:rsidTr="00FB2460">
        <w:tc>
          <w:tcPr>
            <w:cnfStyle w:val="001000000000" w:firstRow="0" w:lastRow="0" w:firstColumn="1" w:lastColumn="0" w:oddVBand="0" w:evenVBand="0" w:oddHBand="0" w:evenHBand="0" w:firstRowFirstColumn="0" w:firstRowLastColumn="0" w:lastRowFirstColumn="0" w:lastRowLastColumn="0"/>
            <w:tcW w:w="1250" w:type="pct"/>
          </w:tcPr>
          <w:p w:rsidR="00933E3E" w:rsidRPr="00933E3E" w:rsidRDefault="00933E3E" w:rsidP="00933E3E">
            <w:r w:rsidRPr="00796C00">
              <w:t xml:space="preserve">Nominal post–tax return on equity </w:t>
            </w:r>
          </w:p>
        </w:tc>
        <w:tc>
          <w:tcPr>
            <w:tcW w:w="1177" w:type="pct"/>
            <w:vAlign w:val="top"/>
          </w:tcPr>
          <w:p w:rsidR="00933E3E" w:rsidRPr="00933E3E" w:rsidRDefault="00933E3E" w:rsidP="00933E3E">
            <w:pPr>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9.51</w:t>
            </w:r>
            <w:r w:rsidRPr="00933E3E">
              <w:rPr>
                <w:rStyle w:val="AERtextsize8"/>
              </w:rPr>
              <w:t>%</w:t>
            </w:r>
          </w:p>
        </w:tc>
        <w:tc>
          <w:tcPr>
            <w:tcW w:w="1386" w:type="pct"/>
            <w:vAlign w:val="top"/>
          </w:tcPr>
          <w:p w:rsidR="00933E3E" w:rsidRPr="00933E3E" w:rsidRDefault="00933E3E" w:rsidP="00933E3E">
            <w:pPr>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10</w:t>
            </w:r>
            <w:r w:rsidRPr="00933E3E">
              <w:rPr>
                <w:rStyle w:val="AERtextsize8"/>
              </w:rPr>
              <w:t>%</w:t>
            </w:r>
          </w:p>
        </w:tc>
        <w:tc>
          <w:tcPr>
            <w:tcW w:w="1187" w:type="pct"/>
            <w:vAlign w:val="top"/>
          </w:tcPr>
          <w:p w:rsidR="00933E3E" w:rsidRPr="00933E3E" w:rsidRDefault="00933E3E" w:rsidP="00294D22">
            <w:pPr>
              <w:cnfStyle w:val="000000000000" w:firstRow="0" w:lastRow="0" w:firstColumn="0" w:lastColumn="0" w:oddVBand="0" w:evenVBand="0" w:oddHBand="0" w:evenHBand="0" w:firstRowFirstColumn="0" w:firstRowLastColumn="0" w:lastRowFirstColumn="0" w:lastRowLastColumn="0"/>
              <w:rPr>
                <w:rStyle w:val="AERtextsize8"/>
              </w:rPr>
            </w:pPr>
            <w:r w:rsidRPr="00C24DB1">
              <w:rPr>
                <w:rStyle w:val="AERtextsize8"/>
              </w:rPr>
              <w:t>7.</w:t>
            </w:r>
            <w:r w:rsidR="00294D22">
              <w:rPr>
                <w:rStyle w:val="AERtextsize8"/>
              </w:rPr>
              <w:t>1</w:t>
            </w:r>
            <w:r w:rsidRPr="00C24DB1">
              <w:rPr>
                <w:rStyle w:val="AERtextsize8"/>
              </w:rPr>
              <w:t>%</w:t>
            </w:r>
          </w:p>
        </w:tc>
      </w:tr>
    </w:tbl>
    <w:p w:rsidR="00933E3E" w:rsidRDefault="00933E3E" w:rsidP="00933E3E">
      <w:pPr>
        <w:pStyle w:val="AERtablesource"/>
      </w:pPr>
      <w:r>
        <w:t>Source:</w:t>
      </w:r>
      <w:r>
        <w:tab/>
        <w:t xml:space="preserve">AER analysis; </w:t>
      </w:r>
      <w:r w:rsidR="0084613C">
        <w:t xml:space="preserve">AusNet Services, </w:t>
      </w:r>
      <w:r w:rsidR="0084613C" w:rsidRPr="006C0405">
        <w:rPr>
          <w:rStyle w:val="AERtextitalic"/>
        </w:rPr>
        <w:t>Transmission Revenue Review 2017–2022 regulatory proposal</w:t>
      </w:r>
      <w:r w:rsidR="0084613C">
        <w:t>, 30 October 2015</w:t>
      </w:r>
      <w:r>
        <w:t xml:space="preserve">; </w:t>
      </w:r>
      <w:r>
        <w:rPr>
          <w:rStyle w:val="AERtextsize8"/>
        </w:rPr>
        <w:t xml:space="preserve">AER, </w:t>
      </w:r>
      <w:r>
        <w:rPr>
          <w:rStyle w:val="AERtextitalic"/>
        </w:rPr>
        <w:t>Final Decision: SP AusNet Transmission determination 2014-2017</w:t>
      </w:r>
      <w:r>
        <w:rPr>
          <w:rStyle w:val="AERtextsize8"/>
        </w:rPr>
        <w:t>, January 2014</w:t>
      </w:r>
      <w:r>
        <w:t>.</w:t>
      </w:r>
    </w:p>
    <w:p w:rsidR="00933E3E" w:rsidRDefault="00933E3E" w:rsidP="00933E3E">
      <w:pPr>
        <w:pStyle w:val="AERtablesource"/>
      </w:pPr>
      <w:r>
        <w:t xml:space="preserve">(a) </w:t>
      </w:r>
      <w:r>
        <w:tab/>
        <w:t xml:space="preserve">AusNet Services used a multi-model approach to estimate return on equity and calculated with an indicative averaging period of 20 business days to 17 July 2015.  The MRP shown in this table is the market return less the </w:t>
      </w:r>
      <w:r w:rsidR="00CE6191">
        <w:t xml:space="preserve">indicative </w:t>
      </w:r>
      <w:r>
        <w:t xml:space="preserve">risk free rate used in AusNet Services’ estimated SLCAPM. The equity beta is an ‘implied beta’ calculated as the proposed equity risk premium divided by MRP. </w:t>
      </w:r>
      <w:r w:rsidR="0084613C">
        <w:t xml:space="preserve">AusNet Services, </w:t>
      </w:r>
      <w:r w:rsidR="0084613C" w:rsidRPr="006C0405">
        <w:rPr>
          <w:rStyle w:val="AERtextitalic"/>
        </w:rPr>
        <w:t>Transmission Revenue Review 2017–2022 regulatory proposal</w:t>
      </w:r>
      <w:r w:rsidR="0084613C">
        <w:t>, 30 October 2015</w:t>
      </w:r>
      <w:r>
        <w:t xml:space="preserve">. </w:t>
      </w:r>
    </w:p>
    <w:p w:rsidR="00933E3E" w:rsidRPr="00933E3E" w:rsidRDefault="00933E3E" w:rsidP="00933E3E">
      <w:r>
        <w:t xml:space="preserve">Our </w:t>
      </w:r>
      <w:r w:rsidRPr="00933E3E">
        <w:t>draft decision on the return on debt approach is to:</w:t>
      </w:r>
    </w:p>
    <w:p w:rsidR="00933E3E" w:rsidRDefault="00933E3E" w:rsidP="00933E3E">
      <w:pPr>
        <w:pStyle w:val="AERbulletlistfirststyle"/>
      </w:pPr>
      <w:r>
        <w:t>estimate</w:t>
      </w:r>
      <w:r w:rsidRPr="00F17A9D">
        <w:t xml:space="preserve"> </w:t>
      </w:r>
      <w:r>
        <w:t xml:space="preserve">the return on debt using an </w:t>
      </w:r>
      <w:r w:rsidRPr="00F17A9D">
        <w:t xml:space="preserve">on-the-day </w:t>
      </w:r>
      <w:r>
        <w:t>approach</w:t>
      </w:r>
      <w:r w:rsidRPr="00F17A9D">
        <w:t xml:space="preserve"> (</w:t>
      </w:r>
      <w:r>
        <w:t xml:space="preserve">that is, </w:t>
      </w:r>
      <w:r w:rsidRPr="00F17A9D">
        <w:t>based on prevailing market conditions</w:t>
      </w:r>
      <w:r>
        <w:t xml:space="preserve"> near the commencement of the regulatory control period</w:t>
      </w:r>
      <w:r w:rsidRPr="00F17A9D">
        <w:t>)</w:t>
      </w:r>
      <w:r>
        <w:t xml:space="preserve"> </w:t>
      </w:r>
      <w:r w:rsidRPr="00F17A9D">
        <w:t xml:space="preserve">in </w:t>
      </w:r>
      <w:r w:rsidR="00527DDF">
        <w:t>2017–18</w:t>
      </w:r>
      <w:r w:rsidRPr="00F17A9D">
        <w:t>of</w:t>
      </w:r>
      <w:r w:rsidR="00FC01B1">
        <w:t xml:space="preserve"> the 201</w:t>
      </w:r>
      <w:r w:rsidR="00720FD1">
        <w:t>7</w:t>
      </w:r>
      <w:r>
        <w:t>–22</w:t>
      </w:r>
      <w:r w:rsidRPr="00F17A9D">
        <w:t xml:space="preserve"> </w:t>
      </w:r>
      <w:r>
        <w:t xml:space="preserve">regulatory control </w:t>
      </w:r>
      <w:r w:rsidRPr="00F17A9D">
        <w:t>period</w:t>
      </w:r>
      <w:r>
        <w:t>, and</w:t>
      </w:r>
    </w:p>
    <w:p w:rsidR="00933E3E" w:rsidRDefault="00933E3E" w:rsidP="00933E3E">
      <w:pPr>
        <w:pStyle w:val="AERbulletlistfirststyle"/>
      </w:pPr>
      <w:proofErr w:type="gramStart"/>
      <w:r>
        <w:t>gradually</w:t>
      </w:r>
      <w:proofErr w:type="gramEnd"/>
      <w:r>
        <w:t xml:space="preserve"> transition</w:t>
      </w:r>
      <w:r w:rsidRPr="00F17A9D">
        <w:t xml:space="preserve"> this </w:t>
      </w:r>
      <w:r>
        <w:t>approach</w:t>
      </w:r>
      <w:r w:rsidRPr="00F17A9D">
        <w:t xml:space="preserve"> into a trailing average approach (</w:t>
      </w:r>
      <w:r>
        <w:t xml:space="preserve">that is, </w:t>
      </w:r>
      <w:r w:rsidRPr="00F17A9D">
        <w:t>a moving historical average) over 10 years.</w:t>
      </w:r>
      <w:r>
        <w:rPr>
          <w:rStyle w:val="FootnoteReference"/>
        </w:rPr>
        <w:footnoteReference w:id="13"/>
      </w:r>
    </w:p>
    <w:p w:rsidR="00933E3E" w:rsidRPr="00235F75" w:rsidRDefault="00933E3E" w:rsidP="00933E3E">
      <w:r w:rsidRPr="00F17A9D">
        <w:t xml:space="preserve">This gradual transition will occur through updating 10 per cent of the </w:t>
      </w:r>
      <w:r>
        <w:t xml:space="preserve">entire </w:t>
      </w:r>
      <w:r w:rsidRPr="00F17A9D">
        <w:t>return on debt each year to reflect prevailing market conditions in that year</w:t>
      </w:r>
      <w:r>
        <w:t xml:space="preserve"> (a full transition)</w:t>
      </w:r>
      <w:r w:rsidRPr="00F17A9D">
        <w:t>.</w:t>
      </w:r>
      <w:r>
        <w:rPr>
          <w:rStyle w:val="FootnoteReference"/>
        </w:rPr>
        <w:footnoteReference w:id="14"/>
      </w:r>
      <w:r>
        <w:t xml:space="preserve"> This approach </w:t>
      </w:r>
      <w:r w:rsidR="009F6140">
        <w:t>is consistent with the approach</w:t>
      </w:r>
      <w:r>
        <w:t xml:space="preserve"> we proposed in the Guideline and adopted in </w:t>
      </w:r>
      <w:r w:rsidR="009F6140">
        <w:t>this</w:t>
      </w:r>
      <w:r>
        <w:t xml:space="preserve"> </w:t>
      </w:r>
      <w:r w:rsidR="009F6140">
        <w:t>draft</w:t>
      </w:r>
      <w:r>
        <w:t xml:space="preserve"> decision. </w:t>
      </w:r>
      <w:r w:rsidRPr="00235F75">
        <w:t xml:space="preserve">Our </w:t>
      </w:r>
      <w:r>
        <w:t>draft decision is to estimate the return on debt in each regulatory year by reference to</w:t>
      </w:r>
      <w:r w:rsidRPr="00235F75">
        <w:t>:</w:t>
      </w:r>
    </w:p>
    <w:p w:rsidR="00933E3E" w:rsidRPr="00CC2262" w:rsidRDefault="00933E3E" w:rsidP="00933E3E">
      <w:pPr>
        <w:pStyle w:val="AERbulletlistfirststyle"/>
      </w:pPr>
      <w:r w:rsidRPr="00235F75">
        <w:t>a benchmark credit rating of BBB+</w:t>
      </w:r>
    </w:p>
    <w:p w:rsidR="00933E3E" w:rsidRPr="00CC2262" w:rsidRDefault="00933E3E" w:rsidP="00933E3E">
      <w:pPr>
        <w:pStyle w:val="AERbulletlistfirststyle"/>
      </w:pPr>
      <w:r w:rsidRPr="00235F75">
        <w:t>a benchmark term of debt of 10 years</w:t>
      </w:r>
    </w:p>
    <w:p w:rsidR="00933E3E" w:rsidRPr="00CC2262" w:rsidRDefault="00933E3E" w:rsidP="00933E3E">
      <w:pPr>
        <w:pStyle w:val="AERbulletlistfirststyle"/>
      </w:pPr>
      <w:r w:rsidRPr="00235F75">
        <w:t>indepen</w:t>
      </w:r>
      <w:r>
        <w:t>dent third party data series—specifically, a simple average of the broad BBB rated debt data series published by the Reserve Bank of Australia (RBA) and Bloomberg, adjusted to reflect a 10 year estimate and other adjustments</w:t>
      </w:r>
      <w:r>
        <w:rPr>
          <w:rStyle w:val="FootnoteReference"/>
        </w:rPr>
        <w:footnoteReference w:id="15"/>
      </w:r>
    </w:p>
    <w:p w:rsidR="00933E3E" w:rsidRPr="00CC2262" w:rsidRDefault="00933E3E" w:rsidP="00933E3E">
      <w:pPr>
        <w:pStyle w:val="AERbulletlistfirststyle"/>
      </w:pPr>
      <w:proofErr w:type="gramStart"/>
      <w:r w:rsidRPr="00235F75">
        <w:t>an</w:t>
      </w:r>
      <w:proofErr w:type="gramEnd"/>
      <w:r w:rsidRPr="00235F75">
        <w:t xml:space="preserve">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consistent with </w:t>
      </w:r>
      <w:r>
        <w:t>certain</w:t>
      </w:r>
      <w:r w:rsidRPr="00235F75">
        <w:t xml:space="preserve"> conditions </w:t>
      </w:r>
      <w:r>
        <w:t xml:space="preserve">that </w:t>
      </w:r>
      <w:r w:rsidRPr="00235F75">
        <w:t xml:space="preserve">we proposed in the </w:t>
      </w:r>
      <w:r>
        <w:t>G</w:t>
      </w:r>
      <w:r w:rsidRPr="00235F75">
        <w:t>uideline.</w:t>
      </w:r>
      <w:r w:rsidRPr="00135F86">
        <w:rPr>
          <w:rStyle w:val="FootnoteReference"/>
        </w:rPr>
        <w:footnoteReference w:id="16"/>
      </w:r>
    </w:p>
    <w:p w:rsidR="00933E3E" w:rsidRDefault="00933E3E" w:rsidP="00933E3E">
      <w:pPr>
        <w:numPr>
          <w:ilvl w:val="0"/>
          <w:numId w:val="25"/>
        </w:numPr>
      </w:pPr>
      <w:r>
        <w:t>It is worth noting that the Tribunal recently reviewed several aspects of our approach to estimating the allowed return on debt in recent decisions for ActewAGL, Jemena Gas Networks and Networks NSW. Specifically, the Tribunal was asked to review:</w:t>
      </w:r>
    </w:p>
    <w:p w:rsidR="00933E3E" w:rsidRPr="00454ED0" w:rsidRDefault="00933E3E" w:rsidP="00933E3E">
      <w:pPr>
        <w:pStyle w:val="AERbulletlistfirststyle"/>
      </w:pPr>
      <w:r>
        <w:t>Whether a</w:t>
      </w:r>
      <w:r w:rsidRPr="00454ED0">
        <w:t xml:space="preserve"> benchmark</w:t>
      </w:r>
      <w:r>
        <w:t xml:space="preserve"> efficient entity would have a</w:t>
      </w:r>
      <w:r w:rsidRPr="00454ED0">
        <w:t xml:space="preserve"> credit rating </w:t>
      </w:r>
      <w:r>
        <w:t>of</w:t>
      </w:r>
      <w:r w:rsidRPr="00454ED0">
        <w:t xml:space="preserve"> BBB rather than BBB+. </w:t>
      </w:r>
      <w:r>
        <w:t>It</w:t>
      </w:r>
      <w:r w:rsidRPr="00454ED0">
        <w:t xml:space="preserve"> upheld our decision to define </w:t>
      </w:r>
      <w:r>
        <w:t>a</w:t>
      </w:r>
      <w:r w:rsidRPr="00454ED0">
        <w:t xml:space="preserve"> benchmark credit rating as a BBB+ credit rating.</w:t>
      </w:r>
      <w:r w:rsidRPr="00454ED0">
        <w:rPr>
          <w:rStyle w:val="FootnoteReference"/>
        </w:rPr>
        <w:footnoteReference w:id="17"/>
      </w:r>
    </w:p>
    <w:p w:rsidR="00933E3E" w:rsidRPr="00454ED0" w:rsidRDefault="00933E3E" w:rsidP="00933E3E">
      <w:pPr>
        <w:pStyle w:val="AERbulletlistfirststyle"/>
      </w:pPr>
      <w:r>
        <w:t xml:space="preserve">Whether we should estimate </w:t>
      </w:r>
      <w:r w:rsidRPr="00454ED0">
        <w:t>the allowed return on debt using the RBA data series alone or a simple average of the RBA and Bloomberg data series. It upheld our decision and found that</w:t>
      </w:r>
      <w:r>
        <w:t>, 'a</w:t>
      </w:r>
      <w:r w:rsidRPr="00454ED0">
        <w:t>veraging of the two curves was an acceptable measure of the DR</w:t>
      </w:r>
      <w:r>
        <w:t>P'.</w:t>
      </w:r>
      <w:r w:rsidRPr="00454ED0">
        <w:rPr>
          <w:rStyle w:val="FootnoteReference"/>
        </w:rPr>
        <w:t xml:space="preserve"> </w:t>
      </w:r>
      <w:r w:rsidRPr="00454ED0">
        <w:rPr>
          <w:rStyle w:val="FootnoteReference"/>
        </w:rPr>
        <w:footnoteReference w:id="18"/>
      </w:r>
    </w:p>
    <w:p w:rsidR="00933E3E" w:rsidRPr="00454ED0" w:rsidRDefault="00933E3E" w:rsidP="00933E3E">
      <w:pPr>
        <w:pStyle w:val="AERbulletlistfirststyle"/>
      </w:pPr>
      <w:r>
        <w:t>Whether we should transition all of the return on debt</w:t>
      </w:r>
      <w:r>
        <w:rPr>
          <w:rStyle w:val="FootnoteReference"/>
        </w:rPr>
        <w:footnoteReference w:id="19"/>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It remitted the determination back to us to make a </w:t>
      </w:r>
      <w:r w:rsidRPr="00454ED0">
        <w:t xml:space="preserve">constituent decision </w:t>
      </w:r>
      <w:r>
        <w:t>on</w:t>
      </w:r>
      <w:r w:rsidRPr="00454ED0">
        <w:t xml:space="preserve"> </w:t>
      </w:r>
      <w:r>
        <w:t>introducing</w:t>
      </w:r>
      <w:r w:rsidRPr="00454ED0">
        <w:t xml:space="preserve"> the trailing average approach</w:t>
      </w:r>
      <w:r>
        <w:t xml:space="preserve"> in accordance with several reasons outlined in its decision.</w:t>
      </w:r>
      <w:r>
        <w:rPr>
          <w:rStyle w:val="FootnoteReference"/>
        </w:rPr>
        <w:footnoteReference w:id="20"/>
      </w:r>
      <w:r>
        <w:t xml:space="preserve"> We note the Tribunal's decision in section </w:t>
      </w:r>
      <w:r>
        <w:fldChar w:fldCharType="begin"/>
      </w:r>
      <w:r>
        <w:instrText xml:space="preserve"> REF _Ref451345996 \r \h </w:instrText>
      </w:r>
      <w:r>
        <w:fldChar w:fldCharType="separate"/>
      </w:r>
      <w:r w:rsidR="003F1AAB">
        <w:t>3.4.2</w:t>
      </w:r>
      <w:r>
        <w:fldChar w:fldCharType="end"/>
      </w:r>
      <w:r>
        <w:t xml:space="preserve"> and Appendix </w:t>
      </w:r>
      <w:r>
        <w:fldChar w:fldCharType="begin"/>
      </w:r>
      <w:r>
        <w:instrText xml:space="preserve"> REF _Ref451267680 \r \h </w:instrText>
      </w:r>
      <w:r>
        <w:fldChar w:fldCharType="separate"/>
      </w:r>
      <w:r w:rsidR="003F1AAB">
        <w:t>A</w:t>
      </w:r>
      <w:r>
        <w:fldChar w:fldCharType="end"/>
      </w:r>
      <w:r>
        <w:t>.</w:t>
      </w:r>
    </w:p>
    <w:p w:rsidR="00933E3E" w:rsidRDefault="00933E3E" w:rsidP="00933E3E">
      <w:pPr>
        <w:numPr>
          <w:ilvl w:val="0"/>
          <w:numId w:val="25"/>
        </w:numPr>
      </w:pPr>
      <w:r w:rsidRPr="00235F75">
        <w:t xml:space="preserve">In the </w:t>
      </w:r>
      <w:r>
        <w:t>Guideline</w:t>
      </w:r>
      <w:r w:rsidRPr="00235F75">
        <w:t>, we proposed to use one or more third party data series to estimate the return on debt.</w:t>
      </w:r>
      <w:r w:rsidRPr="00135F86">
        <w:rPr>
          <w:rStyle w:val="FootnoteReference"/>
        </w:rPr>
        <w:footnoteReference w:id="21"/>
      </w:r>
      <w:r w:rsidRPr="00235F75">
        <w:t xml:space="preserve"> </w:t>
      </w:r>
      <w:r>
        <w:t>A</w:t>
      </w:r>
      <w:r w:rsidRPr="00235F75">
        <w:t>t that time</w:t>
      </w:r>
      <w:r>
        <w:t>, however,</w:t>
      </w:r>
      <w:r w:rsidRPr="00235F75">
        <w:t xml:space="preserve"> we had not formed a view on which data series to use. </w:t>
      </w:r>
      <w:r>
        <w:t>Our</w:t>
      </w:r>
      <w:r w:rsidRPr="00235F75">
        <w:t xml:space="preserve"> April 2014 issues paper </w:t>
      </w:r>
      <w:r>
        <w:t>outlined how we would make</w:t>
      </w:r>
      <w:r w:rsidRPr="00235F75">
        <w:t xml:space="preserve"> this choice and sought submissions from service providers.</w:t>
      </w:r>
      <w:r>
        <w:rPr>
          <w:rStyle w:val="FootnoteReference"/>
        </w:rPr>
        <w:footnoteReference w:id="22"/>
      </w:r>
      <w:r w:rsidRPr="00235F75">
        <w:t xml:space="preserve"> </w:t>
      </w:r>
      <w:r w:rsidR="00A06474">
        <w:t>In this draft decision, w</w:t>
      </w:r>
      <w:r w:rsidR="00A06474" w:rsidRPr="00235F75">
        <w:t xml:space="preserve">e </w:t>
      </w:r>
      <w:r w:rsidR="00A06474">
        <w:t xml:space="preserve">adopted a simple average of the RBA and Bloomberg data series for </w:t>
      </w:r>
      <w:r>
        <w:t xml:space="preserve">reasons discussed in section 3.4.2. </w:t>
      </w:r>
    </w:p>
    <w:p w:rsidR="00933E3E" w:rsidRDefault="00933E3E" w:rsidP="00933E3E">
      <w:pPr>
        <w:numPr>
          <w:ilvl w:val="0"/>
          <w:numId w:val="25"/>
        </w:numPr>
      </w:pPr>
      <w:r>
        <w:t xml:space="preserve">Our formula for automatically updating </w:t>
      </w:r>
      <w:r w:rsidRPr="00C6581F">
        <w:t>the return on debt</w:t>
      </w:r>
      <w:r w:rsidRPr="006C2A62">
        <w:t xml:space="preserve"> </w:t>
      </w:r>
      <w:r>
        <w:t xml:space="preserve">annually is set out in Appendix </w:t>
      </w:r>
      <w:r>
        <w:fldChar w:fldCharType="begin"/>
      </w:r>
      <w:r>
        <w:instrText xml:space="preserve"> REF _Ref451267719 \r \h </w:instrText>
      </w:r>
      <w:r>
        <w:fldChar w:fldCharType="separate"/>
      </w:r>
      <w:r w:rsidR="003F1AAB">
        <w:t>A</w:t>
      </w:r>
      <w:r>
        <w:fldChar w:fldCharType="end"/>
      </w:r>
      <w:r>
        <w:t xml:space="preserve"> of this decision.</w:t>
      </w:r>
    </w:p>
    <w:p w:rsidR="00DE563D" w:rsidRPr="001754EE" w:rsidRDefault="000B321F" w:rsidP="00631982">
      <w:pPr>
        <w:pStyle w:val="Heading2"/>
      </w:pPr>
      <w:bookmarkStart w:id="14" w:name="_Toc456686694"/>
      <w:r>
        <w:t>AusNet Services</w:t>
      </w:r>
      <w:r w:rsidR="00415F31" w:rsidRPr="001754EE">
        <w:t>’</w:t>
      </w:r>
      <w:r w:rsidR="00DE563D" w:rsidRPr="001754EE">
        <w:t xml:space="preserve"> proposal</w:t>
      </w:r>
      <w:bookmarkEnd w:id="10"/>
      <w:bookmarkEnd w:id="14"/>
    </w:p>
    <w:p w:rsidR="00A06474" w:rsidRDefault="00A06474" w:rsidP="00A06474">
      <w:pPr>
        <w:numPr>
          <w:ilvl w:val="0"/>
          <w:numId w:val="25"/>
        </w:numPr>
      </w:pPr>
      <w:r>
        <w:t>AusNet Services</w:t>
      </w:r>
      <w:r w:rsidRPr="00F1535D">
        <w:t xml:space="preserve"> proposed a</w:t>
      </w:r>
      <w:r>
        <w:t xml:space="preserve"> return on equity estimate of </w:t>
      </w:r>
      <w:r w:rsidR="000B380D">
        <w:t>10</w:t>
      </w:r>
      <w:r>
        <w:t xml:space="preserve"> </w:t>
      </w:r>
      <w:r w:rsidRPr="00F1535D">
        <w:t>per cent</w:t>
      </w:r>
      <w:r>
        <w:t>.</w:t>
      </w:r>
      <w:r>
        <w:rPr>
          <w:rStyle w:val="FootnoteReference"/>
        </w:rPr>
        <w:footnoteReference w:id="23"/>
      </w:r>
      <w:r>
        <w:t xml:space="preserve"> This is based on a foundation model approach with parameter uplifts that incorporate information from a multiple model approach.</w:t>
      </w:r>
      <w:r>
        <w:rPr>
          <w:rStyle w:val="FootnoteReference"/>
        </w:rPr>
        <w:footnoteReference w:id="24"/>
      </w:r>
      <w:r>
        <w:t xml:space="preserve"> </w:t>
      </w:r>
    </w:p>
    <w:p w:rsidR="00A06474" w:rsidRDefault="00A06474" w:rsidP="00A06474">
      <w:pPr>
        <w:pStyle w:val="HeadingBoldBlue"/>
        <w:numPr>
          <w:ilvl w:val="0"/>
          <w:numId w:val="25"/>
        </w:numPr>
      </w:pPr>
      <w:bookmarkStart w:id="15" w:name="_Toc430178092"/>
      <w:bookmarkStart w:id="16" w:name="_Toc430178373"/>
      <w:r>
        <w:t xml:space="preserve">Return on debt </w:t>
      </w:r>
      <w:bookmarkEnd w:id="15"/>
      <w:bookmarkEnd w:id="16"/>
    </w:p>
    <w:p w:rsidR="001D6815" w:rsidRPr="001D6815" w:rsidRDefault="001D6815" w:rsidP="001D6815">
      <w:pPr>
        <w:pStyle w:val="ListParagraph"/>
        <w:numPr>
          <w:ilvl w:val="0"/>
          <w:numId w:val="25"/>
        </w:numPr>
      </w:pPr>
      <w:r w:rsidRPr="001D6815">
        <w:t xml:space="preserve">In its regulatory proposal, AusNet Services has proposed to calculate its return on debt using a hybrid transition which combines a gradual transition of the base rate to a trailing average and a backwards looking debt risk premium. Based on this hybrid transition, AusNet Services proposed a return on debt estimate of </w:t>
      </w:r>
      <w:r w:rsidR="00352BE7">
        <w:t>5.37</w:t>
      </w:r>
      <w:r w:rsidRPr="001D6815">
        <w:t xml:space="preserve"> per cent for regulatory year </w:t>
      </w:r>
      <w:r w:rsidR="00527DDF">
        <w:t>2017–18</w:t>
      </w:r>
      <w:r w:rsidRPr="001D6815">
        <w:t>.</w:t>
      </w:r>
      <w:r w:rsidRPr="001D6815">
        <w:rPr>
          <w:rStyle w:val="FootnoteReference"/>
        </w:rPr>
        <w:footnoteReference w:id="25"/>
      </w:r>
    </w:p>
    <w:p w:rsidR="00A06474" w:rsidRDefault="00A06474" w:rsidP="00A06474">
      <w:pPr>
        <w:numPr>
          <w:ilvl w:val="0"/>
          <w:numId w:val="25"/>
        </w:numPr>
      </w:pPr>
      <w:r>
        <w:t>In implementing the return on debt, AusNet Services</w:t>
      </w:r>
      <w:r w:rsidRPr="00F1535D">
        <w:t xml:space="preserve"> </w:t>
      </w:r>
      <w:r>
        <w:t>proposed:</w:t>
      </w:r>
    </w:p>
    <w:p w:rsidR="00A06474" w:rsidRDefault="00A06474" w:rsidP="00A06474">
      <w:pPr>
        <w:pStyle w:val="AERbulletlistfirststyle"/>
      </w:pPr>
      <w:proofErr w:type="gramStart"/>
      <w:r w:rsidRPr="00487B86">
        <w:t>a</w:t>
      </w:r>
      <w:proofErr w:type="gramEnd"/>
      <w:r w:rsidRPr="00487B86">
        <w:t xml:space="preserve"> </w:t>
      </w:r>
      <w:r>
        <w:t xml:space="preserve">10 year term and </w:t>
      </w:r>
      <w:r w:rsidRPr="00487B86">
        <w:t xml:space="preserve">BBB </w:t>
      </w:r>
      <w:r>
        <w:t xml:space="preserve">to BBB+ </w:t>
      </w:r>
      <w:r w:rsidRPr="00487B86">
        <w:t xml:space="preserve">credit rating </w:t>
      </w:r>
      <w:r>
        <w:t xml:space="preserve">be used </w:t>
      </w:r>
      <w:r w:rsidRPr="00487B86">
        <w:t xml:space="preserve">which is different to the BBB+ </w:t>
      </w:r>
      <w:r>
        <w:t xml:space="preserve">rating we </w:t>
      </w:r>
      <w:r w:rsidRPr="00487B86">
        <w:t>proposed in the Guideline</w:t>
      </w:r>
      <w:r>
        <w:t>.</w:t>
      </w:r>
      <w:r>
        <w:rPr>
          <w:rStyle w:val="FootnoteReference"/>
        </w:rPr>
        <w:footnoteReference w:id="26"/>
      </w:r>
      <w:r>
        <w:t xml:space="preserve"> </w:t>
      </w:r>
    </w:p>
    <w:p w:rsidR="00A06474" w:rsidRDefault="00A06474" w:rsidP="00A06474">
      <w:pPr>
        <w:pStyle w:val="AERbulletlistfirststyle"/>
      </w:pPr>
      <w:proofErr w:type="gramStart"/>
      <w:r>
        <w:t>equally</w:t>
      </w:r>
      <w:proofErr w:type="gramEnd"/>
      <w:r>
        <w:t xml:space="preserve"> weighting estimates using data from the RBA.</w:t>
      </w:r>
      <w:r>
        <w:rPr>
          <w:rStyle w:val="FootnoteReference"/>
        </w:rPr>
        <w:footnoteReference w:id="27"/>
      </w:r>
      <w:r>
        <w:t xml:space="preserve"> </w:t>
      </w:r>
    </w:p>
    <w:p w:rsidR="00DE563D" w:rsidRDefault="00DE563D" w:rsidP="001754EE">
      <w:pPr>
        <w:pStyle w:val="Heading2"/>
      </w:pPr>
      <w:bookmarkStart w:id="17" w:name="_Toc403144138"/>
      <w:bookmarkStart w:id="18" w:name="_Toc456686695"/>
      <w:r w:rsidRPr="001754EE">
        <w:t>AER’s</w:t>
      </w:r>
      <w:r>
        <w:t xml:space="preserve"> assessment approach</w:t>
      </w:r>
      <w:bookmarkEnd w:id="17"/>
      <w:bookmarkEnd w:id="18"/>
    </w:p>
    <w:p w:rsidR="008A6729" w:rsidRDefault="008A6729" w:rsidP="008A6729">
      <w:pPr>
        <w:numPr>
          <w:ilvl w:val="0"/>
          <w:numId w:val="25"/>
        </w:numPr>
      </w:pPr>
      <w:r>
        <w:t>The National Electricity Law/National Gas Law (NEL/NGL) and rules (NER/NGR) form our framework for determining the rate of return. The key components of this framework include:</w:t>
      </w:r>
    </w:p>
    <w:p w:rsidR="008A6729" w:rsidRDefault="008A6729" w:rsidP="008A6729">
      <w:pPr>
        <w:pStyle w:val="AERbulletlistfirststyle"/>
      </w:pPr>
      <w:proofErr w:type="gramStart"/>
      <w:r>
        <w:t>national</w:t>
      </w:r>
      <w:proofErr w:type="gramEnd"/>
      <w:r>
        <w:t xml:space="preserve"> electricity/gas objective (NEO/NGO) and the RPPs in the</w:t>
      </w:r>
      <w:r w:rsidRPr="004919CC">
        <w:t xml:space="preserve"> </w:t>
      </w:r>
      <w:r>
        <w:t>NEL/NGL.</w:t>
      </w:r>
    </w:p>
    <w:p w:rsidR="008A6729" w:rsidRDefault="008A6729" w:rsidP="008A6729">
      <w:pPr>
        <w:pStyle w:val="AERbulletlistfirststyle"/>
      </w:pPr>
      <w:r>
        <w:t>the overall rate of return</w:t>
      </w:r>
      <w:r w:rsidRPr="003337B3">
        <w:t>―</w:t>
      </w:r>
      <w:r>
        <w:t>consisting of the allowed return on equity and debt</w:t>
      </w:r>
    </w:p>
    <w:p w:rsidR="008A6729" w:rsidRDefault="008A6729" w:rsidP="008A6729">
      <w:pPr>
        <w:pStyle w:val="AERbulletlistfirststyle"/>
      </w:pPr>
      <w:r>
        <w:t>the ARORO and its elements</w:t>
      </w:r>
    </w:p>
    <w:p w:rsidR="008A6729" w:rsidRDefault="008A6729" w:rsidP="008A6729">
      <w:pPr>
        <w:pStyle w:val="AERbulletlistfirststyle"/>
      </w:pPr>
      <w:r>
        <w:t>return on debt factors</w:t>
      </w:r>
    </w:p>
    <w:p w:rsidR="008A6729" w:rsidRDefault="008A6729" w:rsidP="008A6729">
      <w:pPr>
        <w:pStyle w:val="AERbulletlistfirststyle"/>
      </w:pPr>
      <w:r>
        <w:t>considering i</w:t>
      </w:r>
      <w:r w:rsidRPr="009A2092">
        <w:t>nterrelationships within the rate of return</w:t>
      </w:r>
    </w:p>
    <w:p w:rsidR="008A6729" w:rsidRPr="00A77770" w:rsidRDefault="008A6729" w:rsidP="008A6729">
      <w:pPr>
        <w:pStyle w:val="AERbulletlistfirststyle"/>
      </w:pPr>
      <w:r>
        <w:t xml:space="preserve">use of the </w:t>
      </w:r>
      <w:r w:rsidRPr="00A77770">
        <w:t xml:space="preserve">Guideline </w:t>
      </w:r>
    </w:p>
    <w:p w:rsidR="008A6729" w:rsidRDefault="008A6729" w:rsidP="008A6729">
      <w:pPr>
        <w:pStyle w:val="AERbulletlistfirststyle"/>
      </w:pPr>
      <w:proofErr w:type="gramStart"/>
      <w:r>
        <w:t>consideration</w:t>
      </w:r>
      <w:proofErr w:type="gramEnd"/>
      <w:r>
        <w:t xml:space="preserve"> of information before us.</w:t>
      </w:r>
    </w:p>
    <w:p w:rsidR="008A6729" w:rsidRPr="00B575CE" w:rsidRDefault="008A6729" w:rsidP="008A6729">
      <w:pPr>
        <w:pStyle w:val="Heading3"/>
      </w:pPr>
      <w:bookmarkStart w:id="19" w:name="_Toc450922711"/>
      <w:bookmarkStart w:id="20" w:name="_Toc451938948"/>
      <w:bookmarkStart w:id="21" w:name="_Toc456686696"/>
      <w:r>
        <w:t>National electricity and gas laws</w:t>
      </w:r>
      <w:bookmarkEnd w:id="19"/>
      <w:bookmarkEnd w:id="20"/>
      <w:bookmarkEnd w:id="21"/>
    </w:p>
    <w:p w:rsidR="008A6729" w:rsidRPr="00762AAF" w:rsidRDefault="008A6729" w:rsidP="008A6729">
      <w:pPr>
        <w:numPr>
          <w:ilvl w:val="0"/>
          <w:numId w:val="25"/>
        </w:numPr>
      </w:pPr>
      <w:r w:rsidRPr="00762AAF">
        <w:t xml:space="preserve">In performing or exercising an economic regulatory function or power, we must do so in a manner that will or is likely to contribute to the </w:t>
      </w:r>
      <w:r>
        <w:t>NEO</w:t>
      </w:r>
      <w:r w:rsidRPr="00762AAF">
        <w:t>.</w:t>
      </w:r>
      <w:r w:rsidRPr="00762AAF">
        <w:rPr>
          <w:rStyle w:val="FootnoteReference"/>
        </w:rPr>
        <w:footnoteReference w:id="28"/>
      </w:r>
      <w:r w:rsidRPr="00762AAF">
        <w:t xml:space="preserve"> The </w:t>
      </w:r>
      <w:r>
        <w:t>NEO</w:t>
      </w:r>
      <w:r w:rsidRPr="00762AAF">
        <w:t xml:space="preserve"> states:</w:t>
      </w:r>
    </w:p>
    <w:p w:rsidR="008A6729" w:rsidRPr="00BF711B" w:rsidRDefault="008A6729" w:rsidP="008A6729">
      <w:pPr>
        <w:pStyle w:val="AERquote"/>
      </w:pPr>
      <w:r w:rsidRPr="00BF711B">
        <w:t>The objective of this Law is to promote efficient investment in, and efficient operation and use of, electricity services for the long term interests of consumers of electricity with respect to —</w:t>
      </w:r>
    </w:p>
    <w:p w:rsidR="008A6729" w:rsidRPr="00BF711B" w:rsidRDefault="008A6729" w:rsidP="008A6729">
      <w:pPr>
        <w:pStyle w:val="AERquote"/>
      </w:pPr>
      <w:r w:rsidRPr="00BF711B">
        <w:tab/>
        <w:t xml:space="preserve">(a) </w:t>
      </w:r>
      <w:proofErr w:type="gramStart"/>
      <w:r w:rsidRPr="00BF711B">
        <w:t>price</w:t>
      </w:r>
      <w:proofErr w:type="gramEnd"/>
      <w:r w:rsidRPr="00BF711B">
        <w:t xml:space="preserve">, quality, safety, reliability and security of supply of electricity; </w:t>
      </w:r>
    </w:p>
    <w:p w:rsidR="008A6729" w:rsidRPr="00BF711B" w:rsidRDefault="008A6729" w:rsidP="008A6729">
      <w:pPr>
        <w:pStyle w:val="AERquote"/>
      </w:pPr>
      <w:r w:rsidRPr="00BF711B">
        <w:tab/>
        <w:t xml:space="preserve">(b) </w:t>
      </w:r>
      <w:proofErr w:type="gramStart"/>
      <w:r w:rsidRPr="00BF711B">
        <w:t>and</w:t>
      </w:r>
      <w:proofErr w:type="gramEnd"/>
      <w:r w:rsidRPr="00BF711B">
        <w:t xml:space="preserve"> the reliability, safety and security of the national electricity system. </w:t>
      </w:r>
    </w:p>
    <w:p w:rsidR="008A6729" w:rsidRDefault="008A6729" w:rsidP="008A6729">
      <w:pPr>
        <w:numPr>
          <w:ilvl w:val="0"/>
          <w:numId w:val="25"/>
        </w:numPr>
      </w:pPr>
      <w:r>
        <w:t>When we make a</w:t>
      </w:r>
      <w:r w:rsidRPr="00762AAF">
        <w:t xml:space="preserve"> distribution determination, </w:t>
      </w:r>
      <w:r>
        <w:t>and set</w:t>
      </w:r>
      <w:r w:rsidRPr="00762AAF">
        <w:t xml:space="preserve"> the rate of return </w:t>
      </w:r>
      <w:r>
        <w:t xml:space="preserve">we are exercising </w:t>
      </w:r>
      <w:r w:rsidRPr="00762AAF">
        <w:t>economic regulatory function</w:t>
      </w:r>
      <w:r>
        <w:t>s</w:t>
      </w:r>
      <w:r w:rsidRPr="00762AAF">
        <w:t xml:space="preserve"> or power</w:t>
      </w:r>
      <w:r>
        <w:t>s</w:t>
      </w:r>
      <w:r w:rsidRPr="00762AAF">
        <w:t xml:space="preserve">. </w:t>
      </w:r>
    </w:p>
    <w:p w:rsidR="008A6729" w:rsidRPr="00762AAF" w:rsidRDefault="008A6729" w:rsidP="008A6729">
      <w:pPr>
        <w:numPr>
          <w:ilvl w:val="0"/>
          <w:numId w:val="25"/>
        </w:numPr>
      </w:pPr>
      <w:r w:rsidRPr="00762AAF">
        <w:t xml:space="preserve">In addition, we </w:t>
      </w:r>
      <w:r>
        <w:t xml:space="preserve">must </w:t>
      </w:r>
      <w:r w:rsidRPr="00762AAF">
        <w:t xml:space="preserve">take into account the </w:t>
      </w:r>
      <w:r>
        <w:t>RPPs</w:t>
      </w:r>
      <w:r w:rsidRPr="00762AAF">
        <w:t xml:space="preserve"> when </w:t>
      </w:r>
      <w:r>
        <w:t xml:space="preserve">we </w:t>
      </w:r>
      <w:r w:rsidRPr="00762AAF">
        <w:t>exercis</w:t>
      </w:r>
      <w:r>
        <w:t>e</w:t>
      </w:r>
      <w:r w:rsidRPr="00762AAF">
        <w:t xml:space="preserve"> discretion.</w:t>
      </w:r>
      <w:r w:rsidRPr="00762AAF">
        <w:rPr>
          <w:rStyle w:val="FootnoteReference"/>
        </w:rPr>
        <w:footnoteReference w:id="29"/>
      </w:r>
      <w:r w:rsidRPr="00762AAF">
        <w:t xml:space="preserve"> In the context of the rate of return decision, we take particular account of the following </w:t>
      </w:r>
      <w:r>
        <w:t>RPPs</w:t>
      </w:r>
      <w:r w:rsidRPr="00762AAF">
        <w:t xml:space="preserve">: </w:t>
      </w:r>
    </w:p>
    <w:p w:rsidR="008A6729" w:rsidRPr="00762AAF" w:rsidRDefault="008A6729" w:rsidP="008A6729">
      <w:pPr>
        <w:pStyle w:val="AERbulletlistfirststyle"/>
      </w:pPr>
      <w:r w:rsidRPr="00762AAF">
        <w:t>A service provider should have a reasonable opportunity to recover at least the efficient costs the operator incurs in providing direct control network services.</w:t>
      </w:r>
      <w:r w:rsidRPr="00762AAF">
        <w:rPr>
          <w:rStyle w:val="FootnoteReference"/>
        </w:rPr>
        <w:footnoteReference w:id="30"/>
      </w:r>
    </w:p>
    <w:p w:rsidR="008A6729" w:rsidRPr="00762AAF" w:rsidRDefault="008A6729" w:rsidP="008A6729">
      <w:pPr>
        <w:pStyle w:val="AERbulletlistfirststyle"/>
      </w:pPr>
      <w:r w:rsidRPr="00762AAF">
        <w:t>A service provider should have effective incentives to promote economic efficiency in the direct control network services that it provides. That economic efficiency should include efficient investment in the electricity system, efficient provision of electricity network services, and the efficient use of the electricity system.</w:t>
      </w:r>
      <w:r w:rsidRPr="00762AAF">
        <w:rPr>
          <w:rStyle w:val="FootnoteReference"/>
        </w:rPr>
        <w:footnoteReference w:id="31"/>
      </w:r>
      <w:r w:rsidRPr="00762AAF">
        <w:rPr>
          <w:rStyle w:val="FootnoteReference"/>
        </w:rPr>
        <w:t xml:space="preserve"> </w:t>
      </w:r>
    </w:p>
    <w:p w:rsidR="008A6729" w:rsidRPr="00762AAF" w:rsidRDefault="008A6729" w:rsidP="008A6729">
      <w:pPr>
        <w:pStyle w:val="AERbulletlistfirststyle"/>
      </w:pPr>
      <w:r w:rsidRPr="00762AAF">
        <w:t xml:space="preserve">A price or charge should allow for a return that matches the regulatory and commercial risks </w:t>
      </w:r>
      <w:r>
        <w:t>involved in</w:t>
      </w:r>
      <w:r w:rsidRPr="00762AAF">
        <w:t xml:space="preserve"> providing the regulated service </w:t>
      </w:r>
      <w:r>
        <w:t>to which that</w:t>
      </w:r>
      <w:r w:rsidRPr="00762AAF">
        <w:t xml:space="preserve"> charge relates.</w:t>
      </w:r>
      <w:r w:rsidRPr="00762AAF">
        <w:rPr>
          <w:rStyle w:val="FootnoteReference"/>
        </w:rPr>
        <w:footnoteReference w:id="32"/>
      </w:r>
    </w:p>
    <w:p w:rsidR="008A6729" w:rsidRPr="00762AAF" w:rsidRDefault="008A6729" w:rsidP="008A6729">
      <w:pPr>
        <w:pStyle w:val="AERbulletlistfirststyle"/>
      </w:pPr>
      <w:r w:rsidRPr="00762AAF">
        <w:t>The economic costs and risks of the potential for under or over investment by a service provider in a distribution or transmission system that the service provider uses to provide regulated network services.</w:t>
      </w:r>
      <w:r w:rsidRPr="00762AAF">
        <w:rPr>
          <w:rStyle w:val="FootnoteReference"/>
        </w:rPr>
        <w:footnoteReference w:id="33"/>
      </w:r>
      <w:r w:rsidRPr="00762AAF">
        <w:t xml:space="preserve"> </w:t>
      </w:r>
    </w:p>
    <w:p w:rsidR="008A6729" w:rsidRDefault="008A6729" w:rsidP="008A6729">
      <w:pPr>
        <w:pStyle w:val="AERbulletlistfirststyle"/>
      </w:pPr>
      <w:r w:rsidRPr="00762AAF">
        <w:t>The economic costs and risks of the potential for under or over utilisation of a distribution or transmission system that the service provider uses to provide regulated network services.</w:t>
      </w:r>
      <w:r w:rsidRPr="00762AAF">
        <w:rPr>
          <w:rStyle w:val="FootnoteReference"/>
        </w:rPr>
        <w:footnoteReference w:id="34"/>
      </w:r>
      <w:r w:rsidRPr="00762AAF">
        <w:t xml:space="preserve"> </w:t>
      </w:r>
    </w:p>
    <w:p w:rsidR="008A6729" w:rsidRPr="00B575CE" w:rsidRDefault="008A6729" w:rsidP="008A6729">
      <w:pPr>
        <w:pStyle w:val="Heading3"/>
      </w:pPr>
      <w:bookmarkStart w:id="22" w:name="_Toc450922712"/>
      <w:bookmarkStart w:id="23" w:name="_Toc451938949"/>
      <w:bookmarkStart w:id="24" w:name="_Toc456686697"/>
      <w:r>
        <w:t>The overall rate of return</w:t>
      </w:r>
      <w:bookmarkEnd w:id="22"/>
      <w:bookmarkEnd w:id="23"/>
      <w:bookmarkEnd w:id="24"/>
    </w:p>
    <w:p w:rsidR="008A6729" w:rsidRDefault="008A6729" w:rsidP="008A6729">
      <w:pPr>
        <w:numPr>
          <w:ilvl w:val="0"/>
          <w:numId w:val="25"/>
        </w:numPr>
      </w:pPr>
      <w:r w:rsidRPr="003248EB">
        <w:t>The</w:t>
      </w:r>
      <w:r>
        <w:t xml:space="preserve"> rules require we determine the</w:t>
      </w:r>
      <w:r w:rsidRPr="003248EB">
        <w:t xml:space="preserve"> allowed rate of return for a regulatory year </w:t>
      </w:r>
      <w:r>
        <w:t xml:space="preserve">as </w:t>
      </w:r>
      <w:r w:rsidRPr="003248EB">
        <w:t xml:space="preserve">a weighted average of the return on equity for the </w:t>
      </w:r>
      <w:r>
        <w:t xml:space="preserve">regulatory control period </w:t>
      </w:r>
      <w:r w:rsidRPr="003248EB">
        <w:t>in which that regulatory year occurs and the return o</w:t>
      </w:r>
      <w:r>
        <w:t>n debt for that regulatory year. This must be determined on a nominal vanilla basis that is consistent with the estimate of the value of imputation credits.</w:t>
      </w:r>
      <w:r w:rsidRPr="00D5405B">
        <w:rPr>
          <w:rStyle w:val="FootnoteReference"/>
        </w:rPr>
        <w:footnoteReference w:id="35"/>
      </w:r>
      <w:r>
        <w:t xml:space="preserve"> </w:t>
      </w:r>
      <w:r w:rsidRPr="00E75E61">
        <w:t xml:space="preserve">In </w:t>
      </w:r>
      <w:r>
        <w:t>determining</w:t>
      </w:r>
      <w:r w:rsidRPr="00E75E61">
        <w:t xml:space="preserve"> the allowed rate of return, </w:t>
      </w:r>
      <w:r>
        <w:t xml:space="preserve">we must have regard to </w:t>
      </w:r>
      <w:r w:rsidRPr="00E75E61">
        <w:t>the desirability of consistent application of financi</w:t>
      </w:r>
      <w:r>
        <w:t>al parameters that are relevant or common to</w:t>
      </w:r>
      <w:r w:rsidRPr="00E75E61">
        <w:t xml:space="preserve"> the return on equity and debt</w:t>
      </w:r>
      <w:r>
        <w:t>.</w:t>
      </w:r>
      <w:r>
        <w:rPr>
          <w:rStyle w:val="FootnoteReference"/>
        </w:rPr>
        <w:footnoteReference w:id="36"/>
      </w:r>
    </w:p>
    <w:p w:rsidR="008A6729" w:rsidRDefault="008A6729" w:rsidP="008A6729">
      <w:pPr>
        <w:numPr>
          <w:ilvl w:val="0"/>
          <w:numId w:val="25"/>
        </w:numPr>
      </w:pPr>
      <w:r>
        <w:t>The rules require that we estimate the return on equity</w:t>
      </w:r>
      <w:r w:rsidRPr="00D14E31">
        <w:t xml:space="preserve"> for a regulatory </w:t>
      </w:r>
      <w:r>
        <w:t xml:space="preserve">control </w:t>
      </w:r>
      <w:r w:rsidRPr="00D14E31">
        <w:t>period</w:t>
      </w:r>
      <w:r>
        <w:t xml:space="preserve"> </w:t>
      </w:r>
      <w:r w:rsidRPr="00762AAF">
        <w:t xml:space="preserve">such that it contributes to the achievement of the </w:t>
      </w:r>
      <w:r w:rsidRPr="00D14E31">
        <w:t>ARORO. In estimating the return on equity, we have regard to the prevailing conditions in the market for equity funds.</w:t>
      </w:r>
      <w:r w:rsidRPr="00D14E31">
        <w:rPr>
          <w:rStyle w:val="FootnoteReference"/>
        </w:rPr>
        <w:footnoteReference w:id="37"/>
      </w:r>
    </w:p>
    <w:p w:rsidR="008A6729" w:rsidRPr="00762AAF" w:rsidRDefault="008A6729" w:rsidP="008A6729">
      <w:pPr>
        <w:numPr>
          <w:ilvl w:val="0"/>
          <w:numId w:val="25"/>
        </w:numPr>
      </w:pPr>
      <w:r>
        <w:t>We must determine the r</w:t>
      </w:r>
      <w:r w:rsidRPr="00762AAF">
        <w:t xml:space="preserve">eturn on debt for a regulatory year such that that it contributes to the achievement of the </w:t>
      </w:r>
      <w:r>
        <w:t>ARORO</w:t>
      </w:r>
      <w:r w:rsidRPr="00762AAF">
        <w:t>.</w:t>
      </w:r>
      <w:r w:rsidRPr="00762AAF">
        <w:rPr>
          <w:rStyle w:val="FootnoteReference"/>
        </w:rPr>
        <w:footnoteReference w:id="38"/>
      </w:r>
      <w:r>
        <w:t xml:space="preserve"> </w:t>
      </w:r>
      <w:r w:rsidRPr="00762AAF">
        <w:t xml:space="preserve">We </w:t>
      </w:r>
      <w:r>
        <w:t xml:space="preserve">may </w:t>
      </w:r>
      <w:r w:rsidRPr="00762AAF">
        <w:t>estimate the return on debt using a methodology which results in the return on debt (and consequently the allowed rate of return) being or potentially being, different for different regulatory years in the regulatory control period.</w:t>
      </w:r>
      <w:r w:rsidRPr="00762AAF">
        <w:rPr>
          <w:rStyle w:val="FootnoteReference"/>
        </w:rPr>
        <w:footnoteReference w:id="39"/>
      </w:r>
      <w:r>
        <w:t xml:space="preserve"> </w:t>
      </w:r>
      <w:r w:rsidRPr="00762AAF">
        <w:t>In estimating the return on debt we have regard to the following factors:</w:t>
      </w:r>
    </w:p>
    <w:p w:rsidR="008A6729" w:rsidRPr="00762AAF" w:rsidRDefault="008A6729" w:rsidP="008A6729">
      <w:pPr>
        <w:pStyle w:val="AERbulletlistfirststyle"/>
      </w:pPr>
      <w:proofErr w:type="gramStart"/>
      <w:r>
        <w:t>t</w:t>
      </w:r>
      <w:r w:rsidRPr="00762AAF">
        <w:t>he</w:t>
      </w:r>
      <w:proofErr w:type="gramEnd"/>
      <w:r w:rsidRPr="00762AAF">
        <w:t xml:space="preserve"> desirability of minimising any difference between the return on debt and the return on debt of a benchmark efficient entity referred to in the </w:t>
      </w:r>
      <w:r>
        <w:t>ARORO.</w:t>
      </w:r>
    </w:p>
    <w:p w:rsidR="008A6729" w:rsidRPr="00762AAF" w:rsidRDefault="008A6729" w:rsidP="008A6729">
      <w:pPr>
        <w:pStyle w:val="AERbulletlistfirststyle"/>
      </w:pPr>
      <w:proofErr w:type="gramStart"/>
      <w:r>
        <w:t>t</w:t>
      </w:r>
      <w:r w:rsidRPr="00762AAF">
        <w:t>he</w:t>
      </w:r>
      <w:proofErr w:type="gramEnd"/>
      <w:r w:rsidRPr="00762AAF">
        <w:t xml:space="preserve"> interrelationship between the return on equity and the return on debt</w:t>
      </w:r>
      <w:r>
        <w:t>.</w:t>
      </w:r>
    </w:p>
    <w:p w:rsidR="008A6729" w:rsidRPr="00762AAF" w:rsidRDefault="008A6729" w:rsidP="008A6729">
      <w:pPr>
        <w:pStyle w:val="AERbulletlistfirststyle"/>
      </w:pPr>
      <w:r>
        <w:t>t</w:t>
      </w:r>
      <w:r w:rsidRPr="00762AAF">
        <w:t>he incentive that the return on debt may provide in relation to capital expenditure over the regulatory control period, including as to the timing of capital expenditure</w:t>
      </w:r>
      <w:r>
        <w:t>.</w:t>
      </w:r>
    </w:p>
    <w:p w:rsidR="008A6729" w:rsidRPr="00796C00" w:rsidRDefault="008A6729" w:rsidP="008A6729">
      <w:pPr>
        <w:pStyle w:val="AERbulletlistfirststyle"/>
      </w:pPr>
      <w:proofErr w:type="gramStart"/>
      <w:r>
        <w:t>a</w:t>
      </w:r>
      <w:r w:rsidRPr="00762AAF">
        <w:t>ny</w:t>
      </w:r>
      <w:proofErr w:type="gramEnd"/>
      <w:r w:rsidRPr="00762AAF">
        <w:t xml:space="preserve"> impacts (including in relation to the costs of servicing debt across regulatory control periods) on a benchmark efficient en</w:t>
      </w:r>
      <w:r>
        <w:t>tity referred to in the ARORO</w:t>
      </w:r>
      <w:r w:rsidRPr="00762AAF">
        <w:t xml:space="preserve"> that could arise as a result of changing the methodology that is used to estimate the return on debt from one regulatory control period to the next.</w:t>
      </w:r>
      <w:r w:rsidRPr="00762AAF">
        <w:rPr>
          <w:rStyle w:val="FootnoteReference"/>
        </w:rPr>
        <w:footnoteReference w:id="40"/>
      </w:r>
      <w:r w:rsidRPr="00762AAF">
        <w:t xml:space="preserve"> </w:t>
      </w:r>
    </w:p>
    <w:p w:rsidR="008A6729" w:rsidRPr="00B575CE" w:rsidRDefault="008A6729" w:rsidP="008A6729">
      <w:pPr>
        <w:pStyle w:val="Heading3"/>
      </w:pPr>
      <w:bookmarkStart w:id="25" w:name="_Toc450922713"/>
      <w:bookmarkStart w:id="26" w:name="_Ref451537570"/>
      <w:bookmarkStart w:id="27" w:name="_Ref451543774"/>
      <w:bookmarkStart w:id="28" w:name="_Ref451543801"/>
      <w:bookmarkStart w:id="29" w:name="_Ref451729815"/>
      <w:bookmarkStart w:id="30" w:name="_Toc451938950"/>
      <w:bookmarkStart w:id="31" w:name="_Toc456686698"/>
      <w:r w:rsidRPr="00BB2CB7">
        <w:t>Allowed rate of return objective</w:t>
      </w:r>
      <w:bookmarkEnd w:id="25"/>
      <w:bookmarkEnd w:id="26"/>
      <w:bookmarkEnd w:id="27"/>
      <w:bookmarkEnd w:id="28"/>
      <w:bookmarkEnd w:id="29"/>
      <w:bookmarkEnd w:id="30"/>
      <w:bookmarkEnd w:id="31"/>
    </w:p>
    <w:p w:rsidR="008A6729" w:rsidRPr="005100A9" w:rsidRDefault="008A6729" w:rsidP="008A6729">
      <w:pPr>
        <w:numPr>
          <w:ilvl w:val="0"/>
          <w:numId w:val="25"/>
        </w:numPr>
        <w:rPr>
          <w:rStyle w:val="FootnoteReference"/>
        </w:rPr>
      </w:pPr>
      <w:r>
        <w:t xml:space="preserve">We are to determine the allowed rate of return such that it </w:t>
      </w:r>
      <w:r w:rsidRPr="003248EB">
        <w:t xml:space="preserve">achieves the </w:t>
      </w:r>
      <w:r>
        <w:t>ARORO. The objective is:</w:t>
      </w:r>
      <w:r w:rsidRPr="005100A9">
        <w:rPr>
          <w:rStyle w:val="FootnoteReference"/>
        </w:rPr>
        <w:footnoteReference w:id="41"/>
      </w:r>
    </w:p>
    <w:p w:rsidR="008A6729" w:rsidRDefault="008A6729" w:rsidP="008A6729">
      <w:pPr>
        <w:pStyle w:val="AERquote"/>
      </w:pPr>
      <w:r w:rsidRPr="005100A9">
        <w:t xml:space="preserve">…that the rate of return for a </w:t>
      </w:r>
      <w:r>
        <w:t>distribution network service provider</w:t>
      </w:r>
      <w:r w:rsidRPr="005100A9">
        <w:t xml:space="preserve"> is to be commensurate with the efficient financing costs of a benchmark efficient entity with a similar degree of ris</w:t>
      </w:r>
      <w:r>
        <w:t xml:space="preserve">k as that which applies to the distribution network </w:t>
      </w:r>
      <w:r w:rsidRPr="005100A9">
        <w:t>service</w:t>
      </w:r>
      <w:r>
        <w:t xml:space="preserve"> provider</w:t>
      </w:r>
      <w:r w:rsidRPr="005100A9">
        <w:t xml:space="preserve"> in respect of the provision of </w:t>
      </w:r>
      <w:r>
        <w:t>standard control services</w:t>
      </w:r>
      <w:r w:rsidRPr="005100A9">
        <w:t>.</w:t>
      </w:r>
    </w:p>
    <w:p w:rsidR="008A6729" w:rsidRDefault="008A6729" w:rsidP="008A6729">
      <w:r w:rsidRPr="00F21B32">
        <w:t>The regulat</w:t>
      </w:r>
      <w:r>
        <w:t>ory regime is an ex-ante (forward looking) regime.</w:t>
      </w:r>
      <w:r>
        <w:rPr>
          <w:rStyle w:val="FootnoteReference"/>
        </w:rPr>
        <w:footnoteReference w:id="42"/>
      </w:r>
      <w:r>
        <w:t xml:space="preserve"> As such, we consider a </w:t>
      </w:r>
      <w:r w:rsidRPr="00723710">
        <w:t>rate of return that meets the ARORO must provide ex-ante compensation for efficient financing costs.</w:t>
      </w:r>
      <w:r>
        <w:rPr>
          <w:rStyle w:val="FootnoteReference"/>
        </w:rPr>
        <w:footnoteReference w:id="43"/>
      </w:r>
      <w:r w:rsidRPr="00723710">
        <w:t xml:space="preserve"> </w:t>
      </w:r>
      <w:r>
        <w:t>This return would give</w:t>
      </w:r>
      <w:r w:rsidRPr="007E018E">
        <w:t xml:space="preserve"> </w:t>
      </w:r>
      <w:r>
        <w:t xml:space="preserve">a </w:t>
      </w:r>
      <w:r w:rsidRPr="007E018E">
        <w:t xml:space="preserve">benchmark efficient entity a reasonable opportunity to recover </w:t>
      </w:r>
      <w:r>
        <w:t>at least</w:t>
      </w:r>
      <w:r w:rsidRPr="007E018E">
        <w:t xml:space="preserve"> </w:t>
      </w:r>
      <w:r>
        <w:t xml:space="preserve">its </w:t>
      </w:r>
      <w:r w:rsidRPr="007E018E">
        <w:t xml:space="preserve">efficient </w:t>
      </w:r>
      <w:r>
        <w:t xml:space="preserve">financing </w:t>
      </w:r>
      <w:r w:rsidRPr="00F243E1">
        <w:t>costs</w:t>
      </w:r>
      <w:r>
        <w:t>. This is a zero net present value (NPV) investment condition, which can be described as follows:</w:t>
      </w:r>
      <w:r>
        <w:rPr>
          <w:rStyle w:val="FootnoteReference"/>
        </w:rPr>
        <w:footnoteReference w:id="44"/>
      </w:r>
      <w:r>
        <w:t xml:space="preserve"> </w:t>
      </w:r>
    </w:p>
    <w:p w:rsidR="008A6729" w:rsidRDefault="008A6729" w:rsidP="008A6729">
      <w:pPr>
        <w:pStyle w:val="AERquote"/>
      </w:pPr>
      <w:r w:rsidRPr="00D566FF">
        <w:t xml:space="preserve">The zero NPV investment </w:t>
      </w:r>
      <w:proofErr w:type="gramStart"/>
      <w:r w:rsidRPr="00D566FF">
        <w:t>criterion</w:t>
      </w:r>
      <w:proofErr w:type="gramEnd"/>
      <w:r w:rsidRPr="00D566FF">
        <w:t xml:space="preserve">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8A6729" w:rsidRDefault="008A6729" w:rsidP="008A6729">
      <w:r>
        <w:t>Under our regulatory framework, a benchmark efficient entity's assets are captured in its RAB. The return on capital building block allows a benchmark efficient entity to finance (through debt and equity) investment in its network.</w:t>
      </w:r>
      <w:r>
        <w:rPr>
          <w:rStyle w:val="FootnoteReference"/>
        </w:rPr>
        <w:footnoteReference w:id="45"/>
      </w:r>
      <w:r>
        <w:t xml:space="preserve"> Because investments usually carry a degree of risk, to satisfy the zero NPV condition the allowed rate of return must be sufficient to compensate a benchmark efficient entity's debt and equity investors for the risk of their investment.</w:t>
      </w:r>
      <w:r>
        <w:rPr>
          <w:rStyle w:val="FootnoteReference"/>
        </w:rPr>
        <w:footnoteReference w:id="46"/>
      </w:r>
      <w:r>
        <w:t xml:space="preserve"> </w:t>
      </w:r>
    </w:p>
    <w:p w:rsidR="008A6729" w:rsidRDefault="008A6729" w:rsidP="008A6729">
      <w:pPr>
        <w:pStyle w:val="HeadingBoldBlue"/>
      </w:pPr>
      <w:bookmarkStart w:id="32" w:name="_Toc450922714"/>
      <w:r>
        <w:t>Elements of the ARORO—efficient financing costs</w:t>
      </w:r>
      <w:bookmarkEnd w:id="32"/>
    </w:p>
    <w:p w:rsidR="008A6729" w:rsidRDefault="008A6729" w:rsidP="008A6729">
      <w:r>
        <w:t xml:space="preserve">A key concept in the ARORO is 'efficient financing costs'. Because </w:t>
      </w:r>
      <w:r w:rsidRPr="00EE36F1">
        <w:t xml:space="preserve">the market for capital finance is competitive, </w:t>
      </w:r>
      <w:r>
        <w:t>a</w:t>
      </w:r>
      <w:r w:rsidRPr="00EE36F1">
        <w:t xml:space="preserve"> benchmark efficient entity </w:t>
      </w:r>
      <w:r>
        <w:t xml:space="preserve">is expected to </w:t>
      </w:r>
      <w:r w:rsidRPr="00EE36F1">
        <w:t>face competitive prices in the market for funds.</w:t>
      </w:r>
      <w:r>
        <w:t xml:space="preserve"> Therefore, we consider efficient financing costs are reflected in the prevailing market cost of capital (or WACC) for an investment with a similar degree of risk as that which applies to a service provider in respect of the provision of regulated services.</w:t>
      </w:r>
      <w:r>
        <w:rPr>
          <w:rStyle w:val="FootnoteReference"/>
        </w:rPr>
        <w:footnoteReference w:id="47"/>
      </w:r>
      <w:r w:rsidRPr="00EE36F1">
        <w:t xml:space="preserve"> As Alfred Kahn stated</w:t>
      </w:r>
      <w:r>
        <w:t>, '</w:t>
      </w:r>
      <w:r w:rsidRPr="00EE36F1">
        <w:t>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r>
        <w:t>'.</w:t>
      </w:r>
      <w:r>
        <w:rPr>
          <w:rStyle w:val="FootnoteReference"/>
        </w:rPr>
        <w:footnoteReference w:id="48"/>
      </w:r>
    </w:p>
    <w:p w:rsidR="008A6729" w:rsidRDefault="008A6729" w:rsidP="008A6729">
      <w:r>
        <w:t>We consider employing a rate of return that is commensurate with the prevailing market cost of capital (or WACC) is consistent with the zero NPV investment condition (see above). We also consider economic efficiency more generally is advanced by employing a rate of return that reflects rates in the market for capital finance.</w:t>
      </w:r>
      <w:r>
        <w:rPr>
          <w:rStyle w:val="FootnoteReference"/>
        </w:rPr>
        <w:footnoteReference w:id="49"/>
      </w:r>
      <w:r>
        <w:t xml:space="preserve"> Similarly, Partington and Satchell interpret efficient financing costs as the opportunity cost of capital, which is a market rate of return for assets with a given level of risk.</w:t>
      </w:r>
      <w:r>
        <w:rPr>
          <w:rStyle w:val="FootnoteReference"/>
        </w:rPr>
        <w:footnoteReference w:id="50"/>
      </w:r>
      <w:r>
        <w:t xml:space="preserve"> </w:t>
      </w:r>
    </w:p>
    <w:p w:rsidR="008A6729" w:rsidRDefault="008A6729" w:rsidP="008A6729">
      <w:pPr>
        <w:pStyle w:val="HeadingBoldBlue"/>
      </w:pPr>
      <w:bookmarkStart w:id="33" w:name="_Toc450922715"/>
      <w:r>
        <w:t>Elements of the ARORO—benchmark efficient entity</w:t>
      </w:r>
      <w:bookmarkEnd w:id="33"/>
    </w:p>
    <w:p w:rsidR="008A6729" w:rsidRDefault="008A6729" w:rsidP="008A6729">
      <w:pPr>
        <w:numPr>
          <w:ilvl w:val="0"/>
          <w:numId w:val="25"/>
        </w:numPr>
      </w:pPr>
      <w:r>
        <w:t xml:space="preserve">A key concept in the ARORO is a 'benchmark efficient entity'. It is essential to recognise the context in which this term is used. The ARORO aims at setting </w:t>
      </w:r>
      <w:r w:rsidRPr="00D85725">
        <w:rPr>
          <w:rStyle w:val="AERtextitalic"/>
        </w:rPr>
        <w:t>the efficient financing costs</w:t>
      </w:r>
      <w:r>
        <w:t xml:space="preserve"> of a benchmark efficient entity </w:t>
      </w:r>
      <w:r w:rsidRPr="00D85725">
        <w:rPr>
          <w:rStyle w:val="AERtextitalic"/>
        </w:rPr>
        <w:t xml:space="preserve">with a similar degree of risk as that which applies to the service provider in respect of the provision of </w:t>
      </w:r>
      <w:r w:rsidR="0042654C">
        <w:rPr>
          <w:rStyle w:val="AERtextitalic"/>
        </w:rPr>
        <w:t>prescribed transmission</w:t>
      </w:r>
      <w:r w:rsidRPr="00D85725">
        <w:rPr>
          <w:rStyle w:val="AERtextitalic"/>
        </w:rPr>
        <w:t xml:space="preserve"> services</w:t>
      </w:r>
      <w:r>
        <w:t>.  Given this, three important concepts to consider are: 'risk', 'similar' and '</w:t>
      </w:r>
      <w:r w:rsidR="0042654C">
        <w:t xml:space="preserve">prescribed transmission </w:t>
      </w:r>
      <w:r>
        <w:t>services'. Having understood these concepts, we can better understand a benchmark efficient entity to give effect to the ARORO.</w:t>
      </w:r>
    </w:p>
    <w:p w:rsidR="008A6729" w:rsidRPr="00E76063" w:rsidRDefault="008A6729" w:rsidP="008A6729">
      <w:pPr>
        <w:pStyle w:val="HeadingBoldItalic"/>
      </w:pPr>
      <w:r>
        <w:t>'</w:t>
      </w:r>
      <w:r w:rsidRPr="00E76063">
        <w:t>Risk</w:t>
      </w:r>
      <w:r>
        <w:t>'</w:t>
      </w:r>
    </w:p>
    <w:p w:rsidR="008A6729" w:rsidRDefault="008A6729" w:rsidP="008A6729">
      <w:pPr>
        <w:numPr>
          <w:ilvl w:val="0"/>
          <w:numId w:val="25"/>
        </w:numPr>
      </w:pPr>
      <w:r>
        <w:t xml:space="preserve">The risk of a benchmark efficient entity is a core element of the rate of return due to the important relation between risk and required returns in </w:t>
      </w:r>
      <w:r w:rsidRPr="00855447">
        <w:t>finance theory</w:t>
      </w:r>
      <w:r>
        <w:t>.</w:t>
      </w:r>
      <w:r w:rsidRPr="00855447">
        <w:t xml:space="preserve"> </w:t>
      </w:r>
      <w:r>
        <w:t>Risk is the degree of uncertainty about an event</w:t>
      </w:r>
      <w:r w:rsidRPr="00785554">
        <w:t>―</w:t>
      </w:r>
      <w:r>
        <w:t>such as the</w:t>
      </w:r>
      <w:r w:rsidRPr="00855447">
        <w:t xml:space="preserve"> uncertainty around the expectation of the return</w:t>
      </w:r>
      <w:r>
        <w:t xml:space="preserve"> on an investment.</w:t>
      </w:r>
      <w:r>
        <w:rPr>
          <w:rStyle w:val="FootnoteReference"/>
        </w:rPr>
        <w:footnoteReference w:id="51"/>
      </w:r>
      <w:r>
        <w:t xml:space="preserve"> It is strictly a </w:t>
      </w:r>
      <w:r w:rsidRPr="00855447">
        <w:t>forward looking concept</w:t>
      </w:r>
      <w:r>
        <w:t xml:space="preserve"> as no event is uncertain after it has occurred. </w:t>
      </w:r>
    </w:p>
    <w:p w:rsidR="008A6729" w:rsidRDefault="008A6729" w:rsidP="008A6729">
      <w:pPr>
        <w:numPr>
          <w:ilvl w:val="0"/>
          <w:numId w:val="25"/>
        </w:numPr>
      </w:pPr>
      <w:r>
        <w:t>'Risk' has a specific meaning in finance theory. As such, it is important to apply this specific meaning in setting a rate of return that achieves the ARORO. In finance, there are two distinct types of risk</w:t>
      </w:r>
      <w:r w:rsidRPr="00785554">
        <w:t>―</w:t>
      </w:r>
      <w:r>
        <w:t>systematic (market or non-diversifiable) and non-systematic (firm-specific or diversifiable).  That is, in finance:</w:t>
      </w:r>
      <w:r>
        <w:rPr>
          <w:rStyle w:val="FootnoteReference"/>
        </w:rPr>
        <w:footnoteReference w:id="52"/>
      </w:r>
    </w:p>
    <w:p w:rsidR="008A6729" w:rsidRDefault="008A6729" w:rsidP="008A6729">
      <w:pPr>
        <w:pStyle w:val="AERquote"/>
      </w:pPr>
      <w:r>
        <w:t xml:space="preserve">The risk of any share can be broken down into two parts. There is the </w:t>
      </w:r>
      <w:r w:rsidRPr="005772E3">
        <w:rPr>
          <w:rStyle w:val="AERtextitalic"/>
        </w:rPr>
        <w:t>unique risk</w:t>
      </w:r>
      <w:r>
        <w:t xml:space="preserve"> that is peculiar to that share, and there is the </w:t>
      </w:r>
      <w:r w:rsidRPr="005772E3">
        <w:rPr>
          <w:rStyle w:val="AERtextitalic"/>
        </w:rPr>
        <w:t>market risk</w:t>
      </w:r>
      <w:r>
        <w:t xml:space="preserve"> that is associated with market-wide variations. Investors can eliminate unique risk by holding a well-diversified portfolio, but they cannot eliminate market risk. </w:t>
      </w:r>
      <w:r w:rsidRPr="005772E3">
        <w:rPr>
          <w:rStyle w:val="AERtextitalic"/>
        </w:rPr>
        <w:t>All</w:t>
      </w:r>
      <w:r>
        <w:t xml:space="preserve"> the risk of a full diversified portfolio is market risk.</w:t>
      </w:r>
      <w:r w:rsidRPr="00855447">
        <w:t xml:space="preserve"> </w:t>
      </w:r>
    </w:p>
    <w:p w:rsidR="008A6729" w:rsidRDefault="008A6729" w:rsidP="008A6729">
      <w:r>
        <w:t>Similarly, McKenzie and Partington advise:</w:t>
      </w:r>
      <w:r>
        <w:rPr>
          <w:rStyle w:val="FootnoteReference"/>
        </w:rPr>
        <w:footnoteReference w:id="53"/>
      </w:r>
    </w:p>
    <w:p w:rsidR="008A6729" w:rsidRPr="0039604A" w:rsidRDefault="008A6729" w:rsidP="008A6729">
      <w:pPr>
        <w:pStyle w:val="AERquote"/>
      </w:pPr>
      <w:proofErr w:type="gramStart"/>
      <w:r w:rsidRPr="0039604A">
        <w:t>modern</w:t>
      </w:r>
      <w:proofErr w:type="gramEnd"/>
      <w:r w:rsidRPr="0039604A">
        <w:t xml:space="preserve"> finance theory specifies that the risk to be compensated via the WACC is the non-diversifiable, or systematic, component of total risk (in simple terms, that risk which cannot be eliminated by holding stocks in a well diversified portfolio). This risk is measured as covariance, or equivalently beta, risk. </w:t>
      </w:r>
    </w:p>
    <w:p w:rsidR="008A6729" w:rsidRDefault="008A6729" w:rsidP="008A6729">
      <w:r w:rsidRPr="00121A2D">
        <w:t xml:space="preserve">The rate of return allows a benchmark efficient entity to compensate investors for </w:t>
      </w:r>
      <w:r>
        <w:t>the risk of committing capital to fund</w:t>
      </w:r>
      <w:r w:rsidRPr="00121A2D">
        <w:t xml:space="preserve"> investments </w:t>
      </w:r>
      <w:r>
        <w:t>in its</w:t>
      </w:r>
      <w:r w:rsidRPr="00121A2D">
        <w:t xml:space="preserve"> </w:t>
      </w:r>
      <w:r>
        <w:t>network</w:t>
      </w:r>
      <w:r w:rsidRPr="00121A2D">
        <w:t xml:space="preserve">. </w:t>
      </w:r>
      <w:r>
        <w:t>We do not consider</w:t>
      </w:r>
      <w:r w:rsidRPr="00121A2D">
        <w:t xml:space="preserve"> investors require compensation for all risk</w:t>
      </w:r>
      <w:r>
        <w:t xml:space="preserve"> facing a benchmark efficient entity.</w:t>
      </w:r>
      <w:r w:rsidRPr="00121A2D">
        <w:t xml:space="preserve"> </w:t>
      </w:r>
      <w:r>
        <w:t xml:space="preserve">In setting the allowed return on equity, we provide compensation for the systematic risk that a benchmark efficient entity would face through the equity beta (see section </w:t>
      </w:r>
      <w:r>
        <w:fldChar w:fldCharType="begin"/>
      </w:r>
      <w:r>
        <w:instrText xml:space="preserve"> REF _Ref451345947 \r \h </w:instrText>
      </w:r>
      <w:r>
        <w:fldChar w:fldCharType="separate"/>
      </w:r>
      <w:r w:rsidR="003F1AAB">
        <w:t>3.4.1</w:t>
      </w:r>
      <w:r>
        <w:fldChar w:fldCharType="end"/>
      </w:r>
      <w:r>
        <w:t xml:space="preserve">). </w:t>
      </w:r>
      <w:r w:rsidRPr="00630B48">
        <w:t>The equity beta under the Sharpe–Lintner capital asset pricing model (CAPM) measures systematic risk</w:t>
      </w:r>
      <w:r>
        <w:t xml:space="preserve"> as</w:t>
      </w:r>
      <w:r w:rsidRPr="00630B48">
        <w:t xml:space="preserve"> the sensitivity of an asset or business</w:t>
      </w:r>
      <w:r>
        <w:rPr>
          <w:rStyle w:val="FootnoteReference"/>
        </w:rPr>
        <w:footnoteReference w:id="54"/>
      </w:r>
      <w:r w:rsidRPr="00630B48">
        <w:t xml:space="preserve"> to the </w:t>
      </w:r>
      <w:r>
        <w:t>overall movements in the market. It does this by measuring t</w:t>
      </w:r>
      <w:r w:rsidRPr="00630B48">
        <w:t xml:space="preserve">he standardised correlation between the returns on </w:t>
      </w:r>
      <w:r>
        <w:t xml:space="preserve">this </w:t>
      </w:r>
      <w:r w:rsidRPr="00630B48">
        <w:t>asset or business with that of the overall market.</w:t>
      </w:r>
      <w:r>
        <w:rPr>
          <w:rStyle w:val="FootnoteReference"/>
        </w:rPr>
        <w:footnoteReference w:id="55"/>
      </w:r>
      <w:r>
        <w:t xml:space="preserve"> T</w:t>
      </w:r>
      <w:r w:rsidRPr="00CE4978">
        <w:t>he key risks for debt holders are systematic (beta) risk, credit risk</w:t>
      </w:r>
      <w:r>
        <w:t xml:space="preserve"> (the risk of default and credit rating downgrades) </w:t>
      </w:r>
      <w:r w:rsidRPr="00CE4978">
        <w:t>and liquidity risk</w:t>
      </w:r>
      <w:r>
        <w:t>.</w:t>
      </w:r>
      <w:r>
        <w:rPr>
          <w:rStyle w:val="FootnoteReference"/>
        </w:rPr>
        <w:footnoteReference w:id="56"/>
      </w:r>
      <w:r>
        <w:t xml:space="preserve"> In setting the allowed return on debt, we provide compensation for </w:t>
      </w:r>
      <w:proofErr w:type="gramStart"/>
      <w:r>
        <w:t>a benchmark efficient entity's efficient costs from facing these risks, as they are included in the promised returns we observe</w:t>
      </w:r>
      <w:proofErr w:type="gramEnd"/>
      <w:r>
        <w:t xml:space="preserve"> using Bloomberg and RBA data.</w:t>
      </w:r>
      <w:r>
        <w:rPr>
          <w:rStyle w:val="FootnoteReference"/>
        </w:rPr>
        <w:footnoteReference w:id="57"/>
      </w:r>
    </w:p>
    <w:p w:rsidR="008A6729" w:rsidRDefault="008A6729" w:rsidP="008A6729">
      <w:r>
        <w:t xml:space="preserve">As such, </w:t>
      </w:r>
      <w:r w:rsidRPr="00CF5809">
        <w:t xml:space="preserve">when looking at the risks of supplying </w:t>
      </w:r>
      <w:r w:rsidR="0042654C">
        <w:t>prescribed transmission</w:t>
      </w:r>
      <w:r w:rsidRPr="00CF5809">
        <w:t xml:space="preserve"> services, it is important to differentiate between </w:t>
      </w:r>
      <w:r>
        <w:t>risk that is to be compensated through the allowed rate of return (compensable risk) and non-compensable risk</w:t>
      </w:r>
      <w:r w:rsidRPr="00CF5809">
        <w:t>. When developing the Guideline, we commissioned Frontier to explore these risks and to provide advice on what risks we should compensate service providers for through the allowed rate of return.</w:t>
      </w:r>
      <w:r w:rsidRPr="00CF5809">
        <w:rPr>
          <w:rStyle w:val="FootnoteReference"/>
        </w:rPr>
        <w:footnoteReference w:id="58"/>
      </w:r>
      <w:r>
        <w:t xml:space="preserve">    </w:t>
      </w:r>
    </w:p>
    <w:p w:rsidR="008A6729" w:rsidRPr="00CF5809" w:rsidRDefault="008A6729" w:rsidP="008A6729">
      <w:r>
        <w:t>We accept the ARORO requires us to set an allowed rate of return that compensates for the efficient financing costs of a benchmark firm for bearing a similar degree of compensable risk as that which applies to the</w:t>
      </w:r>
      <w:r w:rsidRPr="00B077D0">
        <w:t xml:space="preserve"> </w:t>
      </w:r>
      <w:r>
        <w:t>network</w:t>
      </w:r>
      <w:r w:rsidRPr="00B077D0">
        <w:t xml:space="preserve"> service provider in respect of the provision of </w:t>
      </w:r>
      <w:r>
        <w:t xml:space="preserve">the relevant </w:t>
      </w:r>
      <w:r w:rsidRPr="00B077D0">
        <w:t>regulated services</w:t>
      </w:r>
      <w:r>
        <w:t xml:space="preserve">. This will reflect an ex-ante return that includes a risk premium over the risk free rate for bearing this level of compensable risk.   </w:t>
      </w:r>
    </w:p>
    <w:p w:rsidR="008A6729" w:rsidRPr="004F02FD" w:rsidRDefault="008A6729" w:rsidP="008A6729">
      <w:pPr>
        <w:pStyle w:val="HeadingBoldItalic"/>
      </w:pPr>
      <w:r w:rsidRPr="00E76063">
        <w:t>'</w:t>
      </w:r>
      <w:r w:rsidRPr="004F02FD">
        <w:t>Similar'</w:t>
      </w:r>
    </w:p>
    <w:p w:rsidR="008A6729" w:rsidRDefault="008A6729" w:rsidP="008A6729">
      <w:pPr>
        <w:rPr>
          <w:rStyle w:val="AERbody"/>
        </w:rPr>
      </w:pPr>
      <w:r>
        <w:t>A benchmark efficient entity is to have</w:t>
      </w:r>
      <w:r w:rsidRPr="0046739D">
        <w:t xml:space="preserve"> a similar degree of risk as that which applies to the </w:t>
      </w:r>
      <w:r>
        <w:t>network</w:t>
      </w:r>
      <w:r w:rsidRPr="0046739D">
        <w:t xml:space="preserve"> service provider in respect of the provision of</w:t>
      </w:r>
      <w:r>
        <w:t xml:space="preserve"> the relevant</w:t>
      </w:r>
      <w:r w:rsidRPr="0046739D">
        <w:t xml:space="preserve"> regulated services.</w:t>
      </w:r>
      <w:r>
        <w:rPr>
          <w:rStyle w:val="FootnoteReference"/>
        </w:rPr>
        <w:footnoteReference w:id="59"/>
      </w:r>
      <w:r>
        <w:t xml:space="preserve"> As such, when developing the Guideline, we looked at the concept of 'a similar degree of risk' in some detail. We also sought advice from Frontier Economics on the risks to which energy network service providers are exposed in delivering regulated services.</w:t>
      </w:r>
      <w:r>
        <w:rPr>
          <w:rStyle w:val="FootnoteReference"/>
        </w:rPr>
        <w:footnoteReference w:id="60"/>
      </w:r>
      <w:r>
        <w:t xml:space="preserve"> We concluded the compensable risks facing the different service providers</w:t>
      </w:r>
      <w:r>
        <w:rPr>
          <w:rStyle w:val="FootnoteReference"/>
        </w:rPr>
        <w:footnoteReference w:id="61"/>
      </w:r>
      <w:r>
        <w:t xml:space="preserve"> were 'similar' for the purposes of characterising a benchmark efficient entity.</w:t>
      </w:r>
      <w:r>
        <w:rPr>
          <w:rStyle w:val="FootnoteReference"/>
        </w:rPr>
        <w:footnoteReference w:id="62"/>
      </w:r>
      <w:r>
        <w:t xml:space="preserve"> For this analysis, see chapter three of the Guideline's explanatory statement.</w:t>
      </w:r>
      <w:r>
        <w:rPr>
          <w:rStyle w:val="FootnoteReference"/>
        </w:rPr>
        <w:footnoteReference w:id="63"/>
      </w:r>
    </w:p>
    <w:p w:rsidR="008A6729" w:rsidRDefault="008A6729" w:rsidP="008A6729">
      <w:pPr>
        <w:pStyle w:val="HeadingBoldItalic"/>
        <w:rPr>
          <w:rStyle w:val="AERbody"/>
        </w:rPr>
      </w:pPr>
      <w:r w:rsidRPr="00785554">
        <w:rPr>
          <w:rStyle w:val="AERbody"/>
        </w:rPr>
        <w:t>'</w:t>
      </w:r>
      <w:r w:rsidR="0042654C">
        <w:rPr>
          <w:rStyle w:val="AERbody"/>
        </w:rPr>
        <w:t xml:space="preserve">Prescribed transmission </w:t>
      </w:r>
      <w:r w:rsidRPr="00785554">
        <w:rPr>
          <w:rStyle w:val="AERbody"/>
        </w:rPr>
        <w:t>services'</w:t>
      </w:r>
    </w:p>
    <w:p w:rsidR="008A6729" w:rsidRPr="00785554" w:rsidRDefault="008A6729" w:rsidP="008A6729">
      <w:r>
        <w:t>T</w:t>
      </w:r>
      <w:r w:rsidRPr="00785554">
        <w:t xml:space="preserve">he allowed rate of return is to be commensurate with the efficient financing costs of a benchmark efficient entity with a similar degree of risk as that which applies to the service provider in respect to the provision of </w:t>
      </w:r>
      <w:r w:rsidR="0042654C">
        <w:t>prescribed transmission</w:t>
      </w:r>
      <w:r w:rsidRPr="00785554">
        <w:t xml:space="preserve"> services.</w:t>
      </w:r>
      <w:r w:rsidRPr="00785554">
        <w:rPr>
          <w:rStyle w:val="FootnoteReference"/>
        </w:rPr>
        <w:footnoteReference w:id="64"/>
      </w:r>
      <w:r w:rsidRPr="00785554">
        <w:t xml:space="preserve"> As such, it is important to understand how the rules characterise '</w:t>
      </w:r>
      <w:r w:rsidR="0042654C">
        <w:t>prescribed transmission</w:t>
      </w:r>
      <w:r w:rsidRPr="00785554">
        <w:t xml:space="preserve"> services'.</w:t>
      </w:r>
    </w:p>
    <w:p w:rsidR="008A6729" w:rsidRDefault="008A6729" w:rsidP="008A6729">
      <w:r w:rsidRPr="005772E3">
        <w:rPr>
          <w:rStyle w:val="AERbody"/>
        </w:rPr>
        <w:t xml:space="preserve">The rules define standard control services as a </w:t>
      </w:r>
      <w:r w:rsidR="0042654C">
        <w:rPr>
          <w:rStyle w:val="AERbody"/>
        </w:rPr>
        <w:t>prescribed transmission</w:t>
      </w:r>
      <w:r w:rsidRPr="005772E3">
        <w:rPr>
          <w:rStyle w:val="AERbody"/>
        </w:rPr>
        <w:t xml:space="preserve"> service that is subject to a control mechanism based on a service</w:t>
      </w:r>
      <w:r>
        <w:t xml:space="preserve"> provider's</w:t>
      </w:r>
      <w:r w:rsidRPr="000466C9">
        <w:t xml:space="preserve"> total revenue requirement</w:t>
      </w:r>
      <w:r>
        <w:t>.</w:t>
      </w:r>
      <w:r>
        <w:rPr>
          <w:rStyle w:val="FootnoteReference"/>
        </w:rPr>
        <w:footnoteReference w:id="65"/>
      </w:r>
      <w:r>
        <w:t xml:space="preserve"> The rules define a </w:t>
      </w:r>
      <w:r w:rsidR="0042654C">
        <w:t>prescribed transmission</w:t>
      </w:r>
      <w:r w:rsidRPr="000466C9">
        <w:t xml:space="preserve"> service</w:t>
      </w:r>
      <w:r>
        <w:t xml:space="preserve"> as </w:t>
      </w:r>
      <w:r w:rsidRPr="000466C9">
        <w:t xml:space="preserve">a direct control network service within the meaning of section 2B of the </w:t>
      </w:r>
      <w:r>
        <w:t>NEL.</w:t>
      </w:r>
      <w:r>
        <w:rPr>
          <w:rStyle w:val="FootnoteReference"/>
        </w:rPr>
        <w:footnoteReference w:id="66"/>
      </w:r>
      <w:r>
        <w:t xml:space="preserve"> The NEL then specifies (underline added):</w:t>
      </w:r>
      <w:r>
        <w:rPr>
          <w:rStyle w:val="FootnoteReference"/>
        </w:rPr>
        <w:footnoteReference w:id="67"/>
      </w:r>
    </w:p>
    <w:p w:rsidR="008A6729" w:rsidRPr="003C2B73" w:rsidRDefault="008A6729" w:rsidP="008A6729">
      <w:pPr>
        <w:pStyle w:val="AERquote"/>
      </w:pPr>
      <w:r w:rsidRPr="003C2B73">
        <w:t>A direct control network service is an electricity network service—</w:t>
      </w:r>
    </w:p>
    <w:p w:rsidR="008A6729" w:rsidRPr="003C2B73" w:rsidRDefault="008A6729" w:rsidP="008A6729">
      <w:pPr>
        <w:pStyle w:val="AERquoteindent2"/>
      </w:pPr>
      <w:r w:rsidRPr="003C2B73">
        <w:t xml:space="preserve">(a) </w:t>
      </w:r>
      <w:proofErr w:type="gramStart"/>
      <w:r w:rsidRPr="003C2B73">
        <w:t>the</w:t>
      </w:r>
      <w:proofErr w:type="gramEnd"/>
      <w:r w:rsidRPr="003C2B73">
        <w:t xml:space="preserve"> Rules specify as a service the price for which, or the revenue to be earned from which, </w:t>
      </w:r>
      <w:r w:rsidRPr="00E76F13">
        <w:rPr>
          <w:rStyle w:val="AERtextunderline"/>
        </w:rPr>
        <w:t>must be regulated under a distribution determination or transmission determination</w:t>
      </w:r>
      <w:r w:rsidRPr="003C2B73">
        <w:t>; or</w:t>
      </w:r>
    </w:p>
    <w:p w:rsidR="008A6729" w:rsidRPr="00785554" w:rsidRDefault="008A6729" w:rsidP="008A6729">
      <w:pPr>
        <w:pStyle w:val="AERquoteindent2"/>
        <w:rPr>
          <w:rStyle w:val="AERbody"/>
        </w:rPr>
      </w:pPr>
      <w:r w:rsidRPr="003C2B73">
        <w:t xml:space="preserve">(b) </w:t>
      </w:r>
      <w:proofErr w:type="gramStart"/>
      <w:r w:rsidRPr="003C2B73">
        <w:t>if</w:t>
      </w:r>
      <w:proofErr w:type="gramEnd"/>
      <w:r w:rsidRPr="003C2B73">
        <w:t xml:space="preserve"> the Rules do not do so, the AER specifies, in a distribution determination or transmission determination, as a service the price for which, or the revenue to be earned from which, must be regulated under the distribution determination or transmission determination.</w:t>
      </w:r>
    </w:p>
    <w:p w:rsidR="008A6729" w:rsidRPr="00785554" w:rsidRDefault="008A6729" w:rsidP="008A6729">
      <w:pPr>
        <w:pStyle w:val="HeadingBoldItalic"/>
        <w:rPr>
          <w:rStyle w:val="AERbody"/>
        </w:rPr>
      </w:pPr>
      <w:r w:rsidRPr="00785554">
        <w:rPr>
          <w:rStyle w:val="AERbody"/>
        </w:rPr>
        <w:t>Risk, regulation and a benchmark efficient entity</w:t>
      </w:r>
    </w:p>
    <w:p w:rsidR="008A6729" w:rsidRDefault="008A6729" w:rsidP="008A6729">
      <w:r>
        <w:rPr>
          <w:rStyle w:val="AERbody"/>
        </w:rPr>
        <w:t>T</w:t>
      </w:r>
      <w:r>
        <w:t xml:space="preserve">he rules </w:t>
      </w:r>
      <w:r w:rsidRPr="005F4630">
        <w:t>specify that the allowed rate of return is to be commensurate with the efficient financing costs of a</w:t>
      </w:r>
      <w:r>
        <w:t xml:space="preserve"> benchmark efficient entity</w:t>
      </w:r>
      <w:r w:rsidRPr="005F4630">
        <w:t xml:space="preserve"> with a similar degree of risk as that which applies</w:t>
      </w:r>
      <w:r>
        <w:t>:</w:t>
      </w:r>
      <w:r>
        <w:rPr>
          <w:rStyle w:val="FootnoteReference"/>
        </w:rPr>
        <w:footnoteReference w:id="68"/>
      </w:r>
    </w:p>
    <w:p w:rsidR="008A6729" w:rsidRDefault="008A6729" w:rsidP="008A6729">
      <w:pPr>
        <w:pStyle w:val="AERbulletlistfirststyle"/>
      </w:pPr>
      <w:r w:rsidRPr="005F4630">
        <w:t xml:space="preserve"> to the </w:t>
      </w:r>
      <w:r>
        <w:t xml:space="preserve">service provider in which the decision relates (which will always be a business that is regulated under the rules and NEL/NGL) </w:t>
      </w:r>
    </w:p>
    <w:p w:rsidR="008A6729" w:rsidRDefault="008A6729" w:rsidP="008A6729">
      <w:pPr>
        <w:pStyle w:val="AERbulletlistfirststyle"/>
      </w:pPr>
      <w:proofErr w:type="gramStart"/>
      <w:r w:rsidRPr="005F4630">
        <w:t>in</w:t>
      </w:r>
      <w:proofErr w:type="gramEnd"/>
      <w:r w:rsidRPr="005F4630">
        <w:t xml:space="preserve"> respect to the provision of </w:t>
      </w:r>
      <w:r w:rsidR="0042654C">
        <w:t>prescribed transmission</w:t>
      </w:r>
      <w:r w:rsidRPr="005F4630">
        <w:t xml:space="preserve"> services</w:t>
      </w:r>
      <w:r>
        <w:t xml:space="preserve"> (which are regulated services by definition),</w:t>
      </w:r>
      <w:r>
        <w:rPr>
          <w:rStyle w:val="FootnoteReference"/>
        </w:rPr>
        <w:footnoteReference w:id="69"/>
      </w:r>
      <w:r>
        <w:t xml:space="preserve"> which can only be provided by businesses regulated under the rules.</w:t>
      </w:r>
    </w:p>
    <w:p w:rsidR="008A6729" w:rsidRPr="00785554" w:rsidRDefault="008A6729" w:rsidP="008A6729">
      <w:r>
        <w:t>As discussed under 'Risk' above, risk is the degree of uncertainty about an event</w:t>
      </w:r>
      <w:r w:rsidRPr="00785554">
        <w:t>.</w:t>
      </w:r>
      <w:r w:rsidRPr="00785554">
        <w:rPr>
          <w:rStyle w:val="FootnoteReference"/>
        </w:rPr>
        <w:t xml:space="preserve"> </w:t>
      </w:r>
      <w:r w:rsidRPr="00785554">
        <w:rPr>
          <w:rStyle w:val="FootnoteReference"/>
        </w:rPr>
        <w:footnoteReference w:id="70"/>
      </w:r>
      <w:r w:rsidRPr="00785554">
        <w:t xml:space="preserve"> For instance, investing in the share market is risky because there is a spread of possible outcomes. The usual measure of this spread is the standard deviation or variance.</w:t>
      </w:r>
      <w:r w:rsidRPr="00785554">
        <w:rPr>
          <w:rStyle w:val="FootnoteReference"/>
        </w:rPr>
        <w:footnoteReference w:id="71"/>
      </w:r>
      <w:r w:rsidRPr="00785554">
        <w:t xml:space="preserve"> Similarly, the risk of a benchmark efficient entity would be the uncertainty around its expected return. More specifically, the systematic or market risk of a benchmark efficient entity would be the uncertainty around its expected return relative to the expected returns on the market.  We would measure this as the standardised correlation between a benchmark efficient entity's returns with that of the overall market (measured by the equity beta in the CAPM).</w:t>
      </w:r>
      <w:r w:rsidRPr="00785554">
        <w:rPr>
          <w:rStyle w:val="FootnoteReference"/>
        </w:rPr>
        <w:footnoteReference w:id="72"/>
      </w:r>
      <w:r w:rsidRPr="00785554">
        <w:t xml:space="preserve"> </w:t>
      </w:r>
    </w:p>
    <w:p w:rsidR="008A6729" w:rsidRPr="00785554" w:rsidRDefault="008A6729" w:rsidP="008A6729">
      <w:proofErr w:type="gramStart"/>
      <w:r>
        <w:t>Brealey et.al.</w:t>
      </w:r>
      <w:proofErr w:type="gramEnd"/>
      <w:r>
        <w:t xml:space="preserve"> </w:t>
      </w:r>
      <w:proofErr w:type="gramStart"/>
      <w:r>
        <w:t>use</w:t>
      </w:r>
      <w:proofErr w:type="gramEnd"/>
      <w:r>
        <w:t xml:space="preserve"> the figure </w:t>
      </w:r>
      <w:r w:rsidRPr="00785554">
        <w:t xml:space="preserve">we have presented as </w:t>
      </w:r>
      <w:r>
        <w:fldChar w:fldCharType="begin"/>
      </w:r>
      <w:r>
        <w:instrText xml:space="preserve"> REF  _Ref451345901 \* Lower \h </w:instrText>
      </w:r>
      <w:r>
        <w:fldChar w:fldCharType="separate"/>
      </w:r>
      <w:r w:rsidR="003F1AAB">
        <w:t xml:space="preserve">figure </w:t>
      </w:r>
      <w:r w:rsidR="003F1AAB">
        <w:rPr>
          <w:noProof/>
        </w:rPr>
        <w:t>3</w:t>
      </w:r>
      <w:r w:rsidR="003F1AAB">
        <w:noBreakHyphen/>
      </w:r>
      <w:r w:rsidR="003F1AAB">
        <w:rPr>
          <w:noProof/>
        </w:rPr>
        <w:t>1</w:t>
      </w:r>
      <w:r>
        <w:fldChar w:fldCharType="end"/>
      </w:r>
      <w:r>
        <w:t xml:space="preserve"> </w:t>
      </w:r>
      <w:r w:rsidRPr="00785554">
        <w:t>to illustrate the following.</w:t>
      </w:r>
      <w:r w:rsidRPr="00785554">
        <w:rPr>
          <w:rStyle w:val="FootnoteReference"/>
        </w:rPr>
        <w:footnoteReference w:id="73"/>
      </w:r>
    </w:p>
    <w:p w:rsidR="008A6729" w:rsidRDefault="008A6729" w:rsidP="008A6729">
      <w:pPr>
        <w:pStyle w:val="AERquote"/>
      </w:pPr>
      <w:r w:rsidRPr="00C75038">
        <w:t>Investments A and B both have an expected return of 10%, but because investment A has the greater spread of possible returns, it is more risky than B. We can mea</w:t>
      </w:r>
      <w:r>
        <w:t>sure this spread by the standard d</w:t>
      </w:r>
      <w:r w:rsidRPr="00C75038">
        <w:t>eviation. Investment A has a standard deviation of 15%; B, 7.5%. Most investors would prefer B to A.</w:t>
      </w:r>
      <w:r>
        <w:t xml:space="preserve"> </w:t>
      </w:r>
      <w:r w:rsidRPr="00C75038">
        <w:t xml:space="preserve">Investments B and C both </w:t>
      </w:r>
      <w:proofErr w:type="gramStart"/>
      <w:r w:rsidRPr="00C75038">
        <w:t>have</w:t>
      </w:r>
      <w:proofErr w:type="gramEnd"/>
      <w:r w:rsidRPr="00C75038">
        <w:t xml:space="preserve"> the same standard deviation, but C offers a higher expected return. Most</w:t>
      </w:r>
      <w:r>
        <w:t xml:space="preserve"> </w:t>
      </w:r>
      <w:r w:rsidRPr="00C75038">
        <w:t>investors would prefer C to B.</w:t>
      </w:r>
    </w:p>
    <w:p w:rsidR="008A6729" w:rsidRPr="00C75038" w:rsidRDefault="008A6729" w:rsidP="008A6729">
      <w:pPr>
        <w:pStyle w:val="Caption"/>
      </w:pPr>
      <w:bookmarkStart w:id="34" w:name="_Ref451345901"/>
      <w:r>
        <w:t xml:space="preserve">Figure </w:t>
      </w:r>
      <w:fldSimple w:instr=" STYLEREF 1 \s ">
        <w:r w:rsidR="003F1AAB">
          <w:rPr>
            <w:noProof/>
          </w:rPr>
          <w:t>3</w:t>
        </w:r>
      </w:fldSimple>
      <w:r w:rsidR="00E4520A">
        <w:noBreakHyphen/>
      </w:r>
      <w:fldSimple w:instr=" SEQ Figure \* ARABIC \s 1 ">
        <w:r w:rsidR="003F1AAB">
          <w:rPr>
            <w:noProof/>
          </w:rPr>
          <w:t>1</w:t>
        </w:r>
      </w:fldSimple>
      <w:bookmarkEnd w:id="34"/>
      <w:r>
        <w:tab/>
        <w:t>Risk versus expected return</w:t>
      </w:r>
    </w:p>
    <w:p w:rsidR="008A6729" w:rsidRPr="00785554" w:rsidRDefault="008A6729" w:rsidP="008A6729">
      <w:r w:rsidRPr="008A6729">
        <w:rPr>
          <w:noProof/>
          <w:lang w:eastAsia="en-AU"/>
        </w:rPr>
        <w:drawing>
          <wp:inline distT="0" distB="0" distL="0" distR="0" wp14:anchorId="71A8292B" wp14:editId="5B404956">
            <wp:extent cx="5382895" cy="7706511"/>
            <wp:effectExtent l="0" t="0" r="825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82895" cy="7706511"/>
                    </a:xfrm>
                    <a:prstGeom prst="rect">
                      <a:avLst/>
                    </a:prstGeom>
                  </pic:spPr>
                </pic:pic>
              </a:graphicData>
            </a:graphic>
          </wp:inline>
        </w:drawing>
      </w:r>
    </w:p>
    <w:p w:rsidR="008A6729" w:rsidRDefault="008A6729" w:rsidP="008A6729">
      <w:pPr>
        <w:pStyle w:val="AERtablesource"/>
      </w:pPr>
      <w:r>
        <w:t xml:space="preserve">Source: </w:t>
      </w:r>
      <w:r>
        <w:tab/>
        <w:t>Brealey</w:t>
      </w:r>
      <w:r w:rsidRPr="001326E8">
        <w:t>, Myers, Allen</w:t>
      </w:r>
      <w:r>
        <w:t xml:space="preserve"> (2011), </w:t>
      </w:r>
      <w:r w:rsidRPr="001326E8">
        <w:t>Figure 8.2</w:t>
      </w:r>
      <w:r>
        <w:t>.</w:t>
      </w:r>
    </w:p>
    <w:p w:rsidR="008A6729" w:rsidRDefault="008A6729" w:rsidP="008A6729">
      <w:r>
        <w:t xml:space="preserve">We use the above example to explain the relationship between risk and return for a single investment. Investors are generally assumed to prefer an investment with a lower variance for a given expected return under the assumption that investors are risk averse. However, we note that for an investment that is to be included in an investment portfolio the risk that is relevant to its price is the risk it will add to this portfolio. Therefore, under the assumption that investors hold fully diversified 'efficient' market portfolios, it is an investment's non-diversifiable (or systematic) risk that is relevant. In the case of equity investments, as discussed above, this is measured by the equity beta of the investment. </w:t>
      </w:r>
    </w:p>
    <w:p w:rsidR="008A6729" w:rsidRPr="00785554" w:rsidRDefault="008A6729" w:rsidP="008A6729">
      <w:r>
        <w:t xml:space="preserve">We consider </w:t>
      </w:r>
      <w:r w:rsidRPr="00785554">
        <w:t xml:space="preserve">a benchmark efficient entity </w:t>
      </w:r>
      <w:r w:rsidRPr="00785554">
        <w:rPr>
          <w:rStyle w:val="AERtextitalic"/>
        </w:rPr>
        <w:t>with a similar degree of risk as that which applies to the service provider in the provision of its regulated services</w:t>
      </w:r>
      <w:r w:rsidRPr="00785554">
        <w:t xml:space="preserve"> would be 'a pure play, regulated energy network business operating within Australia' acting efficiently.</w:t>
      </w:r>
      <w:r w:rsidRPr="00785554">
        <w:rPr>
          <w:rStyle w:val="FootnoteReference"/>
        </w:rPr>
        <w:footnoteReference w:id="74"/>
      </w:r>
      <w:r w:rsidRPr="00785554">
        <w:t xml:space="preserve"> </w:t>
      </w:r>
      <w:r w:rsidRPr="00785554">
        <w:rPr>
          <w:rStyle w:val="AERbody"/>
        </w:rPr>
        <w:t xml:space="preserve"> To understand this position, </w:t>
      </w:r>
      <w:r w:rsidRPr="00785554">
        <w:t>it is essential to understand the relationship and distinction between risk and expected returns. All else being equal, we consider an unregulated monopoly will have higher risk and higher expected returns than a regulated monopoly. This is because regulation:</w:t>
      </w:r>
    </w:p>
    <w:p w:rsidR="008A6729" w:rsidRDefault="008A6729" w:rsidP="008A6729">
      <w:pPr>
        <w:pStyle w:val="AERbulletlistfirststyle"/>
      </w:pPr>
      <w:r>
        <w:t>mitigates monopolies from being able to extract monopoly rents, thereby constraining potential profits</w:t>
      </w:r>
    </w:p>
    <w:p w:rsidR="008A6729" w:rsidRDefault="008A6729" w:rsidP="008A6729">
      <w:pPr>
        <w:pStyle w:val="AERbulletlistfirststyle"/>
      </w:pPr>
      <w:proofErr w:type="gramStart"/>
      <w:r>
        <w:t>increases</w:t>
      </w:r>
      <w:proofErr w:type="gramEnd"/>
      <w:r>
        <w:t xml:space="preserve"> the certainty of the revenue stream, thereby reducing risk.</w:t>
      </w:r>
    </w:p>
    <w:p w:rsidR="008A6729" w:rsidRPr="00785554" w:rsidRDefault="008A6729" w:rsidP="008A6729">
      <w:r>
        <w:t xml:space="preserve">For clarity, </w:t>
      </w:r>
      <w:r w:rsidRPr="00785554">
        <w:t>regulation reduces both risks that are compensated through the rate of return (for example, demand risk) and risks that would not be compensated through the rate of return (for example, by allowing cost pass throughs for unsystematic risks such as industry-specific tax changes or geographic-specific natural disasters). We only focus on risks that are compensated through the rate of return (compensable risks).</w:t>
      </w:r>
    </w:p>
    <w:p w:rsidR="008A6729" w:rsidRPr="00785554" w:rsidRDefault="008A6729" w:rsidP="008A6729">
      <w:r>
        <w:t xml:space="preserve">Incentive regulation affects </w:t>
      </w:r>
      <w:r w:rsidRPr="00785554">
        <w:t>compensable risks by allowing service providers to earn more stable cash flows with periodic resets of revenues to better reflect actual expenditure. Most unregulated businesses do not have these same protections or restrictions, and so are likely to have a different systematic risk profile. We carefully considered this role when developing the Guideline when considering whether a benchmark efficient entity referred to in the context of the ARORO is likely to be regulated.</w:t>
      </w:r>
      <w:r w:rsidRPr="00785554">
        <w:rPr>
          <w:rStyle w:val="FootnoteReference"/>
        </w:rPr>
        <w:footnoteReference w:id="75"/>
      </w:r>
      <w:r w:rsidRPr="00785554">
        <w:t xml:space="preserve"> Frontier has also recognised the role of regulation in affecting risk in advising:</w:t>
      </w:r>
      <w:r w:rsidRPr="00785554">
        <w:rPr>
          <w:rStyle w:val="FootnoteReference"/>
        </w:rPr>
        <w:footnoteReference w:id="76"/>
      </w:r>
    </w:p>
    <w:p w:rsidR="008A6729" w:rsidRPr="00F23C1C" w:rsidRDefault="008A6729" w:rsidP="008A6729">
      <w:pPr>
        <w:pStyle w:val="AERquote"/>
      </w:pPr>
      <w:r w:rsidRPr="00F23C1C">
        <w:t>The form and nature of regulation applicable to Australian energy networks mitigates most of the business risks they face as compared to the business risks faced by other types of firms in the economy. Regulated revenues are set on a periodic basis and changes in volumes may only affect the timing of revenues (under a revenue cap). Even where revenues fall short of expectations due to lower volumes (as under a price cap), the lower volumes imply that costs would probably also have been lower than expected. Unanticipated or poorly-managed changes in costs are partly borne by customers and only partly by the network business through the building block form of incentive regulation that applies. Stranding and optimisation risks are minimal for energy networks, a complete contrast to businesses operating in other sectors.</w:t>
      </w:r>
    </w:p>
    <w:p w:rsidR="008A6729" w:rsidRDefault="008A6729" w:rsidP="008A6729">
      <w:r>
        <w:t>Consumer Challenge Sub-Panel 3 (CCP3) also recognised this in highlighting the need to take into account the protections provided under the regulatory framework</w:t>
      </w:r>
      <w:r w:rsidRPr="0062715B">
        <w:t xml:space="preserve"> </w:t>
      </w:r>
      <w:r>
        <w:t>when making assessments about a benchmark efficient entity with a similar degree of risk as a service provider. These included risk reductions arising from:</w:t>
      </w:r>
      <w:r>
        <w:rPr>
          <w:rStyle w:val="FootnoteReference"/>
        </w:rPr>
        <w:footnoteReference w:id="77"/>
      </w:r>
    </w:p>
    <w:p w:rsidR="008A6729" w:rsidRPr="003E0036" w:rsidRDefault="008A6729" w:rsidP="008A6729">
      <w:pPr>
        <w:pStyle w:val="AERbulletlistfirststyle"/>
      </w:pPr>
      <w:r w:rsidRPr="003E0036">
        <w:t>a revenue cap</w:t>
      </w:r>
      <w:r>
        <w:t>,</w:t>
      </w:r>
      <w:r w:rsidRPr="003E0036">
        <w:t xml:space="preserve"> which removes volume risk</w:t>
      </w:r>
    </w:p>
    <w:p w:rsidR="008A6729" w:rsidRPr="003E0036" w:rsidRDefault="008A6729" w:rsidP="008A6729">
      <w:pPr>
        <w:pStyle w:val="AERbulletlistfirststyle"/>
      </w:pPr>
      <w:r w:rsidRPr="003E0036">
        <w:t>the indexation of the RAB</w:t>
      </w:r>
      <w:r>
        <w:t>,</w:t>
      </w:r>
      <w:r w:rsidRPr="003E0036">
        <w:t xml:space="preserve"> which protects the value of the underlying assets even when they might otherwise be written down in a commercial environment</w:t>
      </w:r>
    </w:p>
    <w:p w:rsidR="008A6729" w:rsidRPr="003E0036" w:rsidRDefault="008A6729" w:rsidP="008A6729">
      <w:pPr>
        <w:pStyle w:val="AERbulletlistfirststyle"/>
      </w:pPr>
      <w:proofErr w:type="gramStart"/>
      <w:r w:rsidRPr="003E0036">
        <w:t>the</w:t>
      </w:r>
      <w:proofErr w:type="gramEnd"/>
      <w:r w:rsidRPr="003E0036">
        <w:t xml:space="preserve"> progressive transition to a 10</w:t>
      </w:r>
      <w:r w:rsidRPr="008A6729">
        <w:rPr>
          <w:rFonts w:ascii="Cambria Math" w:hAnsi="Cambria Math" w:cs="Cambria Math"/>
        </w:rPr>
        <w:t>‐</w:t>
      </w:r>
      <w:r w:rsidRPr="003E0036">
        <w:t xml:space="preserve">year trailing average, including annual updating of the </w:t>
      </w:r>
      <w:r>
        <w:t>return on debt.</w:t>
      </w:r>
    </w:p>
    <w:p w:rsidR="008A6729" w:rsidRPr="00785554" w:rsidRDefault="008A6729" w:rsidP="008A6729">
      <w:pPr>
        <w:rPr>
          <w:rStyle w:val="AERbody"/>
        </w:rPr>
      </w:pPr>
      <w:r>
        <w:t>M</w:t>
      </w:r>
      <w:r w:rsidRPr="00785554">
        <w:t xml:space="preserve">any of the risks that the regulatory regime affects are systematic and therefore affect the cost of capital (or rate of return). From being inherently less exposed to systematic risk, regulated service providers have lower </w:t>
      </w:r>
      <w:r w:rsidRPr="00785554">
        <w:rPr>
          <w:rStyle w:val="AERbody"/>
        </w:rPr>
        <w:t>equity betas than if they were unregulated and therefore lower costs of equity. Also</w:t>
      </w:r>
      <w:r w:rsidRPr="00785554">
        <w:t>, given their lower risk cash flows</w:t>
      </w:r>
      <w:r w:rsidRPr="00785554">
        <w:rPr>
          <w:rStyle w:val="AERbody"/>
        </w:rPr>
        <w:t xml:space="preserve">, regulated service providers might issue a </w:t>
      </w:r>
      <w:r w:rsidRPr="00785554">
        <w:t>higher proportion of debt than if they were unregulated. This reduces their cost of capital if debt is cheaper than equity, for example due to taxes or other market imperfections. As a result, we consider a benchmark efficient entity faces lower compensable risk than would otherwise be the case absent regulation. As such, it would have a lower cost of capital.</w:t>
      </w:r>
    </w:p>
    <w:p w:rsidR="008A6729" w:rsidRPr="00785554" w:rsidRDefault="008A6729" w:rsidP="008A6729">
      <w:r>
        <w:rPr>
          <w:rStyle w:val="AERbody"/>
        </w:rPr>
        <w:t xml:space="preserve">Some systematic risks that regulation </w:t>
      </w:r>
      <w:r w:rsidRPr="00785554">
        <w:rPr>
          <w:rStyle w:val="AERbody"/>
        </w:rPr>
        <w:t>reduces include:</w:t>
      </w:r>
    </w:p>
    <w:p w:rsidR="008A6729" w:rsidRDefault="008A6729" w:rsidP="008A6729">
      <w:pPr>
        <w:pStyle w:val="AERbulletlistfirststyle"/>
      </w:pPr>
      <w:r>
        <w:t xml:space="preserve">Demand risk: the </w:t>
      </w:r>
      <w:r w:rsidRPr="005F4630">
        <w:t>revenue or price setting mechanism</w:t>
      </w:r>
      <w:r>
        <w:t xml:space="preserve"> mitigates demand risk. U</w:t>
      </w:r>
      <w:r w:rsidRPr="005F4630">
        <w:t>nder a price cap, service providers may mitigate the risk of forecast error by restructuring tariffs, such that higher fixed charges are se</w:t>
      </w:r>
      <w:r>
        <w:t xml:space="preserve">t to offset falls in demand. </w:t>
      </w:r>
      <w:r w:rsidRPr="005F4630">
        <w:t>Under</w:t>
      </w:r>
      <w:r w:rsidRPr="002D5F81">
        <w:t xml:space="preserve"> a revenue cap, where forecast quantity demanded differs from actual quantity demanded,</w:t>
      </w:r>
      <w:r>
        <w:t xml:space="preserve"> service providers are made whole for any variation through</w:t>
      </w:r>
      <w:r w:rsidRPr="002D5F81">
        <w:t xml:space="preserve"> price adjustments </w:t>
      </w:r>
      <w:r>
        <w:t>in subsequent years</w:t>
      </w:r>
      <w:r w:rsidRPr="002D5F81">
        <w:t>. Further, in most cases, a transmission service provider will determine prices based on historical demand which reduces intra year revenue variations. This effectively mitigates the risk associated with demand volatility.</w:t>
      </w:r>
    </w:p>
    <w:p w:rsidR="008A6729" w:rsidRDefault="008A6729" w:rsidP="008A6729">
      <w:pPr>
        <w:pStyle w:val="AERbulletlistfirststyle"/>
      </w:pPr>
      <w:r>
        <w:t xml:space="preserve">Inflation risk: Regulated service providers face less inflation risk than unregulated businesses. Under the regulatory framework, they effectively expect to receive </w:t>
      </w:r>
      <w:proofErr w:type="gramStart"/>
      <w:r>
        <w:t>a  real</w:t>
      </w:r>
      <w:proofErr w:type="gramEnd"/>
      <w:r>
        <w:t xml:space="preserve"> return on their investments in their RABs and to also have their RABs indexed for actual inflation.</w:t>
      </w:r>
    </w:p>
    <w:p w:rsidR="008A6729" w:rsidRDefault="008A6729" w:rsidP="008A6729">
      <w:pPr>
        <w:pStyle w:val="AERbulletlistfirststyle"/>
      </w:pPr>
      <w:r>
        <w:t>Interest rate risk: Both regulated and unregulated service providers are exposed to interest rate risk. The regulatory framework effectively moves risk of interest rate movements impacting financing costs onto customers. Where service providers raise capital during the averaging period/s that they know in advance they can further limit their exposure to this risk. To the extent they are unable to raise capital over the averaging period/</w:t>
      </w:r>
      <w:proofErr w:type="gramStart"/>
      <w:r>
        <w:t>s,</w:t>
      </w:r>
      <w:proofErr w:type="gramEnd"/>
      <w:r>
        <w:t xml:space="preserve"> they can still materially reduce their exposure to interest rate risk by hedging the base rate. </w:t>
      </w:r>
    </w:p>
    <w:p w:rsidR="008A6729" w:rsidRDefault="008A6729" w:rsidP="008A6729">
      <w:r>
        <w:fldChar w:fldCharType="begin"/>
      </w:r>
      <w:r>
        <w:instrText xml:space="preserve"> REF _Ref451345798 \h </w:instrText>
      </w:r>
      <w:r>
        <w:fldChar w:fldCharType="separate"/>
      </w:r>
      <w:r w:rsidR="003F1AAB">
        <w:t xml:space="preserve">Table </w:t>
      </w:r>
      <w:r w:rsidR="003F1AAB">
        <w:rPr>
          <w:noProof/>
        </w:rPr>
        <w:t>3</w:t>
      </w:r>
      <w:r w:rsidR="003F1AAB">
        <w:noBreakHyphen/>
      </w:r>
      <w:r w:rsidR="003F1AAB">
        <w:rPr>
          <w:noProof/>
        </w:rPr>
        <w:t>3</w:t>
      </w:r>
      <w:r>
        <w:fldChar w:fldCharType="end"/>
      </w:r>
      <w:r>
        <w:t xml:space="preserve"> summarises a selection of provisions in the rules that have the effect of mitigating various systematic and non-systematic risks.</w:t>
      </w:r>
    </w:p>
    <w:p w:rsidR="008A6729" w:rsidRDefault="008A6729" w:rsidP="008A6729">
      <w:pPr>
        <w:pStyle w:val="Caption"/>
      </w:pPr>
      <w:bookmarkStart w:id="35" w:name="_Ref451345798"/>
      <w:r>
        <w:t xml:space="preserve">Table </w:t>
      </w:r>
      <w:r w:rsidRPr="008A6729">
        <w:fldChar w:fldCharType="begin"/>
      </w:r>
      <w:r>
        <w:instrText xml:space="preserve"> STYLEREF 1 \s </w:instrText>
      </w:r>
      <w:r w:rsidRPr="008A6729">
        <w:fldChar w:fldCharType="separate"/>
      </w:r>
      <w:r w:rsidR="003F1AAB">
        <w:rPr>
          <w:noProof/>
        </w:rPr>
        <w:t>3</w:t>
      </w:r>
      <w:r w:rsidRPr="008A6729">
        <w:fldChar w:fldCharType="end"/>
      </w:r>
      <w:r>
        <w:noBreakHyphen/>
      </w:r>
      <w:r w:rsidRPr="008A6729">
        <w:fldChar w:fldCharType="begin"/>
      </w:r>
      <w:r>
        <w:instrText xml:space="preserve"> SEQ Table \* ARABIC \s 1 </w:instrText>
      </w:r>
      <w:r w:rsidRPr="008A6729">
        <w:fldChar w:fldCharType="separate"/>
      </w:r>
      <w:r w:rsidR="003F1AAB">
        <w:rPr>
          <w:noProof/>
        </w:rPr>
        <w:t>3</w:t>
      </w:r>
      <w:r w:rsidRPr="008A6729">
        <w:fldChar w:fldCharType="end"/>
      </w:r>
      <w:bookmarkEnd w:id="35"/>
      <w:r>
        <w:t>: Key clauses in the rules that mitigate systematic risk</w:t>
      </w:r>
    </w:p>
    <w:tbl>
      <w:tblPr>
        <w:tblStyle w:val="AERtable-text0"/>
        <w:tblW w:w="0" w:type="auto"/>
        <w:tblLook w:val="04A0" w:firstRow="1" w:lastRow="0" w:firstColumn="1" w:lastColumn="0" w:noHBand="0" w:noVBand="1"/>
      </w:tblPr>
      <w:tblGrid>
        <w:gridCol w:w="1526"/>
        <w:gridCol w:w="7167"/>
      </w:tblGrid>
      <w:tr w:rsidR="008A6729" w:rsidTr="007D4F36">
        <w:trPr>
          <w:cnfStyle w:val="100000000000" w:firstRow="1" w:lastRow="0" w:firstColumn="0" w:lastColumn="0" w:oddVBand="0" w:evenVBand="0" w:oddHBand="0" w:evenHBand="0" w:firstRowFirstColumn="0" w:firstRowLastColumn="0" w:lastRowFirstColumn="0" w:lastRowLastColumn="0"/>
        </w:trPr>
        <w:tc>
          <w:tcPr>
            <w:tcW w:w="1526" w:type="dxa"/>
          </w:tcPr>
          <w:p w:rsidR="008A6729" w:rsidRPr="008A6729" w:rsidRDefault="008A6729" w:rsidP="008A6729">
            <w:r>
              <w:t>Rule</w:t>
            </w:r>
          </w:p>
        </w:tc>
        <w:tc>
          <w:tcPr>
            <w:tcW w:w="7167" w:type="dxa"/>
          </w:tcPr>
          <w:p w:rsidR="008A6729" w:rsidRPr="008A6729" w:rsidRDefault="008A6729" w:rsidP="008A6729">
            <w:r>
              <w:t>Effect on risk</w:t>
            </w:r>
          </w:p>
        </w:tc>
      </w:tr>
      <w:tr w:rsidR="008A6729" w:rsidTr="007D4F36">
        <w:tc>
          <w:tcPr>
            <w:tcW w:w="1526" w:type="dxa"/>
            <w:vAlign w:val="top"/>
          </w:tcPr>
          <w:p w:rsidR="008A6729" w:rsidRPr="008A6729" w:rsidRDefault="008A6729" w:rsidP="008A6729">
            <w:r w:rsidRPr="009378AE">
              <w:t>6.3.2(b)</w:t>
            </w:r>
          </w:p>
          <w:p w:rsidR="008A6729" w:rsidRDefault="00302212" w:rsidP="008A6729">
            <w:r>
              <w:t>6A.4.2(c)</w:t>
            </w:r>
          </w:p>
        </w:tc>
        <w:tc>
          <w:tcPr>
            <w:tcW w:w="7167" w:type="dxa"/>
            <w:vAlign w:val="top"/>
          </w:tcPr>
          <w:p w:rsidR="008A6729" w:rsidRPr="008A6729" w:rsidRDefault="008A6729" w:rsidP="008A6729">
            <w:r w:rsidRPr="009378AE">
              <w:t xml:space="preserve">The term of </w:t>
            </w:r>
            <w:r w:rsidRPr="008A6729">
              <w:t>each regulatory control period is at least 5 years, providing a fixed duration in which a service provider has a regulated return on its assets, revenue certainty, and fixed terms of access for its services.</w:t>
            </w:r>
          </w:p>
        </w:tc>
      </w:tr>
      <w:tr w:rsidR="008A6729" w:rsidTr="007D4F36">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8A6729" w:rsidRDefault="008A6729" w:rsidP="008A6729">
            <w:r w:rsidRPr="009378AE">
              <w:t>6.2.6</w:t>
            </w:r>
          </w:p>
          <w:p w:rsidR="00302212" w:rsidRPr="008A6729" w:rsidRDefault="00302212" w:rsidP="008A6729">
            <w:r>
              <w:t>6A.3</w:t>
            </w:r>
          </w:p>
        </w:tc>
        <w:tc>
          <w:tcPr>
            <w:tcW w:w="7167" w:type="dxa"/>
            <w:vAlign w:val="top"/>
          </w:tcPr>
          <w:p w:rsidR="008A6729" w:rsidRPr="008A6729" w:rsidRDefault="008A6729" w:rsidP="008A6729">
            <w:r>
              <w:t xml:space="preserve">The AER adopts a </w:t>
            </w:r>
            <w:r w:rsidRPr="008A6729">
              <w:t xml:space="preserve">control mechanism formula to calculate the total revenue that service providers may collect over a regulatory control period (and for each year of a regulatory control period). This control mechanism automatically accounts for indexation and annual increases in efficient input costs.  The control mechanism that the AER adopts (typically in the form of a revenue cap), also ensures a service provider has a guaranteed level of total revenue that it may collect across the regulatory control period, regardless of unexpected changes in demand.  This significantly limits risks to revenue. </w:t>
            </w:r>
          </w:p>
        </w:tc>
      </w:tr>
      <w:tr w:rsidR="008A6729" w:rsidTr="007D4F36">
        <w:tc>
          <w:tcPr>
            <w:tcW w:w="1526" w:type="dxa"/>
            <w:vAlign w:val="top"/>
          </w:tcPr>
          <w:p w:rsidR="008A6729" w:rsidRDefault="008A6729" w:rsidP="008A6729">
            <w:r w:rsidRPr="009378AE">
              <w:t>6.5.9</w:t>
            </w:r>
          </w:p>
          <w:p w:rsidR="00302212" w:rsidRPr="008A6729" w:rsidRDefault="00302212" w:rsidP="008A6729">
            <w:r>
              <w:t>6A.6.8</w:t>
            </w:r>
          </w:p>
        </w:tc>
        <w:tc>
          <w:tcPr>
            <w:tcW w:w="7167" w:type="dxa"/>
            <w:vAlign w:val="top"/>
          </w:tcPr>
          <w:p w:rsidR="008A6729" w:rsidRPr="008A6729" w:rsidRDefault="008A6729" w:rsidP="008A6729">
            <w:r w:rsidRPr="009378AE">
              <w:t xml:space="preserve">X factors </w:t>
            </w:r>
            <w:r w:rsidRPr="008A6729">
              <w:t>in the control mechanism smooth revenues across the regulatory control period and limit shocks from the last year of a regulatory control period before the start of the next. The AER sets X factors, among other things, to allow service providers to recover a revenue shortfall in one year in a subsequent year. Through X factors, service providers have a stable and certain level of revenue over each regulatory control period, with reduced risks of short term revenue volatility.</w:t>
            </w:r>
          </w:p>
        </w:tc>
      </w:tr>
      <w:tr w:rsidR="008A6729" w:rsidTr="007D4F36">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8A6729" w:rsidRDefault="008A6729" w:rsidP="008A6729">
            <w:r w:rsidRPr="009378AE">
              <w:t>6.18</w:t>
            </w:r>
          </w:p>
          <w:p w:rsidR="00302212" w:rsidRPr="008A6729" w:rsidRDefault="00302212" w:rsidP="00302212">
            <w:r>
              <w:t>6A.23</w:t>
            </w:r>
          </w:p>
        </w:tc>
        <w:tc>
          <w:tcPr>
            <w:tcW w:w="7167" w:type="dxa"/>
            <w:vAlign w:val="top"/>
          </w:tcPr>
          <w:p w:rsidR="008A6729" w:rsidRPr="008A6729" w:rsidRDefault="008A6729" w:rsidP="008A6729">
            <w:r w:rsidRPr="009378AE">
              <w:t xml:space="preserve">The prices </w:t>
            </w:r>
            <w:r w:rsidRPr="008A6729">
              <w:t xml:space="preserve">service providers may charge annually are certain.  They are set through a regulatory process to approve annual pricing proposals. </w:t>
            </w:r>
          </w:p>
        </w:tc>
      </w:tr>
      <w:tr w:rsidR="008A6729" w:rsidTr="007D4F36">
        <w:tc>
          <w:tcPr>
            <w:tcW w:w="1526" w:type="dxa"/>
            <w:vAlign w:val="top"/>
          </w:tcPr>
          <w:p w:rsidR="00302212" w:rsidRDefault="008A6729" w:rsidP="008A6729">
            <w:r w:rsidRPr="009378AE">
              <w:t xml:space="preserve">6.4.3(a)(1)-(3), 6.5.1, </w:t>
            </w:r>
            <w:r w:rsidRPr="008A6729">
              <w:t>6.5.2, 6.5.5, S6.2.1, S6.2.2B, S6.2.3,</w:t>
            </w:r>
          </w:p>
          <w:p w:rsidR="008A6729" w:rsidRPr="008A6729" w:rsidRDefault="00302212" w:rsidP="008A6729">
            <w:r>
              <w:t>6A.5.4(a)(1)-(3), 6A.6.1, 6A.6.2, 6A.6.3, S6A.2.1, S6A.2.2B, S6A.2.4</w:t>
            </w:r>
            <w:r w:rsidR="008A6729" w:rsidRPr="008A6729">
              <w:t xml:space="preserve"> </w:t>
            </w:r>
          </w:p>
        </w:tc>
        <w:tc>
          <w:tcPr>
            <w:tcW w:w="7167" w:type="dxa"/>
            <w:vAlign w:val="top"/>
          </w:tcPr>
          <w:p w:rsidR="008A6729" w:rsidRPr="008A6729" w:rsidRDefault="008A6729" w:rsidP="008A6729">
            <w:r w:rsidRPr="009378AE">
              <w:t>The total revenue</w:t>
            </w:r>
            <w:r w:rsidRPr="008A6729">
              <w:t xml:space="preserve"> that the AER determines incorporates a return on and of the service provider's asset base.  The historical asset base rolls forward from one regulatory control period to the next and from year to year within each regulatory control period.  The NER guarantees recovery of historical asset costs through depreciation, the earning of a return on the asset base, indexation and recovery of future efficient capex. This substantially lessens risks in capital investment that might otherwise apply to a business operating in a workably competitive market. An asset that is not utilised or productive may still provide a return under the NER through the setting and rolling forward of the asset base, the return on and of the asset base and the application of indexation.</w:t>
            </w:r>
          </w:p>
        </w:tc>
      </w:tr>
      <w:tr w:rsidR="008A6729" w:rsidTr="007D4F36">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8A6729" w:rsidRDefault="008A6729" w:rsidP="008A6729">
            <w:r w:rsidRPr="009378AE">
              <w:t>6.5.2</w:t>
            </w:r>
          </w:p>
          <w:p w:rsidR="00302212" w:rsidRPr="008A6729" w:rsidRDefault="00302212" w:rsidP="008A6729">
            <w:r>
              <w:t>6A.6.2</w:t>
            </w:r>
          </w:p>
        </w:tc>
        <w:tc>
          <w:tcPr>
            <w:tcW w:w="7167" w:type="dxa"/>
            <w:vAlign w:val="top"/>
          </w:tcPr>
          <w:p w:rsidR="008A6729" w:rsidRPr="008A6729" w:rsidRDefault="008A6729" w:rsidP="008A6729">
            <w:r>
              <w:t>T</w:t>
            </w:r>
            <w:r w:rsidRPr="008A6729">
              <w:t>he AER sets the rate of return on the asset base by reference to the risks faced by the service provider.  The AER updates this each regulatory control period to account for changed market conditions.</w:t>
            </w:r>
          </w:p>
        </w:tc>
      </w:tr>
      <w:tr w:rsidR="008A6729" w:rsidTr="007D4F36">
        <w:tc>
          <w:tcPr>
            <w:tcW w:w="1526" w:type="dxa"/>
            <w:vAlign w:val="top"/>
          </w:tcPr>
          <w:p w:rsidR="008A6729" w:rsidRDefault="008A6729" w:rsidP="008A6729">
            <w:r w:rsidRPr="009378AE">
              <w:t>6.5.3</w:t>
            </w:r>
          </w:p>
          <w:p w:rsidR="00302212" w:rsidRPr="008A6729" w:rsidRDefault="00302212" w:rsidP="008A6729">
            <w:r>
              <w:t>6A.6.4</w:t>
            </w:r>
          </w:p>
        </w:tc>
        <w:tc>
          <w:tcPr>
            <w:tcW w:w="7167" w:type="dxa"/>
            <w:vAlign w:val="top"/>
          </w:tcPr>
          <w:p w:rsidR="008A6729" w:rsidRPr="008A6729" w:rsidRDefault="008A6729" w:rsidP="008A6729">
            <w:r>
              <w:t>Provision for tax in</w:t>
            </w:r>
            <w:r w:rsidRPr="008A6729">
              <w:t xml:space="preserve"> determining total revenue is required regardless of whether the service provider pays tax.</w:t>
            </w:r>
          </w:p>
        </w:tc>
      </w:tr>
      <w:tr w:rsidR="008A6729" w:rsidTr="007D4F36">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8A6729" w:rsidRDefault="008A6729" w:rsidP="008A6729">
            <w:r w:rsidRPr="009378AE">
              <w:t>6.5.6 and 6.5.7</w:t>
            </w:r>
          </w:p>
          <w:p w:rsidR="00302212" w:rsidRPr="008A6729" w:rsidRDefault="00302212" w:rsidP="008A6729">
            <w:r>
              <w:t>6A.6.6 and 6A.6.7</w:t>
            </w:r>
          </w:p>
        </w:tc>
        <w:tc>
          <w:tcPr>
            <w:tcW w:w="7167" w:type="dxa"/>
            <w:vAlign w:val="top"/>
          </w:tcPr>
          <w:p w:rsidR="008A6729" w:rsidRPr="008A6729" w:rsidRDefault="008A6729" w:rsidP="008A6729">
            <w:r w:rsidRPr="009378AE">
              <w:t>The</w:t>
            </w:r>
            <w:r w:rsidRPr="008A6729">
              <w:t xml:space="preserve"> AER assesses expenditure requirements for each service provider by reference to the amount necessary to meet a set of standards and objectives.  These include the need to meet the expected demand for services and to meet quality, reliability, security, and safety standards.  The AER does not assess expenditure by reference to the capacity of consumers to pay.  This removes risks that could otherwise arise in providing a reliable and safe service.  The AER reassesses the requirements of service providers for each regulatory control period to account for changes in market conditions and trends.</w:t>
            </w:r>
          </w:p>
        </w:tc>
      </w:tr>
      <w:tr w:rsidR="008A6729" w:rsidTr="007D4F36">
        <w:tc>
          <w:tcPr>
            <w:tcW w:w="1526" w:type="dxa"/>
            <w:vAlign w:val="top"/>
          </w:tcPr>
          <w:p w:rsidR="008A6729" w:rsidRDefault="008A6729" w:rsidP="008A6729">
            <w:r w:rsidRPr="009378AE">
              <w:t>6.5.10</w:t>
            </w:r>
          </w:p>
          <w:p w:rsidR="00302212" w:rsidRPr="008A6729" w:rsidRDefault="00302212" w:rsidP="008A6729">
            <w:r>
              <w:t>6A.6.9</w:t>
            </w:r>
          </w:p>
        </w:tc>
        <w:tc>
          <w:tcPr>
            <w:tcW w:w="7167" w:type="dxa"/>
            <w:vAlign w:val="top"/>
          </w:tcPr>
          <w:p w:rsidR="008A6729" w:rsidRPr="008A6729" w:rsidRDefault="008A6729" w:rsidP="008A6729">
            <w:r>
              <w:t>Allows service providers to pass through c</w:t>
            </w:r>
            <w:r w:rsidRPr="008A6729">
              <w:t>ertain costs to consumers in circumstances where this might not be possible in a workably competitive market.  For instance, the pass through provisions provide for a pass through of costs that arise through regulatory change.</w:t>
            </w:r>
          </w:p>
        </w:tc>
      </w:tr>
      <w:tr w:rsidR="008A6729" w:rsidTr="007D4F36">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8A6729" w:rsidRDefault="008A6729" w:rsidP="008A6729">
            <w:r w:rsidRPr="009378AE">
              <w:t>6.5.7(f), 6.6A, chapter 5</w:t>
            </w:r>
          </w:p>
          <w:p w:rsidR="00302212" w:rsidRPr="008A6729" w:rsidRDefault="00302212" w:rsidP="008A6729">
            <w:r>
              <w:t>6A.6.7(g), 6A.8, chapter 5</w:t>
            </w:r>
          </w:p>
        </w:tc>
        <w:tc>
          <w:tcPr>
            <w:tcW w:w="7167" w:type="dxa"/>
            <w:vAlign w:val="top"/>
          </w:tcPr>
          <w:p w:rsidR="008A6729" w:rsidRPr="008A6729" w:rsidRDefault="008A6729" w:rsidP="008A6729">
            <w:r>
              <w:t>E</w:t>
            </w:r>
            <w:r w:rsidRPr="008A6729">
              <w:t>stablishes a planning regime for DNSPs that assists in predicting future costs and appropriate planning for changes in the commercial environment.  This includes provision for contingent projects during a regulatory control period and longer term projects through the RIT-D process.</w:t>
            </w:r>
          </w:p>
        </w:tc>
      </w:tr>
      <w:tr w:rsidR="008A6729" w:rsidTr="007D4F36">
        <w:tc>
          <w:tcPr>
            <w:tcW w:w="1526" w:type="dxa"/>
            <w:vAlign w:val="top"/>
          </w:tcPr>
          <w:p w:rsidR="008A6729" w:rsidRDefault="008A6729" w:rsidP="008A6729">
            <w:r w:rsidRPr="009378AE">
              <w:t xml:space="preserve">6.20, </w:t>
            </w:r>
            <w:r w:rsidRPr="008A6729">
              <w:t>6.21, 6.6.1(a1)(d), and RoLR provisions</w:t>
            </w:r>
          </w:p>
          <w:p w:rsidR="00302212" w:rsidRPr="008A6729" w:rsidRDefault="00302212" w:rsidP="00FA0339">
            <w:r>
              <w:t>6A.27, 6A.28, 6A.7.3</w:t>
            </w:r>
          </w:p>
        </w:tc>
        <w:tc>
          <w:tcPr>
            <w:tcW w:w="7167" w:type="dxa"/>
            <w:vAlign w:val="top"/>
          </w:tcPr>
          <w:p w:rsidR="008A6729" w:rsidRPr="008A6729" w:rsidRDefault="008A6729" w:rsidP="008A6729">
            <w:r>
              <w:t>Provides</w:t>
            </w:r>
            <w:r w:rsidRPr="008A6729">
              <w:t xml:space="preserve"> for a statutory billing and settlements framework with prudential requirements (and other similar provisions) to minimise financial risk associated with providing and charging for services.  There is also provision for dealing with potential risks associated with retailer insolvency. </w:t>
            </w:r>
          </w:p>
        </w:tc>
      </w:tr>
    </w:tbl>
    <w:p w:rsidR="008A6729" w:rsidRDefault="008A6729" w:rsidP="008A6729">
      <w:pPr>
        <w:pStyle w:val="AERtablesource"/>
      </w:pPr>
      <w:r>
        <w:t xml:space="preserve">Source: </w:t>
      </w:r>
      <w:r>
        <w:tab/>
        <w:t>NER, AER analysis.</w:t>
      </w:r>
    </w:p>
    <w:p w:rsidR="008A6729" w:rsidRPr="00785554" w:rsidRDefault="008A6729" w:rsidP="008A6729">
      <w:pPr>
        <w:pStyle w:val="HeadingBoldItalic"/>
        <w:rPr>
          <w:rStyle w:val="AERbody"/>
        </w:rPr>
      </w:pPr>
      <w:r w:rsidRPr="00785554">
        <w:rPr>
          <w:rStyle w:val="AERbody"/>
        </w:rPr>
        <w:t>Outcomes of a workably competitive market</w:t>
      </w:r>
    </w:p>
    <w:p w:rsidR="008A6729" w:rsidRDefault="008A6729" w:rsidP="008A6729">
      <w:pPr>
        <w:numPr>
          <w:ilvl w:val="0"/>
          <w:numId w:val="25"/>
        </w:numPr>
      </w:pPr>
      <w:r>
        <w:rPr>
          <w:rStyle w:val="AERbody"/>
        </w:rPr>
        <w:t>For clarity, we consider the</w:t>
      </w:r>
      <w:r w:rsidDel="0080070C">
        <w:t xml:space="preserve"> </w:t>
      </w:r>
      <w:r>
        <w:t xml:space="preserve">regulatory regime should seek to replicate the outcomes of a workably competitive market to the extent possible (notwithstanding that this is not an explicit requirement of the rules nor the NEL/NGL). We consider that this would entail replicating (to the extent possible while achieving the objectives of regulation) </w:t>
      </w:r>
      <w:r w:rsidRPr="00E64F99">
        <w:t xml:space="preserve">outcomes that a workably competitive market </w:t>
      </w:r>
      <w:r>
        <w:t xml:space="preserve">would theoretically produce </w:t>
      </w:r>
      <w:r w:rsidRPr="00E64F99">
        <w:t>with respect to efficiency and the resulting prices and service levels.</w:t>
      </w:r>
      <w:r>
        <w:rPr>
          <w:rStyle w:val="FootnoteReference"/>
        </w:rPr>
        <w:footnoteReference w:id="78"/>
      </w:r>
      <w:r>
        <w:t xml:space="preserve"> Incentive regulation aims to replicate these outcomes where competition is not available to achieve this. We are in an environment where competition is not viable as energy network service providers are natural monopolies. Consistent with economic theory, </w:t>
      </w:r>
      <w:r w:rsidRPr="00E64F99">
        <w:t>'the essence of natural monopoly is that there are increasing returns in production and that the level of demand is such that only a single firm can be profitable'.</w:t>
      </w:r>
      <w:r w:rsidRPr="00E64F99">
        <w:rPr>
          <w:rStyle w:val="FootnoteReference"/>
        </w:rPr>
        <w:footnoteReference w:id="79"/>
      </w:r>
    </w:p>
    <w:p w:rsidR="008A6729" w:rsidRDefault="008A6729" w:rsidP="008A6729">
      <w:pPr>
        <w:numPr>
          <w:ilvl w:val="0"/>
          <w:numId w:val="25"/>
        </w:numPr>
      </w:pPr>
      <w:r>
        <w:t>Incentive regulation aims to replicate workably competitive market outcomes by:</w:t>
      </w:r>
    </w:p>
    <w:p w:rsidR="008A6729" w:rsidRDefault="008A6729" w:rsidP="008A6729">
      <w:pPr>
        <w:pStyle w:val="AERbulletlistfirststyle"/>
      </w:pPr>
      <w:r>
        <w:t xml:space="preserve">Constraining monopoly rents by seeking for customers to only pay for efficient costs of providing the service. </w:t>
      </w:r>
      <w:proofErr w:type="gramStart"/>
      <w:r>
        <w:t>This results</w:t>
      </w:r>
      <w:proofErr w:type="gramEnd"/>
      <w:r>
        <w:t xml:space="preserve"> in service providers having a lower rate of return than if they were unregulated.</w:t>
      </w:r>
    </w:p>
    <w:p w:rsidR="008A6729" w:rsidRPr="00E64F99" w:rsidRDefault="008A6729" w:rsidP="008A6729">
      <w:pPr>
        <w:pStyle w:val="AERbulletlistfirststyle"/>
      </w:pPr>
      <w:r>
        <w:t>Incentivising service providers to operate efficiently.</w:t>
      </w:r>
    </w:p>
    <w:p w:rsidR="008A6729" w:rsidRDefault="008A6729" w:rsidP="008A6729">
      <w:r>
        <w:t>Applying the first point to the allowed rate of return, the allowed rate of return should be consistent with the efficient financing cost of providing regulated services.</w:t>
      </w:r>
      <w:r>
        <w:rPr>
          <w:rStyle w:val="FootnoteReference"/>
        </w:rPr>
        <w:footnoteReference w:id="80"/>
      </w:r>
      <w:r>
        <w:t xml:space="preserve"> As we discuss above and in Appendix </w:t>
      </w:r>
      <w:r>
        <w:fldChar w:fldCharType="begin"/>
      </w:r>
      <w:r>
        <w:instrText xml:space="preserve"> REF _Ref451267772 \r \h </w:instrText>
      </w:r>
      <w:r>
        <w:fldChar w:fldCharType="separate"/>
      </w:r>
      <w:r w:rsidR="003F1AAB">
        <w:t>A</w:t>
      </w:r>
      <w:r>
        <w:fldChar w:fldCharType="end"/>
      </w:r>
      <w:r>
        <w:t>, we consider the current (or prevailing) cost of capital to be the efficient cost of capital. P</w:t>
      </w:r>
      <w:r w:rsidRPr="002624EC">
        <w:t xml:space="preserve">revailing market rates for capital finance </w:t>
      </w:r>
      <w:r>
        <w:t xml:space="preserve">are expected </w:t>
      </w:r>
      <w:r w:rsidRPr="002624EC">
        <w:t>to be competitive.</w:t>
      </w:r>
      <w:r w:rsidRPr="002624EC">
        <w:rPr>
          <w:rStyle w:val="FootnoteReference"/>
        </w:rPr>
        <w:footnoteReference w:id="81"/>
      </w:r>
      <w:r w:rsidRPr="002624EC">
        <w:t xml:space="preserve"> </w:t>
      </w:r>
      <w:r>
        <w:t>P</w:t>
      </w:r>
      <w:r w:rsidRPr="002624EC">
        <w:t xml:space="preserve">revailing market rates </w:t>
      </w:r>
      <w:r>
        <w:t xml:space="preserve">also represent </w:t>
      </w:r>
      <w:r w:rsidRPr="002624EC">
        <w:t>the costs that other service providers will face to enter the market.</w:t>
      </w:r>
      <w:r w:rsidRPr="002624EC">
        <w:rPr>
          <w:rStyle w:val="FootnoteReference"/>
        </w:rPr>
        <w:footnoteReference w:id="82"/>
      </w:r>
    </w:p>
    <w:p w:rsidR="008A6729" w:rsidRDefault="008A6729" w:rsidP="008A6729">
      <w:r>
        <w:t>Applying the second point to the allowed rate of return, we encourage services providers to operate efficiently by</w:t>
      </w:r>
      <w:r w:rsidRPr="00650403">
        <w:rPr>
          <w:rStyle w:val="AERbody"/>
        </w:rPr>
        <w:t xml:space="preserve"> </w:t>
      </w:r>
      <w:r>
        <w:rPr>
          <w:rStyle w:val="AERbody"/>
        </w:rPr>
        <w:t>s</w:t>
      </w:r>
      <w:r w:rsidRPr="00650403">
        <w:rPr>
          <w:rStyle w:val="AERbody"/>
        </w:rPr>
        <w:t>etting an allowed rate of return</w:t>
      </w:r>
      <w:r>
        <w:rPr>
          <w:rStyle w:val="AERbody"/>
        </w:rPr>
        <w:t xml:space="preserve"> that</w:t>
      </w:r>
      <w:r>
        <w:t xml:space="preserve">: </w:t>
      </w:r>
    </w:p>
    <w:p w:rsidR="008A6729" w:rsidRDefault="008A6729" w:rsidP="008A6729">
      <w:pPr>
        <w:pStyle w:val="AERbulletlistfirststyle"/>
        <w:rPr>
          <w:rStyle w:val="AERbody"/>
        </w:rPr>
      </w:pPr>
      <w:r w:rsidRPr="00650403">
        <w:rPr>
          <w:rStyle w:val="AERbody"/>
        </w:rPr>
        <w:t xml:space="preserve">Does not distort investment decisions. </w:t>
      </w:r>
      <w:r>
        <w:rPr>
          <w:rStyle w:val="AERbody"/>
        </w:rPr>
        <w:t xml:space="preserve">This differs from </w:t>
      </w:r>
      <w:r w:rsidRPr="00650403">
        <w:rPr>
          <w:rStyle w:val="AERbody"/>
        </w:rPr>
        <w:t>cost of service regulation</w:t>
      </w:r>
      <w:r>
        <w:rPr>
          <w:rStyle w:val="AERbody"/>
        </w:rPr>
        <w:t>, which entails</w:t>
      </w:r>
      <w:r w:rsidRPr="00650403">
        <w:rPr>
          <w:rStyle w:val="AERbody"/>
        </w:rPr>
        <w:t xml:space="preserve"> </w:t>
      </w:r>
      <w:r>
        <w:rPr>
          <w:rStyle w:val="AERbody"/>
        </w:rPr>
        <w:t>compensating</w:t>
      </w:r>
      <w:r w:rsidRPr="00650403">
        <w:rPr>
          <w:rStyle w:val="AERbody"/>
        </w:rPr>
        <w:t xml:space="preserve"> service provider</w:t>
      </w:r>
      <w:r>
        <w:rPr>
          <w:rStyle w:val="AERbody"/>
        </w:rPr>
        <w:t>s</w:t>
      </w:r>
      <w:r w:rsidRPr="00650403">
        <w:rPr>
          <w:rStyle w:val="AERbody"/>
        </w:rPr>
        <w:t xml:space="preserve"> for </w:t>
      </w:r>
      <w:r>
        <w:rPr>
          <w:rStyle w:val="AERbody"/>
        </w:rPr>
        <w:t>their</w:t>
      </w:r>
      <w:r w:rsidRPr="00650403">
        <w:rPr>
          <w:rStyle w:val="AERbody"/>
        </w:rPr>
        <w:t xml:space="preserve"> actual costs no matter how inefficient.</w:t>
      </w:r>
    </w:p>
    <w:p w:rsidR="008A6729" w:rsidRDefault="008A6729" w:rsidP="008A6729">
      <w:pPr>
        <w:pStyle w:val="AERbulletlistfirststyle"/>
        <w:rPr>
          <w:rStyle w:val="AERbody"/>
        </w:rPr>
      </w:pPr>
      <w:r>
        <w:rPr>
          <w:rStyle w:val="AERbody"/>
        </w:rPr>
        <w:t xml:space="preserve">Is </w:t>
      </w:r>
      <w:r w:rsidRPr="00650403">
        <w:rPr>
          <w:rStyle w:val="AERbody"/>
        </w:rPr>
        <w:t>consistent with the expected return in the competitive capital market (determined by demand and supply) for an investment of similar degree of risk as a service provider supplying regulated services.</w:t>
      </w:r>
    </w:p>
    <w:p w:rsidR="008A6729" w:rsidRDefault="008A6729" w:rsidP="008A6729">
      <w:pPr>
        <w:pStyle w:val="AERbulletlistfirststyle"/>
      </w:pPr>
      <w:r w:rsidRPr="00650403">
        <w:rPr>
          <w:rStyle w:val="AERbody"/>
        </w:rPr>
        <w:t>Incentivises service providers to seek the lowest cost financing (all else being equal).</w:t>
      </w:r>
    </w:p>
    <w:p w:rsidR="008A6729" w:rsidRPr="00E64F99" w:rsidRDefault="008A6729" w:rsidP="008A6729">
      <w:r>
        <w:t xml:space="preserve">For clarity, promoting an efficient competitive outcome would not necessarily </w:t>
      </w:r>
      <w:r w:rsidRPr="00E64F99">
        <w:t xml:space="preserve">entail </w:t>
      </w:r>
      <w:r>
        <w:t>assuming a benchmark efficient entity would</w:t>
      </w:r>
      <w:r w:rsidRPr="00E64F99">
        <w:t xml:space="preserve"> conduct </w:t>
      </w:r>
      <w:r>
        <w:t>all of its</w:t>
      </w:r>
      <w:r w:rsidRPr="00E64F99">
        <w:t xml:space="preserve"> </w:t>
      </w:r>
      <w:r>
        <w:t>activities</w:t>
      </w:r>
      <w:r w:rsidRPr="00E64F99">
        <w:t xml:space="preserve"> as we would imagine an unregulated firm would. </w:t>
      </w:r>
      <w:r>
        <w:t xml:space="preserve">As before, an unregulated benchmark efficient entity would be a natural monopoly. As Partington and Satchell </w:t>
      </w:r>
      <w:proofErr w:type="gramStart"/>
      <w:r>
        <w:t>advise</w:t>
      </w:r>
      <w:proofErr w:type="gramEnd"/>
      <w:r>
        <w:t>, an unregulated benchmark with monopoly power is not appropriate because, '</w:t>
      </w:r>
      <w:r w:rsidRPr="00247802">
        <w:t>if the benchmark entity is an unregulated firm which has monopoly power, then it will be extracting economic rents</w:t>
      </w:r>
      <w:r>
        <w:t>'.</w:t>
      </w:r>
      <w:r>
        <w:rPr>
          <w:rStyle w:val="FootnoteReference"/>
        </w:rPr>
        <w:footnoteReference w:id="83"/>
      </w:r>
    </w:p>
    <w:p w:rsidR="008A6729" w:rsidRPr="00B575CE" w:rsidRDefault="008A6729" w:rsidP="008A6729">
      <w:pPr>
        <w:pStyle w:val="Heading3"/>
      </w:pPr>
      <w:bookmarkStart w:id="36" w:name="_Toc450922716"/>
      <w:bookmarkStart w:id="37" w:name="_Toc451938951"/>
      <w:bookmarkStart w:id="38" w:name="_Toc456686699"/>
      <w:r>
        <w:t>Return on debt factors in the rules</w:t>
      </w:r>
      <w:bookmarkEnd w:id="36"/>
      <w:bookmarkEnd w:id="37"/>
      <w:bookmarkEnd w:id="38"/>
    </w:p>
    <w:p w:rsidR="008A6729" w:rsidRPr="002F1CCA" w:rsidRDefault="008A6729" w:rsidP="008A6729">
      <w:pPr>
        <w:numPr>
          <w:ilvl w:val="0"/>
          <w:numId w:val="25"/>
        </w:numPr>
      </w:pPr>
      <w:r w:rsidRPr="002F1CCA">
        <w:t xml:space="preserve">The </w:t>
      </w:r>
      <w:r>
        <w:t xml:space="preserve">rules </w:t>
      </w:r>
      <w:r w:rsidRPr="002F1CCA">
        <w:t>require that we must have regard to the following factors in estimating the return on debt:</w:t>
      </w:r>
      <w:r w:rsidRPr="001437CB">
        <w:rPr>
          <w:rStyle w:val="AERsuperscript"/>
        </w:rPr>
        <w:footnoteReference w:id="84"/>
      </w:r>
    </w:p>
    <w:p w:rsidR="008A6729" w:rsidRPr="002F1CCA" w:rsidRDefault="008A6729" w:rsidP="008A6729">
      <w:pPr>
        <w:pStyle w:val="AERbulletlistfirststyle"/>
      </w:pPr>
      <w:r w:rsidRPr="002F1CCA">
        <w:t xml:space="preserve">The desirability of minimising any difference between the return on debt and the return on debt of a benchmark efficient entity referred to in the </w:t>
      </w:r>
      <w:r>
        <w:t>ARORO</w:t>
      </w:r>
      <w:r w:rsidRPr="002F1CCA">
        <w:t>.</w:t>
      </w:r>
      <w:r w:rsidRPr="001437CB">
        <w:rPr>
          <w:rStyle w:val="AERsuperscript"/>
        </w:rPr>
        <w:footnoteReference w:id="85"/>
      </w:r>
      <w:r w:rsidRPr="002F1CCA">
        <w:t xml:space="preserve"> We understand this factor to mean the difference between the return on debt allowance and the cost of debt a benchmark efficient entity would incur. For clarity, we do not consider this factor relates to minimising the difference between the return on debt allowance and the actual cost of debt incurred by an actual service provider. The actual cost of debt of an actual service provider is relevant only to the extent it reflects the cost of debt incurred by a benchmark efficient entity.</w:t>
      </w:r>
    </w:p>
    <w:p w:rsidR="008A6729" w:rsidRPr="002F1CCA" w:rsidRDefault="008A6729" w:rsidP="008A6729">
      <w:pPr>
        <w:pStyle w:val="AERbulletlistfirststyle"/>
      </w:pPr>
      <w:r w:rsidRPr="002F1CCA">
        <w:t>The interrelationship between the return on equity and the return on debt.</w:t>
      </w:r>
      <w:r w:rsidRPr="001437CB">
        <w:rPr>
          <w:rStyle w:val="AERsuperscript"/>
        </w:rPr>
        <w:footnoteReference w:id="86"/>
      </w:r>
    </w:p>
    <w:p w:rsidR="008A6729" w:rsidRPr="002F1CCA" w:rsidRDefault="008A6729" w:rsidP="008A6729">
      <w:pPr>
        <w:pStyle w:val="AERbulletlistfirststyle"/>
      </w:pPr>
      <w:r w:rsidRPr="002F1CCA">
        <w:t xml:space="preserve">The incentives that the return on debt may provide in relation to capital expenditure over the </w:t>
      </w:r>
      <w:r>
        <w:t>regulatory control</w:t>
      </w:r>
      <w:r w:rsidRPr="002F1CCA">
        <w:t xml:space="preserve"> period, including as to the timing of any capital expenditure.</w:t>
      </w:r>
      <w:r w:rsidRPr="001437CB">
        <w:rPr>
          <w:rStyle w:val="AERsuperscript"/>
        </w:rPr>
        <w:footnoteReference w:id="87"/>
      </w:r>
    </w:p>
    <w:p w:rsidR="008A6729" w:rsidRPr="002F1CCA" w:rsidRDefault="008A6729" w:rsidP="008A6729">
      <w:pPr>
        <w:pStyle w:val="AERbulletlistfirststyle"/>
      </w:pPr>
      <w:r w:rsidRPr="002F1CCA">
        <w:t xml:space="preserve">Any impacts (including in relation to the costs of servicing debt across </w:t>
      </w:r>
      <w:r>
        <w:t>regulatory control</w:t>
      </w:r>
      <w:r w:rsidRPr="002F1CCA">
        <w:t xml:space="preserve"> periods) on a benchmark efficient entity referred to in the </w:t>
      </w:r>
      <w:r>
        <w:t>ARORO</w:t>
      </w:r>
      <w:r w:rsidRPr="002F1CCA">
        <w:t xml:space="preserve"> that could arise as a result of changing the methodology that is used to estimate the return on debt from one </w:t>
      </w:r>
      <w:r>
        <w:t>regulatory</w:t>
      </w:r>
      <w:r w:rsidRPr="0091529E">
        <w:t xml:space="preserve"> </w:t>
      </w:r>
      <w:r>
        <w:t>control</w:t>
      </w:r>
      <w:r w:rsidRPr="002F1CCA">
        <w:t xml:space="preserve"> period to the next.</w:t>
      </w:r>
      <w:r w:rsidRPr="001437CB">
        <w:rPr>
          <w:rStyle w:val="AERsuperscript"/>
        </w:rPr>
        <w:footnoteReference w:id="88"/>
      </w:r>
    </w:p>
    <w:p w:rsidR="008A6729" w:rsidRDefault="008A6729" w:rsidP="008A6729">
      <w:pPr>
        <w:rPr>
          <w:rStyle w:val="AERbody"/>
        </w:rPr>
      </w:pPr>
      <w:r>
        <w:t>Of these factors above, the latter</w:t>
      </w:r>
      <w:r w:rsidRPr="002F1CCA">
        <w:t xml:space="preserve"> is particularly relevant</w:t>
      </w:r>
      <w:r>
        <w:t>. This is</w:t>
      </w:r>
      <w:r w:rsidRPr="002F1CCA">
        <w:t xml:space="preserve"> </w:t>
      </w:r>
      <w:r>
        <w:t>because</w:t>
      </w:r>
      <w:r w:rsidRPr="002F1CCA">
        <w:t xml:space="preserve"> </w:t>
      </w:r>
      <w:r>
        <w:t>the</w:t>
      </w:r>
      <w:r w:rsidRPr="002F1CCA">
        <w:t xml:space="preserve"> method</w:t>
      </w:r>
      <w:r>
        <w:t>ology for estimating the return on debt</w:t>
      </w:r>
      <w:r w:rsidRPr="002F1CCA">
        <w:t xml:space="preserve"> </w:t>
      </w:r>
      <w:r>
        <w:t>in this decision is</w:t>
      </w:r>
      <w:r w:rsidRPr="002F1CCA">
        <w:t xml:space="preserve"> a change from the method</w:t>
      </w:r>
      <w:r>
        <w:t>ology</w:t>
      </w:r>
      <w:r w:rsidRPr="002F1CCA">
        <w:t xml:space="preserve"> used in the previous </w:t>
      </w:r>
      <w:r>
        <w:t xml:space="preserve">regulatory control </w:t>
      </w:r>
      <w:r w:rsidRPr="002F1CCA">
        <w:t>period.</w:t>
      </w:r>
      <w:r w:rsidRPr="001437CB">
        <w:rPr>
          <w:rStyle w:val="AERsuperscript"/>
        </w:rPr>
        <w:footnoteReference w:id="89"/>
      </w:r>
      <w:r w:rsidRPr="001437CB">
        <w:rPr>
          <w:rStyle w:val="AERsuperscript"/>
        </w:rPr>
        <w:t xml:space="preserve"> </w:t>
      </w:r>
      <w:r w:rsidRPr="00FA6A21">
        <w:rPr>
          <w:rStyle w:val="AERbody"/>
        </w:rPr>
        <w:t xml:space="preserve"> </w:t>
      </w:r>
    </w:p>
    <w:p w:rsidR="008A6729" w:rsidRDefault="008A6729" w:rsidP="008A6729">
      <w:pPr>
        <w:rPr>
          <w:rStyle w:val="AERbody"/>
        </w:rPr>
      </w:pPr>
      <w:r>
        <w:t>Our transition between the two methodologies is '</w:t>
      </w:r>
      <w:r w:rsidRPr="00FA6A21">
        <w:t>revenue neutral'</w:t>
      </w:r>
      <w:r>
        <w:t xml:space="preserve"> in a present value sense.</w:t>
      </w:r>
      <w:r w:rsidRPr="00FA6A21">
        <w:t xml:space="preserve"> </w:t>
      </w:r>
      <w:r>
        <w:t>It</w:t>
      </w:r>
      <w:r w:rsidRPr="00FA6A21">
        <w:t xml:space="preserve"> prevents </w:t>
      </w:r>
      <w:r>
        <w:t>'</w:t>
      </w:r>
      <w:r w:rsidRPr="00FA6A21">
        <w:t>wealth transfers</w:t>
      </w:r>
      <w:r>
        <w:t>'</w:t>
      </w:r>
      <w:r>
        <w:rPr>
          <w:rStyle w:val="FootnoteReference"/>
        </w:rPr>
        <w:footnoteReference w:id="90"/>
      </w:r>
      <w:r w:rsidRPr="00FA6A21">
        <w:t xml:space="preserve"> </w:t>
      </w:r>
      <w:r>
        <w:t xml:space="preserve">flowing between a benchmark entity and its consumers because of the change in methodology. </w:t>
      </w:r>
      <w:r>
        <w:rPr>
          <w:rStyle w:val="AERbody"/>
        </w:rPr>
        <w:t>This mitigates any impacts</w:t>
      </w:r>
      <w:r w:rsidRPr="00500629">
        <w:t xml:space="preserve"> </w:t>
      </w:r>
      <w:r w:rsidRPr="00500629">
        <w:rPr>
          <w:rStyle w:val="AERbody"/>
        </w:rPr>
        <w:t xml:space="preserve">on a benchmark efficient entity that could arise as a result </w:t>
      </w:r>
      <w:r w:rsidRPr="002F1CCA">
        <w:t xml:space="preserve">of changing the methodology that is used to estimate the return on debt from one </w:t>
      </w:r>
      <w:r>
        <w:t>regulatory</w:t>
      </w:r>
      <w:r w:rsidRPr="002F1CCA">
        <w:t xml:space="preserve"> </w:t>
      </w:r>
      <w:r>
        <w:t xml:space="preserve">control </w:t>
      </w:r>
      <w:r w:rsidRPr="002F1CCA">
        <w:t>period to the next</w:t>
      </w:r>
      <w:r>
        <w:rPr>
          <w:rStyle w:val="AERbody"/>
        </w:rPr>
        <w:t xml:space="preserve">. </w:t>
      </w:r>
    </w:p>
    <w:p w:rsidR="008A6729" w:rsidRDefault="008A6729" w:rsidP="008A6729">
      <w:r>
        <w:t xml:space="preserve">If we change our </w:t>
      </w:r>
      <w:r w:rsidRPr="002F1CCA">
        <w:t>method</w:t>
      </w:r>
      <w:r>
        <w:t xml:space="preserve"> for estimating the return on debt without a transition, this would</w:t>
      </w:r>
      <w:r w:rsidRPr="00241758">
        <w:t xml:space="preserve"> change the allowed return on capital cash flows</w:t>
      </w:r>
      <w:r>
        <w:t xml:space="preserve"> relative to a continuation of the current (on-the-day) approach. This would</w:t>
      </w:r>
      <w:r w:rsidRPr="00241758">
        <w:t xml:space="preserve"> change the </w:t>
      </w:r>
      <w:r>
        <w:t xml:space="preserve">present </w:t>
      </w:r>
      <w:r w:rsidRPr="00241758">
        <w:t>value of a benchmark efficient entity (which is based on the present value of these expected future cash flows)</w:t>
      </w:r>
      <w:r>
        <w:t>, and this change would only arise due to a change in methodology. Changing the</w:t>
      </w:r>
      <w:r w:rsidRPr="00FA6A21">
        <w:t xml:space="preserve"> value of a benchmark efficient entity</w:t>
      </w:r>
      <w:r>
        <w:t xml:space="preserve"> would only contribute to the achievement of the ARORO if it would be under- or over-valued under the continuation of the current (on-the-day) methodology. There is no evidence before us to indicate the on-the-day approach would have, or would continue to, under- or over-value a benchmark efficient entity. Rather, we consider the on-the-day approach contributes to the achievement of the ARORO. This means it would not have, nor would it continue to, under- or over-value a benchmark efficient entity. On this basis, we consider any transition must be revenue neutral relative to the continuation of the on-the-day methodology. </w:t>
      </w:r>
    </w:p>
    <w:p w:rsidR="008A6729" w:rsidRPr="008D480D" w:rsidRDefault="008A6729" w:rsidP="008A6729">
      <w:r>
        <w:t xml:space="preserve">Further, the rules require that </w:t>
      </w:r>
      <w:r w:rsidRPr="002F1CCA">
        <w:t>if the return on debt method</w:t>
      </w:r>
      <w:r>
        <w:t>ology</w:t>
      </w:r>
      <w:r w:rsidRPr="002F1CCA">
        <w:t xml:space="preserve"> results in an estimate that is, or could be, different for different regulatory years, then the resulting change to the service provider’s total revenue must be </w:t>
      </w:r>
      <w:proofErr w:type="gramStart"/>
      <w:r w:rsidRPr="002F1CCA">
        <w:t>effected</w:t>
      </w:r>
      <w:proofErr w:type="gramEnd"/>
      <w:r w:rsidRPr="002F1CCA">
        <w:t xml:space="preserve"> through the automatic application of a formula that is specified in the decision </w:t>
      </w:r>
      <w:r>
        <w:t>for that regulatory</w:t>
      </w:r>
      <w:r w:rsidRPr="0091529E">
        <w:t xml:space="preserve"> </w:t>
      </w:r>
      <w:r>
        <w:t>control period</w:t>
      </w:r>
      <w:r w:rsidRPr="002F1CCA">
        <w:t>.</w:t>
      </w:r>
      <w:r w:rsidRPr="002F1CCA">
        <w:rPr>
          <w:rStyle w:val="AERsuperscript"/>
        </w:rPr>
        <w:footnoteReference w:id="91"/>
      </w:r>
      <w:r>
        <w:t xml:space="preserve"> We address this in our section on debt implementation.</w:t>
      </w:r>
    </w:p>
    <w:p w:rsidR="008A6729" w:rsidRPr="00B575CE" w:rsidRDefault="008A6729" w:rsidP="008A6729">
      <w:pPr>
        <w:pStyle w:val="Heading3"/>
      </w:pPr>
      <w:bookmarkStart w:id="39" w:name="_Toc450922717"/>
      <w:bookmarkStart w:id="40" w:name="_Toc451938952"/>
      <w:bookmarkStart w:id="41" w:name="_Toc456686700"/>
      <w:r>
        <w:t>R</w:t>
      </w:r>
      <w:r w:rsidRPr="00B575CE">
        <w:t>ate of return Guideline</w:t>
      </w:r>
      <w:bookmarkEnd w:id="39"/>
      <w:bookmarkEnd w:id="40"/>
      <w:bookmarkEnd w:id="41"/>
    </w:p>
    <w:p w:rsidR="008A6729" w:rsidRDefault="008A6729" w:rsidP="008A6729">
      <w:r w:rsidRPr="00762AAF">
        <w:t xml:space="preserve">This section sets out the </w:t>
      </w:r>
      <w:r>
        <w:t xml:space="preserve">role and </w:t>
      </w:r>
      <w:r w:rsidRPr="00762AAF">
        <w:t>key elements of the Guideline. The explanatory statement (and appendices) to the Guideline explain our proposed approach in detail which we adopt for this section.</w:t>
      </w:r>
      <w:r w:rsidRPr="00762AAF">
        <w:rPr>
          <w:rStyle w:val="FootnoteReference"/>
        </w:rPr>
        <w:footnoteReference w:id="92"/>
      </w:r>
    </w:p>
    <w:p w:rsidR="008A6729" w:rsidRDefault="008A6729" w:rsidP="008A6729">
      <w:pPr>
        <w:pStyle w:val="HeadingBoldBlue"/>
      </w:pPr>
      <w:bookmarkStart w:id="42" w:name="_Toc450922718"/>
      <w:r>
        <w:t>Role of the Guideline</w:t>
      </w:r>
      <w:bookmarkEnd w:id="42"/>
    </w:p>
    <w:p w:rsidR="008A6729" w:rsidRDefault="008A6729" w:rsidP="008A6729">
      <w:pPr>
        <w:numPr>
          <w:ilvl w:val="0"/>
          <w:numId w:val="25"/>
        </w:numPr>
      </w:pPr>
      <w:r>
        <w:t>Our task is to estimate an allowed rate of return that achieves the ARORO rather than to merely apply the Guideline. Nevertheless, the Guideline has a significant role because any decision to depart from the Guideline must be a reasoned decision.</w:t>
      </w:r>
      <w:r>
        <w:rPr>
          <w:rStyle w:val="FootnoteReference"/>
        </w:rPr>
        <w:footnoteReference w:id="93"/>
      </w:r>
      <w:r w:rsidRPr="00843112">
        <w:t xml:space="preserve"> </w:t>
      </w:r>
      <w:r>
        <w:t>Similarly, service providers</w:t>
      </w:r>
      <w:r w:rsidRPr="00762AAF">
        <w:t xml:space="preserve"> must provide reasons for any proposed departures from the Guideline.</w:t>
      </w:r>
      <w:r w:rsidRPr="00762AAF">
        <w:rPr>
          <w:rStyle w:val="FootnoteReference"/>
        </w:rPr>
        <w:footnoteReference w:id="94"/>
      </w:r>
      <w:r w:rsidRPr="00762AAF">
        <w:t xml:space="preserve"> </w:t>
      </w:r>
      <w:r>
        <w:t>In practice, we have considered submissions on the rate of return made during this determination process anew so that we are satisfied that our estimate of the rate of return achieves the ARORO. Where we receive no new material</w:t>
      </w:r>
      <w:r w:rsidRPr="00864612">
        <w:t xml:space="preserve"> </w:t>
      </w:r>
      <w:r>
        <w:t>or there is no reason to change our Guideline approach, we maintain our view and reasons set out in the Guideline.</w:t>
      </w:r>
    </w:p>
    <w:p w:rsidR="008A6729" w:rsidRDefault="008A6729" w:rsidP="008A6729">
      <w:pPr>
        <w:numPr>
          <w:ilvl w:val="0"/>
          <w:numId w:val="25"/>
        </w:numPr>
      </w:pPr>
      <w:r>
        <w:t>Further, whilst the legislative framework allows us to depart from the Guideline, we would not do so lightly. This is because departing from it may undermine the certainty and predictability that stakeholders have said they value.</w:t>
      </w:r>
      <w:r>
        <w:rPr>
          <w:rStyle w:val="FootnoteReference"/>
        </w:rPr>
        <w:footnoteReference w:id="95"/>
      </w:r>
      <w:r>
        <w:t xml:space="preserve"> However, we would depart from the Guideline if we are satisfied that doing so would result in an outcome that better achieves the ARORO. We consider our approach is consistent with the AEMC's view that, 'the regulator would, in practice, be expected to follow the guidelines unless there had been some genuine change in the evidence'.</w:t>
      </w:r>
      <w:r w:rsidRPr="00696EC1">
        <w:rPr>
          <w:rStyle w:val="FootnoteReference"/>
        </w:rPr>
        <w:footnoteReference w:id="96"/>
      </w:r>
    </w:p>
    <w:p w:rsidR="008A6729" w:rsidRPr="00762AAF" w:rsidRDefault="008A6729" w:rsidP="008A6729">
      <w:pPr>
        <w:numPr>
          <w:ilvl w:val="0"/>
          <w:numId w:val="25"/>
        </w:numPr>
      </w:pPr>
      <w:r>
        <w:t xml:space="preserve">Consistent with the rules, </w:t>
      </w:r>
      <w:r w:rsidRPr="00762AAF">
        <w:t>we published the Guideline</w:t>
      </w:r>
      <w:r>
        <w:t xml:space="preserve"> setting </w:t>
      </w:r>
      <w:r w:rsidRPr="00762AAF">
        <w:t xml:space="preserve">out the estimation methods, financial models, market data and other evidence that we propose to take into account in estimating the </w:t>
      </w:r>
      <w:r>
        <w:t>allowed</w:t>
      </w:r>
      <w:r w:rsidRPr="00762AAF">
        <w:t xml:space="preserve"> return on equity, </w:t>
      </w:r>
      <w:r>
        <w:t xml:space="preserve">allowed </w:t>
      </w:r>
      <w:r w:rsidRPr="00762AAF">
        <w:t>return on debt and the value of imputation tax credits.</w:t>
      </w:r>
      <w:r w:rsidRPr="00762AAF">
        <w:rPr>
          <w:rStyle w:val="FootnoteReference"/>
        </w:rPr>
        <w:footnoteReference w:id="97"/>
      </w:r>
      <w:r w:rsidRPr="00762AAF">
        <w:t xml:space="preserve"> </w:t>
      </w:r>
      <w:r>
        <w:t>The Guideline specifies</w:t>
      </w:r>
      <w:r w:rsidRPr="00762AAF">
        <w:t>:</w:t>
      </w:r>
      <w:r w:rsidRPr="00762AAF">
        <w:rPr>
          <w:rStyle w:val="FootnoteReference"/>
        </w:rPr>
        <w:footnoteReference w:id="98"/>
      </w:r>
    </w:p>
    <w:p w:rsidR="008A6729" w:rsidRPr="00762AAF" w:rsidRDefault="008A6729" w:rsidP="008A6729">
      <w:pPr>
        <w:pStyle w:val="AERbulletlistfirststyle"/>
      </w:pPr>
      <w:r>
        <w:t>t</w:t>
      </w:r>
      <w:r w:rsidRPr="00762AAF">
        <w:t xml:space="preserve">he methodologies we propose to use to estimate the allowed rate of return (derived from the </w:t>
      </w:r>
      <w:r>
        <w:t>allowed</w:t>
      </w:r>
      <w:r w:rsidRPr="00762AAF">
        <w:t xml:space="preserve"> return on equity and debt) for electricity and gas network businesses</w:t>
      </w:r>
    </w:p>
    <w:p w:rsidR="008A6729" w:rsidRPr="00762AAF" w:rsidRDefault="008A6729" w:rsidP="008A6729">
      <w:pPr>
        <w:pStyle w:val="AERbulletlistfirststyle"/>
      </w:pPr>
      <w:r>
        <w:t>t</w:t>
      </w:r>
      <w:r w:rsidRPr="00762AAF">
        <w:t>he method we propose to use to estimate the value of imputation tax credits used to establish a benchmark corporate income tax allowance (see attachment on the value of imputation credits)</w:t>
      </w:r>
    </w:p>
    <w:p w:rsidR="008A6729" w:rsidRDefault="008A6729" w:rsidP="008A6729">
      <w:pPr>
        <w:pStyle w:val="AERbulletlistfirststyle"/>
      </w:pPr>
      <w:proofErr w:type="gramStart"/>
      <w:r>
        <w:t>h</w:t>
      </w:r>
      <w:r w:rsidRPr="00762AAF">
        <w:t>ow</w:t>
      </w:r>
      <w:proofErr w:type="gramEnd"/>
      <w:r w:rsidRPr="00762AAF">
        <w:t xml:space="preserve"> these methods will result in an allowed return on equity and return on debt which we are satisfied achieves the </w:t>
      </w:r>
      <w:r>
        <w:t>ARORO</w:t>
      </w:r>
      <w:r w:rsidRPr="00762AAF">
        <w:t>.</w:t>
      </w:r>
    </w:p>
    <w:p w:rsidR="008A6729" w:rsidRDefault="008A6729" w:rsidP="008A6729">
      <w:pPr>
        <w:numPr>
          <w:ilvl w:val="0"/>
          <w:numId w:val="25"/>
        </w:numPr>
      </w:pPr>
      <w:r>
        <w:t>Due to this, the Guideline provides transparency</w:t>
      </w:r>
      <w:r w:rsidRPr="00BC229B">
        <w:t xml:space="preserve"> and predictability for service providers, users and investors as to how we consider changes in market circumstances and make decisions. At the same time, it allows sufficient flexibility for us to account for changing market conditions at the time of each regulatory determination or access arrangement.</w:t>
      </w:r>
      <w:r>
        <w:t xml:space="preserve"> </w:t>
      </w:r>
    </w:p>
    <w:p w:rsidR="008A6729" w:rsidRDefault="008A6729" w:rsidP="008A6729">
      <w:pPr>
        <w:numPr>
          <w:ilvl w:val="0"/>
          <w:numId w:val="25"/>
        </w:numPr>
      </w:pPr>
      <w:r>
        <w:t>In developing the Guideline, we also undertook an extensive consultation process that r</w:t>
      </w:r>
      <w:r w:rsidRPr="001559B4">
        <w:t>esulted in addressing the relevant issues.</w:t>
      </w:r>
      <w:r>
        <w:t xml:space="preserve"> We summarised this consultation process in several recent decisions.</w:t>
      </w:r>
      <w:r>
        <w:rPr>
          <w:rStyle w:val="FootnoteReference"/>
        </w:rPr>
        <w:footnoteReference w:id="99"/>
      </w:r>
      <w:r>
        <w:t xml:space="preserve"> Details of the Guideline development process are also on our website.</w:t>
      </w:r>
      <w:r>
        <w:rPr>
          <w:rStyle w:val="FootnoteReference"/>
        </w:rPr>
        <w:footnoteReference w:id="100"/>
      </w:r>
      <w:r>
        <w:t xml:space="preserve"> </w:t>
      </w:r>
    </w:p>
    <w:p w:rsidR="008A6729" w:rsidRDefault="008A6729" w:rsidP="008A6729">
      <w:pPr>
        <w:pStyle w:val="HeadingBoldBlue"/>
      </w:pPr>
      <w:bookmarkStart w:id="43" w:name="_Toc450922719"/>
      <w:r>
        <w:t>Key elements of the Guideline</w:t>
      </w:r>
      <w:bookmarkEnd w:id="43"/>
      <w:r>
        <w:t xml:space="preserve"> </w:t>
      </w:r>
    </w:p>
    <w:p w:rsidR="008A6729" w:rsidRDefault="008A6729" w:rsidP="008A6729">
      <w:pPr>
        <w:rPr>
          <w:rStyle w:val="AERbody"/>
        </w:rPr>
      </w:pPr>
      <w:r>
        <w:rPr>
          <w:rStyle w:val="AERbody"/>
        </w:rPr>
        <w:t>The Guideline provides transparency on how we propose to estimate key components of the allowed rate of return. We summarise these below.</w:t>
      </w:r>
    </w:p>
    <w:p w:rsidR="008A6729" w:rsidRPr="00762AAF" w:rsidRDefault="008A6729" w:rsidP="008A6729">
      <w:pPr>
        <w:pStyle w:val="HeadingBoldItalic"/>
      </w:pPr>
      <w:r w:rsidRPr="00762AAF">
        <w:t>Application of criteria for assessing information</w:t>
      </w:r>
    </w:p>
    <w:p w:rsidR="008A6729" w:rsidRPr="00762AAF" w:rsidRDefault="008A6729" w:rsidP="008A6729">
      <w:pPr>
        <w:numPr>
          <w:ilvl w:val="0"/>
          <w:numId w:val="25"/>
        </w:numPr>
      </w:pPr>
      <w:r w:rsidRPr="00762AAF">
        <w:t xml:space="preserve">We developed a number of criteria and applied these to inform our regulatory judgement when evaluating material put before us. The criteria are subordinate to the law, the rules and especially the </w:t>
      </w:r>
      <w:r>
        <w:t>ARORO</w:t>
      </w:r>
      <w:r w:rsidRPr="00762AAF">
        <w:t>. We developed them to provide stakeholders greater certainty</w:t>
      </w:r>
      <w:r>
        <w:t xml:space="preserve"> </w:t>
      </w:r>
      <w:r w:rsidRPr="00762AAF">
        <w:t>as to how we intend to exercise our regulatory judgement whilst keeping sufficient flexibility to make decisions consistent with changing market conditions.</w:t>
      </w:r>
      <w:r w:rsidRPr="00762AAF">
        <w:rPr>
          <w:rStyle w:val="FootnoteReference"/>
        </w:rPr>
        <w:footnoteReference w:id="101"/>
      </w:r>
      <w:r w:rsidRPr="00762AAF">
        <w:t xml:space="preserve"> </w:t>
      </w:r>
    </w:p>
    <w:p w:rsidR="008A6729" w:rsidRPr="00762AAF" w:rsidRDefault="008A6729" w:rsidP="008A6729">
      <w:pPr>
        <w:numPr>
          <w:ilvl w:val="0"/>
          <w:numId w:val="25"/>
        </w:numPr>
      </w:pPr>
      <w:r w:rsidRPr="00762AAF">
        <w:t>We proposed to apply assessment criteria to guide our selection and use of estimation methods, models, market data and other evidence which inform our assessment of the overall rate of return. Not all the various estimation methods, financial models, market data and other evidence (information) will be of equal value in determining the rate of return by reference to a benchmark efficient entity</w:t>
      </w:r>
      <w:r w:rsidRPr="00864612">
        <w:t xml:space="preserve"> </w:t>
      </w:r>
      <w:r>
        <w:t>with a similar degree of risk to the service provider in relation to the provision of its regulated services</w:t>
      </w:r>
      <w:r w:rsidRPr="00762AAF">
        <w:t xml:space="preserve">. For example, some information may be more relevant, more feasible to construct, or more reliable than others. We considered that our decisions on the rate of return are more likely to contribute to the achievement of the </w:t>
      </w:r>
      <w:r>
        <w:t>ARORO</w:t>
      </w:r>
      <w:r w:rsidRPr="00762AAF">
        <w:t xml:space="preserve"> because we use estimation methods, financial models, market data and other evidence that are:</w:t>
      </w:r>
    </w:p>
    <w:p w:rsidR="008A6729" w:rsidRPr="00762AAF" w:rsidRDefault="008A6729" w:rsidP="008A6729">
      <w:pPr>
        <w:numPr>
          <w:ilvl w:val="4"/>
          <w:numId w:val="25"/>
        </w:numPr>
      </w:pPr>
      <w:r w:rsidRPr="00762AAF">
        <w:t>where applicable, reflective of economic and finance principles and market information</w:t>
      </w:r>
    </w:p>
    <w:p w:rsidR="008A6729" w:rsidRPr="00762AAF" w:rsidRDefault="008A6729" w:rsidP="008A6729">
      <w:pPr>
        <w:numPr>
          <w:ilvl w:val="5"/>
          <w:numId w:val="25"/>
        </w:numPr>
      </w:pPr>
      <w:r w:rsidRPr="00762AAF">
        <w:t>estimation methods and financial models are consistent with well accepted economic and finance principles and informed by sound empirical analysis and robust data</w:t>
      </w:r>
    </w:p>
    <w:p w:rsidR="008A6729" w:rsidRPr="00762AAF" w:rsidRDefault="008A6729" w:rsidP="008A6729">
      <w:pPr>
        <w:numPr>
          <w:ilvl w:val="4"/>
          <w:numId w:val="25"/>
        </w:numPr>
      </w:pPr>
      <w:r w:rsidRPr="00762AAF">
        <w:t>fit for purpose</w:t>
      </w:r>
    </w:p>
    <w:p w:rsidR="008A6729" w:rsidRPr="00762AAF" w:rsidRDefault="008A6729" w:rsidP="008A6729">
      <w:pPr>
        <w:numPr>
          <w:ilvl w:val="5"/>
          <w:numId w:val="25"/>
        </w:numPr>
      </w:pPr>
      <w:r w:rsidRPr="00762AAF">
        <w:t xml:space="preserve">the use of estimation methods, financial models, market data and other evidence should be consistent with the original purpose for which it was compiled and have regard to the limitations of that purpose </w:t>
      </w:r>
    </w:p>
    <w:p w:rsidR="008A6729" w:rsidRPr="00762AAF" w:rsidRDefault="008A6729" w:rsidP="008A6729">
      <w:pPr>
        <w:numPr>
          <w:ilvl w:val="5"/>
          <w:numId w:val="25"/>
        </w:numPr>
      </w:pPr>
      <w:r w:rsidRPr="00762AAF">
        <w:t xml:space="preserve">promote simple over complex approaches where appropriate </w:t>
      </w:r>
    </w:p>
    <w:p w:rsidR="008A6729" w:rsidRPr="00762AAF" w:rsidRDefault="008A6729" w:rsidP="008A6729">
      <w:pPr>
        <w:numPr>
          <w:ilvl w:val="4"/>
          <w:numId w:val="25"/>
        </w:numPr>
      </w:pPr>
      <w:r w:rsidRPr="00762AAF">
        <w:t>implemented in accordance with good practice</w:t>
      </w:r>
    </w:p>
    <w:p w:rsidR="008A6729" w:rsidRPr="00762AAF" w:rsidRDefault="008A6729" w:rsidP="008A6729">
      <w:pPr>
        <w:numPr>
          <w:ilvl w:val="5"/>
          <w:numId w:val="25"/>
        </w:numPr>
      </w:pPr>
      <w:r w:rsidRPr="00762AAF">
        <w:t>supported by robust, transparent and replicable analysis that is derived from available credible datasets</w:t>
      </w:r>
    </w:p>
    <w:p w:rsidR="008A6729" w:rsidRPr="00762AAF" w:rsidRDefault="008A6729" w:rsidP="008A6729">
      <w:pPr>
        <w:numPr>
          <w:ilvl w:val="4"/>
          <w:numId w:val="25"/>
        </w:numPr>
      </w:pPr>
      <w:r w:rsidRPr="00762AAF">
        <w:t>where models of the return on equity and debt are used these are</w:t>
      </w:r>
    </w:p>
    <w:p w:rsidR="008A6729" w:rsidRPr="00762AAF" w:rsidRDefault="008A6729" w:rsidP="008A6729">
      <w:pPr>
        <w:numPr>
          <w:ilvl w:val="5"/>
          <w:numId w:val="25"/>
        </w:numPr>
      </w:pPr>
      <w:r w:rsidRPr="00762AAF">
        <w:t>based on quantitative modelling that is sufficiently robust as to not be unduly sensitive to errors in inputs estimation</w:t>
      </w:r>
    </w:p>
    <w:p w:rsidR="008A6729" w:rsidRPr="00762AAF" w:rsidRDefault="008A6729" w:rsidP="008A6729">
      <w:pPr>
        <w:numPr>
          <w:ilvl w:val="5"/>
          <w:numId w:val="25"/>
        </w:numPr>
      </w:pPr>
      <w:r w:rsidRPr="00762AAF">
        <w:t>based on quantitative modelling which avoids arbitrary filtering or adjustment of data, which does not have a sound rationale</w:t>
      </w:r>
    </w:p>
    <w:p w:rsidR="008A6729" w:rsidRPr="00762AAF" w:rsidRDefault="008A6729" w:rsidP="008A6729">
      <w:pPr>
        <w:numPr>
          <w:ilvl w:val="4"/>
          <w:numId w:val="25"/>
        </w:numPr>
      </w:pPr>
      <w:r w:rsidRPr="00762AAF">
        <w:t>where market data and other information is used, this information is</w:t>
      </w:r>
    </w:p>
    <w:p w:rsidR="008A6729" w:rsidRPr="00762AAF" w:rsidRDefault="008A6729" w:rsidP="008A6729">
      <w:pPr>
        <w:numPr>
          <w:ilvl w:val="5"/>
          <w:numId w:val="25"/>
        </w:numPr>
      </w:pPr>
      <w:r w:rsidRPr="00762AAF">
        <w:t>credible and verifiable</w:t>
      </w:r>
    </w:p>
    <w:p w:rsidR="008A6729" w:rsidRPr="00762AAF" w:rsidRDefault="008A6729" w:rsidP="008A6729">
      <w:pPr>
        <w:numPr>
          <w:ilvl w:val="5"/>
          <w:numId w:val="25"/>
        </w:numPr>
      </w:pPr>
      <w:r w:rsidRPr="00762AAF">
        <w:t>comparable and timely</w:t>
      </w:r>
    </w:p>
    <w:p w:rsidR="008A6729" w:rsidRPr="00762AAF" w:rsidRDefault="008A6729" w:rsidP="008A6729">
      <w:pPr>
        <w:numPr>
          <w:ilvl w:val="5"/>
          <w:numId w:val="25"/>
        </w:numPr>
      </w:pPr>
      <w:r w:rsidRPr="00762AAF">
        <w:t>clearly sourced</w:t>
      </w:r>
    </w:p>
    <w:p w:rsidR="008A6729" w:rsidRPr="00762AAF" w:rsidRDefault="008A6729" w:rsidP="008A6729">
      <w:pPr>
        <w:numPr>
          <w:ilvl w:val="4"/>
          <w:numId w:val="25"/>
        </w:numPr>
      </w:pPr>
      <w:proofErr w:type="gramStart"/>
      <w:r w:rsidRPr="00762AAF">
        <w:t>sufficiently</w:t>
      </w:r>
      <w:proofErr w:type="gramEnd"/>
      <w:r w:rsidRPr="00762AAF">
        <w:t xml:space="preserve"> flexible as to allow changing market conditions and new information to be reflected in regulatory outcomes, as appropriate.</w:t>
      </w:r>
    </w:p>
    <w:p w:rsidR="008A6729" w:rsidRPr="00762AAF" w:rsidRDefault="008A6729" w:rsidP="008A6729">
      <w:r>
        <w:t>We applied t</w:t>
      </w:r>
      <w:r w:rsidRPr="00762AAF">
        <w:t>hese criteria in this decision to guide us in deciding on the merits of the material before us and the best place to employ the material (if at all).</w:t>
      </w:r>
    </w:p>
    <w:p w:rsidR="008A6729" w:rsidRPr="00762AAF" w:rsidRDefault="008A6729" w:rsidP="008A6729">
      <w:pPr>
        <w:pStyle w:val="HeadingBoldItalic"/>
      </w:pPr>
      <w:r w:rsidRPr="00762AAF">
        <w:t xml:space="preserve">Benchmark efficient entity </w:t>
      </w:r>
    </w:p>
    <w:p w:rsidR="008A6729" w:rsidRDefault="008A6729" w:rsidP="008A6729">
      <w:pPr>
        <w:numPr>
          <w:ilvl w:val="0"/>
          <w:numId w:val="25"/>
        </w:numPr>
      </w:pPr>
      <w:r>
        <w:t>We generally see</w:t>
      </w:r>
      <w:r w:rsidRPr="00762AAF">
        <w:t xml:space="preserve"> a benchmark efficient entity</w:t>
      </w:r>
      <w:r>
        <w:t xml:space="preserve"> with a similar degree of risk as that applying to the service provider in respect of the provision of </w:t>
      </w:r>
      <w:r w:rsidR="0042654C">
        <w:t>prescribed transmission</w:t>
      </w:r>
      <w:r>
        <w:t xml:space="preserve"> services  as being </w:t>
      </w:r>
      <w:r w:rsidRPr="00762AAF">
        <w:t>'a pure play, regulated energy network business operating within Australia'.</w:t>
      </w:r>
      <w:r>
        <w:t xml:space="preserve"> This includes the following components:</w:t>
      </w:r>
      <w:r w:rsidRPr="00762AAF">
        <w:rPr>
          <w:rStyle w:val="FootnoteReference"/>
        </w:rPr>
        <w:footnoteReference w:id="102"/>
      </w:r>
    </w:p>
    <w:p w:rsidR="008A6729" w:rsidRDefault="008A6729" w:rsidP="008A6729">
      <w:pPr>
        <w:pStyle w:val="AERbulletlistfirststyle"/>
      </w:pPr>
      <w:r>
        <w:t>Pure play:</w:t>
      </w:r>
      <w:r w:rsidRPr="006E696E">
        <w:t xml:space="preserve"> </w:t>
      </w:r>
      <w:r>
        <w:t>An entity that o</w:t>
      </w:r>
      <w:r w:rsidRPr="00762AAF">
        <w:t xml:space="preserve">ffers services focused in one industry or product area. In this context, </w:t>
      </w:r>
      <w:r>
        <w:t>the industry is</w:t>
      </w:r>
      <w:r w:rsidRPr="00762AAF">
        <w:t xml:space="preserve"> energy network services</w:t>
      </w:r>
      <w:r w:rsidRPr="00864612">
        <w:t xml:space="preserve"> </w:t>
      </w:r>
      <w:r>
        <w:t>and, in particular the services are regulated energy network services</w:t>
      </w:r>
      <w:r w:rsidRPr="00762AAF">
        <w:t>.</w:t>
      </w:r>
    </w:p>
    <w:p w:rsidR="008A6729" w:rsidRDefault="008A6729" w:rsidP="008A6729">
      <w:pPr>
        <w:pStyle w:val="AERbulletlistfirststyle"/>
      </w:pPr>
      <w:r>
        <w:t>Regulated:</w:t>
      </w:r>
      <w:r w:rsidRPr="006E696E">
        <w:t xml:space="preserve"> </w:t>
      </w:r>
      <w:r>
        <w:t>An entity</w:t>
      </w:r>
      <w:r w:rsidRPr="00762AAF">
        <w:t xml:space="preserve"> is subject to economic regulation (that is, revenue </w:t>
      </w:r>
      <w:r>
        <w:t xml:space="preserve">or </w:t>
      </w:r>
      <w:r w:rsidRPr="00762AAF">
        <w:t xml:space="preserve">price cap regulation) </w:t>
      </w:r>
      <w:r>
        <w:t>that makes it comparable for the purposes of assessing risk in the provision of regulated services. Comparable risk is an important component of the ARORO.</w:t>
      </w:r>
    </w:p>
    <w:p w:rsidR="008A6729" w:rsidRPr="00762AAF" w:rsidRDefault="008A6729" w:rsidP="008A6729">
      <w:pPr>
        <w:pStyle w:val="AERbulletlistfirststyle"/>
      </w:pPr>
      <w:r>
        <w:t>Energy network business:</w:t>
      </w:r>
      <w:r w:rsidRPr="006E696E">
        <w:t xml:space="preserve"> </w:t>
      </w:r>
      <w:r w:rsidRPr="00762AAF">
        <w:t>Energy network refers to a gas distribution, gas transmission, electricity distribution or electricity transmission business.</w:t>
      </w:r>
    </w:p>
    <w:p w:rsidR="008A6729" w:rsidRPr="006E696E" w:rsidRDefault="008A6729" w:rsidP="008A6729">
      <w:pPr>
        <w:pStyle w:val="AERbulletlistfirststyle"/>
      </w:pPr>
      <w:r>
        <w:t>Operating in Australia:</w:t>
      </w:r>
      <w:r w:rsidRPr="006E696E">
        <w:t xml:space="preserve"> </w:t>
      </w:r>
      <w:r>
        <w:t xml:space="preserve">An </w:t>
      </w:r>
      <w:r w:rsidRPr="006E696E">
        <w:t>entity operating within Australia as the location of a business determines the conditions under which the business operates. This includes the regulatory regime, tax laws, industry structure and broader economic environment</w:t>
      </w:r>
      <w:r>
        <w:t>.</w:t>
      </w:r>
    </w:p>
    <w:p w:rsidR="008A6729" w:rsidRPr="00762AAF" w:rsidRDefault="008A6729" w:rsidP="008A6729">
      <w:pPr>
        <w:pStyle w:val="HeadingBoldItalic"/>
      </w:pPr>
      <w:r w:rsidRPr="00762AAF">
        <w:t>Gearing</w:t>
      </w:r>
    </w:p>
    <w:p w:rsidR="008A6729" w:rsidRPr="00762AAF" w:rsidRDefault="008A6729" w:rsidP="008A6729">
      <w:pPr>
        <w:numPr>
          <w:ilvl w:val="0"/>
          <w:numId w:val="25"/>
        </w:numPr>
      </w:pPr>
      <w:r>
        <w:t>We base t</w:t>
      </w:r>
      <w:r w:rsidRPr="00762AAF">
        <w:t xml:space="preserve">he weight </w:t>
      </w:r>
      <w:r>
        <w:t>to</w:t>
      </w:r>
      <w:r w:rsidRPr="00762AAF">
        <w:t xml:space="preserve"> give to the point estimates of the return on equity and the return on debt to derive the overall rate of return </w:t>
      </w:r>
      <w:r>
        <w:t>on</w:t>
      </w:r>
      <w:r w:rsidRPr="00762AAF">
        <w:t xml:space="preserve"> our gearing ratio point estimate of 60 per cent. We give 60 per cent weight to debt and 40 per cent to equity.</w:t>
      </w:r>
      <w:r w:rsidRPr="00762AAF">
        <w:rPr>
          <w:rStyle w:val="FootnoteReference"/>
        </w:rPr>
        <w:footnoteReference w:id="103"/>
      </w:r>
    </w:p>
    <w:p w:rsidR="008A6729" w:rsidRPr="00762AAF" w:rsidRDefault="008A6729" w:rsidP="008A6729">
      <w:pPr>
        <w:pStyle w:val="HeadingBoldItalic"/>
      </w:pPr>
      <w:r w:rsidRPr="00762AAF">
        <w:t>Return on equity</w:t>
      </w:r>
    </w:p>
    <w:p w:rsidR="008A6729" w:rsidRPr="00762AAF" w:rsidRDefault="008A6729" w:rsidP="008A6729">
      <w:pPr>
        <w:numPr>
          <w:ilvl w:val="0"/>
          <w:numId w:val="25"/>
        </w:numPr>
      </w:pPr>
      <w:r w:rsidRPr="00762AAF">
        <w:t xml:space="preserve">We proposed to estimate the </w:t>
      </w:r>
      <w:r>
        <w:t>allowed</w:t>
      </w:r>
      <w:r w:rsidRPr="00762AAF">
        <w:t xml:space="preserve"> return on equity using the six steps set out in the flow chart in</w:t>
      </w:r>
      <w:r>
        <w:t xml:space="preserve"> </w:t>
      </w:r>
      <w:r>
        <w:fldChar w:fldCharType="begin"/>
      </w:r>
      <w:r>
        <w:instrText xml:space="preserve"> REF  _Ref451351195 \* Lower \h </w:instrText>
      </w:r>
      <w:r>
        <w:fldChar w:fldCharType="separate"/>
      </w:r>
      <w:r w:rsidR="003F1AAB" w:rsidRPr="00762AAF">
        <w:t xml:space="preserve">figure </w:t>
      </w:r>
      <w:r w:rsidR="003F1AAB">
        <w:rPr>
          <w:noProof/>
        </w:rPr>
        <w:t>3</w:t>
      </w:r>
      <w:r w:rsidR="003F1AAB">
        <w:noBreakHyphen/>
      </w:r>
      <w:r w:rsidR="003F1AAB">
        <w:rPr>
          <w:noProof/>
        </w:rPr>
        <w:t>2</w:t>
      </w:r>
      <w:r>
        <w:fldChar w:fldCharType="end"/>
      </w:r>
      <w:r>
        <w:t>. For t</w:t>
      </w:r>
      <w:r w:rsidRPr="00762AAF">
        <w:t xml:space="preserve">he reasons for adopting </w:t>
      </w:r>
      <w:r>
        <w:t xml:space="preserve">this process, see </w:t>
      </w:r>
      <w:r w:rsidRPr="00762AAF">
        <w:t>the documents and submissions considered during the different stages of developing the Guideline. These include our issues</w:t>
      </w:r>
      <w:r>
        <w:t xml:space="preserve"> paper and consultation paper</w:t>
      </w:r>
      <w:r w:rsidRPr="00762AAF">
        <w:t xml:space="preserve"> and draft and final explanatory statements</w:t>
      </w:r>
      <w:r>
        <w:t xml:space="preserve"> to the Guideline</w:t>
      </w:r>
      <w:r w:rsidRPr="00762AAF">
        <w:t>.</w:t>
      </w:r>
      <w:r w:rsidRPr="00762AAF">
        <w:rPr>
          <w:rStyle w:val="FootnoteReference"/>
        </w:rPr>
        <w:footnoteReference w:id="104"/>
      </w:r>
    </w:p>
    <w:p w:rsidR="008A6729" w:rsidRPr="00762AAF" w:rsidRDefault="008A6729" w:rsidP="008A6729">
      <w:pPr>
        <w:pStyle w:val="Caption"/>
      </w:pPr>
      <w:bookmarkStart w:id="44" w:name="_Ref451351195"/>
      <w:r w:rsidRPr="00762AAF">
        <w:t xml:space="preserve">Figure </w:t>
      </w:r>
      <w:fldSimple w:instr=" STYLEREF 1 \s ">
        <w:r w:rsidR="003F1AAB">
          <w:rPr>
            <w:noProof/>
          </w:rPr>
          <w:t>3</w:t>
        </w:r>
      </w:fldSimple>
      <w:r w:rsidR="00E4520A">
        <w:noBreakHyphen/>
      </w:r>
      <w:fldSimple w:instr=" SEQ Figure \* ARABIC \s 1 ">
        <w:r w:rsidR="003F1AAB">
          <w:rPr>
            <w:noProof/>
          </w:rPr>
          <w:t>2</w:t>
        </w:r>
      </w:fldSimple>
      <w:bookmarkEnd w:id="44"/>
      <w:r w:rsidRPr="00762AAF">
        <w:tab/>
        <w:t xml:space="preserve">Flowchart of the AER’s proposed approach to estimating the </w:t>
      </w:r>
      <w:r>
        <w:t>allowed</w:t>
      </w:r>
      <w:r w:rsidRPr="00762AAF">
        <w:t xml:space="preserve"> return on equity</w:t>
      </w:r>
    </w:p>
    <w:p w:rsidR="008A6729" w:rsidRPr="00762AAF" w:rsidRDefault="008A6729" w:rsidP="008A6729">
      <w:pPr>
        <w:numPr>
          <w:ilvl w:val="0"/>
          <w:numId w:val="25"/>
        </w:numPr>
      </w:pPr>
      <w:r w:rsidRPr="008A6729">
        <w:rPr>
          <w:noProof/>
          <w:lang w:eastAsia="en-AU"/>
        </w:rPr>
        <w:drawing>
          <wp:inline distT="0" distB="0" distL="0" distR="0" wp14:anchorId="345E821B" wp14:editId="28B209C5">
            <wp:extent cx="5729739" cy="748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6">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8A6729" w:rsidRPr="00F06EAD" w:rsidRDefault="008A6729" w:rsidP="008A6729">
      <w:pPr>
        <w:rPr>
          <w:rStyle w:val="AERbody"/>
        </w:rPr>
      </w:pPr>
    </w:p>
    <w:p w:rsidR="008A6729" w:rsidRPr="00762AAF" w:rsidRDefault="008A6729" w:rsidP="008A6729"/>
    <w:p w:rsidR="008A6729" w:rsidRPr="00762AAF" w:rsidRDefault="008A6729" w:rsidP="008A6729">
      <w:pPr>
        <w:pStyle w:val="HeadingBoldItalic"/>
      </w:pPr>
      <w:r w:rsidRPr="00762AAF">
        <w:t>Return on debt</w:t>
      </w:r>
    </w:p>
    <w:p w:rsidR="008A6729" w:rsidRDefault="008A6729" w:rsidP="008A6729">
      <w:pPr>
        <w:pStyle w:val="ListParagraph"/>
        <w:numPr>
          <w:ilvl w:val="0"/>
          <w:numId w:val="25"/>
        </w:numPr>
      </w:pPr>
      <w:r>
        <w:t>We proposed to:</w:t>
      </w:r>
    </w:p>
    <w:p w:rsidR="008A6729" w:rsidRPr="00762AAF" w:rsidRDefault="008A6729" w:rsidP="008A6729">
      <w:pPr>
        <w:pStyle w:val="AERbulletlistfirststyle"/>
      </w:pPr>
      <w:r w:rsidRPr="00762AAF">
        <w:t>estimate a</w:t>
      </w:r>
      <w:r>
        <w:t xml:space="preserve"> return on debt using the</w:t>
      </w:r>
      <w:r w:rsidRPr="00762AAF">
        <w:t xml:space="preserve"> on-the-day </w:t>
      </w:r>
      <w:r>
        <w:t xml:space="preserve">approach </w:t>
      </w:r>
      <w:r w:rsidRPr="00762AAF">
        <w:t>(that is, based on prevailing market conditions</w:t>
      </w:r>
      <w:r>
        <w:t xml:space="preserve"> near the commencement of the regulatory control period</w:t>
      </w:r>
      <w:r w:rsidRPr="00762AAF">
        <w:t>) in</w:t>
      </w:r>
      <w:r>
        <w:t xml:space="preserve"> </w:t>
      </w:r>
      <w:r w:rsidR="00527DDF">
        <w:t>2017–18</w:t>
      </w:r>
      <w:r>
        <w:t>of the 201</w:t>
      </w:r>
      <w:r w:rsidR="009F1213">
        <w:t>7</w:t>
      </w:r>
      <w:r w:rsidRPr="00762AAF">
        <w:t>–2</w:t>
      </w:r>
      <w:r w:rsidR="009F1213">
        <w:t>2</w:t>
      </w:r>
      <w:r w:rsidRPr="00762AAF">
        <w:t xml:space="preserve"> </w:t>
      </w:r>
      <w:r>
        <w:t xml:space="preserve">regulatory control </w:t>
      </w:r>
      <w:r w:rsidRPr="00762AAF">
        <w:t>period, and</w:t>
      </w:r>
    </w:p>
    <w:p w:rsidR="008A6729" w:rsidRPr="00762AAF" w:rsidRDefault="008A6729" w:rsidP="008A6729">
      <w:pPr>
        <w:pStyle w:val="AERbulletlistfirststyle"/>
      </w:pPr>
      <w:proofErr w:type="gramStart"/>
      <w:r w:rsidRPr="00762AAF">
        <w:t>gradually</w:t>
      </w:r>
      <w:proofErr w:type="gramEnd"/>
      <w:r w:rsidRPr="00762AAF">
        <w:t xml:space="preserve"> transition this </w:t>
      </w:r>
      <w:r>
        <w:t xml:space="preserve">approach </w:t>
      </w:r>
      <w:r w:rsidRPr="00762AAF">
        <w:t>into a trailing average (that is, a moving historical average) over 10 years</w:t>
      </w:r>
      <w:r>
        <w:t xml:space="preserve"> by annually </w:t>
      </w:r>
      <w:r w:rsidRPr="00762AAF">
        <w:t xml:space="preserve">updating 10 per cent of the return on debt to reflect prevailing market conditions in that </w:t>
      </w:r>
      <w:r>
        <w:t>year</w:t>
      </w:r>
      <w:r w:rsidRPr="00762AAF">
        <w:t>.</w:t>
      </w:r>
      <w:r w:rsidRPr="00762AAF">
        <w:rPr>
          <w:rStyle w:val="FootnoteReference"/>
        </w:rPr>
        <w:footnoteReference w:id="105"/>
      </w:r>
    </w:p>
    <w:p w:rsidR="008A6729" w:rsidRPr="00762AAF" w:rsidRDefault="008A6729" w:rsidP="008A6729">
      <w:r>
        <w:t>We also proposed</w:t>
      </w:r>
      <w:r w:rsidRPr="00762AAF">
        <w:t xml:space="preserve"> to estimate the return on debt in each regulatory year by reference to:</w:t>
      </w:r>
    </w:p>
    <w:p w:rsidR="008A6729" w:rsidRPr="00762AAF" w:rsidRDefault="008A6729" w:rsidP="008A6729">
      <w:pPr>
        <w:pStyle w:val="AERbulletlistfirststyle"/>
      </w:pPr>
      <w:r w:rsidRPr="00762AAF">
        <w:t>a benchmark credit rating of BBB+</w:t>
      </w:r>
    </w:p>
    <w:p w:rsidR="008A6729" w:rsidRPr="00762AAF" w:rsidRDefault="008A6729" w:rsidP="008A6729">
      <w:pPr>
        <w:pStyle w:val="AERbulletlistfirststyle"/>
      </w:pPr>
      <w:r w:rsidRPr="00762AAF">
        <w:t>a benchmark term of debt of 10 years</w:t>
      </w:r>
    </w:p>
    <w:p w:rsidR="008A6729" w:rsidRPr="00762AAF" w:rsidRDefault="008A6729" w:rsidP="008A6729">
      <w:pPr>
        <w:pStyle w:val="AERbulletlistfirststyle"/>
      </w:pPr>
      <w:r w:rsidRPr="00762AAF">
        <w:t>independent third party data series—specifically, a simple average of the broad BBB rated debt data series published by the RBA and Bloomberg, adjusted to reflect a 10 year estimate and other adjustments</w:t>
      </w:r>
      <w:r>
        <w:rPr>
          <w:rStyle w:val="FootnoteReference"/>
        </w:rPr>
        <w:footnoteReference w:id="106"/>
      </w:r>
    </w:p>
    <w:p w:rsidR="008A6729" w:rsidRPr="00762AAF" w:rsidRDefault="008A6729" w:rsidP="008A6729">
      <w:pPr>
        <w:pStyle w:val="AERbulletlistfirststyle"/>
      </w:pPr>
      <w:r w:rsidRPr="00762AAF">
        <w:t xml:space="preserve">an averaging period for each regulatory year of between 10 business days and 12 months (nominated by the service provider), with that period being as close as practical to the start of each regulatory year and also consistent with other conditions that we </w:t>
      </w:r>
      <w:r>
        <w:t>proposed in the G</w:t>
      </w:r>
      <w:r w:rsidRPr="00762AAF">
        <w:t>uideline.</w:t>
      </w:r>
      <w:r w:rsidRPr="00762AAF">
        <w:rPr>
          <w:rStyle w:val="FootnoteReference"/>
        </w:rPr>
        <w:footnoteReference w:id="107"/>
      </w:r>
    </w:p>
    <w:p w:rsidR="008A6729" w:rsidRPr="00762AAF" w:rsidRDefault="008A6729" w:rsidP="008A6729">
      <w:pPr>
        <w:pStyle w:val="HeadingBoldItalic"/>
      </w:pPr>
      <w:r w:rsidRPr="00762AAF">
        <w:t>Mid period WACC adjustment</w:t>
      </w:r>
    </w:p>
    <w:p w:rsidR="008A6729" w:rsidRDefault="008A6729" w:rsidP="008A6729">
      <w:pPr>
        <w:numPr>
          <w:ilvl w:val="0"/>
          <w:numId w:val="25"/>
        </w:numPr>
      </w:pPr>
      <w:r w:rsidRPr="00762AAF">
        <w:t xml:space="preserve">We proposed </w:t>
      </w:r>
      <w:r>
        <w:t xml:space="preserve">to </w:t>
      </w:r>
      <w:r w:rsidRPr="00762AAF">
        <w:t>annually</w:t>
      </w:r>
      <w:r>
        <w:t xml:space="preserve"> update</w:t>
      </w:r>
      <w:r w:rsidRPr="00762AAF">
        <w:t xml:space="preserve"> </w:t>
      </w:r>
      <w:r>
        <w:t>the</w:t>
      </w:r>
      <w:r w:rsidRPr="00762AAF">
        <w:t xml:space="preserve"> overall rate of return estimate because</w:t>
      </w:r>
      <w:r>
        <w:t xml:space="preserve"> we are required to update</w:t>
      </w:r>
      <w:r w:rsidRPr="00762AAF">
        <w:t xml:space="preserve"> the return on debt annually.</w:t>
      </w:r>
      <w:r w:rsidRPr="00762AAF">
        <w:rPr>
          <w:rStyle w:val="FootnoteReference"/>
        </w:rPr>
        <w:footnoteReference w:id="108"/>
      </w:r>
      <w:r w:rsidRPr="00762AAF">
        <w:t xml:space="preserve"> We recently published amendments to the transmission and distribution post tax revenue model (PTRM) to enable </w:t>
      </w:r>
      <w:r>
        <w:t>applying annual updates</w:t>
      </w:r>
      <w:r w:rsidRPr="00762AAF">
        <w:t>.</w:t>
      </w:r>
      <w:r w:rsidRPr="00762AAF">
        <w:rPr>
          <w:rStyle w:val="FootnoteReference"/>
        </w:rPr>
        <w:footnoteReference w:id="109"/>
      </w:r>
    </w:p>
    <w:p w:rsidR="008A6729" w:rsidRPr="00B575CE" w:rsidRDefault="008A6729" w:rsidP="008A6729">
      <w:pPr>
        <w:pStyle w:val="Heading3"/>
      </w:pPr>
      <w:bookmarkStart w:id="45" w:name="_Toc450922720"/>
      <w:bookmarkStart w:id="46" w:name="_Toc451938953"/>
      <w:bookmarkStart w:id="47" w:name="_Toc456686701"/>
      <w:r>
        <w:t>Interrelationships</w:t>
      </w:r>
      <w:bookmarkEnd w:id="45"/>
      <w:bookmarkEnd w:id="46"/>
      <w:bookmarkEnd w:id="47"/>
    </w:p>
    <w:p w:rsidR="008A6729" w:rsidRPr="00785554" w:rsidRDefault="008A6729" w:rsidP="008A6729">
      <w:r w:rsidRPr="00E75E61">
        <w:t xml:space="preserve">In </w:t>
      </w:r>
      <w:r w:rsidRPr="00785554">
        <w:t>determining the allowed rate of return, we must have regard to any interrelationships between estimates of financial parameters that are relevant to the estimates of the return on equity and the return on debt.</w:t>
      </w:r>
      <w:r w:rsidRPr="00785554">
        <w:rPr>
          <w:rStyle w:val="FootnoteReference"/>
        </w:rPr>
        <w:footnoteReference w:id="110"/>
      </w:r>
      <w:r w:rsidRPr="00785554">
        <w:t xml:space="preserve"> In this section, we discuss the key interrelationships in our rate of return decision. The Guideline also describes these interrelationships in detail where we have had regard to them in developing our approach. The manner in which we consider these interrelationships is also set out as part of our reasoning and analysis in appendices to this attachment.</w:t>
      </w:r>
    </w:p>
    <w:p w:rsidR="008A6729" w:rsidRPr="00762AAF" w:rsidRDefault="008A6729" w:rsidP="008A6729">
      <w:pPr>
        <w:numPr>
          <w:ilvl w:val="0"/>
          <w:numId w:val="25"/>
        </w:numPr>
      </w:pPr>
      <w:r w:rsidRPr="00762AAF">
        <w:t>We estimate a rate of return for a benchmark efficient entity which is then applied to a specific service provider</w:t>
      </w:r>
      <w:r>
        <w:t>,</w:t>
      </w:r>
      <w:r w:rsidRPr="00762AAF">
        <w:t xml:space="preserve"> rather than determining the returns of a specific service provider based on </w:t>
      </w:r>
      <w:r>
        <w:t xml:space="preserve">all of </w:t>
      </w:r>
      <w:r w:rsidRPr="00762AAF">
        <w:t>its specific circumstances.</w:t>
      </w:r>
      <w:r w:rsidRPr="00762AAF">
        <w:rPr>
          <w:rStyle w:val="FootnoteReference"/>
        </w:rPr>
        <w:footnoteReference w:id="111"/>
      </w:r>
      <w:r w:rsidRPr="00762AAF">
        <w:t xml:space="preserve"> This is the same whether estimating the return on equity or return on debt as separate components. We set a rate of return that is commensurate with the efficient financing costs of a benchmark efficient entity with a similar degree of risk as the service provider in respect of the provision of </w:t>
      </w:r>
      <w:r w:rsidR="0042654C">
        <w:t>prescribed transmission</w:t>
      </w:r>
      <w:r w:rsidRPr="00762AAF">
        <w:t xml:space="preserve"> services. This provides a reasonable opportunity to recover at least </w:t>
      </w:r>
      <w:r>
        <w:t xml:space="preserve">the </w:t>
      </w:r>
      <w:r w:rsidRPr="00762AAF">
        <w:t>efficient</w:t>
      </w:r>
      <w:r>
        <w:t xml:space="preserve"> financing</w:t>
      </w:r>
      <w:r w:rsidRPr="00762AAF">
        <w:t xml:space="preserve"> costs</w:t>
      </w:r>
      <w:r>
        <w:t xml:space="preserve"> of providing those services</w:t>
      </w:r>
      <w:r w:rsidRPr="00762AAF">
        <w:t>.</w:t>
      </w:r>
      <w:r w:rsidRPr="00762AAF">
        <w:rPr>
          <w:rStyle w:val="FootnoteReference"/>
        </w:rPr>
        <w:footnoteReference w:id="112"/>
      </w:r>
      <w:r w:rsidRPr="00762AAF">
        <w:t xml:space="preserve"> The service providers' actual returns could </w:t>
      </w:r>
      <w:r>
        <w:t>differ from</w:t>
      </w:r>
      <w:r w:rsidRPr="00762AAF">
        <w:t xml:space="preserve"> th</w:t>
      </w:r>
      <w:r>
        <w:t>ose of a</w:t>
      </w:r>
      <w:r w:rsidRPr="00762AAF">
        <w:t xml:space="preserve"> benchmark</w:t>
      </w:r>
      <w:r>
        <w:t xml:space="preserve"> entity</w:t>
      </w:r>
      <w:r w:rsidRPr="00762AAF">
        <w:t xml:space="preserve"> depending on how efficiently it operates its business. This is consistent with incentive regulation. That is, our rate of return approach drives efficient outcomes by creating the correct incentive by </w:t>
      </w:r>
      <w:r>
        <w:t>requiring</w:t>
      </w:r>
      <w:r w:rsidRPr="00762AAF">
        <w:t xml:space="preserve"> service providers to retain (fund) any additional income (costs) by outperforming (underperforming) the efficient benchmark.</w:t>
      </w:r>
      <w:r w:rsidRPr="00762AAF">
        <w:rPr>
          <w:rStyle w:val="FootnoteReference"/>
        </w:rPr>
        <w:footnoteReference w:id="113"/>
      </w:r>
    </w:p>
    <w:p w:rsidR="008A6729" w:rsidRPr="00762AAF" w:rsidRDefault="008A6729" w:rsidP="008A6729">
      <w:pPr>
        <w:numPr>
          <w:ilvl w:val="0"/>
          <w:numId w:val="25"/>
        </w:numPr>
      </w:pPr>
      <w:r w:rsidRPr="00762AAF">
        <w:t>We apply a benchmark approach and an i</w:t>
      </w:r>
      <w:r>
        <w:t>ncentive regulatory framework. One should not view a</w:t>
      </w:r>
      <w:r w:rsidRPr="00762AAF">
        <w:t>ny component or relevant parameter adopted for estimating the rate of return in isolation. In developing our approach and implementing it to derive the overall rate of return we are cognisant of a number of interrelationships relating to the estimation of the return on equity and debt and underlying input parameters.</w:t>
      </w:r>
    </w:p>
    <w:p w:rsidR="008A6729" w:rsidRPr="00762AAF" w:rsidRDefault="008A6729" w:rsidP="008A6729">
      <w:pPr>
        <w:rPr>
          <w:rStyle w:val="Strong"/>
        </w:rPr>
      </w:pPr>
      <w:r>
        <w:rPr>
          <w:rStyle w:val="Strong"/>
        </w:rPr>
        <w:t>A</w:t>
      </w:r>
      <w:r w:rsidRPr="00762AAF">
        <w:rPr>
          <w:rStyle w:val="Strong"/>
        </w:rPr>
        <w:t xml:space="preserve"> benchmark </w:t>
      </w:r>
    </w:p>
    <w:p w:rsidR="008A6729" w:rsidRPr="00762AAF" w:rsidRDefault="008A6729" w:rsidP="008A6729">
      <w:pPr>
        <w:numPr>
          <w:ilvl w:val="0"/>
          <w:numId w:val="25"/>
        </w:numPr>
      </w:pPr>
      <w:r>
        <w:t>In the Guideline and for this decision, w</w:t>
      </w:r>
      <w:r w:rsidRPr="00762AAF">
        <w:t xml:space="preserve">e </w:t>
      </w:r>
      <w:r>
        <w:t xml:space="preserve">have </w:t>
      </w:r>
      <w:r w:rsidRPr="00762AAF">
        <w:t>adopt</w:t>
      </w:r>
      <w:r>
        <w:t>ed</w:t>
      </w:r>
      <w:r w:rsidRPr="00762AAF">
        <w:t xml:space="preserve"> a </w:t>
      </w:r>
      <w:r>
        <w:t xml:space="preserve">hypothetical </w:t>
      </w:r>
      <w:r w:rsidRPr="00762AAF">
        <w:t xml:space="preserve">benchmark efficient entity </w:t>
      </w:r>
      <w:r>
        <w:t xml:space="preserve">that is common </w:t>
      </w:r>
      <w:r w:rsidRPr="00762AAF">
        <w:t xml:space="preserve">across all service providers. In deciding on a benchmark we considered </w:t>
      </w:r>
      <w:r>
        <w:t xml:space="preserve">the </w:t>
      </w:r>
      <w:r w:rsidRPr="00762AAF">
        <w:t>different types of risks and different risk drivers that may have the potential to lead to different risk exposures</w:t>
      </w:r>
      <w:r w:rsidRPr="00864612">
        <w:t xml:space="preserve"> </w:t>
      </w:r>
      <w:r>
        <w:t>for different businesses in the provision of their services</w:t>
      </w:r>
      <w:r w:rsidRPr="00762AAF">
        <w:t xml:space="preserve">. We also noted that the rate of return compensates investors only for non–diversifiable risks (systematic risks) </w:t>
      </w:r>
      <w:r>
        <w:t>while</w:t>
      </w:r>
      <w:r w:rsidRPr="00762AAF">
        <w:t xml:space="preserve"> other types of risks are compensated via cash flows and some may not be compensated at all.</w:t>
      </w:r>
      <w:r w:rsidRPr="00762AAF">
        <w:rPr>
          <w:rStyle w:val="FootnoteReference"/>
        </w:rPr>
        <w:footnoteReference w:id="114"/>
      </w:r>
      <w:r w:rsidRPr="00762AAF">
        <w:t xml:space="preserve"> These interrelationships between the types of risk and the required compensation via the rate of return are an important factor.</w:t>
      </w:r>
      <w:r w:rsidRPr="00762AAF">
        <w:rPr>
          <w:rStyle w:val="FootnoteReference"/>
        </w:rPr>
        <w:footnoteReference w:id="115"/>
      </w:r>
      <w:r w:rsidRPr="00762AAF">
        <w:t xml:space="preserve"> </w:t>
      </w:r>
      <w:r>
        <w:t>After careful analysis, our</w:t>
      </w:r>
      <w:r w:rsidRPr="00762AAF">
        <w:t xml:space="preserve"> view is that </w:t>
      </w:r>
      <w:r>
        <w:t>a benchmark eff</w:t>
      </w:r>
      <w:r w:rsidRPr="00762AAF">
        <w:t xml:space="preserve">icient entity would face a similar degree of risk </w:t>
      </w:r>
      <w:r>
        <w:t>to each of the service providers</w:t>
      </w:r>
      <w:r w:rsidRPr="00762AAF">
        <w:t xml:space="preserve"> irrespective of the: </w:t>
      </w:r>
    </w:p>
    <w:p w:rsidR="008A6729" w:rsidRPr="00762AAF" w:rsidRDefault="008A6729" w:rsidP="008A6729">
      <w:pPr>
        <w:pStyle w:val="AERbulletlistfirststyle"/>
      </w:pPr>
      <w:r w:rsidRPr="00762AAF">
        <w:t>energy type (gas or electricity)</w:t>
      </w:r>
    </w:p>
    <w:p w:rsidR="008A6729" w:rsidRPr="00762AAF" w:rsidRDefault="008A6729" w:rsidP="008A6729">
      <w:pPr>
        <w:pStyle w:val="AERbulletlistfirststyle"/>
      </w:pPr>
      <w:r w:rsidRPr="00762AAF">
        <w:t>network type (distribution or transmission)</w:t>
      </w:r>
    </w:p>
    <w:p w:rsidR="008A6729" w:rsidRPr="00762AAF" w:rsidRDefault="008A6729" w:rsidP="008A6729">
      <w:pPr>
        <w:pStyle w:val="AERbulletlistfirststyle"/>
      </w:pPr>
      <w:r w:rsidRPr="00762AAF">
        <w:t>ownership type (government or private)</w:t>
      </w:r>
    </w:p>
    <w:p w:rsidR="008A6729" w:rsidRPr="00762AAF" w:rsidRDefault="008A6729" w:rsidP="008A6729">
      <w:pPr>
        <w:pStyle w:val="AERbulletlistfirststyle"/>
      </w:pPr>
      <w:proofErr w:type="gramStart"/>
      <w:r w:rsidRPr="00762AAF">
        <w:t>size</w:t>
      </w:r>
      <w:proofErr w:type="gramEnd"/>
      <w:r w:rsidRPr="00762AAF">
        <w:t xml:space="preserve"> of the service provider (big or small).</w:t>
      </w:r>
    </w:p>
    <w:p w:rsidR="008A6729" w:rsidRPr="00762AAF" w:rsidRDefault="008A6729" w:rsidP="008A6729">
      <w:pPr>
        <w:numPr>
          <w:ilvl w:val="0"/>
          <w:numId w:val="25"/>
        </w:numPr>
        <w:rPr>
          <w:rStyle w:val="Strong"/>
        </w:rPr>
      </w:pPr>
      <w:r w:rsidRPr="00762AAF">
        <w:rPr>
          <w:rStyle w:val="Strong"/>
        </w:rPr>
        <w:t>Domestic market</w:t>
      </w:r>
    </w:p>
    <w:p w:rsidR="008A6729" w:rsidRPr="00762AAF" w:rsidRDefault="008A6729" w:rsidP="008A6729">
      <w:pPr>
        <w:numPr>
          <w:ilvl w:val="0"/>
          <w:numId w:val="25"/>
        </w:numPr>
      </w:pPr>
      <w:r w:rsidRPr="00762AAF">
        <w:t xml:space="preserve">We </w:t>
      </w:r>
      <w:r>
        <w:t>generally consider that</w:t>
      </w:r>
      <w:r w:rsidRPr="00762AAF">
        <w:t xml:space="preserve"> the Australian market </w:t>
      </w:r>
      <w:r>
        <w:t>i</w:t>
      </w:r>
      <w:r w:rsidRPr="00762AAF">
        <w:t xml:space="preserve">s the market within which </w:t>
      </w:r>
      <w:r>
        <w:t>a benchmark eff</w:t>
      </w:r>
      <w:r w:rsidRPr="00762AAF">
        <w:t xml:space="preserve">icient entity </w:t>
      </w:r>
      <w:r>
        <w:t xml:space="preserve">would </w:t>
      </w:r>
      <w:r w:rsidRPr="00762AAF">
        <w:t>operate</w:t>
      </w:r>
      <w:r>
        <w:t xml:space="preserve"> to make it properly comparable in degree of risk to a service provider</w:t>
      </w:r>
      <w:r w:rsidRPr="00762AAF">
        <w:t>. This recognises that the location of a business determines the conditions under which the business operates and these include the regulatory regime, tax laws, industry structure and broader economic environment. As most of these conditions will be different from those prevailing for overseas entities, the risk profile of overseas entities is likely to differ from those within Australia. Consequently, the returns required are also likely to differ. Hence, when estimating input parameters for the S</w:t>
      </w:r>
      <w:r>
        <w:t>harpe-</w:t>
      </w:r>
      <w:r w:rsidRPr="00762AAF">
        <w:t>L</w:t>
      </w:r>
      <w:r>
        <w:t xml:space="preserve">intner </w:t>
      </w:r>
      <w:r w:rsidRPr="00762AAF">
        <w:t>CAPM we place most reliance on Australian market data whilst using overseas data informatively.</w:t>
      </w:r>
    </w:p>
    <w:p w:rsidR="008A6729" w:rsidRPr="00762AAF" w:rsidRDefault="008A6729" w:rsidP="008A6729">
      <w:pPr>
        <w:rPr>
          <w:rStyle w:val="Strong"/>
        </w:rPr>
      </w:pPr>
      <w:r w:rsidRPr="00762AAF">
        <w:rPr>
          <w:rStyle w:val="Strong"/>
        </w:rPr>
        <w:t>Benchmark gearing</w:t>
      </w:r>
    </w:p>
    <w:p w:rsidR="008A6729" w:rsidRPr="00762AAF" w:rsidRDefault="008A6729" w:rsidP="008A6729">
      <w:r w:rsidRPr="00762AAF">
        <w:t>We apply a benchmark efficient level of gearing of 60 per cent, as noted above. This benchmark gearing level is used:</w:t>
      </w:r>
    </w:p>
    <w:p w:rsidR="008A6729" w:rsidRPr="00762AAF" w:rsidRDefault="008A6729" w:rsidP="008A6729">
      <w:pPr>
        <w:pStyle w:val="AERbulletlistfirststyle"/>
      </w:pPr>
      <w:r w:rsidRPr="00762AAF">
        <w:t xml:space="preserve">to weight the </w:t>
      </w:r>
      <w:r>
        <w:t>allowed</w:t>
      </w:r>
      <w:r w:rsidRPr="00762AAF">
        <w:t xml:space="preserve"> return on debt and equity to derive the overall </w:t>
      </w:r>
      <w:r>
        <w:t xml:space="preserve">allowed </w:t>
      </w:r>
      <w:r w:rsidRPr="00762AAF">
        <w:t>rate of return using the WACC formula</w:t>
      </w:r>
    </w:p>
    <w:p w:rsidR="008A6729" w:rsidRPr="00762AAF" w:rsidRDefault="008A6729" w:rsidP="008A6729">
      <w:pPr>
        <w:pStyle w:val="AERbulletlistfirststyle"/>
      </w:pPr>
      <w:proofErr w:type="gramStart"/>
      <w:r w:rsidRPr="00762AAF">
        <w:t>to</w:t>
      </w:r>
      <w:proofErr w:type="gramEnd"/>
      <w:r w:rsidRPr="00762AAF">
        <w:t xml:space="preserve"> re-lever asset betas for the purposes of comparing the levels of systematic risk across businesses which is relevant for the equity beta estimate.</w:t>
      </w:r>
    </w:p>
    <w:p w:rsidR="008A6729" w:rsidRPr="00762AAF" w:rsidRDefault="008A6729" w:rsidP="008A6729">
      <w:r w:rsidRPr="00762AAF">
        <w:t>We adopt a benchmark credit rating which is BBB+ or its equivalent for the purposes of estimating the return on debt. To derive this benchmark rating and the gearing ratio, we reviewed a sample of regulated network</w:t>
      </w:r>
      <w:r>
        <w:t xml:space="preserve"> providers</w:t>
      </w:r>
      <w:r w:rsidRPr="00762AAF">
        <w:t xml:space="preserve">. Amongst a number of other factors, a regulated service provider's actual gearing levels have a direct relationship to its credit ratings. Hence, our findings on the benchmark gearing ratio of 60 per cent and the benchmark credit rating are interrelated given </w:t>
      </w:r>
      <w:r>
        <w:t>we derive</w:t>
      </w:r>
      <w:r w:rsidRPr="00762AAF">
        <w:t xml:space="preserve"> the underlying evidence from a sample of regulated network service providers.</w:t>
      </w:r>
      <w:r w:rsidRPr="00762AAF">
        <w:rPr>
          <w:rStyle w:val="FootnoteReference"/>
        </w:rPr>
        <w:footnoteReference w:id="116"/>
      </w:r>
    </w:p>
    <w:p w:rsidR="008A6729" w:rsidRPr="00762AAF" w:rsidRDefault="008A6729" w:rsidP="008A6729">
      <w:pPr>
        <w:rPr>
          <w:rStyle w:val="Strong"/>
        </w:rPr>
      </w:pPr>
      <w:r w:rsidRPr="00762AAF">
        <w:rPr>
          <w:rStyle w:val="Strong"/>
        </w:rPr>
        <w:t>Term of the rate of return</w:t>
      </w:r>
    </w:p>
    <w:p w:rsidR="008A6729" w:rsidRPr="00762AAF" w:rsidRDefault="008A6729" w:rsidP="008A6729">
      <w:pPr>
        <w:numPr>
          <w:ilvl w:val="0"/>
          <w:numId w:val="25"/>
        </w:numPr>
      </w:pPr>
      <w:r w:rsidRPr="00762AAF">
        <w:t>We adopt a 10 year term for our overall rate of return.</w:t>
      </w:r>
      <w:r w:rsidRPr="00762AAF">
        <w:rPr>
          <w:rStyle w:val="FootnoteReference"/>
        </w:rPr>
        <w:footnoteReference w:id="117"/>
      </w:r>
      <w:r w:rsidRPr="00762AAF">
        <w:t xml:space="preserve"> This results in the following economic interdependencies that impact on the implementation of our return on equity and debt estimation methods:</w:t>
      </w:r>
    </w:p>
    <w:p w:rsidR="008A6729" w:rsidRPr="00762AAF" w:rsidRDefault="008A6729" w:rsidP="008A6729">
      <w:pPr>
        <w:pStyle w:val="AERbulletlistfirststyle"/>
      </w:pPr>
      <w:r>
        <w:t>t</w:t>
      </w:r>
      <w:r w:rsidRPr="00762AAF">
        <w:t>he risk free rate used for estimating the return on equity is a 10 year forward looking rate</w:t>
      </w:r>
    </w:p>
    <w:p w:rsidR="008A6729" w:rsidRPr="00762AAF" w:rsidRDefault="008A6729" w:rsidP="008A6729">
      <w:pPr>
        <w:pStyle w:val="AERbulletlistfirststyle"/>
      </w:pPr>
      <w:r>
        <w:t>t</w:t>
      </w:r>
      <w:r w:rsidRPr="00762AAF">
        <w:t>he market risk premium (MRP) estimate is for a 10 year forward looking period</w:t>
      </w:r>
    </w:p>
    <w:p w:rsidR="008A6729" w:rsidRPr="003337B3" w:rsidRDefault="008A6729" w:rsidP="008A6729">
      <w:pPr>
        <w:pStyle w:val="AERbulletlistfirststyle"/>
      </w:pPr>
      <w:proofErr w:type="gramStart"/>
      <w:r>
        <w:t>w</w:t>
      </w:r>
      <w:r w:rsidRPr="00762AAF">
        <w:t>e</w:t>
      </w:r>
      <w:proofErr w:type="gramEnd"/>
      <w:r w:rsidRPr="00762AAF">
        <w:t xml:space="preserve"> adopt a 10 year debt term for estimating the return on debt.</w:t>
      </w:r>
    </w:p>
    <w:p w:rsidR="008A6729" w:rsidRPr="00B575CE" w:rsidRDefault="008A6729" w:rsidP="008A6729">
      <w:pPr>
        <w:pStyle w:val="Heading3"/>
      </w:pPr>
      <w:bookmarkStart w:id="48" w:name="_Toc450922721"/>
      <w:bookmarkStart w:id="49" w:name="_Toc451938954"/>
      <w:bookmarkStart w:id="50" w:name="_Toc456686702"/>
      <w:r>
        <w:t>Consideration of relevant material</w:t>
      </w:r>
      <w:bookmarkEnd w:id="48"/>
      <w:bookmarkEnd w:id="49"/>
      <w:bookmarkEnd w:id="50"/>
    </w:p>
    <w:p w:rsidR="008A6729" w:rsidRDefault="008A6729" w:rsidP="008A6729">
      <w:r>
        <w:t>In making regulatory decisions, we are to have regard to information provided in regulatory proposals and submissions.</w:t>
      </w:r>
      <w:r>
        <w:rPr>
          <w:rStyle w:val="FootnoteReference"/>
        </w:rPr>
        <w:footnoteReference w:id="118"/>
      </w:r>
      <w:r>
        <w:t xml:space="preserve"> We also consider a broad range of material more generally. This is consistent with </w:t>
      </w:r>
      <w:r>
        <w:rPr>
          <w:rStyle w:val="AERbody"/>
        </w:rPr>
        <w:t>t</w:t>
      </w:r>
      <w:r w:rsidRPr="00AB3B54">
        <w:rPr>
          <w:rStyle w:val="AERbody"/>
        </w:rPr>
        <w:t xml:space="preserve">he </w:t>
      </w:r>
      <w:r>
        <w:rPr>
          <w:rStyle w:val="AERbody"/>
        </w:rPr>
        <w:t xml:space="preserve">rate of return framework that requires we have regard to </w:t>
      </w:r>
      <w:r w:rsidRPr="00AB3B54">
        <w:rPr>
          <w:rStyle w:val="AERbody"/>
        </w:rPr>
        <w:t>a wide range of relevant estimation methods, financial models, market data and other evidence.</w:t>
      </w:r>
      <w:r>
        <w:rPr>
          <w:rStyle w:val="FootnoteReference"/>
        </w:rPr>
        <w:footnoteReference w:id="119"/>
      </w:r>
      <w:r>
        <w:rPr>
          <w:rStyle w:val="AERbody"/>
        </w:rPr>
        <w:t xml:space="preserve"> </w:t>
      </w:r>
      <w:r w:rsidRPr="00284B79">
        <w:t>Th</w:t>
      </w:r>
      <w:r>
        <w:t xml:space="preserve">is is also consistent with statements of the AEMC that consider the rules are intended to permit </w:t>
      </w:r>
      <w:r w:rsidRPr="00284B79">
        <w:t>us to take account of a broad range of information</w:t>
      </w:r>
      <w:r>
        <w:t xml:space="preserve"> to improve</w:t>
      </w:r>
      <w:r w:rsidRPr="00284B79">
        <w:t xml:space="preserve"> the required rate of return</w:t>
      </w:r>
      <w:r>
        <w:t xml:space="preserve"> estimate</w:t>
      </w:r>
      <w:r w:rsidRPr="00284B79">
        <w:t>.</w:t>
      </w:r>
      <w:r>
        <w:rPr>
          <w:rStyle w:val="FootnoteReference"/>
        </w:rPr>
        <w:footnoteReference w:id="120"/>
      </w:r>
      <w:r w:rsidRPr="00284B79">
        <w:t xml:space="preserve"> </w:t>
      </w:r>
    </w:p>
    <w:p w:rsidR="008A6729" w:rsidRDefault="008A6729" w:rsidP="008A6729">
      <w:r>
        <w:t>In the following sections, we summarise how we have considered a large range of material. This includes, but is not limited to:</w:t>
      </w:r>
    </w:p>
    <w:p w:rsidR="008A6729" w:rsidRDefault="008A6729" w:rsidP="008A6729">
      <w:pPr>
        <w:pStyle w:val="AERbulletlistfirststyle"/>
      </w:pPr>
      <w:r>
        <w:t>service provider proposals</w:t>
      </w:r>
    </w:p>
    <w:p w:rsidR="008A6729" w:rsidRDefault="008A6729" w:rsidP="008A6729">
      <w:pPr>
        <w:pStyle w:val="AERbulletlistfirststyle"/>
      </w:pPr>
      <w:r>
        <w:t>expert reports</w:t>
      </w:r>
    </w:p>
    <w:p w:rsidR="008A6729" w:rsidRDefault="008A6729" w:rsidP="008A6729">
      <w:pPr>
        <w:pStyle w:val="AERbulletlistfirststyle"/>
      </w:pPr>
      <w:r>
        <w:t>stakeholder submissions</w:t>
      </w:r>
    </w:p>
    <w:p w:rsidR="008A6729" w:rsidRPr="00A77770" w:rsidRDefault="008A6729" w:rsidP="008A6729">
      <w:pPr>
        <w:pStyle w:val="AERbulletlistfirststyle"/>
      </w:pPr>
      <w:proofErr w:type="gramStart"/>
      <w:r>
        <w:t>recent</w:t>
      </w:r>
      <w:proofErr w:type="gramEnd"/>
      <w:r>
        <w:t xml:space="preserve"> Tribunal decisions.</w:t>
      </w:r>
    </w:p>
    <w:p w:rsidR="008A6729" w:rsidRDefault="008A6729" w:rsidP="008A6729">
      <w:pPr>
        <w:pStyle w:val="HeadingBoldBlue"/>
      </w:pPr>
      <w:bookmarkStart w:id="51" w:name="_Toc450922722"/>
      <w:r>
        <w:t>Service providers' proposals</w:t>
      </w:r>
      <w:bookmarkEnd w:id="51"/>
    </w:p>
    <w:p w:rsidR="009F1213" w:rsidRDefault="009B0060" w:rsidP="009F1213">
      <w:r>
        <w:t>AusNet Services in its transmission proposal</w:t>
      </w:r>
      <w:r w:rsidR="005C5A52">
        <w:rPr>
          <w:rStyle w:val="FootnoteReference"/>
        </w:rPr>
        <w:footnoteReference w:id="121"/>
      </w:r>
      <w:r>
        <w:t>, and t</w:t>
      </w:r>
      <w:r w:rsidR="009F1213">
        <w:t xml:space="preserve">he </w:t>
      </w:r>
      <w:r>
        <w:t xml:space="preserve">service providers </w:t>
      </w:r>
      <w:r w:rsidR="009F1213">
        <w:t xml:space="preserve">revised regulatory proposals </w:t>
      </w:r>
      <w:r w:rsidR="001E11B5">
        <w:t xml:space="preserve">submitted in January 2016 </w:t>
      </w:r>
      <w:r w:rsidR="009F1213">
        <w:t>challenged most aspects of the Guideline approach (and methods) to estimating the return on equity and debt.</w:t>
      </w:r>
      <w:r w:rsidR="00784C73">
        <w:rPr>
          <w:rStyle w:val="FootnoteReference"/>
        </w:rPr>
        <w:footnoteReference w:id="122"/>
      </w:r>
      <w:r w:rsidR="009F1213">
        <w:t xml:space="preserve"> We </w:t>
      </w:r>
      <w:r>
        <w:t xml:space="preserve">have </w:t>
      </w:r>
      <w:r w:rsidR="009F1213">
        <w:t xml:space="preserve">reviewed the material submitted </w:t>
      </w:r>
      <w:r>
        <w:t xml:space="preserve">and </w:t>
      </w:r>
      <w:r w:rsidR="009F1213">
        <w:t>considered the reasons for the proposed departures from the Guideline. We have taken into account stakeholder submissions on our decisions, and on service providers' revised and initial proposals.</w:t>
      </w:r>
    </w:p>
    <w:p w:rsidR="009F1213" w:rsidRDefault="009F1213" w:rsidP="009F1213">
      <w:pPr>
        <w:numPr>
          <w:ilvl w:val="0"/>
          <w:numId w:val="25"/>
        </w:numPr>
      </w:pPr>
      <w:r>
        <w:t>In doing so, we have undertaken two interdependent tasks as required by the rules:</w:t>
      </w:r>
    </w:p>
    <w:p w:rsidR="009F1213" w:rsidRPr="00796C00" w:rsidRDefault="009F1213" w:rsidP="009F1213">
      <w:pPr>
        <w:pStyle w:val="AERbulletlistfirststyle"/>
      </w:pPr>
      <w:r>
        <w:t xml:space="preserve">consider whether the proposed departures would better achieve the ARORO such that we should depart from the </w:t>
      </w:r>
      <w:r w:rsidRPr="00796C00">
        <w:t>Guideline</w:t>
      </w:r>
    </w:p>
    <w:p w:rsidR="009F1213" w:rsidRDefault="009F1213" w:rsidP="009F1213">
      <w:pPr>
        <w:pStyle w:val="AERbulletlistfirststyle"/>
      </w:pPr>
      <w:proofErr w:type="gramStart"/>
      <w:r>
        <w:t>determine</w:t>
      </w:r>
      <w:proofErr w:type="gramEnd"/>
      <w:r>
        <w:t xml:space="preserve"> a rate of return that we are satisfied achieves the ARORO.  </w:t>
      </w:r>
    </w:p>
    <w:p w:rsidR="008A6729" w:rsidRPr="00785554" w:rsidRDefault="008A6729" w:rsidP="008A6729">
      <w:r>
        <w:t>T</w:t>
      </w:r>
      <w:r w:rsidRPr="00785554">
        <w:t>he service providers</w:t>
      </w:r>
      <w:r w:rsidR="00402681">
        <w:t>,</w:t>
      </w:r>
      <w:r w:rsidRPr="00785554">
        <w:t xml:space="preserve"> that submitted regulatory proposals and revised regulatory proposals that we </w:t>
      </w:r>
      <w:r w:rsidR="000262BD">
        <w:t>have</w:t>
      </w:r>
      <w:r w:rsidR="005C5A52">
        <w:t xml:space="preserve"> considered</w:t>
      </w:r>
      <w:r w:rsidR="00402681">
        <w:t>,</w:t>
      </w:r>
      <w:r w:rsidR="005C5A52">
        <w:t xml:space="preserve"> </w:t>
      </w:r>
      <w:r w:rsidRPr="00785554">
        <w:t>have submitted a large volume of material in support of their proposals.</w:t>
      </w:r>
      <w:r w:rsidRPr="00785554">
        <w:rPr>
          <w:rStyle w:val="FootnoteReference"/>
        </w:rPr>
        <w:footnoteReference w:id="123"/>
      </w:r>
      <w:r w:rsidRPr="00785554">
        <w:t xml:space="preserve"> We reviewed this material to identify what is new. Where service providers submitted new material, we reviewed this and considered its implications in determining the return that meets the ARORO and whether we should depart from the Guideline. We also referred this material to our consultants for their consideration prior to making our preliminary</w:t>
      </w:r>
      <w:r w:rsidR="004A5EE0">
        <w:t>/draft</w:t>
      </w:r>
      <w:r w:rsidRPr="00785554">
        <w:t xml:space="preserve"> and final decisions. Our considerations are throughout this rate of return attachment and relevant appendices.</w:t>
      </w:r>
    </w:p>
    <w:p w:rsidR="008A6729" w:rsidRPr="00785554" w:rsidRDefault="008A6729" w:rsidP="008A6729">
      <w:r>
        <w:t>W</w:t>
      </w:r>
      <w:r w:rsidRPr="00785554">
        <w:t>hile we consider each regulatory proposal afresh, much of the material currently before us is the same material we considered in making our decisions in 2015.</w:t>
      </w:r>
      <w:r w:rsidRPr="00785554">
        <w:rPr>
          <w:rStyle w:val="FootnoteReference"/>
        </w:rPr>
        <w:footnoteReference w:id="124"/>
      </w:r>
      <w:r w:rsidRPr="00785554">
        <w:t xml:space="preserve"> For this </w:t>
      </w:r>
      <w:r w:rsidR="00A74EE6">
        <w:t>draft</w:t>
      </w:r>
      <w:r w:rsidRPr="00785554">
        <w:t xml:space="preserve"> decision, unless stated otherwise, we adopt the rate of return analysis and reasoning as set out in our most recent final decisions in October 2015.</w:t>
      </w:r>
      <w:r w:rsidRPr="00785554">
        <w:rPr>
          <w:rStyle w:val="FootnoteReference"/>
        </w:rPr>
        <w:footnoteReference w:id="125"/>
      </w:r>
    </w:p>
    <w:p w:rsidR="008A6729" w:rsidRPr="00785554" w:rsidRDefault="008A6729" w:rsidP="008A6729">
      <w:r>
        <w:t>Our October 2015 final decisions c</w:t>
      </w:r>
      <w:r w:rsidRPr="00785554">
        <w:t>omprehensively set out our allowed rate of return analysis and reasoning.</w:t>
      </w:r>
      <w:r w:rsidRPr="00785554">
        <w:rPr>
          <w:rStyle w:val="FootnoteReference"/>
        </w:rPr>
        <w:footnoteReference w:id="126"/>
      </w:r>
      <w:r w:rsidRPr="00785554">
        <w:t xml:space="preserve"> During these reset processes, we also considered a number of other regulatory resets.</w:t>
      </w:r>
      <w:r w:rsidRPr="00785554">
        <w:rPr>
          <w:rStyle w:val="FootnoteReference"/>
        </w:rPr>
        <w:footnoteReference w:id="127"/>
      </w:r>
      <w:r w:rsidRPr="00785554">
        <w:t xml:space="preserve"> TasNetworks' original proposal did not propose any departures from the Guideline. TasNetworks and Directlink adopted our return on equity draft decisions. At that time, the other service providers proposed varying reasons, material and propositions to justify their proposed departures from the Guideline and their proposals to not accept our draft decisions. Further, the service providers submitted a large volume of material in support of their proposals. Much of this material was not new to us and we had considered it when developing the Guideline and again in making our decisions. Nonetheless, we comprehensively reviewed all of this material. We also referred this material to our consultants for their consideration prior to publishing decisions in 2015.</w:t>
      </w:r>
      <w:r w:rsidRPr="00785554">
        <w:rPr>
          <w:rStyle w:val="FootnoteReference"/>
        </w:rPr>
        <w:footnoteReference w:id="128"/>
      </w:r>
      <w:r w:rsidRPr="00785554">
        <w:t xml:space="preserve"> </w:t>
      </w:r>
    </w:p>
    <w:p w:rsidR="008A6729" w:rsidRPr="00FC3B81" w:rsidRDefault="008A6729" w:rsidP="008A6729">
      <w:pPr>
        <w:pStyle w:val="HeadingBoldBlue"/>
        <w:numPr>
          <w:ilvl w:val="0"/>
          <w:numId w:val="25"/>
        </w:numPr>
      </w:pPr>
      <w:bookmarkStart w:id="52" w:name="_Toc450922723"/>
      <w:r>
        <w:t>Expert reports</w:t>
      </w:r>
      <w:bookmarkEnd w:id="52"/>
    </w:p>
    <w:p w:rsidR="008A6729" w:rsidRPr="00AC1D0D" w:rsidRDefault="008A6729" w:rsidP="008A6729">
      <w:pPr>
        <w:numPr>
          <w:ilvl w:val="0"/>
          <w:numId w:val="25"/>
        </w:numPr>
      </w:pPr>
      <w:r>
        <w:t xml:space="preserve">We </w:t>
      </w:r>
      <w:r w:rsidRPr="00AC1D0D">
        <w:t xml:space="preserve">commissioned expert advice from the following finance experts to assist us in making </w:t>
      </w:r>
      <w:r>
        <w:t xml:space="preserve">our </w:t>
      </w:r>
      <w:r w:rsidRPr="00AC1D0D">
        <w:t>decision</w:t>
      </w:r>
      <w:r>
        <w:t>s</w:t>
      </w:r>
      <w:r w:rsidRPr="00AC1D0D">
        <w:t>:</w:t>
      </w:r>
    </w:p>
    <w:p w:rsidR="008A6729" w:rsidRDefault="008A6729" w:rsidP="008A6729">
      <w:pPr>
        <w:pStyle w:val="AERbulletlistfirststyle"/>
      </w:pPr>
      <w:r>
        <w:t>Professor Michael McKenzie, University of Liverpool</w:t>
      </w:r>
      <w:r w:rsidRPr="00796C00">
        <w:t>.</w:t>
      </w:r>
      <w:r w:rsidRPr="00796C00">
        <w:rPr>
          <w:rStyle w:val="FootnoteReference"/>
        </w:rPr>
        <w:footnoteReference w:id="129"/>
      </w:r>
    </w:p>
    <w:p w:rsidR="008A6729" w:rsidRPr="00796C00" w:rsidRDefault="008A6729" w:rsidP="008A6729">
      <w:pPr>
        <w:pStyle w:val="AERbulletlistfirststyle"/>
      </w:pPr>
      <w:r>
        <w:t>Professor Stephen Satchell, Trinity College, Cambridge University</w:t>
      </w:r>
      <w:r>
        <w:rPr>
          <w:rStyle w:val="FootnoteReference"/>
        </w:rPr>
        <w:footnoteReference w:id="130"/>
      </w:r>
    </w:p>
    <w:p w:rsidR="008A6729" w:rsidRPr="00796C00" w:rsidRDefault="008A6729" w:rsidP="008A6729">
      <w:pPr>
        <w:pStyle w:val="AERbulletlistfirststyle"/>
      </w:pPr>
      <w:r>
        <w:t>Associate professor Graham Partington, University of Sydney</w:t>
      </w:r>
      <w:r w:rsidRPr="00796C00">
        <w:t>.</w:t>
      </w:r>
      <w:r w:rsidRPr="00796C00">
        <w:rPr>
          <w:rStyle w:val="FootnoteReference"/>
        </w:rPr>
        <w:footnoteReference w:id="131"/>
      </w:r>
    </w:p>
    <w:p w:rsidR="008A6729" w:rsidRDefault="008A6729" w:rsidP="008A6729">
      <w:pPr>
        <w:pStyle w:val="AERbulletlistfirststyle"/>
      </w:pPr>
      <w:r>
        <w:t>Associate professor John Handley, University of Melbourne</w:t>
      </w:r>
      <w:r w:rsidRPr="00796C00">
        <w:t>.</w:t>
      </w:r>
      <w:r w:rsidRPr="00796C00">
        <w:rPr>
          <w:rStyle w:val="FootnoteReference"/>
        </w:rPr>
        <w:footnoteReference w:id="132"/>
      </w:r>
    </w:p>
    <w:p w:rsidR="008A6729" w:rsidRDefault="008A6729" w:rsidP="008A6729">
      <w:pPr>
        <w:pStyle w:val="AERbulletlistfirststyle"/>
      </w:pPr>
      <w:r>
        <w:t>Dr Martin Lally, Capital Financial Consultants</w:t>
      </w:r>
      <w:r w:rsidRPr="00796C00">
        <w:t>.</w:t>
      </w:r>
      <w:r w:rsidRPr="00796C00">
        <w:rPr>
          <w:rStyle w:val="FootnoteReference"/>
        </w:rPr>
        <w:footnoteReference w:id="133"/>
      </w:r>
    </w:p>
    <w:p w:rsidR="008A6729" w:rsidRPr="00796C00" w:rsidRDefault="008A6729" w:rsidP="008A6729">
      <w:pPr>
        <w:pStyle w:val="AERbulletlistfirststyle"/>
      </w:pPr>
      <w:r>
        <w:t>Chairmont, a financial market practitioner.</w:t>
      </w:r>
      <w:r>
        <w:rPr>
          <w:rStyle w:val="FootnoteReference"/>
        </w:rPr>
        <w:footnoteReference w:id="134"/>
      </w:r>
    </w:p>
    <w:p w:rsidR="008A6729" w:rsidRDefault="008A6729" w:rsidP="008A6729">
      <w:pPr>
        <w:numPr>
          <w:ilvl w:val="0"/>
          <w:numId w:val="25"/>
        </w:numPr>
      </w:pPr>
      <w:r>
        <w:t>We received advice from Professor Olan Henry, University of Liverpool, on estimating the equity beta. We commissioned this during the Guideline development process and published the final report in April 2014.</w:t>
      </w:r>
      <w:r>
        <w:rPr>
          <w:rStyle w:val="FootnoteReference"/>
        </w:rPr>
        <w:footnoteReference w:id="135"/>
      </w:r>
      <w:r>
        <w:t xml:space="preserve"> We also received advice on return on debt estimation from the ACCC Regulatory Economic Unit (REU).</w:t>
      </w:r>
      <w:r>
        <w:rPr>
          <w:rStyle w:val="FootnoteReference"/>
        </w:rPr>
        <w:footnoteReference w:id="136"/>
      </w:r>
      <w:r>
        <w:t xml:space="preserve"> Additionally, we </w:t>
      </w:r>
      <w:r w:rsidRPr="00AC1D0D">
        <w:t xml:space="preserve">sought and received a substantial amount of expert advice during the </w:t>
      </w:r>
      <w:r>
        <w:t>G</w:t>
      </w:r>
      <w:r w:rsidRPr="00AC1D0D">
        <w:t>uideline development process</w:t>
      </w:r>
      <w:r>
        <w:t xml:space="preserve"> including from the REU</w:t>
      </w:r>
      <w:r w:rsidRPr="00AC1D0D">
        <w:t>. These reports have also assisted us in making our decision</w:t>
      </w:r>
      <w:r>
        <w:t>.</w:t>
      </w:r>
      <w:r w:rsidRPr="00AC1D0D">
        <w:t xml:space="preserve"> </w:t>
      </w:r>
    </w:p>
    <w:p w:rsidR="008A6729" w:rsidRDefault="008A6729" w:rsidP="008A6729">
      <w:pPr>
        <w:pStyle w:val="HeadingBoldBlue"/>
        <w:numPr>
          <w:ilvl w:val="0"/>
          <w:numId w:val="25"/>
        </w:numPr>
      </w:pPr>
      <w:bookmarkStart w:id="53" w:name="_Toc450922724"/>
      <w:r>
        <w:t>Stakeholder submissions</w:t>
      </w:r>
      <w:bookmarkEnd w:id="53"/>
    </w:p>
    <w:p w:rsidR="00707478" w:rsidRPr="002E5985" w:rsidRDefault="00707478" w:rsidP="00707478">
      <w:pPr>
        <w:pStyle w:val="ListParagraph"/>
        <w:numPr>
          <w:ilvl w:val="0"/>
          <w:numId w:val="25"/>
        </w:numPr>
      </w:pPr>
      <w:r w:rsidRPr="002E5985">
        <w:t xml:space="preserve">Stakeholders made submissions specific to </w:t>
      </w:r>
      <w:r>
        <w:t>AusNet Services</w:t>
      </w:r>
      <w:r w:rsidRPr="002E5985">
        <w:t xml:space="preserve"> which we have considered. </w:t>
      </w:r>
      <w:r>
        <w:t>In making this decision, we have also considered m</w:t>
      </w:r>
      <w:r w:rsidRPr="002E5985">
        <w:t>aterial that was submitted for the rece</w:t>
      </w:r>
      <w:r>
        <w:t xml:space="preserve">nt decisions published in April, June and October </w:t>
      </w:r>
      <w:r w:rsidRPr="002E5985">
        <w:t>2015</w:t>
      </w:r>
      <w:r w:rsidR="00FB2D91">
        <w:t xml:space="preserve"> and in May 2016</w:t>
      </w:r>
      <w:r w:rsidRPr="002E5985">
        <w:t>. Overall, in making these recent decisions we received a large number of submissions on the original proposals, preliminary decisions and revised rate of return proposals.</w:t>
      </w:r>
      <w:r w:rsidRPr="002E5985">
        <w:rPr>
          <w:rStyle w:val="FootnoteReference"/>
        </w:rPr>
        <w:footnoteReference w:id="137"/>
      </w:r>
      <w:r w:rsidRPr="002E5985">
        <w:rPr>
          <w:rStyle w:val="FootnoteReference"/>
        </w:rPr>
        <w:t xml:space="preserve"> </w:t>
      </w:r>
      <w:r w:rsidRPr="002E5985">
        <w:rPr>
          <w:rStyle w:val="FootnoteReference"/>
        </w:rPr>
        <w:footnoteReference w:id="138"/>
      </w:r>
      <w:r w:rsidRPr="002E5985">
        <w:t xml:space="preserve"> </w:t>
      </w:r>
      <w:r w:rsidR="00402681">
        <w:t>A range of</w:t>
      </w:r>
      <w:r w:rsidRPr="002E5985">
        <w:t xml:space="preserve"> submissions, including those on </w:t>
      </w:r>
      <w:r>
        <w:t>AusNet Services'</w:t>
      </w:r>
      <w:r w:rsidRPr="002E5985">
        <w:t xml:space="preserve"> proposal had commentary relating to the rate of return.</w:t>
      </w:r>
      <w:r w:rsidR="00402681">
        <w:rPr>
          <w:rStyle w:val="FootnoteReference"/>
        </w:rPr>
        <w:footnoteReference w:id="139"/>
      </w:r>
      <w:r w:rsidRPr="002E5985">
        <w:t xml:space="preserve"> </w:t>
      </w:r>
    </w:p>
    <w:p w:rsidR="008A6729" w:rsidRDefault="008A6729" w:rsidP="008A6729">
      <w:pPr>
        <w:pStyle w:val="HeadingBoldBlue"/>
      </w:pPr>
      <w:bookmarkStart w:id="54" w:name="_Toc450922725"/>
      <w:r>
        <w:t>Consideration of recent Tribunal decisions</w:t>
      </w:r>
      <w:bookmarkEnd w:id="54"/>
    </w:p>
    <w:p w:rsidR="008A6729" w:rsidRDefault="008A6729" w:rsidP="008A6729">
      <w:pPr>
        <w:numPr>
          <w:ilvl w:val="0"/>
          <w:numId w:val="25"/>
        </w:numPr>
      </w:pPr>
      <w:r>
        <w:t>The Tribunal recently reviewed and upheld several aspects of our approach to estimating the rate of return. These included:</w:t>
      </w:r>
      <w:r>
        <w:rPr>
          <w:rStyle w:val="FootnoteReference"/>
        </w:rPr>
        <w:footnoteReference w:id="140"/>
      </w:r>
    </w:p>
    <w:p w:rsidR="008A6729" w:rsidRDefault="008A6729" w:rsidP="008A6729">
      <w:pPr>
        <w:pStyle w:val="AERbulletlistfirststyle"/>
      </w:pPr>
      <w:r>
        <w:t xml:space="preserve">our approach to estimating the return on equity by applying the Guideline approach referred to as the foundation model approach </w:t>
      </w:r>
    </w:p>
    <w:p w:rsidR="008A6729" w:rsidRPr="00454ED0" w:rsidRDefault="008A6729" w:rsidP="008A6729">
      <w:pPr>
        <w:pStyle w:val="AERbulletlistfirststyle"/>
      </w:pPr>
      <w:r>
        <w:t>our approach to specifying t</w:t>
      </w:r>
      <w:r w:rsidRPr="00454ED0">
        <w:t xml:space="preserve">he benchmark credit rating </w:t>
      </w:r>
      <w:r>
        <w:t>at BBB+ rather than BBB as preferred by some of the service providers</w:t>
      </w:r>
    </w:p>
    <w:p w:rsidR="008A6729" w:rsidRDefault="008A6729" w:rsidP="008A6729">
      <w:pPr>
        <w:pStyle w:val="AERbulletlistfirststyle"/>
      </w:pPr>
      <w:r>
        <w:t xml:space="preserve">our approach to estimating </w:t>
      </w:r>
      <w:r w:rsidRPr="000C234A">
        <w:t xml:space="preserve">the allowed return on debt using </w:t>
      </w:r>
      <w:r>
        <w:t xml:space="preserve">a </w:t>
      </w:r>
      <w:r w:rsidRPr="000C234A">
        <w:t>simple average of the RBA and Bloomberg data series</w:t>
      </w:r>
      <w:r>
        <w:t>, rather than the</w:t>
      </w:r>
      <w:r w:rsidRPr="000C234A">
        <w:t xml:space="preserve"> RBA data series alone </w:t>
      </w:r>
      <w:r>
        <w:t xml:space="preserve">as preferred by some of the service providers. </w:t>
      </w:r>
    </w:p>
    <w:p w:rsidR="008A6729" w:rsidRPr="00785554" w:rsidRDefault="008A6729" w:rsidP="008A6729">
      <w:r>
        <w:t>We have maintained our approach to estimating these components of the allowed rate of return in th</w:t>
      </w:r>
      <w:r w:rsidRPr="00785554">
        <w:t>is decision.</w:t>
      </w:r>
    </w:p>
    <w:p w:rsidR="008A6729" w:rsidRPr="00785554" w:rsidRDefault="008A6729" w:rsidP="008A6729">
      <w:r>
        <w:t xml:space="preserve">The Tribunal also recently reviewed our approach to applying a full </w:t>
      </w:r>
      <w:r w:rsidRPr="00785554">
        <w:t>transition from an on-the-day to a trailing average allowed return on debt for certain electricity distribution businesses operating in NSW and the ACT, and a gas distribution business in NSW. The Tribunal found error in our approach and remitted this matter back to us to make a decision on introducing the trailing average approach in accordance with several reasons outlined in its decision.</w:t>
      </w:r>
      <w:r w:rsidRPr="00785554">
        <w:rPr>
          <w:rStyle w:val="FootnoteReference"/>
        </w:rPr>
        <w:footnoteReference w:id="141"/>
      </w:r>
      <w:r w:rsidRPr="00785554">
        <w:t xml:space="preserve"> On 24 March 2016, we applied to the Federal Court for judicial review of this aspect of the Tribunal's decision. In particular, we have applied for review on:</w:t>
      </w:r>
    </w:p>
    <w:p w:rsidR="008A6729" w:rsidRDefault="008A6729" w:rsidP="008A6729">
      <w:pPr>
        <w:pStyle w:val="AERbulletlistfirststyle"/>
      </w:pPr>
      <w:r>
        <w:t>the Tribunal's finding that a</w:t>
      </w:r>
      <w:r w:rsidRPr="001F6E19">
        <w:t xml:space="preserve"> benchmark efficient entity referred to in the NER</w:t>
      </w:r>
      <w:r>
        <w:t xml:space="preserve"> </w:t>
      </w:r>
      <w:r w:rsidRPr="001F6E19">
        <w:t xml:space="preserve">6.5.2(c) </w:t>
      </w:r>
      <w:r>
        <w:t>would be an un</w:t>
      </w:r>
      <w:r w:rsidRPr="001F6E19">
        <w:t>regulated entity</w:t>
      </w:r>
      <w:r w:rsidRPr="004D4000">
        <w:rPr>
          <w:rStyle w:val="FootnoteReference"/>
        </w:rPr>
        <w:t xml:space="preserve"> </w:t>
      </w:r>
      <w:r>
        <w:rPr>
          <w:rStyle w:val="FootnoteReference"/>
        </w:rPr>
        <w:footnoteReference w:id="142"/>
      </w:r>
      <w:r>
        <w:t xml:space="preserve"> </w:t>
      </w:r>
    </w:p>
    <w:p w:rsidR="008A6729" w:rsidRDefault="008A6729" w:rsidP="008A6729">
      <w:pPr>
        <w:pStyle w:val="AERbulletlistfirststyle"/>
      </w:pPr>
      <w:r>
        <w:t>t</w:t>
      </w:r>
      <w:r w:rsidRPr="00323742">
        <w:t>he Tribunal's rejection of a single benchmark efficient entity for those service providers</w:t>
      </w:r>
    </w:p>
    <w:p w:rsidR="008A6729" w:rsidRDefault="008A6729" w:rsidP="008A6729">
      <w:pPr>
        <w:pStyle w:val="AERbulletlistfirststyle"/>
      </w:pPr>
      <w:proofErr w:type="gramStart"/>
      <w:r>
        <w:t>t</w:t>
      </w:r>
      <w:r w:rsidRPr="00323742">
        <w:t>he</w:t>
      </w:r>
      <w:proofErr w:type="gramEnd"/>
      <w:r w:rsidRPr="00323742">
        <w:t xml:space="preserve"> Tribunal's approach to the interpretation of cl.</w:t>
      </w:r>
      <w:r>
        <w:t xml:space="preserve"> 6.5.2(k)(4) of the NER</w:t>
      </w:r>
      <w:r w:rsidRPr="001F6E19">
        <w:t>.</w:t>
      </w:r>
      <w:r>
        <w:rPr>
          <w:rStyle w:val="FootnoteReference"/>
        </w:rPr>
        <w:footnoteReference w:id="143"/>
      </w:r>
      <w:r w:rsidRPr="001F6E19">
        <w:t xml:space="preserve"> </w:t>
      </w:r>
    </w:p>
    <w:p w:rsidR="00DE563D" w:rsidRDefault="00DE563D" w:rsidP="001754EE">
      <w:pPr>
        <w:pStyle w:val="Heading2"/>
      </w:pPr>
      <w:bookmarkStart w:id="55" w:name="_Toc403144140"/>
      <w:bookmarkStart w:id="56" w:name="_Toc456686703"/>
      <w:r w:rsidRPr="001754EE">
        <w:t>Reasons</w:t>
      </w:r>
      <w:r>
        <w:t xml:space="preserve"> for </w:t>
      </w:r>
      <w:r w:rsidR="000B321F">
        <w:t>draft</w:t>
      </w:r>
      <w:r>
        <w:t xml:space="preserve"> decision</w:t>
      </w:r>
      <w:bookmarkEnd w:id="55"/>
      <w:bookmarkEnd w:id="56"/>
      <w:r>
        <w:t xml:space="preserve"> </w:t>
      </w:r>
    </w:p>
    <w:p w:rsidR="002F6FA6" w:rsidRPr="00D67998" w:rsidRDefault="002F6FA6" w:rsidP="002F6FA6">
      <w:pPr>
        <w:numPr>
          <w:ilvl w:val="0"/>
          <w:numId w:val="25"/>
        </w:numPr>
      </w:pPr>
      <w:r>
        <w:t xml:space="preserve">Our allowed rate of return is a weighted average of the return on equity and debt determined on a nominal vanilla basis (that is, a vanilla WACC). </w:t>
      </w:r>
      <w:r w:rsidRPr="00D67998">
        <w:t>It has been estimated consistently with the estimation of the value of imputation credits.</w:t>
      </w:r>
      <w:r w:rsidRPr="00D67998">
        <w:rPr>
          <w:rStyle w:val="FootnoteReference"/>
        </w:rPr>
        <w:footnoteReference w:id="144"/>
      </w:r>
      <w:r w:rsidRPr="00D67998">
        <w:rPr>
          <w:rStyle w:val="FootnoteReference"/>
        </w:rPr>
        <w:t xml:space="preserve"> </w:t>
      </w:r>
      <w:r w:rsidRPr="00D67998">
        <w:t xml:space="preserve"> </w:t>
      </w:r>
    </w:p>
    <w:p w:rsidR="002F6FA6" w:rsidRPr="00D67998" w:rsidRDefault="002F6FA6" w:rsidP="002F6FA6">
      <w:pPr>
        <w:numPr>
          <w:ilvl w:val="0"/>
          <w:numId w:val="25"/>
        </w:numPr>
      </w:pPr>
      <w:r w:rsidRPr="00D67998">
        <w:t>In deriving the WACC, and the estimated efficient debt and equity financing costs, we have applied the benchmark efficient entity gearing ratio of 0.6 (debt):0.4 (equity) that we proposed in the Guideline. We have no reason to depart from this gearing ratio.</w:t>
      </w:r>
      <w:r w:rsidRPr="00D67998">
        <w:rPr>
          <w:rStyle w:val="FootnoteReference"/>
        </w:rPr>
        <w:footnoteReference w:id="145"/>
      </w:r>
      <w:r w:rsidRPr="00D67998">
        <w:t xml:space="preserve"> </w:t>
      </w:r>
    </w:p>
    <w:p w:rsidR="002F6FA6" w:rsidRDefault="002F6FA6" w:rsidP="002F6FA6">
      <w:r>
        <w:t>In making this decision we have considered issues that have been raised by AusNet Services as well as different service providers and stakeholders in our recently published regulatory determinations. While we have addressed matters specifically raised by AusNet Services</w:t>
      </w:r>
      <w:r w:rsidRPr="00D67998">
        <w:t xml:space="preserve"> </w:t>
      </w:r>
      <w:r>
        <w:t>and/or stakeholders in this decision process, much of our analysis and reasoning also addresses maters raised by service providers (and stakeholders) in their regulatory determination processes. All of this material informs our view on AusNet Services' proposal and also underpins our decision on the return on equity that contributes to the achievement of the ARORO. That is, a return commensurate with the efficient financing costs of a benchmark efficient entity with a similar degree of risk as that which applies to AusNet Services</w:t>
      </w:r>
      <w:r w:rsidRPr="00D67998">
        <w:t xml:space="preserve"> </w:t>
      </w:r>
      <w:r>
        <w:t xml:space="preserve">in respect of the provision of </w:t>
      </w:r>
      <w:r w:rsidR="0042654C">
        <w:t>prescribed transmission</w:t>
      </w:r>
      <w:r>
        <w:t xml:space="preserve"> services.</w:t>
      </w:r>
      <w:r>
        <w:rPr>
          <w:rStyle w:val="FootnoteReference"/>
        </w:rPr>
        <w:footnoteReference w:id="146"/>
      </w:r>
    </w:p>
    <w:p w:rsidR="002F6FA6" w:rsidRDefault="002F6FA6" w:rsidP="002F6FA6">
      <w:pPr>
        <w:numPr>
          <w:ilvl w:val="0"/>
          <w:numId w:val="25"/>
        </w:numPr>
      </w:pPr>
      <w:r>
        <w:t xml:space="preserve">We discuss our reasons for the return on equity and return on debt under the separate subheadings, </w:t>
      </w:r>
      <w:r>
        <w:fldChar w:fldCharType="begin"/>
      </w:r>
      <w:r>
        <w:instrText xml:space="preserve"> REF _Ref430958591 \r \h </w:instrText>
      </w:r>
      <w:r>
        <w:fldChar w:fldCharType="separate"/>
      </w:r>
      <w:r w:rsidR="003F1AAB">
        <w:t>3.4.1</w:t>
      </w:r>
      <w:r>
        <w:fldChar w:fldCharType="end"/>
      </w:r>
      <w:r>
        <w:t xml:space="preserve"> and </w:t>
      </w:r>
      <w:r>
        <w:fldChar w:fldCharType="begin"/>
      </w:r>
      <w:r>
        <w:instrText xml:space="preserve"> REF _Ref451351247 \r \h </w:instrText>
      </w:r>
      <w:r>
        <w:fldChar w:fldCharType="separate"/>
      </w:r>
      <w:r w:rsidR="003F1AAB">
        <w:t>3.4.2</w:t>
      </w:r>
      <w:r>
        <w:fldChar w:fldCharType="end"/>
      </w:r>
      <w:r>
        <w:t xml:space="preserve">, respectively. Subsections </w:t>
      </w:r>
      <w:r>
        <w:fldChar w:fldCharType="begin"/>
      </w:r>
      <w:r>
        <w:instrText xml:space="preserve"> REF _Ref451351248 \r \h </w:instrText>
      </w:r>
      <w:r>
        <w:fldChar w:fldCharType="separate"/>
      </w:r>
      <w:r w:rsidR="003F1AAB">
        <w:t>3.4.3</w:t>
      </w:r>
      <w:r>
        <w:fldChar w:fldCharType="end"/>
      </w:r>
      <w:r>
        <w:t xml:space="preserve"> and </w:t>
      </w:r>
      <w:r>
        <w:fldChar w:fldCharType="begin"/>
      </w:r>
      <w:r>
        <w:instrText xml:space="preserve"> REF _Ref451351249 \r \h </w:instrText>
      </w:r>
      <w:r>
        <w:fldChar w:fldCharType="separate"/>
      </w:r>
      <w:r w:rsidR="003F1AAB">
        <w:t>3.4.4</w:t>
      </w:r>
      <w:r>
        <w:fldChar w:fldCharType="end"/>
      </w:r>
      <w:r>
        <w:t xml:space="preserve"> set out the gearing ratio and our expected inflation rate for the 2016–20 regulatory control </w:t>
      </w:r>
      <w:proofErr w:type="gramStart"/>
      <w:r>
        <w:t>period</w:t>
      </w:r>
      <w:proofErr w:type="gramEnd"/>
      <w:r>
        <w:t>.</w:t>
      </w:r>
    </w:p>
    <w:p w:rsidR="002F6FA6" w:rsidRDefault="002F6FA6" w:rsidP="002F6FA6">
      <w:pPr>
        <w:pStyle w:val="Heading3"/>
      </w:pPr>
      <w:bookmarkStart w:id="57" w:name="_Ref430958591"/>
      <w:bookmarkStart w:id="58" w:name="_Toc433446503"/>
      <w:bookmarkStart w:id="59" w:name="_Ref451345947"/>
      <w:bookmarkStart w:id="60" w:name="_Toc451938956"/>
      <w:bookmarkStart w:id="61" w:name="_Toc456686704"/>
      <w:r w:rsidRPr="00796C00">
        <w:t>Return on equity</w:t>
      </w:r>
      <w:bookmarkEnd w:id="57"/>
      <w:bookmarkEnd w:id="58"/>
      <w:bookmarkEnd w:id="59"/>
      <w:bookmarkEnd w:id="60"/>
      <w:bookmarkEnd w:id="61"/>
      <w:r w:rsidRPr="00796C00">
        <w:t xml:space="preserve"> </w:t>
      </w:r>
    </w:p>
    <w:p w:rsidR="002F6FA6" w:rsidRDefault="002F6FA6" w:rsidP="002F6FA6">
      <w:pPr>
        <w:numPr>
          <w:ilvl w:val="0"/>
          <w:numId w:val="25"/>
        </w:numPr>
      </w:pPr>
      <w:r>
        <w:t>Our return on equity estimate is 7.1 per cent. We consider that 7.1 per cent is the best estimate to combine with a return on debt estimate to form an overall allowed rate of return that achieves the ARORO. We also consider that 7.1 per cent is consistent with the prevailing conditions in the market for equity funds.</w:t>
      </w:r>
    </w:p>
    <w:p w:rsidR="002F6FA6" w:rsidRDefault="002F6FA6" w:rsidP="002F6FA6">
      <w:pPr>
        <w:numPr>
          <w:ilvl w:val="0"/>
          <w:numId w:val="25"/>
        </w:numPr>
      </w:pPr>
      <w:r>
        <w:t>We hold these views because:</w:t>
      </w:r>
    </w:p>
    <w:p w:rsidR="002F6FA6" w:rsidRDefault="002F6FA6" w:rsidP="002F6FA6">
      <w:pPr>
        <w:pStyle w:val="AERbulletlistfirststyle"/>
      </w:pPr>
      <w:r>
        <w:t>We derive our estimate using the Sharpe–Lintner CAPM, which:</w:t>
      </w:r>
    </w:p>
    <w:p w:rsidR="002F6FA6" w:rsidRDefault="002F6FA6" w:rsidP="002F6FA6">
      <w:pPr>
        <w:pStyle w:val="AERbulletlistsecondstyle"/>
      </w:pPr>
      <w:r w:rsidRPr="001174B8">
        <w:t>transparently presents the key risk and reward trade-off</w:t>
      </w:r>
      <w:r>
        <w:rPr>
          <w:rStyle w:val="FootnoteReference"/>
        </w:rPr>
        <w:footnoteReference w:id="147"/>
      </w:r>
      <w:r w:rsidRPr="001174B8">
        <w:t xml:space="preserve"> that is at the heart of our task</w:t>
      </w:r>
      <w:r>
        <w:rPr>
          <w:rStyle w:val="FootnoteReference"/>
        </w:rPr>
        <w:footnoteReference w:id="148"/>
      </w:r>
    </w:p>
    <w:p w:rsidR="002F6FA6" w:rsidRDefault="002F6FA6" w:rsidP="002F6FA6">
      <w:pPr>
        <w:pStyle w:val="AERbulletlistsecondstyle"/>
      </w:pPr>
      <w:r w:rsidRPr="00D50D12">
        <w:t xml:space="preserve">is widely </w:t>
      </w:r>
      <w:r>
        <w:t xml:space="preserve">and consistently </w:t>
      </w:r>
      <w:r w:rsidRPr="00D50D12">
        <w:t>used for estimating the expected return on equity</w:t>
      </w:r>
      <w:r>
        <w:t xml:space="preserve"> </w:t>
      </w:r>
      <w:r w:rsidRPr="00D50D12">
        <w:t xml:space="preserve">by </w:t>
      </w:r>
      <w:r w:rsidRPr="001174B8">
        <w:t xml:space="preserve">financial </w:t>
      </w:r>
      <w:r w:rsidRPr="00D50D12">
        <w:t>market practitioners</w:t>
      </w:r>
      <w:r>
        <w:t>,</w:t>
      </w:r>
      <w:r w:rsidRPr="00D50D12">
        <w:t xml:space="preserve"> academics, and other regulators</w:t>
      </w:r>
      <w:r w:rsidRPr="00F63640">
        <w:rPr>
          <w:rStyle w:val="FootnoteReference"/>
        </w:rPr>
        <w:footnoteReference w:id="149"/>
      </w:r>
    </w:p>
    <w:p w:rsidR="002F6FA6" w:rsidRDefault="002F6FA6" w:rsidP="002F6FA6">
      <w:pPr>
        <w:pStyle w:val="AERbulletlistsecondstyle"/>
      </w:pPr>
      <w:proofErr w:type="gramStart"/>
      <w:r>
        <w:t>has</w:t>
      </w:r>
      <w:proofErr w:type="gramEnd"/>
      <w:r>
        <w:t xml:space="preserve"> well-accepted and unbiased methods for estimating its parameters, and these parameters can be estimated with tolerable accuracy, unlike the alternative models proposed by service providers.</w:t>
      </w:r>
    </w:p>
    <w:p w:rsidR="002F6FA6" w:rsidRPr="00257DA2" w:rsidRDefault="002F6FA6" w:rsidP="002F6FA6">
      <w:pPr>
        <w:pStyle w:val="AERbulletlistfirststyle"/>
        <w:rPr>
          <w:rStyle w:val="AERtexthighlight"/>
          <w:shd w:val="clear" w:color="auto" w:fill="auto"/>
        </w:rPr>
      </w:pPr>
      <w:r>
        <w:t>We have regard to the prevailing market conditions for equity funds. We use the dividend growth model and conditioning variables to inform our estimate of the market risk premium. We use other relevant sources of information to cross-check the foundation model estimate. The triangulation of e</w:t>
      </w:r>
      <w:r w:rsidRPr="00DC461C">
        <w:t xml:space="preserve">stimates from </w:t>
      </w:r>
      <w:r>
        <w:t>relevant market participants broadly</w:t>
      </w:r>
      <w:r w:rsidRPr="00DC461C">
        <w:t xml:space="preserve"> support</w:t>
      </w:r>
      <w:r>
        <w:t>s</w:t>
      </w:r>
      <w:r w:rsidRPr="00DC461C">
        <w:t xml:space="preserve"> our foundation model estimate of the return on</w:t>
      </w:r>
      <w:r>
        <w:t xml:space="preserve"> equity. (</w:t>
      </w:r>
      <w:proofErr w:type="gramStart"/>
      <w:r>
        <w:t>see</w:t>
      </w:r>
      <w:proofErr w:type="gramEnd"/>
      <w:r>
        <w:t xml:space="preserve"> </w:t>
      </w:r>
      <w:r w:rsidRPr="002F6FA6">
        <w:t>Appendix D and E for more discussions).</w:t>
      </w:r>
    </w:p>
    <w:p w:rsidR="002F6FA6" w:rsidRPr="00257DA2" w:rsidRDefault="002F6FA6" w:rsidP="002F6FA6">
      <w:pPr>
        <w:pStyle w:val="AERbulletlistfirststyle"/>
        <w:rPr>
          <w:rStyle w:val="AERtexthighlight"/>
          <w:shd w:val="clear" w:color="auto" w:fill="auto"/>
        </w:rPr>
      </w:pPr>
      <w:r w:rsidRPr="00257DA2">
        <w:rPr>
          <w:rStyle w:val="AERtexthighlight"/>
          <w:shd w:val="clear" w:color="auto" w:fill="auto"/>
        </w:rPr>
        <w:t>Our estimate is supported by comparison to estimates from the Wright specification of the CAPM, broker reports, valuation reports, and other regulators' decisions.</w:t>
      </w:r>
    </w:p>
    <w:p w:rsidR="002F6FA6" w:rsidRDefault="002F6FA6" w:rsidP="002F6FA6">
      <w:pPr>
        <w:pStyle w:val="AERbulletlistfirststyle"/>
      </w:pPr>
      <w:r w:rsidRPr="002F6FA6">
        <w:t>The consistency over time of our Sharpe-Lintner CAPM estimation approach (reflective of a risk premium above a prevailing risk free rate) has been supportive of investment. While taking into account the downward trends in both our risk premium and the risk free rate,</w:t>
      </w:r>
      <w:r w:rsidRPr="004D20D1">
        <w:rPr>
          <w:rStyle w:val="FootnoteReference"/>
        </w:rPr>
        <w:footnoteReference w:id="150"/>
      </w:r>
      <w:r w:rsidRPr="002F6FA6">
        <w:t xml:space="preserve"> service providers have continued to invest</w:t>
      </w:r>
      <w:r>
        <w:t xml:space="preserve"> in their networks and propose to continue to grow their asset bases.</w:t>
      </w:r>
      <w:r w:rsidRPr="00B005DF">
        <w:rPr>
          <w:rStyle w:val="FootnoteReference"/>
        </w:rPr>
        <w:footnoteReference w:id="151"/>
      </w:r>
      <w:r>
        <w:rPr>
          <w:rStyle w:val="AERtexthighlight"/>
        </w:rPr>
        <w:t xml:space="preserve"> </w:t>
      </w:r>
    </w:p>
    <w:p w:rsidR="002F6FA6" w:rsidRPr="00B005DF" w:rsidRDefault="002F6FA6" w:rsidP="002F6FA6">
      <w:pPr>
        <w:pStyle w:val="AERbulletlistfirststyle"/>
      </w:pPr>
      <w:r>
        <w:t>Our return on equity estimate is approximately 1</w:t>
      </w:r>
      <w:r w:rsidR="003B7E97">
        <w:t>63</w:t>
      </w:r>
      <w:r>
        <w:t xml:space="preserve"> basis points</w:t>
      </w:r>
      <w:r w:rsidRPr="00B005DF">
        <w:t xml:space="preserve"> above the prevailing </w:t>
      </w:r>
      <w:r>
        <w:t>yield-to-maturity</w:t>
      </w:r>
      <w:r w:rsidRPr="00B005DF">
        <w:t xml:space="preserve"> on BBB</w:t>
      </w:r>
      <w:r>
        <w:t xml:space="preserve">-rated </w:t>
      </w:r>
      <w:r w:rsidRPr="00B005DF">
        <w:t>debt</w:t>
      </w:r>
      <w:r>
        <w:t xml:space="preserve"> with a 10 year term-to-maturity</w:t>
      </w:r>
      <w:r w:rsidRPr="00B005DF">
        <w:t xml:space="preserve">. For </w:t>
      </w:r>
      <w:r>
        <w:t>a</w:t>
      </w:r>
      <w:r w:rsidRPr="00B005DF">
        <w:t xml:space="preserve"> benchmark efficient entity with a similar degree of risk as </w:t>
      </w:r>
      <w:r>
        <w:t>AusNet Services</w:t>
      </w:r>
      <w:r w:rsidRPr="00B005DF">
        <w:t>, we would not expect the return on equity to be a long way above the prevailing return on debt.</w:t>
      </w:r>
      <w:r w:rsidRPr="00B005DF">
        <w:rPr>
          <w:rStyle w:val="FootnoteReference"/>
        </w:rPr>
        <w:footnoteReference w:id="152"/>
      </w:r>
    </w:p>
    <w:p w:rsidR="002F6FA6" w:rsidRDefault="002F6FA6" w:rsidP="002F6FA6">
      <w:pPr>
        <w:pStyle w:val="AERbulletlistfirststyle"/>
      </w:pPr>
      <w:r>
        <w:t>We have come to this estimate following the application of our foundation model approach, which:</w:t>
      </w:r>
    </w:p>
    <w:p w:rsidR="002F6FA6" w:rsidRDefault="002F6FA6" w:rsidP="002F6FA6">
      <w:pPr>
        <w:pStyle w:val="AERbulletlistsecondstyle"/>
      </w:pPr>
      <w:r>
        <w:t>involves consideration of all relevant material submitted to us, and the role for each piece of material that would best achieve the ARORO; and</w:t>
      </w:r>
    </w:p>
    <w:p w:rsidR="002F6FA6" w:rsidRDefault="002F6FA6" w:rsidP="002F6FA6">
      <w:pPr>
        <w:pStyle w:val="AERbulletlistsecondstyle"/>
      </w:pPr>
      <w:proofErr w:type="gramStart"/>
      <w:r>
        <w:t>was</w:t>
      </w:r>
      <w:proofErr w:type="gramEnd"/>
      <w:r>
        <w:t xml:space="preserve"> developed through extensive consultation during our Guideline review process.</w:t>
      </w:r>
    </w:p>
    <w:p w:rsidR="002F6FA6" w:rsidRPr="00033144" w:rsidRDefault="002F6FA6" w:rsidP="002F6FA6">
      <w:pPr>
        <w:numPr>
          <w:ilvl w:val="0"/>
          <w:numId w:val="25"/>
        </w:numPr>
      </w:pPr>
      <w:r>
        <w:t xml:space="preserve">The Sharpe-Lintner CAPM provides that the return on equity can be calculated as the risk-free return and a premium for risk above the risk-free rate, with the risk premium </w:t>
      </w:r>
      <w:r w:rsidRPr="00033144">
        <w:t>calculated as the product of the market risk premium and equity beta.</w:t>
      </w:r>
      <w:r w:rsidRPr="00033144">
        <w:rPr>
          <w:rStyle w:val="FootnoteReference"/>
        </w:rPr>
        <w:footnoteReference w:id="153"/>
      </w:r>
      <w:r w:rsidRPr="00033144">
        <w:t xml:space="preserve"> Our Sharpe-Lintner CAPM estimate is based on:</w:t>
      </w:r>
    </w:p>
    <w:p w:rsidR="002F6FA6" w:rsidRPr="002F6FA6" w:rsidRDefault="002F6FA6" w:rsidP="002F6FA6">
      <w:pPr>
        <w:pStyle w:val="AERbulletlistfirststyle"/>
      </w:pPr>
      <w:r w:rsidRPr="00033144">
        <w:t xml:space="preserve">a </w:t>
      </w:r>
      <w:r w:rsidR="004D20D1">
        <w:t>placeholder</w:t>
      </w:r>
      <w:r w:rsidR="004D20D1" w:rsidRPr="00033144">
        <w:t xml:space="preserve"> </w:t>
      </w:r>
      <w:r w:rsidRPr="00033144">
        <w:t>risk free rate estimate of 2.</w:t>
      </w:r>
      <w:r w:rsidRPr="002F6FA6">
        <w:t>57 per cent</w:t>
      </w:r>
    </w:p>
    <w:p w:rsidR="002F6FA6" w:rsidRPr="002F6FA6" w:rsidRDefault="002F6FA6" w:rsidP="002F6FA6">
      <w:pPr>
        <w:pStyle w:val="AERbulletlistfirststyle"/>
      </w:pPr>
      <w:r w:rsidRPr="00033144">
        <w:t xml:space="preserve">a market risk premium estimate of 6.5 per cent, and </w:t>
      </w:r>
    </w:p>
    <w:p w:rsidR="002F6FA6" w:rsidRPr="002F6FA6" w:rsidRDefault="002F6FA6" w:rsidP="002F6FA6">
      <w:pPr>
        <w:pStyle w:val="AERbulletlistfirststyle"/>
      </w:pPr>
      <w:proofErr w:type="gramStart"/>
      <w:r w:rsidRPr="00033144">
        <w:t>an</w:t>
      </w:r>
      <w:proofErr w:type="gramEnd"/>
      <w:r w:rsidRPr="00033144">
        <w:t xml:space="preserve"> equity beta estimate of 0.7.</w:t>
      </w:r>
      <w:r w:rsidRPr="002F6FA6">
        <w:rPr>
          <w:rStyle w:val="FootnoteReference"/>
        </w:rPr>
        <w:footnoteReference w:id="154"/>
      </w:r>
      <w:r w:rsidRPr="002F6FA6">
        <w:t xml:space="preserve"> </w:t>
      </w:r>
    </w:p>
    <w:p w:rsidR="002F6FA6" w:rsidRDefault="002F6FA6" w:rsidP="002F6FA6">
      <w:pPr>
        <w:numPr>
          <w:ilvl w:val="0"/>
          <w:numId w:val="25"/>
        </w:numPr>
      </w:pPr>
      <w:r>
        <w:t>Our derivation of these parameter estimates is outlined in the subsections below.</w:t>
      </w:r>
      <w:r w:rsidR="004D20D1">
        <w:t xml:space="preserve"> We will update these estimates in our final decision based on prevailing market conditions.</w:t>
      </w:r>
    </w:p>
    <w:p w:rsidR="002F6FA6" w:rsidRDefault="002F6FA6" w:rsidP="002F6FA6">
      <w:pPr>
        <w:numPr>
          <w:ilvl w:val="0"/>
          <w:numId w:val="25"/>
        </w:numPr>
      </w:pPr>
      <w:r>
        <w:t>The following aspects of our return on equity estimate have broad agreement from both service providers and consumer groups:</w:t>
      </w:r>
    </w:p>
    <w:p w:rsidR="002F6FA6" w:rsidRDefault="002F6FA6" w:rsidP="002F6FA6">
      <w:pPr>
        <w:pStyle w:val="AERbulletlistfirststyle"/>
      </w:pPr>
      <w:r>
        <w:t>The Sharpe-Lintner CAPM, at least in combination with other relevant material, is valuable for estimating return on equity</w:t>
      </w:r>
    </w:p>
    <w:p w:rsidR="002F6FA6" w:rsidRDefault="002F6FA6" w:rsidP="002F6FA6">
      <w:pPr>
        <w:pStyle w:val="AERbulletlistfirststyle"/>
      </w:pPr>
      <w:r>
        <w:t>The risk free rate should be estimated as the yield, averaged over a 20 business day averaging period, on Australian government securities with a ten-year term-to-maturity.</w:t>
      </w:r>
      <w:r>
        <w:rPr>
          <w:rStyle w:val="FootnoteReference"/>
        </w:rPr>
        <w:footnoteReference w:id="155"/>
      </w:r>
    </w:p>
    <w:p w:rsidR="002F6FA6" w:rsidRDefault="002F6FA6" w:rsidP="002F6FA6">
      <w:pPr>
        <w:pStyle w:val="AERbulletlistfirststyle"/>
      </w:pPr>
      <w:r>
        <w:t>Market risk premium estimates should be informed by historical stock returns and (to some extent) dividend growth model estimates.</w:t>
      </w:r>
    </w:p>
    <w:p w:rsidR="002F6FA6" w:rsidRDefault="002F6FA6" w:rsidP="002F6FA6">
      <w:pPr>
        <w:pStyle w:val="AERbulletlistfirststyle"/>
      </w:pPr>
      <w:r>
        <w:t>Equity beta estimates should be informed by regression estimates of the equity beta of relevant Australian and, to some extent, international energy network businesses.</w:t>
      </w:r>
    </w:p>
    <w:p w:rsidR="002F6FA6" w:rsidRDefault="002F6FA6" w:rsidP="002F6FA6">
      <w:pPr>
        <w:pStyle w:val="AERbulletlistfirststyle"/>
      </w:pPr>
      <w:r>
        <w:t>The Wright specification of the CAPM, and return on equity estimates from broker and valuation reports, are relevant material that can inform return on equity estimation.</w:t>
      </w:r>
    </w:p>
    <w:p w:rsidR="002F6FA6" w:rsidRDefault="002F6FA6" w:rsidP="002F6FA6">
      <w:r>
        <w:t>There was also broad agreement from consumer groups on the application of our foundation model approach as set out in our Guideline. In applying our foundation model approach, some consumer groups supported our parameter estimates of 6.5 per cent for market risk premium and 0.7 for equity beta</w:t>
      </w:r>
      <w:r>
        <w:rPr>
          <w:rStyle w:val="FootnoteReference"/>
        </w:rPr>
        <w:footnoteReference w:id="156"/>
      </w:r>
      <w:r>
        <w:t xml:space="preserve"> while others submitted that these parameters should be lower.</w:t>
      </w:r>
      <w:r>
        <w:rPr>
          <w:rStyle w:val="FootnoteReference"/>
        </w:rPr>
        <w:footnoteReference w:id="157"/>
      </w:r>
    </w:p>
    <w:p w:rsidR="002F6FA6" w:rsidRDefault="002F6FA6" w:rsidP="002F6FA6">
      <w:r>
        <w:t>Origin Energy submitted that we have</w:t>
      </w:r>
      <w:r w:rsidRPr="009F571B">
        <w:t xml:space="preserve"> adopted a balanced and pragmatic approach that provides certain and predictable outcomes for investors and provides a balance between the views of consumer groups and the network businesses</w:t>
      </w:r>
      <w:r>
        <w:t>.</w:t>
      </w:r>
      <w:r>
        <w:rPr>
          <w:rStyle w:val="FootnoteReference"/>
        </w:rPr>
        <w:footnoteReference w:id="158"/>
      </w:r>
      <w:r w:rsidRPr="00ED6D11">
        <w:t xml:space="preserve"> </w:t>
      </w:r>
      <w:r>
        <w:t>AGL submitted support for our Rate of Return Guideline as an equitable balance between the interests of the distribution networks and energy consumers.</w:t>
      </w:r>
      <w:r>
        <w:rPr>
          <w:rStyle w:val="FootnoteReference"/>
        </w:rPr>
        <w:footnoteReference w:id="159"/>
      </w:r>
      <w:r w:rsidRPr="00ED6D11">
        <w:t xml:space="preserve"> </w:t>
      </w:r>
      <w:r>
        <w:t xml:space="preserve">The Energy Users Coalition of Victoria (EUCV) noted that </w:t>
      </w:r>
      <w:r w:rsidRPr="00C85589">
        <w:t>consumers have accepted the guideline as being equitable and appropriate</w:t>
      </w:r>
      <w:r>
        <w:t>.</w:t>
      </w:r>
      <w:r>
        <w:rPr>
          <w:rStyle w:val="FootnoteReference"/>
        </w:rPr>
        <w:footnoteReference w:id="160"/>
      </w:r>
      <w:r w:rsidRPr="00ED6D11">
        <w:t xml:space="preserve"> </w:t>
      </w:r>
      <w:r>
        <w:t>The Consumer Challenger Panel (sub-panel 3) (</w:t>
      </w:r>
      <w:r w:rsidRPr="00ED6D11">
        <w:t>CCP3</w:t>
      </w:r>
      <w:r>
        <w:t>)</w:t>
      </w:r>
      <w:r w:rsidRPr="00ED6D11">
        <w:t xml:space="preserve"> noted that the AER should continue to apply the </w:t>
      </w:r>
      <w:r>
        <w:t>return on equity</w:t>
      </w:r>
      <w:r w:rsidRPr="00ED6D11">
        <w:t xml:space="preserve"> methodology set out in the Guideline because the regulated businesses have not provided sufficient reasons to move away from it.</w:t>
      </w:r>
      <w:r w:rsidRPr="00ED6D11">
        <w:rPr>
          <w:rStyle w:val="FootnoteReference"/>
        </w:rPr>
        <w:footnoteReference w:id="161"/>
      </w:r>
    </w:p>
    <w:p w:rsidR="002F6FA6" w:rsidRDefault="002F6FA6" w:rsidP="002F6FA6">
      <w:r>
        <w:t>While there was general support for our parameter estimates, consumer groups also submitted that these parameter estimates reflect a 'cumulative conservatism' that may result in over-estimating the return on equity.</w:t>
      </w:r>
      <w:r w:rsidRPr="002B7A06">
        <w:rPr>
          <w:rStyle w:val="FootnoteReference"/>
        </w:rPr>
        <w:t xml:space="preserve"> </w:t>
      </w:r>
      <w:r>
        <w:rPr>
          <w:rStyle w:val="FootnoteReference"/>
        </w:rPr>
        <w:footnoteReference w:id="162"/>
      </w:r>
      <w:r>
        <w:t xml:space="preserve"> However, in supporting our parameter estimates, consumer groups submitted that they valued the predictability and transparency resulting from the application of our Guideline and foundation model approach.</w:t>
      </w:r>
      <w:r>
        <w:rPr>
          <w:rStyle w:val="FootnoteReference"/>
        </w:rPr>
        <w:footnoteReference w:id="163"/>
      </w:r>
    </w:p>
    <w:p w:rsidR="002F6FA6" w:rsidRDefault="002F6FA6" w:rsidP="002F6FA6">
      <w:pPr>
        <w:numPr>
          <w:ilvl w:val="0"/>
          <w:numId w:val="25"/>
        </w:numPr>
      </w:pPr>
      <w:r>
        <w:t>Service providers disagreed with us on the relative merits of relevant material, as well as some of our methodological choices, submitting that:</w:t>
      </w:r>
    </w:p>
    <w:p w:rsidR="002F6FA6" w:rsidRDefault="002F6FA6" w:rsidP="002F6FA6">
      <w:pPr>
        <w:pStyle w:val="AERbulletlistfirststyle"/>
      </w:pPr>
      <w:r>
        <w:t>The Black CAPM, Fama-French model, and dividend growth model can reliably inform an overall return on equity estimate and compensate for biases existing in the Sharpe-Lintner CAPM.</w:t>
      </w:r>
    </w:p>
    <w:p w:rsidR="002F6FA6" w:rsidRDefault="002F6FA6" w:rsidP="002F6FA6">
      <w:pPr>
        <w:pStyle w:val="AERbulletlistfirststyle"/>
      </w:pPr>
      <w:r>
        <w:t>In estimating the market risk premium we should afford greater weight to estimates from our dividend growth model, from valuation reports, and from the Wright specification of the CAPM; while affording less weight to estimates from surveys and other regulators' decisions. Further, we have incorrectly utilised this evidence.</w:t>
      </w:r>
    </w:p>
    <w:p w:rsidR="002F6FA6" w:rsidRDefault="002F6FA6" w:rsidP="002F6FA6">
      <w:pPr>
        <w:pStyle w:val="AERbulletlistfirststyle"/>
      </w:pPr>
      <w:r>
        <w:t>The regression evidence of equity betas for relevant businesses, which should not be restricted to regulated energy businesses, indicates that our equity beta estimate should be greater than 0.7. Further, our conceptual analysis of equity beta relies on an incorrect assessment of risk,</w:t>
      </w:r>
      <w:r>
        <w:rPr>
          <w:rStyle w:val="FootnoteReference"/>
        </w:rPr>
        <w:footnoteReference w:id="164"/>
      </w:r>
      <w:r>
        <w:t xml:space="preserve"> and our application of the theory of the Black CAPM should be quantified.</w:t>
      </w:r>
    </w:p>
    <w:p w:rsidR="002F6FA6" w:rsidRDefault="002F6FA6" w:rsidP="002F6FA6">
      <w:pPr>
        <w:pStyle w:val="AERbulletlistfirststyle"/>
      </w:pPr>
      <w:r>
        <w:t>In comparing our initial return on equity estimate, based on the Sharpe-Lintner CAPM, against a range of other independent material, we have incorrectly adjusted and interpreted evidence from the Wright approach, broker reports, valuation reports, and other regulators' decisions.</w:t>
      </w:r>
    </w:p>
    <w:p w:rsidR="002F6FA6" w:rsidRPr="00257DA2" w:rsidRDefault="002F6FA6" w:rsidP="002F6FA6">
      <w:pPr>
        <w:pStyle w:val="AERbulletlistfirststyle"/>
        <w:rPr>
          <w:rStyle w:val="AERtexthighlight"/>
          <w:shd w:val="clear" w:color="auto" w:fill="auto"/>
        </w:rPr>
      </w:pPr>
      <w:r w:rsidRPr="00257DA2">
        <w:rPr>
          <w:rStyle w:val="AERtexthighlight"/>
          <w:shd w:val="clear" w:color="auto" w:fill="auto"/>
        </w:rPr>
        <w:t>Our foundation model approach follows movements in the risk free rate too closely, resulting in a return that is too low in the current market.</w:t>
      </w:r>
    </w:p>
    <w:p w:rsidR="002F6FA6" w:rsidRDefault="002F6FA6" w:rsidP="002F6FA6">
      <w:pPr>
        <w:numPr>
          <w:ilvl w:val="0"/>
          <w:numId w:val="25"/>
        </w:numPr>
      </w:pPr>
      <w:r>
        <w:t>These issues are discussed in turn below. W</w:t>
      </w:r>
      <w:r w:rsidRPr="00B005DF">
        <w:t>e are not satisfied that</w:t>
      </w:r>
      <w:r>
        <w:t xml:space="preserve"> any</w:t>
      </w:r>
      <w:r w:rsidRPr="00B005DF">
        <w:t xml:space="preserve"> information </w:t>
      </w:r>
      <w:r>
        <w:t xml:space="preserve">submitted to us </w:t>
      </w:r>
      <w:r w:rsidRPr="00B005DF">
        <w:t xml:space="preserve">indicates </w:t>
      </w:r>
      <w:r>
        <w:t xml:space="preserve">that </w:t>
      </w:r>
      <w:r w:rsidRPr="00B005DF">
        <w:t>a departure from</w:t>
      </w:r>
      <w:r>
        <w:t xml:space="preserve"> </w:t>
      </w:r>
      <w:r w:rsidRPr="00B005DF">
        <w:t xml:space="preserve">the </w:t>
      </w:r>
      <w:r>
        <w:t>G</w:t>
      </w:r>
      <w:r w:rsidRPr="00B005DF">
        <w:t xml:space="preserve">uideline would </w:t>
      </w:r>
      <w:r>
        <w:t>contribute to the achievement of</w:t>
      </w:r>
      <w:r w:rsidRPr="00B005DF">
        <w:t xml:space="preserve"> the </w:t>
      </w:r>
      <w:r>
        <w:t>ARORO</w:t>
      </w:r>
      <w:r w:rsidRPr="00B005DF">
        <w:t xml:space="preserve">. </w:t>
      </w:r>
      <w:r>
        <w:t>In addition to the reasons outlined in the subsections below, w</w:t>
      </w:r>
      <w:r w:rsidRPr="00B005DF">
        <w:t xml:space="preserve">e </w:t>
      </w:r>
      <w:r>
        <w:t>consider</w:t>
      </w:r>
      <w:r w:rsidRPr="00B005DF">
        <w:t xml:space="preserve"> the importance placed by all stakeholders on predictability and </w:t>
      </w:r>
      <w:r>
        <w:t>transparency</w:t>
      </w:r>
      <w:r w:rsidRPr="00B005DF">
        <w:t xml:space="preserve"> is important to </w:t>
      </w:r>
      <w:r>
        <w:t xml:space="preserve">contribute to the </w:t>
      </w:r>
      <w:r w:rsidRPr="00B005DF">
        <w:t>achiev</w:t>
      </w:r>
      <w:r>
        <w:t>ement of</w:t>
      </w:r>
      <w:r w:rsidRPr="00B005DF">
        <w:t xml:space="preserve"> the </w:t>
      </w:r>
      <w:r>
        <w:t>ARORO.</w:t>
      </w:r>
      <w:r>
        <w:rPr>
          <w:rStyle w:val="FootnoteReference"/>
        </w:rPr>
        <w:footnoteReference w:id="165"/>
      </w:r>
    </w:p>
    <w:p w:rsidR="002F6FA6" w:rsidRPr="0032489B" w:rsidRDefault="002F6FA6" w:rsidP="002F6FA6">
      <w:pPr>
        <w:pStyle w:val="HeadingBoldBlue"/>
        <w:numPr>
          <w:ilvl w:val="0"/>
          <w:numId w:val="25"/>
        </w:numPr>
        <w:rPr>
          <w:rStyle w:val="AERtextorange"/>
        </w:rPr>
      </w:pPr>
      <w:bookmarkStart w:id="62" w:name="_Toc443923181"/>
      <w:r>
        <w:rPr>
          <w:rStyle w:val="AERtextorange"/>
        </w:rPr>
        <w:t>Services providers' proposed multi-model approach</w:t>
      </w:r>
      <w:bookmarkEnd w:id="62"/>
    </w:p>
    <w:p w:rsidR="007D4F36" w:rsidRPr="007D4F36" w:rsidRDefault="007D4F36" w:rsidP="007D4F36">
      <w:r w:rsidRPr="00033144">
        <w:t>Our return on equity estimate of 7.</w:t>
      </w:r>
      <w:r w:rsidRPr="007D4F36">
        <w:t>1 per cent is derived from our application of the Sharpe-Lintner CAPM as our foundation model. We consider the Sharpe-Lintner CAPM is the best model for estimating the efficient costs of equity financing because it:</w:t>
      </w:r>
    </w:p>
    <w:p w:rsidR="007D4F36" w:rsidRPr="007D4F36" w:rsidRDefault="007D4F36" w:rsidP="007D4F36">
      <w:pPr>
        <w:pStyle w:val="AERbulletlistfirststyle"/>
      </w:pPr>
      <w:r w:rsidRPr="00033144">
        <w:t>transparently presents the key risk and reward trade-off</w:t>
      </w:r>
      <w:r w:rsidRPr="007D4F36">
        <w:rPr>
          <w:rStyle w:val="FootnoteReference"/>
        </w:rPr>
        <w:footnoteReference w:id="166"/>
      </w:r>
      <w:r w:rsidRPr="007D4F36">
        <w:t xml:space="preserve"> that is at the heart of our task</w:t>
      </w:r>
      <w:r w:rsidRPr="007D4F36">
        <w:rPr>
          <w:rStyle w:val="FootnoteReference"/>
        </w:rPr>
        <w:footnoteReference w:id="167"/>
      </w:r>
    </w:p>
    <w:p w:rsidR="007D4F36" w:rsidRPr="007D4F36" w:rsidRDefault="007D4F36" w:rsidP="007D4F36">
      <w:pPr>
        <w:pStyle w:val="AERbulletlistfirststyle"/>
      </w:pPr>
      <w:r w:rsidRPr="00033144">
        <w:t>is widely and consistently used for estimating the expected return on equity by financial market practitioners, academics, and other regulators</w:t>
      </w:r>
      <w:r w:rsidRPr="007D4F36">
        <w:rPr>
          <w:rStyle w:val="FootnoteReference"/>
        </w:rPr>
        <w:footnoteReference w:id="168"/>
      </w:r>
    </w:p>
    <w:p w:rsidR="007D4F36" w:rsidRPr="007D4F36" w:rsidRDefault="007D4F36" w:rsidP="007D4F36">
      <w:pPr>
        <w:pStyle w:val="AERbulletlistfirststyle"/>
      </w:pPr>
      <w:proofErr w:type="gramStart"/>
      <w:r w:rsidRPr="00033144">
        <w:t>has</w:t>
      </w:r>
      <w:proofErr w:type="gramEnd"/>
      <w:r w:rsidRPr="00033144">
        <w:t xml:space="preserve"> well-accepted and unbiased methods for estimating its parameters, and these parameters can be estimated with tolerable accuracy, unlike the alternative models proposed by service providers.</w:t>
      </w:r>
    </w:p>
    <w:p w:rsidR="002F6FA6" w:rsidRPr="0051262A" w:rsidRDefault="002F6FA6" w:rsidP="002F6FA6">
      <w:r w:rsidRPr="0051262A">
        <w:t>Our consultants have also agreed with our use of the Sharpe-Lintner CAPM as the foundation model. Handley stated:</w:t>
      </w:r>
      <w:r w:rsidRPr="0051262A">
        <w:rPr>
          <w:rStyle w:val="FootnoteReference"/>
        </w:rPr>
        <w:footnoteReference w:id="169"/>
      </w:r>
    </w:p>
    <w:p w:rsidR="002F6FA6" w:rsidRPr="00D50D12" w:rsidRDefault="002F6FA6" w:rsidP="002F6FA6">
      <w:pPr>
        <w:pStyle w:val="AERquote"/>
      </w:pPr>
      <w:r w:rsidRPr="00D50D12">
        <w:t>[t]he AER's choice of the Sharpe-CAPM as foundation model</w:t>
      </w:r>
      <w:r>
        <w:t xml:space="preserve"> is</w:t>
      </w:r>
      <w:r w:rsidRPr="00D50D12">
        <w:t xml:space="preserve"> entirely appropriate and reasonable for this purpose. The Sharpe-CAPM is the standard (equilibrium) asset pricing model. It has a long established and well understood theoretical foundation and is a transparent representation of one of the most fundamental paradigms of finan</w:t>
      </w:r>
      <w:r>
        <w:t>ce - the risk-return trade off.</w:t>
      </w:r>
    </w:p>
    <w:p w:rsidR="002F6FA6" w:rsidRPr="0051262A" w:rsidRDefault="002F6FA6" w:rsidP="002F6FA6">
      <w:r w:rsidRPr="0051262A">
        <w:t>McKenzie and Partington indicated with respect to the Sharpe–Lintner CAPM:</w:t>
      </w:r>
      <w:r w:rsidRPr="0051262A">
        <w:rPr>
          <w:rStyle w:val="FootnoteReference"/>
        </w:rPr>
        <w:footnoteReference w:id="170"/>
      </w:r>
    </w:p>
    <w:p w:rsidR="002F6FA6" w:rsidRDefault="002F6FA6" w:rsidP="002F6FA6">
      <w:pPr>
        <w:pStyle w:val="AERquote"/>
      </w:pPr>
      <w:r w:rsidRPr="00D50D12">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w:t>
      </w:r>
    </w:p>
    <w:p w:rsidR="002F6FA6" w:rsidRDefault="002F6FA6" w:rsidP="002F6FA6">
      <w:r>
        <w:t>Since publishing our Guideline service providers have submitted that the use of additional models</w:t>
      </w:r>
      <w:r w:rsidRPr="0051262A">
        <w:t xml:space="preserve"> </w:t>
      </w:r>
      <w:r>
        <w:t>for estimating the return on equity, and various methods for combining the models, would result in an improved estimate. The additional models submitted by service providers are the Black CAPM, Fama-French model, the dividend growth model, and the historical and Wright specifications to the Sharpe-Lintner CAPM.</w:t>
      </w:r>
      <w:r w:rsidRPr="00050D2D">
        <w:t xml:space="preserve"> </w:t>
      </w:r>
      <w:r>
        <w:t xml:space="preserve"> </w:t>
      </w:r>
    </w:p>
    <w:p w:rsidR="002F6FA6" w:rsidRDefault="002F6FA6" w:rsidP="002F6FA6">
      <w:r>
        <w:t xml:space="preserve">We consider the relative merits of this material in detail in section </w:t>
      </w:r>
      <w:r>
        <w:fldChar w:fldCharType="begin"/>
      </w:r>
      <w:r>
        <w:instrText xml:space="preserve"> REF _Ref451685041 \r \h </w:instrText>
      </w:r>
      <w:r>
        <w:fldChar w:fldCharType="separate"/>
      </w:r>
      <w:r w:rsidR="003F1AAB">
        <w:t>B</w:t>
      </w:r>
      <w:r>
        <w:fldChar w:fldCharType="end"/>
      </w:r>
      <w:r>
        <w:t xml:space="preserve"> of this attachment. In summary, we consider that the models other than the Sharpe-Lintner CAPM are too unreliable and at risk of potential bias to be relied upon. </w:t>
      </w:r>
      <w:r w:rsidRPr="00CB12BC">
        <w:t>G</w:t>
      </w:r>
      <w:r>
        <w:t>iven the limitations of the other equity models proposed by the service providers, we consider that:</w:t>
      </w:r>
    </w:p>
    <w:p w:rsidR="002F6FA6" w:rsidRPr="00B005DF" w:rsidRDefault="002F6FA6" w:rsidP="002F6FA6">
      <w:pPr>
        <w:pStyle w:val="AERbulletlistfirststyle"/>
      </w:pPr>
      <w:r>
        <w:t>These models should not form part of our foundation model approach, either as the sole model or as part of a multi-model approach</w:t>
      </w:r>
      <w:r w:rsidRPr="00B005DF">
        <w:t>.</w:t>
      </w:r>
    </w:p>
    <w:p w:rsidR="002F6FA6" w:rsidRPr="00B005DF" w:rsidRDefault="002F6FA6" w:rsidP="002F6FA6">
      <w:pPr>
        <w:pStyle w:val="AERbulletlistfirststyle"/>
      </w:pPr>
      <w:r>
        <w:t xml:space="preserve">The Wright approach, the dividend growth model, and the theory underpinning the Black CAPM may provide some (albeit limited) insights. This material has been used to inform our overall return on equity estimate (Wright) or the estimation of Sharpe-Lintner CAPM </w:t>
      </w:r>
      <w:r w:rsidRPr="00B005DF">
        <w:t xml:space="preserve">parameters (Black CAPM and </w:t>
      </w:r>
      <w:r>
        <w:t>dividend growth model</w:t>
      </w:r>
      <w:r w:rsidRPr="00B005DF">
        <w:t>).</w:t>
      </w:r>
      <w:r w:rsidRPr="00B005DF">
        <w:rPr>
          <w:rStyle w:val="FootnoteReference"/>
        </w:rPr>
        <w:footnoteReference w:id="171"/>
      </w:r>
    </w:p>
    <w:p w:rsidR="002F6FA6" w:rsidRDefault="002F6FA6" w:rsidP="002F6FA6">
      <w:pPr>
        <w:pStyle w:val="AERbulletlistfirststyle"/>
      </w:pPr>
      <w:r>
        <w:t xml:space="preserve">The Fama-French model and historical specification of the Sharpe-Lintner CAPM should not be used to inform our return on equity estimate in any capacity. </w:t>
      </w:r>
    </w:p>
    <w:p w:rsidR="002F6FA6" w:rsidRDefault="002F6FA6" w:rsidP="002F6FA6">
      <w:r>
        <w:t>Consumers and other stakeholders generally supported our use of the Sharp-Lintner CAPM and our foundation model approach.</w:t>
      </w:r>
      <w:r>
        <w:rPr>
          <w:rStyle w:val="FootnoteReference"/>
        </w:rPr>
        <w:footnoteReference w:id="172"/>
      </w:r>
      <w:r>
        <w:t xml:space="preserve"> </w:t>
      </w:r>
    </w:p>
    <w:p w:rsidR="002F6FA6" w:rsidRDefault="002F6FA6" w:rsidP="002F6FA6">
      <w:r>
        <w:t>Service providers generally expressed preference towards estimating the return on equity by combining estimates from the Sharpe-Lintner CAPM, Black CAPM, Fama-French model, and dividend growth model (the multi model approach).</w:t>
      </w:r>
      <w:r>
        <w:rPr>
          <w:rStyle w:val="FootnoteReference"/>
        </w:rPr>
        <w:footnoteReference w:id="173"/>
      </w:r>
      <w:r>
        <w:t xml:space="preserve"> </w:t>
      </w:r>
    </w:p>
    <w:p w:rsidR="002F6FA6" w:rsidRDefault="002F6FA6" w:rsidP="002F6FA6">
      <w:r>
        <w:t>Service providers also expressed a second preference for an alternative implementation of the Sharpe-Lintner CAPM, in which the equity beta is increased to account for the low-beta and book-to-market biases</w:t>
      </w:r>
      <w:r w:rsidRPr="00AC264F">
        <w:t xml:space="preserve"> </w:t>
      </w:r>
      <w:r>
        <w:t>using outputs from the Black CAPM and the Fama-French model respectively.</w:t>
      </w:r>
      <w:r w:rsidRPr="00177FBB">
        <w:rPr>
          <w:rStyle w:val="FootnoteReference"/>
        </w:rPr>
        <w:footnoteReference w:id="174"/>
      </w:r>
      <w:r w:rsidRPr="00177FBB">
        <w:t xml:space="preserve"> </w:t>
      </w:r>
      <w:r>
        <w:t>However, we consider that Frontier's Sharpe-Lintner CAPM appears to be effectively another multi-model approach, applying a 75 per cent weight to the return on equity estimate from its Black CAPM and 25 per cent weight to its Fama-French model estimate.</w:t>
      </w:r>
      <w:r>
        <w:rPr>
          <w:rStyle w:val="FootnoteReference"/>
        </w:rPr>
        <w:footnoteReference w:id="175"/>
      </w:r>
      <w:r>
        <w:t xml:space="preserve"> </w:t>
      </w:r>
    </w:p>
    <w:p w:rsidR="002F6FA6" w:rsidRDefault="002F6FA6" w:rsidP="002F6FA6">
      <w:r>
        <w:t>The service providers submit that either approach better reflects efficient costs of equity financing, and that our foundation model approach results in an estimate of the required return on equity that is too low.</w:t>
      </w:r>
      <w:r w:rsidRPr="00177FBB">
        <w:rPr>
          <w:rStyle w:val="FootnoteReference"/>
        </w:rPr>
        <w:t xml:space="preserve"> </w:t>
      </w:r>
      <w:r w:rsidRPr="00177FBB">
        <w:rPr>
          <w:rStyle w:val="FootnoteReference"/>
        </w:rPr>
        <w:footnoteReference w:id="176"/>
      </w:r>
      <w:r w:rsidRPr="00177FBB">
        <w:t xml:space="preserve"> </w:t>
      </w:r>
    </w:p>
    <w:p w:rsidR="002F6FA6" w:rsidRDefault="002F6FA6" w:rsidP="002F6FA6">
      <w:pPr>
        <w:numPr>
          <w:ilvl w:val="0"/>
          <w:numId w:val="25"/>
        </w:numPr>
      </w:pPr>
      <w:r>
        <w:t>We note that service providers have raised similar arguments in previous submissions and revenue determinations.</w:t>
      </w:r>
      <w:r w:rsidRPr="00177FBB">
        <w:rPr>
          <w:rStyle w:val="FootnoteReference"/>
        </w:rPr>
        <w:t xml:space="preserve"> </w:t>
      </w:r>
      <w:r w:rsidRPr="00177FBB">
        <w:rPr>
          <w:rStyle w:val="FootnoteReference"/>
        </w:rPr>
        <w:footnoteReference w:id="177"/>
      </w:r>
      <w:r>
        <w:t xml:space="preserve"> They effectively revolve around the following claims: </w:t>
      </w:r>
    </w:p>
    <w:p w:rsidR="002F6FA6" w:rsidRDefault="002F6FA6" w:rsidP="002F6FA6">
      <w:pPr>
        <w:pStyle w:val="AERbulletlistfirststyle"/>
      </w:pPr>
      <w:r>
        <w:t>That</w:t>
      </w:r>
      <w:r w:rsidRPr="004A6CD1">
        <w:t xml:space="preserve"> </w:t>
      </w:r>
      <w:r>
        <w:t>empirical</w:t>
      </w:r>
      <w:r w:rsidRPr="004A6CD1">
        <w:t xml:space="preserve"> evid</w:t>
      </w:r>
      <w:r>
        <w:t xml:space="preserve">ence shows that the Sharpe-Lintner </w:t>
      </w:r>
      <w:r w:rsidRPr="004A6CD1">
        <w:t xml:space="preserve">CAPM </w:t>
      </w:r>
      <w:r>
        <w:t>is downwardly biased</w:t>
      </w:r>
      <w:r w:rsidRPr="004A6CD1">
        <w:t xml:space="preserve"> and that there are alternative models available</w:t>
      </w:r>
      <w:r>
        <w:t xml:space="preserve"> that can reliably</w:t>
      </w:r>
      <w:r w:rsidRPr="004A6CD1">
        <w:t xml:space="preserve"> address </w:t>
      </w:r>
      <w:r>
        <w:t>these</w:t>
      </w:r>
      <w:r w:rsidRPr="004A6CD1">
        <w:t xml:space="preserve"> </w:t>
      </w:r>
      <w:r>
        <w:t>biases,</w:t>
      </w:r>
      <w:r w:rsidRPr="00177FBB">
        <w:rPr>
          <w:rStyle w:val="FootnoteReference"/>
        </w:rPr>
        <w:footnoteReference w:id="178"/>
      </w:r>
      <w:r w:rsidRPr="00177FBB">
        <w:t xml:space="preserve"> </w:t>
      </w:r>
      <w:r>
        <w:t xml:space="preserve"> specifically:</w:t>
      </w:r>
    </w:p>
    <w:p w:rsidR="002F6FA6" w:rsidRDefault="002F6FA6" w:rsidP="002F6FA6">
      <w:pPr>
        <w:pStyle w:val="AERbulletlistsecondstyle"/>
      </w:pPr>
      <w:r>
        <w:t xml:space="preserve">the Black CAPM can address low beta bias in the Sharpe-Lintner CAPM (a tendency for the Sharpe-Lintner CAPM to estimate a downwardly-biased return on equity for stocks with an equity beta less than one), and </w:t>
      </w:r>
    </w:p>
    <w:p w:rsidR="002F6FA6" w:rsidRDefault="002F6FA6" w:rsidP="002F6FA6">
      <w:pPr>
        <w:pStyle w:val="AERbulletlistsecondstyle"/>
      </w:pPr>
      <w:r>
        <w:t>the Fama-French model can address book-to-market bias in the Sharpe-Lintner CAPM (a tendency for the Sharpe-Lintner CAPM to estimate a downwardly-biased return on equity for stocks with low book-to-market ratios)</w:t>
      </w:r>
    </w:p>
    <w:p w:rsidR="002F6FA6" w:rsidRPr="00A75D2F" w:rsidRDefault="002F6FA6" w:rsidP="002F6FA6">
      <w:pPr>
        <w:pStyle w:val="AERbulletlistfirststyle"/>
      </w:pPr>
      <w:r w:rsidRPr="00A75D2F">
        <w:t xml:space="preserve">The dividend growth model more accurately and reliably reflects investors' prevailing </w:t>
      </w:r>
      <w:r>
        <w:t>required</w:t>
      </w:r>
      <w:r w:rsidRPr="00A75D2F">
        <w:t xml:space="preserve"> return on equity, and provides a better consideration of prevailing market conditions, than the Sharpe-Lintner CAPM. </w:t>
      </w:r>
    </w:p>
    <w:p w:rsidR="002F6FA6" w:rsidRDefault="002F6FA6" w:rsidP="002F6FA6">
      <w:pPr>
        <w:numPr>
          <w:ilvl w:val="0"/>
          <w:numId w:val="25"/>
        </w:numPr>
      </w:pPr>
      <w:r>
        <w:t>In their revised proposals, services providers provided new expert reports from Frontier and HoustonKemp to further support their views.</w:t>
      </w:r>
      <w:r>
        <w:rPr>
          <w:rStyle w:val="FootnoteReference"/>
        </w:rPr>
        <w:footnoteReference w:id="179"/>
      </w:r>
    </w:p>
    <w:p w:rsidR="002F6FA6" w:rsidRDefault="002F6FA6" w:rsidP="002F6FA6">
      <w:pPr>
        <w:numPr>
          <w:ilvl w:val="0"/>
          <w:numId w:val="25"/>
        </w:numPr>
      </w:pPr>
      <w:r>
        <w:t>We are not satisfied that the service providers' proposed application of other equity models</w:t>
      </w:r>
      <w:r>
        <w:rPr>
          <w:rStyle w:val="FootnoteReference"/>
        </w:rPr>
        <w:footnoteReference w:id="180"/>
      </w:r>
      <w:r>
        <w:t xml:space="preserve"> will result in a return on equity that is commensurate with efficient financing costs (given the risk of AusNet Services' regulated services).</w:t>
      </w:r>
      <w:r>
        <w:rPr>
          <w:rStyle w:val="FootnoteReference"/>
        </w:rPr>
        <w:footnoteReference w:id="181"/>
      </w:r>
      <w:r>
        <w:t xml:space="preserve"> We consider there is overwhelming evidence that the Sharpe-Lintner CAPM is the current standard-bearer for estimating expected equity returns. </w:t>
      </w:r>
    </w:p>
    <w:p w:rsidR="002F6FA6" w:rsidRDefault="002F6FA6" w:rsidP="002F6FA6">
      <w:pPr>
        <w:numPr>
          <w:ilvl w:val="0"/>
          <w:numId w:val="25"/>
        </w:numPr>
      </w:pPr>
      <w:r w:rsidRPr="00F912F9">
        <w:t xml:space="preserve">Our consultant, </w:t>
      </w:r>
      <w:r>
        <w:t xml:space="preserve">Partington and Satchell, noted that </w:t>
      </w:r>
      <w:r w:rsidRPr="007D3497">
        <w:t xml:space="preserve">the </w:t>
      </w:r>
      <w:r>
        <w:t>'</w:t>
      </w:r>
      <w:r w:rsidRPr="007D3497">
        <w:t>SLCAPM remains the premier model used to estimate the cost of capital in practice, by both industry and regulators</w:t>
      </w:r>
      <w:r>
        <w:t>' and has wide agreement</w:t>
      </w:r>
      <w:r w:rsidRPr="007D3497">
        <w:t xml:space="preserve"> </w:t>
      </w:r>
      <w:r>
        <w:t>as '</w:t>
      </w:r>
      <w:r w:rsidRPr="007D3497">
        <w:t>a model of equilibrium expected returns</w:t>
      </w:r>
      <w:r>
        <w:t>'</w:t>
      </w:r>
      <w:r w:rsidRPr="007D3497">
        <w:t>.</w:t>
      </w:r>
      <w:r>
        <w:rPr>
          <w:rStyle w:val="FootnoteReference"/>
        </w:rPr>
        <w:footnoteReference w:id="182"/>
      </w:r>
    </w:p>
    <w:p w:rsidR="002F6FA6" w:rsidRDefault="002F6FA6" w:rsidP="002F6FA6">
      <w:pPr>
        <w:numPr>
          <w:ilvl w:val="0"/>
          <w:numId w:val="25"/>
        </w:numPr>
      </w:pPr>
      <w:r w:rsidRPr="00F912F9">
        <w:t xml:space="preserve">Partington and Satchell </w:t>
      </w:r>
      <w:r>
        <w:t xml:space="preserve">also </w:t>
      </w:r>
      <w:r w:rsidRPr="00F912F9">
        <w:t xml:space="preserve">noted that the parsimony and observability of the Sharpe–Lintner CAPM </w:t>
      </w:r>
      <w:r>
        <w:t>'</w:t>
      </w:r>
      <w:r w:rsidRPr="00F912F9">
        <w:t>reduces opportunities for cherry picking and also provides the opportunity for a relatively transparent implementation</w:t>
      </w:r>
      <w:r>
        <w:t>'</w:t>
      </w:r>
      <w:r w:rsidRPr="00F912F9">
        <w:t>.</w:t>
      </w:r>
      <w:r>
        <w:rPr>
          <w:rStyle w:val="FootnoteReference"/>
        </w:rPr>
        <w:footnoteReference w:id="183"/>
      </w:r>
    </w:p>
    <w:p w:rsidR="002F6FA6" w:rsidRDefault="002F6FA6" w:rsidP="002F6FA6">
      <w:pPr>
        <w:numPr>
          <w:ilvl w:val="0"/>
          <w:numId w:val="25"/>
        </w:numPr>
        <w:rPr>
          <w:rStyle w:val="AERbody"/>
        </w:rPr>
      </w:pPr>
      <w:r w:rsidRPr="009423EC">
        <w:rPr>
          <w:rStyle w:val="AERbody"/>
        </w:rPr>
        <w:t>We do not agree that our application of the Sharpe-Lintner CAPM</w:t>
      </w:r>
      <w:r>
        <w:rPr>
          <w:rStyle w:val="AERbody"/>
        </w:rPr>
        <w:t xml:space="preserve">, given our choice of appropriate parameters, </w:t>
      </w:r>
      <w:r w:rsidRPr="009423EC">
        <w:rPr>
          <w:rStyle w:val="AERbody"/>
        </w:rPr>
        <w:t>is downwardly biased for either low beta bias or book-to-market bias.</w:t>
      </w:r>
      <w:r>
        <w:rPr>
          <w:rStyle w:val="AERbody"/>
        </w:rPr>
        <w:t xml:space="preserve"> We do not consider that reliable estimates of the return on equity can be derived from the Black CAPM, Fama-French model, or dividend growth model. </w:t>
      </w:r>
    </w:p>
    <w:p w:rsidR="002F6FA6" w:rsidRDefault="002F6FA6" w:rsidP="002F6FA6">
      <w:pPr>
        <w:numPr>
          <w:ilvl w:val="0"/>
          <w:numId w:val="25"/>
        </w:numPr>
      </w:pPr>
      <w:r>
        <w:t>We have considered and responded to these issues and the associated supporting material in our previous decisions.</w:t>
      </w:r>
      <w:r>
        <w:rPr>
          <w:rStyle w:val="FootnoteReference"/>
        </w:rPr>
        <w:footnoteReference w:id="184"/>
      </w:r>
      <w:r>
        <w:t xml:space="preserve"> That reasoning remains valid here. We respond to each of the issues raised in </w:t>
      </w:r>
      <w:r>
        <w:fldChar w:fldCharType="begin"/>
      </w:r>
      <w:r>
        <w:instrText xml:space="preserve"> REF  _Ref446349201 \* Lower \h </w:instrText>
      </w:r>
      <w:r>
        <w:fldChar w:fldCharType="separate"/>
      </w:r>
      <w:r w:rsidR="003F1AAB">
        <w:t xml:space="preserve">table </w:t>
      </w:r>
      <w:r w:rsidR="003F1AAB">
        <w:rPr>
          <w:noProof/>
        </w:rPr>
        <w:t>3</w:t>
      </w:r>
      <w:r w:rsidR="003F1AAB">
        <w:noBreakHyphen/>
      </w:r>
      <w:r w:rsidR="003F1AAB">
        <w:rPr>
          <w:noProof/>
        </w:rPr>
        <w:t>4</w:t>
      </w:r>
      <w:r>
        <w:fldChar w:fldCharType="end"/>
      </w:r>
      <w:r>
        <w:t>.</w:t>
      </w:r>
    </w:p>
    <w:p w:rsidR="002F6FA6" w:rsidRPr="007D2133" w:rsidRDefault="002F6FA6" w:rsidP="002F6FA6">
      <w:pPr>
        <w:rPr>
          <w:rStyle w:val="AERbody"/>
        </w:rPr>
      </w:pPr>
      <w:r>
        <w:rPr>
          <w:rStyle w:val="AERbody"/>
        </w:rPr>
        <w:t>We also note that o</w:t>
      </w:r>
      <w:r w:rsidRPr="002F6C93">
        <w:rPr>
          <w:rStyle w:val="AERbody"/>
        </w:rPr>
        <w:t>ur consideration of the relative merits of the Sharpe-Lintner CAPM, Black CAPM, Fama-French model, and dividend growth model are supported</w:t>
      </w:r>
      <w:r>
        <w:rPr>
          <w:rStyle w:val="AERbody"/>
        </w:rPr>
        <w:t xml:space="preserve"> by the widespread use of the Sharpe-Lintner </w:t>
      </w:r>
      <w:r w:rsidRPr="002F6C93">
        <w:rPr>
          <w:rStyle w:val="AERbody"/>
        </w:rPr>
        <w:t>CAPM over the other models by market participants including brokers, valuers,</w:t>
      </w:r>
      <w:r>
        <w:rPr>
          <w:rStyle w:val="AERbody"/>
        </w:rPr>
        <w:t xml:space="preserve"> and </w:t>
      </w:r>
      <w:r w:rsidRPr="002F6C93">
        <w:rPr>
          <w:rStyle w:val="AERbody"/>
        </w:rPr>
        <w:t>other regulators</w:t>
      </w:r>
      <w:r>
        <w:rPr>
          <w:rStyle w:val="AERbody"/>
        </w:rPr>
        <w:t>.</w:t>
      </w:r>
      <w:r>
        <w:rPr>
          <w:rStyle w:val="FootnoteReference"/>
        </w:rPr>
        <w:footnoteReference w:id="185"/>
      </w:r>
      <w:r>
        <w:rPr>
          <w:rStyle w:val="AERbody"/>
        </w:rPr>
        <w:t xml:space="preserve"> </w:t>
      </w:r>
      <w:r>
        <w:t xml:space="preserve">Further, </w:t>
      </w:r>
      <w:r w:rsidRPr="00971D38">
        <w:t xml:space="preserve">our </w:t>
      </w:r>
      <w:r>
        <w:t xml:space="preserve">application of the Sharpe-Lintner CAPM in our </w:t>
      </w:r>
      <w:r w:rsidRPr="00971D38">
        <w:t xml:space="preserve">foundation model approach </w:t>
      </w:r>
      <w:r>
        <w:t xml:space="preserve">and </w:t>
      </w:r>
      <w:r w:rsidRPr="00971D38">
        <w:t xml:space="preserve">our return on equity estimate </w:t>
      </w:r>
      <w:r>
        <w:t>are</w:t>
      </w:r>
      <w:r w:rsidRPr="00971D38">
        <w:t xml:space="preserve"> </w:t>
      </w:r>
      <w:r>
        <w:t>supported by</w:t>
      </w:r>
      <w:r w:rsidRPr="00971D38">
        <w:t xml:space="preserve"> a range of relevant material including market-based evidence (</w:t>
      </w:r>
      <w:r>
        <w:t xml:space="preserve">see </w:t>
      </w:r>
      <w:r w:rsidRPr="007D2133">
        <w:rPr>
          <w:rStyle w:val="AERbody"/>
        </w:rPr>
        <w:t>'</w:t>
      </w:r>
      <w:r w:rsidRPr="007D2133">
        <w:rPr>
          <w:rStyle w:val="AERbody"/>
        </w:rPr>
        <w:fldChar w:fldCharType="begin"/>
      </w:r>
      <w:r w:rsidRPr="007D2133">
        <w:rPr>
          <w:rStyle w:val="AERbody"/>
        </w:rPr>
        <w:instrText xml:space="preserve"> REF _Ref446347167 \h  \* MERGEFORMAT </w:instrText>
      </w:r>
      <w:r w:rsidRPr="007D2133">
        <w:rPr>
          <w:rStyle w:val="AERbody"/>
        </w:rPr>
      </w:r>
      <w:r w:rsidRPr="007D2133">
        <w:rPr>
          <w:rStyle w:val="AERbody"/>
        </w:rPr>
        <w:fldChar w:fldCharType="separate"/>
      </w:r>
      <w:r w:rsidR="003F1AAB" w:rsidRPr="003F1AAB">
        <w:rPr>
          <w:rStyle w:val="AERbody"/>
        </w:rPr>
        <w:t>The overall return on equity</w:t>
      </w:r>
      <w:r w:rsidRPr="007D2133">
        <w:rPr>
          <w:rStyle w:val="AERbody"/>
        </w:rPr>
        <w:fldChar w:fldCharType="end"/>
      </w:r>
      <w:r w:rsidRPr="007D2133">
        <w:rPr>
          <w:rStyle w:val="AERbody"/>
        </w:rPr>
        <w:t xml:space="preserve">' </w:t>
      </w:r>
      <w:r w:rsidRPr="007D2133">
        <w:rPr>
          <w:rStyle w:val="AERbody"/>
        </w:rPr>
        <w:fldChar w:fldCharType="begin"/>
      </w:r>
      <w:r w:rsidRPr="007D2133">
        <w:rPr>
          <w:rStyle w:val="AERbody"/>
        </w:rPr>
        <w:instrText xml:space="preserve"> REF _Ref446347167 \p \h  \* MERGEFORMAT </w:instrText>
      </w:r>
      <w:r w:rsidRPr="007D2133">
        <w:rPr>
          <w:rStyle w:val="AERbody"/>
        </w:rPr>
      </w:r>
      <w:r w:rsidRPr="007D2133">
        <w:rPr>
          <w:rStyle w:val="AERbody"/>
        </w:rPr>
        <w:fldChar w:fldCharType="separate"/>
      </w:r>
      <w:r w:rsidR="003F1AAB">
        <w:rPr>
          <w:rStyle w:val="AERbody"/>
        </w:rPr>
        <w:t>below</w:t>
      </w:r>
      <w:r w:rsidRPr="007D2133">
        <w:rPr>
          <w:rStyle w:val="AERbody"/>
        </w:rPr>
        <w:fldChar w:fldCharType="end"/>
      </w:r>
      <w:r w:rsidRPr="007D2133">
        <w:rPr>
          <w:rStyle w:val="AERbody"/>
        </w:rPr>
        <w:t>).</w:t>
      </w:r>
    </w:p>
    <w:p w:rsidR="002F6FA6" w:rsidRPr="00971D38" w:rsidRDefault="002F6FA6" w:rsidP="002F6FA6">
      <w:pPr>
        <w:pStyle w:val="Caption"/>
      </w:pPr>
      <w:bookmarkStart w:id="63" w:name="_Ref446349201"/>
      <w:r>
        <w:t xml:space="preserve">Table </w:t>
      </w:r>
      <w:r w:rsidRPr="009D786E">
        <w:fldChar w:fldCharType="begin"/>
      </w:r>
      <w:r>
        <w:instrText xml:space="preserve"> STYLEREF 1 \s </w:instrText>
      </w:r>
      <w:r w:rsidRPr="009D786E">
        <w:fldChar w:fldCharType="separate"/>
      </w:r>
      <w:r w:rsidR="003F1AAB">
        <w:rPr>
          <w:noProof/>
        </w:rPr>
        <w:t>3</w:t>
      </w:r>
      <w:r w:rsidRPr="009D786E">
        <w:fldChar w:fldCharType="end"/>
      </w:r>
      <w:r>
        <w:noBreakHyphen/>
      </w:r>
      <w:r w:rsidRPr="009D786E">
        <w:fldChar w:fldCharType="begin"/>
      </w:r>
      <w:r>
        <w:instrText xml:space="preserve"> SEQ Table \* ARABIC \s 1 </w:instrText>
      </w:r>
      <w:r w:rsidRPr="009D786E">
        <w:fldChar w:fldCharType="separate"/>
      </w:r>
      <w:r w:rsidR="003F1AAB">
        <w:rPr>
          <w:noProof/>
        </w:rPr>
        <w:t>4</w:t>
      </w:r>
      <w:r w:rsidRPr="009D786E">
        <w:fldChar w:fldCharType="end"/>
      </w:r>
      <w:bookmarkEnd w:id="63"/>
      <w:r>
        <w:tab/>
        <w:t>Issues raised about our use of equity models</w:t>
      </w:r>
    </w:p>
    <w:tbl>
      <w:tblPr>
        <w:tblStyle w:val="AERtable-text0"/>
        <w:tblW w:w="0" w:type="auto"/>
        <w:tblLook w:val="04A0" w:firstRow="1" w:lastRow="0" w:firstColumn="1" w:lastColumn="0" w:noHBand="0" w:noVBand="1"/>
      </w:tblPr>
      <w:tblGrid>
        <w:gridCol w:w="1809"/>
        <w:gridCol w:w="6884"/>
      </w:tblGrid>
      <w:tr w:rsidR="002F6FA6" w:rsidTr="007D4F36">
        <w:trPr>
          <w:cnfStyle w:val="100000000000" w:firstRow="1" w:lastRow="0" w:firstColumn="0" w:lastColumn="0" w:oddVBand="0" w:evenVBand="0" w:oddHBand="0" w:evenHBand="0" w:firstRowFirstColumn="0" w:firstRowLastColumn="0" w:lastRowFirstColumn="0" w:lastRowLastColumn="0"/>
        </w:trPr>
        <w:tc>
          <w:tcPr>
            <w:tcW w:w="1809" w:type="dxa"/>
          </w:tcPr>
          <w:p w:rsidR="002F6FA6" w:rsidRPr="002F6FA6" w:rsidRDefault="002F6FA6" w:rsidP="002F6FA6">
            <w:r>
              <w:t>Issue</w:t>
            </w:r>
          </w:p>
        </w:tc>
        <w:tc>
          <w:tcPr>
            <w:tcW w:w="6884" w:type="dxa"/>
          </w:tcPr>
          <w:p w:rsidR="002F6FA6" w:rsidRPr="002F6FA6" w:rsidRDefault="002F6FA6" w:rsidP="002F6FA6">
            <w:r>
              <w:t xml:space="preserve">Summary of </w:t>
            </w:r>
            <w:r w:rsidRPr="002F6FA6">
              <w:t>our response</w:t>
            </w:r>
          </w:p>
        </w:tc>
      </w:tr>
      <w:tr w:rsidR="002F6FA6" w:rsidTr="007D4F36">
        <w:tc>
          <w:tcPr>
            <w:tcW w:w="1809" w:type="dxa"/>
          </w:tcPr>
          <w:p w:rsidR="002F6FA6" w:rsidRPr="002F6FA6" w:rsidRDefault="002F6FA6" w:rsidP="002F6FA6">
            <w:r>
              <w:t xml:space="preserve">A </w:t>
            </w:r>
            <w:r w:rsidRPr="002F6FA6">
              <w:t>multi-model approach results in a more reliable estimate of the return on equity than a single-model approach, regardless of the models used.</w:t>
            </w:r>
            <w:r w:rsidRPr="002F6FA6">
              <w:rPr>
                <w:rStyle w:val="FootnoteReference"/>
              </w:rPr>
              <w:t xml:space="preserve"> </w:t>
            </w:r>
            <w:r w:rsidRPr="002F6FA6">
              <w:rPr>
                <w:rStyle w:val="FootnoteReference"/>
              </w:rPr>
              <w:footnoteReference w:id="186"/>
            </w:r>
          </w:p>
          <w:p w:rsidR="002F6FA6" w:rsidRPr="002F6FA6" w:rsidRDefault="002F6FA6" w:rsidP="002F6FA6">
            <w:r>
              <w:t>The AER must run the Black CAPM, Fama-French model and dividend growth model in order to have regard to them.</w:t>
            </w:r>
            <w:r w:rsidRPr="002F6FA6">
              <w:rPr>
                <w:rStyle w:val="FootnoteReference"/>
              </w:rPr>
              <w:t xml:space="preserve"> </w:t>
            </w:r>
            <w:r w:rsidRPr="002F6FA6">
              <w:rPr>
                <w:rStyle w:val="FootnoteReference"/>
              </w:rPr>
              <w:footnoteReference w:id="187"/>
            </w:r>
          </w:p>
        </w:tc>
        <w:tc>
          <w:tcPr>
            <w:tcW w:w="6884" w:type="dxa"/>
          </w:tcPr>
          <w:p w:rsidR="002F6FA6" w:rsidRPr="002F6FA6" w:rsidRDefault="002F6FA6" w:rsidP="002F6FA6">
            <w:r>
              <w:t>W</w:t>
            </w:r>
            <w:r w:rsidRPr="002F6FA6">
              <w:t>e are not (in principle) averse to a multi-model approach where the models are equally valid for the intended objective.</w:t>
            </w:r>
            <w:r w:rsidRPr="002F6FA6">
              <w:rPr>
                <w:rStyle w:val="FootnoteReference"/>
              </w:rPr>
              <w:footnoteReference w:id="188"/>
            </w:r>
            <w:r w:rsidRPr="002F6FA6">
              <w:t xml:space="preserve"> However, we are not satisfied that is the case. Having regard to relevant material must include having regard to the relative merits of the material. Partington has emphasised the dangers of simply combining information from different models. He advised that:</w:t>
            </w:r>
            <w:r w:rsidRPr="002F6FA6">
              <w:rPr>
                <w:rStyle w:val="FootnoteReference"/>
              </w:rPr>
              <w:t xml:space="preserve"> </w:t>
            </w:r>
            <w:r w:rsidRPr="002F6FA6">
              <w:rPr>
                <w:rStyle w:val="FootnoteReference"/>
              </w:rPr>
              <w:footnoteReference w:id="189"/>
            </w:r>
          </w:p>
          <w:p w:rsidR="002F6FA6" w:rsidRPr="002F6FA6" w:rsidRDefault="002F6FA6" w:rsidP="002F6FA6">
            <w:pPr>
              <w:pStyle w:val="Quote"/>
            </w:pPr>
            <w:r w:rsidRPr="005A3DD3">
              <w:t>It is by no means assured that more information will result in a better estimate if that information is of poor quality or is downright misleading</w:t>
            </w:r>
            <w:r w:rsidRPr="002F6FA6">
              <w:t>…it cannot be taken for granted that a number is meaningful without fully understanding the context in which it is estimated.</w:t>
            </w:r>
          </w:p>
          <w:p w:rsidR="002F6FA6" w:rsidRPr="002F6FA6" w:rsidRDefault="002F6FA6" w:rsidP="002F6FA6">
            <w:r>
              <w:t xml:space="preserve">Partington and Satchell also cautioned against 'giving these models significant weight in a regulatory setting' due to their weaknesses such as </w:t>
            </w:r>
            <w:r w:rsidRPr="002F6FA6">
              <w:t>being prone to manipulation and lack of wide-spread use in practice.</w:t>
            </w:r>
            <w:r w:rsidRPr="002F6FA6">
              <w:rPr>
                <w:rStyle w:val="FootnoteReference"/>
              </w:rPr>
              <w:footnoteReference w:id="190"/>
            </w:r>
          </w:p>
          <w:p w:rsidR="002F6FA6" w:rsidRPr="002F6FA6" w:rsidRDefault="002F6FA6" w:rsidP="002F6FA6">
            <w:r>
              <w:t>For the reasons outlined in the remainder of this table and in section</w:t>
            </w:r>
            <w:r w:rsidRPr="002F6FA6">
              <w:t xml:space="preserve"> </w:t>
            </w:r>
            <w:r w:rsidRPr="002F6FA6">
              <w:fldChar w:fldCharType="begin"/>
            </w:r>
            <w:r w:rsidRPr="002F6FA6">
              <w:instrText xml:space="preserve"> REF _Ref451685041 \r \h </w:instrText>
            </w:r>
            <w:r w:rsidRPr="002F6FA6">
              <w:fldChar w:fldCharType="separate"/>
            </w:r>
            <w:r w:rsidR="003F1AAB">
              <w:t>B</w:t>
            </w:r>
            <w:r w:rsidRPr="002F6FA6">
              <w:fldChar w:fldCharType="end"/>
            </w:r>
            <w:r w:rsidRPr="002F6FA6">
              <w:t>, we do not consider that quantitative application of the Black CAPM, Fama-French model or the dividend growth model (for estimating return on equity) would be beneficial. Neither do we consider that it is necessary to run the models to have regard to them.</w:t>
            </w:r>
            <w:r w:rsidRPr="002F6FA6">
              <w:rPr>
                <w:rStyle w:val="FootnoteReference"/>
              </w:rPr>
              <w:footnoteReference w:id="191"/>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1809" w:type="dxa"/>
          </w:tcPr>
          <w:p w:rsidR="002F6FA6" w:rsidRPr="002F6FA6" w:rsidRDefault="002F6FA6" w:rsidP="002F6FA6">
            <w:r>
              <w:t>Use of the Black CAPM can address the Sharpe-Lintner CAPM’s limitation of having low beta bias.</w:t>
            </w:r>
            <w:r w:rsidRPr="002F6FA6">
              <w:rPr>
                <w:rStyle w:val="FootnoteReference"/>
              </w:rPr>
              <w:t xml:space="preserve"> </w:t>
            </w:r>
            <w:r w:rsidRPr="002F6FA6">
              <w:rPr>
                <w:rStyle w:val="FootnoteReference"/>
              </w:rPr>
              <w:footnoteReference w:id="192"/>
            </w:r>
          </w:p>
        </w:tc>
        <w:tc>
          <w:tcPr>
            <w:tcW w:w="6884" w:type="dxa"/>
          </w:tcPr>
          <w:p w:rsidR="002F6FA6" w:rsidRPr="002F6FA6" w:rsidRDefault="002F6FA6" w:rsidP="002F6FA6">
            <w:r>
              <w:t>We consider</w:t>
            </w:r>
            <w:r w:rsidRPr="002F6FA6">
              <w:t xml:space="preserve"> there may be merit in the theory underpinning the Black CAPM. We recognise that the Black CAPM theory involves different underpinning assumptions to the Sharpe-Lintner CAPM that result in a higher return on equity than the Sharpe-Lintner CAPM when equity beta is less than one. We also recognise that Black CAPM theory may provide one possible explanation for the performance of the Sharpe-Lintner CAPM in empirical literature, although there are competing alternative explanations, and we note that the assumptions underpinning the Black CAPM appear no more realistic than those of the Sharpe-Lintner CAPM. It is important to note that all models with simplifying assumptions will likely be affected by market imperfections when they are applied in a practical setting.</w:t>
            </w:r>
          </w:p>
          <w:p w:rsidR="002F6FA6" w:rsidRPr="002F6FA6" w:rsidRDefault="002F6FA6" w:rsidP="002F6FA6">
            <w:r>
              <w:t>However, we consider that there are no generally accepted methods for estimating the Black CAPM's parameters, resulting in it being sensitive to input assumptions and creating potential for biased results. We also note that there appears no widespread use of the Black CAPM by market practitioners.</w:t>
            </w:r>
          </w:p>
          <w:p w:rsidR="002F6FA6" w:rsidRPr="002F6FA6" w:rsidRDefault="002F6FA6" w:rsidP="002F6FA6">
            <w:r>
              <w:t xml:space="preserve">These views are supported by </w:t>
            </w:r>
            <w:r w:rsidRPr="002F6FA6">
              <w:t>Partington and Satchell who reiterate concerns with implementing the Black CAPM.</w:t>
            </w:r>
            <w:r w:rsidRPr="002F6FA6">
              <w:rPr>
                <w:rStyle w:val="FootnoteReference"/>
              </w:rPr>
              <w:footnoteReference w:id="193"/>
            </w:r>
            <w:r w:rsidRPr="002F6FA6">
              <w:t xml:space="preserve"> Partington and Satchell noted that the “low beta bias” is a 'tendency for low beta stocks to </w:t>
            </w:r>
            <w:r w:rsidR="00A86F59" w:rsidRPr="002F6FA6">
              <w:t>over perform</w:t>
            </w:r>
            <w:r w:rsidRPr="002F6FA6">
              <w:t xml:space="preserve"> and high beta stocks to underperform relative to the CAPM… this does not necessarily imply anything other than that the stocks have outperformed or underperformed.</w:t>
            </w:r>
            <w:r w:rsidRPr="002F6FA6">
              <w:rPr>
                <w:rStyle w:val="FootnoteReference"/>
              </w:rPr>
              <w:footnoteReference w:id="194"/>
            </w:r>
            <w:r w:rsidRPr="002F6FA6">
              <w:t xml:space="preserve"> </w:t>
            </w:r>
          </w:p>
          <w:p w:rsidR="002F6FA6" w:rsidRPr="002F6FA6" w:rsidRDefault="002F6FA6" w:rsidP="002F6FA6">
            <w:r>
              <w:t xml:space="preserve">For these reasons, we consider that the accuracy and reliability of our return on equity estimate is not improved by estimating the Black CAPM. However, we consider that the theory of the Black CAPM may be used to inform our return on equity estimate. As the implications of the theory of the Black CAPM are relative to the size of our estimated equity beta, we consider it is prudent to have regard to this material in our consideration of equity beta. </w:t>
            </w:r>
            <w:r w:rsidRPr="002F6FA6">
              <w:t xml:space="preserve">More detail on our consideration of the Black CAPM is in section </w:t>
            </w:r>
            <w:r w:rsidRPr="002F6FA6">
              <w:fldChar w:fldCharType="begin"/>
            </w:r>
            <w:r w:rsidRPr="002F6FA6">
              <w:instrText xml:space="preserve"> REF _Ref449007419 \r \h </w:instrText>
            </w:r>
            <w:r w:rsidRPr="002F6FA6">
              <w:fldChar w:fldCharType="separate"/>
            </w:r>
            <w:r w:rsidR="003F1AAB">
              <w:t>B.2</w:t>
            </w:r>
            <w:r w:rsidRPr="002F6FA6">
              <w:fldChar w:fldCharType="end"/>
            </w:r>
            <w:r w:rsidRPr="002F6FA6">
              <w:t>.</w:t>
            </w:r>
          </w:p>
        </w:tc>
      </w:tr>
      <w:tr w:rsidR="002F6FA6" w:rsidTr="007D4F36">
        <w:tc>
          <w:tcPr>
            <w:tcW w:w="1809" w:type="dxa"/>
          </w:tcPr>
          <w:p w:rsidR="002F6FA6" w:rsidRPr="002F6FA6" w:rsidRDefault="002F6FA6" w:rsidP="002F6FA6">
            <w:r>
              <w:t>We</w:t>
            </w:r>
            <w:r w:rsidRPr="002F6FA6">
              <w:t xml:space="preserve"> have not justified how the selection of input parameters adequately corrects for biased estimates from the Sharpe-Lintner CAPM.</w:t>
            </w:r>
            <w:r w:rsidRPr="002F6FA6">
              <w:rPr>
                <w:rStyle w:val="FootnoteReference"/>
              </w:rPr>
              <w:t xml:space="preserve"> </w:t>
            </w:r>
            <w:r w:rsidRPr="002F6FA6">
              <w:rPr>
                <w:rStyle w:val="FootnoteReference"/>
              </w:rPr>
              <w:footnoteReference w:id="195"/>
            </w:r>
          </w:p>
        </w:tc>
        <w:tc>
          <w:tcPr>
            <w:tcW w:w="6884" w:type="dxa"/>
          </w:tcPr>
          <w:p w:rsidR="002F6FA6" w:rsidRPr="002F6FA6" w:rsidRDefault="002F6FA6" w:rsidP="002F6FA6">
            <w:pPr>
              <w:rPr>
                <w:rStyle w:val="AERtextsize8"/>
              </w:rPr>
            </w:pPr>
            <w:r w:rsidRPr="006A40BF">
              <w:rPr>
                <w:rStyle w:val="AERtextsize8"/>
              </w:rPr>
              <w:t xml:space="preserve">We do not use the theory underlying the Black CAPM to apply a specific </w:t>
            </w:r>
            <w:r w:rsidRPr="002F6FA6">
              <w:rPr>
                <w:rStyle w:val="AERtextsize8"/>
              </w:rPr>
              <w:t xml:space="preserve">uplift to the equity beta. We do not accept that our use of the theory underlying the Black CAPM implies that we consider the Sharpe-Lintner CAPM produces biased return on equity estimates. </w:t>
            </w:r>
          </w:p>
          <w:p w:rsidR="002F6FA6" w:rsidRPr="002F6FA6" w:rsidRDefault="002F6FA6" w:rsidP="008770AC">
            <w:r w:rsidRPr="00772A69">
              <w:rPr>
                <w:rStyle w:val="AERtextsize8"/>
              </w:rPr>
              <w:t xml:space="preserve">For more detail see sections D.4, D.5.3, and A.2 of Attachment 3 to </w:t>
            </w:r>
            <w:r w:rsidR="00190932">
              <w:rPr>
                <w:rStyle w:val="AERtextsize8"/>
              </w:rPr>
              <w:t xml:space="preserve">our preliminary decision for </w:t>
            </w:r>
            <w:r w:rsidRPr="002F6FA6">
              <w:rPr>
                <w:rStyle w:val="AERtextsize8"/>
              </w:rPr>
              <w:t xml:space="preserve">AusNet Services' </w:t>
            </w:r>
            <w:r w:rsidR="00190932">
              <w:rPr>
                <w:rStyle w:val="AERtextsize8"/>
              </w:rPr>
              <w:t>2016-20 distribution determination</w:t>
            </w:r>
            <w:r w:rsidR="008770AC">
              <w:rPr>
                <w:rStyle w:val="AERtextsize8"/>
              </w:rPr>
              <w:t>. And sections 3.4.1 and B.2 of Attachment 3 to our final decision for AusNet Services' 2016–20 distribution determination</w:t>
            </w:r>
            <w:r w:rsidRPr="002F6FA6">
              <w:rPr>
                <w:rStyle w:val="AERtextsize8"/>
              </w:rPr>
              <w:t>.</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1809" w:type="dxa"/>
          </w:tcPr>
          <w:p w:rsidR="002F6FA6" w:rsidRPr="002F6FA6" w:rsidRDefault="002F6FA6" w:rsidP="002F6FA6">
            <w:r>
              <w:t>V</w:t>
            </w:r>
            <w:r w:rsidRPr="002F6FA6">
              <w:t>aluers uplift their return on equity estimates to a larger extent for businesses with a relatively low equity beta.</w:t>
            </w:r>
            <w:r w:rsidRPr="002F6FA6">
              <w:rPr>
                <w:rStyle w:val="FootnoteReference"/>
              </w:rPr>
              <w:t xml:space="preserve"> </w:t>
            </w:r>
            <w:r w:rsidRPr="002F6FA6">
              <w:rPr>
                <w:rStyle w:val="FootnoteReference"/>
              </w:rPr>
              <w:footnoteReference w:id="196"/>
            </w:r>
            <w:r w:rsidRPr="002F6FA6">
              <w:t xml:space="preserve"> Broker reports apply a version of the Black CAPM in practice.</w:t>
            </w:r>
            <w:r w:rsidRPr="002F6FA6">
              <w:rPr>
                <w:rStyle w:val="FootnoteReference"/>
              </w:rPr>
              <w:t xml:space="preserve"> </w:t>
            </w:r>
            <w:r w:rsidRPr="002F6FA6">
              <w:rPr>
                <w:rStyle w:val="FootnoteReference"/>
              </w:rPr>
              <w:footnoteReference w:id="197"/>
            </w:r>
          </w:p>
        </w:tc>
        <w:tc>
          <w:tcPr>
            <w:tcW w:w="6884" w:type="dxa"/>
          </w:tcPr>
          <w:p w:rsidR="002F6FA6" w:rsidRPr="002F6FA6" w:rsidRDefault="002F6FA6" w:rsidP="002F6FA6">
            <w:r w:rsidRPr="0047603E">
              <w:t xml:space="preserve">We </w:t>
            </w:r>
            <w:r w:rsidRPr="002F6FA6">
              <w:t xml:space="preserve">consider that there is not enough data in Incenta's analysis for accurate inferences to be drawn. The results shown in Figure 4.2 of Incenta's report appear highly sensitive to one data point, and are based on valuation reports from only one firm. None of the valuation reports dated between 10 April 2013 and 28 February 2015 explicitly mentioned low-beta bias or the Black CAPM as a reason for </w:t>
            </w:r>
            <w:proofErr w:type="gramStart"/>
            <w:r w:rsidRPr="002F6FA6">
              <w:t>an uplift</w:t>
            </w:r>
            <w:proofErr w:type="gramEnd"/>
            <w:r w:rsidRPr="002F6FA6">
              <w:t xml:space="preserve"> (or at all in any context). There does not appear to be a strong correlation (in any direction) between the uplifts in these reports and the size of the equity beta estimate. At least one broker has recently stated that it had previously used a static valuation </w:t>
            </w:r>
            <w:r w:rsidR="00A86F59" w:rsidRPr="002F6FA6">
              <w:t>methodology;</w:t>
            </w:r>
            <w:r w:rsidRPr="002F6FA6">
              <w:t xml:space="preserve"> hence any difference between the broker's risk free rate estimate and the yield on government bonds did not necessarily reflect an intentional uplift.</w:t>
            </w:r>
          </w:p>
          <w:p w:rsidR="002F6FA6" w:rsidRPr="002F6FA6" w:rsidRDefault="002F6FA6" w:rsidP="002F6FA6">
            <w:r>
              <w:t xml:space="preserve">For more details, see section E.7 of Attachment 3 to our preliminary </w:t>
            </w:r>
            <w:r w:rsidRPr="002F6FA6">
              <w:t>decision for AusNet Services</w:t>
            </w:r>
            <w:r w:rsidR="00190932">
              <w:t>' 2016-20 distribution determination</w:t>
            </w:r>
            <w:r w:rsidRPr="002F6FA6">
              <w:t>.</w:t>
            </w:r>
            <w:r w:rsidR="00F16330">
              <w:t xml:space="preserve"> And section 3.4.1 of Attachment 3 to our final decision for AusNet Services' 2016-20 distribution determination</w:t>
            </w:r>
          </w:p>
        </w:tc>
      </w:tr>
      <w:tr w:rsidR="002F6FA6" w:rsidTr="007D4F36">
        <w:tc>
          <w:tcPr>
            <w:tcW w:w="1809" w:type="dxa"/>
          </w:tcPr>
          <w:p w:rsidR="002F6FA6" w:rsidRPr="002F6FA6" w:rsidRDefault="002F6FA6" w:rsidP="002F6FA6">
            <w:r>
              <w:t xml:space="preserve">Use of the Fama-French </w:t>
            </w:r>
            <w:r w:rsidRPr="002F6FA6">
              <w:t>model can address the Sharpe-Lintner CAPM’s limitation of having book-to-market bias.</w:t>
            </w:r>
            <w:r w:rsidRPr="002F6FA6">
              <w:rPr>
                <w:rStyle w:val="FootnoteReference"/>
              </w:rPr>
              <w:t xml:space="preserve"> </w:t>
            </w:r>
            <w:r w:rsidRPr="002F6FA6">
              <w:rPr>
                <w:rStyle w:val="FootnoteReference"/>
              </w:rPr>
              <w:footnoteReference w:id="198"/>
            </w:r>
          </w:p>
        </w:tc>
        <w:tc>
          <w:tcPr>
            <w:tcW w:w="6884" w:type="dxa"/>
          </w:tcPr>
          <w:p w:rsidR="002F6FA6" w:rsidRPr="002F6FA6" w:rsidRDefault="002F6FA6" w:rsidP="002F6FA6">
            <w:r w:rsidRPr="003C22B1">
              <w:t xml:space="preserve">We </w:t>
            </w:r>
            <w:r w:rsidRPr="002F6FA6">
              <w:t>are not convinced that the Sharpe-Lintner CAPM is downwardly biased for stocks with a high book-to-market ratio. We are concerned that the Fama-French model lacks well-accepted theoretical foundations, and as a consequence it is not clear that the size and value factors in the model reflect ex ante priced risk factors. This uncertainty is further compounded by the numerous specifications of the Fama-French model that produce different estimates of the return on equity.</w:t>
            </w:r>
          </w:p>
          <w:p w:rsidR="002F6FA6" w:rsidRPr="002F6FA6" w:rsidRDefault="002F6FA6" w:rsidP="002F6FA6">
            <w:r w:rsidRPr="003C22B1">
              <w:t xml:space="preserve">We </w:t>
            </w:r>
            <w:r w:rsidRPr="002F6FA6">
              <w:t xml:space="preserve">also consider that the Fama-French model is not suitable for estimating the required return on equity due to concerns with its sensitivity to input assumptions, complexity, and potential for bias given there are no generally accepted methods for estimating its parameters. We also note that there appears no widespread use of the model by market practitioners. More detail on our consideration of the Fama-French model is in section </w:t>
            </w:r>
            <w:r w:rsidRPr="002F6FA6">
              <w:fldChar w:fldCharType="begin"/>
            </w:r>
            <w:r w:rsidRPr="002F6FA6">
              <w:instrText xml:space="preserve"> REF _Ref449007420 \r \h </w:instrText>
            </w:r>
            <w:r w:rsidRPr="002F6FA6">
              <w:fldChar w:fldCharType="separate"/>
            </w:r>
            <w:r w:rsidR="003F1AAB">
              <w:t>B.3</w:t>
            </w:r>
            <w:r w:rsidRPr="002F6FA6">
              <w:fldChar w:fldCharType="end"/>
            </w:r>
            <w:r w:rsidRPr="002F6FA6">
              <w:t>.</w:t>
            </w:r>
          </w:p>
          <w:p w:rsidR="002F6FA6" w:rsidRPr="002F6FA6" w:rsidRDefault="002F6FA6" w:rsidP="002F6FA6">
            <w:r>
              <w:t xml:space="preserve">Partington and Satchell </w:t>
            </w:r>
            <w:r w:rsidRPr="002F6FA6">
              <w:t>reiterated that the Fama-French model lack theoretical foundation and is 'still to [gain acceptance] in the world of practice', 'being increasingly questioned'.</w:t>
            </w:r>
            <w:r w:rsidRPr="002F6FA6">
              <w:rPr>
                <w:rStyle w:val="FootnoteReference"/>
              </w:rPr>
              <w:footnoteReference w:id="199"/>
            </w:r>
            <w:r w:rsidRPr="002F6FA6">
              <w:t xml:space="preserve"> They also noted that this model can be prone to manipulation. </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1809" w:type="dxa"/>
          </w:tcPr>
          <w:p w:rsidR="002F6FA6" w:rsidRPr="002F6FA6" w:rsidRDefault="002F6FA6" w:rsidP="002F6FA6">
            <w:r>
              <w:t>The Black CAPM and Fama-French model are</w:t>
            </w:r>
            <w:r w:rsidRPr="002F6FA6">
              <w:t xml:space="preserve"> well-respected and widely used.</w:t>
            </w:r>
            <w:r w:rsidRPr="002F6FA6">
              <w:rPr>
                <w:rStyle w:val="FootnoteReference"/>
              </w:rPr>
              <w:t xml:space="preserve"> </w:t>
            </w:r>
            <w:r w:rsidRPr="002F6FA6">
              <w:rPr>
                <w:rStyle w:val="FootnoteReference"/>
              </w:rPr>
              <w:footnoteReference w:id="200"/>
            </w:r>
          </w:p>
        </w:tc>
        <w:tc>
          <w:tcPr>
            <w:tcW w:w="6884" w:type="dxa"/>
          </w:tcPr>
          <w:p w:rsidR="002F6FA6" w:rsidRPr="002F6FA6" w:rsidRDefault="002F6FA6" w:rsidP="002F6FA6">
            <w:r>
              <w:t>We acknowledge that the Black CAPM and Fama</w:t>
            </w:r>
            <w:r w:rsidRPr="002F6FA6">
              <w:t>-French model have been discussed at length in academic literature. However, we have not been presented with evidence that the models have been widely applied by market practitioners. We examined 78 suitable valuation reports dated between May 2013 and January 2016, and none appeared to estimate the Black CAPM or Fama-French model. There is no indication that the broker reports we have examined estimate these models. There has been some limited use of the Black CAPM by US regulators,</w:t>
            </w:r>
            <w:r w:rsidRPr="002F6FA6">
              <w:rPr>
                <w:rStyle w:val="FootnoteReference"/>
              </w:rPr>
              <w:footnoteReference w:id="201"/>
            </w:r>
            <w:r w:rsidRPr="002F6FA6">
              <w:t xml:space="preserve"> but we are not aware of any use of these models by Australian regulators.</w:t>
            </w:r>
          </w:p>
          <w:p w:rsidR="002F6FA6" w:rsidRPr="002F6FA6" w:rsidRDefault="002F6FA6" w:rsidP="002F6FA6">
            <w:r>
              <w:t xml:space="preserve">Partington and Satchell </w:t>
            </w:r>
            <w:r w:rsidRPr="002F6FA6">
              <w:t>also noted that these models are not widely used in practice.</w:t>
            </w:r>
            <w:r w:rsidRPr="002F6FA6">
              <w:rPr>
                <w:rStyle w:val="FootnoteReference"/>
              </w:rPr>
              <w:footnoteReference w:id="202"/>
            </w:r>
          </w:p>
        </w:tc>
      </w:tr>
      <w:tr w:rsidR="002F6FA6" w:rsidTr="007D4F36">
        <w:tc>
          <w:tcPr>
            <w:tcW w:w="1809" w:type="dxa"/>
          </w:tcPr>
          <w:p w:rsidR="002F6FA6" w:rsidRPr="002F6FA6" w:rsidRDefault="002F6FA6" w:rsidP="002F6FA6">
            <w:r>
              <w:t xml:space="preserve">Use of the dividend growth model to estimate return on equity provides a better incorporation of prevailing market </w:t>
            </w:r>
            <w:r w:rsidRPr="002F6FA6">
              <w:t>conditions.</w:t>
            </w:r>
            <w:r w:rsidRPr="002F6FA6">
              <w:rPr>
                <w:rStyle w:val="FootnoteReference"/>
              </w:rPr>
              <w:t xml:space="preserve"> </w:t>
            </w:r>
            <w:r w:rsidRPr="002F6FA6">
              <w:rPr>
                <w:rStyle w:val="FootnoteReference"/>
              </w:rPr>
              <w:footnoteReference w:id="203"/>
            </w:r>
          </w:p>
        </w:tc>
        <w:tc>
          <w:tcPr>
            <w:tcW w:w="6884" w:type="dxa"/>
          </w:tcPr>
          <w:p w:rsidR="002F6FA6" w:rsidRPr="002F6FA6" w:rsidRDefault="002F6FA6" w:rsidP="002F6FA6">
            <w:r>
              <w:t xml:space="preserve">We consider that the dividend growth model is very sensitive to input assumptions, particularly the long-term growth rate. We consider there is potential for biased results from dividend growth models as there is no generally accepted method for estimating the long-term growth rate in dividends per share for individual businesses or sectors. We also consider that dividend growth models are likely to be biased in the current market, due to concerns about slow-changing dividend forecasts, bias in analysts' forecasts, and to the extent that there is a term structure for the return on equity. </w:t>
            </w:r>
            <w:r w:rsidRPr="002F6FA6">
              <w:t>Our consultant, Partington and Satchell, also share long-standing concerns on these issues.</w:t>
            </w:r>
            <w:r w:rsidRPr="002F6FA6">
              <w:rPr>
                <w:rStyle w:val="FootnoteReference"/>
              </w:rPr>
              <w:footnoteReference w:id="204"/>
            </w:r>
          </w:p>
          <w:p w:rsidR="002F6FA6" w:rsidRPr="002F6FA6" w:rsidRDefault="002F6FA6" w:rsidP="002F6FA6">
            <w:r>
              <w:t xml:space="preserve">Given these concerns, we do not consider that the dividend growth model at this time provides a more reliable indication of prevailing market conditions than the Sharpe-Lintner CAPM. </w:t>
            </w:r>
          </w:p>
          <w:p w:rsidR="002F6FA6" w:rsidRPr="002F6FA6" w:rsidRDefault="002F6FA6" w:rsidP="002F6FA6">
            <w:r>
              <w:t>More detail of our consideration of the dividend growth model is in section</w:t>
            </w:r>
            <w:r w:rsidRPr="002F6FA6">
              <w:t xml:space="preserve"> </w:t>
            </w:r>
            <w:r w:rsidRPr="002F6FA6">
              <w:fldChar w:fldCharType="begin"/>
            </w:r>
            <w:r w:rsidRPr="002F6FA6">
              <w:instrText xml:space="preserve"> REF _Ref449007421 \r \h </w:instrText>
            </w:r>
            <w:r w:rsidRPr="002F6FA6">
              <w:fldChar w:fldCharType="separate"/>
            </w:r>
            <w:r w:rsidR="003F1AAB">
              <w:t>B.4</w:t>
            </w:r>
            <w:r w:rsidRPr="002F6FA6">
              <w:fldChar w:fldCharType="end"/>
            </w:r>
            <w:r w:rsidRPr="002F6FA6">
              <w:t xml:space="preserve">.  </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1809" w:type="dxa"/>
          </w:tcPr>
          <w:p w:rsidR="002F6FA6" w:rsidRPr="002F6FA6" w:rsidRDefault="002F6FA6" w:rsidP="002F6FA6">
            <w:r>
              <w:t>Our</w:t>
            </w:r>
            <w:r w:rsidRPr="002F6FA6">
              <w:t xml:space="preserve"> foundation model approach prevents other relevant material from being properly considered.</w:t>
            </w:r>
            <w:r w:rsidRPr="002F6FA6">
              <w:rPr>
                <w:rStyle w:val="FootnoteReference"/>
              </w:rPr>
              <w:t xml:space="preserve"> </w:t>
            </w:r>
            <w:r w:rsidRPr="002F6FA6">
              <w:rPr>
                <w:rStyle w:val="FootnoteReference"/>
              </w:rPr>
              <w:footnoteReference w:id="205"/>
            </w:r>
          </w:p>
        </w:tc>
        <w:tc>
          <w:tcPr>
            <w:tcW w:w="6884" w:type="dxa"/>
          </w:tcPr>
          <w:p w:rsidR="002F6FA6" w:rsidRPr="002F6FA6" w:rsidRDefault="002F6FA6" w:rsidP="002F6FA6">
            <w:r>
              <w:t>T</w:t>
            </w:r>
            <w:r w:rsidRPr="002F6FA6">
              <w:t>his mischaracterises our approach. As part of our foundation model approach, we assign a role to relevant information (including financial models) based on a consideration of their strengths, weaknesses and suitability for our regulatory task. We identify and assess each of the models on their merits and determine a role for them.</w:t>
            </w:r>
          </w:p>
        </w:tc>
      </w:tr>
    </w:tbl>
    <w:p w:rsidR="002F6FA6" w:rsidRPr="0032489B" w:rsidRDefault="002F6FA6" w:rsidP="002F6FA6">
      <w:pPr>
        <w:pStyle w:val="HeadingBoldBlue"/>
        <w:numPr>
          <w:ilvl w:val="0"/>
          <w:numId w:val="25"/>
        </w:numPr>
        <w:rPr>
          <w:rStyle w:val="AERtextorange"/>
        </w:rPr>
      </w:pPr>
      <w:bookmarkStart w:id="64" w:name="_Toc443923183"/>
      <w:bookmarkStart w:id="65" w:name="_Ref430958623"/>
      <w:bookmarkStart w:id="66" w:name="_Toc433446504"/>
      <w:r>
        <w:rPr>
          <w:rStyle w:val="AERtextorange"/>
        </w:rPr>
        <w:t>Estimating the market risk premium</w:t>
      </w:r>
      <w:bookmarkEnd w:id="64"/>
    </w:p>
    <w:p w:rsidR="002F6FA6" w:rsidRDefault="002F6FA6" w:rsidP="002F6FA6">
      <w:pPr>
        <w:numPr>
          <w:ilvl w:val="0"/>
          <w:numId w:val="25"/>
        </w:numPr>
      </w:pPr>
      <w:r>
        <w:t>Our estimate of the prevailing market risk premium for this decision is 6.5 per cent. This is a forward-looking estimate of the risk premium—the return above the government bond rate—on the market portfolio required by investors with a ten-year investment horizon.</w:t>
      </w:r>
    </w:p>
    <w:p w:rsidR="002F6FA6" w:rsidRDefault="002F6FA6" w:rsidP="002F6FA6">
      <w:r>
        <w:t>We consider 6.5 per cent to be the best estimate of the market risk premium to contribute to the achievement of the ARORO</w:t>
      </w:r>
      <w:r w:rsidRPr="00762AAF">
        <w:t xml:space="preserve"> </w:t>
      </w:r>
      <w:r>
        <w:t>because:</w:t>
      </w:r>
    </w:p>
    <w:p w:rsidR="002F6FA6" w:rsidRDefault="002F6FA6" w:rsidP="002F6FA6">
      <w:pPr>
        <w:pStyle w:val="AERbulletlistfirststyle"/>
      </w:pPr>
      <w:r>
        <w:t>it is supported by our consideration of all relevant material submitted to us (following consideration of their relative merits)</w:t>
      </w:r>
    </w:p>
    <w:p w:rsidR="002F6FA6" w:rsidRDefault="002F6FA6" w:rsidP="002F6FA6">
      <w:pPr>
        <w:pStyle w:val="AERbulletlistfirststyle"/>
      </w:pPr>
      <w:proofErr w:type="gramStart"/>
      <w:r>
        <w:t>it</w:t>
      </w:r>
      <w:proofErr w:type="gramEnd"/>
      <w:r>
        <w:t xml:space="preserve"> is corroborated</w:t>
      </w:r>
      <w:r w:rsidDel="00DA7338">
        <w:t xml:space="preserve"> </w:t>
      </w:r>
      <w:r>
        <w:t>by our cross-checks on the overall return on equity and equity risk premium. This further supports our estimate of the equity risk premium (of which the market risk premium is a component)</w:t>
      </w:r>
    </w:p>
    <w:p w:rsidR="002F6FA6" w:rsidRDefault="002F6FA6" w:rsidP="002F6FA6">
      <w:pPr>
        <w:pStyle w:val="AERbulletlistfirststyle"/>
      </w:pPr>
      <w:proofErr w:type="gramStart"/>
      <w:r>
        <w:t>it</w:t>
      </w:r>
      <w:proofErr w:type="gramEnd"/>
      <w:r>
        <w:t xml:space="preserve"> provides a balanced outcome between submissions by service providers and other stakeholders.</w:t>
      </w:r>
    </w:p>
    <w:p w:rsidR="002F6FA6" w:rsidRDefault="002F6FA6" w:rsidP="002F6FA6">
      <w:pPr>
        <w:numPr>
          <w:ilvl w:val="0"/>
          <w:numId w:val="25"/>
        </w:numPr>
      </w:pPr>
      <w:r>
        <w:fldChar w:fldCharType="begin"/>
      </w:r>
      <w:r>
        <w:instrText xml:space="preserve"> REF _Ref446266907 \h </w:instrText>
      </w:r>
      <w:r>
        <w:fldChar w:fldCharType="separate"/>
      </w:r>
      <w:r w:rsidR="003F1AAB">
        <w:t xml:space="preserve">Figure </w:t>
      </w:r>
      <w:r w:rsidR="003F1AAB">
        <w:rPr>
          <w:noProof/>
        </w:rPr>
        <w:t>3</w:t>
      </w:r>
      <w:r w:rsidR="003F1AAB">
        <w:noBreakHyphen/>
      </w:r>
      <w:r w:rsidR="003F1AAB">
        <w:rPr>
          <w:noProof/>
        </w:rPr>
        <w:t>3</w:t>
      </w:r>
      <w:r>
        <w:fldChar w:fldCharType="end"/>
      </w:r>
      <w:r>
        <w:t xml:space="preserve"> shows the market risk premium estimates from the relevant material that has informed our decision. These estimates range from 4.8 per cent to 8.84 per cent. </w:t>
      </w:r>
    </w:p>
    <w:p w:rsidR="002F6FA6" w:rsidRDefault="002F6FA6" w:rsidP="002F6FA6">
      <w:pPr>
        <w:pStyle w:val="Caption"/>
        <w:numPr>
          <w:ilvl w:val="0"/>
          <w:numId w:val="25"/>
        </w:numPr>
      </w:pPr>
      <w:bookmarkStart w:id="67" w:name="_Ref446266907"/>
      <w:bookmarkStart w:id="68" w:name="_Ref417222210"/>
      <w:r>
        <w:t xml:space="preserve">Figure </w:t>
      </w:r>
      <w:fldSimple w:instr=" STYLEREF 1 \s ">
        <w:r w:rsidR="003F1AAB">
          <w:rPr>
            <w:noProof/>
          </w:rPr>
          <w:t>3</w:t>
        </w:r>
      </w:fldSimple>
      <w:r w:rsidR="00E4520A">
        <w:noBreakHyphen/>
      </w:r>
      <w:fldSimple w:instr=" SEQ Figure \* ARABIC \s 1 ">
        <w:r w:rsidR="003F1AAB">
          <w:rPr>
            <w:noProof/>
          </w:rPr>
          <w:t>3</w:t>
        </w:r>
      </w:fldSimple>
      <w:bookmarkEnd w:id="67"/>
      <w:r>
        <w:tab/>
        <w:t xml:space="preserve">Comparison of estimates of the market risk premium </w:t>
      </w:r>
    </w:p>
    <w:bookmarkEnd w:id="68"/>
    <w:p w:rsidR="002F6FA6" w:rsidRPr="005A629D" w:rsidRDefault="000A61FA" w:rsidP="002F6FA6">
      <w:pPr>
        <w:pStyle w:val="AERtablesource"/>
      </w:pPr>
      <w:r w:rsidRPr="000A61FA">
        <w:rPr>
          <w:noProof/>
          <w:lang w:eastAsia="en-AU"/>
        </w:rPr>
        <w:drawing>
          <wp:inline distT="0" distB="0" distL="0" distR="0" wp14:anchorId="0BA0A552" wp14:editId="2CF302F2">
            <wp:extent cx="5382895" cy="2890520"/>
            <wp:effectExtent l="0" t="0" r="825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2895" cy="2890520"/>
                    </a:xfrm>
                    <a:prstGeom prst="rect">
                      <a:avLst/>
                    </a:prstGeom>
                    <a:noFill/>
                    <a:ln>
                      <a:noFill/>
                    </a:ln>
                  </pic:spPr>
                </pic:pic>
              </a:graphicData>
            </a:graphic>
          </wp:inline>
        </w:drawing>
      </w:r>
    </w:p>
    <w:p w:rsidR="002F6FA6" w:rsidRPr="005A629D" w:rsidRDefault="002F6FA6" w:rsidP="002F6FA6">
      <w:pPr>
        <w:pStyle w:val="AERtablesource"/>
      </w:pPr>
      <w:r w:rsidRPr="005A629D">
        <w:t xml:space="preserve">Source:     AER analysis </w:t>
      </w:r>
    </w:p>
    <w:p w:rsidR="002F6FA6" w:rsidRPr="005A629D" w:rsidRDefault="002F6FA6" w:rsidP="002F6FA6">
      <w:pPr>
        <w:pStyle w:val="AERtablesource"/>
      </w:pPr>
      <w:r w:rsidRPr="003720E1">
        <w:t xml:space="preserve">Note:         </w:t>
      </w:r>
      <w:r w:rsidR="000A61FA" w:rsidRPr="003720E1">
        <w:t>The average of each state r</w:t>
      </w:r>
      <w:r w:rsidR="000A61FA">
        <w:t>egulator's most recent decision</w:t>
      </w:r>
      <w:r w:rsidR="000A61FA" w:rsidRPr="003720E1">
        <w:t xml:space="preserve"> on the </w:t>
      </w:r>
      <w:r w:rsidR="000A61FA" w:rsidRPr="00DC64DA">
        <w:t>market risk premium</w:t>
      </w:r>
      <w:r w:rsidR="000A61FA">
        <w:t xml:space="preserve"> </w:t>
      </w:r>
      <w:r w:rsidR="000A61FA" w:rsidRPr="003720E1">
        <w:t xml:space="preserve">forms the point estimate (6.4 per cent) for other regulator estimates. The top of this range </w:t>
      </w:r>
      <w:r w:rsidR="000A61FA">
        <w:t>(</w:t>
      </w:r>
      <w:r w:rsidR="000A61FA" w:rsidRPr="003720E1">
        <w:t>7.6 per cent</w:t>
      </w:r>
      <w:r w:rsidR="000A61FA">
        <w:t>) is from the ERA, while the bottom of this range (</w:t>
      </w:r>
      <w:r w:rsidR="000A61FA" w:rsidRPr="003720E1">
        <w:t>6.0 per cent</w:t>
      </w:r>
      <w:r w:rsidR="000A61FA">
        <w:t>) is from</w:t>
      </w:r>
      <w:r w:rsidR="000A61FA" w:rsidRPr="003720E1">
        <w:t xml:space="preserve"> ESCV, ESCOSA, NTUC, TER and the ACCC.</w:t>
      </w:r>
      <w:r w:rsidR="000A61FA">
        <w:rPr>
          <w:rStyle w:val="FootnoteReference"/>
        </w:rPr>
        <w:footnoteReference w:id="206"/>
      </w:r>
      <w:r w:rsidR="000A61FA" w:rsidRPr="005A629D">
        <w:t xml:space="preserve"> The stakeholder submissions range is intended to reflect the views of consumer groups and those who use/</w:t>
      </w:r>
      <w:r w:rsidR="000A61FA">
        <w:t xml:space="preserve">engage with the energy network </w:t>
      </w:r>
      <w:r w:rsidR="000A61FA" w:rsidRPr="005A629D">
        <w:t xml:space="preserve">or pipeline, and as such it does not include submissions from </w:t>
      </w:r>
      <w:r w:rsidR="000A61FA">
        <w:t>services providers</w:t>
      </w:r>
      <w:r w:rsidR="000A61FA" w:rsidRPr="005A629D">
        <w:t xml:space="preserve">. The bottom and top of the stakeholder range comes from the Victorian Energy Consumer and </w:t>
      </w:r>
      <w:r w:rsidR="000A61FA" w:rsidRPr="003720E1">
        <w:t>User Alliance (VECUA)</w:t>
      </w:r>
      <w:r w:rsidR="000A61FA">
        <w:t>, Energy Consumer Coalition of South Australia (ECCSA), Origin Energy and Consumer Challenge Panel (CCP)</w:t>
      </w:r>
      <w:r w:rsidR="000A61FA" w:rsidRPr="003720E1">
        <w:t>.</w:t>
      </w:r>
      <w:r w:rsidR="000A61FA">
        <w:rPr>
          <w:rStyle w:val="FootnoteReference"/>
        </w:rPr>
        <w:footnoteReference w:id="207"/>
      </w:r>
      <w:r w:rsidR="000A61FA" w:rsidRPr="005A629D">
        <w:t xml:space="preserve"> The bottom and top of the service provider proposed range comes from APTNT's (Amadeus gas pipeline) proposal.</w:t>
      </w:r>
      <w:r w:rsidR="000A61FA">
        <w:rPr>
          <w:rStyle w:val="FootnoteReference"/>
        </w:rPr>
        <w:footnoteReference w:id="208"/>
      </w:r>
    </w:p>
    <w:p w:rsidR="002F6FA6" w:rsidRDefault="002F6FA6" w:rsidP="002F6FA6">
      <w:pPr>
        <w:numPr>
          <w:ilvl w:val="0"/>
          <w:numId w:val="25"/>
        </w:numPr>
      </w:pPr>
      <w:r>
        <w:t xml:space="preserve">We derive our point estimate from within this range by considering the relative merits of all of the relevant material. The application of our approach is set out as follows: </w:t>
      </w:r>
    </w:p>
    <w:p w:rsidR="002F6FA6" w:rsidRDefault="002F6FA6" w:rsidP="002F6FA6">
      <w:pPr>
        <w:pStyle w:val="AERbulletlistfirststyle"/>
      </w:pPr>
      <w:r>
        <w:t>Historical excess returns provide our baseline estimate and indicates a market risk premium of approximately 5.5 to 6.0 per cent from a range of 4.8 per cent to 6.0 per cent. We consider both geometric and arithmetic averages of historical returns. However, we consider there may be evidence of bias in the geometric averages.</w:t>
      </w:r>
      <w:r>
        <w:rPr>
          <w:rStyle w:val="FootnoteReference"/>
        </w:rPr>
        <w:footnoteReference w:id="209"/>
      </w:r>
      <w:r>
        <w:t xml:space="preserve"> Therefore, our range for historical returns is based on arithmetic averages.</w:t>
      </w:r>
    </w:p>
    <w:p w:rsidR="002F6FA6" w:rsidRDefault="002F6FA6" w:rsidP="002F6FA6">
      <w:pPr>
        <w:pStyle w:val="AERbulletlistfirststyle"/>
      </w:pPr>
      <w:r>
        <w:t>Dividend growth model estimates indicate a market risk premium estimate above this baseline with a range of 7.57 to 8.84 per cent. We consider our dividend growth model is theoretically sound but that there are many limitations in practically implementing this model. We are not confident that the recent increases in estimates of the market risk premium from these models necessarily reflect an increase in the 'true' expected ten-year forward looking market risk premium. We consider our, and other, dividend growth models are likely to produce upward biased estimates in the current market.</w:t>
      </w:r>
      <w:r>
        <w:rPr>
          <w:rStyle w:val="FootnoteReference"/>
        </w:rPr>
        <w:footnoteReference w:id="210"/>
      </w:r>
      <w:r>
        <w:t xml:space="preserve"> We also consider our, and other, models may not accurately track changes in the return on equity for the market.</w:t>
      </w:r>
      <w:r>
        <w:rPr>
          <w:rStyle w:val="FootnoteReference"/>
        </w:rPr>
        <w:footnoteReference w:id="211"/>
      </w:r>
      <w:r>
        <w:t xml:space="preserve"> See section </w:t>
      </w:r>
      <w:r>
        <w:fldChar w:fldCharType="begin"/>
      </w:r>
      <w:r>
        <w:instrText xml:space="preserve"> REF _Ref449007421 \r \h </w:instrText>
      </w:r>
      <w:r>
        <w:fldChar w:fldCharType="separate"/>
      </w:r>
      <w:r w:rsidR="003F1AAB">
        <w:t>B.4</w:t>
      </w:r>
      <w:r>
        <w:fldChar w:fldCharType="end"/>
      </w:r>
      <w:r>
        <w:t xml:space="preserve"> for more detail these limitations. For these reasons, we do not consider that the dividend growth model estimates are reliable on their own, but that they do provide some support for a point estimate above the range from historical returns. </w:t>
      </w:r>
    </w:p>
    <w:p w:rsidR="002F6FA6" w:rsidRDefault="002F6FA6" w:rsidP="002F6FA6">
      <w:pPr>
        <w:pStyle w:val="AERbulletlistfirststyle"/>
      </w:pPr>
      <w:r>
        <w:t xml:space="preserve">Survey evidence supports a market risk premium around 6.0 to 6.5 per cent. Other regulators' estimates are used as a cross check and indicate a market risk premium estimate of around 6.5 per cent is reasonable. Conditioning variables indicate that there has not been a material change in market conditions since our </w:t>
      </w:r>
      <w:r w:rsidR="008B6F5B">
        <w:t xml:space="preserve">October and November 2015 </w:t>
      </w:r>
      <w:r>
        <w:t>decision</w:t>
      </w:r>
      <w:r w:rsidR="008B6F5B">
        <w:t>s</w:t>
      </w:r>
      <w:r>
        <w:t xml:space="preserve">. See sections </w:t>
      </w:r>
      <w:r>
        <w:fldChar w:fldCharType="begin"/>
      </w:r>
      <w:r>
        <w:instrText xml:space="preserve"> REF _Ref446272549 \r \h </w:instrText>
      </w:r>
      <w:r>
        <w:fldChar w:fldCharType="separate"/>
      </w:r>
      <w:r w:rsidR="003F1AAB">
        <w:t>F.1</w:t>
      </w:r>
      <w:r>
        <w:fldChar w:fldCharType="end"/>
      </w:r>
      <w:r>
        <w:t xml:space="preserve">, </w:t>
      </w:r>
      <w:r>
        <w:fldChar w:fldCharType="begin"/>
      </w:r>
      <w:r>
        <w:instrText xml:space="preserve"> REF _Ref451416189 \r \h </w:instrText>
      </w:r>
      <w:r>
        <w:fldChar w:fldCharType="separate"/>
      </w:r>
      <w:r w:rsidR="003F1AAB">
        <w:t>F.4</w:t>
      </w:r>
      <w:r>
        <w:fldChar w:fldCharType="end"/>
      </w:r>
      <w:r>
        <w:t xml:space="preserve">, and </w:t>
      </w:r>
      <w:r>
        <w:fldChar w:fldCharType="begin"/>
      </w:r>
      <w:r>
        <w:instrText xml:space="preserve"> REF _Ref451685221 \r \h </w:instrText>
      </w:r>
      <w:r>
        <w:fldChar w:fldCharType="separate"/>
      </w:r>
      <w:r w:rsidR="003F1AAB">
        <w:t>E</w:t>
      </w:r>
      <w:r>
        <w:fldChar w:fldCharType="end"/>
      </w:r>
      <w:r>
        <w:t xml:space="preserve"> for more detail on this material.</w:t>
      </w:r>
    </w:p>
    <w:p w:rsidR="002F6FA6" w:rsidRDefault="002F6FA6" w:rsidP="002F6FA6">
      <w:r>
        <w:t xml:space="preserve">Stakeholder submissions have generally supported a market risk premium at or below the 6.5 per cent which we estimated in our </w:t>
      </w:r>
      <w:r w:rsidR="00D87D52">
        <w:t xml:space="preserve">recent </w:t>
      </w:r>
      <w:r>
        <w:t>decision</w:t>
      </w:r>
      <w:r w:rsidR="00D87D52">
        <w:t>s</w:t>
      </w:r>
      <w:r w:rsidR="00FD67C9">
        <w:t xml:space="preserve"> released in October and November 2015</w:t>
      </w:r>
      <w:r>
        <w:t>. For example:</w:t>
      </w:r>
    </w:p>
    <w:p w:rsidR="002F6FA6" w:rsidRPr="001367D6" w:rsidRDefault="002F6FA6" w:rsidP="002F6FA6">
      <w:pPr>
        <w:pStyle w:val="AERbulletlistfirststyle"/>
      </w:pPr>
      <w:r>
        <w:t xml:space="preserve">The </w:t>
      </w:r>
      <w:r w:rsidRPr="001367D6">
        <w:t>Victorian Energy Consumer and User Alliance (</w:t>
      </w:r>
      <w:r>
        <w:t>VECUA) continued to recommend a</w:t>
      </w:r>
      <w:r w:rsidRPr="001367D6">
        <w:t xml:space="preserve"> </w:t>
      </w:r>
      <w:r w:rsidRPr="00A265D2">
        <w:t xml:space="preserve">market risk premium </w:t>
      </w:r>
      <w:r w:rsidRPr="001367D6">
        <w:t>of 5.0 per cent, at the bottom of the range determined in the Guideline.</w:t>
      </w:r>
      <w:r w:rsidRPr="001367D6">
        <w:rPr>
          <w:rStyle w:val="FootnoteReference"/>
        </w:rPr>
        <w:footnoteReference w:id="212"/>
      </w:r>
      <w:r w:rsidRPr="001367D6">
        <w:t xml:space="preserve"> </w:t>
      </w:r>
      <w:r>
        <w:t>VECUA submitted that t</w:t>
      </w:r>
      <w:r w:rsidRPr="001367D6">
        <w:t>his appeared to be based on outcome-based considerations regarding the profitability and low risk of service providers and decisions made by other regulators, as well as a view that the AER should exercise its discretion in a more balanced manner.</w:t>
      </w:r>
      <w:r>
        <w:rPr>
          <w:rStyle w:val="FootnoteReference"/>
        </w:rPr>
        <w:footnoteReference w:id="213"/>
      </w:r>
    </w:p>
    <w:p w:rsidR="002F6FA6" w:rsidRPr="001367D6" w:rsidRDefault="002F6FA6" w:rsidP="002F6FA6">
      <w:pPr>
        <w:pStyle w:val="AERbulletlistfirststyle"/>
      </w:pPr>
      <w:r>
        <w:t>The Energy Consumers Coalition of South Australia (ECCSA) commented that</w:t>
      </w:r>
      <w:r w:rsidRPr="001367D6">
        <w:t xml:space="preserve"> the </w:t>
      </w:r>
      <w:r w:rsidRPr="00A265D2">
        <w:t xml:space="preserve">market risk premium </w:t>
      </w:r>
      <w:r w:rsidRPr="001367D6">
        <w:t xml:space="preserve">estimate in our </w:t>
      </w:r>
      <w:r w:rsidR="00D87D52">
        <w:t>October and November 2015</w:t>
      </w:r>
      <w:r w:rsidR="00D87D52" w:rsidRPr="001367D6">
        <w:t xml:space="preserve"> </w:t>
      </w:r>
      <w:r w:rsidRPr="001367D6">
        <w:t>decision</w:t>
      </w:r>
      <w:r w:rsidR="00D87D52">
        <w:t>s</w:t>
      </w:r>
      <w:r w:rsidRPr="001367D6">
        <w:t xml:space="preserve">, as it was set at the higher end of the credible range, added ‘considerable conservatism’ into the </w:t>
      </w:r>
      <w:r>
        <w:t>rate of return</w:t>
      </w:r>
      <w:r w:rsidRPr="001367D6">
        <w:t xml:space="preserve"> calculation.</w:t>
      </w:r>
      <w:r w:rsidRPr="001367D6">
        <w:rPr>
          <w:rStyle w:val="FootnoteReference"/>
        </w:rPr>
        <w:footnoteReference w:id="214"/>
      </w:r>
    </w:p>
    <w:p w:rsidR="002F6FA6" w:rsidRDefault="002F6FA6" w:rsidP="002F6FA6">
      <w:pPr>
        <w:pStyle w:val="AERbulletlistfirststyle"/>
      </w:pPr>
      <w:r>
        <w:t xml:space="preserve">Origin Energy continued to support our </w:t>
      </w:r>
      <w:r w:rsidRPr="00A265D2">
        <w:t xml:space="preserve">market risk premium </w:t>
      </w:r>
      <w:r>
        <w:t>estimate of 6.5 per cent</w:t>
      </w:r>
      <w:r w:rsidRPr="007725F8">
        <w:t xml:space="preserve"> as this better reflects the efficient financing costs of a business exposed to the level of risk that applies to an Australian regulated network business</w:t>
      </w:r>
      <w:r>
        <w:t>.</w:t>
      </w:r>
      <w:r w:rsidRPr="004D154B">
        <w:rPr>
          <w:rStyle w:val="FootnoteReference"/>
        </w:rPr>
        <w:footnoteReference w:id="215"/>
      </w:r>
    </w:p>
    <w:p w:rsidR="002F6FA6" w:rsidRPr="001367D6" w:rsidRDefault="002F6FA6" w:rsidP="002F6FA6">
      <w:pPr>
        <w:pStyle w:val="AERbulletlistfirststyle"/>
      </w:pPr>
      <w:r>
        <w:t>In a separate regulatory process, t</w:t>
      </w:r>
      <w:r w:rsidRPr="001367D6">
        <w:t xml:space="preserve">he </w:t>
      </w:r>
      <w:r>
        <w:t>Consumer Challenge Panel (</w:t>
      </w:r>
      <w:r w:rsidRPr="001367D6">
        <w:t>CCP</w:t>
      </w:r>
      <w:r>
        <w:t>)</w:t>
      </w:r>
      <w:r w:rsidRPr="001367D6">
        <w:t xml:space="preserve"> advised that we could still set a </w:t>
      </w:r>
      <w:r w:rsidRPr="00A265D2">
        <w:t xml:space="preserve">market risk premium </w:t>
      </w:r>
      <w:r w:rsidRPr="001367D6">
        <w:t xml:space="preserve">of 6 per cent or below, commenting that a point estimate within our range but lower than those set </w:t>
      </w:r>
      <w:r>
        <w:t xml:space="preserve">by </w:t>
      </w:r>
      <w:r w:rsidRPr="001367D6">
        <w:t>us to date would be ‘more in the long term interests of consumers while still meeting investors’ rights to an adequate return on capital invested’.</w:t>
      </w:r>
      <w:r w:rsidRPr="001367D6">
        <w:rPr>
          <w:rStyle w:val="FootnoteReference"/>
        </w:rPr>
        <w:footnoteReference w:id="216"/>
      </w:r>
    </w:p>
    <w:p w:rsidR="002F6FA6" w:rsidRDefault="007F77B8" w:rsidP="002F6FA6">
      <w:r>
        <w:t>In recent determination processes m</w:t>
      </w:r>
      <w:r w:rsidR="002F6FA6">
        <w:t xml:space="preserve">ost service providers proposed a </w:t>
      </w:r>
      <w:r w:rsidR="002F6FA6" w:rsidRPr="00707D90">
        <w:t xml:space="preserve">market risk premium </w:t>
      </w:r>
      <w:r w:rsidR="002F6FA6">
        <w:t>of 7.8 to 7.9 per cent, based on SFG’s</w:t>
      </w:r>
      <w:r w:rsidR="002F6FA6">
        <w:rPr>
          <w:rStyle w:val="FootnoteReference"/>
        </w:rPr>
        <w:footnoteReference w:id="217"/>
      </w:r>
      <w:r w:rsidR="002F6FA6">
        <w:t xml:space="preserve"> weighted average of estimates from the dividend growth model, </w:t>
      </w:r>
      <w:r w:rsidR="002F6FA6" w:rsidRPr="00FE65B9">
        <w:t>historical excess returns, the Wright approach</w:t>
      </w:r>
      <w:r w:rsidR="002F6FA6">
        <w:t xml:space="preserve">, and independent valuation reports. In its revised access arrangement proposal, </w:t>
      </w:r>
      <w:r w:rsidR="002F6FA6" w:rsidRPr="00CA4C4F">
        <w:t>APTN</w:t>
      </w:r>
      <w:r w:rsidR="002F6FA6">
        <w:t>T</w:t>
      </w:r>
      <w:r w:rsidR="002F6FA6" w:rsidRPr="00CA4C4F">
        <w:t xml:space="preserve"> </w:t>
      </w:r>
      <w:r w:rsidR="002F6FA6">
        <w:t xml:space="preserve">appeared to use a </w:t>
      </w:r>
      <w:r w:rsidR="002F6FA6" w:rsidRPr="00707D90">
        <w:t xml:space="preserve">market risk premium </w:t>
      </w:r>
      <w:r w:rsidR="002F6FA6">
        <w:t>range of 7.48 to 8.58 per cent based on the Wright approach.</w:t>
      </w:r>
      <w:r w:rsidR="002F6FA6">
        <w:rPr>
          <w:rStyle w:val="FootnoteReference"/>
        </w:rPr>
        <w:footnoteReference w:id="218"/>
      </w:r>
      <w:r w:rsidR="002F6FA6">
        <w:t xml:space="preserve"> However, it also used an estimated </w:t>
      </w:r>
      <w:r w:rsidR="002F6FA6" w:rsidRPr="00707D90">
        <w:t xml:space="preserve">market risk premium </w:t>
      </w:r>
      <w:r w:rsidR="002F6FA6">
        <w:t>of 6.1 per cent in its consideration of the Fama-French three-factor model.</w:t>
      </w:r>
      <w:r w:rsidR="002F6FA6">
        <w:rPr>
          <w:rStyle w:val="FootnoteReference"/>
        </w:rPr>
        <w:footnoteReference w:id="219"/>
      </w:r>
    </w:p>
    <w:p w:rsidR="002F6FA6" w:rsidRDefault="002F6FA6" w:rsidP="002F6FA6">
      <w:pPr>
        <w:numPr>
          <w:ilvl w:val="0"/>
          <w:numId w:val="25"/>
        </w:numPr>
      </w:pPr>
      <w:r>
        <w:t xml:space="preserve">We note </w:t>
      </w:r>
      <w:r w:rsidRPr="00010BCE">
        <w:t>th</w:t>
      </w:r>
      <w:r>
        <w:t>at</w:t>
      </w:r>
      <w:r w:rsidRPr="00010BCE">
        <w:t xml:space="preserve"> </w:t>
      </w:r>
      <w:r>
        <w:t>some stakeholders</w:t>
      </w:r>
      <w:r w:rsidRPr="00010BCE">
        <w:t xml:space="preserve"> </w:t>
      </w:r>
      <w:r>
        <w:t>submitted</w:t>
      </w:r>
      <w:r w:rsidRPr="00010BCE">
        <w:t xml:space="preserve"> that </w:t>
      </w:r>
      <w:r>
        <w:t xml:space="preserve">we place too much reliance on some material, that </w:t>
      </w:r>
      <w:r w:rsidRPr="00010BCE">
        <w:t xml:space="preserve">we did not have appropriate </w:t>
      </w:r>
      <w:r>
        <w:t xml:space="preserve">regard </w:t>
      </w:r>
      <w:r w:rsidRPr="00010BCE">
        <w:t>to information from other relevant sources</w:t>
      </w:r>
      <w:r>
        <w:t>, or that we made inappropriate methodological choices in our empirical analysis</w:t>
      </w:r>
      <w:r w:rsidRPr="00010BCE">
        <w:t xml:space="preserve">. </w:t>
      </w:r>
      <w:r>
        <w:fldChar w:fldCharType="begin"/>
      </w:r>
      <w:r>
        <w:instrText xml:space="preserve"> REF _Ref446275314 \h </w:instrText>
      </w:r>
      <w:r>
        <w:fldChar w:fldCharType="separate"/>
      </w:r>
      <w:r w:rsidR="003F1AAB">
        <w:t xml:space="preserve">Table </w:t>
      </w:r>
      <w:r w:rsidR="003F1AAB">
        <w:rPr>
          <w:noProof/>
        </w:rPr>
        <w:t>3</w:t>
      </w:r>
      <w:r w:rsidR="003F1AAB">
        <w:noBreakHyphen/>
      </w:r>
      <w:r w:rsidR="003F1AAB">
        <w:rPr>
          <w:noProof/>
        </w:rPr>
        <w:t>5</w:t>
      </w:r>
      <w:r>
        <w:fldChar w:fldCharType="end"/>
      </w:r>
      <w:r>
        <w:t xml:space="preserve"> sets out stakeholder views on our use of relevant material and our responses. </w:t>
      </w:r>
      <w:r w:rsidRPr="00B005DF">
        <w:t xml:space="preserve">Having considered the overall information and </w:t>
      </w:r>
      <w:r>
        <w:t xml:space="preserve">all </w:t>
      </w:r>
      <w:r w:rsidRPr="00B005DF">
        <w:t xml:space="preserve">material before us, at this time we are not satisfied that </w:t>
      </w:r>
      <w:r>
        <w:t>these submissions indicate</w:t>
      </w:r>
      <w:r w:rsidRPr="00B005DF">
        <w:t xml:space="preserve"> a departure from the </w:t>
      </w:r>
      <w:r>
        <w:t>G</w:t>
      </w:r>
      <w:r w:rsidRPr="00B005DF">
        <w:t xml:space="preserve">uideline would </w:t>
      </w:r>
      <w:r>
        <w:t>contribute to the achievement of</w:t>
      </w:r>
      <w:r w:rsidRPr="00B005DF">
        <w:t xml:space="preserve"> the </w:t>
      </w:r>
      <w:r>
        <w:t>ARORO and the National Electricity Objective</w:t>
      </w:r>
      <w:r w:rsidRPr="00B005DF">
        <w:t xml:space="preserve">. </w:t>
      </w:r>
      <w:r>
        <w:t xml:space="preserve"> </w:t>
      </w:r>
    </w:p>
    <w:p w:rsidR="002F6FA6" w:rsidRPr="005F7128" w:rsidRDefault="002F6FA6" w:rsidP="002F6FA6">
      <w:pPr>
        <w:pStyle w:val="Caption"/>
      </w:pPr>
      <w:bookmarkStart w:id="69" w:name="_Ref446275314"/>
      <w:bookmarkStart w:id="70" w:name="_Ref444171050"/>
      <w:r>
        <w:t xml:space="preserve">Table </w:t>
      </w:r>
      <w:r w:rsidRPr="002F6FA6">
        <w:fldChar w:fldCharType="begin"/>
      </w:r>
      <w:r>
        <w:instrText xml:space="preserve"> STYLEREF 1 \s </w:instrText>
      </w:r>
      <w:r w:rsidRPr="002F6FA6">
        <w:fldChar w:fldCharType="separate"/>
      </w:r>
      <w:r w:rsidR="003F1AAB">
        <w:rPr>
          <w:noProof/>
        </w:rPr>
        <w:t>3</w:t>
      </w:r>
      <w:r w:rsidRPr="002F6FA6">
        <w:fldChar w:fldCharType="end"/>
      </w:r>
      <w:r>
        <w:noBreakHyphen/>
      </w:r>
      <w:r w:rsidRPr="002F6FA6">
        <w:fldChar w:fldCharType="begin"/>
      </w:r>
      <w:r>
        <w:instrText xml:space="preserve"> SEQ Table \* ARABIC \s 1 </w:instrText>
      </w:r>
      <w:r w:rsidRPr="002F6FA6">
        <w:fldChar w:fldCharType="separate"/>
      </w:r>
      <w:r w:rsidR="003F1AAB">
        <w:rPr>
          <w:noProof/>
        </w:rPr>
        <w:t>5</w:t>
      </w:r>
      <w:r w:rsidRPr="002F6FA6">
        <w:fldChar w:fldCharType="end"/>
      </w:r>
      <w:bookmarkEnd w:id="69"/>
      <w:r>
        <w:tab/>
        <w:t>Issues raised about estimating market risk premium</w:t>
      </w:r>
      <w:bookmarkEnd w:id="70"/>
    </w:p>
    <w:tbl>
      <w:tblPr>
        <w:tblStyle w:val="AERtable-text0"/>
        <w:tblW w:w="0" w:type="auto"/>
        <w:tblLook w:val="04A0" w:firstRow="1" w:lastRow="0" w:firstColumn="1" w:lastColumn="0" w:noHBand="0" w:noVBand="1"/>
      </w:tblPr>
      <w:tblGrid>
        <w:gridCol w:w="1951"/>
        <w:gridCol w:w="6742"/>
      </w:tblGrid>
      <w:tr w:rsidR="002F6FA6" w:rsidTr="007D4F36">
        <w:trPr>
          <w:cnfStyle w:val="100000000000" w:firstRow="1" w:lastRow="0" w:firstColumn="0" w:lastColumn="0" w:oddVBand="0" w:evenVBand="0" w:oddHBand="0" w:evenHBand="0" w:firstRowFirstColumn="0" w:firstRowLastColumn="0" w:lastRowFirstColumn="0" w:lastRowLastColumn="0"/>
        </w:trPr>
        <w:tc>
          <w:tcPr>
            <w:tcW w:w="1951" w:type="dxa"/>
          </w:tcPr>
          <w:p w:rsidR="002F6FA6" w:rsidRPr="002F6FA6" w:rsidRDefault="002F6FA6" w:rsidP="002F6FA6">
            <w:r>
              <w:t>Issue</w:t>
            </w:r>
          </w:p>
        </w:tc>
        <w:tc>
          <w:tcPr>
            <w:tcW w:w="6742" w:type="dxa"/>
          </w:tcPr>
          <w:p w:rsidR="002F6FA6" w:rsidRPr="002F6FA6" w:rsidRDefault="002F6FA6" w:rsidP="002F6FA6">
            <w:r>
              <w:t>O</w:t>
            </w:r>
            <w:r w:rsidRPr="002F6FA6">
              <w:t>ur response</w:t>
            </w:r>
          </w:p>
        </w:tc>
      </w:tr>
      <w:tr w:rsidR="002F6FA6" w:rsidTr="007D4F36">
        <w:tc>
          <w:tcPr>
            <w:tcW w:w="1951" w:type="dxa"/>
          </w:tcPr>
          <w:p w:rsidR="002F6FA6" w:rsidRPr="002F6FA6" w:rsidRDefault="002F6FA6" w:rsidP="002F6FA6">
            <w:pPr>
              <w:rPr>
                <w:rStyle w:val="AERtextsize8"/>
              </w:rPr>
            </w:pPr>
            <w:r>
              <w:rPr>
                <w:rStyle w:val="AERtextsize8"/>
              </w:rPr>
              <w:t xml:space="preserve">Our approach </w:t>
            </w:r>
            <w:r w:rsidRPr="002F6FA6">
              <w:rPr>
                <w:rStyle w:val="AERtextsize8"/>
              </w:rPr>
              <w:t>provides no real regard to the dividend growth model</w:t>
            </w:r>
            <w:r w:rsidR="007673C1">
              <w:rPr>
                <w:rStyle w:val="FootnoteReference"/>
              </w:rPr>
              <w:footnoteReference w:id="220"/>
            </w:r>
          </w:p>
        </w:tc>
        <w:tc>
          <w:tcPr>
            <w:tcW w:w="6742" w:type="dxa"/>
          </w:tcPr>
          <w:p w:rsidR="002F6FA6" w:rsidRPr="002F6FA6" w:rsidRDefault="002F6FA6" w:rsidP="002F6FA6">
            <w:pPr>
              <w:rPr>
                <w:rStyle w:val="AERtextsize8"/>
              </w:rPr>
            </w:pPr>
            <w:r w:rsidRPr="00133A9B">
              <w:t xml:space="preserve">Consistent </w:t>
            </w:r>
            <w:r w:rsidRPr="002F6FA6">
              <w:t xml:space="preserve">with the rate of return Guideline, we use dividend growth model estimates (from our preferred construction of the dividend growth model) to inform the estimate of the market risk premium, having regard to evidence that the output from the models is very sensitive  to  input  assumptions  and  likely  to  show  an  upward  bias in current market conditions. This extent is appropriate given the limitations of dividend growth models. </w:t>
            </w:r>
            <w:r w:rsidRPr="002F6FA6">
              <w:rPr>
                <w:rStyle w:val="AERtextsize8"/>
              </w:rPr>
              <w:t xml:space="preserve">See section </w:t>
            </w:r>
            <w:r w:rsidRPr="002F6FA6">
              <w:rPr>
                <w:rStyle w:val="AERtextsize8"/>
              </w:rPr>
              <w:fldChar w:fldCharType="begin"/>
            </w:r>
            <w:r w:rsidRPr="002F6FA6">
              <w:rPr>
                <w:rStyle w:val="AERtextsize8"/>
              </w:rPr>
              <w:instrText xml:space="preserve"> REF _Ref449007421 \r \h </w:instrText>
            </w:r>
            <w:r w:rsidRPr="002F6FA6">
              <w:rPr>
                <w:rStyle w:val="AERtextsize8"/>
              </w:rPr>
            </w:r>
            <w:r w:rsidRPr="002F6FA6">
              <w:rPr>
                <w:rStyle w:val="AERtextsize8"/>
              </w:rPr>
              <w:fldChar w:fldCharType="separate"/>
            </w:r>
            <w:r w:rsidR="003F1AAB">
              <w:rPr>
                <w:rStyle w:val="AERtextsize8"/>
              </w:rPr>
              <w:t>B.4</w:t>
            </w:r>
            <w:r w:rsidRPr="002F6FA6">
              <w:rPr>
                <w:rStyle w:val="AERtextsize8"/>
              </w:rPr>
              <w:fldChar w:fldCharType="end"/>
            </w:r>
            <w:r w:rsidRPr="002F6FA6">
              <w:rPr>
                <w:rStyle w:val="AERtextsize8"/>
              </w:rPr>
              <w:t xml:space="preserve"> for details on the models limitations. </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1951" w:type="dxa"/>
          </w:tcPr>
          <w:p w:rsidR="002F6FA6" w:rsidRPr="002F6FA6" w:rsidRDefault="002F6FA6" w:rsidP="002F6FA6">
            <w:pPr>
              <w:rPr>
                <w:rStyle w:val="AERtextsize8"/>
              </w:rPr>
            </w:pPr>
            <w:r w:rsidRPr="007C153E">
              <w:rPr>
                <w:rStyle w:val="AERtextsize8"/>
              </w:rPr>
              <w:t>The Wright approach to estimating historical stock returns is useful for estimating market risk premium</w:t>
            </w:r>
            <w:r w:rsidR="00EF2C77">
              <w:rPr>
                <w:rStyle w:val="FootnoteReference"/>
              </w:rPr>
              <w:footnoteReference w:id="221"/>
            </w:r>
          </w:p>
        </w:tc>
        <w:tc>
          <w:tcPr>
            <w:tcW w:w="6742" w:type="dxa"/>
          </w:tcPr>
          <w:p w:rsidR="002F6FA6" w:rsidRPr="007C153E" w:rsidRDefault="002F6FA6" w:rsidP="0075272C">
            <w:pPr>
              <w:numPr>
                <w:ilvl w:val="0"/>
                <w:numId w:val="25"/>
              </w:numPr>
              <w:rPr>
                <w:rStyle w:val="AERtextsize8"/>
              </w:rPr>
            </w:pPr>
            <w:r>
              <w:rPr>
                <w:rStyle w:val="AERtextsize8"/>
              </w:rPr>
              <w:t>Our consideration of the Wright approach is informative of our market risk premium estimate: as a cross-check on our overall return on equity, it is a cross-check on our return on equity parameters, including the market risk premium. However, w</w:t>
            </w:r>
            <w:r w:rsidRPr="007C153E">
              <w:rPr>
                <w:rStyle w:val="AERtextsize8"/>
              </w:rPr>
              <w:t>hile we have used a range from the Wright</w:t>
            </w:r>
            <w:r>
              <w:rPr>
                <w:rStyle w:val="AERtextsize8"/>
              </w:rPr>
              <w:t xml:space="preserve"> approach to</w:t>
            </w:r>
            <w:r w:rsidRPr="007C153E">
              <w:rPr>
                <w:rStyle w:val="AERtextsize8"/>
              </w:rPr>
              <w:t xml:space="preserve"> CAPM specification to inform the overall return on equity, we have placed little reliance on this information given </w:t>
            </w:r>
            <w:r>
              <w:rPr>
                <w:rStyle w:val="AERtextsize8"/>
              </w:rPr>
              <w:t>w</w:t>
            </w:r>
            <w:r w:rsidRPr="007C153E">
              <w:rPr>
                <w:rStyle w:val="AERtextsize8"/>
              </w:rPr>
              <w:t xml:space="preserve">e do not agree with </w:t>
            </w:r>
            <w:r>
              <w:rPr>
                <w:rStyle w:val="AERtextsize8"/>
              </w:rPr>
              <w:t>its historical</w:t>
            </w:r>
            <w:r w:rsidRPr="007C153E">
              <w:rPr>
                <w:rStyle w:val="AERtextsize8"/>
              </w:rPr>
              <w:t xml:space="preserve"> form. The CAPM is a forward looking asset pricing model.</w:t>
            </w:r>
            <w:r w:rsidRPr="007A10C2">
              <w:rPr>
                <w:rStyle w:val="FootnoteReference"/>
              </w:rPr>
              <w:footnoteReference w:id="222"/>
            </w:r>
            <w:r w:rsidRPr="007C153E">
              <w:rPr>
                <w:rStyle w:val="AERtextsize8"/>
              </w:rPr>
              <w:t xml:space="preserve"> Historical data (such as historical excess returns on the market) may be a basis for estimates of the input parameters into the model where they are good evidence of forward looking parameters. However, we do not consider using historically based estimates that are clearly not representative of the forward looking rate will result in an unbiased estimate of the return on equity.</w:t>
            </w:r>
            <w:r>
              <w:rPr>
                <w:rStyle w:val="AERtextsize8"/>
              </w:rPr>
              <w:t xml:space="preserve"> Further details of our reasons are in section </w:t>
            </w:r>
            <w:r>
              <w:rPr>
                <w:rStyle w:val="AERtextsize8"/>
              </w:rPr>
              <w:fldChar w:fldCharType="begin"/>
            </w:r>
            <w:r>
              <w:rPr>
                <w:rStyle w:val="AERtextsize8"/>
              </w:rPr>
              <w:instrText xml:space="preserve"> REF _Ref449018117 \r \h </w:instrText>
            </w:r>
            <w:r>
              <w:rPr>
                <w:rStyle w:val="AERtextsize8"/>
              </w:rPr>
            </w:r>
            <w:r>
              <w:rPr>
                <w:rStyle w:val="AERtextsize8"/>
              </w:rPr>
              <w:fldChar w:fldCharType="separate"/>
            </w:r>
            <w:r w:rsidR="003F1AAB">
              <w:rPr>
                <w:rStyle w:val="AERtextsize8"/>
              </w:rPr>
              <w:t>B.5</w:t>
            </w:r>
            <w:r>
              <w:rPr>
                <w:rStyle w:val="AERtextsize8"/>
              </w:rPr>
              <w:fldChar w:fldCharType="end"/>
            </w:r>
            <w:r>
              <w:rPr>
                <w:rStyle w:val="AERtextsize8"/>
              </w:rPr>
              <w:t xml:space="preserve"> of this attachment.</w:t>
            </w:r>
          </w:p>
        </w:tc>
      </w:tr>
      <w:tr w:rsidR="002F6FA6" w:rsidTr="007D4F36">
        <w:tc>
          <w:tcPr>
            <w:tcW w:w="1951" w:type="dxa"/>
          </w:tcPr>
          <w:p w:rsidR="002F6FA6" w:rsidRPr="002F6FA6" w:rsidRDefault="002F6FA6" w:rsidP="002F6FA6">
            <w:pPr>
              <w:rPr>
                <w:rStyle w:val="AERtextsize8"/>
              </w:rPr>
            </w:pPr>
            <w:r w:rsidRPr="007C153E">
              <w:rPr>
                <w:rStyle w:val="AERtextsize8"/>
              </w:rPr>
              <w:t>Information from valuation reports is useful for estimating market risk premium</w:t>
            </w:r>
            <w:r w:rsidR="00EF2C77">
              <w:rPr>
                <w:rStyle w:val="FootnoteReference"/>
              </w:rPr>
              <w:footnoteReference w:id="223"/>
            </w:r>
          </w:p>
        </w:tc>
        <w:tc>
          <w:tcPr>
            <w:tcW w:w="6742" w:type="dxa"/>
          </w:tcPr>
          <w:p w:rsidR="002F6FA6" w:rsidRPr="002F6FA6" w:rsidRDefault="002F6FA6" w:rsidP="0075272C">
            <w:pPr>
              <w:rPr>
                <w:rStyle w:val="AERtextsize8"/>
              </w:rPr>
            </w:pPr>
            <w:r>
              <w:rPr>
                <w:rStyle w:val="AERtextsize8"/>
              </w:rPr>
              <w:t>Our consideration of valuation reports is informative of our market risk premium estimate: as a cross-check on our overall ret</w:t>
            </w:r>
            <w:r w:rsidRPr="002F6FA6">
              <w:rPr>
                <w:rStyle w:val="AERtextsize8"/>
              </w:rPr>
              <w:t xml:space="preserve">urn on equity, they are a cross-check on our return on equity parameters, including the market risk premium. </w:t>
            </w:r>
            <w:r w:rsidRPr="002F6FA6">
              <w:t xml:space="preserve">Valuation reports have a different objective to the ARORO, which may make their estimates unsuitable for our purpose. This effect is likely more prevalent for input parameters than the overall return on equity. A lack of transparency on </w:t>
            </w:r>
            <w:r w:rsidR="0075272C">
              <w:t>the derivation of</w:t>
            </w:r>
            <w:r w:rsidRPr="002F6FA6">
              <w:t xml:space="preserve"> return on equity estimates prevents adjusting for these effects. </w:t>
            </w:r>
            <w:r w:rsidR="0075272C">
              <w:t xml:space="preserve">See </w:t>
            </w:r>
            <w:r w:rsidR="0075272C" w:rsidRPr="002F6FA6">
              <w:t xml:space="preserve">section </w:t>
            </w:r>
            <w:r w:rsidR="0075272C" w:rsidRPr="0075272C">
              <w:fldChar w:fldCharType="begin"/>
            </w:r>
            <w:r w:rsidR="0075272C" w:rsidRPr="0075272C">
              <w:instrText xml:space="preserve"> REF _Ref446280177 \r \h </w:instrText>
            </w:r>
            <w:r w:rsidR="0075272C" w:rsidRPr="0075272C">
              <w:fldChar w:fldCharType="separate"/>
            </w:r>
            <w:r w:rsidR="003F1AAB">
              <w:t>F.5</w:t>
            </w:r>
            <w:r w:rsidR="0075272C" w:rsidRPr="0075272C">
              <w:fldChar w:fldCharType="end"/>
            </w:r>
            <w:r w:rsidR="0075272C">
              <w:t xml:space="preserve"> for further discussion on t</w:t>
            </w:r>
            <w:r w:rsidRPr="002F6FA6">
              <w:t>hese limitations</w:t>
            </w:r>
            <w:proofErr w:type="gramStart"/>
            <w:r w:rsidR="0075272C">
              <w:t>.</w:t>
            </w:r>
            <w:r w:rsidRPr="002F6FA6">
              <w:t>.</w:t>
            </w:r>
            <w:proofErr w:type="gramEnd"/>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1951" w:type="dxa"/>
          </w:tcPr>
          <w:p w:rsidR="002F6FA6" w:rsidRPr="002F6FA6" w:rsidRDefault="002F6FA6" w:rsidP="00EF2C77">
            <w:pPr>
              <w:rPr>
                <w:rStyle w:val="AERtextsize8"/>
              </w:rPr>
            </w:pPr>
            <w:r w:rsidRPr="007C153E">
              <w:rPr>
                <w:rStyle w:val="AERtextsize8"/>
              </w:rPr>
              <w:t>Surveys should not be relied upon</w:t>
            </w:r>
            <w:r w:rsidRPr="002F6FA6">
              <w:rPr>
                <w:rStyle w:val="AERtextsize8"/>
              </w:rPr>
              <w:t xml:space="preserve"> t</w:t>
            </w:r>
            <w:r w:rsidR="00EF2C77">
              <w:rPr>
                <w:rStyle w:val="FootnoteReference"/>
              </w:rPr>
              <w:footnoteReference w:id="224"/>
            </w:r>
          </w:p>
        </w:tc>
        <w:tc>
          <w:tcPr>
            <w:tcW w:w="6742" w:type="dxa"/>
          </w:tcPr>
          <w:p w:rsidR="002F6FA6" w:rsidRPr="002F6FA6" w:rsidRDefault="002F6FA6" w:rsidP="00235A14">
            <w:pPr>
              <w:rPr>
                <w:rStyle w:val="AERtextsize8"/>
              </w:rPr>
            </w:pPr>
            <w:r w:rsidRPr="0048679F">
              <w:rPr>
                <w:rStyle w:val="AERtextsize8"/>
              </w:rPr>
              <w:t xml:space="preserve">While survey estimates </w:t>
            </w:r>
            <w:r w:rsidR="00235A14">
              <w:rPr>
                <w:rStyle w:val="AERtextsize8"/>
              </w:rPr>
              <w:t>intend</w:t>
            </w:r>
            <w:r w:rsidRPr="0048679F">
              <w:rPr>
                <w:rStyle w:val="AERtextsize8"/>
              </w:rPr>
              <w:t xml:space="preserve"> to provide an arm’s length assessment, we would not expect them to necessarily have complete impartiality. Survey estimates may strive for objective views but it seems unlikely that they will be entirely uninfluenced by commercial and other external interests. </w:t>
            </w:r>
            <w:r w:rsidRPr="002F6FA6">
              <w:rPr>
                <w:rStyle w:val="AERtextsize8"/>
              </w:rPr>
              <w:t>Respondents may also display some 'herding' behaviour. Therefore, we view that survey estimates supply relevant, but not definitive, information and considerable care needs to be taken in the analysis and interpretation of such estimates. Nonetheless, survey estimates explore investor expectations about the market risk premium by directly asking investors and market practitioners what their expectations are and/or what they apply in practice</w:t>
            </w:r>
            <w:r w:rsidR="00235A14">
              <w:rPr>
                <w:rStyle w:val="AERtextsize8"/>
              </w:rPr>
              <w:t>. W</w:t>
            </w:r>
            <w:r w:rsidRPr="002F6FA6">
              <w:rPr>
                <w:rStyle w:val="AERtextsize8"/>
              </w:rPr>
              <w:t xml:space="preserve">e consider </w:t>
            </w:r>
            <w:proofErr w:type="gramStart"/>
            <w:r w:rsidRPr="002F6FA6">
              <w:rPr>
                <w:rStyle w:val="AERtextsize8"/>
              </w:rPr>
              <w:t>this</w:t>
            </w:r>
            <w:proofErr w:type="gramEnd"/>
            <w:r w:rsidRPr="002F6FA6">
              <w:rPr>
                <w:rStyle w:val="AERtextsize8"/>
              </w:rPr>
              <w:t xml:space="preserve"> remains useful for informing our market risk premium estimate.</w:t>
            </w:r>
          </w:p>
        </w:tc>
      </w:tr>
      <w:tr w:rsidR="002F6FA6" w:rsidTr="007D4F36">
        <w:trPr>
          <w:trHeight w:val="1274"/>
        </w:trPr>
        <w:tc>
          <w:tcPr>
            <w:tcW w:w="1951" w:type="dxa"/>
          </w:tcPr>
          <w:p w:rsidR="002F6FA6" w:rsidRPr="002F6FA6" w:rsidRDefault="002F6FA6" w:rsidP="002F6FA6">
            <w:pPr>
              <w:rPr>
                <w:rStyle w:val="AERtextsize8"/>
              </w:rPr>
            </w:pPr>
            <w:r w:rsidRPr="00F825D9">
              <w:rPr>
                <w:rStyle w:val="AERtextsize8"/>
              </w:rPr>
              <w:t xml:space="preserve">HoustonKemp's analysis of valuation reports </w:t>
            </w:r>
            <w:r w:rsidRPr="002F6FA6">
              <w:rPr>
                <w:rStyle w:val="AERtextsize8"/>
              </w:rPr>
              <w:t>indicates an inverse relationship between the risk free rate and the market risk premium</w:t>
            </w:r>
          </w:p>
        </w:tc>
        <w:tc>
          <w:tcPr>
            <w:tcW w:w="6742" w:type="dxa"/>
          </w:tcPr>
          <w:p w:rsidR="002F6FA6" w:rsidRPr="002F6FA6" w:rsidRDefault="002F6FA6" w:rsidP="00235A14">
            <w:r>
              <w:t xml:space="preserve">The relationship found by HoustonKemp is driven by the difference between the valuer's chosen risk free rate and the yield on </w:t>
            </w:r>
            <w:r w:rsidRPr="002F6FA6">
              <w:t>Australian government securities.</w:t>
            </w:r>
            <w:r w:rsidRPr="002F6FA6">
              <w:rPr>
                <w:rStyle w:val="FootnoteReference"/>
              </w:rPr>
              <w:footnoteReference w:id="225"/>
            </w:r>
            <w:r w:rsidRPr="002F6FA6">
              <w:t xml:space="preserve"> We continue to be unsatisfied that this difference reflects uplift to the market risk premium, or is a widespread and persistent practice. </w:t>
            </w:r>
            <w:r w:rsidR="00235A14">
              <w:t xml:space="preserve">See </w:t>
            </w:r>
            <w:r w:rsidR="00235A14" w:rsidRPr="002F6FA6">
              <w:t xml:space="preserve">section </w:t>
            </w:r>
            <w:r w:rsidR="00235A14" w:rsidRPr="00235A14">
              <w:fldChar w:fldCharType="begin"/>
            </w:r>
            <w:r w:rsidR="00235A14" w:rsidRPr="00235A14">
              <w:instrText xml:space="preserve"> REF _Ref446278671 \r \h </w:instrText>
            </w:r>
            <w:r w:rsidR="00235A14" w:rsidRPr="00235A14">
              <w:fldChar w:fldCharType="separate"/>
            </w:r>
            <w:r w:rsidR="003F1AAB">
              <w:t>F.5</w:t>
            </w:r>
            <w:r w:rsidR="00235A14" w:rsidRPr="00235A14">
              <w:fldChar w:fldCharType="end"/>
            </w:r>
            <w:r w:rsidR="00235A14">
              <w:t xml:space="preserve"> for further </w:t>
            </w:r>
            <w:r w:rsidRPr="002F6FA6">
              <w:t>detail of our reasons</w:t>
            </w:r>
            <w:r w:rsidR="00235A14">
              <w:t>.</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1951" w:type="dxa"/>
          </w:tcPr>
          <w:p w:rsidR="002F6FA6" w:rsidRPr="002F6FA6" w:rsidRDefault="002F6FA6" w:rsidP="002F6FA6">
            <w:pPr>
              <w:rPr>
                <w:rStyle w:val="AERtextsize8"/>
              </w:rPr>
            </w:pPr>
            <w:r w:rsidRPr="00F825D9">
              <w:rPr>
                <w:rStyle w:val="AERtextsize8"/>
              </w:rPr>
              <w:t xml:space="preserve">Our concern about sticky dividends creating bias in the dividend growth model is not material in the current </w:t>
            </w:r>
            <w:r w:rsidRPr="002F6FA6">
              <w:rPr>
                <w:rStyle w:val="AERtextsize8"/>
              </w:rPr>
              <w:t>market as dividends are forecast to grow from 2015 to 2017</w:t>
            </w:r>
            <w:r w:rsidRPr="002F6FA6">
              <w:rPr>
                <w:rStyle w:val="FootnoteReference"/>
              </w:rPr>
              <w:footnoteReference w:id="226"/>
            </w:r>
          </w:p>
        </w:tc>
        <w:tc>
          <w:tcPr>
            <w:tcW w:w="6742" w:type="dxa"/>
          </w:tcPr>
          <w:p w:rsidR="002F6FA6" w:rsidRPr="002F6FA6" w:rsidRDefault="002F6FA6" w:rsidP="002F6FA6">
            <w:r>
              <w:t xml:space="preserve">We consider that sticky dividends </w:t>
            </w:r>
            <w:r w:rsidRPr="002F6FA6">
              <w:t>may create bias in the dividend growth model, and there is no reason to believe that this bias is not material in the current market. Frontier submitted that market capitalisation weighted average earnings per share are forecasted to increase from 2015 to 2017.  We consider that expectations reflected in market prices are longer-term than to 2017, such that expectations post-2017 may have greater effect on prices than expectations for 2015 to 2017. Moreover, RBA data suggests that forecast growth in earnings per share will likely slow over the 2015-16 and 2016-17 financial years.</w:t>
            </w:r>
            <w:r w:rsidRPr="002F6FA6">
              <w:rPr>
                <w:rStyle w:val="FootnoteReference"/>
              </w:rPr>
              <w:footnoteReference w:id="227"/>
            </w:r>
            <w:r w:rsidRPr="002F6FA6">
              <w:t xml:space="preserve"> We do not consider it is certain that investors expect positive growth in dividends per share post-2017.</w:t>
            </w:r>
          </w:p>
        </w:tc>
      </w:tr>
      <w:tr w:rsidR="002F6FA6" w:rsidTr="007D4F36">
        <w:tc>
          <w:tcPr>
            <w:tcW w:w="1951" w:type="dxa"/>
          </w:tcPr>
          <w:p w:rsidR="002F6FA6" w:rsidRPr="002F6FA6" w:rsidRDefault="002F6FA6" w:rsidP="002F6FA6">
            <w:pPr>
              <w:rPr>
                <w:rStyle w:val="AERtextsize8"/>
              </w:rPr>
            </w:pPr>
            <w:r w:rsidRPr="00F825D9">
              <w:rPr>
                <w:rStyle w:val="AERtextsize8"/>
              </w:rPr>
              <w:t>Our concern about upwards bias in analysts' dividend forecasts is not material in the current market</w:t>
            </w:r>
          </w:p>
        </w:tc>
        <w:tc>
          <w:tcPr>
            <w:tcW w:w="6742" w:type="dxa"/>
          </w:tcPr>
          <w:p w:rsidR="002F6FA6" w:rsidRPr="001135E9" w:rsidRDefault="002F6FA6" w:rsidP="002F6FA6">
            <w:pPr>
              <w:numPr>
                <w:ilvl w:val="0"/>
                <w:numId w:val="25"/>
              </w:numPr>
            </w:pPr>
            <w:r w:rsidRPr="00B4711B">
              <w:t>Analyst forecasts are well understood to be upward</w:t>
            </w:r>
            <w:r>
              <w:t>ly</w:t>
            </w:r>
            <w:r w:rsidRPr="00B4711B">
              <w:t xml:space="preserve"> biased.</w:t>
            </w:r>
            <w:r>
              <w:rPr>
                <w:rStyle w:val="FootnoteReference"/>
              </w:rPr>
              <w:footnoteReference w:id="228"/>
            </w:r>
            <w:r w:rsidRPr="00B4711B">
              <w:t xml:space="preserve"> </w:t>
            </w:r>
            <w:r>
              <w:t xml:space="preserve">Although we show the effect of potential bias of ten percent (see section </w:t>
            </w:r>
            <w:r>
              <w:fldChar w:fldCharType="begin"/>
            </w:r>
            <w:r>
              <w:instrText xml:space="preserve"> REF _Ref443651537 \r \h </w:instrText>
            </w:r>
            <w:r>
              <w:fldChar w:fldCharType="separate"/>
            </w:r>
            <w:r w:rsidR="003F1AAB">
              <w:t>D.2</w:t>
            </w:r>
            <w:r>
              <w:fldChar w:fldCharType="end"/>
            </w:r>
            <w:r>
              <w:t xml:space="preserve">), the extent of any bias is unclear. No stakeholder has proposed methods to estimate the extent of any bias, and such methods may be complex, without widespread acceptance, and open to gaming. For this reason, we do not apply an adjustment. </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1951" w:type="dxa"/>
          </w:tcPr>
          <w:p w:rsidR="002F6FA6" w:rsidRPr="002F6FA6" w:rsidRDefault="002F6FA6" w:rsidP="002F6FA6">
            <w:pPr>
              <w:rPr>
                <w:rStyle w:val="AERtextsize8"/>
              </w:rPr>
            </w:pPr>
            <w:r w:rsidRPr="00F825D9">
              <w:rPr>
                <w:rStyle w:val="AERtextsize8"/>
              </w:rPr>
              <w:t>Our concern about upwards bias in analysts' dividend forecasts is not relevant as the forecasts reflect analysts' implied discount rates</w:t>
            </w:r>
          </w:p>
        </w:tc>
        <w:tc>
          <w:tcPr>
            <w:tcW w:w="6742" w:type="dxa"/>
          </w:tcPr>
          <w:p w:rsidR="002F6FA6" w:rsidRPr="001566F2" w:rsidRDefault="002F6FA6" w:rsidP="002F6FA6">
            <w:pPr>
              <w:numPr>
                <w:ilvl w:val="0"/>
                <w:numId w:val="25"/>
              </w:numPr>
            </w:pPr>
            <w:r w:rsidRPr="00952754">
              <w:t>If analysts’ dividend and price forecasts are biased, it is also plausible that the analysts’ implied return on equity is biased.</w:t>
            </w:r>
            <w:r w:rsidRPr="00B4711B">
              <w:t xml:space="preserve"> McKenzie and Partington also consider that analysts’ forecasts are slow to adjust to changing information.</w:t>
            </w:r>
            <w:r w:rsidRPr="00B4711B">
              <w:rPr>
                <w:rStyle w:val="FootnoteReference"/>
              </w:rPr>
              <w:footnoteReference w:id="229"/>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tc>
      </w:tr>
      <w:tr w:rsidR="002F6FA6" w:rsidTr="007D4F36">
        <w:tc>
          <w:tcPr>
            <w:tcW w:w="1951" w:type="dxa"/>
          </w:tcPr>
          <w:p w:rsidR="002F6FA6" w:rsidRPr="002F6FA6" w:rsidRDefault="002F6FA6" w:rsidP="002F6FA6">
            <w:pPr>
              <w:rPr>
                <w:rStyle w:val="AERtextsize8"/>
              </w:rPr>
            </w:pPr>
            <w:r w:rsidRPr="00F825D9">
              <w:rPr>
                <w:rStyle w:val="AERtextsize8"/>
              </w:rPr>
              <w:t>NERA's adjustment to historical stock returns is more reliable than the ASX's adjustment</w:t>
            </w:r>
            <w:r w:rsidR="00EF2C77">
              <w:rPr>
                <w:rStyle w:val="FootnoteReference"/>
              </w:rPr>
              <w:footnoteReference w:id="230"/>
            </w:r>
          </w:p>
        </w:tc>
        <w:tc>
          <w:tcPr>
            <w:tcW w:w="6742" w:type="dxa"/>
          </w:tcPr>
          <w:p w:rsidR="002F6FA6" w:rsidRPr="002F6FA6" w:rsidRDefault="002F6FA6" w:rsidP="002F6FA6">
            <w:r>
              <w:rPr>
                <w:rStyle w:val="AERtextsize8"/>
              </w:rPr>
              <w:t xml:space="preserve">We do not consider </w:t>
            </w:r>
            <w:r w:rsidRPr="002F6FA6">
              <w:rPr>
                <w:rStyle w:val="AERtextsize8"/>
              </w:rPr>
              <w:t>NERA's adjustment, which is based on less than ten data points out of 300, represents a material improvement in reliability</w:t>
            </w:r>
            <w:r w:rsidRPr="002F6FA6">
              <w:t xml:space="preserve">. NERA has also not reconciled the data it uses for its adjustment to the data of the original series. Further details of our reasons are in section B.4 of this attachment.   </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1951" w:type="dxa"/>
          </w:tcPr>
          <w:p w:rsidR="002F6FA6" w:rsidRPr="002F6FA6" w:rsidRDefault="002F6FA6" w:rsidP="002F6FA6">
            <w:r>
              <w:t>Arithmetic averaging of historical stock returns is more appropriate than geometric averaging</w:t>
            </w:r>
            <w:r w:rsidR="00EF2C77">
              <w:rPr>
                <w:rStyle w:val="FootnoteReference"/>
              </w:rPr>
              <w:footnoteReference w:id="231"/>
            </w:r>
          </w:p>
        </w:tc>
        <w:tc>
          <w:tcPr>
            <w:tcW w:w="6742" w:type="dxa"/>
          </w:tcPr>
          <w:p w:rsidR="002F6FA6" w:rsidRPr="002F6FA6" w:rsidRDefault="002F6FA6" w:rsidP="002F6FA6">
            <w:pPr>
              <w:rPr>
                <w:rStyle w:val="AERtextsize8"/>
              </w:rPr>
            </w:pPr>
            <w:r>
              <w:t xml:space="preserve">In estimating the </w:t>
            </w:r>
            <w:r w:rsidRPr="002F6FA6">
              <w:t>market risk premium, we have regard to both arithmetic and geometric average historical excess returns. Partington and Satchell recommended the consideration of both arithmetic and geometric averages, tempered by an understanding of the potential biases in both.</w:t>
            </w:r>
            <w:r w:rsidRPr="002F6FA6">
              <w:rPr>
                <w:rStyle w:val="FootnoteReference"/>
              </w:rPr>
              <w:footnoteReference w:id="232"/>
            </w:r>
            <w:r w:rsidRPr="002F6FA6">
              <w:t xml:space="preserve"> Also, they supported this position in their most recent 2016 report.</w:t>
            </w:r>
            <w:r w:rsidRPr="002F6FA6">
              <w:rPr>
                <w:rStyle w:val="FootnoteReference"/>
              </w:rPr>
              <w:footnoteReference w:id="233"/>
            </w:r>
            <w:r w:rsidRPr="002F6FA6">
              <w:t xml:space="preserve"> Further details of our reasons are in section C.3 of this attachment.   </w:t>
            </w:r>
          </w:p>
        </w:tc>
      </w:tr>
      <w:tr w:rsidR="002F6FA6" w:rsidTr="007D4F36">
        <w:tc>
          <w:tcPr>
            <w:tcW w:w="1951" w:type="dxa"/>
          </w:tcPr>
          <w:p w:rsidR="002F6FA6" w:rsidRPr="002F6FA6" w:rsidRDefault="002F6FA6" w:rsidP="002F6FA6">
            <w:r>
              <w:t xml:space="preserve">We should </w:t>
            </w:r>
            <w:r w:rsidRPr="002F6FA6">
              <w:t>use only the longest sample period, and we should not use overlapping sample periods, when estimating historical stock returns</w:t>
            </w:r>
            <w:r w:rsidR="00EF2C77">
              <w:rPr>
                <w:rStyle w:val="FootnoteReference"/>
              </w:rPr>
              <w:footnoteReference w:id="234"/>
            </w:r>
          </w:p>
        </w:tc>
        <w:tc>
          <w:tcPr>
            <w:tcW w:w="6742" w:type="dxa"/>
          </w:tcPr>
          <w:p w:rsidR="002F6FA6" w:rsidRPr="002F6FA6" w:rsidRDefault="002F6FA6" w:rsidP="007673C1">
            <w:pPr>
              <w:rPr>
                <w:rStyle w:val="AERtextsize8"/>
              </w:rPr>
            </w:pPr>
            <w:r w:rsidRPr="006B7989">
              <w:rPr>
                <w:rStyle w:val="AERtextsize8"/>
              </w:rPr>
              <w:t xml:space="preserve">Partington and Satchell </w:t>
            </w:r>
            <w:r w:rsidRPr="002F6FA6">
              <w:rPr>
                <w:rStyle w:val="AERtextsize8"/>
              </w:rPr>
              <w:t>considered that, although it reduces the precision of the estimates, there are reasons for using multiple sampling periods, such as possible structural breaks in the data and issues regarding data quality.</w:t>
            </w:r>
            <w:r w:rsidRPr="002F6FA6">
              <w:rPr>
                <w:rStyle w:val="FootnoteReference"/>
              </w:rPr>
              <w:footnoteReference w:id="235"/>
            </w:r>
            <w:r w:rsidRPr="002F6FA6">
              <w:rPr>
                <w:rStyle w:val="AERtextsize8"/>
              </w:rPr>
              <w:t xml:space="preserve"> We consider that concerns about data quality become increasingly important the further back into the past one looks. We have regard to five sampling periods because each has different strengths and weaknesses. Further detail of our reasons can be found in section C.1.2 of Attachment 3 to our preliminary decision</w:t>
            </w:r>
            <w:r w:rsidR="007F77B8">
              <w:rPr>
                <w:rStyle w:val="AERtextsize8"/>
              </w:rPr>
              <w:t xml:space="preserve"> on AusNet Services' 2016-20 distribution determination</w:t>
            </w:r>
            <w:r w:rsidRPr="002F6FA6">
              <w:rPr>
                <w:rStyle w:val="AERtextsize8"/>
              </w:rPr>
              <w:t>.</w:t>
            </w:r>
            <w:r w:rsidR="008770AC">
              <w:rPr>
                <w:rStyle w:val="AERtextsize8"/>
              </w:rPr>
              <w:t xml:space="preserve"> And section 3.4.1</w:t>
            </w:r>
            <w:r w:rsidR="004A5187">
              <w:rPr>
                <w:rStyle w:val="AERtextsize8"/>
              </w:rPr>
              <w:t xml:space="preserve"> of our </w:t>
            </w:r>
            <w:r w:rsidR="00D143DA">
              <w:rPr>
                <w:rStyle w:val="AERtextsize8"/>
              </w:rPr>
              <w:t xml:space="preserve">May 2016 </w:t>
            </w:r>
            <w:r w:rsidR="004A5187">
              <w:rPr>
                <w:rStyle w:val="AERtextsize8"/>
              </w:rPr>
              <w:t xml:space="preserve">final </w:t>
            </w:r>
            <w:r w:rsidR="004A5187" w:rsidRPr="002F6FA6">
              <w:rPr>
                <w:rStyle w:val="AERtextsize8"/>
              </w:rPr>
              <w:t>decision</w:t>
            </w:r>
            <w:r w:rsidR="004A5187" w:rsidRPr="004A5187">
              <w:rPr>
                <w:rStyle w:val="AERtextsize8"/>
              </w:rPr>
              <w:t xml:space="preserve"> on AusNet Services' 2016-20 distribution determination</w:t>
            </w:r>
            <w:r w:rsidR="004A5187">
              <w:rPr>
                <w:rStyle w:val="AERtextsize8"/>
              </w:rPr>
              <w:t>.</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1951" w:type="dxa"/>
          </w:tcPr>
          <w:p w:rsidR="002F6FA6" w:rsidRPr="002F6FA6" w:rsidRDefault="002F6FA6" w:rsidP="002F6FA6">
            <w:r>
              <w:t xml:space="preserve">SFG's method for adjusting dividend imputation </w:t>
            </w:r>
            <w:r w:rsidRPr="002F6FA6">
              <w:t xml:space="preserve">is </w:t>
            </w:r>
            <w:r w:rsidRPr="002F6FA6">
              <w:rPr>
                <w:rStyle w:val="AERtextsize8"/>
              </w:rPr>
              <w:t>more consistent with how we adjust for imputation credits in the post-tax revenue model.</w:t>
            </w:r>
            <w:r w:rsidRPr="002F6FA6">
              <w:rPr>
                <w:rStyle w:val="FootnoteReference"/>
              </w:rPr>
              <w:footnoteReference w:id="236"/>
            </w:r>
          </w:p>
        </w:tc>
        <w:tc>
          <w:tcPr>
            <w:tcW w:w="6742" w:type="dxa"/>
          </w:tcPr>
          <w:p w:rsidR="002F6FA6" w:rsidRPr="00DB0499" w:rsidRDefault="002F6FA6" w:rsidP="002F6FA6">
            <w:pPr>
              <w:numPr>
                <w:ilvl w:val="0"/>
                <w:numId w:val="25"/>
              </w:numPr>
              <w:rPr>
                <w:rStyle w:val="AERtextsize8"/>
              </w:rPr>
            </w:pPr>
            <w:r w:rsidRPr="006B7989">
              <w:rPr>
                <w:rStyle w:val="AERtextsize8"/>
              </w:rPr>
              <w:t>We d</w:t>
            </w:r>
            <w:r>
              <w:rPr>
                <w:rStyle w:val="AERtextsize8"/>
              </w:rPr>
              <w:t>o</w:t>
            </w:r>
            <w:r w:rsidRPr="006B7989">
              <w:rPr>
                <w:rStyle w:val="AERtextsize8"/>
              </w:rPr>
              <w:t xml:space="preserve"> not agree</w:t>
            </w:r>
            <w:r>
              <w:rPr>
                <w:rStyle w:val="AERtextsize8"/>
              </w:rPr>
              <w:t xml:space="preserve"> that there is a consistency issue between our imputation adjustment approach and the post-tax revenue model.</w:t>
            </w:r>
            <w:r w:rsidR="00235A14">
              <w:rPr>
                <w:rStyle w:val="FootnoteReference"/>
              </w:rPr>
              <w:footnoteReference w:id="237"/>
            </w:r>
            <w:r w:rsidRPr="006B7989">
              <w:rPr>
                <w:rStyle w:val="AERtextsize8"/>
              </w:rPr>
              <w:t xml:space="preserve"> </w:t>
            </w:r>
            <w:r>
              <w:rPr>
                <w:rStyle w:val="AERtextsize8"/>
              </w:rPr>
              <w:t>We also consider that SFG's method is likely to overestimate the market risk premium as it assumes returns are provided entirely from dividends. Further detail of our reasons can be found in section C.6 of Attachment 3 to our preliminary decision</w:t>
            </w:r>
            <w:r w:rsidR="007F77B8">
              <w:rPr>
                <w:rStyle w:val="AERtextsize8"/>
              </w:rPr>
              <w:t xml:space="preserve"> on AusNet Services' 2016-20 distribution determination</w:t>
            </w:r>
            <w:r>
              <w:rPr>
                <w:rStyle w:val="AERtextsize8"/>
              </w:rPr>
              <w:t>.</w:t>
            </w:r>
            <w:r w:rsidRPr="00952754">
              <w:rPr>
                <w:rStyle w:val="AERtextsize8"/>
              </w:rPr>
              <w:t xml:space="preserve"> </w:t>
            </w:r>
            <w:r w:rsidR="00D143DA">
              <w:rPr>
                <w:rStyle w:val="AERtextsize8"/>
              </w:rPr>
              <w:t xml:space="preserve">And section 3.4.1 of our May 2016 final </w:t>
            </w:r>
            <w:r w:rsidR="00D143DA" w:rsidRPr="002F6FA6">
              <w:rPr>
                <w:rStyle w:val="AERtextsize8"/>
              </w:rPr>
              <w:t>decision</w:t>
            </w:r>
            <w:r w:rsidR="00D143DA" w:rsidRPr="004A5187">
              <w:rPr>
                <w:rStyle w:val="AERtextsize8"/>
              </w:rPr>
              <w:t xml:space="preserve"> on AusNet Services' 2016-20 distribution determination</w:t>
            </w:r>
            <w:r w:rsidR="00D143DA">
              <w:rPr>
                <w:rStyle w:val="AERtextsize8"/>
              </w:rPr>
              <w:t>.</w:t>
            </w:r>
          </w:p>
        </w:tc>
      </w:tr>
      <w:tr w:rsidR="002F6FA6" w:rsidTr="007D4F36">
        <w:tc>
          <w:tcPr>
            <w:tcW w:w="1951" w:type="dxa"/>
          </w:tcPr>
          <w:p w:rsidR="002F6FA6" w:rsidRPr="002F6FA6" w:rsidRDefault="002F6FA6" w:rsidP="002F6FA6">
            <w:r>
              <w:t>We arbitrarily adjust</w:t>
            </w:r>
            <w:r w:rsidRPr="002F6FA6">
              <w:t xml:space="preserve"> the long-term dividend growth rate used in our dividend growth model</w:t>
            </w:r>
          </w:p>
        </w:tc>
        <w:tc>
          <w:tcPr>
            <w:tcW w:w="6742" w:type="dxa"/>
          </w:tcPr>
          <w:p w:rsidR="002F6FA6" w:rsidRPr="002F6FA6" w:rsidRDefault="002F6FA6" w:rsidP="002F6FA6">
            <w:r>
              <w:t xml:space="preserve">We use the long-term growth rate in real </w:t>
            </w:r>
            <w:r w:rsidRPr="002F6FA6">
              <w:t>gross domestic product (GDP) as a proxy for the long-term growth rate in dividends. To get an estimate of long-term growth in dividends per share, we adjust the long-term growth rate in real GDP (dividends) downwards to account for the net creation of new shares through share issuances and new companies. The size of our adjustment is not arbitrary but based on the available evidence. F</w:t>
            </w:r>
            <w:r w:rsidRPr="002F6FA6">
              <w:rPr>
                <w:rStyle w:val="AERtextsize8"/>
              </w:rPr>
              <w:t>urther detail of our reasons can be found in section B.2.1 of Attachment 3 to our preliminary decision</w:t>
            </w:r>
            <w:r w:rsidR="007F77B8">
              <w:rPr>
                <w:rStyle w:val="AERtextsize8"/>
              </w:rPr>
              <w:t xml:space="preserve"> on AusNet Services' 2016-20 distribution determination</w:t>
            </w:r>
            <w:r w:rsidRPr="002F6FA6">
              <w:rPr>
                <w:rStyle w:val="AERtextsize8"/>
              </w:rPr>
              <w:t>.</w:t>
            </w:r>
            <w:r w:rsidR="00D143DA">
              <w:rPr>
                <w:rStyle w:val="AERtextsize8"/>
              </w:rPr>
              <w:t xml:space="preserve"> And section </w:t>
            </w:r>
            <w:r w:rsidR="00D143DA" w:rsidRPr="00D143DA">
              <w:rPr>
                <w:rStyle w:val="AERtextsize8"/>
              </w:rPr>
              <w:t xml:space="preserve">3.4.1 of our </w:t>
            </w:r>
            <w:r w:rsidR="00D143DA">
              <w:rPr>
                <w:rStyle w:val="AERtextsize8"/>
              </w:rPr>
              <w:t xml:space="preserve">May 2016 </w:t>
            </w:r>
            <w:r w:rsidR="00D143DA" w:rsidRPr="00D143DA">
              <w:rPr>
                <w:rStyle w:val="AERtextsize8"/>
              </w:rPr>
              <w:t>final decision on AusNet Services' 2016-20 distribution determination.</w:t>
            </w:r>
          </w:p>
        </w:tc>
      </w:tr>
    </w:tbl>
    <w:p w:rsidR="002F6FA6" w:rsidRDefault="002F6FA6" w:rsidP="002F6FA6"/>
    <w:p w:rsidR="002F6FA6" w:rsidRPr="0032489B" w:rsidRDefault="002F6FA6" w:rsidP="002F6FA6">
      <w:pPr>
        <w:pStyle w:val="HeadingBoldBlue"/>
        <w:numPr>
          <w:ilvl w:val="0"/>
          <w:numId w:val="25"/>
        </w:numPr>
        <w:rPr>
          <w:rStyle w:val="AERtextorange"/>
        </w:rPr>
      </w:pPr>
      <w:bookmarkStart w:id="71" w:name="_Toc443923184"/>
      <w:r>
        <w:rPr>
          <w:rStyle w:val="AERtextorange"/>
        </w:rPr>
        <w:t>Estimating equity beta</w:t>
      </w:r>
      <w:bookmarkEnd w:id="71"/>
    </w:p>
    <w:p w:rsidR="002F6FA6" w:rsidRDefault="002F6FA6" w:rsidP="002F6FA6">
      <w:pPr>
        <w:numPr>
          <w:ilvl w:val="0"/>
          <w:numId w:val="25"/>
        </w:numPr>
        <w:rPr>
          <w:rStyle w:val="AERbody"/>
        </w:rPr>
      </w:pPr>
      <w:r>
        <w:t>E</w:t>
      </w:r>
      <w:r w:rsidRPr="003A198B">
        <w:t xml:space="preserve">quity beta </w:t>
      </w:r>
      <w:r>
        <w:t xml:space="preserve">measures </w:t>
      </w:r>
      <w:r w:rsidRPr="003A198B">
        <w:t>the sensitivity of an asset or business</w:t>
      </w:r>
      <w:r>
        <w:t>'s returns</w:t>
      </w:r>
      <w:r w:rsidRPr="003A198B">
        <w:t xml:space="preserve"> to the movements in the </w:t>
      </w:r>
      <w:r>
        <w:t xml:space="preserve">overall </w:t>
      </w:r>
      <w:r w:rsidRPr="003A198B">
        <w:t xml:space="preserve">market </w:t>
      </w:r>
      <w:r>
        <w:t xml:space="preserve">returns </w:t>
      </w:r>
      <w:r w:rsidRPr="003A198B">
        <w:t>(systematic or market risk)</w:t>
      </w:r>
      <w:r>
        <w:t>.</w:t>
      </w:r>
      <w:r>
        <w:rPr>
          <w:rStyle w:val="FootnoteReference"/>
        </w:rPr>
        <w:footnoteReference w:id="238"/>
      </w:r>
      <w:r>
        <w:t xml:space="preserve"> </w:t>
      </w:r>
    </w:p>
    <w:p w:rsidR="002F6FA6" w:rsidRDefault="002F6FA6" w:rsidP="002F6FA6">
      <w:pPr>
        <w:numPr>
          <w:ilvl w:val="0"/>
          <w:numId w:val="25"/>
        </w:numPr>
      </w:pPr>
      <w:r w:rsidRPr="003A198B">
        <w:rPr>
          <w:rStyle w:val="AERbody"/>
        </w:rPr>
        <w:t>We adopt an equity beta point estimate of 0.7 from a range of 0.4 to 0.7</w:t>
      </w:r>
      <w:r w:rsidRPr="00B90B7A">
        <w:rPr>
          <w:rStyle w:val="AERbody"/>
        </w:rPr>
        <w:t xml:space="preserve">. </w:t>
      </w:r>
      <w:r>
        <w:rPr>
          <w:rStyle w:val="AERbody"/>
        </w:rPr>
        <w:t>Our equity beta estimate is required to be commensurate with a similar degree of risk as that which applies to AusNet Services' provision of regulated electricity network services.</w:t>
      </w:r>
      <w:r>
        <w:rPr>
          <w:rStyle w:val="FootnoteReference"/>
        </w:rPr>
        <w:footnoteReference w:id="239"/>
      </w:r>
      <w:r>
        <w:rPr>
          <w:rStyle w:val="AERbody"/>
        </w:rPr>
        <w:t xml:space="preserve"> </w:t>
      </w:r>
      <w:r w:rsidRPr="00B90B7A">
        <w:rPr>
          <w:rStyle w:val="AERbody"/>
        </w:rPr>
        <w:t xml:space="preserve">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w:t>
      </w:r>
      <w:r>
        <w:rPr>
          <w:rStyle w:val="AERbody"/>
        </w:rPr>
        <w:t>reflects a similar degree of</w:t>
      </w:r>
      <w:r w:rsidRPr="00B90B7A">
        <w:rPr>
          <w:rStyle w:val="AERbody"/>
        </w:rPr>
        <w:t xml:space="preserve"> systematic risk a</w:t>
      </w:r>
      <w:r>
        <w:rPr>
          <w:rStyle w:val="AERbody"/>
        </w:rPr>
        <w:t>s</w:t>
      </w:r>
      <w:r w:rsidRPr="00B90B7A">
        <w:rPr>
          <w:rStyle w:val="AERbody"/>
        </w:rPr>
        <w:t xml:space="preserve"> </w:t>
      </w:r>
      <w:r>
        <w:rPr>
          <w:rStyle w:val="AERbody"/>
        </w:rPr>
        <w:t>AusNet Services</w:t>
      </w:r>
      <w:r w:rsidRPr="00B90B7A">
        <w:rPr>
          <w:rStyle w:val="AERbody"/>
        </w:rPr>
        <w:t xml:space="preserve"> is exposed to </w:t>
      </w:r>
      <w:r>
        <w:rPr>
          <w:rStyle w:val="AERbody"/>
        </w:rPr>
        <w:t>in providing regulated services</w:t>
      </w:r>
      <w:r w:rsidRPr="00B90B7A">
        <w:rPr>
          <w:rStyle w:val="AERbody"/>
        </w:rPr>
        <w:t>.</w:t>
      </w:r>
      <w:r w:rsidRPr="00A71CB9">
        <w:t xml:space="preserve"> </w:t>
      </w:r>
      <w:r>
        <w:t>We hold this view because:</w:t>
      </w:r>
    </w:p>
    <w:p w:rsidR="002F6FA6" w:rsidRDefault="002F6FA6" w:rsidP="002F6FA6">
      <w:pPr>
        <w:pStyle w:val="AERbulletlistfirststyle"/>
      </w:pPr>
      <w:r>
        <w:t xml:space="preserve">Our range and point estimate are based on direct measurements (that is, empirical estimates) of the equity beta that businesses with a similar degree of risk as AusNet Services have exhibited in the past. We consider these are reliable indicators of the prevailing, forward-looking equity beta for an efficient business (or benchmark efficient entity) with a similar degree of risk as AusNet Services. </w:t>
      </w:r>
    </w:p>
    <w:p w:rsidR="002F6FA6" w:rsidRDefault="002F6FA6" w:rsidP="002F6FA6">
      <w:pPr>
        <w:pStyle w:val="AERbulletlistfirststyle"/>
        <w:rPr>
          <w:rStyle w:val="AERbody"/>
        </w:rPr>
      </w:pPr>
      <w:r>
        <w:t>Our range</w:t>
      </w:r>
      <w:r w:rsidRPr="00B90B7A">
        <w:rPr>
          <w:rStyle w:val="AERbody"/>
        </w:rPr>
        <w:t xml:space="preserve"> </w:t>
      </w:r>
      <w:r>
        <w:rPr>
          <w:rStyle w:val="AERbody"/>
        </w:rPr>
        <w:t>and point estimate are</w:t>
      </w:r>
      <w:r w:rsidRPr="00B90B7A">
        <w:rPr>
          <w:rStyle w:val="AERbody"/>
        </w:rPr>
        <w:t xml:space="preserve"> consistent with our conceptual analysis</w:t>
      </w:r>
      <w:r>
        <w:rPr>
          <w:rStyle w:val="AERbody"/>
        </w:rPr>
        <w:t xml:space="preserve">. This </w:t>
      </w:r>
      <w:r w:rsidRPr="00B90B7A">
        <w:rPr>
          <w:rStyle w:val="AERbody"/>
        </w:rPr>
        <w:t xml:space="preserve">suggests the systematic risk of </w:t>
      </w:r>
      <w:r>
        <w:rPr>
          <w:rStyle w:val="AERbody"/>
        </w:rPr>
        <w:t>AusNet Services</w:t>
      </w:r>
      <w:r>
        <w:rPr>
          <w:rStyle w:val="FootnoteReference"/>
        </w:rPr>
        <w:footnoteReference w:id="240"/>
      </w:r>
      <w:r w:rsidRPr="00B90B7A">
        <w:rPr>
          <w:rStyle w:val="AERbody"/>
        </w:rPr>
        <w:t xml:space="preserve"> would be less than the systematic risk of </w:t>
      </w:r>
      <w:r>
        <w:rPr>
          <w:rStyle w:val="AERbody"/>
        </w:rPr>
        <w:t>the</w:t>
      </w:r>
      <w:r w:rsidRPr="00B90B7A">
        <w:rPr>
          <w:rStyle w:val="AERbody"/>
        </w:rPr>
        <w:t xml:space="preserve"> market </w:t>
      </w:r>
      <w:r>
        <w:rPr>
          <w:rStyle w:val="AERbody"/>
        </w:rPr>
        <w:t>as a whole</w:t>
      </w:r>
      <w:r w:rsidRPr="00B90B7A">
        <w:rPr>
          <w:rStyle w:val="AERbody"/>
        </w:rPr>
        <w:t xml:space="preserve"> (that is, </w:t>
      </w:r>
      <w:r>
        <w:rPr>
          <w:rStyle w:val="AERbody"/>
        </w:rPr>
        <w:t xml:space="preserve">its equity beta would be </w:t>
      </w:r>
      <w:r w:rsidRPr="00B90B7A">
        <w:rPr>
          <w:rStyle w:val="AERbody"/>
        </w:rPr>
        <w:t xml:space="preserve">less than 1.0). </w:t>
      </w:r>
      <w:r>
        <w:rPr>
          <w:rStyle w:val="AERbody"/>
        </w:rPr>
        <w:t>Our conceptual analysis is supported by McKenzie and Partington.</w:t>
      </w:r>
      <w:r>
        <w:rPr>
          <w:rStyle w:val="FootnoteReference"/>
        </w:rPr>
        <w:footnoteReference w:id="241"/>
      </w:r>
    </w:p>
    <w:p w:rsidR="002F6FA6" w:rsidRDefault="002F6FA6" w:rsidP="002F6FA6">
      <w:pPr>
        <w:pStyle w:val="AERbulletlistfirststyle"/>
        <w:rPr>
          <w:rStyle w:val="AERbody"/>
        </w:rPr>
      </w:pPr>
      <w:r>
        <w:rPr>
          <w:rStyle w:val="AERbody"/>
        </w:rPr>
        <w:t xml:space="preserve">The </w:t>
      </w:r>
      <w:r w:rsidRPr="00482D74">
        <w:rPr>
          <w:rStyle w:val="AERbody"/>
        </w:rPr>
        <w:t>theoretical principles underpinning the Black CAPM</w:t>
      </w:r>
      <w:r>
        <w:rPr>
          <w:rStyle w:val="AERbody"/>
        </w:rPr>
        <w:t xml:space="preserve"> are reasonably consistent with an equity beta towards the upper end of our range. </w:t>
      </w:r>
      <w:r w:rsidRPr="00482D74">
        <w:rPr>
          <w:rStyle w:val="AERbody"/>
        </w:rPr>
        <w:t xml:space="preserve">For firms with an equity beta below 1.0, the Black CAPM theory may support </w:t>
      </w:r>
      <w:r>
        <w:rPr>
          <w:rStyle w:val="AERbody"/>
        </w:rPr>
        <w:t xml:space="preserve">using </w:t>
      </w:r>
      <w:r w:rsidRPr="00482D74">
        <w:rPr>
          <w:rStyle w:val="AERbody"/>
        </w:rPr>
        <w:t xml:space="preserve">a higher equity </w:t>
      </w:r>
      <w:r>
        <w:rPr>
          <w:rStyle w:val="AERbody"/>
        </w:rPr>
        <w:t xml:space="preserve">beta </w:t>
      </w:r>
      <w:r w:rsidRPr="00482D74">
        <w:rPr>
          <w:rStyle w:val="AERbody"/>
        </w:rPr>
        <w:t xml:space="preserve">than </w:t>
      </w:r>
      <w:r>
        <w:rPr>
          <w:rStyle w:val="AERbody"/>
        </w:rPr>
        <w:t>those estimated from businesses with a similar degree of risk as AusNet Services when used within a Sharpe-Lintner CAPM</w:t>
      </w:r>
      <w:r w:rsidRPr="00482D74">
        <w:rPr>
          <w:rStyle w:val="AERbody"/>
        </w:rPr>
        <w:t xml:space="preserve">. </w:t>
      </w:r>
      <w:r>
        <w:rPr>
          <w:rStyle w:val="AERbody"/>
        </w:rPr>
        <w:t>This is a result of t</w:t>
      </w:r>
      <w:r w:rsidRPr="00482D74">
        <w:rPr>
          <w:rStyle w:val="AERbody"/>
        </w:rPr>
        <w:t>he Black CAPM relax</w:t>
      </w:r>
      <w:r>
        <w:rPr>
          <w:rStyle w:val="AERbody"/>
        </w:rPr>
        <w:t>ing</w:t>
      </w:r>
      <w:r w:rsidRPr="00482D74">
        <w:rPr>
          <w:rStyle w:val="AERbody"/>
        </w:rPr>
        <w:t xml:space="preserve"> an assumption underlying the S</w:t>
      </w:r>
      <w:r>
        <w:rPr>
          <w:rStyle w:val="AERbody"/>
        </w:rPr>
        <w:t>harpe-</w:t>
      </w:r>
      <w:r w:rsidRPr="00482D74">
        <w:rPr>
          <w:rStyle w:val="AERbody"/>
        </w:rPr>
        <w:t>L</w:t>
      </w:r>
      <w:r>
        <w:rPr>
          <w:rStyle w:val="AERbody"/>
        </w:rPr>
        <w:t xml:space="preserve">intner </w:t>
      </w:r>
      <w:r w:rsidRPr="00482D74">
        <w:rPr>
          <w:rStyle w:val="AERbody"/>
        </w:rPr>
        <w:t>CAPM, which allows for unlimited borrowing and lending at the risk free rate.</w:t>
      </w:r>
      <w:r w:rsidRPr="00482D74">
        <w:rPr>
          <w:rStyle w:val="FootnoteReference"/>
        </w:rPr>
        <w:footnoteReference w:id="242"/>
      </w:r>
      <w:r w:rsidRPr="00482D74">
        <w:rPr>
          <w:rStyle w:val="AERbody"/>
        </w:rPr>
        <w:t xml:space="preserve"> However, we do not consider the theory underlying the Black CAPM warrants a specific uplift or adjustment to the equity beta point estimate. </w:t>
      </w:r>
      <w:r>
        <w:rPr>
          <w:rStyle w:val="AERbody"/>
        </w:rPr>
        <w:t xml:space="preserve">The reasons for our use of the Black CAPM theory are set out in more detail in section </w:t>
      </w:r>
      <w:r>
        <w:rPr>
          <w:rStyle w:val="AERbody"/>
        </w:rPr>
        <w:fldChar w:fldCharType="begin"/>
      </w:r>
      <w:r>
        <w:rPr>
          <w:rStyle w:val="AERbody"/>
        </w:rPr>
        <w:instrText xml:space="preserve"> REF _Ref448924785 \r \h </w:instrText>
      </w:r>
      <w:r>
        <w:rPr>
          <w:rStyle w:val="AERbody"/>
        </w:rPr>
      </w:r>
      <w:r>
        <w:rPr>
          <w:rStyle w:val="AERbody"/>
        </w:rPr>
        <w:fldChar w:fldCharType="separate"/>
      </w:r>
      <w:r w:rsidR="003F1AAB">
        <w:rPr>
          <w:rStyle w:val="AERbody"/>
        </w:rPr>
        <w:t>B.2.3</w:t>
      </w:r>
      <w:r>
        <w:rPr>
          <w:rStyle w:val="AERbody"/>
        </w:rPr>
        <w:fldChar w:fldCharType="end"/>
      </w:r>
      <w:r>
        <w:rPr>
          <w:rStyle w:val="AERbody"/>
        </w:rPr>
        <w:t>.</w:t>
      </w:r>
    </w:p>
    <w:p w:rsidR="002F6FA6" w:rsidRDefault="002F6FA6" w:rsidP="002F6FA6">
      <w:pPr>
        <w:pStyle w:val="AERbulletlistfirststyle"/>
      </w:pPr>
      <w:r>
        <w:rPr>
          <w:rStyle w:val="AERbody"/>
        </w:rPr>
        <w:t>W</w:t>
      </w:r>
      <w:r w:rsidRPr="002D3111">
        <w:rPr>
          <w:rStyle w:val="AERbody"/>
        </w:rPr>
        <w:t xml:space="preserve">e </w:t>
      </w:r>
      <w:r>
        <w:rPr>
          <w:rStyle w:val="AERbody"/>
        </w:rPr>
        <w:t>recognise</w:t>
      </w:r>
      <w:r w:rsidRPr="002D3111">
        <w:rPr>
          <w:rStyle w:val="AERbody"/>
        </w:rPr>
        <w:t xml:space="preserve"> the importance of providing stakeholders with </w:t>
      </w:r>
      <w:r>
        <w:rPr>
          <w:rStyle w:val="AERbody"/>
        </w:rPr>
        <w:t>transparency</w:t>
      </w:r>
      <w:r w:rsidRPr="002D3111">
        <w:rPr>
          <w:rStyle w:val="AERbody"/>
        </w:rPr>
        <w:t xml:space="preserve"> and predictability in our rate of return decisions, which we consider is consistent with </w:t>
      </w:r>
      <w:r>
        <w:rPr>
          <w:rStyle w:val="AERbody"/>
        </w:rPr>
        <w:t>the achievement of</w:t>
      </w:r>
      <w:r w:rsidRPr="002D3111">
        <w:rPr>
          <w:rStyle w:val="AERbody"/>
        </w:rPr>
        <w:t xml:space="preserve"> the </w:t>
      </w:r>
      <w:r>
        <w:t>ARORO</w:t>
      </w:r>
      <w:r>
        <w:rPr>
          <w:rStyle w:val="AERbody"/>
        </w:rPr>
        <w:t>.</w:t>
      </w:r>
      <w:r>
        <w:rPr>
          <w:rStyle w:val="FootnoteReference"/>
        </w:rPr>
        <w:footnoteReference w:id="243"/>
      </w:r>
      <w:r>
        <w:rPr>
          <w:rStyle w:val="AERbody"/>
        </w:rPr>
        <w:t xml:space="preserve"> In this context, a point estimate of 0.7 is consistent with our Guideline (which was developed following extensive consultation) and is a</w:t>
      </w:r>
      <w:r w:rsidRPr="00662172">
        <w:rPr>
          <w:rStyle w:val="AERbody"/>
        </w:rPr>
        <w:t xml:space="preserve"> </w:t>
      </w:r>
      <w:r>
        <w:rPr>
          <w:rStyle w:val="AERbody"/>
        </w:rPr>
        <w:t>modest</w:t>
      </w:r>
      <w:r w:rsidRPr="00662172">
        <w:rPr>
          <w:rStyle w:val="AERbody"/>
        </w:rPr>
        <w:t xml:space="preserve"> step down from previous regulatory determinations</w:t>
      </w:r>
      <w:r>
        <w:rPr>
          <w:rStyle w:val="AERbody"/>
        </w:rPr>
        <w:t>.</w:t>
      </w:r>
      <w:r>
        <w:rPr>
          <w:rStyle w:val="FootnoteReference"/>
        </w:rPr>
        <w:footnoteReference w:id="244"/>
      </w:r>
      <w:r w:rsidRPr="00662172">
        <w:rPr>
          <w:rStyle w:val="AERbody"/>
        </w:rPr>
        <w:t xml:space="preserve"> </w:t>
      </w:r>
      <w:r>
        <w:rPr>
          <w:rStyle w:val="AERbody"/>
        </w:rPr>
        <w:t>It also</w:t>
      </w:r>
      <w:r w:rsidRPr="00662172">
        <w:rPr>
          <w:rStyle w:val="AERbody"/>
        </w:rPr>
        <w:t xml:space="preserve"> recognises the uncertainty inherent in estimating unobservable parameters, such as the equity beta</w:t>
      </w:r>
      <w:r>
        <w:rPr>
          <w:rStyle w:val="AERbody"/>
        </w:rPr>
        <w:t xml:space="preserve"> for a benchmark efficient entity</w:t>
      </w:r>
      <w:r w:rsidRPr="00662172">
        <w:rPr>
          <w:rStyle w:val="AERbody"/>
        </w:rPr>
        <w:t>.</w:t>
      </w:r>
    </w:p>
    <w:p w:rsidR="002F6FA6" w:rsidRDefault="002F6FA6" w:rsidP="002F6FA6">
      <w:r>
        <w:t xml:space="preserve">Our direct measurements of the equity beta for businesses with a similar degree of risk as AusNet Services are primarily </w:t>
      </w:r>
      <w:r w:rsidRPr="00B90B7A">
        <w:rPr>
          <w:rStyle w:val="AERbody"/>
        </w:rPr>
        <w:t xml:space="preserve">based on </w:t>
      </w:r>
      <w:r>
        <w:t xml:space="preserve">an expert report from Professor Olan Henry (Henry), which uses data for </w:t>
      </w:r>
      <w:r w:rsidRPr="00B90B7A">
        <w:rPr>
          <w:rStyle w:val="AERbody"/>
        </w:rPr>
        <w:t xml:space="preserve">a set of Australian energy </w:t>
      </w:r>
      <w:r>
        <w:rPr>
          <w:rStyle w:val="AERbody"/>
        </w:rPr>
        <w:t>network</w:t>
      </w:r>
      <w:r w:rsidRPr="00B90B7A">
        <w:rPr>
          <w:rStyle w:val="AERbody"/>
        </w:rPr>
        <w:t xml:space="preserve"> </w:t>
      </w:r>
      <w:r>
        <w:rPr>
          <w:rStyle w:val="AERbody"/>
        </w:rPr>
        <w:t>businesses</w:t>
      </w:r>
      <w:r w:rsidRPr="00B90B7A">
        <w:rPr>
          <w:rStyle w:val="AERbody"/>
        </w:rPr>
        <w:t xml:space="preserve"> </w:t>
      </w:r>
      <w:r>
        <w:t>up to 28 June 2013.</w:t>
      </w:r>
      <w:r>
        <w:rPr>
          <w:rStyle w:val="FootnoteReference"/>
        </w:rPr>
        <w:footnoteReference w:id="245"/>
      </w:r>
      <w:r>
        <w:t xml:space="preserve"> We also consider a number of other empirical studies of the equity beta of Australian energy network businesses. These empirical studies show a consistent pattern of equity beta estimates that is robust to the use of different econometric methods and time periods. From 2002 to 2014, these empirical studies present equity beta estimates that converge on the range of 0.4 to 0.7.</w:t>
      </w:r>
      <w:r>
        <w:rPr>
          <w:rStyle w:val="FootnoteReference"/>
        </w:rPr>
        <w:footnoteReference w:id="246"/>
      </w:r>
      <w:r>
        <w:t xml:space="preserve"> We also consider recent equity beta estimates for international energy businesses, which range from 0.3 to 1.0. However, the pattern of international estimates is not consistent and we consider international businesses are less likely than Australian businesses to have a similar degree of systematic risk as AusNet Services. More information on empirical estimates can be found in section </w:t>
      </w:r>
      <w:r>
        <w:fldChar w:fldCharType="begin"/>
      </w:r>
      <w:r>
        <w:instrText xml:space="preserve"> REF _Ref451686470 \r \h </w:instrText>
      </w:r>
      <w:r>
        <w:fldChar w:fldCharType="separate"/>
      </w:r>
      <w:r w:rsidR="003F1AAB">
        <w:t>G</w:t>
      </w:r>
      <w:r>
        <w:fldChar w:fldCharType="end"/>
      </w:r>
      <w:r>
        <w:t>.</w:t>
      </w:r>
    </w:p>
    <w:p w:rsidR="002F6FA6" w:rsidRPr="002D3111" w:rsidRDefault="002F6FA6" w:rsidP="002F6FA6">
      <w:pPr>
        <w:rPr>
          <w:rStyle w:val="AERbody"/>
        </w:rPr>
      </w:pPr>
      <w:r w:rsidDel="00246056">
        <w:rPr>
          <w:rStyle w:val="AERbody"/>
        </w:rPr>
        <w:t xml:space="preserve">We </w:t>
      </w:r>
      <w:r w:rsidRPr="002D3111" w:rsidDel="00246056">
        <w:rPr>
          <w:rStyle w:val="AERbody"/>
        </w:rPr>
        <w:t xml:space="preserve">consider the evidence in Henry's 2014 report suggests a best empirical estimate </w:t>
      </w:r>
      <w:r w:rsidDel="00246056">
        <w:rPr>
          <w:rStyle w:val="AERbody"/>
        </w:rPr>
        <w:t xml:space="preserve">for the equity beta </w:t>
      </w:r>
      <w:r w:rsidRPr="002D3111" w:rsidDel="00246056">
        <w:rPr>
          <w:rStyle w:val="AERbody"/>
        </w:rPr>
        <w:t xml:space="preserve">of approximately 0.5. </w:t>
      </w:r>
      <w:r w:rsidRPr="002D3111">
        <w:rPr>
          <w:rStyle w:val="AERbody"/>
        </w:rPr>
        <w:t xml:space="preserve">However, </w:t>
      </w:r>
      <w:r>
        <w:rPr>
          <w:rStyle w:val="AERbody"/>
        </w:rPr>
        <w:t>we consider that the international estimates, in conjunction with considerations of the Black CAPM and investor certainty (as discussed above), support a higher estimate and an estimate at the upper end of our range.</w:t>
      </w:r>
      <w:r>
        <w:rPr>
          <w:rStyle w:val="FootnoteReference"/>
        </w:rPr>
        <w:footnoteReference w:id="247"/>
      </w:r>
      <w:r>
        <w:rPr>
          <w:rStyle w:val="AERbody"/>
        </w:rPr>
        <w:t xml:space="preserve"> </w:t>
      </w:r>
      <w:r w:rsidRPr="002D3111">
        <w:t xml:space="preserve">Our equity beta point estimate </w:t>
      </w:r>
      <w:r>
        <w:t xml:space="preserve">also </w:t>
      </w:r>
      <w:r w:rsidRPr="002D3111">
        <w:t>provides a balanced outcome given the submissions by stakeholders and services providers</w:t>
      </w:r>
      <w:r>
        <w:t xml:space="preserve">, as shown in </w:t>
      </w:r>
      <w:r>
        <w:fldChar w:fldCharType="begin"/>
      </w:r>
      <w:r>
        <w:instrText xml:space="preserve"> REF  _Ref401235334 \* Lower \h </w:instrText>
      </w:r>
      <w:r>
        <w:fldChar w:fldCharType="separate"/>
      </w:r>
      <w:r w:rsidR="003F1AAB">
        <w:t xml:space="preserve">figure </w:t>
      </w:r>
      <w:r w:rsidR="003F1AAB">
        <w:rPr>
          <w:noProof/>
        </w:rPr>
        <w:t>3</w:t>
      </w:r>
      <w:r w:rsidR="003F1AAB">
        <w:noBreakHyphen/>
      </w:r>
      <w:r w:rsidR="003F1AAB">
        <w:rPr>
          <w:noProof/>
        </w:rPr>
        <w:t>4</w:t>
      </w:r>
      <w:r>
        <w:fldChar w:fldCharType="end"/>
      </w:r>
      <w:r>
        <w:t xml:space="preserve">. </w:t>
      </w:r>
    </w:p>
    <w:p w:rsidR="002F6FA6" w:rsidRDefault="002F6FA6" w:rsidP="002F6FA6">
      <w:pPr>
        <w:pStyle w:val="Caption"/>
      </w:pPr>
      <w:bookmarkStart w:id="72" w:name="_Ref401235334"/>
      <w:r>
        <w:t xml:space="preserve">Figure </w:t>
      </w:r>
      <w:fldSimple w:instr=" STYLEREF 1 \s ">
        <w:r w:rsidR="003F1AAB">
          <w:rPr>
            <w:noProof/>
          </w:rPr>
          <w:t>3</w:t>
        </w:r>
      </w:fldSimple>
      <w:r w:rsidR="00E4520A">
        <w:noBreakHyphen/>
      </w:r>
      <w:fldSimple w:instr=" SEQ Figure \* ARABIC \s 1 ">
        <w:r w:rsidR="003F1AAB">
          <w:rPr>
            <w:noProof/>
          </w:rPr>
          <w:t>4</w:t>
        </w:r>
      </w:fldSimple>
      <w:bookmarkEnd w:id="72"/>
      <w:r>
        <w:tab/>
        <w:t xml:space="preserve">Submissions on the value of the equity beta </w:t>
      </w:r>
    </w:p>
    <w:p w:rsidR="002F6FA6" w:rsidRPr="00812033" w:rsidRDefault="00331A01" w:rsidP="00331A01">
      <w:pPr>
        <w:numPr>
          <w:ilvl w:val="0"/>
          <w:numId w:val="25"/>
        </w:numPr>
        <w:rPr>
          <w:rStyle w:val="AERbody"/>
        </w:rPr>
      </w:pPr>
      <w:r w:rsidRPr="00331A01">
        <w:rPr>
          <w:noProof/>
          <w:lang w:eastAsia="en-AU"/>
        </w:rPr>
        <w:drawing>
          <wp:inline distT="0" distB="0" distL="0" distR="0" wp14:anchorId="01C4D4AF" wp14:editId="771FFE16">
            <wp:extent cx="5382895" cy="3222934"/>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2895" cy="3222934"/>
                    </a:xfrm>
                    <a:prstGeom prst="rect">
                      <a:avLst/>
                    </a:prstGeom>
                    <a:noFill/>
                    <a:ln>
                      <a:noFill/>
                    </a:ln>
                  </pic:spPr>
                </pic:pic>
              </a:graphicData>
            </a:graphic>
          </wp:inline>
        </w:drawing>
      </w:r>
    </w:p>
    <w:p w:rsidR="002F6FA6" w:rsidRPr="00F474B9" w:rsidRDefault="002F6FA6" w:rsidP="002F6FA6">
      <w:pPr>
        <w:pStyle w:val="AERtablesource"/>
      </w:pPr>
      <w:r>
        <w:t>Source:</w:t>
      </w:r>
      <w:r>
        <w:tab/>
      </w:r>
      <w:r w:rsidRPr="00F474B9">
        <w:t>AER analysis</w:t>
      </w:r>
      <w:r w:rsidRPr="00F474B9">
        <w:rPr>
          <w:rStyle w:val="FootnoteReference"/>
        </w:rPr>
        <w:footnoteReference w:id="248"/>
      </w:r>
    </w:p>
    <w:p w:rsidR="002F6FA6" w:rsidRDefault="002F6FA6" w:rsidP="002F6FA6">
      <w:pPr>
        <w:pStyle w:val="AERtablesource"/>
      </w:pPr>
      <w:r w:rsidRPr="00F474B9">
        <w:t>Note:</w:t>
      </w:r>
      <w:r w:rsidRPr="00F474B9">
        <w:tab/>
        <w:t>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the CCP's submission and the upper bound is based on Origin's submission. The SFG 2015 and 2016 range lower bound is based on SFG/Frontier's regression analysis of Australian and US firms (submitted under a multiple model approach for the return on equity) and the upper bound is based on SFG/Frontier's multiple model based equity beta estimates (under its alternative ‘foundation model' approaches for the return on equity)</w:t>
      </w:r>
      <w:r w:rsidRPr="00817DDD">
        <w:t>.</w:t>
      </w:r>
      <w:r w:rsidRPr="00A71CB9">
        <w:t xml:space="preserve"> </w:t>
      </w:r>
    </w:p>
    <w:p w:rsidR="002F6FA6" w:rsidRDefault="002F6FA6" w:rsidP="002F6FA6">
      <w:pPr>
        <w:numPr>
          <w:ilvl w:val="0"/>
          <w:numId w:val="25"/>
        </w:numPr>
      </w:pPr>
      <w:r>
        <w:t xml:space="preserve">We note </w:t>
      </w:r>
      <w:r w:rsidRPr="00010BCE">
        <w:t>th</w:t>
      </w:r>
      <w:r>
        <w:t>at</w:t>
      </w:r>
      <w:r w:rsidRPr="00010BCE">
        <w:t xml:space="preserve"> </w:t>
      </w:r>
      <w:r>
        <w:t>some stakeholders</w:t>
      </w:r>
      <w:r w:rsidRPr="00010BCE">
        <w:t xml:space="preserve"> </w:t>
      </w:r>
      <w:r>
        <w:t>submitted</w:t>
      </w:r>
      <w:r w:rsidRPr="00010BCE">
        <w:t xml:space="preserve"> that </w:t>
      </w:r>
      <w:r>
        <w:t xml:space="preserve">we place too much reliance on some material, that </w:t>
      </w:r>
      <w:r w:rsidRPr="00010BCE">
        <w:t xml:space="preserve">we did not have appropriate </w:t>
      </w:r>
      <w:r>
        <w:t xml:space="preserve">regard </w:t>
      </w:r>
      <w:r w:rsidRPr="00010BCE">
        <w:t>to information from other relevant sources</w:t>
      </w:r>
      <w:r>
        <w:t>, or that we made inappropriate methodological choices in our empirical analysis</w:t>
      </w:r>
      <w:r w:rsidRPr="00010BCE">
        <w:t xml:space="preserve">. </w:t>
      </w:r>
      <w:r>
        <w:fldChar w:fldCharType="begin"/>
      </w:r>
      <w:r>
        <w:instrText xml:space="preserve"> REF _Ref446189883 \h </w:instrText>
      </w:r>
      <w:r>
        <w:fldChar w:fldCharType="separate"/>
      </w:r>
      <w:r w:rsidR="003F1AAB">
        <w:t xml:space="preserve">Table </w:t>
      </w:r>
      <w:r w:rsidR="003F1AAB">
        <w:rPr>
          <w:noProof/>
        </w:rPr>
        <w:t>3</w:t>
      </w:r>
      <w:r w:rsidR="003F1AAB">
        <w:noBreakHyphen/>
      </w:r>
      <w:r w:rsidR="003F1AAB">
        <w:rPr>
          <w:noProof/>
        </w:rPr>
        <w:t>6</w:t>
      </w:r>
      <w:r>
        <w:fldChar w:fldCharType="end"/>
      </w:r>
      <w:r>
        <w:t xml:space="preserve"> sets out stakeholder views on our use of relevant material. We also note that</w:t>
      </w:r>
      <w:r w:rsidRPr="00F95DFD">
        <w:t xml:space="preserve"> </w:t>
      </w:r>
      <w:r>
        <w:t>Partington and Satchell, having reviewed the relevant submissions, continue to support our foundation model approach.</w:t>
      </w:r>
      <w:r>
        <w:rPr>
          <w:rStyle w:val="FootnoteReference"/>
        </w:rPr>
        <w:footnoteReference w:id="249"/>
      </w:r>
      <w:r>
        <w:t xml:space="preserve"> </w:t>
      </w:r>
    </w:p>
    <w:p w:rsidR="002F6FA6" w:rsidRDefault="002F6FA6" w:rsidP="002F6FA6">
      <w:pPr>
        <w:numPr>
          <w:ilvl w:val="0"/>
          <w:numId w:val="25"/>
        </w:numPr>
      </w:pPr>
      <w:r w:rsidRPr="00B005DF">
        <w:t xml:space="preserve">Having considered the overall information and </w:t>
      </w:r>
      <w:r>
        <w:t xml:space="preserve">all </w:t>
      </w:r>
      <w:r w:rsidRPr="00B005DF">
        <w:t xml:space="preserve">material before us, at this time we are not satisfied that </w:t>
      </w:r>
      <w:r>
        <w:t>these submissions indicate</w:t>
      </w:r>
      <w:r w:rsidRPr="00B005DF">
        <w:t xml:space="preserve"> a departure from the </w:t>
      </w:r>
      <w:r>
        <w:t>G</w:t>
      </w:r>
      <w:r w:rsidRPr="00B005DF">
        <w:t xml:space="preserve">uideline would </w:t>
      </w:r>
      <w:r>
        <w:t>contribute to the achievement of</w:t>
      </w:r>
      <w:r w:rsidRPr="00B005DF">
        <w:t xml:space="preserve"> the </w:t>
      </w:r>
      <w:r>
        <w:t>ARORO</w:t>
      </w:r>
      <w:r w:rsidRPr="00B005DF">
        <w:t xml:space="preserve">. </w:t>
      </w:r>
      <w:r>
        <w:t xml:space="preserve"> We are satisfied that an equity beta of 0.7 will contribute to the achievement of the ARORO</w:t>
      </w:r>
      <w:r w:rsidRPr="00762AAF">
        <w:t xml:space="preserve"> </w:t>
      </w:r>
      <w:r>
        <w:t>and the NEO.</w:t>
      </w:r>
      <w:r>
        <w:rPr>
          <w:rStyle w:val="FootnoteReference"/>
        </w:rPr>
        <w:footnoteReference w:id="250"/>
      </w:r>
    </w:p>
    <w:p w:rsidR="002F6FA6" w:rsidRDefault="002F6FA6" w:rsidP="002F6FA6">
      <w:pPr>
        <w:pStyle w:val="Caption"/>
      </w:pPr>
      <w:bookmarkStart w:id="73" w:name="_Ref446189883"/>
      <w:r>
        <w:t xml:space="preserve">Table </w:t>
      </w:r>
      <w:r w:rsidRPr="002F6FA6">
        <w:fldChar w:fldCharType="begin"/>
      </w:r>
      <w:r>
        <w:instrText xml:space="preserve"> STYLEREF 1 \s </w:instrText>
      </w:r>
      <w:r w:rsidRPr="002F6FA6">
        <w:fldChar w:fldCharType="separate"/>
      </w:r>
      <w:r w:rsidR="003F1AAB">
        <w:rPr>
          <w:noProof/>
        </w:rPr>
        <w:t>3</w:t>
      </w:r>
      <w:r w:rsidRPr="002F6FA6">
        <w:fldChar w:fldCharType="end"/>
      </w:r>
      <w:r>
        <w:noBreakHyphen/>
      </w:r>
      <w:r w:rsidRPr="002F6FA6">
        <w:fldChar w:fldCharType="begin"/>
      </w:r>
      <w:r>
        <w:instrText xml:space="preserve"> SEQ Table \* ARABIC \s 1 </w:instrText>
      </w:r>
      <w:r w:rsidRPr="002F6FA6">
        <w:fldChar w:fldCharType="separate"/>
      </w:r>
      <w:r w:rsidR="003F1AAB">
        <w:rPr>
          <w:noProof/>
        </w:rPr>
        <w:t>6</w:t>
      </w:r>
      <w:r w:rsidRPr="002F6FA6">
        <w:fldChar w:fldCharType="end"/>
      </w:r>
      <w:bookmarkEnd w:id="73"/>
      <w:r>
        <w:tab/>
        <w:t>I</w:t>
      </w:r>
      <w:r w:rsidRPr="00C73E51">
        <w:t xml:space="preserve">ssues </w:t>
      </w:r>
      <w:r>
        <w:t>raised on</w:t>
      </w:r>
      <w:r w:rsidRPr="00C73E51">
        <w:t xml:space="preserve"> </w:t>
      </w:r>
      <w:r>
        <w:t>the estimation of</w:t>
      </w:r>
      <w:r w:rsidRPr="00C73E51">
        <w:t xml:space="preserve"> </w:t>
      </w:r>
      <w:r>
        <w:t>equity beta</w:t>
      </w:r>
    </w:p>
    <w:tbl>
      <w:tblPr>
        <w:tblStyle w:val="AERtable-text0"/>
        <w:tblW w:w="0" w:type="auto"/>
        <w:tblLook w:val="04A0" w:firstRow="1" w:lastRow="0" w:firstColumn="1" w:lastColumn="0" w:noHBand="0" w:noVBand="1"/>
      </w:tblPr>
      <w:tblGrid>
        <w:gridCol w:w="3510"/>
        <w:gridCol w:w="5183"/>
      </w:tblGrid>
      <w:tr w:rsidR="002F6FA6" w:rsidTr="007D4F36">
        <w:trPr>
          <w:cnfStyle w:val="100000000000" w:firstRow="1" w:lastRow="0" w:firstColumn="0" w:lastColumn="0" w:oddVBand="0" w:evenVBand="0" w:oddHBand="0" w:evenHBand="0" w:firstRowFirstColumn="0" w:firstRowLastColumn="0" w:lastRowFirstColumn="0" w:lastRowLastColumn="0"/>
        </w:trPr>
        <w:tc>
          <w:tcPr>
            <w:tcW w:w="3510" w:type="dxa"/>
          </w:tcPr>
          <w:p w:rsidR="002F6FA6" w:rsidRPr="002F6FA6" w:rsidRDefault="002F6FA6" w:rsidP="002F6FA6">
            <w:r>
              <w:t>Issue</w:t>
            </w:r>
          </w:p>
        </w:tc>
        <w:tc>
          <w:tcPr>
            <w:tcW w:w="5183" w:type="dxa"/>
          </w:tcPr>
          <w:p w:rsidR="002F6FA6" w:rsidRPr="002F6FA6" w:rsidRDefault="002F6FA6" w:rsidP="002F6FA6">
            <w:r>
              <w:t>Our response</w:t>
            </w:r>
          </w:p>
        </w:tc>
      </w:tr>
      <w:tr w:rsidR="002F6FA6" w:rsidTr="007D4F36">
        <w:tc>
          <w:tcPr>
            <w:tcW w:w="8693" w:type="dxa"/>
            <w:gridSpan w:val="2"/>
          </w:tcPr>
          <w:p w:rsidR="002F6FA6" w:rsidRPr="002F6FA6" w:rsidRDefault="002F6FA6" w:rsidP="002F6FA6">
            <w:pPr>
              <w:rPr>
                <w:rStyle w:val="AERtextsize8"/>
              </w:rPr>
            </w:pPr>
            <w:r>
              <w:rPr>
                <w:rStyle w:val="Strong"/>
              </w:rPr>
              <w:t>E</w:t>
            </w:r>
            <w:r w:rsidRPr="002F6FA6">
              <w:rPr>
                <w:rStyle w:val="Strong"/>
              </w:rPr>
              <w:t>mpirical analysis</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3510" w:type="dxa"/>
          </w:tcPr>
          <w:p w:rsidR="002F6FA6" w:rsidRPr="002F6FA6" w:rsidRDefault="002F6FA6" w:rsidP="002F6FA6">
            <w:pPr>
              <w:rPr>
                <w:rStyle w:val="AERtextsize8"/>
              </w:rPr>
            </w:pPr>
            <w:r>
              <w:rPr>
                <w:rStyle w:val="AERtextsize8"/>
              </w:rPr>
              <w:t>Our comparator set of Australian energy network firms is too small and results in unreliable equity beta estimates</w:t>
            </w:r>
            <w:r w:rsidRPr="002F6FA6">
              <w:rPr>
                <w:rStyle w:val="FootnoteReference"/>
              </w:rPr>
              <w:footnoteReference w:id="251"/>
            </w:r>
          </w:p>
        </w:tc>
        <w:tc>
          <w:tcPr>
            <w:tcW w:w="5183" w:type="dxa"/>
          </w:tcPr>
          <w:p w:rsidR="002F6FA6" w:rsidRDefault="002F6FA6" w:rsidP="002F6FA6">
            <w:pPr>
              <w:numPr>
                <w:ilvl w:val="0"/>
                <w:numId w:val="25"/>
              </w:numPr>
              <w:rPr>
                <w:rStyle w:val="AERtextsize8"/>
              </w:rPr>
            </w:pPr>
            <w:r w:rsidRPr="00092D62">
              <w:rPr>
                <w:rStyle w:val="AERtextsize8"/>
              </w:rPr>
              <w:t>We do not consider our Australian empirical equity beta estimates are unreliable. SFG appears to have taken a narrow definition of what is reliable in this context.</w:t>
            </w:r>
            <w:r>
              <w:t xml:space="preserve"> </w:t>
            </w:r>
            <w:r w:rsidRPr="00092D62">
              <w:rPr>
                <w:rStyle w:val="AERtextsize8"/>
              </w:rPr>
              <w:t>Decreasing the dispersion of estimates by increasing the size of the comparator set may not be helpful if that comparator set is less representative of what we are trying to estimate.</w:t>
            </w:r>
          </w:p>
          <w:p w:rsidR="002F6FA6" w:rsidRDefault="002F6FA6" w:rsidP="002F6FA6">
            <w:pPr>
              <w:numPr>
                <w:ilvl w:val="0"/>
                <w:numId w:val="25"/>
              </w:numPr>
              <w:rPr>
                <w:rStyle w:val="AERtextsize8"/>
              </w:rPr>
            </w:pPr>
            <w:r w:rsidRPr="00DF4B12">
              <w:rPr>
                <w:rStyle w:val="AERtextsize8"/>
              </w:rPr>
              <w:t>We consider the data</w:t>
            </w:r>
            <w:r>
              <w:rPr>
                <w:rStyle w:val="AERtextsize8"/>
              </w:rPr>
              <w:t xml:space="preserve"> from our comparator set of Australian energy network firms</w:t>
            </w:r>
            <w:r w:rsidRPr="00DF4B12">
              <w:rPr>
                <w:rStyle w:val="AERtextsize8"/>
              </w:rPr>
              <w:t xml:space="preserve"> is sufficient for us to form an equity beta estimate that will contribute to the achievement of the </w:t>
            </w:r>
            <w:r>
              <w:t>ARORO</w:t>
            </w:r>
            <w:r w:rsidRPr="00DF4B12">
              <w:rPr>
                <w:rStyle w:val="AERtextsize8"/>
              </w:rPr>
              <w:t>.</w:t>
            </w:r>
            <w:r>
              <w:t xml:space="preserve"> The comparator set contains firms with a similar degree of risk as that which applies to AusNet Services' provision of regulated services. </w:t>
            </w:r>
            <w:r>
              <w:rPr>
                <w:rStyle w:val="AERtextsize8"/>
              </w:rPr>
              <w:t>This comparator set</w:t>
            </w:r>
            <w:r w:rsidRPr="00DF4B12">
              <w:rPr>
                <w:rStyle w:val="AERtextsize8"/>
              </w:rPr>
              <w:t xml:space="preserve"> generates a consistent pattern of empirical equity beta estimates that is robust a</w:t>
            </w:r>
            <w:r>
              <w:rPr>
                <w:rStyle w:val="AERtextsize8"/>
              </w:rPr>
              <w:t>cross econometric techniques,</w:t>
            </w:r>
            <w:r w:rsidRPr="00DF4B12">
              <w:rPr>
                <w:rStyle w:val="AERtextsize8"/>
              </w:rPr>
              <w:t xml:space="preserve"> time periods</w:t>
            </w:r>
            <w:r>
              <w:rPr>
                <w:rStyle w:val="AERtextsize8"/>
              </w:rPr>
              <w:t xml:space="preserve"> and different combinations of comparator firms</w:t>
            </w:r>
            <w:r w:rsidRPr="00DF4B12">
              <w:rPr>
                <w:rStyle w:val="AERtextsize8"/>
              </w:rPr>
              <w:t>.</w:t>
            </w:r>
          </w:p>
          <w:p w:rsidR="002F6FA6" w:rsidRPr="007C153E" w:rsidRDefault="002F6FA6" w:rsidP="00AA5EE2">
            <w:pPr>
              <w:numPr>
                <w:ilvl w:val="0"/>
                <w:numId w:val="25"/>
              </w:numPr>
              <w:rPr>
                <w:rStyle w:val="AERtextsize8"/>
              </w:rPr>
            </w:pPr>
            <w:r>
              <w:rPr>
                <w:rStyle w:val="AERtextsize8"/>
              </w:rPr>
              <w:t xml:space="preserve">We consider this issue in more detail in section </w:t>
            </w:r>
            <w:r>
              <w:rPr>
                <w:rStyle w:val="AERtextsize8"/>
              </w:rPr>
              <w:fldChar w:fldCharType="begin"/>
            </w:r>
            <w:r>
              <w:rPr>
                <w:rStyle w:val="AERtextsize8"/>
              </w:rPr>
              <w:instrText xml:space="preserve"> REF _Ref446254453 \r \h </w:instrText>
            </w:r>
            <w:r>
              <w:rPr>
                <w:rStyle w:val="AERtextsize8"/>
              </w:rPr>
            </w:r>
            <w:r>
              <w:rPr>
                <w:rStyle w:val="AERtextsize8"/>
              </w:rPr>
              <w:fldChar w:fldCharType="separate"/>
            </w:r>
            <w:r w:rsidR="003F1AAB">
              <w:rPr>
                <w:rStyle w:val="AERtextsize8"/>
              </w:rPr>
              <w:t>G.4.2</w:t>
            </w:r>
            <w:r>
              <w:rPr>
                <w:rStyle w:val="AERtextsize8"/>
              </w:rPr>
              <w:fldChar w:fldCharType="end"/>
            </w:r>
            <w:r>
              <w:rPr>
                <w:rStyle w:val="AERtextsize8"/>
              </w:rPr>
              <w:t xml:space="preserve"> of this attachment. We also considered this issue in detail in sections D.2.1, D.2.3, and D.5.1 of Attachment 3 to </w:t>
            </w:r>
            <w:r w:rsidR="00AA5EE2">
              <w:rPr>
                <w:rStyle w:val="AERtextsize8"/>
              </w:rPr>
              <w:t>our</w:t>
            </w:r>
            <w:r>
              <w:rPr>
                <w:rStyle w:val="AERtextsize8"/>
              </w:rPr>
              <w:t xml:space="preserve"> preliminary decision </w:t>
            </w:r>
            <w:r w:rsidR="00AA5EE2">
              <w:rPr>
                <w:rStyle w:val="AERtextsize8"/>
              </w:rPr>
              <w:t xml:space="preserve">on AusNet Services' 2016-20 distribution determination </w:t>
            </w:r>
            <w:r>
              <w:rPr>
                <w:rStyle w:val="AERtextsize8"/>
              </w:rPr>
              <w:t>and that reasoning remains relevant.</w:t>
            </w:r>
          </w:p>
        </w:tc>
      </w:tr>
      <w:tr w:rsidR="002F6FA6" w:rsidTr="007D4F36">
        <w:tc>
          <w:tcPr>
            <w:tcW w:w="3510" w:type="dxa"/>
          </w:tcPr>
          <w:p w:rsidR="002F6FA6" w:rsidRPr="002F6FA6" w:rsidRDefault="002F6FA6" w:rsidP="002F6FA6">
            <w:pPr>
              <w:rPr>
                <w:rStyle w:val="AERtextsize8"/>
              </w:rPr>
            </w:pPr>
            <w:r>
              <w:rPr>
                <w:rStyle w:val="AERtextsize8"/>
              </w:rPr>
              <w:t>Our comparator set should include international energy firms</w:t>
            </w:r>
            <w:r w:rsidRPr="002F6FA6">
              <w:rPr>
                <w:rStyle w:val="AERtextsize8"/>
              </w:rPr>
              <w:t xml:space="preserve"> (specifically, 56 US firms) and Australian non-energy infrastructure firms</w:t>
            </w:r>
            <w:r w:rsidRPr="002F6FA6">
              <w:rPr>
                <w:rStyle w:val="FootnoteReference"/>
              </w:rPr>
              <w:footnoteReference w:id="252"/>
            </w:r>
          </w:p>
        </w:tc>
        <w:tc>
          <w:tcPr>
            <w:tcW w:w="5183" w:type="dxa"/>
          </w:tcPr>
          <w:p w:rsidR="002F6FA6" w:rsidRPr="002F6FA6" w:rsidRDefault="002F6FA6" w:rsidP="002F6FA6">
            <w:pPr>
              <w:rPr>
                <w:rStyle w:val="AERtextsize8"/>
              </w:rPr>
            </w:pPr>
            <w:r w:rsidRPr="00DF4B12">
              <w:rPr>
                <w:rStyle w:val="AERtextsize8"/>
              </w:rPr>
              <w:t xml:space="preserve">We consider international energy firms are </w:t>
            </w:r>
            <w:r w:rsidRPr="002F6FA6">
              <w:rPr>
                <w:rStyle w:val="AERtextsize8"/>
              </w:rPr>
              <w:t xml:space="preserve">unlikely to have a similar degree of risk as AusNet Services (in the provision of regulated services), for several reasons set out in section </w:t>
            </w:r>
            <w:r w:rsidRPr="002F6FA6">
              <w:rPr>
                <w:rStyle w:val="AERtextsize8"/>
              </w:rPr>
              <w:fldChar w:fldCharType="begin"/>
            </w:r>
            <w:r w:rsidRPr="002F6FA6">
              <w:rPr>
                <w:rStyle w:val="AERtextsize8"/>
              </w:rPr>
              <w:instrText xml:space="preserve"> REF _Ref446254445 \r \h </w:instrText>
            </w:r>
            <w:r w:rsidRPr="002F6FA6">
              <w:rPr>
                <w:rStyle w:val="AERtextsize8"/>
              </w:rPr>
            </w:r>
            <w:r w:rsidRPr="002F6FA6">
              <w:rPr>
                <w:rStyle w:val="AERtextsize8"/>
              </w:rPr>
              <w:fldChar w:fldCharType="separate"/>
            </w:r>
            <w:r w:rsidR="003F1AAB">
              <w:rPr>
                <w:rStyle w:val="AERtextsize8"/>
              </w:rPr>
              <w:t>G.4.3</w:t>
            </w:r>
            <w:r w:rsidRPr="002F6FA6">
              <w:rPr>
                <w:rStyle w:val="AERtextsize8"/>
              </w:rPr>
              <w:fldChar w:fldCharType="end"/>
            </w:r>
            <w:r w:rsidRPr="002F6FA6">
              <w:rPr>
                <w:rStyle w:val="AERtextsize8"/>
              </w:rPr>
              <w:t xml:space="preserve"> of this attachment. We also considered this issue in detail in section D.2.1 of Attachment 3 to </w:t>
            </w:r>
            <w:r w:rsidR="00AA5EE2">
              <w:rPr>
                <w:rStyle w:val="AERtextsize8"/>
              </w:rPr>
              <w:t>our</w:t>
            </w:r>
            <w:r w:rsidRPr="002F6FA6">
              <w:rPr>
                <w:rStyle w:val="AERtextsize8"/>
              </w:rPr>
              <w:t xml:space="preserve"> preliminary decision</w:t>
            </w:r>
            <w:r w:rsidR="00AA5EE2">
              <w:rPr>
                <w:rStyle w:val="AERtextsize8"/>
              </w:rPr>
              <w:t xml:space="preserve"> on AusNet Services' 2016-20 distribution determination</w:t>
            </w:r>
            <w:r w:rsidRPr="002F6FA6">
              <w:rPr>
                <w:rStyle w:val="AERtextsize8"/>
              </w:rPr>
              <w:t>.</w:t>
            </w:r>
            <w:r w:rsidRPr="002F6FA6">
              <w:rPr>
                <w:rStyle w:val="CommentReference"/>
              </w:rPr>
              <w:t xml:space="preserve"> </w:t>
            </w:r>
          </w:p>
          <w:p w:rsidR="002F6FA6" w:rsidRPr="002F6FA6" w:rsidRDefault="002F6FA6" w:rsidP="002F6FA6">
            <w:pPr>
              <w:rPr>
                <w:rStyle w:val="AERtextsize8"/>
              </w:rPr>
            </w:pPr>
            <w:r>
              <w:rPr>
                <w:rStyle w:val="AERtextsize8"/>
              </w:rPr>
              <w:t>W</w:t>
            </w:r>
            <w:r w:rsidRPr="002F6FA6">
              <w:rPr>
                <w:rStyle w:val="AERtextsize8"/>
              </w:rPr>
              <w:t xml:space="preserve">e also consider other (Australian) infrastructure firms are not suitable comparators to the benchmark efficient entity in this case, for several reasons set out in section </w:t>
            </w:r>
            <w:r w:rsidRPr="002F6FA6">
              <w:rPr>
                <w:rStyle w:val="AERtextsize8"/>
              </w:rPr>
              <w:fldChar w:fldCharType="begin"/>
            </w:r>
            <w:r w:rsidRPr="002F6FA6">
              <w:rPr>
                <w:rStyle w:val="AERtextsize8"/>
              </w:rPr>
              <w:instrText xml:space="preserve"> REF _Ref446254437 \r \h </w:instrText>
            </w:r>
            <w:r w:rsidRPr="002F6FA6">
              <w:rPr>
                <w:rStyle w:val="AERtextsize8"/>
              </w:rPr>
            </w:r>
            <w:r w:rsidRPr="002F6FA6">
              <w:rPr>
                <w:rStyle w:val="AERtextsize8"/>
              </w:rPr>
              <w:fldChar w:fldCharType="separate"/>
            </w:r>
            <w:r w:rsidR="003F1AAB">
              <w:rPr>
                <w:rStyle w:val="AERtextsize8"/>
              </w:rPr>
              <w:t>G.4.4</w:t>
            </w:r>
            <w:r w:rsidRPr="002F6FA6">
              <w:rPr>
                <w:rStyle w:val="AERtextsize8"/>
              </w:rPr>
              <w:fldChar w:fldCharType="end"/>
            </w:r>
            <w:r w:rsidRPr="002F6FA6">
              <w:rPr>
                <w:rStyle w:val="AERtextsize8"/>
              </w:rPr>
              <w:t xml:space="preserve"> of this attachment. </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3510" w:type="dxa"/>
          </w:tcPr>
          <w:p w:rsidR="002F6FA6" w:rsidRPr="002F6FA6" w:rsidRDefault="002F6FA6" w:rsidP="002F6FA6">
            <w:pPr>
              <w:rPr>
                <w:rStyle w:val="AERtextsize8"/>
              </w:rPr>
            </w:pPr>
            <w:r>
              <w:rPr>
                <w:rStyle w:val="AERtextsize8"/>
              </w:rPr>
              <w:t xml:space="preserve">Our comparator set should not be restricted to regulated entities as the benchmark efficient entity should </w:t>
            </w:r>
            <w:r w:rsidRPr="002F6FA6">
              <w:rPr>
                <w:rStyle w:val="AERtextsize8"/>
              </w:rPr>
              <w:t>be defined as an unregulated entity operating in a workably competitive market</w:t>
            </w:r>
            <w:r w:rsidRPr="002F6FA6">
              <w:rPr>
                <w:rStyle w:val="FootnoteReference"/>
              </w:rPr>
              <w:footnoteReference w:id="253"/>
            </w:r>
            <w:r w:rsidRPr="002F6FA6">
              <w:rPr>
                <w:rStyle w:val="AERtextsize8"/>
              </w:rPr>
              <w:t xml:space="preserve"> </w:t>
            </w:r>
          </w:p>
        </w:tc>
        <w:tc>
          <w:tcPr>
            <w:tcW w:w="5183" w:type="dxa"/>
          </w:tcPr>
          <w:p w:rsidR="002F6FA6" w:rsidRPr="002F6FA6" w:rsidRDefault="002F6FA6" w:rsidP="0042654C">
            <w:pPr>
              <w:rPr>
                <w:rStyle w:val="AERtextsize8"/>
              </w:rPr>
            </w:pPr>
            <w:r w:rsidRPr="00FB32AD">
              <w:rPr>
                <w:rStyle w:val="AERtextsize8"/>
              </w:rPr>
              <w:t>We do not agree</w:t>
            </w:r>
            <w:r w:rsidRPr="002F6FA6">
              <w:rPr>
                <w:rStyle w:val="AERtextsize8"/>
              </w:rPr>
              <w:t xml:space="preserve">. </w:t>
            </w:r>
            <w:r w:rsidRPr="002F6FA6">
              <w:t xml:space="preserve">We consider the regulatory framework for the provision of </w:t>
            </w:r>
            <w:r w:rsidR="0042654C">
              <w:t>prescribed transmission</w:t>
            </w:r>
            <w:r w:rsidRPr="002F6FA6">
              <w:t xml:space="preserve"> services mitigates the risk exposure that service providers face in significant respects and therefore must be properly accounted for in equity beta estimates. Incentive regulation typically allows businesses to earn more stable cash flows with periodic resetting of revenues to better reflect actual expenditure. Most unregulated businesses do not have these same protections or restrictions, and so are likely to have a very different risk profile. We carefully considered these factors when developing the Guideline. Overall, we consider that a substantial proportion of the regulatory framework has the effect of mitigating various systematic and non-systematic risks.</w:t>
            </w:r>
          </w:p>
        </w:tc>
      </w:tr>
      <w:tr w:rsidR="002F6FA6" w:rsidTr="007D4F36">
        <w:tc>
          <w:tcPr>
            <w:tcW w:w="3510" w:type="dxa"/>
          </w:tcPr>
          <w:p w:rsidR="002F6FA6" w:rsidRPr="002F6FA6" w:rsidRDefault="002F6FA6" w:rsidP="002F6FA6">
            <w:pPr>
              <w:rPr>
                <w:rStyle w:val="AERtextsize8"/>
              </w:rPr>
            </w:pPr>
            <w:r>
              <w:rPr>
                <w:rStyle w:val="AERtextsize8"/>
              </w:rPr>
              <w:t xml:space="preserve">Our comparator set should exclude firms that are less comparable to the benchmark efficient </w:t>
            </w:r>
            <w:r w:rsidRPr="002F6FA6">
              <w:rPr>
                <w:rStyle w:val="AERtextsize8"/>
              </w:rPr>
              <w:t>entity (e.g. have a low proportion of regulated assets)</w:t>
            </w:r>
            <w:r w:rsidRPr="002F6FA6">
              <w:rPr>
                <w:rStyle w:val="FootnoteReference"/>
              </w:rPr>
              <w:footnoteReference w:id="254"/>
            </w:r>
          </w:p>
        </w:tc>
        <w:tc>
          <w:tcPr>
            <w:tcW w:w="5183" w:type="dxa"/>
          </w:tcPr>
          <w:p w:rsidR="002F6FA6" w:rsidRPr="002F6FA6" w:rsidRDefault="002F6FA6" w:rsidP="00AA5EE2">
            <w:pPr>
              <w:rPr>
                <w:rStyle w:val="AERtextsize8"/>
              </w:rPr>
            </w:pPr>
            <w:r w:rsidRPr="00FB32AD">
              <w:rPr>
                <w:rStyle w:val="AERtextsize8"/>
              </w:rPr>
              <w:t xml:space="preserve">We are satisfied, at this </w:t>
            </w:r>
            <w:proofErr w:type="gramStart"/>
            <w:r w:rsidRPr="00FB32AD">
              <w:rPr>
                <w:rStyle w:val="AERtextsize8"/>
              </w:rPr>
              <w:t>time, that</w:t>
            </w:r>
            <w:proofErr w:type="gramEnd"/>
            <w:r w:rsidRPr="00FB32AD">
              <w:rPr>
                <w:rStyle w:val="AERtextsize8"/>
              </w:rPr>
              <w:t xml:space="preserve"> our comparator set is sufficiently reflective of the benchmark efficient entity, given </w:t>
            </w:r>
            <w:r w:rsidRPr="002F6FA6">
              <w:rPr>
                <w:rStyle w:val="AERtextsize8"/>
              </w:rPr>
              <w:t xml:space="preserve">the trade-off between increased statistical precision from a larger comparator set and comparability of the firms to the benchmark efficient entity. For more detail, see section D.2.1 of Attachment 3 to </w:t>
            </w:r>
            <w:r w:rsidR="00AA5EE2">
              <w:rPr>
                <w:rStyle w:val="AERtextsize8"/>
              </w:rPr>
              <w:t>our</w:t>
            </w:r>
            <w:r w:rsidRPr="002F6FA6">
              <w:rPr>
                <w:rStyle w:val="AERtextsize8"/>
              </w:rPr>
              <w:t xml:space="preserve"> preliminary decision</w:t>
            </w:r>
            <w:r w:rsidR="00AA5EE2">
              <w:rPr>
                <w:rStyle w:val="AERtextsize8"/>
              </w:rPr>
              <w:t xml:space="preserve"> on AusNet Services' 2016-20 distribution determination</w:t>
            </w:r>
            <w:r w:rsidRPr="002F6FA6">
              <w:rPr>
                <w:rStyle w:val="AERtextsize8"/>
              </w:rPr>
              <w:t>.</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3510" w:type="dxa"/>
          </w:tcPr>
          <w:p w:rsidR="002F6FA6" w:rsidRPr="002F6FA6" w:rsidRDefault="002F6FA6" w:rsidP="002F6FA6">
            <w:pPr>
              <w:rPr>
                <w:rStyle w:val="AERtextsize8"/>
              </w:rPr>
            </w:pPr>
            <w:r>
              <w:rPr>
                <w:rStyle w:val="AERtextsize8"/>
              </w:rPr>
              <w:t xml:space="preserve">Our comparator set should exclude delisted </w:t>
            </w:r>
            <w:r w:rsidRPr="002F6FA6">
              <w:rPr>
                <w:rStyle w:val="AERtextsize8"/>
              </w:rPr>
              <w:t>firms whose data are outdated</w:t>
            </w:r>
            <w:r w:rsidRPr="002F6FA6">
              <w:rPr>
                <w:rStyle w:val="FootnoteReference"/>
              </w:rPr>
              <w:footnoteReference w:id="255"/>
            </w:r>
          </w:p>
        </w:tc>
        <w:tc>
          <w:tcPr>
            <w:tcW w:w="5183" w:type="dxa"/>
          </w:tcPr>
          <w:p w:rsidR="002F6FA6" w:rsidRPr="002F6FA6" w:rsidRDefault="002F6FA6" w:rsidP="002F6FA6">
            <w:pPr>
              <w:rPr>
                <w:rStyle w:val="AERtextsize8"/>
              </w:rPr>
            </w:pPr>
            <w:r>
              <w:t>In relation to the exclusion of delisted firms, we acknowledge that some of our comparator firms have been delisted for some time. However, we consider three estimation periods in our empirical analysis, one of which is the last five years. This captures the more recent data and excludes Alinta, AGL Energy Limite</w:t>
            </w:r>
            <w:r w:rsidRPr="002F6FA6">
              <w:t xml:space="preserve">d and GasNet (who only have relevant data to 2006 or 2007). The average estimate from this estimation period is not substantially different from the longer estimation periods (in fact, it is slightly lower, see </w:t>
            </w:r>
            <w:r w:rsidRPr="002F6FA6">
              <w:fldChar w:fldCharType="begin"/>
            </w:r>
            <w:r w:rsidRPr="002F6FA6">
              <w:instrText xml:space="preserve"> REF _Ref446197185 \h </w:instrText>
            </w:r>
            <w:r w:rsidRPr="002F6FA6">
              <w:fldChar w:fldCharType="separate"/>
            </w:r>
            <w:r w:rsidR="003F1AAB">
              <w:t xml:space="preserve">Table </w:t>
            </w:r>
            <w:r w:rsidR="003F1AAB">
              <w:rPr>
                <w:noProof/>
              </w:rPr>
              <w:t>3</w:t>
            </w:r>
            <w:r w:rsidR="003F1AAB">
              <w:noBreakHyphen/>
            </w:r>
            <w:r w:rsidR="003F1AAB">
              <w:rPr>
                <w:noProof/>
              </w:rPr>
              <w:t>30</w:t>
            </w:r>
            <w:r w:rsidRPr="002F6FA6">
              <w:fldChar w:fldCharType="end"/>
            </w:r>
            <w:r w:rsidRPr="002F6FA6">
              <w:t xml:space="preserve">). The two most recent portfolios we consider (P4 and P5) also provide estimates that are, overall, not substantially different from the portfolios that include older data (see </w:t>
            </w:r>
            <w:r w:rsidRPr="002F6FA6">
              <w:fldChar w:fldCharType="begin"/>
            </w:r>
            <w:r w:rsidRPr="002F6FA6">
              <w:instrText xml:space="preserve"> REF _Ref446197176 \h </w:instrText>
            </w:r>
            <w:r w:rsidRPr="002F6FA6">
              <w:fldChar w:fldCharType="separate"/>
            </w:r>
            <w:r w:rsidR="003F1AAB">
              <w:t xml:space="preserve">Table </w:t>
            </w:r>
            <w:r w:rsidR="003F1AAB">
              <w:rPr>
                <w:noProof/>
              </w:rPr>
              <w:t>3</w:t>
            </w:r>
            <w:r w:rsidR="003F1AAB">
              <w:noBreakHyphen/>
            </w:r>
            <w:r w:rsidR="003F1AAB">
              <w:rPr>
                <w:noProof/>
              </w:rPr>
              <w:t>31</w:t>
            </w:r>
            <w:r w:rsidRPr="002F6FA6">
              <w:fldChar w:fldCharType="end"/>
            </w:r>
            <w:r w:rsidRPr="002F6FA6">
              <w:t>). We consider these results suggest that including older data in our empirical analysis (which increases the size of our dataset) does not bias the results.</w:t>
            </w:r>
          </w:p>
        </w:tc>
      </w:tr>
      <w:tr w:rsidR="002F6FA6" w:rsidTr="007D4F36">
        <w:tc>
          <w:tcPr>
            <w:tcW w:w="3510" w:type="dxa"/>
          </w:tcPr>
          <w:p w:rsidR="002F6FA6" w:rsidRPr="002F6FA6" w:rsidRDefault="002F6FA6" w:rsidP="002F6FA6">
            <w:pPr>
              <w:rPr>
                <w:rStyle w:val="AERtextsize8"/>
              </w:rPr>
            </w:pPr>
            <w:r>
              <w:rPr>
                <w:rStyle w:val="AERtextsize8"/>
              </w:rPr>
              <w:t xml:space="preserve">The </w:t>
            </w:r>
            <w:r w:rsidRPr="002F6FA6">
              <w:rPr>
                <w:rStyle w:val="AERtextsize8"/>
              </w:rPr>
              <w:t>Least Absolute Deviations (LAD) estimation method produces systematically downward biased equity beta estimates and should not be used</w:t>
            </w:r>
            <w:r w:rsidRPr="002F6FA6">
              <w:rPr>
                <w:rStyle w:val="FootnoteReference"/>
              </w:rPr>
              <w:footnoteReference w:id="256"/>
            </w:r>
          </w:p>
        </w:tc>
        <w:tc>
          <w:tcPr>
            <w:tcW w:w="5183" w:type="dxa"/>
          </w:tcPr>
          <w:p w:rsidR="002F6FA6" w:rsidRPr="002F6FA6" w:rsidRDefault="002F6FA6" w:rsidP="00AA5EE2">
            <w:pPr>
              <w:rPr>
                <w:rStyle w:val="AERtextsize8"/>
              </w:rPr>
            </w:pPr>
            <w:r>
              <w:t>We are not satisfied that SFG has produced compelling evidence to infer the LAD estimator produces systematically downward biased estimates of equity beta.</w:t>
            </w:r>
            <w:r w:rsidRPr="002F6FA6">
              <w:t xml:space="preserve"> For example, we consider that discovering LAD estimates are lower than Ordinary Least Squares (OLS) estimates ex post, on a particular subset of the market, does not necessarily indicate systematic bias. In any case, we rely more on OLS estimates and consider that removing LAD estimates from our empirical analysis would not substantially change our empirical results. </w:t>
            </w:r>
            <w:r w:rsidRPr="002F6FA6">
              <w:rPr>
                <w:rStyle w:val="AERtextsize8"/>
              </w:rPr>
              <w:t xml:space="preserve">We considered this issue in section D.2.2 of Attachment 3 to </w:t>
            </w:r>
            <w:r w:rsidR="00AA5EE2">
              <w:rPr>
                <w:rStyle w:val="AERtextsize8"/>
              </w:rPr>
              <w:t>our</w:t>
            </w:r>
            <w:r w:rsidRPr="002F6FA6">
              <w:rPr>
                <w:rStyle w:val="AERtextsize8"/>
              </w:rPr>
              <w:t xml:space="preserve"> preliminary decision</w:t>
            </w:r>
            <w:r w:rsidR="00AA5EE2">
              <w:rPr>
                <w:rStyle w:val="AERtextsize8"/>
              </w:rPr>
              <w:t xml:space="preserve"> on AusNet Services' 2016-20 distribution determination</w:t>
            </w:r>
            <w:r w:rsidRPr="002F6FA6">
              <w:rPr>
                <w:rStyle w:val="AERtextsize8"/>
              </w:rPr>
              <w:t xml:space="preserve"> and that reasoning remains relevant.</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3510" w:type="dxa"/>
          </w:tcPr>
          <w:p w:rsidR="002F6FA6" w:rsidRPr="002F6FA6" w:rsidRDefault="002F6FA6" w:rsidP="002F6FA6">
            <w:pPr>
              <w:rPr>
                <w:rStyle w:val="AERtextsize8"/>
              </w:rPr>
            </w:pPr>
            <w:r>
              <w:rPr>
                <w:rStyle w:val="AERtextsize8"/>
              </w:rPr>
              <w:t>The mining boom should be excluded from the estimation periods</w:t>
            </w:r>
            <w:r w:rsidRPr="002F6FA6">
              <w:rPr>
                <w:rStyle w:val="FootnoteReference"/>
              </w:rPr>
              <w:footnoteReference w:id="257"/>
            </w:r>
          </w:p>
        </w:tc>
        <w:tc>
          <w:tcPr>
            <w:tcW w:w="5183" w:type="dxa"/>
          </w:tcPr>
          <w:p w:rsidR="002F6FA6" w:rsidRPr="002F6FA6" w:rsidRDefault="002F6FA6" w:rsidP="00AA5EE2">
            <w:pPr>
              <w:rPr>
                <w:rStyle w:val="AERtextsize8"/>
              </w:rPr>
            </w:pPr>
            <w:r>
              <w:rPr>
                <w:rStyle w:val="AERtextsize8"/>
              </w:rPr>
              <w:t>W</w:t>
            </w:r>
            <w:r w:rsidRPr="002F6FA6">
              <w:rPr>
                <w:rStyle w:val="AERtextsize8"/>
              </w:rPr>
              <w:t xml:space="preserve">e consider that, at any given time, there are sectors of the economy that are experiencing relative booms and busts. As such, we do not consider the mining boom period represents an exceptional circumstance that should be removed from the estimation periods we use to estimate the equity beta. For more detail see section D.2.2 of Attachment 3 to </w:t>
            </w:r>
            <w:r w:rsidR="00AA5EE2">
              <w:rPr>
                <w:rStyle w:val="AERtextsize8"/>
              </w:rPr>
              <w:t>our</w:t>
            </w:r>
            <w:r w:rsidRPr="002F6FA6">
              <w:rPr>
                <w:rStyle w:val="AERtextsize8"/>
              </w:rPr>
              <w:t xml:space="preserve"> preliminary decision</w:t>
            </w:r>
            <w:r w:rsidR="00AA5EE2">
              <w:rPr>
                <w:rStyle w:val="AERtextsize8"/>
              </w:rPr>
              <w:t xml:space="preserve"> on AusNet Services' 2016-20 distribution determination</w:t>
            </w:r>
            <w:r w:rsidRPr="002F6FA6">
              <w:rPr>
                <w:rStyle w:val="AERtextsize8"/>
              </w:rPr>
              <w:t>.</w:t>
            </w:r>
          </w:p>
        </w:tc>
      </w:tr>
      <w:tr w:rsidR="002F6FA6" w:rsidTr="007D4F36">
        <w:tc>
          <w:tcPr>
            <w:tcW w:w="3510" w:type="dxa"/>
          </w:tcPr>
          <w:p w:rsidR="002F6FA6" w:rsidRPr="002F6FA6" w:rsidRDefault="002F6FA6" w:rsidP="002F6FA6">
            <w:pPr>
              <w:rPr>
                <w:rStyle w:val="AERtextsize8"/>
              </w:rPr>
            </w:pPr>
            <w:r>
              <w:rPr>
                <w:rStyle w:val="AERtextsize8"/>
              </w:rPr>
              <w:t xml:space="preserve">We do not </w:t>
            </w:r>
            <w:r w:rsidRPr="002F6FA6">
              <w:rPr>
                <w:rStyle w:val="AERtextsize8"/>
              </w:rPr>
              <w:t>account for variation in equity beta estimates based on how the return interval is defined (in particular, what reference day is chosen to calculate weekly or monthly returns)</w:t>
            </w:r>
            <w:r w:rsidRPr="002F6FA6">
              <w:rPr>
                <w:rStyle w:val="FootnoteReference"/>
              </w:rPr>
              <w:footnoteReference w:id="258"/>
            </w:r>
          </w:p>
        </w:tc>
        <w:tc>
          <w:tcPr>
            <w:tcW w:w="5183" w:type="dxa"/>
          </w:tcPr>
          <w:p w:rsidR="002F6FA6" w:rsidRPr="002F6FA6" w:rsidRDefault="002F6FA6" w:rsidP="00AA5EE2">
            <w:pPr>
              <w:rPr>
                <w:rStyle w:val="AERtextsize8"/>
              </w:rPr>
            </w:pPr>
            <w:r w:rsidRPr="00F62774">
              <w:rPr>
                <w:rStyle w:val="AERtextsize8"/>
              </w:rPr>
              <w:t xml:space="preserve">We do not consider that SFG has provided any basis to expect that returns based </w:t>
            </w:r>
            <w:r w:rsidRPr="002F6FA6">
              <w:rPr>
                <w:rStyle w:val="AERtextsize8"/>
              </w:rPr>
              <w:t xml:space="preserve">on a particular day of the week will underestimate or overestimate equity beta for the benchmark efficient entity. For more detail see section D.2.2 of Attachment 3 to </w:t>
            </w:r>
            <w:r w:rsidR="00AA5EE2">
              <w:rPr>
                <w:rStyle w:val="AERtextsize8"/>
              </w:rPr>
              <w:t>our</w:t>
            </w:r>
            <w:r w:rsidRPr="002F6FA6">
              <w:rPr>
                <w:rStyle w:val="AERtextsize8"/>
              </w:rPr>
              <w:t xml:space="preserve"> preliminary decision</w:t>
            </w:r>
            <w:r w:rsidR="00AA5EE2">
              <w:rPr>
                <w:rStyle w:val="AERtextsize8"/>
              </w:rPr>
              <w:t xml:space="preserve"> on AusNet Services' 2016-20 distribution determination</w:t>
            </w:r>
            <w:r w:rsidRPr="002F6FA6">
              <w:rPr>
                <w:rStyle w:val="AERtextsize8"/>
              </w:rPr>
              <w:t>.</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3510" w:type="dxa"/>
          </w:tcPr>
          <w:p w:rsidR="002F6FA6" w:rsidRPr="002F6FA6" w:rsidRDefault="002F6FA6" w:rsidP="002F6FA6">
            <w:pPr>
              <w:rPr>
                <w:rStyle w:val="AERtextsize8"/>
              </w:rPr>
            </w:pPr>
            <w:r>
              <w:rPr>
                <w:rStyle w:val="AERtextsize8"/>
              </w:rPr>
              <w:t>Only re-levered equity beta estimates should be relied on</w:t>
            </w:r>
            <w:r w:rsidRPr="002F6FA6">
              <w:rPr>
                <w:rStyle w:val="FootnoteReference"/>
              </w:rPr>
              <w:footnoteReference w:id="259"/>
            </w:r>
          </w:p>
        </w:tc>
        <w:tc>
          <w:tcPr>
            <w:tcW w:w="5183" w:type="dxa"/>
          </w:tcPr>
          <w:p w:rsidR="002F6FA6" w:rsidRPr="002F6FA6" w:rsidRDefault="002F6FA6" w:rsidP="00AA5EE2">
            <w:pPr>
              <w:rPr>
                <w:rStyle w:val="AERtextsize8"/>
              </w:rPr>
            </w:pPr>
            <w:r>
              <w:rPr>
                <w:rStyle w:val="AERtextsize8"/>
              </w:rPr>
              <w:t xml:space="preserve">We consider </w:t>
            </w:r>
            <w:r w:rsidRPr="002F6FA6">
              <w:rPr>
                <w:rStyle w:val="AERtextsize8"/>
              </w:rPr>
              <w:t xml:space="preserve">it is useful to consider both raw and re-levered equity beta estimates where possible. On one hand, the resulting estimates will be more aligned with our benchmark. On the other hand, the relationship between equity beta, financial leverage and financial risk is complex and uncertain. Making a specific adjustment for leverage imposes a certain assumed relationship that may not necessarily be correct in all circumstances. For more detail see sections D.2.2 and D.3 of Attachment 3 to </w:t>
            </w:r>
            <w:r w:rsidR="00AA5EE2">
              <w:rPr>
                <w:rStyle w:val="AERtextsize8"/>
              </w:rPr>
              <w:t>our</w:t>
            </w:r>
            <w:r w:rsidRPr="002F6FA6">
              <w:rPr>
                <w:rStyle w:val="AERtextsize8"/>
              </w:rPr>
              <w:t xml:space="preserve"> preliminary decision</w:t>
            </w:r>
            <w:r w:rsidR="00AA5EE2">
              <w:rPr>
                <w:rStyle w:val="AERtextsize8"/>
              </w:rPr>
              <w:t xml:space="preserve"> on AusNet Services' 2016-20 distribution determination</w:t>
            </w:r>
            <w:r w:rsidRPr="002F6FA6">
              <w:rPr>
                <w:rStyle w:val="AERtextsize8"/>
              </w:rPr>
              <w:t>. In their most recent report, Partington and Satchell reiterate their view that re-levering equity betas is problematic.</w:t>
            </w:r>
            <w:r w:rsidRPr="002F6FA6">
              <w:rPr>
                <w:rStyle w:val="FootnoteReference"/>
              </w:rPr>
              <w:footnoteReference w:id="260"/>
            </w:r>
          </w:p>
        </w:tc>
      </w:tr>
      <w:tr w:rsidR="002F6FA6" w:rsidTr="007D4F36">
        <w:tc>
          <w:tcPr>
            <w:tcW w:w="3510" w:type="dxa"/>
          </w:tcPr>
          <w:p w:rsidR="002F6FA6" w:rsidRPr="002F6FA6" w:rsidRDefault="002F6FA6" w:rsidP="002F6FA6">
            <w:pPr>
              <w:rPr>
                <w:rStyle w:val="AERtextsize8"/>
              </w:rPr>
            </w:pPr>
            <w:r>
              <w:rPr>
                <w:rStyle w:val="AERtextsize8"/>
              </w:rPr>
              <w:t>Averages of individual firm estimates are largely meaningless</w:t>
            </w:r>
            <w:r w:rsidRPr="002F6FA6">
              <w:rPr>
                <w:rStyle w:val="FootnoteReference"/>
              </w:rPr>
              <w:footnoteReference w:id="261"/>
            </w:r>
            <w:r w:rsidRPr="002F6FA6">
              <w:rPr>
                <w:rStyle w:val="AERtextsize8"/>
              </w:rPr>
              <w:t xml:space="preserve"> </w:t>
            </w:r>
          </w:p>
        </w:tc>
        <w:tc>
          <w:tcPr>
            <w:tcW w:w="5183" w:type="dxa"/>
          </w:tcPr>
          <w:p w:rsidR="002F6FA6" w:rsidRPr="002F6FA6" w:rsidRDefault="002F6FA6" w:rsidP="00AA5EE2">
            <w:pPr>
              <w:rPr>
                <w:rStyle w:val="AERtextsize8"/>
              </w:rPr>
            </w:pPr>
            <w:r w:rsidRPr="00B14F38">
              <w:rPr>
                <w:rStyle w:val="AERtextsize8"/>
              </w:rPr>
              <w:t xml:space="preserve">Because no one comparator firm is perfectly reflective of </w:t>
            </w:r>
            <w:r w:rsidRPr="002F6FA6">
              <w:rPr>
                <w:rStyle w:val="AERtextsize8"/>
              </w:rPr>
              <w:t>a benchmark efficient entity with a similar degree of risk as that which applies to AusNet Services in providing regulated services, we rely on averages of individual firm estimates to determine an equity beta range. SFG, Frontier Economics, CEG and NERA, in their reports for several service providers, also rely on averages of individual firm estimates.</w:t>
            </w:r>
            <w:r w:rsidRPr="002F6FA6">
              <w:rPr>
                <w:rStyle w:val="FootnoteReference"/>
              </w:rPr>
              <w:footnoteReference w:id="262"/>
            </w:r>
            <w:r w:rsidRPr="002F6FA6">
              <w:rPr>
                <w:rStyle w:val="AERtextsize8"/>
              </w:rPr>
              <w:t xml:space="preserve"> For more detail see section D.2.2 of Attachment 3 to </w:t>
            </w:r>
            <w:r w:rsidR="00AA5EE2">
              <w:rPr>
                <w:rStyle w:val="AERtextsize8"/>
              </w:rPr>
              <w:t>our</w:t>
            </w:r>
            <w:r w:rsidRPr="002F6FA6">
              <w:rPr>
                <w:rStyle w:val="AERtextsize8"/>
              </w:rPr>
              <w:t xml:space="preserve"> preliminary decision</w:t>
            </w:r>
            <w:r w:rsidR="00AA5EE2">
              <w:rPr>
                <w:rStyle w:val="AERtextsize8"/>
              </w:rPr>
              <w:t xml:space="preserve"> on AusNet Services' 2016-20 distribution determination</w:t>
            </w:r>
            <w:r w:rsidRPr="002F6FA6">
              <w:rPr>
                <w:rStyle w:val="AERtextsize8"/>
              </w:rPr>
              <w:t>.</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3510" w:type="dxa"/>
          </w:tcPr>
          <w:p w:rsidR="002F6FA6" w:rsidRPr="002F6FA6" w:rsidRDefault="002F6FA6" w:rsidP="002F6FA6">
            <w:pPr>
              <w:rPr>
                <w:rStyle w:val="AERtextsize8"/>
              </w:rPr>
            </w:pPr>
            <w:r>
              <w:rPr>
                <w:rStyle w:val="AERtextsize8"/>
              </w:rPr>
              <w:t>The basis of the portfolio formations in Henry's 2014 report is unclear</w:t>
            </w:r>
            <w:r w:rsidRPr="002F6FA6">
              <w:rPr>
                <w:rStyle w:val="FootnoteReference"/>
              </w:rPr>
              <w:footnoteReference w:id="263"/>
            </w:r>
          </w:p>
        </w:tc>
        <w:tc>
          <w:tcPr>
            <w:tcW w:w="5183" w:type="dxa"/>
          </w:tcPr>
          <w:p w:rsidR="002F6FA6" w:rsidRPr="002F6FA6" w:rsidRDefault="002F6FA6" w:rsidP="002F6FA6">
            <w:pPr>
              <w:rPr>
                <w:rStyle w:val="AERtextsize8"/>
              </w:rPr>
            </w:pPr>
            <w:r w:rsidRPr="00B428B6">
              <w:rPr>
                <w:rStyle w:val="AERtextsize8"/>
              </w:rPr>
              <w:t xml:space="preserve">Each firm </w:t>
            </w:r>
            <w:r w:rsidRPr="002F6FA6">
              <w:rPr>
                <w:rStyle w:val="AERtextsize8"/>
              </w:rPr>
              <w:t>in a particular portfolio must have returns data over the same period. For example, we cannot include a firm with data from 2000 to 2007 in a portfolio with another firm with data from 2005 to 2013. A portfolio can only be formed in this scenario if common data from 2005 to 2007 is used.</w:t>
            </w:r>
          </w:p>
          <w:p w:rsidR="002F6FA6" w:rsidRPr="002F6FA6" w:rsidRDefault="002F6FA6" w:rsidP="002F6FA6">
            <w:pPr>
              <w:rPr>
                <w:rStyle w:val="AERtextsize8"/>
              </w:rPr>
            </w:pPr>
            <w:r>
              <w:rPr>
                <w:rStyle w:val="AERtextsize8"/>
              </w:rPr>
              <w:t>T</w:t>
            </w:r>
            <w:r w:rsidRPr="002F6FA6">
              <w:rPr>
                <w:rStyle w:val="AERtextsize8"/>
              </w:rPr>
              <w:t>he firms in our comparator set trade over different time periods (that is, they have returns data over different periods). Therefore, in forming our portfolios, we balanced the desirability of having a long time period that includes recent data with the desirability of having more firms in the portfolio. We also sought to capture each firm in our comparator set in at least one portfolio.</w:t>
            </w:r>
            <w:r w:rsidRPr="002F6FA6">
              <w:rPr>
                <w:rStyle w:val="FootnoteReference"/>
              </w:rPr>
              <w:footnoteReference w:id="264"/>
            </w:r>
          </w:p>
        </w:tc>
      </w:tr>
      <w:tr w:rsidR="002F6FA6" w:rsidTr="007D4F36">
        <w:tc>
          <w:tcPr>
            <w:tcW w:w="3510" w:type="dxa"/>
          </w:tcPr>
          <w:p w:rsidR="002F6FA6" w:rsidRPr="002F6FA6" w:rsidRDefault="002F6FA6" w:rsidP="002F6FA6">
            <w:pPr>
              <w:rPr>
                <w:rStyle w:val="AERtextsize8"/>
              </w:rPr>
            </w:pPr>
            <w:r>
              <w:rPr>
                <w:rStyle w:val="AERtextsize8"/>
              </w:rPr>
              <w:t>The Vasicek adjustment mitigates systematic estimation error</w:t>
            </w:r>
            <w:r w:rsidRPr="002F6FA6">
              <w:rPr>
                <w:rStyle w:val="FootnoteReference"/>
              </w:rPr>
              <w:footnoteReference w:id="265"/>
            </w:r>
          </w:p>
        </w:tc>
        <w:tc>
          <w:tcPr>
            <w:tcW w:w="5183" w:type="dxa"/>
          </w:tcPr>
          <w:p w:rsidR="002F6FA6" w:rsidRPr="002F6FA6" w:rsidRDefault="002F6FA6" w:rsidP="00AA5EE2">
            <w:pPr>
              <w:rPr>
                <w:rStyle w:val="AERtextsize8"/>
              </w:rPr>
            </w:pPr>
            <w:r w:rsidRPr="00A357BE">
              <w:rPr>
                <w:rStyle w:val="AERtextsize8"/>
              </w:rPr>
              <w:t xml:space="preserve">We do not apply </w:t>
            </w:r>
            <w:r w:rsidRPr="002F6FA6">
              <w:rPr>
                <w:rStyle w:val="AERtextsize8"/>
              </w:rPr>
              <w:t xml:space="preserve">a Vasicek adjustment. We note that SFG's application of the Vasicek adjustment assumes a prior distribution of the market as a whole, not the firms that represent the benchmark efficient entity. We also note that applying the Vasicek adjustment in the manner recommended by SFG made little to no difference to the empirical equity beta estimates. For more detail see section D.2.2 of Attachment 3 to </w:t>
            </w:r>
            <w:r w:rsidR="00AA5EE2">
              <w:rPr>
                <w:rStyle w:val="AERtextsize8"/>
              </w:rPr>
              <w:t>our</w:t>
            </w:r>
            <w:r w:rsidRPr="002F6FA6">
              <w:rPr>
                <w:rStyle w:val="AERtextsize8"/>
              </w:rPr>
              <w:t xml:space="preserve"> preliminary decision</w:t>
            </w:r>
            <w:r w:rsidR="00AA5EE2">
              <w:rPr>
                <w:rStyle w:val="AERtextsize8"/>
              </w:rPr>
              <w:t xml:space="preserve"> on AusNet Services' 2016-20 distribution determination</w:t>
            </w:r>
            <w:r w:rsidRPr="002F6FA6">
              <w:rPr>
                <w:rStyle w:val="AERtextsize8"/>
              </w:rPr>
              <w:t>.</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3510" w:type="dxa"/>
          </w:tcPr>
          <w:p w:rsidR="002F6FA6" w:rsidRPr="002F6FA6" w:rsidRDefault="002F6FA6" w:rsidP="002F6FA6">
            <w:pPr>
              <w:rPr>
                <w:rStyle w:val="Strong"/>
              </w:rPr>
            </w:pPr>
            <w:r w:rsidRPr="007353C8">
              <w:rPr>
                <w:rStyle w:val="Strong"/>
              </w:rPr>
              <w:t>Australian empirical estimates</w:t>
            </w:r>
          </w:p>
        </w:tc>
        <w:tc>
          <w:tcPr>
            <w:tcW w:w="5183" w:type="dxa"/>
          </w:tcPr>
          <w:p w:rsidR="002F6FA6" w:rsidRDefault="002F6FA6" w:rsidP="002F6FA6">
            <w:pPr>
              <w:rPr>
                <w:rStyle w:val="AERtextsize8"/>
              </w:rPr>
            </w:pPr>
          </w:p>
        </w:tc>
      </w:tr>
      <w:tr w:rsidR="002F6FA6" w:rsidTr="007D4F36">
        <w:tc>
          <w:tcPr>
            <w:tcW w:w="3510" w:type="dxa"/>
          </w:tcPr>
          <w:p w:rsidR="002F6FA6" w:rsidRPr="002F6FA6" w:rsidRDefault="002F6FA6" w:rsidP="002F6FA6">
            <w:pPr>
              <w:rPr>
                <w:rStyle w:val="AERtextsize8"/>
              </w:rPr>
            </w:pPr>
            <w:r>
              <w:rPr>
                <w:rStyle w:val="AERtextsize8"/>
              </w:rPr>
              <w:t>Our range derived from Australian empirical estimates (0.4 to 0.7) is incorrect and inconsistent with Henry's 2014 report</w:t>
            </w:r>
            <w:r w:rsidRPr="002F6FA6">
              <w:rPr>
                <w:rStyle w:val="FootnoteReference"/>
              </w:rPr>
              <w:footnoteReference w:id="266"/>
            </w:r>
          </w:p>
        </w:tc>
        <w:tc>
          <w:tcPr>
            <w:tcW w:w="5183" w:type="dxa"/>
          </w:tcPr>
          <w:p w:rsidR="002F6FA6" w:rsidRPr="002F6FA6" w:rsidRDefault="002F6FA6" w:rsidP="00AA5EE2">
            <w:pPr>
              <w:rPr>
                <w:rStyle w:val="AERtextsize8"/>
              </w:rPr>
            </w:pPr>
            <w:r>
              <w:rPr>
                <w:rStyle w:val="AERtextsize8"/>
              </w:rPr>
              <w:t xml:space="preserve">We recognise </w:t>
            </w:r>
            <w:r w:rsidRPr="002F6FA6">
              <w:rPr>
                <w:rStyle w:val="AERtextsize8"/>
              </w:rPr>
              <w:t xml:space="preserve">Henry reported a range of 0.3 to 0.8. However, while Henry appears to base his range on all his estimates (including individual firm estimates), we consider the most useful empirical estimates in our regulatory context are averages of individual firm estimates and fixed weight portfolio estimates. We note, in any case, that a point estimate of 0.7 is consistent with, and at the higher level of, the range identified by Henry. For more detail see section D.5.1 of Attachment 3 to </w:t>
            </w:r>
            <w:r w:rsidR="00AA5EE2">
              <w:rPr>
                <w:rStyle w:val="AERtextsize8"/>
              </w:rPr>
              <w:t>our</w:t>
            </w:r>
            <w:r w:rsidRPr="002F6FA6">
              <w:rPr>
                <w:rStyle w:val="AERtextsize8"/>
              </w:rPr>
              <w:t xml:space="preserve"> preliminary decision</w:t>
            </w:r>
            <w:r w:rsidR="00AA5EE2">
              <w:rPr>
                <w:rStyle w:val="AERtextsize8"/>
              </w:rPr>
              <w:t xml:space="preserve"> on AusNet Services' 2016-20 distribution determination</w:t>
            </w:r>
            <w:r w:rsidRPr="002F6FA6">
              <w:rPr>
                <w:rStyle w:val="AERtextsize8"/>
              </w:rPr>
              <w:t>.</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3510" w:type="dxa"/>
          </w:tcPr>
          <w:p w:rsidR="002F6FA6" w:rsidRPr="002F6FA6" w:rsidRDefault="002F6FA6" w:rsidP="002F6FA6">
            <w:pPr>
              <w:rPr>
                <w:rStyle w:val="AERtextsize8"/>
              </w:rPr>
            </w:pPr>
            <w:r w:rsidRPr="00AD5FDC">
              <w:rPr>
                <w:rStyle w:val="AERtextsize8"/>
              </w:rPr>
              <w:t>Serv</w:t>
            </w:r>
            <w:r w:rsidRPr="002F6FA6">
              <w:rPr>
                <w:rStyle w:val="AERtextsize8"/>
              </w:rPr>
              <w:t>ice providers submit that the equity beta estimates in Henry's 2014 report are highly variable and imprecise</w:t>
            </w:r>
            <w:r w:rsidRPr="002F6FA6">
              <w:rPr>
                <w:rStyle w:val="FootnoteReference"/>
              </w:rPr>
              <w:footnoteReference w:id="267"/>
            </w:r>
          </w:p>
          <w:p w:rsidR="002F6FA6" w:rsidRPr="002F6FA6" w:rsidRDefault="002F6FA6" w:rsidP="002F6FA6">
            <w:pPr>
              <w:rPr>
                <w:rStyle w:val="AERtextsize8"/>
              </w:rPr>
            </w:pPr>
            <w:r>
              <w:rPr>
                <w:rStyle w:val="AERtextsize8"/>
              </w:rPr>
              <w:t>Other stakeholders submit that t</w:t>
            </w:r>
            <w:r w:rsidRPr="002F6FA6">
              <w:rPr>
                <w:rStyle w:val="AERtextsize8"/>
              </w:rPr>
              <w:t>he equity beta estimates in Henry's 2014 report are clustered around a range of 0.3 to 0.5</w:t>
            </w:r>
            <w:r w:rsidRPr="002F6FA6">
              <w:rPr>
                <w:rStyle w:val="FootnoteReference"/>
              </w:rPr>
              <w:footnoteReference w:id="268"/>
            </w:r>
          </w:p>
        </w:tc>
        <w:tc>
          <w:tcPr>
            <w:tcW w:w="5183" w:type="dxa"/>
          </w:tcPr>
          <w:p w:rsidR="002F6FA6" w:rsidRPr="002F6FA6" w:rsidRDefault="002F6FA6" w:rsidP="00AA5EE2">
            <w:pPr>
              <w:rPr>
                <w:rStyle w:val="AERtextsize8"/>
              </w:rPr>
            </w:pPr>
            <w:r>
              <w:rPr>
                <w:rStyle w:val="AERtextsize8"/>
              </w:rPr>
              <w:t>Both</w:t>
            </w:r>
            <w:r w:rsidRPr="002F6FA6">
              <w:rPr>
                <w:rStyle w:val="AERtextsize8"/>
              </w:rPr>
              <w:t xml:space="preserve"> viewpoints are based on individual firm estimates. We consider the most useful empirical estimates are averages of individual firm estimates and fixed weight portfolio estimates, and these estimates range from 0.4 to 0.7 under almost every regression permutation considered in Henry's 2014 report. For more detail, see section D.2.3 of Attachment 3 to </w:t>
            </w:r>
            <w:r w:rsidR="00AA5EE2">
              <w:rPr>
                <w:rStyle w:val="AERtextsize8"/>
              </w:rPr>
              <w:t>our</w:t>
            </w:r>
            <w:r w:rsidRPr="002F6FA6">
              <w:rPr>
                <w:rStyle w:val="AERtextsize8"/>
              </w:rPr>
              <w:t xml:space="preserve"> preliminary decision</w:t>
            </w:r>
            <w:r w:rsidR="00AA5EE2">
              <w:rPr>
                <w:rStyle w:val="AERtextsize8"/>
              </w:rPr>
              <w:t xml:space="preserve"> on AusNet Services' 2016-20 distribution determination</w:t>
            </w:r>
            <w:r w:rsidRPr="002F6FA6">
              <w:rPr>
                <w:rStyle w:val="AERtextsize8"/>
              </w:rPr>
              <w:t>.</w:t>
            </w:r>
          </w:p>
        </w:tc>
      </w:tr>
      <w:tr w:rsidR="002F6FA6" w:rsidTr="007D4F36">
        <w:tc>
          <w:tcPr>
            <w:tcW w:w="3510" w:type="dxa"/>
          </w:tcPr>
          <w:p w:rsidR="002F6FA6" w:rsidRPr="002F6FA6" w:rsidRDefault="002F6FA6" w:rsidP="002F6FA6">
            <w:pPr>
              <w:rPr>
                <w:rStyle w:val="AERtextsize8"/>
              </w:rPr>
            </w:pPr>
            <w:r>
              <w:rPr>
                <w:rStyle w:val="AERtextsize8"/>
              </w:rPr>
              <w:t xml:space="preserve">Australian empirical estimates support an equity beta </w:t>
            </w:r>
            <w:r w:rsidRPr="002F6FA6">
              <w:rPr>
                <w:rStyle w:val="AERtextsize8"/>
              </w:rPr>
              <w:t>within the range of 0.5 to 0.6</w:t>
            </w:r>
            <w:r w:rsidRPr="002F6FA6">
              <w:rPr>
                <w:rStyle w:val="FootnoteReference"/>
              </w:rPr>
              <w:footnoteReference w:id="269"/>
            </w:r>
          </w:p>
        </w:tc>
        <w:tc>
          <w:tcPr>
            <w:tcW w:w="5183" w:type="dxa"/>
          </w:tcPr>
          <w:p w:rsidR="002F6FA6" w:rsidRPr="002F6FA6" w:rsidRDefault="002F6FA6" w:rsidP="002F6FA6">
            <w:pPr>
              <w:rPr>
                <w:rStyle w:val="AERtextsize8"/>
              </w:rPr>
            </w:pPr>
            <w:r>
              <w:rPr>
                <w:rStyle w:val="AERtextsize8"/>
              </w:rPr>
              <w:t>We are satisfied the Australian empirical estimates we consider support an equity beta range of 0.4 to 0.7. Our range is based on averages of individual firm estimates and fixed weight portfolio estimates from Henry's 2014 report. We also consider equity beta estimates from a number of other Australia empirical studies.</w:t>
            </w:r>
            <w:r w:rsidRPr="002F6FA6">
              <w:rPr>
                <w:rStyle w:val="AERtextsize8"/>
              </w:rPr>
              <w:t xml:space="preserve"> This includes the ERA's 2013 study, which appears to contain the same estimates as the Vo, Mero and Gellard study discussed in the Consumer Challenge Panel's report.</w:t>
            </w:r>
            <w:r w:rsidRPr="002F6FA6">
              <w:rPr>
                <w:rStyle w:val="FootnoteReference"/>
              </w:rPr>
              <w:footnoteReference w:id="270"/>
            </w:r>
            <w:r w:rsidRPr="002F6FA6">
              <w:rPr>
                <w:rStyle w:val="AERtextsize8"/>
              </w:rPr>
              <w:t xml:space="preserve"> See sections </w:t>
            </w:r>
            <w:r w:rsidRPr="002F6FA6">
              <w:rPr>
                <w:rStyle w:val="AERtextsize8"/>
              </w:rPr>
              <w:fldChar w:fldCharType="begin"/>
            </w:r>
            <w:r w:rsidRPr="002F6FA6">
              <w:rPr>
                <w:rStyle w:val="AERtextsize8"/>
              </w:rPr>
              <w:instrText xml:space="preserve"> REF _Ref446255169 \r \h </w:instrText>
            </w:r>
            <w:r w:rsidRPr="002F6FA6">
              <w:rPr>
                <w:rStyle w:val="AERtextsize8"/>
              </w:rPr>
            </w:r>
            <w:r w:rsidRPr="002F6FA6">
              <w:rPr>
                <w:rStyle w:val="AERtextsize8"/>
              </w:rPr>
              <w:fldChar w:fldCharType="separate"/>
            </w:r>
            <w:r w:rsidR="003F1AAB">
              <w:rPr>
                <w:rStyle w:val="AERtextsize8"/>
              </w:rPr>
              <w:t>G.1</w:t>
            </w:r>
            <w:r w:rsidRPr="002F6FA6">
              <w:rPr>
                <w:rStyle w:val="AERtextsize8"/>
              </w:rPr>
              <w:fldChar w:fldCharType="end"/>
            </w:r>
            <w:r w:rsidRPr="002F6FA6">
              <w:rPr>
                <w:rStyle w:val="AERtextsize8"/>
              </w:rPr>
              <w:t xml:space="preserve"> and </w:t>
            </w:r>
            <w:r w:rsidRPr="002F6FA6">
              <w:rPr>
                <w:rStyle w:val="AERtextsize8"/>
              </w:rPr>
              <w:fldChar w:fldCharType="begin"/>
            </w:r>
            <w:r w:rsidRPr="002F6FA6">
              <w:rPr>
                <w:rStyle w:val="AERtextsize8"/>
              </w:rPr>
              <w:instrText xml:space="preserve"> REF _Ref446255164 \r \h </w:instrText>
            </w:r>
            <w:r w:rsidRPr="002F6FA6">
              <w:rPr>
                <w:rStyle w:val="AERtextsize8"/>
              </w:rPr>
            </w:r>
            <w:r w:rsidRPr="002F6FA6">
              <w:rPr>
                <w:rStyle w:val="AERtextsize8"/>
              </w:rPr>
              <w:fldChar w:fldCharType="separate"/>
            </w:r>
            <w:r w:rsidR="003F1AAB">
              <w:rPr>
                <w:rStyle w:val="AERtextsize8"/>
              </w:rPr>
              <w:t>G.2</w:t>
            </w:r>
            <w:r w:rsidRPr="002F6FA6">
              <w:rPr>
                <w:rStyle w:val="AERtextsize8"/>
              </w:rPr>
              <w:fldChar w:fldCharType="end"/>
            </w:r>
            <w:r w:rsidRPr="002F6FA6">
              <w:rPr>
                <w:rStyle w:val="AERtextsize8"/>
              </w:rPr>
              <w:t>.</w:t>
            </w:r>
          </w:p>
          <w:p w:rsidR="002F6FA6" w:rsidRPr="002F6FA6" w:rsidRDefault="002F6FA6" w:rsidP="00AA5EE2">
            <w:pPr>
              <w:rPr>
                <w:rStyle w:val="AERtextsize8"/>
              </w:rPr>
            </w:pPr>
            <w:r>
              <w:rPr>
                <w:rStyle w:val="AERtextsize8"/>
              </w:rPr>
              <w:t xml:space="preserve">We have regard to other information when selecting our equity beta point estimate from within this range. </w:t>
            </w:r>
            <w:r w:rsidRPr="002F6FA6">
              <w:rPr>
                <w:rStyle w:val="AERtextsize8"/>
              </w:rPr>
              <w:t xml:space="preserve">This includes international empirical estimates and the theoretical principles underpinning the Black CAPM. See section D.5 of Attachment 3 to </w:t>
            </w:r>
            <w:r w:rsidR="00AA5EE2">
              <w:rPr>
                <w:rStyle w:val="AERtextsize8"/>
              </w:rPr>
              <w:t>our</w:t>
            </w:r>
            <w:r w:rsidRPr="002F6FA6">
              <w:rPr>
                <w:rStyle w:val="AERtextsize8"/>
              </w:rPr>
              <w:t xml:space="preserve"> preliminary decision</w:t>
            </w:r>
            <w:r w:rsidR="00AA5EE2">
              <w:rPr>
                <w:rStyle w:val="AERtextsize8"/>
              </w:rPr>
              <w:t xml:space="preserve"> on AusNet Services' 2016-20 distribution determination</w:t>
            </w:r>
            <w:r w:rsidRPr="002F6FA6">
              <w:rPr>
                <w:rStyle w:val="AERtextsize8"/>
              </w:rPr>
              <w:t>.</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3510" w:type="dxa"/>
          </w:tcPr>
          <w:p w:rsidR="002F6FA6" w:rsidRPr="002F6FA6" w:rsidRDefault="002F6FA6" w:rsidP="002F6FA6">
            <w:pPr>
              <w:rPr>
                <w:rStyle w:val="AERtextsize8"/>
              </w:rPr>
            </w:pPr>
            <w:r w:rsidRPr="00AD5FDC">
              <w:rPr>
                <w:rStyle w:val="AERtextsize8"/>
              </w:rPr>
              <w:t xml:space="preserve">We have incorrectly analysed the </w:t>
            </w:r>
            <w:r w:rsidRPr="002F6FA6">
              <w:rPr>
                <w:rStyle w:val="AERtextsize8"/>
              </w:rPr>
              <w:t>equity beta estimates in Grant Samuel's 2014 independent expert report</w:t>
            </w:r>
            <w:r w:rsidRPr="002F6FA6">
              <w:rPr>
                <w:rStyle w:val="FootnoteReference"/>
              </w:rPr>
              <w:footnoteReference w:id="271"/>
            </w:r>
          </w:p>
        </w:tc>
        <w:tc>
          <w:tcPr>
            <w:tcW w:w="5183" w:type="dxa"/>
          </w:tcPr>
          <w:p w:rsidR="002F6FA6" w:rsidRPr="002F6FA6" w:rsidRDefault="002F6FA6" w:rsidP="00AA5EE2">
            <w:pPr>
              <w:rPr>
                <w:rStyle w:val="AERtextsize8"/>
              </w:rPr>
            </w:pPr>
            <w:r w:rsidRPr="00AF6BA0">
              <w:rPr>
                <w:rStyle w:val="AERtextsize8"/>
              </w:rPr>
              <w:t>We do not average across the different sources for each energy network firm in Grant Samuel's peer group. We average over the four Australian energy network firms in the peer group for each source</w:t>
            </w:r>
            <w:r w:rsidRPr="002F6FA6">
              <w:rPr>
                <w:rStyle w:val="AERtextsize8"/>
              </w:rPr>
              <w:t xml:space="preserve">. For more detail see section D.2.4 of Attachment 3 to </w:t>
            </w:r>
            <w:r w:rsidR="00AA5EE2">
              <w:rPr>
                <w:rStyle w:val="AERtextsize8"/>
              </w:rPr>
              <w:t>our</w:t>
            </w:r>
            <w:r w:rsidRPr="002F6FA6">
              <w:rPr>
                <w:rStyle w:val="AERtextsize8"/>
              </w:rPr>
              <w:t xml:space="preserve"> preliminary decision</w:t>
            </w:r>
            <w:r w:rsidR="00AA5EE2">
              <w:rPr>
                <w:rStyle w:val="AERtextsize8"/>
              </w:rPr>
              <w:t xml:space="preserve"> on AusNet Services' 2016-20 distribution determination</w:t>
            </w:r>
            <w:r w:rsidRPr="002F6FA6">
              <w:rPr>
                <w:rStyle w:val="AERtextsize8"/>
              </w:rPr>
              <w:t>.</w:t>
            </w:r>
          </w:p>
        </w:tc>
      </w:tr>
      <w:tr w:rsidR="002F6FA6" w:rsidTr="007D4F36">
        <w:tc>
          <w:tcPr>
            <w:tcW w:w="3510" w:type="dxa"/>
          </w:tcPr>
          <w:p w:rsidR="002F6FA6" w:rsidRPr="002F6FA6" w:rsidRDefault="002F6FA6" w:rsidP="002F6FA6">
            <w:pPr>
              <w:rPr>
                <w:rStyle w:val="Strong"/>
              </w:rPr>
            </w:pPr>
            <w:r w:rsidRPr="007353C8">
              <w:rPr>
                <w:rStyle w:val="Strong"/>
              </w:rPr>
              <w:t>International empirical estimates</w:t>
            </w:r>
          </w:p>
        </w:tc>
        <w:tc>
          <w:tcPr>
            <w:tcW w:w="5183" w:type="dxa"/>
          </w:tcPr>
          <w:p w:rsidR="002F6FA6" w:rsidRPr="0084394E" w:rsidRDefault="002F6FA6" w:rsidP="002F6FA6">
            <w:pPr>
              <w:rPr>
                <w:rStyle w:val="AERtextsize8"/>
              </w:rPr>
            </w:pP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3510" w:type="dxa"/>
          </w:tcPr>
          <w:p w:rsidR="002F6FA6" w:rsidRPr="002F6FA6" w:rsidRDefault="002F6FA6" w:rsidP="002F6FA6">
            <w:pPr>
              <w:rPr>
                <w:rStyle w:val="AERtextsize8"/>
              </w:rPr>
            </w:pPr>
            <w:r>
              <w:rPr>
                <w:rStyle w:val="AERtextsize8"/>
              </w:rPr>
              <w:t>Our analysis of international empirical estimates is incorrect</w:t>
            </w:r>
            <w:r w:rsidRPr="002F6FA6">
              <w:rPr>
                <w:rStyle w:val="AERtextsize8"/>
              </w:rPr>
              <w:t xml:space="preserve"> because we do not consider the relative reliability of different studies</w:t>
            </w:r>
            <w:r w:rsidRPr="002F6FA6">
              <w:rPr>
                <w:rStyle w:val="FootnoteReference"/>
              </w:rPr>
              <w:footnoteReference w:id="272"/>
            </w:r>
          </w:p>
        </w:tc>
        <w:tc>
          <w:tcPr>
            <w:tcW w:w="5183" w:type="dxa"/>
          </w:tcPr>
          <w:p w:rsidR="002F6FA6" w:rsidRPr="002F6FA6" w:rsidRDefault="002F6FA6" w:rsidP="00AA5EE2">
            <w:pPr>
              <w:rPr>
                <w:rStyle w:val="AERtextsize8"/>
              </w:rPr>
            </w:pPr>
            <w:r w:rsidRPr="0084394E">
              <w:rPr>
                <w:rStyle w:val="AERtextsize8"/>
              </w:rPr>
              <w:t>The reports we review above are from reputable sources.</w:t>
            </w:r>
            <w:r w:rsidRPr="002F6FA6">
              <w:rPr>
                <w:rStyle w:val="AERtextsize8"/>
              </w:rPr>
              <w:t xml:space="preserve"> Different reports use different estimation techniques because experts have different views on how best to estimate equity beta. It would be difficult to find reports that are fully consistent with our preferred estimation approach. For more detail see section D.3 of Attachment 3 to </w:t>
            </w:r>
            <w:r w:rsidR="00AA5EE2">
              <w:rPr>
                <w:rStyle w:val="AERtextsize8"/>
              </w:rPr>
              <w:t>our</w:t>
            </w:r>
            <w:r w:rsidRPr="002F6FA6">
              <w:rPr>
                <w:rStyle w:val="AERtextsize8"/>
              </w:rPr>
              <w:t xml:space="preserve"> preliminary decision</w:t>
            </w:r>
            <w:r w:rsidR="00AA5EE2">
              <w:rPr>
                <w:rStyle w:val="AERtextsize8"/>
              </w:rPr>
              <w:t xml:space="preserve"> on AusNet Services' 2016-20 distribution determination</w:t>
            </w:r>
            <w:r w:rsidRPr="002F6FA6">
              <w:rPr>
                <w:rStyle w:val="AERtextsize8"/>
              </w:rPr>
              <w:t>.</w:t>
            </w:r>
          </w:p>
        </w:tc>
      </w:tr>
      <w:tr w:rsidR="002F6FA6" w:rsidTr="007D4F36">
        <w:tc>
          <w:tcPr>
            <w:tcW w:w="3510" w:type="dxa"/>
          </w:tcPr>
          <w:p w:rsidR="002F6FA6" w:rsidRPr="002F6FA6" w:rsidRDefault="002F6FA6" w:rsidP="002F6FA6">
            <w:pPr>
              <w:rPr>
                <w:rStyle w:val="AERtextsize8"/>
              </w:rPr>
            </w:pPr>
            <w:r>
              <w:rPr>
                <w:rStyle w:val="AERtextsize8"/>
              </w:rPr>
              <w:t xml:space="preserve">The international empirical estimates we </w:t>
            </w:r>
            <w:r w:rsidRPr="002F6FA6">
              <w:rPr>
                <w:rStyle w:val="AERtextsize8"/>
              </w:rPr>
              <w:t>consider (correctly analysed) are consistent with an equity beta estimate materially above 0.7</w:t>
            </w:r>
            <w:r w:rsidRPr="002F6FA6">
              <w:rPr>
                <w:rStyle w:val="FootnoteReference"/>
              </w:rPr>
              <w:footnoteReference w:id="273"/>
            </w:r>
          </w:p>
        </w:tc>
        <w:tc>
          <w:tcPr>
            <w:tcW w:w="5183" w:type="dxa"/>
          </w:tcPr>
          <w:p w:rsidR="002F6FA6" w:rsidRPr="002F6FA6" w:rsidRDefault="002F6FA6" w:rsidP="00AA5EE2">
            <w:pPr>
              <w:rPr>
                <w:rStyle w:val="AERtextsize8"/>
              </w:rPr>
            </w:pPr>
            <w:r w:rsidRPr="006A40BF">
              <w:rPr>
                <w:rStyle w:val="AERtextsize8"/>
              </w:rPr>
              <w:t xml:space="preserve">We do not agree with SFG's interpretation of the international evidence we </w:t>
            </w:r>
            <w:r w:rsidRPr="002F6FA6">
              <w:rPr>
                <w:rStyle w:val="AERtextsize8"/>
              </w:rPr>
              <w:t xml:space="preserve">consider. We do not consider this evidence implies an equity beta estimate materially above 0.7 for the benchmark efficient entity. For more detail see section D.3 of Attachment 3 to </w:t>
            </w:r>
            <w:r w:rsidR="00AA5EE2">
              <w:rPr>
                <w:rStyle w:val="AERtextsize8"/>
              </w:rPr>
              <w:t>our</w:t>
            </w:r>
            <w:r w:rsidRPr="002F6FA6">
              <w:rPr>
                <w:rStyle w:val="AERtextsize8"/>
              </w:rPr>
              <w:t xml:space="preserve"> preliminary decision</w:t>
            </w:r>
            <w:r w:rsidR="00AA5EE2">
              <w:rPr>
                <w:rStyle w:val="AERtextsize8"/>
              </w:rPr>
              <w:t xml:space="preserve"> on AusNet Services' 2016-20 distribution determination</w:t>
            </w:r>
            <w:r w:rsidRPr="002F6FA6">
              <w:rPr>
                <w:rStyle w:val="AERtextsize8"/>
              </w:rPr>
              <w:t>.</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8693" w:type="dxa"/>
            <w:gridSpan w:val="2"/>
          </w:tcPr>
          <w:p w:rsidR="002F6FA6" w:rsidRPr="002F6FA6" w:rsidRDefault="002F6FA6" w:rsidP="002F6FA6">
            <w:pPr>
              <w:rPr>
                <w:rStyle w:val="Strong"/>
              </w:rPr>
            </w:pPr>
            <w:r w:rsidRPr="00835F59">
              <w:rPr>
                <w:rStyle w:val="Strong"/>
              </w:rPr>
              <w:t>Theoretical principles underpinning the Black CAPM</w:t>
            </w:r>
          </w:p>
        </w:tc>
      </w:tr>
      <w:tr w:rsidR="002F6FA6" w:rsidTr="007D4F36">
        <w:tc>
          <w:tcPr>
            <w:tcW w:w="3510" w:type="dxa"/>
          </w:tcPr>
          <w:p w:rsidR="002F6FA6" w:rsidRPr="002F6FA6" w:rsidRDefault="002F6FA6" w:rsidP="002F6FA6">
            <w:pPr>
              <w:rPr>
                <w:rStyle w:val="AERtextsize8"/>
              </w:rPr>
            </w:pPr>
            <w:r>
              <w:rPr>
                <w:rStyle w:val="AERtextsize8"/>
              </w:rPr>
              <w:t>W</w:t>
            </w:r>
            <w:r w:rsidRPr="002F6FA6">
              <w:rPr>
                <w:rStyle w:val="AERtextsize8"/>
              </w:rPr>
              <w:t>e use the theory of the Black CAPM to apply a specific uplift to equity beta to correct for 'low beta bias'—however, the adjustment is insufficient to correct for this bias in the Sharpe-Lintner CAPM</w:t>
            </w:r>
            <w:r w:rsidRPr="002F6FA6">
              <w:rPr>
                <w:rStyle w:val="FootnoteReference"/>
              </w:rPr>
              <w:footnoteReference w:id="274"/>
            </w:r>
          </w:p>
        </w:tc>
        <w:tc>
          <w:tcPr>
            <w:tcW w:w="5183" w:type="dxa"/>
          </w:tcPr>
          <w:p w:rsidR="002F6FA6" w:rsidRPr="002F6FA6" w:rsidRDefault="002F6FA6" w:rsidP="00AA5EE2">
            <w:pPr>
              <w:rPr>
                <w:rStyle w:val="AERtextsize8"/>
              </w:rPr>
            </w:pPr>
            <w:r w:rsidRPr="006A40BF">
              <w:rPr>
                <w:rStyle w:val="AERtextsize8"/>
              </w:rPr>
              <w:t xml:space="preserve">We do not use the theory underlying the Black CAPM to apply a specific </w:t>
            </w:r>
            <w:r w:rsidRPr="002F6FA6">
              <w:rPr>
                <w:rStyle w:val="AERtextsize8"/>
              </w:rPr>
              <w:t xml:space="preserve">uplift to the equity beta (and we did not do so in the Guideline). We do not consider that the theory of the Black CAPM can reliably support a specific uplift or that it implies that the Sharpe-Lintner CAPM produces biased return on equity estimates. For more detail see sections D.4, D.5.3, and A.2 of Attachment 3 to </w:t>
            </w:r>
            <w:r w:rsidR="00AA5EE2">
              <w:rPr>
                <w:rStyle w:val="AERtextsize8"/>
              </w:rPr>
              <w:t xml:space="preserve">our </w:t>
            </w:r>
            <w:r w:rsidRPr="002F6FA6">
              <w:rPr>
                <w:rStyle w:val="AERtextsize8"/>
              </w:rPr>
              <w:t>preliminary decision</w:t>
            </w:r>
            <w:r w:rsidR="00AA5EE2">
              <w:rPr>
                <w:rStyle w:val="AERtextsize8"/>
              </w:rPr>
              <w:t xml:space="preserve"> on AusNet Services' 2016-20 distribution determination</w:t>
            </w:r>
            <w:r w:rsidRPr="002F6FA6">
              <w:rPr>
                <w:rStyle w:val="AERtextsize8"/>
              </w:rPr>
              <w:t>.</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3510" w:type="dxa"/>
          </w:tcPr>
          <w:p w:rsidR="002F6FA6" w:rsidRPr="002F6FA6" w:rsidRDefault="002F6FA6" w:rsidP="002F6FA6">
            <w:pPr>
              <w:rPr>
                <w:rStyle w:val="AERtextsize8"/>
              </w:rPr>
            </w:pPr>
            <w:r>
              <w:rPr>
                <w:rStyle w:val="AERtextsize8"/>
              </w:rPr>
              <w:t>Our use of the theory of the Black CAPM to inform the equity beta point estimate is arbitrary</w:t>
            </w:r>
            <w:r w:rsidRPr="002F6FA6">
              <w:rPr>
                <w:rStyle w:val="AERtextsize8"/>
              </w:rPr>
              <w:t xml:space="preserve"> and/or convoluted.</w:t>
            </w:r>
            <w:r w:rsidRPr="002F6FA6">
              <w:rPr>
                <w:rStyle w:val="FootnoteReference"/>
              </w:rPr>
              <w:footnoteReference w:id="275"/>
            </w:r>
            <w:r w:rsidRPr="002F6FA6">
              <w:rPr>
                <w:rStyle w:val="AERtextsize8"/>
              </w:rPr>
              <w:t xml:space="preserve"> The correct use of the Black CAPM (under our foundation model approach) is to use it empirically—this results in an equity beta estimate materially higher than 0.7</w:t>
            </w:r>
            <w:r w:rsidRPr="002F6FA6">
              <w:rPr>
                <w:rStyle w:val="FootnoteReference"/>
              </w:rPr>
              <w:footnoteReference w:id="276"/>
            </w:r>
          </w:p>
        </w:tc>
        <w:tc>
          <w:tcPr>
            <w:tcW w:w="5183" w:type="dxa"/>
          </w:tcPr>
          <w:p w:rsidR="002F6FA6" w:rsidRPr="002F6FA6" w:rsidRDefault="002F6FA6" w:rsidP="00AA5EE2">
            <w:pPr>
              <w:rPr>
                <w:rStyle w:val="AERtextsize8"/>
              </w:rPr>
            </w:pPr>
            <w:r>
              <w:rPr>
                <w:rStyle w:val="AERtextsize8"/>
              </w:rPr>
              <w:t>We consider</w:t>
            </w:r>
            <w:r w:rsidRPr="002F6FA6">
              <w:rPr>
                <w:rStyle w:val="AERtextsize8"/>
              </w:rPr>
              <w:t xml:space="preserve"> it is open to us to consider the theory underlying the Black CAPM in informing our equity beta estimate. However, we consider the practical application of the Black CAPM produces unreliable empirical estimates. We set our reasons for not relying on empirical estimates of the Black CAPM, and for giving the theory of the Black CAPM an informative role in estimating equity beta, in section 3.4.1 (steps one and two) of </w:t>
            </w:r>
            <w:r w:rsidR="00AA5EE2">
              <w:rPr>
                <w:rStyle w:val="AERtextsize8"/>
              </w:rPr>
              <w:t>Attachment 3 to our</w:t>
            </w:r>
            <w:r w:rsidRPr="002F6FA6">
              <w:rPr>
                <w:rStyle w:val="AERtextsize8"/>
              </w:rPr>
              <w:t xml:space="preserve"> preliminary decision</w:t>
            </w:r>
            <w:r w:rsidR="00AA5EE2">
              <w:rPr>
                <w:rStyle w:val="AERtextsize8"/>
              </w:rPr>
              <w:t xml:space="preserve"> on AusNet Services' 2016-20 distribution determination</w:t>
            </w:r>
            <w:r w:rsidRPr="002F6FA6">
              <w:rPr>
                <w:rStyle w:val="AERtextsize8"/>
              </w:rPr>
              <w:t>.</w:t>
            </w:r>
          </w:p>
        </w:tc>
      </w:tr>
      <w:tr w:rsidR="002F6FA6" w:rsidTr="007D4F36">
        <w:tc>
          <w:tcPr>
            <w:tcW w:w="3510" w:type="dxa"/>
          </w:tcPr>
          <w:p w:rsidR="002F6FA6" w:rsidRPr="002F6FA6" w:rsidRDefault="002F6FA6" w:rsidP="002F6FA6">
            <w:pPr>
              <w:rPr>
                <w:rStyle w:val="AERtextsize8"/>
              </w:rPr>
            </w:pPr>
            <w:r>
              <w:rPr>
                <w:rStyle w:val="AERtextsize8"/>
              </w:rPr>
              <w:t>Neither the</w:t>
            </w:r>
            <w:r w:rsidRPr="002F6FA6">
              <w:rPr>
                <w:rStyle w:val="AERtextsize8"/>
              </w:rPr>
              <w:t xml:space="preserve"> theory nor empirical evidence from the Black CAPM should be used to inform the equity beta point estimate</w:t>
            </w:r>
            <w:r w:rsidRPr="002F6FA6">
              <w:rPr>
                <w:rStyle w:val="FootnoteReference"/>
              </w:rPr>
              <w:footnoteReference w:id="277"/>
            </w:r>
          </w:p>
        </w:tc>
        <w:tc>
          <w:tcPr>
            <w:tcW w:w="5183" w:type="dxa"/>
          </w:tcPr>
          <w:p w:rsidR="002F6FA6" w:rsidRPr="002F6FA6" w:rsidRDefault="002F6FA6" w:rsidP="002F6FA6">
            <w:pPr>
              <w:rPr>
                <w:rStyle w:val="AERtextsize8"/>
              </w:rPr>
            </w:pPr>
            <w:r w:rsidRPr="00AC0ACE">
              <w:rPr>
                <w:rStyle w:val="AERtextsize8"/>
              </w:rPr>
              <w:t>We consider there are merits to the theoretical principles underpinning the Black CAPM</w:t>
            </w:r>
            <w:r w:rsidRPr="002F6FA6">
              <w:rPr>
                <w:rStyle w:val="AERtextsize8"/>
              </w:rPr>
              <w:t xml:space="preserve"> (for example, it relaxes an assumption underlying the Sharpe-Lintner CAPM),</w:t>
            </w:r>
            <w:r w:rsidRPr="002F6FA6">
              <w:rPr>
                <w:rStyle w:val="FootnoteReference"/>
              </w:rPr>
              <w:footnoteReference w:id="278"/>
            </w:r>
            <w:r w:rsidRPr="002F6FA6">
              <w:rPr>
                <w:rStyle w:val="AERtextsize8"/>
              </w:rPr>
              <w:t xml:space="preserve"> and we have assessed this information against the criteria set out in the Guideline. We consider this theory can be useful in informing our equity beta point estimate. For more detail see section D.4 of Attachment 3 to </w:t>
            </w:r>
            <w:r w:rsidR="00AA5EE2">
              <w:rPr>
                <w:rStyle w:val="AERtextsize8"/>
              </w:rPr>
              <w:t>our</w:t>
            </w:r>
            <w:r w:rsidRPr="002F6FA6">
              <w:rPr>
                <w:rStyle w:val="AERtextsize8"/>
              </w:rPr>
              <w:t xml:space="preserve"> preliminary decision</w:t>
            </w:r>
            <w:r w:rsidR="00AA5EE2">
              <w:rPr>
                <w:rStyle w:val="AERtextsize8"/>
              </w:rPr>
              <w:t xml:space="preserve"> on AusNet Services' 2016-20 distribution determination,</w:t>
            </w:r>
            <w:r w:rsidRPr="002F6FA6">
              <w:rPr>
                <w:rStyle w:val="AERtextsize8"/>
              </w:rPr>
              <w:t xml:space="preserve"> and section </w:t>
            </w:r>
            <w:r w:rsidRPr="002F6FA6">
              <w:rPr>
                <w:rStyle w:val="AERtextsize8"/>
              </w:rPr>
              <w:fldChar w:fldCharType="begin"/>
            </w:r>
            <w:r w:rsidRPr="002F6FA6">
              <w:rPr>
                <w:rStyle w:val="AERtextsize8"/>
              </w:rPr>
              <w:instrText xml:space="preserve"> REF _Ref448924785 \r \h </w:instrText>
            </w:r>
            <w:r w:rsidRPr="002F6FA6">
              <w:rPr>
                <w:rStyle w:val="AERtextsize8"/>
              </w:rPr>
            </w:r>
            <w:r w:rsidRPr="002F6FA6">
              <w:rPr>
                <w:rStyle w:val="AERtextsize8"/>
              </w:rPr>
              <w:fldChar w:fldCharType="separate"/>
            </w:r>
            <w:r w:rsidR="003F1AAB">
              <w:rPr>
                <w:rStyle w:val="AERtextsize8"/>
              </w:rPr>
              <w:t>B.2.3</w:t>
            </w:r>
            <w:r w:rsidRPr="002F6FA6">
              <w:rPr>
                <w:rStyle w:val="AERtextsize8"/>
              </w:rPr>
              <w:fldChar w:fldCharType="end"/>
            </w:r>
            <w:r w:rsidRPr="002F6FA6">
              <w:rPr>
                <w:rStyle w:val="AERtextsize8"/>
              </w:rPr>
              <w:t xml:space="preserve"> of this decision. </w:t>
            </w:r>
          </w:p>
          <w:p w:rsidR="002F6FA6" w:rsidRPr="002F6FA6" w:rsidRDefault="002F6FA6" w:rsidP="002F6FA6">
            <w:pPr>
              <w:rPr>
                <w:rStyle w:val="AERtextsize8"/>
              </w:rPr>
            </w:pPr>
            <w:r>
              <w:rPr>
                <w:rStyle w:val="AERtextsize8"/>
              </w:rPr>
              <w:t xml:space="preserve">We </w:t>
            </w:r>
            <w:r w:rsidRPr="002F6FA6">
              <w:rPr>
                <w:rStyle w:val="AERtextsize8"/>
              </w:rPr>
              <w:t>also do not consider our consultants disagree with our use of this information. In fact, Partington and Handley have both provided support for our foundation model approach.</w:t>
            </w:r>
            <w:r w:rsidRPr="002F6FA6">
              <w:rPr>
                <w:rStyle w:val="FootnoteReference"/>
              </w:rPr>
              <w:footnoteReference w:id="279"/>
            </w:r>
            <w:r w:rsidRPr="002F6FA6">
              <w:rPr>
                <w:rStyle w:val="AERtextsize8"/>
              </w:rPr>
              <w:t xml:space="preserve"> Our foundation model approach includes our use of the theory of the Black CAPM to inform the equity beta point estimate</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8693" w:type="dxa"/>
            <w:gridSpan w:val="2"/>
          </w:tcPr>
          <w:p w:rsidR="002F6FA6" w:rsidRPr="002F6FA6" w:rsidRDefault="002F6FA6" w:rsidP="002F6FA6">
            <w:pPr>
              <w:rPr>
                <w:rStyle w:val="AERtextsize8"/>
              </w:rPr>
            </w:pPr>
            <w:r w:rsidRPr="00835F59">
              <w:rPr>
                <w:rStyle w:val="Strong"/>
              </w:rPr>
              <w:t>Conceptual analysis</w:t>
            </w:r>
          </w:p>
        </w:tc>
      </w:tr>
      <w:tr w:rsidR="002F6FA6" w:rsidTr="007D4F36">
        <w:tc>
          <w:tcPr>
            <w:tcW w:w="3510" w:type="dxa"/>
          </w:tcPr>
          <w:p w:rsidR="002F6FA6" w:rsidRPr="002F6FA6" w:rsidRDefault="002F6FA6" w:rsidP="002F6FA6">
            <w:pPr>
              <w:rPr>
                <w:rStyle w:val="AERtextsize8"/>
              </w:rPr>
            </w:pPr>
            <w:r>
              <w:rPr>
                <w:rStyle w:val="AERtextsize8"/>
              </w:rPr>
              <w:t>T</w:t>
            </w:r>
            <w:r w:rsidRPr="002F6FA6">
              <w:rPr>
                <w:rStyle w:val="AERtextsize8"/>
              </w:rPr>
              <w:t>he reduction in systematic risk (specifically, demand risk) from a recent transition to a revenue cap from a price cap should be reflected in the equity beta</w:t>
            </w:r>
            <w:r w:rsidRPr="002F6FA6">
              <w:rPr>
                <w:rStyle w:val="FootnoteReference"/>
              </w:rPr>
              <w:footnoteReference w:id="280"/>
            </w:r>
            <w:r w:rsidRPr="002F6FA6">
              <w:rPr>
                <w:rStyle w:val="AERtextsize8"/>
              </w:rPr>
              <w:t xml:space="preserve"> </w:t>
            </w:r>
          </w:p>
        </w:tc>
        <w:tc>
          <w:tcPr>
            <w:tcW w:w="5183" w:type="dxa"/>
          </w:tcPr>
          <w:p w:rsidR="002F6FA6" w:rsidRPr="002F6FA6" w:rsidRDefault="002F6FA6" w:rsidP="002F6FA6">
            <w:pPr>
              <w:rPr>
                <w:rStyle w:val="AERtextsize8"/>
              </w:rPr>
            </w:pPr>
            <w:r>
              <w:rPr>
                <w:rStyle w:val="AERtextsize8"/>
              </w:rPr>
              <w:t>W</w:t>
            </w:r>
            <w:r w:rsidRPr="002F6FA6">
              <w:rPr>
                <w:rStyle w:val="AERtextsize8"/>
              </w:rPr>
              <w:t>e consider differences in demand risk can be mitigated through either form of control. Under a revenue cap, where forecast quantity demanded differs from actual quantity demanded, price adjustments are made in subsequent years to enable the approved revenue to be recovered by the service provider. Under a price cap, service providers may mitigate the risk of forecast error by restructuring tariffs, such that higher fixed charges are set to offset demand volatility. This is one of the reasons why, in the Guideline, we considered the systematic risks between gas, electricity, transmission and distribution networks are sufficiently similar as to justify one benchmark.</w:t>
            </w:r>
            <w:r w:rsidRPr="002F6FA6">
              <w:rPr>
                <w:rStyle w:val="FootnoteReference"/>
              </w:rPr>
              <w:footnoteReference w:id="281"/>
            </w:r>
            <w:r w:rsidRPr="002F6FA6">
              <w:t xml:space="preserve"> </w:t>
            </w:r>
            <w:r w:rsidRPr="002F6FA6">
              <w:rPr>
                <w:rStyle w:val="AERtextsize8"/>
              </w:rPr>
              <w:t>Even if moving to a revenue cap from a price cap did reduce the systematic risk of a service provider, we consider this would be reflected in lower business risk. This is only one aspect of our overall systematic risk assessment, which includes consideration of financial risk.</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3510" w:type="dxa"/>
          </w:tcPr>
          <w:p w:rsidR="002F6FA6" w:rsidRPr="002F6FA6" w:rsidRDefault="002F6FA6" w:rsidP="002F6FA6">
            <w:pPr>
              <w:rPr>
                <w:rStyle w:val="AERtextsize8"/>
              </w:rPr>
            </w:pPr>
            <w:r>
              <w:rPr>
                <w:rStyle w:val="AERtextsize8"/>
              </w:rPr>
              <w:t xml:space="preserve">Our </w:t>
            </w:r>
            <w:r w:rsidRPr="002F6FA6">
              <w:rPr>
                <w:rStyle w:val="AERtextsize8"/>
              </w:rPr>
              <w:t>assessment of financial risk and its impact on overall systematic risk is incorrect</w:t>
            </w:r>
            <w:r w:rsidRPr="002F6FA6">
              <w:rPr>
                <w:rStyle w:val="FootnoteReference"/>
              </w:rPr>
              <w:footnoteReference w:id="282"/>
            </w:r>
          </w:p>
        </w:tc>
        <w:tc>
          <w:tcPr>
            <w:tcW w:w="5183" w:type="dxa"/>
          </w:tcPr>
          <w:p w:rsidR="002F6FA6" w:rsidRPr="002F6FA6" w:rsidRDefault="002F6FA6" w:rsidP="002F6FA6">
            <w:pPr>
              <w:rPr>
                <w:rStyle w:val="AERtextsize8"/>
              </w:rPr>
            </w:pPr>
            <w:r>
              <w:rPr>
                <w:rStyle w:val="AERtextsize8"/>
              </w:rPr>
              <w:t>We disagree. We</w:t>
            </w:r>
            <w:r w:rsidRPr="002F6FA6">
              <w:t xml:space="preserve"> consider </w:t>
            </w:r>
            <w:r w:rsidRPr="002F6FA6">
              <w:rPr>
                <w:rStyle w:val="AERtextsize8"/>
              </w:rPr>
              <w:t>financial risk relates to the additional systematic risk exposure that arises from the debt holdings of a firm and recognise the benchmark efficient entity is likely to have higher financial risk than the market average firm because it has relatively high financial leverage.</w:t>
            </w:r>
            <w:r w:rsidRPr="002F6FA6">
              <w:t xml:space="preserve"> However, </w:t>
            </w:r>
            <w:r w:rsidRPr="002F6FA6">
              <w:rPr>
                <w:rStyle w:val="AERtextsize8"/>
              </w:rPr>
              <w:t>the exact relationship between financial risk and financial leverage is not straightforward.</w:t>
            </w:r>
          </w:p>
          <w:p w:rsidR="002F6FA6" w:rsidRPr="002F6FA6" w:rsidRDefault="002F6FA6" w:rsidP="00AA5EE2">
            <w:pPr>
              <w:rPr>
                <w:rStyle w:val="AERtextsize8"/>
              </w:rPr>
            </w:pPr>
            <w:r>
              <w:rPr>
                <w:rStyle w:val="AERtextsize8"/>
              </w:rPr>
              <w:t xml:space="preserve">We consider our conceptual analysis </w:t>
            </w:r>
            <w:r w:rsidRPr="002F6FA6">
              <w:rPr>
                <w:rStyle w:val="AERtextsize8"/>
              </w:rPr>
              <w:t>suggests the intrinsic business risk of a firm is the main driver of its systematic risk. We expect a business with a similar degree of risk as AusNet Services in providing regulated services to have low intrinsic risk exposure (relative to the market average). We also consider the high financial leverage of a benchmark efficient entity (relative to the market average) does not necessarily correspond to an equivalently high exposure to financial risk. Therefore, we consider there are reasonable conceptual grounds to expect the overall systematic risk for a business with a similar degree of risk as AusNet Services to be below that of the market average firm. Our views are supported by</w:t>
            </w:r>
            <w:r w:rsidRPr="002F6FA6">
              <w:t xml:space="preserve"> </w:t>
            </w:r>
            <w:r w:rsidRPr="002F6FA6">
              <w:rPr>
                <w:rStyle w:val="AERtextsize8"/>
              </w:rPr>
              <w:t xml:space="preserve">McKenzie and Partington. For more detail see section D.1 of Attachment 3 to </w:t>
            </w:r>
            <w:r w:rsidR="00AA5EE2">
              <w:rPr>
                <w:rStyle w:val="AERtextsize8"/>
              </w:rPr>
              <w:t>our</w:t>
            </w:r>
            <w:r w:rsidRPr="002F6FA6">
              <w:rPr>
                <w:rStyle w:val="AERtextsize8"/>
              </w:rPr>
              <w:t xml:space="preserve"> preliminary decision</w:t>
            </w:r>
            <w:r w:rsidR="00AA5EE2">
              <w:rPr>
                <w:rStyle w:val="AERtextsize8"/>
              </w:rPr>
              <w:t xml:space="preserve"> on AusNet Services' 2016-20 distribution determination</w:t>
            </w:r>
            <w:r w:rsidRPr="002F6FA6">
              <w:rPr>
                <w:rStyle w:val="AERtextsize8"/>
              </w:rPr>
              <w:t>.</w:t>
            </w:r>
          </w:p>
        </w:tc>
      </w:tr>
      <w:tr w:rsidR="002F6FA6" w:rsidTr="007D4F36">
        <w:tc>
          <w:tcPr>
            <w:tcW w:w="3510" w:type="dxa"/>
          </w:tcPr>
          <w:p w:rsidR="002F6FA6" w:rsidRPr="002F6FA6" w:rsidRDefault="002F6FA6" w:rsidP="002F6FA6">
            <w:pPr>
              <w:rPr>
                <w:rStyle w:val="AERtextsize8"/>
              </w:rPr>
            </w:pPr>
            <w:r>
              <w:rPr>
                <w:rStyle w:val="AERtextsize8"/>
              </w:rPr>
              <w:t>W</w:t>
            </w:r>
            <w:r w:rsidRPr="002F6FA6">
              <w:rPr>
                <w:rStyle w:val="AERtextsize8"/>
              </w:rPr>
              <w:t>e have misinterpreted the empirical evidence and expert reports we rely on (including Frontier Economics' 2013 report to the AER)</w:t>
            </w:r>
            <w:r w:rsidRPr="002F6FA6">
              <w:rPr>
                <w:rStyle w:val="FootnoteReference"/>
              </w:rPr>
              <w:footnoteReference w:id="283"/>
            </w:r>
          </w:p>
        </w:tc>
        <w:tc>
          <w:tcPr>
            <w:tcW w:w="5183" w:type="dxa"/>
          </w:tcPr>
          <w:p w:rsidR="002F6FA6" w:rsidRPr="002F6FA6" w:rsidRDefault="002F6FA6" w:rsidP="00AA5EE2">
            <w:pPr>
              <w:rPr>
                <w:rStyle w:val="AERtextsize8"/>
              </w:rPr>
            </w:pPr>
            <w:r>
              <w:rPr>
                <w:rStyle w:val="AERtextsize8"/>
              </w:rPr>
              <w:t>W</w:t>
            </w:r>
            <w:r w:rsidRPr="002F6FA6">
              <w:rPr>
                <w:rStyle w:val="AERtextsize8"/>
              </w:rPr>
              <w:t xml:space="preserve">e do not consider the empirical evidence referred to by McKenzie and Partington in their 2012 report has been misinterpreted. We also consider Frontier Economics have misunderstood our use of the information provided in its 2013 report. Regardless, Frontier's views (in its 2015 report) do not change our key conclusion on financial risk. For more detail see sections D.1.2 and D.1.3 of Attachment 3 to </w:t>
            </w:r>
            <w:r w:rsidR="00AA5EE2">
              <w:rPr>
                <w:rStyle w:val="AERtextsize8"/>
              </w:rPr>
              <w:t>our</w:t>
            </w:r>
            <w:r w:rsidRPr="002F6FA6">
              <w:rPr>
                <w:rStyle w:val="AERtextsize8"/>
              </w:rPr>
              <w:t xml:space="preserve"> preliminary decision</w:t>
            </w:r>
            <w:r w:rsidR="00AA5EE2">
              <w:rPr>
                <w:rStyle w:val="AERtextsize8"/>
              </w:rPr>
              <w:t xml:space="preserve"> on AusNet Services' 2016-20 distribution determination</w:t>
            </w:r>
            <w:r w:rsidRPr="002F6FA6">
              <w:rPr>
                <w:rStyle w:val="AERtextsize8"/>
              </w:rPr>
              <w:t>.</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3510" w:type="dxa"/>
          </w:tcPr>
          <w:p w:rsidR="002F6FA6" w:rsidRPr="002F6FA6" w:rsidRDefault="002F6FA6" w:rsidP="002F6FA6">
            <w:pPr>
              <w:rPr>
                <w:rStyle w:val="AERtextsize8"/>
              </w:rPr>
            </w:pPr>
            <w:r>
              <w:rPr>
                <w:rStyle w:val="AERtextsize8"/>
              </w:rPr>
              <w:t>Our conceptual analys</w:t>
            </w:r>
            <w:r w:rsidRPr="002F6FA6">
              <w:rPr>
                <w:rStyle w:val="AERtextsize8"/>
              </w:rPr>
              <w:t>is is unclear and likely to be counterproductive to good regulatory decisions</w:t>
            </w:r>
            <w:r w:rsidRPr="002F6FA6">
              <w:rPr>
                <w:rStyle w:val="FootnoteReference"/>
              </w:rPr>
              <w:footnoteReference w:id="284"/>
            </w:r>
          </w:p>
        </w:tc>
        <w:tc>
          <w:tcPr>
            <w:tcW w:w="5183" w:type="dxa"/>
          </w:tcPr>
          <w:p w:rsidR="002F6FA6" w:rsidRPr="002F6FA6" w:rsidRDefault="002F6FA6" w:rsidP="00AA5EE2">
            <w:pPr>
              <w:rPr>
                <w:rStyle w:val="AERtextsize8"/>
              </w:rPr>
            </w:pPr>
            <w:r w:rsidRPr="00635805">
              <w:rPr>
                <w:rStyle w:val="AERtextsize8"/>
              </w:rPr>
              <w:t>We disagree with this view. Frontier's analysis appears to be based on a misunderstanding of the role of our conceptual analysis</w:t>
            </w:r>
            <w:r w:rsidRPr="002F6FA6">
              <w:rPr>
                <w:rStyle w:val="AERtextsize8"/>
              </w:rPr>
              <w:t xml:space="preserve">. For more detail see section D.1.3 of Attachment 3 to </w:t>
            </w:r>
            <w:r w:rsidR="00AA5EE2">
              <w:rPr>
                <w:rStyle w:val="AERtextsize8"/>
              </w:rPr>
              <w:t>our</w:t>
            </w:r>
            <w:r w:rsidRPr="002F6FA6">
              <w:rPr>
                <w:rStyle w:val="AERtextsize8"/>
              </w:rPr>
              <w:t xml:space="preserve"> preliminary decision</w:t>
            </w:r>
            <w:r w:rsidR="00AA5EE2">
              <w:rPr>
                <w:rStyle w:val="AERtextsize8"/>
              </w:rPr>
              <w:t xml:space="preserve"> on AusNet Services' 2016-20 distribution determination</w:t>
            </w:r>
            <w:r w:rsidRPr="002F6FA6">
              <w:rPr>
                <w:rStyle w:val="AERtextsize8"/>
              </w:rPr>
              <w:t>.</w:t>
            </w:r>
          </w:p>
        </w:tc>
      </w:tr>
      <w:tr w:rsidR="002F6FA6" w:rsidTr="007D4F36">
        <w:tc>
          <w:tcPr>
            <w:tcW w:w="3510" w:type="dxa"/>
          </w:tcPr>
          <w:p w:rsidR="002F6FA6" w:rsidRPr="002F6FA6" w:rsidRDefault="002F6FA6" w:rsidP="002F6FA6">
            <w:pPr>
              <w:rPr>
                <w:rStyle w:val="AERtextsize8"/>
              </w:rPr>
            </w:pPr>
            <w:r>
              <w:rPr>
                <w:rStyle w:val="AERtextsize8"/>
              </w:rPr>
              <w:t>We have not adequately accounted for the recent risks arising from disruptive technologies</w:t>
            </w:r>
            <w:r w:rsidRPr="002F6FA6">
              <w:rPr>
                <w:rStyle w:val="FootnoteReference"/>
              </w:rPr>
              <w:footnoteReference w:id="285"/>
            </w:r>
          </w:p>
        </w:tc>
        <w:tc>
          <w:tcPr>
            <w:tcW w:w="5183" w:type="dxa"/>
          </w:tcPr>
          <w:p w:rsidR="002F6FA6" w:rsidRPr="002F6FA6" w:rsidRDefault="002F6FA6" w:rsidP="00AA5EE2">
            <w:pPr>
              <w:rPr>
                <w:rStyle w:val="AERtextsize8"/>
              </w:rPr>
            </w:pPr>
            <w:r w:rsidRPr="00CB54D7">
              <w:rPr>
                <w:rStyle w:val="AERtextsize8"/>
              </w:rPr>
              <w:t>We do not consider the risk arising from disruptive technologies can be reasonably classified as systematic risk</w:t>
            </w:r>
            <w:r w:rsidRPr="002F6FA6">
              <w:rPr>
                <w:rStyle w:val="AERtextsize8"/>
              </w:rPr>
              <w:t xml:space="preserve">, and so should not be compensated for in the return on equity. For more detail see section D.1.4 of Attachment 3 to </w:t>
            </w:r>
            <w:r w:rsidR="00AA5EE2">
              <w:rPr>
                <w:rStyle w:val="AERtextsize8"/>
              </w:rPr>
              <w:t>our</w:t>
            </w:r>
            <w:r w:rsidRPr="002F6FA6">
              <w:rPr>
                <w:rStyle w:val="AERtextsize8"/>
              </w:rPr>
              <w:t xml:space="preserve"> preliminary decision</w:t>
            </w:r>
            <w:r w:rsidR="00AA5EE2">
              <w:rPr>
                <w:rStyle w:val="AERtextsize8"/>
              </w:rPr>
              <w:t xml:space="preserve"> on AusNet Services' 2016-20 distribution determination</w:t>
            </w:r>
            <w:r w:rsidRPr="002F6FA6">
              <w:rPr>
                <w:rStyle w:val="AERtextsize8"/>
              </w:rPr>
              <w:t>.</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8693" w:type="dxa"/>
            <w:gridSpan w:val="2"/>
          </w:tcPr>
          <w:p w:rsidR="002F6FA6" w:rsidRPr="002F6FA6" w:rsidRDefault="002F6FA6" w:rsidP="002F6FA6">
            <w:pPr>
              <w:rPr>
                <w:rStyle w:val="AERtextsize8"/>
              </w:rPr>
            </w:pPr>
            <w:r w:rsidRPr="00835F59">
              <w:rPr>
                <w:rStyle w:val="Strong"/>
              </w:rPr>
              <w:t>Other</w:t>
            </w:r>
          </w:p>
        </w:tc>
      </w:tr>
      <w:tr w:rsidR="002F6FA6" w:rsidTr="007D4F36">
        <w:tc>
          <w:tcPr>
            <w:tcW w:w="3510" w:type="dxa"/>
          </w:tcPr>
          <w:p w:rsidR="002F6FA6" w:rsidRPr="002F6FA6" w:rsidRDefault="002F6FA6" w:rsidP="002F6FA6">
            <w:pPr>
              <w:rPr>
                <w:rStyle w:val="AERtextsize8"/>
              </w:rPr>
            </w:pPr>
            <w:r>
              <w:rPr>
                <w:rStyle w:val="AERtextsize8"/>
              </w:rPr>
              <w:t>O</w:t>
            </w:r>
            <w:r w:rsidRPr="002F6FA6">
              <w:rPr>
                <w:rStyle w:val="AERtextsize8"/>
              </w:rPr>
              <w:t>ur approach is inconsistent with the approach we used to estimate equity beta in the 2009 WACC review because we have selected a different point estimate from the same range</w:t>
            </w:r>
            <w:r w:rsidRPr="002F6FA6">
              <w:rPr>
                <w:rStyle w:val="FootnoteReference"/>
              </w:rPr>
              <w:footnoteReference w:id="286"/>
            </w:r>
          </w:p>
        </w:tc>
        <w:tc>
          <w:tcPr>
            <w:tcW w:w="5183" w:type="dxa"/>
          </w:tcPr>
          <w:p w:rsidR="002F6FA6" w:rsidRPr="002F6FA6" w:rsidRDefault="002F6FA6" w:rsidP="00AA5EE2">
            <w:pPr>
              <w:rPr>
                <w:rStyle w:val="AERtextsize8"/>
              </w:rPr>
            </w:pPr>
            <w:r>
              <w:rPr>
                <w:rStyle w:val="AERtextsize8"/>
              </w:rPr>
              <w:t xml:space="preserve">We disagree. </w:t>
            </w:r>
            <w:r w:rsidRPr="002F6FA6">
              <w:rPr>
                <w:rStyle w:val="AERtextsize8"/>
              </w:rPr>
              <w:t>During the Guideline process we stated, 'During both the 2009 WACC review and now we considered the empirical estimates support a range of 0.4 to 0.7. In the 2009 WACC review, we adopted a point estimate of 0.8 (slightly above the range of empirical estimates). In this issues paper, we propose to lower our point estimate from 0.8 to 0.7 because we now have greater confidence in the reliability of the empirical estimates—In 2009, there were fewer empirical estimates available. The data spanned a shorter time period and we were facing uncertainty due to the global financial crisis. Four years on, we now have more studies, spanning a longer time period and a diversity of market conditions. The results from these studies demonstrate a consistent pattern over time.'</w:t>
            </w:r>
            <w:r w:rsidRPr="002F6FA6">
              <w:rPr>
                <w:rStyle w:val="FootnoteReference"/>
              </w:rPr>
              <w:footnoteReference w:id="287"/>
            </w:r>
            <w:r w:rsidRPr="002F6FA6">
              <w:rPr>
                <w:rStyle w:val="AERtextsize8"/>
              </w:rPr>
              <w:t xml:space="preserve"> For more detail see section D.5.2 of Attachment 3 to </w:t>
            </w:r>
            <w:r w:rsidR="00AA5EE2">
              <w:rPr>
                <w:rStyle w:val="AERtextsize8"/>
              </w:rPr>
              <w:t>our</w:t>
            </w:r>
            <w:r w:rsidRPr="002F6FA6">
              <w:rPr>
                <w:rStyle w:val="AERtextsize8"/>
              </w:rPr>
              <w:t xml:space="preserve"> preliminary decision</w:t>
            </w:r>
            <w:r w:rsidR="00AA5EE2">
              <w:rPr>
                <w:rStyle w:val="AERtextsize8"/>
              </w:rPr>
              <w:t xml:space="preserve"> on AusNet Services' 2016-20 distribution determination</w:t>
            </w:r>
            <w:r w:rsidRPr="002F6FA6">
              <w:rPr>
                <w:rStyle w:val="AERtextsize8"/>
              </w:rPr>
              <w:t>.</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3510" w:type="dxa"/>
          </w:tcPr>
          <w:p w:rsidR="002F6FA6" w:rsidRPr="002F6FA6" w:rsidRDefault="002F6FA6" w:rsidP="002F6FA6">
            <w:pPr>
              <w:rPr>
                <w:rStyle w:val="AERtextsize8"/>
              </w:rPr>
            </w:pPr>
            <w:r>
              <w:rPr>
                <w:rStyle w:val="AERtextsize8"/>
              </w:rPr>
              <w:t>Our multi-stage approach to estimating the equity beta</w:t>
            </w:r>
            <w:r w:rsidRPr="002F6FA6">
              <w:t xml:space="preserve"> </w:t>
            </w:r>
            <w:r w:rsidRPr="002F6FA6">
              <w:rPr>
                <w:rStyle w:val="AERtextsize8"/>
              </w:rPr>
              <w:t>pre-emptively dilutes or eliminates the impact of other relevant evidence</w:t>
            </w:r>
            <w:r w:rsidRPr="002F6FA6">
              <w:rPr>
                <w:rStyle w:val="FootnoteReference"/>
              </w:rPr>
              <w:footnoteReference w:id="288"/>
            </w:r>
          </w:p>
        </w:tc>
        <w:tc>
          <w:tcPr>
            <w:tcW w:w="5183" w:type="dxa"/>
          </w:tcPr>
          <w:p w:rsidR="002F6FA6" w:rsidRPr="002F6FA6" w:rsidRDefault="002F6FA6" w:rsidP="00AA5EE2">
            <w:pPr>
              <w:rPr>
                <w:rStyle w:val="AERtextsize8"/>
              </w:rPr>
            </w:pPr>
            <w:r>
              <w:rPr>
                <w:rStyle w:val="AERtextsize8"/>
              </w:rPr>
              <w:t>O</w:t>
            </w:r>
            <w:r w:rsidRPr="002F6FA6">
              <w:rPr>
                <w:rStyle w:val="AERtextsize8"/>
              </w:rPr>
              <w:t xml:space="preserve">ur use of relevant material is based on their relative merits (see section D.5.3 of Attachment 3 to </w:t>
            </w:r>
            <w:r w:rsidR="00AA5EE2">
              <w:rPr>
                <w:rStyle w:val="AERtextsize8"/>
              </w:rPr>
              <w:t>our</w:t>
            </w:r>
            <w:r w:rsidRPr="002F6FA6">
              <w:rPr>
                <w:rStyle w:val="AERtextsize8"/>
              </w:rPr>
              <w:t xml:space="preserve"> preliminary decision</w:t>
            </w:r>
            <w:r w:rsidR="00AA5EE2">
              <w:rPr>
                <w:rStyle w:val="AERtextsize8"/>
              </w:rPr>
              <w:t xml:space="preserve"> on AusNet Services' 2016-20 distribution determination</w:t>
            </w:r>
            <w:r w:rsidRPr="002F6FA6">
              <w:t>)</w:t>
            </w:r>
            <w:r w:rsidRPr="002F6FA6">
              <w:rPr>
                <w:rStyle w:val="AERtextsize8"/>
              </w:rPr>
              <w:t>.</w:t>
            </w:r>
          </w:p>
        </w:tc>
      </w:tr>
      <w:tr w:rsidR="002F6FA6" w:rsidTr="007D4F36">
        <w:tc>
          <w:tcPr>
            <w:tcW w:w="3510" w:type="dxa"/>
          </w:tcPr>
          <w:p w:rsidR="002F6FA6" w:rsidRPr="002F6FA6" w:rsidRDefault="002F6FA6" w:rsidP="002F6FA6">
            <w:pPr>
              <w:rPr>
                <w:rStyle w:val="AERtextsize8"/>
              </w:rPr>
            </w:pPr>
            <w:r>
              <w:rPr>
                <w:rStyle w:val="AERtextsize8"/>
              </w:rPr>
              <w:t>O</w:t>
            </w:r>
            <w:r w:rsidRPr="002F6FA6">
              <w:rPr>
                <w:rStyle w:val="AERtextsize8"/>
              </w:rPr>
              <w:t>ur estimate of equity beta does not sufficiently account for possible biases in the Sharpe-Lintner CAPM—our equity beta estimate should be specifically adjusted for 'low beta bias' and/or 'book-to-market bias' using empirical evidence from the Black CAPM and Fama French model</w:t>
            </w:r>
            <w:r w:rsidRPr="002F6FA6">
              <w:rPr>
                <w:rStyle w:val="FootnoteReference"/>
              </w:rPr>
              <w:footnoteReference w:id="289"/>
            </w:r>
          </w:p>
        </w:tc>
        <w:tc>
          <w:tcPr>
            <w:tcW w:w="5183" w:type="dxa"/>
          </w:tcPr>
          <w:p w:rsidR="002F6FA6" w:rsidRPr="002F6FA6" w:rsidRDefault="002F6FA6" w:rsidP="00AA5EE2">
            <w:pPr>
              <w:rPr>
                <w:rStyle w:val="AERtextsize8"/>
              </w:rPr>
            </w:pPr>
            <w:r w:rsidRPr="00245C96">
              <w:rPr>
                <w:rStyle w:val="AERtextsize8"/>
              </w:rPr>
              <w:t>We do not consider our use of the S</w:t>
            </w:r>
            <w:r w:rsidRPr="002F6FA6">
              <w:rPr>
                <w:rStyle w:val="AERtextsize8"/>
              </w:rPr>
              <w:t>harpe-Lintner CAPM in our foundation model approach will result in a downward biased estimate of the return on equity.</w:t>
            </w:r>
            <w:r w:rsidRPr="002F6FA6">
              <w:t xml:space="preserve"> </w:t>
            </w:r>
            <w:r w:rsidRPr="002F6FA6">
              <w:rPr>
                <w:rStyle w:val="AERtextsize8"/>
              </w:rPr>
              <w:t xml:space="preserve">We provide extensive reasoning for these views in the 'service providers' proposed multi-model approach' subsection in section </w:t>
            </w:r>
            <w:r w:rsidRPr="002F6FA6">
              <w:rPr>
                <w:rStyle w:val="AERtextsize8"/>
              </w:rPr>
              <w:fldChar w:fldCharType="begin"/>
            </w:r>
            <w:r w:rsidRPr="002F6FA6">
              <w:rPr>
                <w:rStyle w:val="AERtextsize8"/>
              </w:rPr>
              <w:instrText xml:space="preserve"> REF _Ref430958591 \r \h </w:instrText>
            </w:r>
            <w:r w:rsidRPr="002F6FA6">
              <w:rPr>
                <w:rStyle w:val="AERtextsize8"/>
              </w:rPr>
            </w:r>
            <w:r w:rsidRPr="002F6FA6">
              <w:rPr>
                <w:rStyle w:val="AERtextsize8"/>
              </w:rPr>
              <w:fldChar w:fldCharType="separate"/>
            </w:r>
            <w:r w:rsidR="003F1AAB">
              <w:rPr>
                <w:rStyle w:val="AERtextsize8"/>
              </w:rPr>
              <w:t>3.4.1</w:t>
            </w:r>
            <w:r w:rsidRPr="002F6FA6">
              <w:rPr>
                <w:rStyle w:val="AERtextsize8"/>
              </w:rPr>
              <w:fldChar w:fldCharType="end"/>
            </w:r>
            <w:r w:rsidRPr="002F6FA6">
              <w:rPr>
                <w:rStyle w:val="AERtextsize8"/>
              </w:rPr>
              <w:t xml:space="preserve"> of this attachment. Also see sections </w:t>
            </w:r>
            <w:r w:rsidRPr="002F6FA6">
              <w:t xml:space="preserve">D.5.3, A.2, A.3 of Attachment 3 to </w:t>
            </w:r>
            <w:r w:rsidR="00AA5EE2">
              <w:t>our</w:t>
            </w:r>
            <w:r w:rsidRPr="002F6FA6">
              <w:t xml:space="preserve"> preliminary decision</w:t>
            </w:r>
            <w:r w:rsidR="00AA5EE2">
              <w:rPr>
                <w:rStyle w:val="AERtextsize8"/>
              </w:rPr>
              <w:t xml:space="preserve"> on AusNet Services' 2016-20 distribution determination</w:t>
            </w:r>
            <w:r w:rsidRPr="002F6FA6">
              <w:t>.</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3510" w:type="dxa"/>
          </w:tcPr>
          <w:p w:rsidR="002F6FA6" w:rsidRPr="002F6FA6" w:rsidRDefault="002F6FA6" w:rsidP="002F6FA6">
            <w:pPr>
              <w:rPr>
                <w:rStyle w:val="AERtextsize8"/>
              </w:rPr>
            </w:pPr>
            <w:r>
              <w:rPr>
                <w:rStyle w:val="AERtextsize8"/>
              </w:rPr>
              <w:t xml:space="preserve">An equity beta estimate </w:t>
            </w:r>
            <w:r w:rsidRPr="002F6FA6">
              <w:rPr>
                <w:rStyle w:val="AERtextsize8"/>
              </w:rPr>
              <w:t>implied from SFG's construction of the dividend growth model should be used as a cross check on our foundation model equity beta estimate</w:t>
            </w:r>
            <w:r w:rsidRPr="002F6FA6">
              <w:rPr>
                <w:rStyle w:val="FootnoteReference"/>
              </w:rPr>
              <w:footnoteReference w:id="290"/>
            </w:r>
          </w:p>
        </w:tc>
        <w:tc>
          <w:tcPr>
            <w:tcW w:w="5183" w:type="dxa"/>
          </w:tcPr>
          <w:p w:rsidR="002F6FA6" w:rsidRPr="002F6FA6" w:rsidRDefault="002F6FA6" w:rsidP="00AA5EE2">
            <w:pPr>
              <w:rPr>
                <w:rStyle w:val="AERtextsize8"/>
              </w:rPr>
            </w:pPr>
            <w:r w:rsidRPr="00716187">
              <w:rPr>
                <w:rStyle w:val="AERtextsize8"/>
              </w:rPr>
              <w:t xml:space="preserve">SFG's </w:t>
            </w:r>
            <w:r w:rsidRPr="002F6FA6">
              <w:rPr>
                <w:rStyle w:val="AERtextsize8"/>
              </w:rPr>
              <w:t>dividend growth model-based estimates of equity beta are derived by estimating the relative risk ratio of Australian energy network firms to the market, which it uses as an implied beta estimate. We consider there are several technical issues with SFG's approach. These include: the method used to derive its implied beta estimate is not aligned with the definition of equity beta; its implied beta estimate is based on a relatively small dataset; and it used inappropriate</w:t>
            </w:r>
            <w:r w:rsidRPr="002F6FA6">
              <w:t xml:space="preserve"> </w:t>
            </w:r>
            <w:r w:rsidRPr="002F6FA6">
              <w:rPr>
                <w:rStyle w:val="AERtextsize8"/>
              </w:rPr>
              <w:t xml:space="preserve">weightings in the estimation process. For more detail see sections B.3 and D.5.3 of Attachment 3 to </w:t>
            </w:r>
            <w:r w:rsidR="00AA5EE2">
              <w:rPr>
                <w:rStyle w:val="AERtextsize8"/>
              </w:rPr>
              <w:t>our</w:t>
            </w:r>
            <w:r w:rsidRPr="002F6FA6">
              <w:rPr>
                <w:rStyle w:val="AERtextsize8"/>
              </w:rPr>
              <w:t xml:space="preserve"> preliminary decision</w:t>
            </w:r>
            <w:r w:rsidR="00AA5EE2">
              <w:rPr>
                <w:rStyle w:val="AERtextsize8"/>
              </w:rPr>
              <w:t xml:space="preserve"> on AusNet Services' 2016-20 distribution determination</w:t>
            </w:r>
            <w:r w:rsidRPr="002F6FA6">
              <w:rPr>
                <w:rStyle w:val="AERtextsize8"/>
              </w:rPr>
              <w:t>.</w:t>
            </w:r>
          </w:p>
        </w:tc>
      </w:tr>
      <w:tr w:rsidR="002F6FA6" w:rsidRPr="00245C96" w:rsidTr="007D4F36">
        <w:tc>
          <w:tcPr>
            <w:tcW w:w="3510" w:type="dxa"/>
          </w:tcPr>
          <w:p w:rsidR="002F6FA6" w:rsidRPr="002F6FA6" w:rsidRDefault="002F6FA6" w:rsidP="002F6FA6">
            <w:pPr>
              <w:rPr>
                <w:rStyle w:val="AERtextsize8"/>
              </w:rPr>
            </w:pPr>
            <w:r>
              <w:rPr>
                <w:rStyle w:val="AERtextsize8"/>
              </w:rPr>
              <w:t>The equity beta should be 0.8 because a change from our previous estimate is not warranted</w:t>
            </w:r>
            <w:r w:rsidRPr="002F6FA6">
              <w:rPr>
                <w:rStyle w:val="FootnoteReference"/>
              </w:rPr>
              <w:footnoteReference w:id="291"/>
            </w:r>
          </w:p>
        </w:tc>
        <w:tc>
          <w:tcPr>
            <w:tcW w:w="5183" w:type="dxa"/>
          </w:tcPr>
          <w:p w:rsidR="002F6FA6" w:rsidRPr="002F6FA6" w:rsidRDefault="002F6FA6" w:rsidP="002F6FA6">
            <w:pPr>
              <w:rPr>
                <w:rStyle w:val="AERtextsize8"/>
              </w:rPr>
            </w:pPr>
            <w:r>
              <w:rPr>
                <w:rStyle w:val="AERtextsize8"/>
              </w:rPr>
              <w:t xml:space="preserve">We do have regard to our previous beta estimates </w:t>
            </w:r>
            <w:r w:rsidRPr="002F6FA6">
              <w:rPr>
                <w:rStyle w:val="AERtextsize8"/>
              </w:rPr>
              <w:t>in the context of the stated preferences of investors and stakeholders for transparency and predictability. However, we also consider evidence from updated empirical estimates, conceptual analysis, and the theory of the Black CAPM and find that, on balance, the evidence supports an equity beta of 0.7.</w:t>
            </w:r>
            <w:r w:rsidRPr="002F6FA6">
              <w:t xml:space="preserve"> </w:t>
            </w:r>
          </w:p>
        </w:tc>
      </w:tr>
    </w:tbl>
    <w:p w:rsidR="002F6FA6" w:rsidRDefault="002F6FA6" w:rsidP="002F6FA6">
      <w:pPr>
        <w:pStyle w:val="AERtablesource"/>
      </w:pPr>
      <w:r>
        <w:t>Source:</w:t>
      </w:r>
      <w:r>
        <w:tab/>
        <w:t>AER analysis; numerous stakeholder submissions.</w:t>
      </w:r>
    </w:p>
    <w:p w:rsidR="002F6FA6" w:rsidRPr="0032489B" w:rsidRDefault="002F6FA6" w:rsidP="002F6FA6">
      <w:pPr>
        <w:pStyle w:val="HeadingBoldBlue"/>
        <w:numPr>
          <w:ilvl w:val="0"/>
          <w:numId w:val="25"/>
        </w:numPr>
        <w:rPr>
          <w:rStyle w:val="AERtextorange"/>
        </w:rPr>
      </w:pPr>
      <w:bookmarkStart w:id="74" w:name="_Ref446347167"/>
      <w:r>
        <w:rPr>
          <w:rStyle w:val="AERtextorange"/>
        </w:rPr>
        <w:t>The overall return on equity</w:t>
      </w:r>
      <w:bookmarkEnd w:id="74"/>
    </w:p>
    <w:p w:rsidR="002F6FA6" w:rsidRDefault="002F6FA6" w:rsidP="002F6FA6">
      <w:r>
        <w:t xml:space="preserve">To inform the reasonableness of the foundation model </w:t>
      </w:r>
      <w:r w:rsidRPr="00010BCE">
        <w:t>retur</w:t>
      </w:r>
      <w:r>
        <w:t>n</w:t>
      </w:r>
      <w:r w:rsidRPr="00010BCE">
        <w:t xml:space="preserve"> on equity estimate, we estimate and evaluate values from other relevant sources of information (steps four and five of the foundation model approach).</w:t>
      </w:r>
      <w:r w:rsidRPr="00010BCE">
        <w:rPr>
          <w:rStyle w:val="FootnoteReference"/>
        </w:rPr>
        <w:footnoteReference w:id="292"/>
      </w:r>
      <w:r w:rsidRPr="00AD1905">
        <w:t xml:space="preserve"> </w:t>
      </w:r>
      <w:r>
        <w:t>In having regard to prevailing market conditions we have also examined recent movements in the relevant material.</w:t>
      </w:r>
      <w:r w:rsidRPr="00F97967">
        <w:t xml:space="preserve"> </w:t>
      </w:r>
    </w:p>
    <w:p w:rsidR="002F6FA6" w:rsidRPr="00010BCE" w:rsidRDefault="002F6FA6" w:rsidP="002F6FA6">
      <w:r w:rsidRPr="00F97967">
        <w:t xml:space="preserve">Our task is to set the allowed rate of return to be commensurate with a similar degree of risk as that which applies to </w:t>
      </w:r>
      <w:r>
        <w:t xml:space="preserve">AusNet Services with respect to the provision of </w:t>
      </w:r>
      <w:r w:rsidR="0042654C">
        <w:t>prescribed transmission</w:t>
      </w:r>
      <w:r>
        <w:t xml:space="preserve"> services</w:t>
      </w:r>
      <w:r w:rsidRPr="00F97967">
        <w:t>.</w:t>
      </w:r>
      <w:r w:rsidRPr="00010BCE">
        <w:rPr>
          <w:rStyle w:val="FootnoteReference"/>
        </w:rPr>
        <w:footnoteReference w:id="293"/>
      </w:r>
      <w:r w:rsidRPr="00010BCE">
        <w:t xml:space="preserve"> </w:t>
      </w:r>
      <w:r>
        <w:t>This requires us to consider the additional riskiness of AusNet Services</w:t>
      </w:r>
      <w:r>
        <w:rPr>
          <w:rStyle w:val="FootnoteReference"/>
        </w:rPr>
        <w:footnoteReference w:id="294"/>
      </w:r>
      <w:r>
        <w:t xml:space="preserve"> relative to the risk free asset, and the commensurate return that equity investors require to take on this additional risk. </w:t>
      </w:r>
      <w:r w:rsidRPr="00010BCE">
        <w:t xml:space="preserve">Hence, the critical allowance is the allowed equity risk premium over and above the estimated risk free rate at a given time. </w:t>
      </w:r>
      <w:r>
        <w:fldChar w:fldCharType="begin"/>
      </w:r>
      <w:r>
        <w:instrText xml:space="preserve"> REF _Ref445923478 \h </w:instrText>
      </w:r>
      <w:r>
        <w:fldChar w:fldCharType="separate"/>
      </w:r>
      <w:r w:rsidR="003F1AAB" w:rsidRPr="00866A7A">
        <w:t xml:space="preserve">Figure </w:t>
      </w:r>
      <w:r w:rsidR="003F1AAB">
        <w:rPr>
          <w:noProof/>
        </w:rPr>
        <w:t>3</w:t>
      </w:r>
      <w:r w:rsidR="003F1AAB">
        <w:noBreakHyphen/>
      </w:r>
      <w:r w:rsidR="003F1AAB">
        <w:rPr>
          <w:noProof/>
        </w:rPr>
        <w:t>5</w:t>
      </w:r>
      <w:r>
        <w:fldChar w:fldCharType="end"/>
      </w:r>
      <w:r>
        <w:t xml:space="preserve"> compares our foundation model equity risk premium to other relevant material</w:t>
      </w:r>
      <w:r>
        <w:rPr>
          <w:rStyle w:val="FootnoteReference"/>
        </w:rPr>
        <w:footnoteReference w:id="295"/>
      </w:r>
      <w:r>
        <w:t xml:space="preserve"> that can inform our estimate of return on equity and equity risk premium. </w:t>
      </w:r>
    </w:p>
    <w:p w:rsidR="002F6FA6" w:rsidRPr="00010BCE" w:rsidRDefault="002F6FA6" w:rsidP="002F6FA6">
      <w:r>
        <w:t xml:space="preserve">We consider that, on the whole, </w:t>
      </w:r>
      <w:r w:rsidRPr="00010BCE">
        <w:t xml:space="preserve">the other </w:t>
      </w:r>
      <w:r>
        <w:t>material</w:t>
      </w:r>
      <w:r>
        <w:rPr>
          <w:rStyle w:val="FootnoteReference"/>
        </w:rPr>
        <w:footnoteReference w:id="296"/>
      </w:r>
      <w:r w:rsidRPr="00010BCE">
        <w:t xml:space="preserve"> broadly supports our foundation model estimate of the return on equity</w:t>
      </w:r>
      <w:r>
        <w:t>.</w:t>
      </w:r>
      <w:r w:rsidRPr="00F97967">
        <w:t xml:space="preserve"> Overall, </w:t>
      </w:r>
      <w:r>
        <w:t xml:space="preserve">we find that this </w:t>
      </w:r>
      <w:r w:rsidRPr="00F97967">
        <w:t xml:space="preserve">information does not indicate a </w:t>
      </w:r>
      <w:r>
        <w:t xml:space="preserve">material, </w:t>
      </w:r>
      <w:r w:rsidRPr="00F97967">
        <w:t>sustained change in market conditions</w:t>
      </w:r>
      <w:r>
        <w:t xml:space="preserve"> since our </w:t>
      </w:r>
      <w:r w:rsidR="00D109CC">
        <w:t xml:space="preserve">October and November 2015 </w:t>
      </w:r>
      <w:r>
        <w:t>decision</w:t>
      </w:r>
      <w:r w:rsidR="00D109CC">
        <w:t>s</w:t>
      </w:r>
      <w:r>
        <w:t xml:space="preserve"> </w:t>
      </w:r>
      <w:r w:rsidRPr="00F97967">
        <w:t>sufficient to cause us to move away from our foundation model estimate.</w:t>
      </w:r>
      <w:r>
        <w:t xml:space="preserve"> </w:t>
      </w:r>
      <w:r w:rsidRPr="00F97967">
        <w:t xml:space="preserve"> </w:t>
      </w:r>
    </w:p>
    <w:p w:rsidR="002F6FA6" w:rsidRDefault="002F6FA6" w:rsidP="002F6FA6">
      <w:pPr>
        <w:pStyle w:val="Caption"/>
      </w:pPr>
      <w:bookmarkStart w:id="75" w:name="_Ref445923478"/>
      <w:r w:rsidRPr="00866A7A">
        <w:t xml:space="preserve">Figure </w:t>
      </w:r>
      <w:fldSimple w:instr=" STYLEREF 1 \s ">
        <w:r w:rsidR="003F1AAB">
          <w:rPr>
            <w:noProof/>
          </w:rPr>
          <w:t>3</w:t>
        </w:r>
      </w:fldSimple>
      <w:r w:rsidR="00E4520A">
        <w:noBreakHyphen/>
      </w:r>
      <w:fldSimple w:instr=" SEQ Figure \* ARABIC \s 1 ">
        <w:r w:rsidR="003F1AAB">
          <w:rPr>
            <w:noProof/>
          </w:rPr>
          <w:t>5</w:t>
        </w:r>
      </w:fldSimple>
      <w:bookmarkEnd w:id="75"/>
      <w:r w:rsidRPr="00866A7A">
        <w:tab/>
      </w:r>
      <w:r>
        <w:t>Comparison of our foundation model equity risk premium</w:t>
      </w:r>
    </w:p>
    <w:p w:rsidR="00D46494" w:rsidRPr="00D46494" w:rsidRDefault="00D46494" w:rsidP="003B7E97">
      <w:r>
        <w:rPr>
          <w:noProof/>
          <w:lang w:eastAsia="en-AU"/>
        </w:rPr>
        <w:drawing>
          <wp:inline distT="0" distB="0" distL="0" distR="0" wp14:anchorId="21637AE5" wp14:editId="006E78FD">
            <wp:extent cx="5219371" cy="5568287"/>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0467" cy="5569456"/>
                    </a:xfrm>
                    <a:prstGeom prst="rect">
                      <a:avLst/>
                    </a:prstGeom>
                    <a:noFill/>
                  </pic:spPr>
                </pic:pic>
              </a:graphicData>
            </a:graphic>
          </wp:inline>
        </w:drawing>
      </w:r>
    </w:p>
    <w:p w:rsidR="00651C15" w:rsidRPr="00033144" w:rsidRDefault="00651C15" w:rsidP="00651C15"/>
    <w:p w:rsidR="00651C15" w:rsidRPr="00033144" w:rsidRDefault="00651C15" w:rsidP="00651C15">
      <w:pPr>
        <w:pStyle w:val="AERtablesource"/>
      </w:pPr>
      <w:r w:rsidRPr="00033144">
        <w:t>Source:</w:t>
      </w:r>
      <w:r w:rsidRPr="00033144">
        <w:tab/>
        <w:t>AER analysis and various submissions and reports.</w:t>
      </w:r>
    </w:p>
    <w:p w:rsidR="00651C15" w:rsidRPr="00033144" w:rsidRDefault="00651C15" w:rsidP="00651C15">
      <w:pPr>
        <w:pStyle w:val="AERtablesource"/>
      </w:pPr>
      <w:r w:rsidRPr="00033144">
        <w:t xml:space="preserve">Notes: </w:t>
      </w:r>
      <w:r w:rsidRPr="00033144">
        <w:tab/>
        <w:t xml:space="preserve">The AER foundation model equity risk premium (ERP) range uses the range and point estimate for market risk premium and equity beta. The calculation of the Wright approach is set out in section </w:t>
      </w:r>
      <w:r w:rsidRPr="00033144">
        <w:fldChar w:fldCharType="begin"/>
      </w:r>
      <w:r w:rsidRPr="00033144">
        <w:instrText xml:space="preserve"> REF _Ref449053064 \r \h </w:instrText>
      </w:r>
      <w:r w:rsidRPr="00033144">
        <w:fldChar w:fldCharType="separate"/>
      </w:r>
      <w:r w:rsidR="003F1AAB">
        <w:t>C.2</w:t>
      </w:r>
      <w:r w:rsidRPr="00033144">
        <w:fldChar w:fldCharType="end"/>
      </w:r>
      <w:r w:rsidRPr="00033144">
        <w:t>.  The calculation of brokers and other regulators ranges is outlined in Appendix F. The calculation of debt risk premium is in Appendix E.3.</w:t>
      </w:r>
    </w:p>
    <w:p w:rsidR="00651C15" w:rsidRPr="00033144" w:rsidRDefault="00651C15" w:rsidP="00651C15">
      <w:pPr>
        <w:pStyle w:val="AERtablesource"/>
      </w:pPr>
      <w:r w:rsidRPr="00033144">
        <w:tab/>
        <w:t xml:space="preserve">Grant Samuel's final WACC range included </w:t>
      </w:r>
      <w:proofErr w:type="gramStart"/>
      <w:r w:rsidRPr="00033144">
        <w:t>an uplift</w:t>
      </w:r>
      <w:proofErr w:type="gramEnd"/>
      <w:r w:rsidRPr="00033144">
        <w:t xml:space="preserve"> above an initial SLCAPM range. Grant Samuel made no explicit allowance for the impact of Australia's dividend imputation system. The upper bound of the range shown above includes the uplift and an adjustment for dividend imputation, while the lower bound does not. The upper shaded portion of the range includes the entirety of the uplift on return on equity and a full dividend imputation adjustment.</w:t>
      </w:r>
      <w:r w:rsidRPr="00033144">
        <w:rPr>
          <w:rStyle w:val="FootnoteReference"/>
        </w:rPr>
        <w:footnoteReference w:id="297"/>
      </w:r>
      <w:r w:rsidRPr="00033144">
        <w:t xml:space="preserve"> </w:t>
      </w:r>
    </w:p>
    <w:p w:rsidR="00651C15" w:rsidRPr="00033144" w:rsidRDefault="00651C15" w:rsidP="00651C15">
      <w:pPr>
        <w:pStyle w:val="AERtablesource"/>
      </w:pPr>
      <w:r w:rsidRPr="00033144">
        <w:tab/>
        <w:t>The shaded portion of the other regulators range represents the impact of rail, transport and retail gas decisions on the range. We consider these industries are unlikely to be comparable to the benchmark efficient entity.</w:t>
      </w:r>
    </w:p>
    <w:p w:rsidR="00651C15" w:rsidRPr="00033144" w:rsidRDefault="00651C15" w:rsidP="00651C15">
      <w:pPr>
        <w:pStyle w:val="AERtablesource"/>
      </w:pPr>
      <w:r w:rsidRPr="00033144">
        <w:tab/>
        <w:t>The service provider proposals range is based on the proposals from businesses</w:t>
      </w:r>
      <w:r w:rsidR="00D009F3" w:rsidRPr="00033144">
        <w:rPr>
          <w:rStyle w:val="FootnoteReference"/>
        </w:rPr>
        <w:footnoteReference w:id="298"/>
      </w:r>
      <w:r w:rsidRPr="00033144">
        <w:t xml:space="preserve"> for which we </w:t>
      </w:r>
      <w:r w:rsidR="001F5D3F">
        <w:t>made</w:t>
      </w:r>
      <w:r w:rsidRPr="00033144">
        <w:t xml:space="preserve"> decisions in May 2016</w:t>
      </w:r>
      <w:r w:rsidR="00D009F3">
        <w:t xml:space="preserve"> and AusNet Services (Transmission)</w:t>
      </w:r>
      <w:r w:rsidRPr="00033144">
        <w:t xml:space="preserve">. The lower bound of the CCP/stakeholder range is based on the VECUA submission, </w:t>
      </w:r>
      <w:r w:rsidRPr="00033144">
        <w:rPr>
          <w:rStyle w:val="FootnoteReference"/>
        </w:rPr>
        <w:footnoteReference w:id="299"/>
      </w:r>
      <w:r w:rsidRPr="00033144">
        <w:t xml:space="preserve"> the upper bound is based on Origin Energy’s submission.</w:t>
      </w:r>
      <w:r w:rsidRPr="00033144">
        <w:rPr>
          <w:rStyle w:val="FootnoteReference"/>
        </w:rPr>
        <w:footnoteReference w:id="300"/>
      </w:r>
    </w:p>
    <w:p w:rsidR="00E21951" w:rsidRPr="00033144" w:rsidRDefault="00E21951" w:rsidP="00E21951">
      <w:r w:rsidRPr="00033144">
        <w:t>Our implementation of the foundation model approach results in a return on equity of 7.</w:t>
      </w:r>
      <w:r>
        <w:t>1</w:t>
      </w:r>
      <w:r w:rsidRPr="00033144">
        <w:t xml:space="preserve"> per cent and an equity risk premium of 4.55 per cent. This is consistent with equity risk premium ranges from broker reports, valuation reports, other regulators' decisions, and the Wright approach as shown in </w:t>
      </w:r>
      <w:r w:rsidRPr="00033144">
        <w:fldChar w:fldCharType="begin"/>
      </w:r>
      <w:r w:rsidRPr="00033144">
        <w:instrText xml:space="preserve"> REF _Ref445923478 \h </w:instrText>
      </w:r>
      <w:r w:rsidRPr="00033144">
        <w:fldChar w:fldCharType="separate"/>
      </w:r>
      <w:r w:rsidR="003F1AAB" w:rsidRPr="00866A7A">
        <w:t xml:space="preserve">Figure </w:t>
      </w:r>
      <w:r w:rsidR="003F1AAB">
        <w:rPr>
          <w:noProof/>
        </w:rPr>
        <w:t>3</w:t>
      </w:r>
      <w:r w:rsidR="003F1AAB">
        <w:noBreakHyphen/>
      </w:r>
      <w:r w:rsidR="003F1AAB">
        <w:rPr>
          <w:noProof/>
        </w:rPr>
        <w:t>5</w:t>
      </w:r>
      <w:r w:rsidRPr="00033144">
        <w:fldChar w:fldCharType="end"/>
      </w:r>
      <w:r w:rsidRPr="00033144">
        <w:t>.</w:t>
      </w:r>
      <w:r w:rsidRPr="00033144">
        <w:rPr>
          <w:rStyle w:val="FootnoteReference"/>
        </w:rPr>
        <w:footnoteReference w:id="301"/>
      </w:r>
      <w:r w:rsidRPr="00033144">
        <w:t xml:space="preserve">  The range of equity risk premium estimates from valuation reports and other regulators' decisions have not materially changed since our </w:t>
      </w:r>
      <w:r w:rsidR="00D109CC">
        <w:t>October and November 2015</w:t>
      </w:r>
      <w:r w:rsidR="00D109CC" w:rsidRPr="00033144">
        <w:t xml:space="preserve"> </w:t>
      </w:r>
      <w:r w:rsidRPr="00033144">
        <w:t>decision</w:t>
      </w:r>
      <w:r w:rsidR="00D109CC">
        <w:t>s</w:t>
      </w:r>
      <w:r w:rsidR="007D5546">
        <w:t xml:space="preserve"> and May 2016 decisions</w:t>
      </w:r>
      <w:r w:rsidRPr="00033144">
        <w:t xml:space="preserve">. The estimated equity risk premium range from the Wright approach has increased since </w:t>
      </w:r>
      <w:r w:rsidR="00D109CC">
        <w:t xml:space="preserve">we made </w:t>
      </w:r>
      <w:r w:rsidR="007D5546">
        <w:t>the October and November 2015</w:t>
      </w:r>
      <w:r w:rsidR="00D109CC" w:rsidRPr="00033144">
        <w:t xml:space="preserve"> </w:t>
      </w:r>
      <w:r w:rsidRPr="00033144">
        <w:t>decision</w:t>
      </w:r>
      <w:r w:rsidR="00D109CC">
        <w:t>s</w:t>
      </w:r>
      <w:r w:rsidRPr="00033144">
        <w:t xml:space="preserve"> as the risk free rate has fallen. As set out in section </w:t>
      </w:r>
      <w:r w:rsidRPr="00033144">
        <w:fldChar w:fldCharType="begin"/>
      </w:r>
      <w:r w:rsidRPr="00033144">
        <w:instrText xml:space="preserve"> REF _Ref449018117 \r \h </w:instrText>
      </w:r>
      <w:r w:rsidRPr="00033144">
        <w:fldChar w:fldCharType="separate"/>
      </w:r>
      <w:r w:rsidR="003F1AAB">
        <w:t>B.5</w:t>
      </w:r>
      <w:r w:rsidRPr="00033144">
        <w:fldChar w:fldCharType="end"/>
      </w:r>
      <w:r w:rsidRPr="00033144">
        <w:t>, we do not agree with the underlying premise of the Wright CAPM that there is a clear inverse relationship between movements in the risk free rate and market risk premium. Consequently we place limited reliance on the Wright approach.</w:t>
      </w:r>
    </w:p>
    <w:p w:rsidR="002F6FA6" w:rsidRDefault="002F6FA6" w:rsidP="002F6FA6">
      <w:r w:rsidRPr="00B005DF">
        <w:t xml:space="preserve">The return on debt material </w:t>
      </w:r>
      <w:r>
        <w:t xml:space="preserve">shown in </w:t>
      </w:r>
      <w:r>
        <w:fldChar w:fldCharType="begin"/>
      </w:r>
      <w:r>
        <w:instrText xml:space="preserve"> REF _Ref445923478 \h </w:instrText>
      </w:r>
      <w:r>
        <w:fldChar w:fldCharType="separate"/>
      </w:r>
      <w:r w:rsidR="003F1AAB" w:rsidRPr="00866A7A">
        <w:t xml:space="preserve">Figure </w:t>
      </w:r>
      <w:r w:rsidR="003F1AAB">
        <w:rPr>
          <w:noProof/>
        </w:rPr>
        <w:t>3</w:t>
      </w:r>
      <w:r w:rsidR="003F1AAB">
        <w:noBreakHyphen/>
      </w:r>
      <w:r w:rsidR="003F1AAB">
        <w:rPr>
          <w:noProof/>
        </w:rPr>
        <w:t>5</w:t>
      </w:r>
      <w:r>
        <w:fldChar w:fldCharType="end"/>
      </w:r>
      <w:r>
        <w:t xml:space="preserve"> </w:t>
      </w:r>
      <w:r w:rsidRPr="00B005DF">
        <w:t>does not support any change to our foundation model return on equity estimate.</w:t>
      </w:r>
      <w:r>
        <w:t xml:space="preserve"> </w:t>
      </w:r>
      <w:r w:rsidRPr="00E5005D">
        <w:t xml:space="preserve">Our foundation model return on equity estimate is about </w:t>
      </w:r>
      <w:r>
        <w:t>1</w:t>
      </w:r>
      <w:r w:rsidR="003B7E97">
        <w:t>63</w:t>
      </w:r>
      <w:r w:rsidRPr="00E5005D">
        <w:t xml:space="preserve"> </w:t>
      </w:r>
      <w:r>
        <w:t>basis points</w:t>
      </w:r>
      <w:r>
        <w:rPr>
          <w:rStyle w:val="FootnoteReference"/>
        </w:rPr>
        <w:footnoteReference w:id="302"/>
      </w:r>
      <w:r w:rsidRPr="00B005DF">
        <w:t xml:space="preserve"> above the prevailing return on debt. The return on debt is a relative indicator and we expect that</w:t>
      </w:r>
      <w:r>
        <w:t>,</w:t>
      </w:r>
      <w:r w:rsidRPr="00B005DF">
        <w:t xml:space="preserve"> most of the time</w:t>
      </w:r>
      <w:r>
        <w:t>,</w:t>
      </w:r>
      <w:r>
        <w:rPr>
          <w:rStyle w:val="FootnoteReference"/>
        </w:rPr>
        <w:footnoteReference w:id="303"/>
      </w:r>
      <w:r w:rsidRPr="00B005DF">
        <w:t xml:space="preserve"> investors' expected return on equity will exceed the expected return on debt. For our benchmark efficient entity with a similar degree of risk as </w:t>
      </w:r>
      <w:r>
        <w:t>AusNet Services</w:t>
      </w:r>
      <w:r w:rsidRPr="00B005DF">
        <w:t>, we would not expect the return on equity to be a large margin above the prevailing return on debt</w:t>
      </w:r>
      <w:r>
        <w:t xml:space="preserve">. </w:t>
      </w:r>
      <w:r>
        <w:rPr>
          <w:rStyle w:val="FootnoteReference"/>
        </w:rPr>
        <w:footnoteReference w:id="304"/>
      </w:r>
      <w:r>
        <w:t xml:space="preserve"> </w:t>
      </w:r>
    </w:p>
    <w:p w:rsidR="002F6FA6" w:rsidRDefault="002F6FA6" w:rsidP="002F6FA6">
      <w:r>
        <w:t xml:space="preserve">While the spread between equity and debt premiums has narrowed since the October and November 2015 decisions, it remains above the estimate at the publication of the </w:t>
      </w:r>
      <w:r w:rsidR="00E4520A">
        <w:t xml:space="preserve">Guideline in December 2013 (see </w:t>
      </w:r>
      <w:r w:rsidR="00E4520A">
        <w:fldChar w:fldCharType="begin"/>
      </w:r>
      <w:r w:rsidR="00E4520A">
        <w:instrText xml:space="preserve"> REF _Ref456700933 \h </w:instrText>
      </w:r>
      <w:r w:rsidR="00E4520A">
        <w:fldChar w:fldCharType="separate"/>
      </w:r>
      <w:r w:rsidR="003F1AAB">
        <w:t xml:space="preserve">Figure </w:t>
      </w:r>
      <w:r w:rsidR="003F1AAB">
        <w:rPr>
          <w:noProof/>
        </w:rPr>
        <w:t>3</w:t>
      </w:r>
      <w:r w:rsidR="003F1AAB">
        <w:noBreakHyphen/>
      </w:r>
      <w:r w:rsidR="003F1AAB">
        <w:rPr>
          <w:noProof/>
        </w:rPr>
        <w:t>11</w:t>
      </w:r>
      <w:r w:rsidR="00E4520A">
        <w:fldChar w:fldCharType="end"/>
      </w:r>
      <w:r w:rsidR="00E4520A">
        <w:t xml:space="preserve"> in</w:t>
      </w:r>
      <w:r>
        <w:t xml:space="preserve"> section </w:t>
      </w:r>
      <w:r>
        <w:fldChar w:fldCharType="begin"/>
      </w:r>
      <w:r>
        <w:instrText xml:space="preserve"> REF _Ref449052987 \r \h </w:instrText>
      </w:r>
      <w:r>
        <w:fldChar w:fldCharType="separate"/>
      </w:r>
      <w:r w:rsidR="003F1AAB">
        <w:t>E.3</w:t>
      </w:r>
      <w:r>
        <w:fldChar w:fldCharType="end"/>
      </w:r>
      <w:r>
        <w:t>). Contrary to the service providers' assertions, we consider the current difference is not too low, given</w:t>
      </w:r>
      <w:r w:rsidRPr="00B005DF">
        <w:t xml:space="preserve"> the low risk profile of </w:t>
      </w:r>
      <w:r>
        <w:t>a</w:t>
      </w:r>
      <w:r w:rsidRPr="00B005DF">
        <w:t xml:space="preserve"> benchmark efficient entity</w:t>
      </w:r>
      <w:r>
        <w:t xml:space="preserve"> with a similar degree of risk as </w:t>
      </w:r>
      <w:r w:rsidRPr="000F3DDE">
        <w:t>AusNet Services</w:t>
      </w:r>
      <w:r>
        <w:t xml:space="preserve"> in providing regulated services.</w:t>
      </w:r>
      <w:r w:rsidRPr="00B005DF">
        <w:rPr>
          <w:rStyle w:val="FootnoteReference"/>
        </w:rPr>
        <w:footnoteReference w:id="305"/>
      </w:r>
      <w:r>
        <w:t xml:space="preserve"> Further, measured debt yields likely understate the expected yield spread due to default risk</w:t>
      </w:r>
      <w:r w:rsidRPr="00B005DF">
        <w:t>.</w:t>
      </w:r>
      <w:r>
        <w:rPr>
          <w:rStyle w:val="FootnoteReference"/>
        </w:rPr>
        <w:footnoteReference w:id="306"/>
      </w:r>
      <w:r w:rsidRPr="00B75657">
        <w:rPr>
          <w:rStyle w:val="CommentReference"/>
        </w:rPr>
        <w:t xml:space="preserve"> </w:t>
      </w:r>
    </w:p>
    <w:p w:rsidR="002F6FA6" w:rsidRDefault="002F6FA6" w:rsidP="002F6FA6">
      <w:r>
        <w:t>The regulatory regime to date has been utilising the Sharpe-Lintner CAPM to set the return on equity and has been supportive of investment. There is no evidence to suggest that the service providers we regulate have not been able to raise capital on reasonable terms to undertake extensive investment programs.</w:t>
      </w:r>
      <w:r>
        <w:rPr>
          <w:rStyle w:val="FootnoteReference"/>
        </w:rPr>
        <w:footnoteReference w:id="307"/>
      </w:r>
      <w:r>
        <w:t xml:space="preserve"> This suggests the allowances set in the past using the Sharpe-Lintner CAPM </w:t>
      </w:r>
      <w:proofErr w:type="gramStart"/>
      <w:r>
        <w:t>were</w:t>
      </w:r>
      <w:proofErr w:type="gramEnd"/>
      <w:r>
        <w:t xml:space="preserve"> at least adequate to recover efficient costs.</w:t>
      </w:r>
      <w:r>
        <w:rPr>
          <w:rStyle w:val="FootnoteReference"/>
        </w:rPr>
        <w:footnoteReference w:id="308"/>
      </w:r>
      <w:r>
        <w:t xml:space="preserve"> We also note that broker reports suggest that our recent determinations have not removed the ability for listed networks to maintain payment of dividends.</w:t>
      </w:r>
      <w:r>
        <w:rPr>
          <w:rStyle w:val="FootnoteReference"/>
        </w:rPr>
        <w:footnoteReference w:id="309"/>
      </w:r>
      <w:r>
        <w:t xml:space="preserve"> This provides confidence that our estimate for this decision, while taking account of the downward trends of equity beta and risk free rate, is likely to provide </w:t>
      </w:r>
      <w:r w:rsidRPr="000F3DDE">
        <w:t>AusNet Services</w:t>
      </w:r>
      <w:r>
        <w:t xml:space="preserve"> a reasonable opportunity to recover at least the efficient costs of providing regulated services.</w:t>
      </w:r>
    </w:p>
    <w:p w:rsidR="002F6FA6" w:rsidRDefault="002F6FA6" w:rsidP="002F6FA6">
      <w:r>
        <w:t xml:space="preserve">In addition to the equity risk premium ranges shown in </w:t>
      </w:r>
      <w:r>
        <w:fldChar w:fldCharType="begin"/>
      </w:r>
      <w:r>
        <w:instrText xml:space="preserve"> REF _Ref445923478 \h </w:instrText>
      </w:r>
      <w:r>
        <w:fldChar w:fldCharType="separate"/>
      </w:r>
      <w:r w:rsidR="003F1AAB" w:rsidRPr="00866A7A">
        <w:t xml:space="preserve">Figure </w:t>
      </w:r>
      <w:r w:rsidR="003F1AAB">
        <w:rPr>
          <w:noProof/>
        </w:rPr>
        <w:t>3</w:t>
      </w:r>
      <w:r w:rsidR="003F1AAB">
        <w:noBreakHyphen/>
      </w:r>
      <w:r w:rsidR="003F1AAB">
        <w:rPr>
          <w:noProof/>
        </w:rPr>
        <w:t>5</w:t>
      </w:r>
      <w:r>
        <w:fldChar w:fldCharType="end"/>
      </w:r>
      <w:r w:rsidRPr="00E6597E">
        <w:t xml:space="preserve">, </w:t>
      </w:r>
      <w:r>
        <w:t>we have analysed movements in</w:t>
      </w:r>
      <w:r w:rsidRPr="00E6597E">
        <w:t xml:space="preserve"> </w:t>
      </w:r>
      <w:r>
        <w:t>various conditioning variables (yield</w:t>
      </w:r>
      <w:r w:rsidRPr="00E6597E">
        <w:t xml:space="preserve"> spreads, dividend yields, and the volatility index for the ASX200</w:t>
      </w:r>
      <w:r>
        <w:t>)</w:t>
      </w:r>
      <w:r w:rsidRPr="00E6597E">
        <w:t>.</w:t>
      </w:r>
      <w:r w:rsidRPr="00E6597E">
        <w:rPr>
          <w:rStyle w:val="FootnoteReference"/>
        </w:rPr>
        <w:footnoteReference w:id="310"/>
      </w:r>
      <w:r w:rsidRPr="00E6597E">
        <w:t xml:space="preserve"> </w:t>
      </w:r>
      <w:r>
        <w:t>These conditioning variables can provide information about prevailing market conditions and whether or not the market is in a period of heightened risk aversion. O</w:t>
      </w:r>
      <w:r w:rsidRPr="0012524E">
        <w:t>verall, the conditioning variables appear fairly stable and close to their long term averages</w:t>
      </w:r>
      <w:r w:rsidRPr="00E6597E">
        <w:t>.</w:t>
      </w:r>
      <w:r>
        <w:t xml:space="preserve"> </w:t>
      </w:r>
    </w:p>
    <w:p w:rsidR="002F6FA6" w:rsidRDefault="002F6FA6" w:rsidP="002F6FA6">
      <w:r>
        <w:t>There was broad agreement from consumer groups on the application of our foundation model approach as set out in our Guideline.</w:t>
      </w:r>
      <w:r>
        <w:rPr>
          <w:rStyle w:val="FootnoteReference"/>
        </w:rPr>
        <w:footnoteReference w:id="311"/>
      </w:r>
      <w:r>
        <w:t xml:space="preserve"> We consider that this means applying the Guideline in its entirety including the overall approach, parameter estimation and use of other information</w:t>
      </w:r>
      <w:r>
        <w:rPr>
          <w:rStyle w:val="FootnoteReference"/>
        </w:rPr>
        <w:footnoteReference w:id="312"/>
      </w:r>
      <w:r>
        <w:t xml:space="preserve"> as relevant cross-checks.  </w:t>
      </w:r>
    </w:p>
    <w:p w:rsidR="002F6FA6" w:rsidRDefault="002F6FA6" w:rsidP="002F6FA6">
      <w:r>
        <w:t xml:space="preserve">In total, </w:t>
      </w:r>
      <w:r w:rsidR="00A86F59">
        <w:t xml:space="preserve">eight </w:t>
      </w:r>
      <w:r>
        <w:t>consumer groups</w:t>
      </w:r>
      <w:r w:rsidRPr="007A701A">
        <w:rPr>
          <w:rStyle w:val="FootnoteReference"/>
        </w:rPr>
        <w:footnoteReference w:id="313"/>
      </w:r>
      <w:r>
        <w:t xml:space="preserve"> supported our approach and some groups noted that they valued the predictability and transparency resulting from the application of our Guideline and foundation model approach.</w:t>
      </w:r>
      <w:r>
        <w:rPr>
          <w:rStyle w:val="FootnoteReference"/>
        </w:rPr>
        <w:footnoteReference w:id="314"/>
      </w:r>
      <w:r>
        <w:t xml:space="preserve"> We note that applying the foundation model approach, as in the Guideline, results in an equity risk premium of 4.55 per cent. </w:t>
      </w:r>
    </w:p>
    <w:p w:rsidR="002F6FA6" w:rsidRPr="00B75657" w:rsidRDefault="002F6FA6" w:rsidP="002F6FA6">
      <w:r>
        <w:t>While supporting our Guideline, some consumer groups have submitted that it reflects conservative choices</w:t>
      </w:r>
      <w:r>
        <w:rPr>
          <w:rStyle w:val="FootnoteReference"/>
        </w:rPr>
        <w:footnoteReference w:id="315"/>
      </w:r>
      <w:r>
        <w:t xml:space="preserve"> that may result in over-estimating the return on equity and that parameter estimates (and rate of return) can be lowered further.</w:t>
      </w:r>
      <w:r>
        <w:rPr>
          <w:rStyle w:val="FootnoteReference"/>
        </w:rPr>
        <w:footnoteReference w:id="316"/>
      </w:r>
      <w:r>
        <w:t xml:space="preserve"> Submissions also noted that we need to give more weight to market data and realised returns such as financial performance and asset sales when considering the overall return on equity.</w:t>
      </w:r>
      <w:r>
        <w:rPr>
          <w:rStyle w:val="FootnoteReference"/>
        </w:rPr>
        <w:footnoteReference w:id="317"/>
      </w:r>
      <w:r w:rsidRPr="00937164">
        <w:rPr>
          <w:rStyle w:val="CommentReference"/>
        </w:rPr>
        <w:t xml:space="preserve"> </w:t>
      </w:r>
    </w:p>
    <w:p w:rsidR="002F6FA6" w:rsidRDefault="002F6FA6" w:rsidP="002F6FA6">
      <w:r>
        <w:t xml:space="preserve">We note </w:t>
      </w:r>
      <w:r w:rsidRPr="00010BCE">
        <w:t xml:space="preserve">the </w:t>
      </w:r>
      <w:r>
        <w:t>service providers</w:t>
      </w:r>
      <w:r w:rsidRPr="00010BCE">
        <w:t xml:space="preserve"> </w:t>
      </w:r>
      <w:r>
        <w:t>submitted</w:t>
      </w:r>
      <w:r w:rsidRPr="00010BCE">
        <w:t xml:space="preserve"> that we did not have appropriate </w:t>
      </w:r>
      <w:r>
        <w:t xml:space="preserve">regard </w:t>
      </w:r>
      <w:r w:rsidRPr="00010BCE">
        <w:t xml:space="preserve">to information from other relevant sources. </w:t>
      </w:r>
      <w:r>
        <w:t>Some stakeholders submitted that we should also have regard to realised returns when considering our overall return on equity estimate. A summary of these</w:t>
      </w:r>
      <w:r w:rsidRPr="00010BCE">
        <w:t xml:space="preserve"> submissions and our response</w:t>
      </w:r>
      <w:r>
        <w:t>s</w:t>
      </w:r>
      <w:r w:rsidRPr="00010BCE">
        <w:t xml:space="preserve"> are provided in </w:t>
      </w:r>
      <w:r>
        <w:fldChar w:fldCharType="begin"/>
      </w:r>
      <w:r>
        <w:instrText xml:space="preserve"> REF _Ref445927856 \h </w:instrText>
      </w:r>
      <w:r>
        <w:fldChar w:fldCharType="separate"/>
      </w:r>
      <w:r w:rsidR="003F1AAB">
        <w:t xml:space="preserve">Table </w:t>
      </w:r>
      <w:r w:rsidR="003F1AAB">
        <w:rPr>
          <w:noProof/>
        </w:rPr>
        <w:t>3</w:t>
      </w:r>
      <w:r w:rsidR="003F1AAB">
        <w:noBreakHyphen/>
      </w:r>
      <w:r w:rsidR="003F1AAB">
        <w:rPr>
          <w:noProof/>
        </w:rPr>
        <w:t>7</w:t>
      </w:r>
      <w:r>
        <w:fldChar w:fldCharType="end"/>
      </w:r>
      <w:r>
        <w:t xml:space="preserve"> </w:t>
      </w:r>
      <w:r w:rsidRPr="00010BCE">
        <w:t>below</w:t>
      </w:r>
      <w:r>
        <w:t>.</w:t>
      </w:r>
      <w:r w:rsidRPr="00010BCE">
        <w:t xml:space="preserve"> </w:t>
      </w:r>
      <w:r w:rsidRPr="00B005DF">
        <w:t xml:space="preserve">Having considered the overall information and </w:t>
      </w:r>
      <w:r>
        <w:t xml:space="preserve">all </w:t>
      </w:r>
      <w:r w:rsidRPr="00B005DF">
        <w:t xml:space="preserve">material before us, at this time we are not satisfied that this information indicates a departure from the </w:t>
      </w:r>
      <w:r>
        <w:t>G</w:t>
      </w:r>
      <w:r w:rsidRPr="00B005DF">
        <w:t xml:space="preserve">uideline would </w:t>
      </w:r>
      <w:r>
        <w:t>contribute to the achievement of</w:t>
      </w:r>
      <w:r w:rsidRPr="00B005DF">
        <w:t xml:space="preserve"> the </w:t>
      </w:r>
      <w:r>
        <w:t>ARORO</w:t>
      </w:r>
      <w:r w:rsidRPr="00B005DF">
        <w:t xml:space="preserve">. </w:t>
      </w:r>
    </w:p>
    <w:p w:rsidR="002F6FA6" w:rsidRPr="005F7128" w:rsidRDefault="002F6FA6" w:rsidP="002F6FA6">
      <w:pPr>
        <w:pStyle w:val="Caption"/>
        <w:numPr>
          <w:ilvl w:val="0"/>
          <w:numId w:val="25"/>
        </w:numPr>
      </w:pPr>
      <w:bookmarkStart w:id="76" w:name="_Ref445927856"/>
      <w:r>
        <w:t xml:space="preserve">Table </w:t>
      </w:r>
      <w:r w:rsidRPr="009D786E">
        <w:fldChar w:fldCharType="begin"/>
      </w:r>
      <w:r>
        <w:instrText xml:space="preserve"> STYLEREF 1 \s </w:instrText>
      </w:r>
      <w:r w:rsidRPr="009D786E">
        <w:fldChar w:fldCharType="separate"/>
      </w:r>
      <w:r w:rsidR="003F1AAB">
        <w:rPr>
          <w:noProof/>
        </w:rPr>
        <w:t>3</w:t>
      </w:r>
      <w:r w:rsidRPr="009D786E">
        <w:fldChar w:fldCharType="end"/>
      </w:r>
      <w:r>
        <w:noBreakHyphen/>
      </w:r>
      <w:r w:rsidRPr="009D786E">
        <w:fldChar w:fldCharType="begin"/>
      </w:r>
      <w:r>
        <w:instrText xml:space="preserve"> SEQ Table \* ARABIC \s 1 </w:instrText>
      </w:r>
      <w:r w:rsidRPr="009D786E">
        <w:fldChar w:fldCharType="separate"/>
      </w:r>
      <w:r w:rsidR="003F1AAB">
        <w:rPr>
          <w:noProof/>
        </w:rPr>
        <w:t>7</w:t>
      </w:r>
      <w:r w:rsidRPr="009D786E">
        <w:fldChar w:fldCharType="end"/>
      </w:r>
      <w:bookmarkEnd w:id="76"/>
      <w:r>
        <w:tab/>
        <w:t>Issues about overall return on equity cross-checks</w:t>
      </w:r>
    </w:p>
    <w:tbl>
      <w:tblPr>
        <w:tblStyle w:val="AERtable-text0"/>
        <w:tblW w:w="0" w:type="auto"/>
        <w:tblLook w:val="04A0" w:firstRow="1" w:lastRow="0" w:firstColumn="1" w:lastColumn="0" w:noHBand="0" w:noVBand="1"/>
      </w:tblPr>
      <w:tblGrid>
        <w:gridCol w:w="2235"/>
        <w:gridCol w:w="6458"/>
      </w:tblGrid>
      <w:tr w:rsidR="002F6FA6" w:rsidTr="007D4F36">
        <w:trPr>
          <w:cnfStyle w:val="100000000000" w:firstRow="1" w:lastRow="0" w:firstColumn="0" w:lastColumn="0" w:oddVBand="0" w:evenVBand="0" w:oddHBand="0" w:evenHBand="0" w:firstRowFirstColumn="0" w:firstRowLastColumn="0" w:lastRowFirstColumn="0" w:lastRowLastColumn="0"/>
        </w:trPr>
        <w:tc>
          <w:tcPr>
            <w:tcW w:w="2235" w:type="dxa"/>
          </w:tcPr>
          <w:p w:rsidR="002F6FA6" w:rsidRPr="002F6FA6" w:rsidRDefault="002F6FA6" w:rsidP="002F6FA6">
            <w:r>
              <w:t>Issue</w:t>
            </w:r>
          </w:p>
        </w:tc>
        <w:tc>
          <w:tcPr>
            <w:tcW w:w="6458" w:type="dxa"/>
          </w:tcPr>
          <w:p w:rsidR="002F6FA6" w:rsidRPr="002F6FA6" w:rsidRDefault="002F6FA6" w:rsidP="002F6FA6">
            <w:r>
              <w:t>O</w:t>
            </w:r>
            <w:r w:rsidRPr="002F6FA6">
              <w:t>ur response</w:t>
            </w:r>
          </w:p>
        </w:tc>
      </w:tr>
      <w:tr w:rsidR="002F6FA6" w:rsidTr="007D4F36">
        <w:trPr>
          <w:trHeight w:val="1132"/>
        </w:trPr>
        <w:tc>
          <w:tcPr>
            <w:tcW w:w="2235" w:type="dxa"/>
          </w:tcPr>
          <w:p w:rsidR="002F6FA6" w:rsidRPr="002F6FA6" w:rsidRDefault="002F6FA6" w:rsidP="002F6FA6">
            <w:r>
              <w:t>No reliable inferences can be drawn from the comparison of equity</w:t>
            </w:r>
            <w:r w:rsidRPr="002F6FA6">
              <w:t xml:space="preserve"> and debt risk premia.</w:t>
            </w:r>
            <w:r w:rsidRPr="002F6FA6">
              <w:rPr>
                <w:rStyle w:val="FootnoteReference"/>
              </w:rPr>
              <w:footnoteReference w:id="318"/>
            </w:r>
          </w:p>
          <w:p w:rsidR="002F6FA6" w:rsidRDefault="002F6FA6" w:rsidP="002F6FA6"/>
        </w:tc>
        <w:tc>
          <w:tcPr>
            <w:tcW w:w="6458" w:type="dxa"/>
          </w:tcPr>
          <w:p w:rsidR="002F6FA6" w:rsidRPr="002F6FA6" w:rsidRDefault="002F6FA6" w:rsidP="002F6FA6">
            <w:r>
              <w:t xml:space="preserve">We </w:t>
            </w:r>
            <w:r w:rsidRPr="002F6FA6">
              <w:t>note that it is difficult to derive definitive conclusions about the level of equity premiums from information on debt premiums as there is inconclusive evidence on the size and strength of any relationship between the two premia.</w:t>
            </w:r>
            <w:r w:rsidRPr="002F6FA6">
              <w:rPr>
                <w:rStyle w:val="FootnoteReference"/>
              </w:rPr>
              <w:footnoteReference w:id="319"/>
            </w:r>
            <w:r w:rsidRPr="002F6FA6">
              <w:t xml:space="preserve"> This is why we give this material a directional role.</w:t>
            </w:r>
            <w:r w:rsidRPr="002F6FA6">
              <w:rPr>
                <w:rStyle w:val="FootnoteReference"/>
              </w:rPr>
              <w:footnoteReference w:id="320"/>
            </w:r>
          </w:p>
          <w:p w:rsidR="002F6FA6" w:rsidRPr="002F6FA6" w:rsidRDefault="002F6FA6" w:rsidP="0042654C">
            <w:r>
              <w:t>A</w:t>
            </w:r>
            <w:r w:rsidRPr="002F6FA6">
              <w:t xml:space="preserve"> comparison of the risk premia can indicate if the estimated return on equity is too low (high) relative to the (prevailing) return on debt. Equity investors are residual claimants on a firm’s assets in the event of default. It is typically expected, therefore, that equity investments are riskier than debt investments, and that the return on equity should exceed the return on debt.</w:t>
            </w:r>
            <w:r w:rsidRPr="002F6FA6">
              <w:rPr>
                <w:rStyle w:val="FootnoteReference"/>
              </w:rPr>
              <w:footnoteReference w:id="321"/>
            </w:r>
            <w:r w:rsidRPr="002F6FA6">
              <w:t xml:space="preserve"> However, we do not expect the equity risk premium for </w:t>
            </w:r>
            <w:r w:rsidRPr="002F6FA6">
              <w:rPr>
                <w:rStyle w:val="AERtextsize8"/>
              </w:rPr>
              <w:t xml:space="preserve">a benchmark efficient entity with a similar degree of risk as </w:t>
            </w:r>
            <w:r w:rsidRPr="002F6FA6">
              <w:t>AusNet Services</w:t>
            </w:r>
            <w:r w:rsidRPr="002F6FA6">
              <w:rPr>
                <w:rStyle w:val="AERtextsize8"/>
              </w:rPr>
              <w:t xml:space="preserve"> in providing regulated services</w:t>
            </w:r>
            <w:r w:rsidRPr="002F6FA6">
              <w:t xml:space="preserve"> to be significantly higher than the debt risk premium. This is because we consider that there is limited systematic risk associated with AusNet Services' </w:t>
            </w:r>
            <w:r w:rsidR="0042654C">
              <w:t>regulated (prescribed transmission)</w:t>
            </w:r>
            <w:r w:rsidRPr="002F6FA6">
              <w:t xml:space="preserve"> services.</w:t>
            </w:r>
            <w:r w:rsidRPr="002F6FA6">
              <w:rPr>
                <w:rStyle w:val="FootnoteReference"/>
              </w:rPr>
              <w:footnoteReference w:id="322"/>
            </w:r>
            <w:r w:rsidRPr="002F6FA6">
              <w:t xml:space="preserve"> </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2235" w:type="dxa"/>
          </w:tcPr>
          <w:p w:rsidR="002F6FA6" w:rsidRPr="002F6FA6" w:rsidRDefault="002F6FA6" w:rsidP="002F6FA6">
            <w:r>
              <w:t xml:space="preserve">Frontier </w:t>
            </w:r>
            <w:r w:rsidRPr="002F6FA6">
              <w:t>noted that the comparison between the equity and debt risk premia indicates that they both move inversely to the risk free rate.</w:t>
            </w:r>
            <w:r w:rsidRPr="002F6FA6">
              <w:rPr>
                <w:rStyle w:val="FootnoteReference"/>
              </w:rPr>
              <w:footnoteReference w:id="323"/>
            </w:r>
          </w:p>
        </w:tc>
        <w:tc>
          <w:tcPr>
            <w:tcW w:w="6458" w:type="dxa"/>
          </w:tcPr>
          <w:p w:rsidR="002F6FA6" w:rsidRPr="002F6FA6" w:rsidRDefault="002F6FA6" w:rsidP="002F6FA6">
            <w:r w:rsidRPr="006B51BD">
              <w:t xml:space="preserve">We </w:t>
            </w:r>
            <w:r w:rsidRPr="002F6FA6">
              <w:t>do not consider that the current available evidence supports the view that there is any clear relationship between the risk free rate and risk premia. Frontier submitted evidence of movements in the risk free rate and debt risk premia from only two points in time: November 2014 and October 2015. We do not consider a sample of two data points is sufficiently reliable evidence to alter the results of the comprehensive review of the available evidence by McKenzie &amp; Partington.</w:t>
            </w:r>
            <w:r w:rsidRPr="002F6FA6">
              <w:rPr>
                <w:rStyle w:val="FootnoteReference"/>
              </w:rPr>
              <w:footnoteReference w:id="324"/>
            </w:r>
          </w:p>
        </w:tc>
      </w:tr>
      <w:tr w:rsidR="002F6FA6" w:rsidTr="007D4F36">
        <w:tc>
          <w:tcPr>
            <w:tcW w:w="2235" w:type="dxa"/>
          </w:tcPr>
          <w:p w:rsidR="002F6FA6" w:rsidRPr="002F6FA6" w:rsidRDefault="002F6FA6" w:rsidP="002F6FA6">
            <w:r>
              <w:t>Our us</w:t>
            </w:r>
            <w:r w:rsidRPr="002F6FA6">
              <w:t>e of a range of beta estimates from 0.4 to 0.7, instead of our point estimate of 0.7, in the Wright CAPM prevents any real regard being had to the Wright CAPM.</w:t>
            </w:r>
            <w:r w:rsidRPr="002F6FA6">
              <w:rPr>
                <w:rStyle w:val="FootnoteReference"/>
              </w:rPr>
              <w:footnoteReference w:id="325"/>
            </w:r>
          </w:p>
        </w:tc>
        <w:tc>
          <w:tcPr>
            <w:tcW w:w="6458" w:type="dxa"/>
          </w:tcPr>
          <w:p w:rsidR="002F6FA6" w:rsidRPr="002F6FA6" w:rsidRDefault="002F6FA6" w:rsidP="002F6FA6">
            <w:r>
              <w:t>We selected a point estimate of 0.7 from the range of 0.4 to 0.7 partly on considerations of the theoretical underpinnings of the Black CAPM, which is unrelated to the estimation of the Wright specification of the CAPM. To consider evidence from the Wright CAPM independently from our foundation model, we consider it is important to use the equity beta range of 0.4 to 0.7. To do otherwise would reduce the efficacy of using the Wright approach as a check against the foundation model.</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2235" w:type="dxa"/>
          </w:tcPr>
          <w:p w:rsidR="002F6FA6" w:rsidRPr="002F6FA6" w:rsidRDefault="002F6FA6" w:rsidP="002F6FA6">
            <w:r>
              <w:t xml:space="preserve">We use a range under the Wright approach, whereas Frontier Economics </w:t>
            </w:r>
            <w:r w:rsidRPr="002F6FA6">
              <w:t>estimates the return on the market under the Wright approach as a point estimate using the longest time period available.</w:t>
            </w:r>
            <w:r w:rsidRPr="002F6FA6">
              <w:rPr>
                <w:rStyle w:val="FootnoteReference"/>
              </w:rPr>
              <w:footnoteReference w:id="326"/>
            </w:r>
          </w:p>
        </w:tc>
        <w:tc>
          <w:tcPr>
            <w:tcW w:w="6458" w:type="dxa"/>
          </w:tcPr>
          <w:p w:rsidR="002F6FA6" w:rsidRPr="002F6FA6" w:rsidRDefault="002F6FA6" w:rsidP="002F6FA6">
            <w:r w:rsidRPr="00B005DF">
              <w:t>W</w:t>
            </w:r>
            <w:r w:rsidRPr="002F6FA6">
              <w:t xml:space="preserve">hen estimating the Wright approach we estimate a range based on the different averaging periods in </w:t>
            </w:r>
            <w:r w:rsidRPr="002F6FA6">
              <w:fldChar w:fldCharType="begin"/>
            </w:r>
            <w:r w:rsidRPr="002F6FA6">
              <w:instrText xml:space="preserve"> REF _Ref417570520 \h </w:instrText>
            </w:r>
            <w:r w:rsidRPr="002F6FA6">
              <w:fldChar w:fldCharType="separate"/>
            </w:r>
            <w:r w:rsidR="003F1AAB">
              <w:t xml:space="preserve">Table </w:t>
            </w:r>
            <w:r w:rsidR="003F1AAB">
              <w:rPr>
                <w:noProof/>
              </w:rPr>
              <w:t>3</w:t>
            </w:r>
            <w:r w:rsidR="003F1AAB">
              <w:noBreakHyphen/>
            </w:r>
            <w:r w:rsidR="003F1AAB">
              <w:rPr>
                <w:noProof/>
              </w:rPr>
              <w:t>23</w:t>
            </w:r>
            <w:r w:rsidRPr="002F6FA6">
              <w:fldChar w:fldCharType="end"/>
            </w:r>
            <w:r w:rsidRPr="002F6FA6">
              <w:t>. This recognises</w:t>
            </w:r>
            <w:r w:rsidRPr="002F6FA6">
              <w:rPr>
                <w:rStyle w:val="AERbody"/>
              </w:rPr>
              <w:t xml:space="preserve"> </w:t>
            </w:r>
            <w:r w:rsidRPr="002F6FA6">
              <w:t>the estimated return on the market will vary depending on the time period used.</w:t>
            </w:r>
            <w:r w:rsidRPr="002F6FA6">
              <w:rPr>
                <w:rStyle w:val="FootnoteReference"/>
              </w:rPr>
              <w:footnoteReference w:id="327"/>
            </w:r>
            <w:r w:rsidRPr="002F6FA6">
              <w:t xml:space="preserve"> This also recognises that each of these periods has merits and limitations (see section C.1.2 in Attachment 3 </w:t>
            </w:r>
            <w:r w:rsidR="00D109CC">
              <w:t>to our preliminary decision for</w:t>
            </w:r>
            <w:r w:rsidRPr="002F6FA6">
              <w:t xml:space="preserve"> AusNet Services</w:t>
            </w:r>
            <w:r w:rsidR="00D109CC">
              <w:t>' 2016-20 distribution determination</w:t>
            </w:r>
            <w:r w:rsidRPr="002F6FA6">
              <w:t>). This is consistent with the Guideline.</w:t>
            </w:r>
            <w:r w:rsidRPr="002F6FA6">
              <w:rPr>
                <w:rStyle w:val="FootnoteReference"/>
              </w:rPr>
              <w:footnoteReference w:id="328"/>
            </w:r>
            <w:r w:rsidRPr="002F6FA6">
              <w:t xml:space="preserve"> We do not consider that AusNet Services</w:t>
            </w:r>
            <w:r w:rsidRPr="002F6FA6" w:rsidDel="000F3DDE">
              <w:t xml:space="preserve"> </w:t>
            </w:r>
            <w:r w:rsidRPr="002F6FA6">
              <w:t>has explained why it departed from the Guideline by adopting a point estimate.</w:t>
            </w:r>
          </w:p>
        </w:tc>
      </w:tr>
      <w:tr w:rsidR="002F6FA6" w:rsidTr="007D4F36">
        <w:tc>
          <w:tcPr>
            <w:tcW w:w="2235" w:type="dxa"/>
          </w:tcPr>
          <w:p w:rsidR="002F6FA6" w:rsidRPr="002F6FA6" w:rsidRDefault="002F6FA6" w:rsidP="002F6FA6">
            <w:r>
              <w:t xml:space="preserve">Uplifts </w:t>
            </w:r>
            <w:r w:rsidRPr="002F6FA6">
              <w:t>to market risk premium and risk free rate estimates from broker and valuation reports should be taken into account.</w:t>
            </w:r>
            <w:r w:rsidRPr="002F6FA6">
              <w:rPr>
                <w:rStyle w:val="FootnoteReference"/>
              </w:rPr>
              <w:t xml:space="preserve"> </w:t>
            </w:r>
            <w:r w:rsidRPr="002F6FA6">
              <w:rPr>
                <w:rStyle w:val="FootnoteReference"/>
              </w:rPr>
              <w:footnoteReference w:id="329"/>
            </w:r>
          </w:p>
        </w:tc>
        <w:tc>
          <w:tcPr>
            <w:tcW w:w="6458" w:type="dxa"/>
          </w:tcPr>
          <w:p w:rsidR="002F6FA6" w:rsidRPr="002F6FA6" w:rsidRDefault="002F6FA6" w:rsidP="002F6FA6">
            <w:r>
              <w:t>Uplifts applied by brokers and valuers</w:t>
            </w:r>
            <w:r w:rsidRPr="002F6FA6">
              <w:t xml:space="preserve"> to initial estimates may be inconsistent with the ARORO. They may reflect non-systematic risks, or be designed to account for risks not addressed in cash flow forecasts, or (to the extent there is any) the expectation of outperformance of regulatory allowances. They may also reflect the term structure of the proxies used to estimate the risk free rate and/or market risk premium, the relevant investment period exceeding the term of the proxies, and the one-off nature of transactions on which they are advising (which differs from our regulatory task where the rate of return is re-assessed for each regulatory control period).</w:t>
            </w:r>
          </w:p>
          <w:p w:rsidR="002F6FA6" w:rsidRPr="002F6FA6" w:rsidRDefault="002F6FA6" w:rsidP="002F6FA6">
            <w:r>
              <w:t xml:space="preserve">As a result, we prefer to </w:t>
            </w:r>
            <w:r w:rsidRPr="002F6FA6">
              <w:t>have greater regard to estimates exclusive of these uplifts. For more detail, see sections E.3, E.4 and E.6 in Attachment 3 to our preliminary decision for AusNet Services</w:t>
            </w:r>
            <w:r w:rsidR="00D109CC">
              <w:t>' 2016-20 distribution determination</w:t>
            </w:r>
            <w:r w:rsidRPr="002F6FA6">
              <w:t>.</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2235" w:type="dxa"/>
          </w:tcPr>
          <w:p w:rsidR="002F6FA6" w:rsidRPr="002F6FA6" w:rsidRDefault="002F6FA6" w:rsidP="002F6FA6">
            <w:r>
              <w:t>Houston Kemp submitted that our concern about uplifts in valuation reports reflecting term structure adjustments is not supported by the evidence.</w:t>
            </w:r>
            <w:r w:rsidRPr="002F6FA6">
              <w:rPr>
                <w:rStyle w:val="FootnoteReference"/>
              </w:rPr>
              <w:footnoteReference w:id="330"/>
            </w:r>
          </w:p>
        </w:tc>
        <w:tc>
          <w:tcPr>
            <w:tcW w:w="6458" w:type="dxa"/>
          </w:tcPr>
          <w:p w:rsidR="002F6FA6" w:rsidRPr="002F6FA6" w:rsidRDefault="002F6FA6" w:rsidP="002F6FA6">
            <w:r>
              <w:t>HoustonKemp has not provided compelling evidence that valuers do not adjust risk free rate estimates to account for term structu</w:t>
            </w:r>
            <w:r w:rsidRPr="002F6FA6">
              <w:t>re. HoustonKemp lists 25 valuation reports that contain a risk free rate estimate that differs from the yield on Australian government securities by at least 100 basis points. HoustonKemp submits that these reports provide no evidence that valuers are considering the term structure of the risk free rate. However, these reports do not provide evidence that valuers are not considering the term structure. Most reports provide little justification for the risk free rate estimate. This is one reason why we have limited reliance on evidence from valuation reports.</w:t>
            </w:r>
            <w:r w:rsidRPr="002F6FA6">
              <w:rPr>
                <w:rStyle w:val="FootnoteReference"/>
              </w:rPr>
              <w:footnoteReference w:id="331"/>
            </w:r>
          </w:p>
          <w:p w:rsidR="002F6FA6" w:rsidRPr="002F6FA6" w:rsidDel="00507F98" w:rsidRDefault="002F6FA6" w:rsidP="002F6FA6">
            <w:r>
              <w:t>HoustonKemp refers to a report by KPMG</w:t>
            </w:r>
            <w:r w:rsidRPr="002F6FA6">
              <w:t xml:space="preserve"> for Prima Biomed. HoustonKemp submits that current yields on Australian government securities do not indicate a step function for forward rates as assumed by KPMG and that KPMG's estimate of 5.5 per cent is above the forward rate. We do not consider this to be a concern. We examine estimates from valuation reports in order to survey the views of other market practitioners. To limit our consideration of only estimates that align with market data would be to make such a survey exercise redundant. HoustonKemp also notes that KPMG estimates cash flows from Prima Biomed to cease before KPMG's estimated step increase in the risk free rate. We acknowledge that more reliance might be placed on KPMG's long-term risk free rate estimate if it had a more material impact, but we do not consider that there is no value in considering KPMG's estimate.</w:t>
            </w:r>
          </w:p>
        </w:tc>
      </w:tr>
      <w:tr w:rsidR="002F6FA6" w:rsidTr="007D4F36">
        <w:tc>
          <w:tcPr>
            <w:tcW w:w="2235" w:type="dxa"/>
          </w:tcPr>
          <w:p w:rsidR="002F6FA6" w:rsidRPr="002F6FA6" w:rsidRDefault="002F6FA6" w:rsidP="002F6FA6">
            <w:r>
              <w:t>Service providers</w:t>
            </w:r>
            <w:r w:rsidRPr="002F6FA6">
              <w:t xml:space="preserve"> submitted that the relevant estimates from broker and valuation reports are the imputation-adjusted estimates.</w:t>
            </w:r>
            <w:r w:rsidRPr="002F6FA6">
              <w:rPr>
                <w:rStyle w:val="FootnoteReference"/>
              </w:rPr>
              <w:t xml:space="preserve"> </w:t>
            </w:r>
            <w:r w:rsidRPr="002F6FA6">
              <w:rPr>
                <w:rStyle w:val="FootnoteReference"/>
              </w:rPr>
              <w:footnoteReference w:id="332"/>
            </w:r>
          </w:p>
        </w:tc>
        <w:tc>
          <w:tcPr>
            <w:tcW w:w="6458" w:type="dxa"/>
          </w:tcPr>
          <w:p w:rsidR="002F6FA6" w:rsidRPr="002F6FA6" w:rsidRDefault="002F6FA6" w:rsidP="002F6FA6">
            <w:r>
              <w:t xml:space="preserve">It is not clear </w:t>
            </w:r>
            <w:r w:rsidRPr="002F6FA6">
              <w:t>that it is necessary to adjust broker and valuer estimates for imputation as it is unclear the extent to which these estimates may be based on third party estimates that already account for the value of imputation credits. There is insufficient information to support any precise adjustment for dividend imputation. The risk premium appropriately reflecting dividend imputation is likely somewhere between the adjusted and unadjusted premiums and we take into account both values. For more detail, see sections E.3, E.4 and E.6 in Attachment 3 to our preliminary decision for AusNet Services</w:t>
            </w:r>
            <w:r w:rsidR="00D109CC">
              <w:t>' 2016-20 distribution determination</w:t>
            </w:r>
            <w:r w:rsidRPr="002F6FA6">
              <w:t>.</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2235" w:type="dxa"/>
          </w:tcPr>
          <w:p w:rsidR="002F6FA6" w:rsidRPr="002F6FA6" w:rsidRDefault="002F6FA6" w:rsidP="002F6FA6">
            <w:r>
              <w:t>Service providers</w:t>
            </w:r>
            <w:r w:rsidRPr="002F6FA6">
              <w:t xml:space="preserve"> submitted that it is not appropriate to focus just on the equity risk premium from broker reports.</w:t>
            </w:r>
            <w:r w:rsidRPr="002F6FA6">
              <w:rPr>
                <w:rStyle w:val="FootnoteReference"/>
              </w:rPr>
              <w:t xml:space="preserve"> </w:t>
            </w:r>
            <w:r w:rsidRPr="002F6FA6">
              <w:rPr>
                <w:rStyle w:val="FootnoteReference"/>
              </w:rPr>
              <w:footnoteReference w:id="333"/>
            </w:r>
          </w:p>
        </w:tc>
        <w:tc>
          <w:tcPr>
            <w:tcW w:w="6458" w:type="dxa"/>
          </w:tcPr>
          <w:p w:rsidR="002F6FA6" w:rsidRPr="002F6FA6" w:rsidRDefault="002F6FA6" w:rsidP="002F6FA6">
            <w:r>
              <w:t xml:space="preserve">This submission indicates </w:t>
            </w:r>
            <w:r w:rsidRPr="002F6FA6">
              <w:t xml:space="preserve">a misunderstanding of our approach. We clearly have regard to both equity risk premium and overall return on equity estimates from broker reports. For more details see section </w:t>
            </w:r>
            <w:r w:rsidRPr="002F6FA6">
              <w:fldChar w:fldCharType="begin"/>
            </w:r>
            <w:r w:rsidRPr="002F6FA6">
              <w:instrText xml:space="preserve"> REF _Ref445898024 \r \h </w:instrText>
            </w:r>
            <w:r w:rsidRPr="002F6FA6">
              <w:fldChar w:fldCharType="separate"/>
            </w:r>
            <w:r w:rsidR="003F1AAB">
              <w:t>F.2</w:t>
            </w:r>
            <w:r w:rsidRPr="002F6FA6">
              <w:fldChar w:fldCharType="end"/>
            </w:r>
            <w:r w:rsidRPr="002F6FA6">
              <w:t xml:space="preserve"> of this attachment.</w:t>
            </w:r>
          </w:p>
        </w:tc>
      </w:tr>
      <w:tr w:rsidR="002F6FA6" w:rsidTr="007D4F36">
        <w:tc>
          <w:tcPr>
            <w:tcW w:w="2235" w:type="dxa"/>
          </w:tcPr>
          <w:p w:rsidR="002F6FA6" w:rsidRPr="002F6FA6" w:rsidRDefault="002F6FA6" w:rsidP="002F6FA6">
            <w:r>
              <w:t xml:space="preserve">Frontier Economics submitted that we erred in our representation of valuers' estimated market return shown in Figure 3-33 in our preliminary </w:t>
            </w:r>
            <w:r w:rsidRPr="002F6FA6">
              <w:t>decision.</w:t>
            </w:r>
            <w:r w:rsidRPr="002F6FA6">
              <w:rPr>
                <w:rStyle w:val="FootnoteReference"/>
              </w:rPr>
              <w:footnoteReference w:id="334"/>
            </w:r>
          </w:p>
        </w:tc>
        <w:tc>
          <w:tcPr>
            <w:tcW w:w="6458" w:type="dxa"/>
          </w:tcPr>
          <w:p w:rsidR="002F6FA6" w:rsidRPr="002F6FA6" w:rsidRDefault="002F6FA6" w:rsidP="002F6FA6">
            <w:r>
              <w:t xml:space="preserve">This </w:t>
            </w:r>
            <w:r w:rsidRPr="002F6FA6">
              <w:t xml:space="preserve">submission indicates a misunderstanding of our approach. Valuers' estimates of the market return </w:t>
            </w:r>
            <w:r w:rsidR="00D109CC">
              <w:t>(</w:t>
            </w:r>
            <w:r w:rsidRPr="002F6FA6">
              <w:t xml:space="preserve">shown in Figure 3-33 in Attachment 3 to our preliminary decision </w:t>
            </w:r>
            <w:r w:rsidR="0027072E">
              <w:t xml:space="preserve">on AusNet Services' 2016-20 distribution determination) </w:t>
            </w:r>
            <w:r w:rsidRPr="002F6FA6">
              <w:t>are calculated as the sum of the valuers' estimated risk free rate and market risk premium.</w:t>
            </w:r>
          </w:p>
        </w:tc>
      </w:tr>
      <w:tr w:rsidR="002F6FA6" w:rsidTr="007D4F36">
        <w:trPr>
          <w:cnfStyle w:val="000000010000" w:firstRow="0" w:lastRow="0" w:firstColumn="0" w:lastColumn="0" w:oddVBand="0" w:evenVBand="0" w:oddHBand="0" w:evenHBand="1" w:firstRowFirstColumn="0" w:firstRowLastColumn="0" w:lastRowFirstColumn="0" w:lastRowLastColumn="0"/>
        </w:trPr>
        <w:tc>
          <w:tcPr>
            <w:tcW w:w="2235" w:type="dxa"/>
          </w:tcPr>
          <w:p w:rsidR="002F6FA6" w:rsidRPr="002F6FA6" w:rsidRDefault="002F6FA6" w:rsidP="002F6FA6">
            <w:r>
              <w:t xml:space="preserve">The </w:t>
            </w:r>
            <w:r w:rsidRPr="002F6FA6">
              <w:t>EUCV, VECUA and CCP (panel 3) submitted that we should have regard to realised returns estimated from financial statements and asset sales.</w:t>
            </w:r>
            <w:r w:rsidRPr="002F6FA6">
              <w:rPr>
                <w:rStyle w:val="FootnoteReference"/>
              </w:rPr>
              <w:footnoteReference w:id="335"/>
            </w:r>
          </w:p>
        </w:tc>
        <w:tc>
          <w:tcPr>
            <w:tcW w:w="6458" w:type="dxa"/>
          </w:tcPr>
          <w:p w:rsidR="002F6FA6" w:rsidRPr="002F6FA6" w:rsidRDefault="002F6FA6" w:rsidP="002F6FA6">
            <w:r>
              <w:t>Caution must be exercised before drawing inferences about the regulatory rate of return from</w:t>
            </w:r>
            <w:r w:rsidRPr="002F6FA6">
              <w:t xml:space="preserve"> realised returns. Realised returns may differ from the allowed rate of return due to outperformance of other regulatory allowances, income from unregulated activities, expectations for real growth in the regulatory asset base, or expectations of changes to the regulatory regime or revaluation of the regulatory asset base. Due to these factors, it is unclear what type of relationship may exist between realised returns and the allowed return on equity. That is, it is not clear what alterations to an allowed return on equity would result in an equivalence of regulatory asset values and market values (even if the factors outlined above could be adequately addressed).</w:t>
            </w:r>
          </w:p>
          <w:p w:rsidR="002F6FA6" w:rsidRPr="002F6FA6" w:rsidRDefault="002F6FA6" w:rsidP="002F6FA6">
            <w:r>
              <w:t>F</w:t>
            </w:r>
            <w:r w:rsidRPr="002F6FA6">
              <w:t>or this reason, we do not use information from realised returns to estimate the return on equity. For more detail, see pages 102 to 105 of Attachment 3 to our preliminary decision for AusNet Services</w:t>
            </w:r>
            <w:r w:rsidR="0027072E">
              <w:t>' 2016-20 distribution determination</w:t>
            </w:r>
            <w:r w:rsidRPr="002F6FA6">
              <w:t>.</w:t>
            </w:r>
          </w:p>
        </w:tc>
      </w:tr>
    </w:tbl>
    <w:p w:rsidR="002F6FA6" w:rsidRPr="0032489B" w:rsidRDefault="002F6FA6" w:rsidP="002F6FA6">
      <w:pPr>
        <w:pStyle w:val="HeadingBoldBlue"/>
        <w:numPr>
          <w:ilvl w:val="0"/>
          <w:numId w:val="25"/>
        </w:numPr>
        <w:rPr>
          <w:rStyle w:val="AERtextorange"/>
        </w:rPr>
      </w:pPr>
      <w:bookmarkStart w:id="77" w:name="_Toc443923182"/>
      <w:r>
        <w:rPr>
          <w:rStyle w:val="AERtextorange"/>
        </w:rPr>
        <w:t>Movements in the risk free rate and the return on equity</w:t>
      </w:r>
      <w:bookmarkEnd w:id="77"/>
    </w:p>
    <w:p w:rsidR="002F6FA6" w:rsidRDefault="002F6FA6" w:rsidP="002F6FA6">
      <w:pPr>
        <w:numPr>
          <w:ilvl w:val="0"/>
          <w:numId w:val="25"/>
        </w:numPr>
      </w:pPr>
      <w:r>
        <w:t xml:space="preserve">Applying our foundation model approach, we estimate a return on equity of 7.5 per cent. </w:t>
      </w:r>
    </w:p>
    <w:p w:rsidR="002F6FA6" w:rsidRDefault="002F6FA6" w:rsidP="002F6FA6">
      <w:pPr>
        <w:rPr>
          <w:rStyle w:val="AERbody"/>
        </w:rPr>
      </w:pPr>
      <w:r w:rsidRPr="00972D4C">
        <w:rPr>
          <w:rStyle w:val="AERbody"/>
        </w:rPr>
        <w:t>We consider capital</w:t>
      </w:r>
      <w:r>
        <w:rPr>
          <w:rStyle w:val="AERbody"/>
        </w:rPr>
        <w:t>—</w:t>
      </w:r>
      <w:r w:rsidRPr="00972D4C">
        <w:rPr>
          <w:rStyle w:val="AERbody"/>
        </w:rPr>
        <w:t>equity and debt</w:t>
      </w:r>
      <w:r>
        <w:rPr>
          <w:rStyle w:val="AERbody"/>
        </w:rPr>
        <w:t>—should provide for</w:t>
      </w:r>
      <w:r w:rsidRPr="00972D4C">
        <w:rPr>
          <w:rStyle w:val="AERbody"/>
        </w:rPr>
        <w:t xml:space="preserve"> a risk premium over a base (risk free) rate</w:t>
      </w:r>
      <w:r>
        <w:rPr>
          <w:rStyle w:val="AERbody"/>
        </w:rPr>
        <w:t xml:space="preserve">. In estimating the allowed rate of return for </w:t>
      </w:r>
      <w:r w:rsidRPr="000F3DDE">
        <w:t>AusNet Services</w:t>
      </w:r>
      <w:r>
        <w:rPr>
          <w:rStyle w:val="AERbody"/>
        </w:rPr>
        <w:t xml:space="preserve">, we consider the additional riskiness of </w:t>
      </w:r>
      <w:r w:rsidRPr="000F3DDE">
        <w:t>AusNet Services</w:t>
      </w:r>
      <w:r>
        <w:rPr>
          <w:rStyle w:val="FootnoteReference"/>
        </w:rPr>
        <w:footnoteReference w:id="336"/>
      </w:r>
      <w:r>
        <w:rPr>
          <w:rStyle w:val="AERbody"/>
        </w:rPr>
        <w:t xml:space="preserve"> relative to the risk free asset, and the commensurate risk premium that investors require to take on this additional risk.</w:t>
      </w:r>
      <w:r>
        <w:rPr>
          <w:rStyle w:val="FootnoteReference"/>
        </w:rPr>
        <w:footnoteReference w:id="337"/>
      </w:r>
      <w:r w:rsidRPr="00972D4C">
        <w:rPr>
          <w:rStyle w:val="AERbody"/>
        </w:rPr>
        <w:t xml:space="preserve"> </w:t>
      </w:r>
    </w:p>
    <w:p w:rsidR="002F6FA6" w:rsidRDefault="002F6FA6" w:rsidP="002F6FA6">
      <w:pPr>
        <w:rPr>
          <w:rStyle w:val="AERbody"/>
        </w:rPr>
      </w:pPr>
      <w:r>
        <w:rPr>
          <w:rStyle w:val="AERbody"/>
        </w:rPr>
        <w:t>The service providers argue that there is an inverse relationship between the risk free rate and market risk premium. I</w:t>
      </w:r>
      <w:r w:rsidRPr="00972D4C">
        <w:rPr>
          <w:rStyle w:val="AERbody"/>
        </w:rPr>
        <w:t xml:space="preserve">t is unclear why this risk premium would increase or decrease to entirely offset changes in the base risk free rate. </w:t>
      </w:r>
      <w:r>
        <w:rPr>
          <w:rStyle w:val="AERbody"/>
        </w:rPr>
        <w:t xml:space="preserve">We have not been provided with compelling evidence that the riskiness of </w:t>
      </w:r>
      <w:r w:rsidRPr="000F3DDE">
        <w:t>AusNet Services</w:t>
      </w:r>
      <w:r>
        <w:rPr>
          <w:rStyle w:val="AERbody"/>
        </w:rPr>
        <w:t xml:space="preserve"> relative to the risk free asset has increased as the risk free rate has decreased. Service providers have not sufficiently explained why, in the absence of an increase in the relative riskiness of </w:t>
      </w:r>
      <w:r w:rsidRPr="000F3DDE">
        <w:t>AusNet Services</w:t>
      </w:r>
      <w:r>
        <w:rPr>
          <w:rStyle w:val="AERbody"/>
        </w:rPr>
        <w:t xml:space="preserve">, general risk aversion in equity investors would have risen as the risk free rate fell from November 2013, while over the same period it appeared to fall for debt investors. </w:t>
      </w:r>
      <w:r w:rsidRPr="00972D4C">
        <w:rPr>
          <w:rStyle w:val="AERbody"/>
        </w:rPr>
        <w:t xml:space="preserve">While required returns on equity are not directly observable, we have not been provided with compelling evidence for a clear inverse relationship between the long term forward looking risk free rate and the long term forward looking </w:t>
      </w:r>
      <w:r>
        <w:rPr>
          <w:rStyle w:val="AERbody"/>
        </w:rPr>
        <w:t>market risk premium</w:t>
      </w:r>
      <w:r w:rsidRPr="00972D4C">
        <w:rPr>
          <w:rStyle w:val="AERbody"/>
        </w:rPr>
        <w:t>.</w:t>
      </w:r>
      <w:r w:rsidRPr="00972D4C">
        <w:rPr>
          <w:rStyle w:val="FootnoteReference"/>
        </w:rPr>
        <w:footnoteReference w:id="338"/>
      </w:r>
    </w:p>
    <w:p w:rsidR="002F6FA6" w:rsidRDefault="002F6FA6" w:rsidP="002F6FA6">
      <w:pPr>
        <w:numPr>
          <w:ilvl w:val="0"/>
          <w:numId w:val="25"/>
        </w:numPr>
      </w:pPr>
      <w:r>
        <w:t>We consider that this is consistent with the required return on equity for prevailing market conditions for equity funds for the following reasons:</w:t>
      </w:r>
    </w:p>
    <w:p w:rsidR="002F6FA6" w:rsidRDefault="002F6FA6" w:rsidP="002F6FA6">
      <w:pPr>
        <w:pStyle w:val="AERbulletlistfirststyle"/>
      </w:pPr>
      <w:r>
        <w:t xml:space="preserve">We apply the foundation model approach and estimate a return on equity having regard to a range of relevant materials and their relative merits. </w:t>
      </w:r>
    </w:p>
    <w:p w:rsidR="002F6FA6" w:rsidRDefault="002F6FA6" w:rsidP="002F6FA6">
      <w:pPr>
        <w:pStyle w:val="AERbulletlistfirststyle"/>
      </w:pPr>
      <w:r>
        <w:t>We have regard to the prevailing market conditions for equity funds. We use the dividend growth model and conditioning variables to inform our estimate of the market risk premium. We use other relevant sources of information to cross-check the foundation model estimate. The triangulation of e</w:t>
      </w:r>
      <w:r w:rsidRPr="00DC461C">
        <w:t xml:space="preserve">stimates from </w:t>
      </w:r>
      <w:r>
        <w:t>relevant market participants broadly</w:t>
      </w:r>
      <w:r w:rsidRPr="00DC461C">
        <w:t xml:space="preserve"> support</w:t>
      </w:r>
      <w:r>
        <w:t>s</w:t>
      </w:r>
      <w:r w:rsidRPr="00DC461C">
        <w:t xml:space="preserve"> our foundation model estimate of the return on</w:t>
      </w:r>
      <w:r>
        <w:t xml:space="preserve"> equity.</w:t>
      </w:r>
    </w:p>
    <w:p w:rsidR="002F6FA6" w:rsidRDefault="002F6FA6" w:rsidP="002F6FA6">
      <w:pPr>
        <w:pStyle w:val="AERbulletlistfirststyle"/>
      </w:pPr>
      <w:r>
        <w:t xml:space="preserve">Our </w:t>
      </w:r>
      <w:r w:rsidRPr="007708DA">
        <w:rPr>
          <w:rStyle w:val="AERbody"/>
        </w:rPr>
        <w:t>comparison between the retu</w:t>
      </w:r>
      <w:r>
        <w:rPr>
          <w:rStyle w:val="AERbody"/>
        </w:rPr>
        <w:t xml:space="preserve">rn on equity and return on debt </w:t>
      </w:r>
      <w:r w:rsidRPr="007708DA">
        <w:rPr>
          <w:rStyle w:val="AERbody"/>
        </w:rPr>
        <w:t>support</w:t>
      </w:r>
      <w:r>
        <w:rPr>
          <w:rStyle w:val="AERbody"/>
        </w:rPr>
        <w:t>s</w:t>
      </w:r>
      <w:r w:rsidRPr="007708DA">
        <w:rPr>
          <w:rStyle w:val="AERbody"/>
        </w:rPr>
        <w:t xml:space="preserve"> the view that</w:t>
      </w:r>
      <w:r>
        <w:rPr>
          <w:rStyle w:val="AERbody"/>
        </w:rPr>
        <w:t xml:space="preserve"> </w:t>
      </w:r>
      <w:r w:rsidRPr="00777F0A">
        <w:t>our estimated return on equity is not belo</w:t>
      </w:r>
      <w:r w:rsidRPr="00B005DF">
        <w:t>w efficient financing costs</w:t>
      </w:r>
      <w:r w:rsidRPr="00B005DF">
        <w:rPr>
          <w:rStyle w:val="FootnoteReference"/>
        </w:rPr>
        <w:footnoteReference w:id="339"/>
      </w:r>
      <w:r>
        <w:t xml:space="preserve"> under </w:t>
      </w:r>
      <w:r w:rsidRPr="007708DA">
        <w:rPr>
          <w:rStyle w:val="AERbody"/>
        </w:rPr>
        <w:t>prevailing debt market conditions</w:t>
      </w:r>
      <w:r>
        <w:rPr>
          <w:rStyle w:val="AERbody"/>
        </w:rPr>
        <w:t>.</w:t>
      </w:r>
      <w:r w:rsidRPr="007708DA">
        <w:rPr>
          <w:rStyle w:val="AERbody"/>
        </w:rPr>
        <w:t xml:space="preserve"> </w:t>
      </w:r>
      <w:r>
        <w:t xml:space="preserve">We do not consider that the current </w:t>
      </w:r>
      <w:r w:rsidR="00A86F59">
        <w:t xml:space="preserve">169 </w:t>
      </w:r>
      <w:r>
        <w:t>basis points difference between the equity risk premium allowed in this decision and debt risk premiums</w:t>
      </w:r>
      <w:r>
        <w:rPr>
          <w:rStyle w:val="FootnoteReference"/>
        </w:rPr>
        <w:footnoteReference w:id="340"/>
      </w:r>
      <w:r>
        <w:t xml:space="preserve"> to be too low (see section </w:t>
      </w:r>
      <w:r>
        <w:fldChar w:fldCharType="begin"/>
      </w:r>
      <w:r>
        <w:instrText xml:space="preserve"> REF _Ref451685642 \r \h </w:instrText>
      </w:r>
      <w:r>
        <w:fldChar w:fldCharType="separate"/>
      </w:r>
      <w:r w:rsidR="003F1AAB">
        <w:t>E.3</w:t>
      </w:r>
      <w:r>
        <w:fldChar w:fldCharType="end"/>
      </w:r>
      <w:r>
        <w:t xml:space="preserve"> for more discussion).</w:t>
      </w:r>
    </w:p>
    <w:p w:rsidR="002F6FA6" w:rsidRDefault="002F6FA6" w:rsidP="002F6FA6">
      <w:pPr>
        <w:pStyle w:val="AERbulletlistfirststyle"/>
      </w:pPr>
      <w:r>
        <w:t>We do not find conclusive evidence of a relationship between the market risk premium and risk free rate in any direction or size. This is supported by our consideration in the Guideline, previous regulatory decisions and advice from Partington.</w:t>
      </w:r>
      <w:r w:rsidRPr="00AE0A3D">
        <w:rPr>
          <w:rStyle w:val="FootnoteReference"/>
        </w:rPr>
        <w:footnoteReference w:id="341"/>
      </w:r>
    </w:p>
    <w:p w:rsidR="002F6FA6" w:rsidRDefault="002F6FA6" w:rsidP="002F6FA6">
      <w:pPr>
        <w:pStyle w:val="AERbulletlistfirststyle"/>
      </w:pPr>
      <w:r w:rsidRPr="00E304C8">
        <w:t xml:space="preserve">We are not </w:t>
      </w:r>
      <w:r w:rsidRPr="00142CCD">
        <w:t>satisfied</w:t>
      </w:r>
      <w:r w:rsidRPr="00E304C8">
        <w:t xml:space="preserve"> that there is evidence of a widespread 'flight to quality'</w:t>
      </w:r>
      <w:r>
        <w:rPr>
          <w:rStyle w:val="FootnoteReference"/>
        </w:rPr>
        <w:footnoteReference w:id="342"/>
      </w:r>
      <w:r w:rsidRPr="00E304C8">
        <w:t xml:space="preserve"> among investors in current market conditions</w:t>
      </w:r>
      <w:r>
        <w:t xml:space="preserve"> that would impact the market risk premium</w:t>
      </w:r>
      <w:r w:rsidRPr="00E304C8">
        <w:t xml:space="preserve">. </w:t>
      </w:r>
      <w:r>
        <w:t>This can be seen in our consideration of conditioning variables and survey evidence. Further, Partington and the RBA has noted that investors can engage in a 'search for yield' during periods of low interest rate, which can lead to a decrease in the market risk premium expected by investors.</w:t>
      </w:r>
      <w:r w:rsidRPr="006477E1">
        <w:rPr>
          <w:rStyle w:val="FootnoteReference"/>
        </w:rPr>
        <w:footnoteReference w:id="343"/>
      </w:r>
      <w:r>
        <w:t xml:space="preserve"> </w:t>
      </w:r>
    </w:p>
    <w:p w:rsidR="002F6FA6" w:rsidRDefault="002F6FA6" w:rsidP="002F6FA6">
      <w:r>
        <w:t>Partington has advised, '[t]h</w:t>
      </w:r>
      <w:r w:rsidRPr="00AA3A39">
        <w:t xml:space="preserve">e low </w:t>
      </w:r>
      <w:r>
        <w:t xml:space="preserve">bond rates tell us that the required return for </w:t>
      </w:r>
      <w:r w:rsidRPr="00AA3A39">
        <w:t>low risk assets is low</w:t>
      </w:r>
      <w:r>
        <w:t>'.</w:t>
      </w:r>
      <w:r>
        <w:rPr>
          <w:rStyle w:val="FootnoteReference"/>
        </w:rPr>
        <w:footnoteReference w:id="344"/>
      </w:r>
      <w:r>
        <w:t xml:space="preserve"> Partington observed the market rose following the RBA cut to the cash rate on 3 February 2015. While he noted we should be cautious about making inferences</w:t>
      </w:r>
      <w:r w:rsidRPr="0070324B">
        <w:t xml:space="preserve"> based </w:t>
      </w:r>
      <w:r>
        <w:t>on</w:t>
      </w:r>
      <w:r w:rsidRPr="0070324B">
        <w:t xml:space="preserve"> singular instances</w:t>
      </w:r>
      <w:r>
        <w:t>, he observed this appeared in line with a fall in required returns. Specifically, he considered:</w:t>
      </w:r>
      <w:r w:rsidRPr="0070324B">
        <w:rPr>
          <w:rStyle w:val="FootnoteReference"/>
        </w:rPr>
        <w:footnoteReference w:id="345"/>
      </w:r>
      <w:r>
        <w:t xml:space="preserve"> </w:t>
      </w:r>
    </w:p>
    <w:p w:rsidR="002F6FA6" w:rsidRPr="00232B0E" w:rsidRDefault="002F6FA6" w:rsidP="002F6FA6">
      <w:pPr>
        <w:pStyle w:val="AERquote"/>
      </w:pPr>
      <w:r w:rsidRPr="00A05BAD">
        <w:t xml:space="preserve">Rationally the market went up either </w:t>
      </w:r>
      <w:r w:rsidRPr="00232B0E">
        <w:t>because investors expected significant growth in company cash flows, or because their required return went down as a consequence of a lower interest rate. Given that the discussion at the time was about a slowing economy and reduced growth, a fall in required returns seems the more plausible explanation.</w:t>
      </w:r>
    </w:p>
    <w:p w:rsidR="002F6FA6" w:rsidRDefault="002F6FA6" w:rsidP="002F6FA6">
      <w:r>
        <w:t>More recently, Partington and Satchell considered the submissions put forward by service providers and stated:</w:t>
      </w:r>
      <w:r>
        <w:rPr>
          <w:rStyle w:val="FootnoteReference"/>
        </w:rPr>
        <w:footnoteReference w:id="346"/>
      </w:r>
    </w:p>
    <w:p w:rsidR="002F6FA6" w:rsidRDefault="002F6FA6" w:rsidP="002F6FA6">
      <w:pPr>
        <w:pStyle w:val="AERquote"/>
      </w:pPr>
      <w:r w:rsidRPr="00EB57C1">
        <w:t>There is a possibility that current low interest rates could result in higher equity risk premiums, but we do not think this is likely and more importantly we have seen no convincing evidence that this is the case.</w:t>
      </w:r>
    </w:p>
    <w:p w:rsidR="002F6FA6" w:rsidRPr="00957550" w:rsidRDefault="002F6FA6" w:rsidP="002F6FA6">
      <w:r>
        <w:t xml:space="preserve">Service providers </w:t>
      </w:r>
      <w:r w:rsidRPr="00957550">
        <w:t xml:space="preserve">continue to submit  </w:t>
      </w:r>
      <w:r>
        <w:t xml:space="preserve">that </w:t>
      </w:r>
      <w:r w:rsidRPr="00957550">
        <w:t xml:space="preserve">our estimate of the return on equity </w:t>
      </w:r>
      <w:r>
        <w:t>is</w:t>
      </w:r>
      <w:r w:rsidRPr="00957550">
        <w:t xml:space="preserve"> too low </w:t>
      </w:r>
      <w:r>
        <w:t>as a result of</w:t>
      </w:r>
      <w:r w:rsidRPr="00957550">
        <w:t xml:space="preserve"> our </w:t>
      </w:r>
      <w:r>
        <w:t xml:space="preserve">application of the Sharpe-Lintner </w:t>
      </w:r>
      <w:r w:rsidRPr="00957550">
        <w:t xml:space="preserve">CAPM moving </w:t>
      </w:r>
      <w:r>
        <w:t xml:space="preserve">in </w:t>
      </w:r>
      <w:r w:rsidRPr="00957550">
        <w:t>'lock step' with the risk free rate</w:t>
      </w:r>
      <w:r>
        <w:t>, based on the following material</w:t>
      </w:r>
      <w:r w:rsidRPr="00957550">
        <w:t xml:space="preserve">: </w:t>
      </w:r>
    </w:p>
    <w:p w:rsidR="002F6FA6" w:rsidRDefault="002F6FA6" w:rsidP="002F6FA6">
      <w:pPr>
        <w:pStyle w:val="AERbulletlistfirststyle"/>
      </w:pPr>
      <w:r>
        <w:t>Dividend growth model estimates</w:t>
      </w:r>
    </w:p>
    <w:p w:rsidR="002F6FA6" w:rsidRDefault="002F6FA6" w:rsidP="002F6FA6">
      <w:pPr>
        <w:pStyle w:val="AERbulletlistfirststyle"/>
      </w:pPr>
      <w:r>
        <w:t>Wright approach</w:t>
      </w:r>
    </w:p>
    <w:p w:rsidR="002F6FA6" w:rsidRDefault="002F6FA6" w:rsidP="002F6FA6">
      <w:pPr>
        <w:pStyle w:val="AERbulletlistfirststyle"/>
      </w:pPr>
      <w:r>
        <w:t>Hurdle rates</w:t>
      </w:r>
    </w:p>
    <w:p w:rsidR="002F6FA6" w:rsidRDefault="002F6FA6" w:rsidP="002F6FA6">
      <w:pPr>
        <w:pStyle w:val="AERbulletlistfirststyle"/>
      </w:pPr>
      <w:r>
        <w:t>Price-to-earnings ratios (PE ratios)</w:t>
      </w:r>
    </w:p>
    <w:p w:rsidR="002F6FA6" w:rsidRDefault="002F6FA6" w:rsidP="002F6FA6">
      <w:pPr>
        <w:pStyle w:val="AERbulletlistfirststyle"/>
      </w:pPr>
      <w:r>
        <w:t>Independent valuation report</w:t>
      </w:r>
    </w:p>
    <w:p w:rsidR="002F6FA6" w:rsidRPr="00957550" w:rsidRDefault="002F6FA6" w:rsidP="002F6FA6">
      <w:r>
        <w:t xml:space="preserve">We </w:t>
      </w:r>
      <w:r w:rsidRPr="00957550">
        <w:t>respond to the</w:t>
      </w:r>
      <w:r>
        <w:t>se</w:t>
      </w:r>
      <w:r w:rsidRPr="00957550">
        <w:t xml:space="preserve"> materials </w:t>
      </w:r>
      <w:r>
        <w:t>in the sections</w:t>
      </w:r>
      <w:r w:rsidRPr="00957550">
        <w:t xml:space="preserve"> below.</w:t>
      </w:r>
      <w:r>
        <w:t xml:space="preserve"> </w:t>
      </w:r>
      <w:r w:rsidRPr="000B7C7C">
        <w:t xml:space="preserve">We note that </w:t>
      </w:r>
      <w:r w:rsidRPr="00957550">
        <w:t xml:space="preserve">we have considered much of this material in </w:t>
      </w:r>
      <w:r w:rsidR="00A76CFB">
        <w:t>our October and November 2015</w:t>
      </w:r>
      <w:r w:rsidRPr="00957550">
        <w:t xml:space="preserve"> decision</w:t>
      </w:r>
      <w:r w:rsidR="00A76CFB">
        <w:t>s</w:t>
      </w:r>
      <w:r>
        <w:rPr>
          <w:rStyle w:val="FootnoteReference"/>
        </w:rPr>
        <w:footnoteReference w:id="347"/>
      </w:r>
      <w:r w:rsidRPr="00957550">
        <w:t xml:space="preserve"> and, after reviewing the new materials, our previous considerations remain valid for this decision. </w:t>
      </w:r>
    </w:p>
    <w:p w:rsidR="002F6FA6" w:rsidRPr="00957550" w:rsidRDefault="002F6FA6" w:rsidP="002F6FA6">
      <w:r>
        <w:t xml:space="preserve">For </w:t>
      </w:r>
      <w:r w:rsidRPr="00957550">
        <w:t>the reasons outlined, we consider that the foundation model estimate of the return on equity is consistent with the prevailing market condition</w:t>
      </w:r>
      <w:r>
        <w:t>s in the market</w:t>
      </w:r>
      <w:r w:rsidRPr="00957550">
        <w:t xml:space="preserve"> for equity funds and the required return on equity for a firm facing similar risk</w:t>
      </w:r>
      <w:r>
        <w:t xml:space="preserve">s as </w:t>
      </w:r>
      <w:r w:rsidRPr="00897F23">
        <w:t>AusNet Services</w:t>
      </w:r>
      <w:r w:rsidRPr="00957550">
        <w:t xml:space="preserve">. </w:t>
      </w:r>
    </w:p>
    <w:p w:rsidR="002F6FA6" w:rsidRPr="00957550" w:rsidRDefault="002F6FA6" w:rsidP="002F6FA6">
      <w:r>
        <w:t xml:space="preserve">Further, our foundation model approach provides a flexible framework for estimating the required return on equity. </w:t>
      </w:r>
      <w:r w:rsidRPr="00957550">
        <w:t>It</w:t>
      </w:r>
      <w:r>
        <w:t xml:space="preserve"> </w:t>
      </w:r>
      <w:r w:rsidRPr="00957550">
        <w:t>allows the identification of relevant materials and consideration of the roles each piece of material should play for estimating the return on equity. For example, our approach identified t</w:t>
      </w:r>
      <w:r>
        <w:t xml:space="preserve">he relevant financial models (Sharpe-Lintner </w:t>
      </w:r>
      <w:r w:rsidRPr="00957550">
        <w:t xml:space="preserve">CAPM, Black CAPM, </w:t>
      </w:r>
      <w:r>
        <w:t>dividend growth model</w:t>
      </w:r>
      <w:r w:rsidRPr="00957550">
        <w:t xml:space="preserve"> and </w:t>
      </w:r>
      <w:r>
        <w:t>Fama-French model</w:t>
      </w:r>
      <w:r w:rsidRPr="00957550">
        <w:t>) and, after assessing their merits, uses the theor</w:t>
      </w:r>
      <w:r>
        <w:t>y</w:t>
      </w:r>
      <w:r w:rsidRPr="00957550">
        <w:t xml:space="preserve"> of the Black </w:t>
      </w:r>
      <w:r>
        <w:t xml:space="preserve">CAPM </w:t>
      </w:r>
      <w:r w:rsidRPr="00957550">
        <w:t xml:space="preserve">for setting the equity beta estimate and outputs of the </w:t>
      </w:r>
      <w:r>
        <w:t>dividend growth model</w:t>
      </w:r>
      <w:r w:rsidRPr="00957550">
        <w:t xml:space="preserve"> for setting the </w:t>
      </w:r>
      <w:r>
        <w:t>market risk premium</w:t>
      </w:r>
      <w:r w:rsidRPr="00957550">
        <w:t xml:space="preserve"> estimate.</w:t>
      </w:r>
      <w:r>
        <w:t xml:space="preserve"> We also consider our foundation model return on equity estimate against a range of other material independent to the foundation model (such as broker and valuation reports).</w:t>
      </w:r>
      <w:r w:rsidRPr="00957550">
        <w:t xml:space="preserve"> </w:t>
      </w:r>
      <w:r>
        <w:t>We consider that the service providers have not had appropriate regard to all available evidence, nor a complete consideration of the relative merits of each piece of evidence.</w:t>
      </w:r>
      <w:r w:rsidRPr="00957550">
        <w:t xml:space="preserve">  </w:t>
      </w:r>
    </w:p>
    <w:p w:rsidR="002F6FA6" w:rsidRDefault="002F6FA6" w:rsidP="002F6FA6">
      <w:pPr>
        <w:pStyle w:val="HeadingOrange"/>
      </w:pPr>
      <w:r>
        <w:t>Dividend growth model estimates</w:t>
      </w:r>
    </w:p>
    <w:p w:rsidR="002F6FA6" w:rsidRDefault="002F6FA6" w:rsidP="002F6FA6">
      <w:r>
        <w:t>Service providers submitted that our estimate of the return on equity is below dividend growth model-based estimates.</w:t>
      </w:r>
      <w:r>
        <w:rPr>
          <w:rStyle w:val="FootnoteReference"/>
        </w:rPr>
        <w:footnoteReference w:id="348"/>
      </w:r>
      <w:r>
        <w:t xml:space="preserve"> Frontier submitted that a range of dividend growth model-based estimates of market risk premium and overall return on equity from market practitioners</w:t>
      </w:r>
      <w:r>
        <w:rPr>
          <w:rStyle w:val="FootnoteReference"/>
        </w:rPr>
        <w:footnoteReference w:id="349"/>
      </w:r>
      <w:r>
        <w:t xml:space="preserve"> and other regulators</w:t>
      </w:r>
      <w:r>
        <w:rPr>
          <w:rStyle w:val="FootnoteReference"/>
        </w:rPr>
        <w:footnoteReference w:id="350"/>
      </w:r>
      <w:r>
        <w:t xml:space="preserve"> supports an inverse, and offsetting, relationship between the risk free rate and the market risk premium.</w:t>
      </w:r>
      <w:r>
        <w:rPr>
          <w:rStyle w:val="FootnoteReference"/>
        </w:rPr>
        <w:footnoteReference w:id="351"/>
      </w:r>
    </w:p>
    <w:p w:rsidR="002F6FA6" w:rsidRDefault="002F6FA6" w:rsidP="002F6FA6">
      <w:r>
        <w:t xml:space="preserve">We assess the dividend growth model in detail in section </w:t>
      </w:r>
      <w:r>
        <w:fldChar w:fldCharType="begin"/>
      </w:r>
      <w:r>
        <w:instrText xml:space="preserve"> REF _Ref449007421 \r \h </w:instrText>
      </w:r>
      <w:r>
        <w:fldChar w:fldCharType="separate"/>
      </w:r>
      <w:r w:rsidR="003F1AAB">
        <w:t>B.4</w:t>
      </w:r>
      <w:r>
        <w:fldChar w:fldCharType="end"/>
      </w:r>
      <w:r>
        <w:t xml:space="preserve"> and consider that there are a range of limitations with the dividend growth model which makes its results unreliable and unsuitable for estimating the return on equity. We do not consider that any new material has been submitted to us that address the limitations we have identified with dividend growth models. Given these limitations, we do not consider that the dividend growth models provide compelling evidence of an inverse relationship between market risk premium and risk free rate.</w:t>
      </w:r>
    </w:p>
    <w:p w:rsidR="002F6FA6" w:rsidRDefault="002F6FA6" w:rsidP="002F6FA6">
      <w:pPr>
        <w:pStyle w:val="HeadingOrange"/>
      </w:pPr>
      <w:r w:rsidRPr="009329C3">
        <w:t>Wright approach</w:t>
      </w:r>
    </w:p>
    <w:p w:rsidR="002F6FA6" w:rsidRDefault="002F6FA6" w:rsidP="002F6FA6">
      <w:r>
        <w:t>Service providers submitted that we have used the Wright approach incorrectly to inform overall return on equity instead the market risk premium.</w:t>
      </w:r>
      <w:r>
        <w:rPr>
          <w:rStyle w:val="FootnoteReference"/>
        </w:rPr>
        <w:footnoteReference w:id="352"/>
      </w:r>
      <w:r>
        <w:t xml:space="preserve"> Frontier noted that we do not give material weight to the negative relationship between the risk free rate and the market risk premium that is evidenced by the Wright approach.</w:t>
      </w:r>
      <w:r>
        <w:rPr>
          <w:rStyle w:val="FootnoteReference"/>
        </w:rPr>
        <w:footnoteReference w:id="353"/>
      </w:r>
      <w:r>
        <w:t xml:space="preserve"> Frontier also noted that reports by Wright and Smithers and the Economic Regulatory Authority of Western Australia (ERA supported the use of the Wright approach to inform market risk premium and an inverse, and offsetting, relationship between the risk free rate and the market risk premium.</w:t>
      </w:r>
      <w:r>
        <w:rPr>
          <w:rStyle w:val="FootnoteReference"/>
        </w:rPr>
        <w:footnoteReference w:id="354"/>
      </w:r>
      <w:r>
        <w:t xml:space="preserve"> </w:t>
      </w:r>
    </w:p>
    <w:p w:rsidR="002F6FA6" w:rsidRDefault="002F6FA6" w:rsidP="002F6FA6">
      <w:r>
        <w:t>After reviewing all the material submitted to us, we consider that the new materials do not address the previous (and on-going) concerns we have with the Wright approach (see</w:t>
      </w:r>
      <w:r w:rsidRPr="00481A46">
        <w:t xml:space="preserve"> </w:t>
      </w:r>
      <w:r>
        <w:t xml:space="preserve">section </w:t>
      </w:r>
      <w:r>
        <w:fldChar w:fldCharType="begin"/>
      </w:r>
      <w:r>
        <w:instrText xml:space="preserve"> REF _Ref449018117 \r \h </w:instrText>
      </w:r>
      <w:r>
        <w:fldChar w:fldCharType="separate"/>
      </w:r>
      <w:r w:rsidR="003F1AAB">
        <w:t>B.5</w:t>
      </w:r>
      <w:r>
        <w:fldChar w:fldCharType="end"/>
      </w:r>
      <w:r>
        <w:t>). Wright and Smithers indicates that the return on the market using U.S. data has been relatively stable over time.</w:t>
      </w:r>
      <w:r>
        <w:rPr>
          <w:rStyle w:val="FootnoteReference"/>
        </w:rPr>
        <w:footnoteReference w:id="355"/>
      </w:r>
      <w:r>
        <w:t xml:space="preserve"> However, a</w:t>
      </w:r>
      <w:r w:rsidRPr="002662F2">
        <w:t xml:space="preserve">pplying Wright’s approach to Australian data, Lally found the estimated </w:t>
      </w:r>
      <w:r>
        <w:t>market risk premium</w:t>
      </w:r>
      <w:r w:rsidRPr="002662F2">
        <w:t xml:space="preserve"> series is more stable than the average real market return series.</w:t>
      </w:r>
      <w:r>
        <w:rPr>
          <w:rStyle w:val="FootnoteReference"/>
        </w:rPr>
        <w:footnoteReference w:id="356"/>
      </w:r>
      <w:r>
        <w:t xml:space="preserve"> </w:t>
      </w:r>
    </w:p>
    <w:p w:rsidR="002F6FA6" w:rsidRDefault="002F6FA6" w:rsidP="002F6FA6">
      <w:pPr>
        <w:pStyle w:val="HeadingOrange"/>
      </w:pPr>
      <w:r>
        <w:t>Hurdle rates</w:t>
      </w:r>
    </w:p>
    <w:p w:rsidR="002F6FA6" w:rsidRPr="00957550" w:rsidRDefault="002F6FA6" w:rsidP="002F6FA6">
      <w:r w:rsidRPr="00957550">
        <w:t>McKinsey Inc considered that the required return on equity appear</w:t>
      </w:r>
      <w:r>
        <w:t>ed</w:t>
      </w:r>
      <w:r w:rsidRPr="00957550">
        <w:t xml:space="preserve"> to be quite stable as government bond yields decline</w:t>
      </w:r>
      <w:r>
        <w:t>d</w:t>
      </w:r>
      <w:r w:rsidRPr="00957550">
        <w:t xml:space="preserve">, based on </w:t>
      </w:r>
      <w:r>
        <w:t>observations of</w:t>
      </w:r>
      <w:r w:rsidRPr="00957550">
        <w:t xml:space="preserve"> hurdle rates.</w:t>
      </w:r>
      <w:r w:rsidRPr="00957550">
        <w:rPr>
          <w:rStyle w:val="FootnoteReference"/>
        </w:rPr>
        <w:footnoteReference w:id="357"/>
      </w:r>
      <w:r w:rsidRPr="00957550">
        <w:t xml:space="preserve"> </w:t>
      </w:r>
      <w:r w:rsidRPr="00475E59">
        <w:t xml:space="preserve">A hurdle rate is a rate of return that </w:t>
      </w:r>
      <w:r>
        <w:t>firms and managers</w:t>
      </w:r>
      <w:r w:rsidRPr="00475E59">
        <w:t xml:space="preserve"> use when deciding whether or not to invest in capital projects</w:t>
      </w:r>
      <w:r>
        <w:t>.</w:t>
      </w:r>
    </w:p>
    <w:p w:rsidR="002F6FA6" w:rsidRPr="00957550" w:rsidRDefault="002F6FA6" w:rsidP="002F6FA6">
      <w:r>
        <w:t xml:space="preserve">We are not persuaded that </w:t>
      </w:r>
      <w:r w:rsidRPr="00957550">
        <w:t xml:space="preserve">hurdle rates provide reliable evidence of the cost of equity for reasons stated in </w:t>
      </w:r>
      <w:r w:rsidR="00A76CFB">
        <w:t>our October and November 2015</w:t>
      </w:r>
      <w:r w:rsidRPr="00957550">
        <w:t xml:space="preserve"> decision</w:t>
      </w:r>
      <w:r w:rsidR="00A76CFB">
        <w:t>s</w:t>
      </w:r>
      <w:r w:rsidRPr="00957550">
        <w:t>.</w:t>
      </w:r>
      <w:r w:rsidRPr="00957550">
        <w:rPr>
          <w:rStyle w:val="FootnoteReference"/>
        </w:rPr>
        <w:footnoteReference w:id="358"/>
      </w:r>
      <w:r w:rsidRPr="00957550">
        <w:t xml:space="preserve"> </w:t>
      </w:r>
      <w:r>
        <w:t>The</w:t>
      </w:r>
      <w:r w:rsidRPr="00957550">
        <w:t xml:space="preserve"> RBA </w:t>
      </w:r>
      <w:r>
        <w:t xml:space="preserve">and Deloitte </w:t>
      </w:r>
      <w:r w:rsidRPr="00957550">
        <w:t>ha</w:t>
      </w:r>
      <w:r>
        <w:t>ve</w:t>
      </w:r>
      <w:r w:rsidRPr="00957550">
        <w:t xml:space="preserve"> noted that Australian firms tend to have high 'hurdle rates' of </w:t>
      </w:r>
      <w:proofErr w:type="gramStart"/>
      <w:r w:rsidRPr="00957550">
        <w:t>return that are</w:t>
      </w:r>
      <w:proofErr w:type="gramEnd"/>
      <w:r w:rsidRPr="00957550">
        <w:t xml:space="preserve"> often well above the cost of capital and do not change very often.</w:t>
      </w:r>
      <w:r w:rsidRPr="00957550">
        <w:rPr>
          <w:rStyle w:val="FootnoteReference"/>
        </w:rPr>
        <w:footnoteReference w:id="359"/>
      </w:r>
      <w:r w:rsidRPr="00957550">
        <w:t xml:space="preserve"> Further, JP Morgan appears to indicate that hurdle rates may not be responsive to changes in market conditions.</w:t>
      </w:r>
      <w:r>
        <w:t xml:space="preserve"> This could be because firms use hurdle rates as a capital rationing device,</w:t>
      </w:r>
      <w:r w:rsidRPr="00FD798B">
        <w:rPr>
          <w:rStyle w:val="FootnoteReference"/>
        </w:rPr>
        <w:footnoteReference w:id="360"/>
      </w:r>
      <w:r>
        <w:t xml:space="preserve"> to reflect uncertainty in cash flow forecasts,</w:t>
      </w:r>
      <w:r w:rsidRPr="00FD798B">
        <w:rPr>
          <w:rStyle w:val="FootnoteReference"/>
        </w:rPr>
        <w:footnoteReference w:id="361"/>
      </w:r>
      <w:r>
        <w:t xml:space="preserve"> to reflect strategic incentives,</w:t>
      </w:r>
      <w:r w:rsidRPr="00FD798B">
        <w:rPr>
          <w:rStyle w:val="FootnoteReference"/>
        </w:rPr>
        <w:footnoteReference w:id="362"/>
      </w:r>
      <w:r>
        <w:t xml:space="preserve"> because of an absence of competitive market pressures,</w:t>
      </w:r>
      <w:r w:rsidRPr="00FD798B">
        <w:rPr>
          <w:rStyle w:val="FootnoteReference"/>
        </w:rPr>
        <w:footnoteReference w:id="363"/>
      </w:r>
      <w:r>
        <w:t xml:space="preserve"> or due to immateriality of incremental changes if the firm has a high cost of capital.</w:t>
      </w:r>
      <w:r w:rsidRPr="00FD798B">
        <w:rPr>
          <w:rStyle w:val="FootnoteReference"/>
        </w:rPr>
        <w:footnoteReference w:id="364"/>
      </w:r>
    </w:p>
    <w:p w:rsidR="002F6FA6" w:rsidRDefault="002F6FA6" w:rsidP="002F6FA6">
      <w:pPr>
        <w:pStyle w:val="HeadingOrange"/>
      </w:pPr>
      <w:r>
        <w:t>Price-to-earnings ratios</w:t>
      </w:r>
    </w:p>
    <w:p w:rsidR="002F6FA6" w:rsidRDefault="002F6FA6" w:rsidP="002F6FA6">
      <w:r>
        <w:t xml:space="preserve">We are not satisfied that price-to-earnings ratios provide evidence of an inverse relationship between the risk free rate and the market risk premium in the current market. </w:t>
      </w:r>
    </w:p>
    <w:p w:rsidR="002F6FA6" w:rsidRPr="00957550" w:rsidRDefault="002F6FA6" w:rsidP="002F6FA6">
      <w:r>
        <w:t>If investors reduce their required rate of return, and earnings expectations are unchanged, then market prices and the price-to-earnings ratio should increase.</w:t>
      </w:r>
      <w:r>
        <w:rPr>
          <w:rStyle w:val="FootnoteReference"/>
        </w:rPr>
        <w:footnoteReference w:id="365"/>
      </w:r>
      <w:r>
        <w:t xml:space="preserve"> Frontier refers to evidence in McKinsey and JP Morgan reports</w:t>
      </w:r>
      <w:r w:rsidRPr="00957550">
        <w:rPr>
          <w:rStyle w:val="FootnoteReference"/>
        </w:rPr>
        <w:footnoteReference w:id="366"/>
      </w:r>
      <w:r>
        <w:t xml:space="preserve"> that price-to-earnings ratios have remained 'within their long-term averages' as risk free rates have recently fallen, and that this suggests investors have not decreased their required rates of return despite a decline in the risk free rate.</w:t>
      </w:r>
    </w:p>
    <w:p w:rsidR="002F6FA6" w:rsidRDefault="002F6FA6" w:rsidP="002F6FA6">
      <w:r>
        <w:t>However, the McKinsey and JP Morgan reports analysed the US and UK markets, and it is not clear that the Australian market would follow a similar experience. In any case, it is not clear that earnings expectations have remained unchanged as the risk free rate has declined. McKinsey used a one-year-forward price-to-earnings ratio, but market prices likely reflect longer-term expectations, which may differ markedly from one-year forward expectations. JP Morgan acknowledged that the price-to-earnings ratio can also reflect growth expectations.</w:t>
      </w:r>
      <w:r>
        <w:rPr>
          <w:rStyle w:val="FootnoteReference"/>
        </w:rPr>
        <w:footnoteReference w:id="367"/>
      </w:r>
      <w:r>
        <w:t xml:space="preserve">  We also note that JP Morgan and McKinsey Inc drew different conclusions on the cost of equity due to using different data periods. </w:t>
      </w:r>
    </w:p>
    <w:p w:rsidR="002F6FA6" w:rsidRDefault="002F6FA6" w:rsidP="002F6FA6">
      <w:pPr>
        <w:pStyle w:val="HeadingOrange"/>
      </w:pPr>
      <w:r>
        <w:t>Independent valuation report</w:t>
      </w:r>
    </w:p>
    <w:p w:rsidR="002F6FA6" w:rsidRDefault="002F6FA6" w:rsidP="002F6FA6">
      <w:r>
        <w:rPr>
          <w:rStyle w:val="AERbody"/>
        </w:rPr>
        <w:t>Service providers</w:t>
      </w:r>
      <w:r>
        <w:t xml:space="preserve"> submitted that independent valuation reports provide evidence of an inverse relationship between the risk free rate and the market risk premium.</w:t>
      </w:r>
      <w:r>
        <w:rPr>
          <w:rStyle w:val="FootnoteReference"/>
        </w:rPr>
        <w:footnoteReference w:id="368"/>
      </w:r>
      <w:r>
        <w:t xml:space="preserve"> In addition to reports by Incenta and NERA considered in our </w:t>
      </w:r>
      <w:r w:rsidR="00A76CFB">
        <w:t xml:space="preserve">October and November 2015 </w:t>
      </w:r>
      <w:r>
        <w:t>decision</w:t>
      </w:r>
      <w:r w:rsidR="00A76CFB">
        <w:t>s</w:t>
      </w:r>
      <w:r>
        <w:t>, a new HoustonKemp report submits that there is a statistically significant inverse relationship between the government bond yield and the market risk premium that is applied by independent expert valuation professionals.</w:t>
      </w:r>
      <w:r>
        <w:rPr>
          <w:rStyle w:val="FootnoteReference"/>
        </w:rPr>
        <w:footnoteReference w:id="369"/>
      </w:r>
    </w:p>
    <w:p w:rsidR="002F6FA6" w:rsidRDefault="002F6FA6" w:rsidP="002F6FA6">
      <w:pPr>
        <w:numPr>
          <w:ilvl w:val="0"/>
          <w:numId w:val="25"/>
        </w:numPr>
      </w:pPr>
      <w:r>
        <w:t>We consider that there is not sufficient evidence to establish the existence of such a relationship in valuers' estimates, because:</w:t>
      </w:r>
    </w:p>
    <w:p w:rsidR="002F6FA6" w:rsidRDefault="002F6FA6" w:rsidP="002F6FA6">
      <w:pPr>
        <w:pStyle w:val="AERbulletlistfirststyle"/>
      </w:pPr>
      <w:r>
        <w:t>Incenta's sample is too small to support a reliable inference.</w:t>
      </w:r>
    </w:p>
    <w:p w:rsidR="002F6FA6" w:rsidRDefault="002F6FA6" w:rsidP="002F6FA6">
      <w:pPr>
        <w:pStyle w:val="AERbulletlistfirststyle"/>
      </w:pPr>
      <w:r>
        <w:t>NERA's regression results are driven by its unsupported assumption that any difference between a valuer's stated risk free rate and the prevailing yield on Commonwealth government securities is to be taken as part of their adopted market risk premium.</w:t>
      </w:r>
    </w:p>
    <w:p w:rsidR="002F6FA6" w:rsidRDefault="002F6FA6" w:rsidP="002F6FA6">
      <w:r>
        <w:t xml:space="preserve">As HoustonKemp's analysis uses the same methods to that of NERA, our assessment of NERA's analysis in our </w:t>
      </w:r>
      <w:r w:rsidR="00A76CFB">
        <w:t xml:space="preserve">October and November 2015 </w:t>
      </w:r>
      <w:r>
        <w:t>decision</w:t>
      </w:r>
      <w:r w:rsidR="00A76CFB">
        <w:t>s</w:t>
      </w:r>
      <w:r>
        <w:t xml:space="preserve"> are equally applicable to it. </w:t>
      </w:r>
      <w:r>
        <w:rPr>
          <w:rStyle w:val="AERbody"/>
        </w:rPr>
        <w:t>These reasons were supported by Partington and Satchell.</w:t>
      </w:r>
      <w:r>
        <w:rPr>
          <w:rStyle w:val="FootnoteReference"/>
        </w:rPr>
        <w:footnoteReference w:id="370"/>
      </w:r>
      <w:r>
        <w:rPr>
          <w:rStyle w:val="AERbody"/>
        </w:rPr>
        <w:t xml:space="preserve"> We do not consider that there is sufficient evidence before us to depart from our original assessment. </w:t>
      </w:r>
      <w:r>
        <w:t xml:space="preserve">We respond to this material in more detail in section </w:t>
      </w:r>
      <w:r>
        <w:fldChar w:fldCharType="begin"/>
      </w:r>
      <w:r>
        <w:instrText xml:space="preserve"> REF _Ref449020986 \r \h </w:instrText>
      </w:r>
      <w:r>
        <w:fldChar w:fldCharType="separate"/>
      </w:r>
      <w:r w:rsidR="003F1AAB">
        <w:t>F.5</w:t>
      </w:r>
      <w:r>
        <w:fldChar w:fldCharType="end"/>
      </w:r>
      <w:r>
        <w:t>.</w:t>
      </w:r>
    </w:p>
    <w:p w:rsidR="002F6FA6" w:rsidRDefault="002F6FA6" w:rsidP="002F6FA6">
      <w:pPr>
        <w:pStyle w:val="Heading3"/>
      </w:pPr>
      <w:bookmarkStart w:id="78" w:name="_Ref451336564"/>
      <w:bookmarkStart w:id="79" w:name="_Ref451345996"/>
      <w:bookmarkStart w:id="80" w:name="_Ref451351247"/>
      <w:bookmarkStart w:id="81" w:name="_Toc451938957"/>
      <w:bookmarkStart w:id="82" w:name="_Toc456686705"/>
      <w:r>
        <w:t>Return on debt</w:t>
      </w:r>
      <w:bookmarkEnd w:id="65"/>
      <w:bookmarkEnd w:id="66"/>
      <w:bookmarkEnd w:id="78"/>
      <w:bookmarkEnd w:id="79"/>
      <w:bookmarkEnd w:id="80"/>
      <w:bookmarkEnd w:id="81"/>
      <w:bookmarkEnd w:id="82"/>
      <w:r>
        <w:t xml:space="preserve"> </w:t>
      </w:r>
    </w:p>
    <w:p w:rsidR="009E2035" w:rsidRPr="0039163B" w:rsidRDefault="009E2035" w:rsidP="009E2035">
      <w:r>
        <w:t>The</w:t>
      </w:r>
      <w:r w:rsidRPr="0039163B">
        <w:t xml:space="preserve"> </w:t>
      </w:r>
      <w:r>
        <w:t xml:space="preserve">allowed return on debt provides a </w:t>
      </w:r>
      <w:r w:rsidRPr="0039163B">
        <w:t>service provider</w:t>
      </w:r>
      <w:r>
        <w:t xml:space="preserve"> with an allowance to cover its </w:t>
      </w:r>
      <w:r w:rsidRPr="0039163B">
        <w:t xml:space="preserve">borrowing costs associated with funding investments in </w:t>
      </w:r>
      <w:r>
        <w:t xml:space="preserve">its </w:t>
      </w:r>
      <w:r w:rsidRPr="0039163B">
        <w:t xml:space="preserve">network. Consistent with other components of the rate of return, we determine the </w:t>
      </w:r>
      <w:r>
        <w:t xml:space="preserve">allowed </w:t>
      </w:r>
      <w:r w:rsidRPr="0039163B">
        <w:t>return by reference to a 'benchmark efficient entity' rather than the actual service provider.</w:t>
      </w:r>
    </w:p>
    <w:p w:rsidR="009E2035" w:rsidRDefault="009E2035" w:rsidP="009E2035">
      <w:r w:rsidRPr="0039163B">
        <w:t>Our</w:t>
      </w:r>
      <w:r>
        <w:t xml:space="preserve"> draft</w:t>
      </w:r>
      <w:r w:rsidRPr="0039163B">
        <w:t xml:space="preserve"> decision is to adopt a</w:t>
      </w:r>
      <w:r>
        <w:t>n indicative</w:t>
      </w:r>
      <w:r w:rsidRPr="0039163B">
        <w:t xml:space="preserve"> return on debt </w:t>
      </w:r>
      <w:r>
        <w:t>for the first regulatory year of 5.5</w:t>
      </w:r>
      <w:r w:rsidR="001053B4">
        <w:t>4</w:t>
      </w:r>
      <w:r>
        <w:t xml:space="preserve"> </w:t>
      </w:r>
      <w:r w:rsidRPr="0039163B">
        <w:t xml:space="preserve">per cent, rather than the </w:t>
      </w:r>
      <w:r>
        <w:t xml:space="preserve">7.22 </w:t>
      </w:r>
      <w:r w:rsidRPr="0039163B">
        <w:t>per cent proposed by</w:t>
      </w:r>
      <w:r>
        <w:t xml:space="preserve"> AusNet Services.</w:t>
      </w:r>
      <w:r>
        <w:rPr>
          <w:rStyle w:val="FootnoteReference"/>
        </w:rPr>
        <w:footnoteReference w:id="371"/>
      </w:r>
    </w:p>
    <w:p w:rsidR="009E2035" w:rsidRDefault="009E2035" w:rsidP="009E2035">
      <w:r w:rsidRPr="0039163B">
        <w:t xml:space="preserve">This </w:t>
      </w:r>
      <w:r>
        <w:t xml:space="preserve">draft </w:t>
      </w:r>
      <w:r w:rsidRPr="0039163B">
        <w:t xml:space="preserve">decision sets out how we arrived at the rate for </w:t>
      </w:r>
      <w:r>
        <w:t>AusNet Services</w:t>
      </w:r>
      <w:r w:rsidRPr="0039163B">
        <w:t>, and how we plan to update the return on debt in future regulatory years.</w:t>
      </w:r>
      <w:r>
        <w:t xml:space="preserve"> That is, we set out:</w:t>
      </w:r>
    </w:p>
    <w:p w:rsidR="009E2035" w:rsidRPr="00AD2616" w:rsidRDefault="009E2035" w:rsidP="009E2035">
      <w:pPr>
        <w:pStyle w:val="AERbulletlistfirststyle"/>
      </w:pPr>
      <w:r>
        <w:t>The return on debt approach. This sets out why we transition the entire return on debt from an on-the-day to a trailing average approach over 10 years (a full transition).</w:t>
      </w:r>
      <w:r w:rsidRPr="00AD2616">
        <w:rPr>
          <w:rStyle w:val="AERbody"/>
        </w:rPr>
        <w:t xml:space="preserve"> </w:t>
      </w:r>
    </w:p>
    <w:p w:rsidR="009E2035" w:rsidRDefault="009E2035" w:rsidP="009E2035">
      <w:pPr>
        <w:pStyle w:val="AERbulletlistfirststyle"/>
      </w:pPr>
      <w:r>
        <w:t>Implementing the return on debt approach. This includes the benchmark term, benchmark credit rating, our choice and use of third party data series, extrapolation/interpolation issues, contingencies, averaging periods and the annual updating process.</w:t>
      </w:r>
    </w:p>
    <w:p w:rsidR="009E2035" w:rsidRDefault="009E2035" w:rsidP="009E2035">
      <w:pPr>
        <w:pStyle w:val="HeadingBoldBlue"/>
      </w:pPr>
      <w:r>
        <w:t>Return on debt approach</w:t>
      </w:r>
    </w:p>
    <w:p w:rsidR="009E2035" w:rsidRDefault="009E2035" w:rsidP="009E2035">
      <w:r>
        <w:t>Our draft decision is to transition the entire return on debt</w:t>
      </w:r>
      <w:r>
        <w:rPr>
          <w:rStyle w:val="FootnoteReference"/>
        </w:rPr>
        <w:footnoteReference w:id="372"/>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This is consistent with </w:t>
      </w:r>
      <w:r w:rsidRPr="0039163B">
        <w:t xml:space="preserve">the </w:t>
      </w:r>
      <w:r>
        <w:t>Guideline</w:t>
      </w:r>
      <w:r w:rsidRPr="00753644">
        <w:t xml:space="preserve"> </w:t>
      </w:r>
      <w:r>
        <w:t xml:space="preserve">and AusNet Services’ </w:t>
      </w:r>
      <w:r w:rsidR="00725729">
        <w:rPr>
          <w:rStyle w:val="AERbody"/>
        </w:rPr>
        <w:t>regulatory</w:t>
      </w:r>
      <w:r>
        <w:rPr>
          <w:rStyle w:val="AERbody"/>
        </w:rPr>
        <w:t xml:space="preserve"> proposal</w:t>
      </w:r>
      <w:r>
        <w:t>.</w:t>
      </w:r>
      <w:r>
        <w:rPr>
          <w:rStyle w:val="FootnoteReference"/>
        </w:rPr>
        <w:footnoteReference w:id="373"/>
      </w:r>
      <w:r>
        <w:t xml:space="preserve"> As such, we accept this aspect of AusNet Services’</w:t>
      </w:r>
      <w:r w:rsidR="00572422">
        <w:t xml:space="preserve"> </w:t>
      </w:r>
      <w:r w:rsidR="00725729">
        <w:t>regulatory</w:t>
      </w:r>
      <w:r>
        <w:t xml:space="preserve"> proposal.</w:t>
      </w:r>
    </w:p>
    <w:p w:rsidR="009E2035" w:rsidRDefault="009E2035" w:rsidP="009E2035">
      <w:r>
        <w:t>While AusNet Services also submitted that it would consider the Tribunal’s decision on the appropriate form of transitional arrangements,</w:t>
      </w:r>
      <w:r>
        <w:rPr>
          <w:rStyle w:val="FootnoteReference"/>
        </w:rPr>
        <w:footnoteReference w:id="374"/>
      </w:r>
      <w:r>
        <w:t xml:space="preserve"> the </w:t>
      </w:r>
      <w:r w:rsidR="006E296C">
        <w:t xml:space="preserve">final </w:t>
      </w:r>
      <w:r>
        <w:t xml:space="preserve">outcome of </w:t>
      </w:r>
      <w:r w:rsidR="006E296C">
        <w:t>the Tribunal's decision on this matter has not yet been determined</w:t>
      </w:r>
      <w:r>
        <w:t xml:space="preserve">. The Tribunal </w:t>
      </w:r>
      <w:r w:rsidRPr="00785554">
        <w:t>remitted this matter back to us</w:t>
      </w:r>
      <w:r>
        <w:t xml:space="preserve"> and </w:t>
      </w:r>
      <w:r w:rsidR="006E296C">
        <w:t>the matter is currently under consideration</w:t>
      </w:r>
      <w:r>
        <w:t>. Nevertheless, for completeness, we reproduce our analysis from recent decisions where we carefully considered a range of transitional options that other service providers had proposed. We conclude</w:t>
      </w:r>
      <w:r w:rsidR="00D14CFA">
        <w:t>d</w:t>
      </w:r>
      <w:r>
        <w:t xml:space="preserve"> that of th</w:t>
      </w:r>
      <w:r w:rsidR="00D14CFA">
        <w:t>e</w:t>
      </w:r>
      <w:r>
        <w:t xml:space="preserve"> options</w:t>
      </w:r>
      <w:r w:rsidR="00D14CFA">
        <w:t xml:space="preserve"> before us</w:t>
      </w:r>
      <w:r>
        <w:t xml:space="preserve">, only a full transition </w:t>
      </w:r>
      <w:r w:rsidR="00D14CFA">
        <w:t xml:space="preserve">would </w:t>
      </w:r>
      <w:r>
        <w:t>contribute to the achievement of the ARORO.</w:t>
      </w:r>
      <w:r>
        <w:rPr>
          <w:rStyle w:val="FootnoteReference"/>
        </w:rPr>
        <w:footnoteReference w:id="375"/>
      </w:r>
      <w:r>
        <w:t xml:space="preserve"> </w:t>
      </w:r>
    </w:p>
    <w:p w:rsidR="009E2035" w:rsidRDefault="009E2035" w:rsidP="009E2035">
      <w:pPr>
        <w:rPr>
          <w:rStyle w:val="AERbody"/>
        </w:rPr>
      </w:pPr>
      <w:r>
        <w:t xml:space="preserve">Moreover, we hold the view that, </w:t>
      </w:r>
      <w:r>
        <w:rPr>
          <w:rStyle w:val="AERbody"/>
        </w:rPr>
        <w:t>in the absence of a transition that substantially eliminates any change in the present value of a benchmark efficient entity as a result of the change in methodology,</w:t>
      </w:r>
      <w:r>
        <w:rPr>
          <w:rStyle w:val="FootnoteReference"/>
        </w:rPr>
        <w:footnoteReference w:id="376"/>
      </w:r>
      <w:r>
        <w:rPr>
          <w:rStyle w:val="AERbody"/>
        </w:rPr>
        <w:t xml:space="preserve"> the only other approach we consider will satisfy the ARORO is the continuation of the on-the-day methodology. The continuation of the on-the-day methodology sets an allowed return commensurate with efficient financing costs at the start of the regulatory control period because it resets the allowed return to the current efficient market rates.</w:t>
      </w:r>
    </w:p>
    <w:p w:rsidR="009E2035" w:rsidRPr="0023546E" w:rsidRDefault="009E2035" w:rsidP="009E2035">
      <w:r w:rsidRPr="0023546E">
        <w:t>In this section, we:</w:t>
      </w:r>
    </w:p>
    <w:p w:rsidR="009E2035" w:rsidRDefault="009E2035" w:rsidP="009E2035">
      <w:pPr>
        <w:pStyle w:val="AERbulletlistfirststyle"/>
      </w:pPr>
      <w:proofErr w:type="gramStart"/>
      <w:r>
        <w:t>set</w:t>
      </w:r>
      <w:proofErr w:type="gramEnd"/>
      <w:r>
        <w:t xml:space="preserve"> out our overall return on debt approach (that is, the transition to a trailing average).</w:t>
      </w:r>
    </w:p>
    <w:p w:rsidR="009E2035" w:rsidRPr="003337B3" w:rsidRDefault="009E2035" w:rsidP="009E2035">
      <w:pPr>
        <w:pStyle w:val="AERbulletlistfirststyle"/>
      </w:pPr>
      <w:r>
        <w:t xml:space="preserve">explain what approaches </w:t>
      </w:r>
      <w:r w:rsidRPr="003337B3">
        <w:t>to estimating the return on debt can contribute to the ARORO</w:t>
      </w:r>
      <w:r w:rsidRPr="003337B3" w:rsidDel="00472C05">
        <w:t xml:space="preserve"> </w:t>
      </w:r>
      <w:r>
        <w:t>and why (which includes our approach in this draft decision)</w:t>
      </w:r>
      <w:r>
        <w:rPr>
          <w:rStyle w:val="FootnoteReference"/>
        </w:rPr>
        <w:t>.</w:t>
      </w:r>
    </w:p>
    <w:p w:rsidR="009E2035" w:rsidRDefault="009E2035" w:rsidP="009E2035">
      <w:pPr>
        <w:pStyle w:val="AERbulletlistfirststyle"/>
      </w:pPr>
      <w:proofErr w:type="gramStart"/>
      <w:r>
        <w:t>e</w:t>
      </w:r>
      <w:r w:rsidRPr="003337B3">
        <w:t>xplain</w:t>
      </w:r>
      <w:proofErr w:type="gramEnd"/>
      <w:r w:rsidRPr="003337B3">
        <w:t xml:space="preserve"> why</w:t>
      </w:r>
      <w:r>
        <w:t xml:space="preserve"> other forms of transition that service providers have recently proposed would not </w:t>
      </w:r>
      <w:r w:rsidRPr="003337B3">
        <w:t>meet the requirements of the ARORO and NEO/NGO</w:t>
      </w:r>
      <w:r>
        <w:t>. This is for completeness, in case AusNet Services considers these positons relevant in light of the recent Tribunal decisions.</w:t>
      </w:r>
      <w:r w:rsidRPr="00785554">
        <w:rPr>
          <w:rStyle w:val="FootnoteReference"/>
        </w:rPr>
        <w:footnoteReference w:id="377"/>
      </w:r>
    </w:p>
    <w:p w:rsidR="009E2035" w:rsidRDefault="009E2035" w:rsidP="009E2035">
      <w:pPr>
        <w:pStyle w:val="AERbulletlistfirststyle"/>
      </w:pPr>
      <w:proofErr w:type="gramStart"/>
      <w:r>
        <w:t>set</w:t>
      </w:r>
      <w:proofErr w:type="gramEnd"/>
      <w:r>
        <w:t xml:space="preserve"> out general problems with using historical data to estimate the allowed return on debt.</w:t>
      </w:r>
    </w:p>
    <w:p w:rsidR="009E2035" w:rsidRDefault="009E2035" w:rsidP="009E2035">
      <w:pPr>
        <w:pStyle w:val="HeadingBoldItalic"/>
      </w:pPr>
      <w:r>
        <w:t>Our a</w:t>
      </w:r>
      <w:r w:rsidRPr="00F4618D">
        <w:t>pproach to estimating the return on debt</w:t>
      </w:r>
    </w:p>
    <w:p w:rsidR="009E2035" w:rsidRPr="007D2546" w:rsidRDefault="009E2035" w:rsidP="009E2035">
      <w:r w:rsidRPr="007D2546">
        <w:t xml:space="preserve">Our </w:t>
      </w:r>
      <w:r>
        <w:t xml:space="preserve">draft </w:t>
      </w:r>
      <w:r w:rsidRPr="007D2546">
        <w:t xml:space="preserve">decision is to </w:t>
      </w:r>
      <w:r>
        <w:t>s</w:t>
      </w:r>
      <w:r w:rsidRPr="004B3BBA">
        <w:t>tart with an on-the-day</w:t>
      </w:r>
      <w:r>
        <w:t xml:space="preserve"> approach</w:t>
      </w:r>
      <w:r w:rsidRPr="004B3BBA">
        <w:t xml:space="preserve"> for the first regulatory year and gradually transition into a trailing average approach over 10 years</w:t>
      </w:r>
      <w:r>
        <w:t xml:space="preserve"> (a full transition)</w:t>
      </w:r>
      <w:r w:rsidRPr="007D2546">
        <w:t>.</w:t>
      </w:r>
      <w:r>
        <w:rPr>
          <w:rStyle w:val="FootnoteReference"/>
        </w:rPr>
        <w:footnoteReference w:id="378"/>
      </w:r>
      <w:r w:rsidRPr="007D2546">
        <w:t xml:space="preserve"> Applied to </w:t>
      </w:r>
      <w:r>
        <w:t>AusNet Services</w:t>
      </w:r>
      <w:r w:rsidRPr="007D2546">
        <w:t>, this means our return on debt approach is to:</w:t>
      </w:r>
    </w:p>
    <w:p w:rsidR="009E2035" w:rsidRDefault="009E2035" w:rsidP="009E2035">
      <w:pPr>
        <w:pStyle w:val="AERbulletlistfirststyle"/>
      </w:pPr>
      <w:r w:rsidRPr="007D2546">
        <w:t xml:space="preserve">estimate the return on debt using an on-the-day </w:t>
      </w:r>
      <w:r>
        <w:t>approach</w:t>
      </w:r>
      <w:r w:rsidRPr="007D2546">
        <w:t xml:space="preserve"> (that is, based on prevailing interest rates</w:t>
      </w:r>
      <w:r>
        <w:t xml:space="preserve"> near the commencement of the regulatory control period</w:t>
      </w:r>
      <w:r w:rsidRPr="007D2546">
        <w:t>) in the first regulatory year (201</w:t>
      </w:r>
      <w:r>
        <w:t>7</w:t>
      </w:r>
      <w:r w:rsidRPr="009E2035">
        <w:t>–</w:t>
      </w:r>
      <w:r>
        <w:t>18</w:t>
      </w:r>
      <w:r w:rsidRPr="007D2546">
        <w:t>) of the 201</w:t>
      </w:r>
      <w:r>
        <w:t>7</w:t>
      </w:r>
      <w:r w:rsidRPr="007D2546">
        <w:t>–2</w:t>
      </w:r>
      <w:r>
        <w:t>2</w:t>
      </w:r>
      <w:r w:rsidRPr="007D2546">
        <w:t xml:space="preserve"> </w:t>
      </w:r>
      <w:r>
        <w:t>regulatory control period</w:t>
      </w:r>
      <w:r w:rsidRPr="007D2546">
        <w:t>, and</w:t>
      </w:r>
    </w:p>
    <w:p w:rsidR="009E2035" w:rsidRDefault="009E2035" w:rsidP="009E2035">
      <w:pPr>
        <w:pStyle w:val="AERbulletlistfirststyle"/>
      </w:pPr>
      <w:proofErr w:type="gramStart"/>
      <w:r w:rsidRPr="007D2546">
        <w:t>gradually</w:t>
      </w:r>
      <w:proofErr w:type="gramEnd"/>
      <w:r w:rsidRPr="007D2546">
        <w:t xml:space="preserve"> transition this approach into a trailing average (that is, a moving historical average) over 10 years </w:t>
      </w:r>
      <w:r>
        <w:t xml:space="preserve">by annually </w:t>
      </w:r>
      <w:r w:rsidRPr="00762AAF">
        <w:t xml:space="preserve">updating 10 per cent of the return on debt to reflect prevailing market conditions in that </w:t>
      </w:r>
      <w:r>
        <w:t>year</w:t>
      </w:r>
      <w:r w:rsidRPr="007D2546">
        <w:t>.</w:t>
      </w:r>
      <w:r w:rsidRPr="007D2546">
        <w:rPr>
          <w:rStyle w:val="AERsuperscript"/>
        </w:rPr>
        <w:footnoteReference w:id="379"/>
      </w:r>
    </w:p>
    <w:p w:rsidR="009E2035" w:rsidRPr="007D2546" w:rsidRDefault="009E2035" w:rsidP="009E2035">
      <w:r w:rsidRPr="007D2546">
        <w:t xml:space="preserve">In practical terms, our return on debt approach means that an on-the-day </w:t>
      </w:r>
      <w:r>
        <w:t>approach</w:t>
      </w:r>
      <w:r w:rsidRPr="007D2546">
        <w:t xml:space="preserve"> </w:t>
      </w:r>
      <w:r>
        <w:t>around</w:t>
      </w:r>
      <w:r w:rsidRPr="007D2546">
        <w:t xml:space="preserve"> the start of the 201</w:t>
      </w:r>
      <w:r>
        <w:t>7</w:t>
      </w:r>
      <w:r w:rsidRPr="007D2546">
        <w:t>–2</w:t>
      </w:r>
      <w:r>
        <w:t>2</w:t>
      </w:r>
      <w:r w:rsidRPr="007D2546">
        <w:t xml:space="preserve"> </w:t>
      </w:r>
      <w:r>
        <w:t xml:space="preserve">regulatory control </w:t>
      </w:r>
      <w:proofErr w:type="gramStart"/>
      <w:r>
        <w:t>period</w:t>
      </w:r>
      <w:proofErr w:type="gramEnd"/>
      <w:r w:rsidRPr="007D2546">
        <w:t xml:space="preserve"> is applied to:</w:t>
      </w:r>
    </w:p>
    <w:p w:rsidR="009E2035" w:rsidRPr="007D2546" w:rsidRDefault="009E2035" w:rsidP="009E2035">
      <w:pPr>
        <w:pStyle w:val="AERbulletlistfirststyle"/>
      </w:pPr>
      <w:r w:rsidRPr="007D2546">
        <w:t>100 per cent of the debt portfolio in the calculation of the allowed return on debt for the 201</w:t>
      </w:r>
      <w:r>
        <w:t>7</w:t>
      </w:r>
      <w:r w:rsidRPr="009E2035">
        <w:t>–</w:t>
      </w:r>
      <w:r>
        <w:t>18</w:t>
      </w:r>
      <w:r w:rsidRPr="007D2546">
        <w:t xml:space="preserve"> regulatory year</w:t>
      </w:r>
    </w:p>
    <w:p w:rsidR="009E2035" w:rsidRPr="007D2546" w:rsidRDefault="009E2035" w:rsidP="009E2035">
      <w:pPr>
        <w:pStyle w:val="AERbulletlistfirststyle"/>
      </w:pPr>
      <w:r w:rsidRPr="007D2546">
        <w:t>90 per cent of the debt portfolio in the calculation of the allowed return on debt for the 201</w:t>
      </w:r>
      <w:r>
        <w:t>8</w:t>
      </w:r>
      <w:r w:rsidRPr="009E2035">
        <w:t>–</w:t>
      </w:r>
      <w:r>
        <w:t>19</w:t>
      </w:r>
      <w:r w:rsidRPr="007D2546">
        <w:t xml:space="preserve"> regulatory </w:t>
      </w:r>
      <w:proofErr w:type="gramStart"/>
      <w:r w:rsidRPr="007D2546">
        <w:t>year</w:t>
      </w:r>
      <w:proofErr w:type="gramEnd"/>
      <w:r w:rsidRPr="007D2546">
        <w:t xml:space="preserve">, with the remaining 10 per cent updated to reflect prevailing interest rates during </w:t>
      </w:r>
      <w:r>
        <w:t>AusNet Services'</w:t>
      </w:r>
      <w:r w:rsidRPr="007D2546">
        <w:t xml:space="preserve"> averaging period for 201</w:t>
      </w:r>
      <w:r>
        <w:t>8</w:t>
      </w:r>
      <w:r w:rsidRPr="009E2035">
        <w:t>–</w:t>
      </w:r>
      <w:r>
        <w:t xml:space="preserve">19. </w:t>
      </w:r>
      <w:r w:rsidRPr="008D3A72">
        <w:t xml:space="preserve"> </w:t>
      </w:r>
      <w:r w:rsidRPr="007D2546">
        <w:t xml:space="preserve">Consistent with the </w:t>
      </w:r>
      <w:r>
        <w:t>rules</w:t>
      </w:r>
      <w:r w:rsidRPr="007D2546">
        <w:t xml:space="preserve"> requirement</w:t>
      </w:r>
      <w:r>
        <w:t>s</w:t>
      </w:r>
      <w:r w:rsidRPr="007D2546">
        <w:t>, this annual update</w:t>
      </w:r>
      <w:r>
        <w:t xml:space="preserve"> (and all future annual updates)</w:t>
      </w:r>
      <w:r w:rsidRPr="007D2546">
        <w:t xml:space="preserve"> will be </w:t>
      </w:r>
      <w:proofErr w:type="gramStart"/>
      <w:r w:rsidRPr="007D2546">
        <w:t>effected</w:t>
      </w:r>
      <w:proofErr w:type="gramEnd"/>
      <w:r w:rsidRPr="007D2546">
        <w:t xml:space="preserve"> through the automatic application of the return on debt methodology we set out in this </w:t>
      </w:r>
      <w:r>
        <w:t xml:space="preserve">draft </w:t>
      </w:r>
      <w:r w:rsidRPr="007D2546">
        <w:t>decision.</w:t>
      </w:r>
      <w:r w:rsidRPr="007D2546">
        <w:rPr>
          <w:rStyle w:val="AERsuperscript"/>
        </w:rPr>
        <w:footnoteReference w:id="380"/>
      </w:r>
    </w:p>
    <w:p w:rsidR="009E2035" w:rsidRPr="007D2546" w:rsidRDefault="009E2035" w:rsidP="009E2035">
      <w:pPr>
        <w:pStyle w:val="AERbulletlistfirststyle"/>
      </w:pPr>
      <w:r w:rsidRPr="007D2546">
        <w:t>80 per cent of the debt portfolio in the calculation of the allowed return on debt for the 2</w:t>
      </w:r>
      <w:r>
        <w:t>0</w:t>
      </w:r>
      <w:r w:rsidRPr="007D2546">
        <w:t>1</w:t>
      </w:r>
      <w:r>
        <w:t>9</w:t>
      </w:r>
      <w:r w:rsidRPr="009E2035">
        <w:t>–</w:t>
      </w:r>
      <w:r>
        <w:t>20</w:t>
      </w:r>
      <w:r w:rsidRPr="007D2546">
        <w:t xml:space="preserve"> regulatory year, with 10 per cent based on prevailing interest rates during </w:t>
      </w:r>
      <w:r>
        <w:t>AusNet Services'</w:t>
      </w:r>
      <w:r w:rsidRPr="007D2546">
        <w:t xml:space="preserve"> averaging period for 2</w:t>
      </w:r>
      <w:r>
        <w:t>0</w:t>
      </w:r>
      <w:r w:rsidRPr="007D2546">
        <w:t>1</w:t>
      </w:r>
      <w:r>
        <w:t>8</w:t>
      </w:r>
      <w:r w:rsidRPr="009E2035">
        <w:t>–</w:t>
      </w:r>
      <w:r>
        <w:t>19</w:t>
      </w:r>
      <w:r w:rsidRPr="007D2546">
        <w:t xml:space="preserve">, and 10 per cent updated to reflect prevailing interest rates during </w:t>
      </w:r>
      <w:r>
        <w:t>AusNet Services'</w:t>
      </w:r>
      <w:r w:rsidRPr="007D2546">
        <w:t xml:space="preserve"> averaging period for 20</w:t>
      </w:r>
      <w:r>
        <w:t>19</w:t>
      </w:r>
      <w:r w:rsidRPr="009E2035">
        <w:t>–</w:t>
      </w:r>
      <w:r>
        <w:t>20</w:t>
      </w:r>
      <w:r w:rsidRPr="007D2546">
        <w:t>, and</w:t>
      </w:r>
    </w:p>
    <w:p w:rsidR="009E2035" w:rsidRPr="007D2546" w:rsidRDefault="009E2035" w:rsidP="009E2035">
      <w:pPr>
        <w:pStyle w:val="AERbulletlistfirststyle"/>
      </w:pPr>
      <w:proofErr w:type="gramStart"/>
      <w:r w:rsidRPr="007D2546">
        <w:t>so</w:t>
      </w:r>
      <w:proofErr w:type="gramEnd"/>
      <w:r w:rsidRPr="007D2546">
        <w:t xml:space="preserve"> on for the subsequent regulatory years.</w:t>
      </w:r>
    </w:p>
    <w:p w:rsidR="009E2035" w:rsidRDefault="009E2035" w:rsidP="009E2035">
      <w:r w:rsidRPr="007D2546">
        <w:t xml:space="preserve">After the 10 year transition period is complete, the return on debt is a simple average of prevailing interest rates during </w:t>
      </w:r>
      <w:r>
        <w:t>AusNet Services'</w:t>
      </w:r>
      <w:r w:rsidRPr="007D2546">
        <w:t xml:space="preserve"> averaging periods over the previous 10 years</w:t>
      </w:r>
      <w:r>
        <w:t xml:space="preserve"> (a trailing average). </w:t>
      </w:r>
    </w:p>
    <w:p w:rsidR="009E2035" w:rsidRDefault="009E2035" w:rsidP="009E2035">
      <w:pPr>
        <w:pStyle w:val="HeadingBoldItalic"/>
      </w:pPr>
      <w:r>
        <w:t>Approaches that contribute to the achievement of the ARORO</w:t>
      </w:r>
    </w:p>
    <w:p w:rsidR="009E2035" w:rsidRDefault="009E2035" w:rsidP="009E2035">
      <w:r>
        <w:t xml:space="preserve">We consider the ARORO </w:t>
      </w:r>
      <w:r w:rsidRPr="00F21B32">
        <w:t>require</w:t>
      </w:r>
      <w:r>
        <w:t>s</w:t>
      </w:r>
      <w:r w:rsidRPr="00F21B32">
        <w:t xml:space="preserve"> </w:t>
      </w:r>
      <w:r>
        <w:t>that the</w:t>
      </w:r>
      <w:r w:rsidRPr="00F21B32">
        <w:t xml:space="preserve"> allowed rate of return </w:t>
      </w:r>
      <w:r>
        <w:t>appropriately</w:t>
      </w:r>
      <w:r w:rsidRPr="00F21B32">
        <w:t xml:space="preserve"> compensates</w:t>
      </w:r>
      <w:r>
        <w:t xml:space="preserve"> </w:t>
      </w:r>
      <w:r w:rsidRPr="00F21B32">
        <w:t xml:space="preserve">investors </w:t>
      </w:r>
      <w:r>
        <w:t>for</w:t>
      </w:r>
      <w:r w:rsidRPr="00F21B32">
        <w:t xml:space="preserve"> capital investments (in an ex-ante sense) and aims to minimise the long run cost of capital (all else</w:t>
      </w:r>
      <w:r>
        <w:t xml:space="preserve"> being</w:t>
      </w:r>
      <w:r w:rsidRPr="00F21B32">
        <w:t xml:space="preserve"> equal).</w:t>
      </w:r>
      <w:r>
        <w:rPr>
          <w:rStyle w:val="FootnoteReference"/>
        </w:rPr>
        <w:footnoteReference w:id="381"/>
      </w:r>
      <w:r w:rsidRPr="00F21B32">
        <w:t xml:space="preserve"> </w:t>
      </w:r>
      <w:r>
        <w:t xml:space="preserve">We consider ex-ante efficient compensation should result in the ex-ante allowed return on capital cash flows having a present value equal to the present value of the ex-ante efficient cost of capital cash flows required to finance the RAB. This means the allowed return on and of capital cash flows should have a present value equal to the statutory value of the RAB. This is a zero NPV investment condition, as discussed in section </w:t>
      </w:r>
      <w:r>
        <w:fldChar w:fldCharType="begin"/>
      </w:r>
      <w:r>
        <w:instrText xml:space="preserve"> REF _Ref451537570 \r \h </w:instrText>
      </w:r>
      <w:r>
        <w:fldChar w:fldCharType="separate"/>
      </w:r>
      <w:r w:rsidR="003F1AAB">
        <w:t>3.3.3</w:t>
      </w:r>
      <w:r>
        <w:fldChar w:fldCharType="end"/>
      </w:r>
      <w:r>
        <w:t>.</w:t>
      </w:r>
      <w:r>
        <w:rPr>
          <w:rStyle w:val="FootnoteReference"/>
        </w:rPr>
        <w:footnoteReference w:id="382"/>
      </w:r>
    </w:p>
    <w:p w:rsidR="009E2035" w:rsidRDefault="009E2035" w:rsidP="009E2035">
      <w:r>
        <w:t xml:space="preserve">A rate of return that achieves the ARORO should also be consistent with the RPPs in the NEL/NGL, which indicate a </w:t>
      </w:r>
      <w:r w:rsidRPr="00BE243F">
        <w:t>service provider</w:t>
      </w:r>
      <w:r>
        <w:t xml:space="preserve"> should be provided with </w:t>
      </w:r>
      <w:r w:rsidRPr="00BE243F">
        <w:t>a reasonable opportunity to r</w:t>
      </w:r>
      <w:r>
        <w:t>ecover at least efficient costs. These also require that we should provide</w:t>
      </w:r>
      <w:r w:rsidRPr="00BE243F">
        <w:t xml:space="preserve"> </w:t>
      </w:r>
      <w:r>
        <w:t xml:space="preserve">regulated firms with </w:t>
      </w:r>
      <w:r w:rsidRPr="00BE243F">
        <w:t>effective incentives to promote economic efficiency and have regard to the economic costs and risk of the potential for service provider</w:t>
      </w:r>
      <w:r>
        <w:t>s</w:t>
      </w:r>
      <w:r w:rsidRPr="00BE243F">
        <w:t xml:space="preserve"> </w:t>
      </w:r>
      <w:r>
        <w:t>to under- or over-invest.</w:t>
      </w:r>
      <w:r>
        <w:rPr>
          <w:rStyle w:val="FootnoteReference"/>
        </w:rPr>
        <w:footnoteReference w:id="383"/>
      </w:r>
    </w:p>
    <w:p w:rsidR="009E2035" w:rsidRPr="009F3831" w:rsidRDefault="009E2035" w:rsidP="009E2035">
      <w:r>
        <w:t>We have formed our view that</w:t>
      </w:r>
      <w:r w:rsidRPr="000F6A5E">
        <w:t xml:space="preserve"> </w:t>
      </w:r>
      <w:r>
        <w:t>our decision to estimate the allowed return on debt by s</w:t>
      </w:r>
      <w:r w:rsidRPr="007D2546">
        <w:t>tart</w:t>
      </w:r>
      <w:r>
        <w:t>ing</w:t>
      </w:r>
      <w:r w:rsidRPr="007D2546">
        <w:t xml:space="preserve"> with an on-the-day </w:t>
      </w:r>
      <w:r>
        <w:t>approach</w:t>
      </w:r>
      <w:r w:rsidRPr="007D2546">
        <w:t xml:space="preserve"> for the first regulatory year and gradually transition</w:t>
      </w:r>
      <w:r>
        <w:t>ing</w:t>
      </w:r>
      <w:r w:rsidRPr="007D2546">
        <w:t xml:space="preserve"> into a trailing average approach over 10 years</w:t>
      </w:r>
      <w:r>
        <w:t xml:space="preserve"> will result in an allowed return on debt that contributes to the achievement of the ARORO. The other option that we consider would achieve the ARORO is maintaining the on-the-day approach. Related to this, a</w:t>
      </w:r>
      <w:r w:rsidRPr="009F3831">
        <w:t xml:space="preserve">ll else </w:t>
      </w:r>
      <w:r>
        <w:t>being</w:t>
      </w:r>
      <w:r w:rsidRPr="009F3831">
        <w:t xml:space="preserve"> equal,</w:t>
      </w:r>
      <w:r>
        <w:t xml:space="preserve"> a trailing average (with transition) and on-the-day approach </w:t>
      </w:r>
      <w:r w:rsidRPr="009F3831">
        <w:t xml:space="preserve">provide equivalent ex-ante compensation over the </w:t>
      </w:r>
      <w:r>
        <w:t xml:space="preserve">term of the RAB (see Appendix </w:t>
      </w:r>
      <w:r>
        <w:fldChar w:fldCharType="begin"/>
      </w:r>
      <w:r>
        <w:instrText xml:space="preserve"> REF _Ref451267832 \r \h </w:instrText>
      </w:r>
      <w:r>
        <w:fldChar w:fldCharType="separate"/>
      </w:r>
      <w:r w:rsidR="003F1AAB">
        <w:t>A</w:t>
      </w:r>
      <w:r>
        <w:fldChar w:fldCharType="end"/>
      </w:r>
      <w:r>
        <w:t xml:space="preserve"> for a detailed discussion)</w:t>
      </w:r>
      <w:r w:rsidRPr="009F3831">
        <w:t>. We consider this position is consistent with the AEMC</w:t>
      </w:r>
      <w:r>
        <w:t>'s observations</w:t>
      </w:r>
      <w:r w:rsidRPr="009F3831">
        <w:t xml:space="preserve"> about SFG's view:</w:t>
      </w:r>
      <w:r w:rsidRPr="009F3831">
        <w:rPr>
          <w:rStyle w:val="FootnoteReference"/>
        </w:rPr>
        <w:footnoteReference w:id="384"/>
      </w:r>
    </w:p>
    <w:p w:rsidR="009E2035" w:rsidRDefault="009E2035" w:rsidP="009E2035">
      <w:pPr>
        <w:pStyle w:val="AERquote"/>
      </w:pPr>
      <w:r w:rsidRPr="00F21B32">
        <w:t>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w:t>
      </w:r>
    </w:p>
    <w:p w:rsidR="009E2035" w:rsidRDefault="009E2035" w:rsidP="009E2035">
      <w:pPr>
        <w:pStyle w:val="HeadingItalic"/>
      </w:pPr>
      <w:r>
        <w:t>Trailing average (with full transition) meets the ARORO</w:t>
      </w:r>
    </w:p>
    <w:p w:rsidR="009E2035" w:rsidRDefault="009E2035" w:rsidP="009E2035">
      <w:r>
        <w:t xml:space="preserve">With a full transition, a trailing average approach would provide a benchmark efficient entity with a reasonable opportunity to recover at least efficient costs over the term of the RAB. It could therefore </w:t>
      </w:r>
      <w:r w:rsidRPr="00E9566E">
        <w:t xml:space="preserve">result in an allowed return on debt (and overall rate of return) that can be consistent with the rules and NEL/NGL. </w:t>
      </w:r>
      <w:r>
        <w:t xml:space="preserve">Appendix </w:t>
      </w:r>
      <w:r>
        <w:fldChar w:fldCharType="begin"/>
      </w:r>
      <w:r>
        <w:instrText xml:space="preserve"> REF _Ref451267844 \r \h </w:instrText>
      </w:r>
      <w:r>
        <w:fldChar w:fldCharType="separate"/>
      </w:r>
      <w:r w:rsidR="003F1AAB">
        <w:t>A</w:t>
      </w:r>
      <w:r>
        <w:fldChar w:fldCharType="end"/>
      </w:r>
      <w:r>
        <w:t xml:space="preserve"> provides </w:t>
      </w:r>
      <w:r w:rsidRPr="00B17075">
        <w:t>detailed reasons, including a mathematic description, for why this holds.</w:t>
      </w:r>
      <w:r w:rsidRPr="00E14029">
        <w:t xml:space="preserve"> </w:t>
      </w:r>
      <w:r>
        <w:t>Further, regarding adopting a trailing average approach more broadly:</w:t>
      </w:r>
    </w:p>
    <w:p w:rsidR="009E2035" w:rsidRDefault="009E2035" w:rsidP="009E2035">
      <w:pPr>
        <w:pStyle w:val="AERbulletlistfirststyle"/>
      </w:pPr>
      <w:r>
        <w:t xml:space="preserve">Compared to an on-the-day approach, a </w:t>
      </w:r>
      <w:r w:rsidRPr="005F6F42">
        <w:t>trailing average approach will lead to less volatile cash flows</w:t>
      </w:r>
      <w:r>
        <w:t>.</w:t>
      </w:r>
      <w:r>
        <w:rPr>
          <w:rStyle w:val="FootnoteReference"/>
        </w:rPr>
        <w:footnoteReference w:id="385"/>
      </w:r>
    </w:p>
    <w:p w:rsidR="009E2035" w:rsidRDefault="009E2035" w:rsidP="009E2035">
      <w:pPr>
        <w:pStyle w:val="AERbulletlistfirststyle"/>
      </w:pPr>
      <w:r>
        <w:t>Some stakeholders submitted that a trailing average would reduce some of the risks faced by service providers, which would eventually flow to lower betas than what we have historically seen.</w:t>
      </w:r>
      <w:r>
        <w:rPr>
          <w:rStyle w:val="FootnoteReference"/>
        </w:rPr>
        <w:footnoteReference w:id="386"/>
      </w:r>
      <w:r>
        <w:t xml:space="preserve"> Frontier also advised that a trailing average approach would result in a smooth profile for the allowed return on debt.</w:t>
      </w:r>
      <w:r>
        <w:rPr>
          <w:rStyle w:val="FootnoteReference"/>
        </w:rPr>
        <w:footnoteReference w:id="387"/>
      </w:r>
    </w:p>
    <w:p w:rsidR="009E2035" w:rsidRDefault="009E2035" w:rsidP="009E2035">
      <w:pPr>
        <w:pStyle w:val="AERbulletlistfirststyle"/>
      </w:pPr>
      <w:r>
        <w:t>A trailing average approach received broad stakeholder support.</w:t>
      </w:r>
      <w:r w:rsidRPr="004102D1">
        <w:rPr>
          <w:rStyle w:val="FootnoteReference"/>
        </w:rPr>
        <w:footnoteReference w:id="388"/>
      </w:r>
      <w:r>
        <w:t xml:space="preserve"> </w:t>
      </w:r>
    </w:p>
    <w:p w:rsidR="009E2035" w:rsidRDefault="009E2035" w:rsidP="009E2035">
      <w:r>
        <w:t>W</w:t>
      </w:r>
      <w:r w:rsidRPr="008A776F">
        <w:t xml:space="preserve">e consider the on-the-day approach could contribute to the achievement of the ARORO and </w:t>
      </w:r>
      <w:r>
        <w:t>is therefore</w:t>
      </w:r>
      <w:r w:rsidRPr="008A776F">
        <w:t xml:space="preserve"> open to us</w:t>
      </w:r>
      <w:r>
        <w:t xml:space="preserve"> (see the following section)</w:t>
      </w:r>
      <w:r w:rsidRPr="008A776F">
        <w:t xml:space="preserve">. </w:t>
      </w:r>
      <w:r>
        <w:t xml:space="preserve">On this basis, the </w:t>
      </w:r>
      <w:r w:rsidRPr="00872988">
        <w:t xml:space="preserve">present value of a benchmark efficient entity's </w:t>
      </w:r>
      <w:r>
        <w:t xml:space="preserve">allowed </w:t>
      </w:r>
      <w:r w:rsidRPr="00872988">
        <w:t>revenues</w:t>
      </w:r>
      <w:r>
        <w:t xml:space="preserve"> under the on-the-day approach would have been sufficient to compensate it for its efficient financing costs. That is, a benchmark efficient entity would not have been under- or over-valued when we calculated its debt allowance under the on-the-day approach, and continuing this approach will continue to provide correct compensation commensurate with efficient financing costs.</w:t>
      </w:r>
    </w:p>
    <w:p w:rsidR="009E2035" w:rsidRDefault="009E2035" w:rsidP="009E2035">
      <w:r>
        <w:t>If this holds, then changing</w:t>
      </w:r>
      <w:r w:rsidRPr="006102E7">
        <w:t xml:space="preserve"> the present value </w:t>
      </w:r>
      <w:r>
        <w:t>of a benchmark efficient entity would result in overcompensation (if we increase its value) or undercompensation (if we decrease its value). This would not meet the ARORO or be consistent with achieving the NEO/NGO. As such, changing debt estimation methodologies must be revenue-neutral (in a present value sense) to avoid incorrectly compensating a benchmark efficient entity relative to its efficient financing costs.</w:t>
      </w:r>
    </w:p>
    <w:p w:rsidR="009E2035" w:rsidRDefault="009E2035" w:rsidP="009E2035">
      <w:r>
        <w:t>Switching immediately from an on-the-day approach to a trailing average approach could only be revenue-neutral by chance. Specifically, this could occur if the average cost of debt over the last nine years equalled the current cost of debt in the market. However, if the nine year average was higher (lower) than the current cost of debt, then changing approaches would increase (decrease) the present value of the benchmark efficient entity. This arises because the allowed return on debt is estimated using prevailing market data under the on-the-day approach and historical market data under the trailing average approach. As such, by construction, these two</w:t>
      </w:r>
      <w:r w:rsidRPr="00AF4E25">
        <w:t xml:space="preserve"> approach</w:t>
      </w:r>
      <w:r>
        <w:t xml:space="preserve">es will typically </w:t>
      </w:r>
      <w:r w:rsidRPr="00AF4E25">
        <w:t>produce different estimates at given points in time.</w:t>
      </w:r>
    </w:p>
    <w:p w:rsidR="009E2035" w:rsidRPr="00785554" w:rsidRDefault="009E2035" w:rsidP="009E2035">
      <w:r>
        <w:t xml:space="preserve">For this reason, we </w:t>
      </w:r>
      <w:r w:rsidRPr="00785554">
        <w:t>have used our transition approach because it is approximately revenue neutral (in a present value sense).</w:t>
      </w:r>
      <w:r w:rsidRPr="00785554">
        <w:rPr>
          <w:rStyle w:val="FootnoteReference"/>
        </w:rPr>
        <w:footnoteReference w:id="389"/>
      </w:r>
      <w:r w:rsidRPr="00785554">
        <w:t xml:space="preserve"> That is, it aims to assist us in switching between methodologies to estimating the return on debt without changing the present value of a benchmark efficient entity's allowed revenues purely due to this switch. HoustonKemp provided support for a transition to avoid such changes to the present value of a benchmark efficient entity's allowed revenues and to limit 'regulatory risk' in its advice to ESCOSA.</w:t>
      </w:r>
      <w:r w:rsidRPr="00785554">
        <w:rPr>
          <w:rStyle w:val="FootnoteReference"/>
        </w:rPr>
        <w:footnoteReference w:id="390"/>
      </w:r>
      <w:r w:rsidRPr="00785554">
        <w:t xml:space="preserve"> We also note that SFG advised the AEMC that the type of transition mechanism we apply in this </w:t>
      </w:r>
      <w:r>
        <w:t xml:space="preserve">draft </w:t>
      </w:r>
      <w:r w:rsidRPr="00785554">
        <w:t>decision would be effective:</w:t>
      </w:r>
      <w:r w:rsidRPr="00785554">
        <w:rPr>
          <w:rStyle w:val="FootnoteReference"/>
        </w:rPr>
        <w:footnoteReference w:id="391"/>
      </w:r>
    </w:p>
    <w:p w:rsidR="009E2035" w:rsidRPr="002F34FF" w:rsidRDefault="009E2035" w:rsidP="009E2035">
      <w:pPr>
        <w:pStyle w:val="AERquote"/>
      </w:pPr>
      <w:r w:rsidRPr="002F34FF">
        <w:t xml:space="preserve">The type of “rolling in” arrangement </w:t>
      </w:r>
      <w:r>
        <w:t xml:space="preserve">[transition] </w:t>
      </w:r>
      <w:r w:rsidRPr="002F34FF">
        <w:t>that has been proposed by QTC</w:t>
      </w:r>
      <w:r>
        <w:t xml:space="preserve"> [the full transition we adopted]</w:t>
      </w:r>
      <w:r w:rsidRPr="002F34FF">
        <w:t xml:space="preserve"> would be an effective means of transitioning from the current Rules to the use of an historical average cost of debt approach </w:t>
      </w:r>
    </w:p>
    <w:p w:rsidR="009E2035" w:rsidRPr="00F21B32" w:rsidRDefault="009E2035" w:rsidP="009E2035">
      <w:r>
        <w:t>For completeness, changing approaches once from an on-the-day to a trailing average approach will only require one revenue neutral transition. If there was good reason to later readopt an on-the-day approach (or adopt an alternative approach that could also contribute to meeting the ARORO), this would require another once-off revenue-neutral transition. We consider this is consistent with the rules requirement to have regard to</w:t>
      </w:r>
      <w:r w:rsidRPr="008E338C">
        <w:t xml:space="preserve"> any impacts</w:t>
      </w:r>
      <w:r>
        <w:t xml:space="preserve"> on a benchmark efficient entity referred to in the ARORO</w:t>
      </w:r>
      <w:r w:rsidRPr="008E338C">
        <w:t xml:space="preserve"> that could arise </w:t>
      </w:r>
      <w:r>
        <w:t xml:space="preserve">from </w:t>
      </w:r>
      <w:r w:rsidRPr="008E338C">
        <w:t>a change of methodology.</w:t>
      </w:r>
      <w:r>
        <w:rPr>
          <w:rStyle w:val="FootnoteReference"/>
        </w:rPr>
        <w:footnoteReference w:id="392"/>
      </w:r>
      <w:r>
        <w:t xml:space="preserve"> The AEMC explained that the purpose of this aspect of the rules was:</w:t>
      </w:r>
      <w:r w:rsidRPr="00F21B32">
        <w:rPr>
          <w:rStyle w:val="FootnoteReference"/>
        </w:rPr>
        <w:footnoteReference w:id="393"/>
      </w:r>
    </w:p>
    <w:p w:rsidR="009E2035" w:rsidRDefault="009E2035" w:rsidP="009E2035">
      <w:pPr>
        <w:pStyle w:val="AERquote"/>
      </w:pPr>
      <w:proofErr w:type="gramStart"/>
      <w:r w:rsidRPr="00F21B32">
        <w:t>for</w:t>
      </w:r>
      <w:proofErr w:type="gramEnd"/>
      <w:r w:rsidRPr="00F21B32">
        <w:t xml:space="preserve"> the regulator to have regard to impacts of changes in the methodology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9E2035" w:rsidRDefault="009E2035" w:rsidP="009E2035">
      <w:pPr>
        <w:pStyle w:val="HeadingItalic"/>
      </w:pPr>
      <w:r>
        <w:t>Continuing the on-the-day approach meets the ARORO</w:t>
      </w:r>
    </w:p>
    <w:p w:rsidR="009E2035" w:rsidRDefault="009E2035" w:rsidP="009E2035">
      <w:r>
        <w:t xml:space="preserve">An </w:t>
      </w:r>
      <w:r w:rsidRPr="00AF4E25">
        <w:t xml:space="preserve">on-the-day approach provides service providers with </w:t>
      </w:r>
      <w:r>
        <w:t>a</w:t>
      </w:r>
      <w:r w:rsidRPr="00AF4E25">
        <w:t xml:space="preserve"> reasonable opportunity to recover at least efficient costs over </w:t>
      </w:r>
      <w:r>
        <w:t>the term of the RAB</w:t>
      </w:r>
      <w:r w:rsidRPr="00AF4E25">
        <w:t xml:space="preserve"> </w:t>
      </w:r>
      <w:r w:rsidRPr="00AF4E25">
        <w:rPr>
          <w:rStyle w:val="AERtextunderline"/>
        </w:rPr>
        <w:t>and</w:t>
      </w:r>
      <w:r w:rsidRPr="00AF4E25">
        <w:t xml:space="preserve"> over each </w:t>
      </w:r>
      <w:r>
        <w:t>regulatory control period</w:t>
      </w:r>
      <w:r w:rsidRPr="00AF4E25">
        <w:t xml:space="preserve">. </w:t>
      </w:r>
      <w:r>
        <w:t xml:space="preserve">Appendix </w:t>
      </w:r>
      <w:r>
        <w:fldChar w:fldCharType="begin"/>
      </w:r>
      <w:r>
        <w:instrText xml:space="preserve"> REF _Ref451267855 \r \h </w:instrText>
      </w:r>
      <w:r>
        <w:fldChar w:fldCharType="separate"/>
      </w:r>
      <w:r w:rsidR="003F1AAB">
        <w:t>A</w:t>
      </w:r>
      <w:r>
        <w:fldChar w:fldCharType="end"/>
      </w:r>
      <w:r>
        <w:t xml:space="preserve"> provides detailed reasons, including a mathematic description, for why this holds. On this basis, we consider continuing the on-the-day approach for estimating the allowed return on debt will achieve the ARORO and the NEO.</w:t>
      </w:r>
      <w:r>
        <w:rPr>
          <w:rStyle w:val="FootnoteReference"/>
        </w:rPr>
        <w:footnoteReference w:id="394"/>
      </w:r>
      <w:r>
        <w:t xml:space="preserve"> Further, as </w:t>
      </w:r>
      <w:r>
        <w:fldChar w:fldCharType="begin"/>
      </w:r>
      <w:r>
        <w:instrText xml:space="preserve"> REF  _Ref451174194 \* Lower \h </w:instrText>
      </w:r>
      <w:r>
        <w:fldChar w:fldCharType="separate"/>
      </w:r>
      <w:r w:rsidR="003F1AAB">
        <w:t xml:space="preserve">table </w:t>
      </w:r>
      <w:r w:rsidR="003F1AAB">
        <w:rPr>
          <w:noProof/>
        </w:rPr>
        <w:t>3</w:t>
      </w:r>
      <w:r w:rsidR="003F1AAB">
        <w:noBreakHyphen/>
      </w:r>
      <w:r w:rsidR="003F1AAB">
        <w:rPr>
          <w:noProof/>
        </w:rPr>
        <w:t>8</w:t>
      </w:r>
      <w:r>
        <w:fldChar w:fldCharType="end"/>
      </w:r>
      <w:r>
        <w:t xml:space="preserve"> shows, we consider that neither an on-the-day nor trailing average approach would be clearly superior to the other. Rather, each of these approaches has its own benefits and limitations</w:t>
      </w:r>
    </w:p>
    <w:p w:rsidR="009E2035" w:rsidRDefault="009E2035" w:rsidP="009E2035">
      <w:r>
        <w:t>Given this, while we adopt a trailing average</w:t>
      </w:r>
      <w:r w:rsidRPr="004B76DC">
        <w:t xml:space="preserve"> for this determination</w:t>
      </w:r>
      <w:r>
        <w:t xml:space="preserve">, we do not consider this change in methodology would be justified in the absence of a transition. Without a transition, the change to the trailing average would not be revenue neutral, but would rather increase the </w:t>
      </w:r>
      <w:r w:rsidRPr="00E817C9">
        <w:t xml:space="preserve">present value of a benchmark efficient entity's </w:t>
      </w:r>
      <w:r>
        <w:t>allowed</w:t>
      </w:r>
      <w:r w:rsidRPr="00E817C9">
        <w:t xml:space="preserve"> revenues purely due to changing the debt estimation methodology</w:t>
      </w:r>
      <w:r>
        <w:t xml:space="preserve"> (see the subsequent section). Consequently, in the absence of a transition</w:t>
      </w:r>
      <w:r w:rsidRPr="004B76DC">
        <w:t xml:space="preserve">, we would not consider a trailing approach will </w:t>
      </w:r>
      <w:r>
        <w:t>achieve</w:t>
      </w:r>
      <w:r w:rsidRPr="004B76DC">
        <w:t xml:space="preserve"> the </w:t>
      </w:r>
      <w:r>
        <w:t>ARORO</w:t>
      </w:r>
      <w:r w:rsidRPr="004B76DC">
        <w:t xml:space="preserve"> and we would instead maintain the on-the-day approach to </w:t>
      </w:r>
      <w:r>
        <w:t>estimating</w:t>
      </w:r>
      <w:r w:rsidRPr="004B76DC">
        <w:t xml:space="preserve"> the return on debt.</w:t>
      </w:r>
    </w:p>
    <w:p w:rsidR="009E2035" w:rsidRDefault="009E2035" w:rsidP="009E2035">
      <w:pPr>
        <w:pStyle w:val="Caption"/>
      </w:pPr>
      <w:bookmarkStart w:id="83" w:name="_Ref451174194"/>
      <w:r>
        <w:t xml:space="preserve">Table </w:t>
      </w:r>
      <w:fldSimple w:instr=" STYLEREF 1 \s ">
        <w:r w:rsidR="003F1AAB">
          <w:rPr>
            <w:noProof/>
          </w:rPr>
          <w:t>3</w:t>
        </w:r>
      </w:fldSimple>
      <w:r>
        <w:noBreakHyphen/>
      </w:r>
      <w:fldSimple w:instr=" SEQ Table \* ARABIC \s 1 ">
        <w:r w:rsidR="003F1AAB">
          <w:rPr>
            <w:noProof/>
          </w:rPr>
          <w:t>8</w:t>
        </w:r>
      </w:fldSimple>
      <w:bookmarkEnd w:id="83"/>
      <w:r>
        <w:t>: Benefits of different debt approaches</w:t>
      </w:r>
    </w:p>
    <w:tbl>
      <w:tblPr>
        <w:tblStyle w:val="AERtable-text0"/>
        <w:tblW w:w="0" w:type="auto"/>
        <w:tblLook w:val="04A0" w:firstRow="1" w:lastRow="0" w:firstColumn="1" w:lastColumn="0" w:noHBand="0" w:noVBand="1"/>
      </w:tblPr>
      <w:tblGrid>
        <w:gridCol w:w="4346"/>
        <w:gridCol w:w="4347"/>
      </w:tblGrid>
      <w:tr w:rsidR="009E2035" w:rsidTr="009E2035">
        <w:trPr>
          <w:cnfStyle w:val="100000000000" w:firstRow="1" w:lastRow="0" w:firstColumn="0" w:lastColumn="0" w:oddVBand="0" w:evenVBand="0" w:oddHBand="0" w:evenHBand="0" w:firstRowFirstColumn="0" w:firstRowLastColumn="0" w:lastRowFirstColumn="0" w:lastRowLastColumn="0"/>
        </w:trPr>
        <w:tc>
          <w:tcPr>
            <w:tcW w:w="4346" w:type="dxa"/>
          </w:tcPr>
          <w:p w:rsidR="009E2035" w:rsidRPr="009E2035" w:rsidRDefault="009E2035" w:rsidP="009E2035">
            <w:r>
              <w:t>Benefits of a trailing average approach</w:t>
            </w:r>
          </w:p>
        </w:tc>
        <w:tc>
          <w:tcPr>
            <w:tcW w:w="4347" w:type="dxa"/>
          </w:tcPr>
          <w:p w:rsidR="009E2035" w:rsidRPr="009E2035" w:rsidRDefault="009E2035" w:rsidP="009E2035">
            <w:r>
              <w:t>Benefits of an on-the-day approach</w:t>
            </w:r>
          </w:p>
        </w:tc>
      </w:tr>
      <w:tr w:rsidR="009E2035" w:rsidTr="009E2035">
        <w:tc>
          <w:tcPr>
            <w:tcW w:w="4346" w:type="dxa"/>
          </w:tcPr>
          <w:p w:rsidR="009E2035" w:rsidRPr="009E2035" w:rsidRDefault="009E2035" w:rsidP="009E2035">
            <w:r w:rsidRPr="009F3831">
              <w:t xml:space="preserve"> </w:t>
            </w:r>
          </w:p>
          <w:p w:rsidR="009E2035" w:rsidRPr="009E2035" w:rsidRDefault="009E2035" w:rsidP="009E2035">
            <w:r>
              <w:t xml:space="preserve">A trailing average approach provides </w:t>
            </w:r>
            <w:r w:rsidRPr="009E2035">
              <w:t>service providers with a regulatory benchmark that they can more readily match each regulatory control period.</w:t>
            </w:r>
            <w:r w:rsidRPr="009E2035">
              <w:rPr>
                <w:rStyle w:val="FootnoteReference"/>
              </w:rPr>
              <w:footnoteReference w:id="395"/>
            </w:r>
            <w:r w:rsidRPr="009E2035">
              <w:t xml:space="preserve"> As such, this provides a benchmark efficient entity with an enhanced opportunity to minimise any mismatch between actual costs and regulated revenues.</w:t>
            </w:r>
            <w:r w:rsidRPr="009E2035">
              <w:rPr>
                <w:rStyle w:val="FootnoteReference"/>
              </w:rPr>
              <w:footnoteReference w:id="396"/>
            </w:r>
            <w:r w:rsidRPr="009E2035">
              <w:t xml:space="preserve"> Nevertheless, it is important to note that this mismatch risk would not result in a benchmark efficient entity being ex-ante over- or under-compensated for its efficient debt financing costs for a regulatory control period or over the life of its assets.</w:t>
            </w:r>
          </w:p>
          <w:p w:rsidR="009E2035" w:rsidRPr="009E2035" w:rsidRDefault="009E2035" w:rsidP="009E2035">
            <w:r>
              <w:t xml:space="preserve">All else </w:t>
            </w:r>
            <w:r w:rsidRPr="009E2035">
              <w:t xml:space="preserve">being equal, this reduced risk and the reduced need to enter hedging arrangements might lower the efficient cost of financing for a benchmark efficient entity and increase productive efficiency. </w:t>
            </w:r>
          </w:p>
          <w:p w:rsidR="009E2035" w:rsidRPr="009E2035" w:rsidRDefault="009E2035" w:rsidP="009E2035">
            <w:r>
              <w:t>A trailing average is likely to provide for a smoother price path than the on-the-day approach. Regulatory revenues adjust gradually to movements in interest rates. By contrast, the on-the-day approach can lead to large shifts in revenue at each reset if underlying interest rates have</w:t>
            </w:r>
            <w:r w:rsidRPr="009E2035">
              <w:t xml:space="preserve"> moved since the last reset.</w:t>
            </w:r>
          </w:p>
        </w:tc>
        <w:tc>
          <w:tcPr>
            <w:tcW w:w="4347" w:type="dxa"/>
          </w:tcPr>
          <w:p w:rsidR="009E2035" w:rsidRPr="009E2035" w:rsidRDefault="009E2035" w:rsidP="009E2035">
            <w:r>
              <w:t xml:space="preserve">An </w:t>
            </w:r>
            <w:r w:rsidRPr="009E2035">
              <w:t>on-the-day approach better reflects the prevailing cost of debt in the capital market near the commencement of the regulatory control period. Due to this, it:</w:t>
            </w:r>
          </w:p>
          <w:p w:rsidR="009E2035" w:rsidRPr="009E2035" w:rsidRDefault="009E2035" w:rsidP="009E2035">
            <w:pPr>
              <w:pStyle w:val="AERbulletlistfirststyle"/>
            </w:pPr>
            <w:r>
              <w:t xml:space="preserve">Better reflects </w:t>
            </w:r>
            <w:r w:rsidRPr="009E2035">
              <w:t>investors' opportunity cost of debt and expectations of future returns near the commencement of the regulatory control period.</w:t>
            </w:r>
            <w:r w:rsidRPr="009E2035">
              <w:rPr>
                <w:rStyle w:val="FootnoteReference"/>
              </w:rPr>
              <w:footnoteReference w:id="397"/>
            </w:r>
            <w:r w:rsidRPr="009E2035">
              <w:t xml:space="preserve"> It therefore provides a better signal for efficient investment decisions that increase dynamic efficiency. This is consistent with  the AEMC's view that the return on debt framework should minimise the risk of creating distortions in service providers' investment decisions:</w:t>
            </w:r>
            <w:r w:rsidRPr="009E2035">
              <w:rPr>
                <w:rStyle w:val="FootnoteReference"/>
              </w:rPr>
              <w:footnoteReference w:id="398"/>
            </w:r>
          </w:p>
          <w:p w:rsidR="009E2035" w:rsidRPr="009E2035" w:rsidRDefault="009E2035" w:rsidP="009E2035">
            <w:pPr>
              <w:pStyle w:val="AERbulletlistfirststyle"/>
            </w:pPr>
            <w:r>
              <w:t xml:space="preserve">Is more internally consistent with how we estimate other components of the allowed rate of return and the building block model more generally. </w:t>
            </w:r>
          </w:p>
          <w:p w:rsidR="009E2035" w:rsidRPr="009E2035" w:rsidRDefault="009E2035" w:rsidP="009E2035">
            <w:pPr>
              <w:pStyle w:val="AERbulletlistfirststyle"/>
            </w:pPr>
            <w:r>
              <w:t>Leads to an estimate that is commensurate with efficient financing costs and competitive market outcomes</w:t>
            </w:r>
            <w:r w:rsidRPr="009E2035">
              <w:t xml:space="preserve"> near the commencement of the regulatory control period. We expect prevailing market rates for capital finance to be competitive.</w:t>
            </w:r>
            <w:r w:rsidRPr="009E2035">
              <w:rPr>
                <w:rStyle w:val="FootnoteReference"/>
              </w:rPr>
              <w:footnoteReference w:id="399"/>
            </w:r>
            <w:r w:rsidRPr="009E2035">
              <w:t xml:space="preserve"> Moreover, a return on debt that reflects the current market rate more closely imitates the outcomes of a competitive market by representing the costs that other service providers will face to enter the market.</w:t>
            </w:r>
            <w:r w:rsidRPr="009E2035">
              <w:rPr>
                <w:rStyle w:val="FootnoteReference"/>
              </w:rPr>
              <w:footnoteReference w:id="400"/>
            </w:r>
          </w:p>
        </w:tc>
      </w:tr>
    </w:tbl>
    <w:p w:rsidR="009E2035" w:rsidRDefault="009E2035" w:rsidP="009E2035">
      <w:pPr>
        <w:pStyle w:val="AERtablesource"/>
      </w:pPr>
      <w:r>
        <w:t xml:space="preserve">Source: </w:t>
      </w:r>
      <w:r>
        <w:tab/>
        <w:t>AER analysis.</w:t>
      </w:r>
    </w:p>
    <w:p w:rsidR="009E2035" w:rsidRDefault="009E2035" w:rsidP="009E2035">
      <w:pPr>
        <w:pStyle w:val="HeadingBoldItalic"/>
      </w:pPr>
      <w:r>
        <w:t xml:space="preserve">Other proposed transition paths will not </w:t>
      </w:r>
      <w:r w:rsidRPr="000F6A5E">
        <w:t>contribute to the achievement of the ARORO</w:t>
      </w:r>
    </w:p>
    <w:p w:rsidR="009E2035" w:rsidRPr="008D3A72" w:rsidRDefault="009E2035" w:rsidP="009E2035">
      <w:r>
        <w:t xml:space="preserve">Where service providers have proposed departing from the Guideline in how they transition to a trailing average approach, we have characterised this as effectively </w:t>
      </w:r>
      <w:r w:rsidRPr="008D3A72">
        <w:t xml:space="preserve">proposing two separate things: </w:t>
      </w:r>
    </w:p>
    <w:p w:rsidR="009E2035" w:rsidRDefault="009E2035" w:rsidP="009E2035">
      <w:pPr>
        <w:pStyle w:val="AERbulletlistfirststyle"/>
      </w:pPr>
      <w:r>
        <w:t xml:space="preserve">to move to a trailing average methodology; and </w:t>
      </w:r>
    </w:p>
    <w:p w:rsidR="009E2035" w:rsidRDefault="009E2035" w:rsidP="009E2035">
      <w:pPr>
        <w:pStyle w:val="AERbulletlistfirststyle"/>
      </w:pPr>
      <w:proofErr w:type="gramStart"/>
      <w:r>
        <w:t>to</w:t>
      </w:r>
      <w:proofErr w:type="gramEnd"/>
      <w:r>
        <w:t xml:space="preserve"> increase the</w:t>
      </w:r>
      <w:r w:rsidRPr="00BC2869">
        <w:t xml:space="preserve"> net present value </w:t>
      </w:r>
      <w:r>
        <w:t>of their</w:t>
      </w:r>
      <w:r w:rsidRPr="00BC2869">
        <w:t xml:space="preserve"> assets (and associated revenues) </w:t>
      </w:r>
      <w:r>
        <w:t xml:space="preserve">by proposing to move a trailing average methodology in a manner that is not revenue neutral. </w:t>
      </w:r>
    </w:p>
    <w:p w:rsidR="009E2035" w:rsidRDefault="009E2035" w:rsidP="009E2035">
      <w:r>
        <w:t>We have seen these</w:t>
      </w:r>
      <w:r w:rsidRPr="00E9566E">
        <w:t xml:space="preserve"> a</w:t>
      </w:r>
      <w:r>
        <w:t>s</w:t>
      </w:r>
      <w:r w:rsidRPr="00E9566E">
        <w:t xml:space="preserve"> separate issues</w:t>
      </w:r>
      <w:r>
        <w:t>. We have also observed that, as long as a revenue-neutral transition is applied, the first issue is not in contention. This has warranted predominately responding to the second issue</w:t>
      </w:r>
      <w:r w:rsidRPr="00785554">
        <w:t>―</w:t>
      </w:r>
      <w:r>
        <w:t>the form of transition.</w:t>
      </w:r>
      <w:r w:rsidRPr="002E2AE0">
        <w:t xml:space="preserve"> </w:t>
      </w:r>
      <w:r>
        <w:t>As such, we have carefully consider</w:t>
      </w:r>
      <w:r w:rsidRPr="00785554">
        <w:t xml:space="preserve">ed </w:t>
      </w:r>
      <w:r>
        <w:t>several proposed</w:t>
      </w:r>
      <w:r w:rsidRPr="00785554">
        <w:t xml:space="preserve"> transition paths</w:t>
      </w:r>
      <w:r>
        <w:t>, including:</w:t>
      </w:r>
    </w:p>
    <w:p w:rsidR="009E2035" w:rsidRDefault="009E2035" w:rsidP="009E2035">
      <w:pPr>
        <w:pStyle w:val="AERbulletlistfirststyle"/>
      </w:pPr>
      <w:r>
        <w:t>No transition (or an immediate move) to a trailing average</w:t>
      </w:r>
      <w:r w:rsidRPr="007D2546">
        <w:t>—Adopt a backwards looking trailing average approach (no transition on either the base rate or DRP components of the return on debt).</w:t>
      </w:r>
      <w:r>
        <w:rPr>
          <w:rStyle w:val="FootnoteReference"/>
        </w:rPr>
        <w:footnoteReference w:id="401"/>
      </w:r>
    </w:p>
    <w:p w:rsidR="009E2035" w:rsidRPr="007D2546" w:rsidRDefault="009E2035" w:rsidP="009E2035">
      <w:pPr>
        <w:pStyle w:val="AERbulletlistfirststyle"/>
      </w:pPr>
      <w:r w:rsidRPr="007D2546">
        <w:t>Hybrid transition—Start with an on-the-day</w:t>
      </w:r>
      <w:r>
        <w:t xml:space="preserve"> approach</w:t>
      </w:r>
      <w:r w:rsidRPr="007D2546">
        <w:t xml:space="preserve"> for the base rate component and gradually transition into a trailing average approach over 10 years. This would be combined with a backwards looking trailing average DRP (that is, a base rate transition only).</w:t>
      </w:r>
      <w:r w:rsidRPr="00635343">
        <w:rPr>
          <w:rStyle w:val="FootnoteReference"/>
        </w:rPr>
        <w:footnoteReference w:id="402"/>
      </w:r>
    </w:p>
    <w:p w:rsidR="009E2035" w:rsidRDefault="009E2035" w:rsidP="009E2035">
      <w:pPr>
        <w:pStyle w:val="AERbulletlistfirststyle"/>
      </w:pPr>
      <w:r>
        <w:t>Hybrid transition under partial hedging</w:t>
      </w:r>
      <w:r w:rsidRPr="007D2546">
        <w:t>—</w:t>
      </w:r>
      <w:r>
        <w:t>Assume a benchmark efficient entity hedged only one third of the base rate under the on-the-day regime on the basis that this would have been ex-post optimal.</w:t>
      </w:r>
      <w:r w:rsidRPr="00635343">
        <w:rPr>
          <w:rStyle w:val="FootnoteReference"/>
        </w:rPr>
        <w:footnoteReference w:id="403"/>
      </w:r>
      <w:r>
        <w:t xml:space="preserve"> G</w:t>
      </w:r>
      <w:r w:rsidRPr="007D2546">
        <w:t xml:space="preserve">radually transition </w:t>
      </w:r>
      <w:r>
        <w:t>this portion of the base rate</w:t>
      </w:r>
      <w:r w:rsidRPr="009F377E">
        <w:t xml:space="preserve"> </w:t>
      </w:r>
      <w:r>
        <w:t xml:space="preserve">and apply an immediate trailing average to the other two thirds of the base rate and the entire DRP component. </w:t>
      </w:r>
    </w:p>
    <w:p w:rsidR="009E2035" w:rsidRDefault="009E2035" w:rsidP="009E2035">
      <w:r>
        <w:t xml:space="preserve">For the reasons discussed below, we do not consider any of these transition paths would contribute to the achievement of the ARORO. </w:t>
      </w:r>
    </w:p>
    <w:p w:rsidR="009E2035" w:rsidRDefault="009E2035" w:rsidP="009E2035">
      <w:pPr>
        <w:pStyle w:val="HeadingItalic"/>
      </w:pPr>
      <w:r>
        <w:t xml:space="preserve">Immediate transition will </w:t>
      </w:r>
      <w:r w:rsidRPr="00F72EF1">
        <w:t xml:space="preserve">not contribute to the achievement </w:t>
      </w:r>
      <w:r>
        <w:t>of the ARORO</w:t>
      </w:r>
    </w:p>
    <w:p w:rsidR="009E2035" w:rsidRDefault="009E2035" w:rsidP="009E2035">
      <w:r w:rsidRPr="00D001FE">
        <w:rPr>
          <w:rStyle w:val="AERbody"/>
        </w:rPr>
        <w:t xml:space="preserve">For the reasons discussed </w:t>
      </w:r>
      <w:r>
        <w:rPr>
          <w:rStyle w:val="AERbody"/>
        </w:rPr>
        <w:t>above under, 't</w:t>
      </w:r>
      <w:r w:rsidRPr="00D001FE">
        <w:rPr>
          <w:rStyle w:val="AERbody"/>
        </w:rPr>
        <w:t>railing average (with full transition) meets the ARORO</w:t>
      </w:r>
      <w:r>
        <w:rPr>
          <w:rStyle w:val="AERbody"/>
        </w:rPr>
        <w:t>', i</w:t>
      </w:r>
      <w:r>
        <w:t>mmediately</w:t>
      </w:r>
      <w:r w:rsidRPr="00F72EF1">
        <w:t xml:space="preserve"> moving to a trailing average by immediately adopting a historical cost of debt is likely to change the present value of a benchmark efficie</w:t>
      </w:r>
      <w:r>
        <w:t xml:space="preserve">nt entity's allowed revenues </w:t>
      </w:r>
      <w:r w:rsidRPr="00F72EF1">
        <w:t xml:space="preserve">relative to </w:t>
      </w:r>
      <w:r>
        <w:t>a continuation of</w:t>
      </w:r>
      <w:r w:rsidRPr="00F72EF1">
        <w:t xml:space="preserve"> </w:t>
      </w:r>
      <w:r>
        <w:t>the on-the-day approach.</w:t>
      </w:r>
    </w:p>
    <w:p w:rsidR="009E2035" w:rsidRDefault="009E2035" w:rsidP="009E2035">
      <w:r>
        <w:t>T</w:t>
      </w:r>
      <w:r w:rsidRPr="00F72EF1">
        <w:t>he current market cost of debt is considerably below the average market cost of debt over the past nine years</w:t>
      </w:r>
      <w:r>
        <w:t>. As such, in current circumstances</w:t>
      </w:r>
      <w:r w:rsidRPr="00F72EF1">
        <w:t xml:space="preserve">, an immediate transition would lead to an excess positive return relative to the efficient return in the market. All else being equal, this will result in a material increase in the present value of a benchmark efficient entity's </w:t>
      </w:r>
      <w:r>
        <w:t>allowed</w:t>
      </w:r>
      <w:r w:rsidRPr="00F72EF1">
        <w:t xml:space="preserve"> revenues </w:t>
      </w:r>
      <w:r>
        <w:t>relative to its expected efficient costs</w:t>
      </w:r>
      <w:r w:rsidRPr="00F72EF1">
        <w:t xml:space="preserve"> to a value well above its RAB, thereby </w:t>
      </w:r>
      <w:proofErr w:type="gramStart"/>
      <w:r w:rsidRPr="00F72EF1">
        <w:t>overcompensating</w:t>
      </w:r>
      <w:proofErr w:type="gramEnd"/>
      <w:r w:rsidRPr="00F72EF1">
        <w:t xml:space="preserve"> it. </w:t>
      </w:r>
      <w:r>
        <w:t>No service provider</w:t>
      </w:r>
      <w:r w:rsidRPr="00F72EF1">
        <w:t xml:space="preserve"> </w:t>
      </w:r>
      <w:r>
        <w:t>has submitted material that</w:t>
      </w:r>
      <w:r w:rsidRPr="00D152FC">
        <w:t xml:space="preserve"> </w:t>
      </w:r>
      <w:r>
        <w:t>satisfies</w:t>
      </w:r>
      <w:r w:rsidRPr="00D152FC">
        <w:t xml:space="preserve"> us that materially increasing the present value of their </w:t>
      </w:r>
      <w:r>
        <w:t xml:space="preserve">allowed </w:t>
      </w:r>
      <w:r w:rsidRPr="00D152FC">
        <w:t>revenues from the change in methodology would contribute to the achievement of the ARORO or be consistent with the NEL/NGL.</w:t>
      </w:r>
    </w:p>
    <w:p w:rsidR="009E2035" w:rsidRPr="00F72EF1" w:rsidRDefault="009E2035" w:rsidP="009E2035">
      <w:r>
        <w:t>It is worth noting that e</w:t>
      </w:r>
      <w:r w:rsidRPr="00F72EF1">
        <w:t>qually, the trend in interest rates</w:t>
      </w:r>
      <w:r>
        <w:t xml:space="preserve"> could have</w:t>
      </w:r>
      <w:r w:rsidRPr="00F72EF1">
        <w:t xml:space="preserve"> been reversed</w:t>
      </w:r>
      <w:r w:rsidRPr="00F72EF1">
        <w:rPr>
          <w:rStyle w:val="AERbody"/>
        </w:rPr>
        <w:t xml:space="preserve"> (that is, if we had moved from a low to high interest rate environment)</w:t>
      </w:r>
      <w:r>
        <w:t>. If this occurred,</w:t>
      </w:r>
      <w:r w:rsidRPr="00F72EF1">
        <w:t xml:space="preserve"> an immediate transition would have led to a material decrease in the present value of a benchmark efficient entity's </w:t>
      </w:r>
      <w:r>
        <w:t>allowed</w:t>
      </w:r>
      <w:r w:rsidRPr="00F72EF1">
        <w:t xml:space="preserve"> revenues relative to its </w:t>
      </w:r>
      <w:r>
        <w:t>expected efficient</w:t>
      </w:r>
      <w:r w:rsidRPr="00F72EF1">
        <w:t xml:space="preserve"> costs, thereby undercompensating it. That is, </w:t>
      </w:r>
      <w:r w:rsidRPr="00F72EF1">
        <w:rPr>
          <w:rStyle w:val="AERbody"/>
        </w:rPr>
        <w:t>the allowed return would have been below the efficient financing costs of a benchmark efficient entity.</w:t>
      </w:r>
      <w:r w:rsidRPr="00F72EF1">
        <w:t xml:space="preserve"> Neither outcome would achieve the ARORO and would not lead to efficient investment and use of infrastructure</w:t>
      </w:r>
      <w:r>
        <w:t>,</w:t>
      </w:r>
      <w:r w:rsidRPr="00F72EF1">
        <w:t xml:space="preserve"> </w:t>
      </w:r>
      <w:r w:rsidRPr="00F72EF1">
        <w:rPr>
          <w:rStyle w:val="AERbody"/>
        </w:rPr>
        <w:t>in the long term interest of consumers</w:t>
      </w:r>
      <w:r w:rsidRPr="00F72EF1">
        <w:t>.</w:t>
      </w:r>
      <w:r w:rsidRPr="00F72EF1">
        <w:rPr>
          <w:rStyle w:val="AERbody"/>
        </w:rPr>
        <w:t xml:space="preserve"> We explain this and show this mathematically in detail in </w:t>
      </w:r>
      <w:r>
        <w:t>A</w:t>
      </w:r>
      <w:r w:rsidRPr="00F72EF1">
        <w:t xml:space="preserve">ppendix </w:t>
      </w:r>
      <w:r>
        <w:rPr>
          <w:rStyle w:val="AERbody"/>
        </w:rPr>
        <w:fldChar w:fldCharType="begin"/>
      </w:r>
      <w:r>
        <w:instrText xml:space="preserve"> REF _Ref451267869 \r \h </w:instrText>
      </w:r>
      <w:r>
        <w:rPr>
          <w:rStyle w:val="AERbody"/>
        </w:rPr>
      </w:r>
      <w:r>
        <w:rPr>
          <w:rStyle w:val="AERbody"/>
        </w:rPr>
        <w:fldChar w:fldCharType="separate"/>
      </w:r>
      <w:r w:rsidR="003F1AAB">
        <w:t>A</w:t>
      </w:r>
      <w:r>
        <w:rPr>
          <w:rStyle w:val="AERbody"/>
        </w:rPr>
        <w:fldChar w:fldCharType="end"/>
      </w:r>
      <w:r w:rsidRPr="00610804">
        <w:rPr>
          <w:rStyle w:val="AERbody"/>
        </w:rPr>
        <w:t>.</w:t>
      </w:r>
    </w:p>
    <w:p w:rsidR="009E2035" w:rsidRPr="009F3831" w:rsidRDefault="009E2035" w:rsidP="009E2035">
      <w:r>
        <w:t>Further, we consider that</w:t>
      </w:r>
      <w:r w:rsidRPr="009F3831">
        <w:t xml:space="preserve"> failing to implement a revenue neutral transition would undermine the ARORO and the NEL/NGL for the following reasons:</w:t>
      </w:r>
    </w:p>
    <w:p w:rsidR="009E2035" w:rsidRDefault="009E2035" w:rsidP="009E2035">
      <w:pPr>
        <w:pStyle w:val="AERbulletlistfirststyle"/>
      </w:pPr>
      <w:r>
        <w:t xml:space="preserve">The future return on debt allowance would have </w:t>
      </w:r>
      <w:r w:rsidRPr="00F21B32">
        <w:t xml:space="preserve">a </w:t>
      </w:r>
      <w:r>
        <w:t xml:space="preserve">different </w:t>
      </w:r>
      <w:r w:rsidRPr="00F21B32">
        <w:t>present value</w:t>
      </w:r>
      <w:r>
        <w:t xml:space="preserve"> if we switched methodologies to estimating the allowed return on debt without a transition.</w:t>
      </w:r>
      <w:r w:rsidRPr="00F21B32">
        <w:t xml:space="preserve"> </w:t>
      </w:r>
      <w:r>
        <w:t>In A</w:t>
      </w:r>
      <w:r w:rsidRPr="00F72EF1">
        <w:t xml:space="preserve">ppendix </w:t>
      </w:r>
      <w:r>
        <w:rPr>
          <w:rStyle w:val="AERbody"/>
        </w:rPr>
        <w:fldChar w:fldCharType="begin"/>
      </w:r>
      <w:r>
        <w:instrText xml:space="preserve"> REF _Ref451267869 \r \h </w:instrText>
      </w:r>
      <w:r>
        <w:rPr>
          <w:rStyle w:val="AERbody"/>
        </w:rPr>
      </w:r>
      <w:r>
        <w:rPr>
          <w:rStyle w:val="AERbody"/>
        </w:rPr>
        <w:fldChar w:fldCharType="separate"/>
      </w:r>
      <w:r w:rsidR="003F1AAB">
        <w:t>A</w:t>
      </w:r>
      <w:r>
        <w:rPr>
          <w:rStyle w:val="AERbody"/>
        </w:rPr>
        <w:fldChar w:fldCharType="end"/>
      </w:r>
      <w:r>
        <w:t xml:space="preserve">, we establish that continuing the on-the-day approach would satisfy the ARORO. Given this, changing approaches must be revenue neutral or it would either </w:t>
      </w:r>
      <w:r w:rsidRPr="00F21B32">
        <w:t>over</w:t>
      </w:r>
      <w:r>
        <w:t>- or under-</w:t>
      </w:r>
      <w:r w:rsidRPr="00F21B32">
        <w:t xml:space="preserve">compensate </w:t>
      </w:r>
      <w:r>
        <w:t>a benchmark efficient entity for its efficient debt financing costs</w:t>
      </w:r>
      <w:r w:rsidRPr="00F21B32">
        <w:t>.</w:t>
      </w:r>
      <w:r>
        <w:t xml:space="preserve"> We do not consider this outcome contributes to the achievement of the ARORO, NEO/NGO or RPPs.</w:t>
      </w:r>
      <w:r w:rsidRPr="00F21B32">
        <w:t xml:space="preserve"> </w:t>
      </w:r>
    </w:p>
    <w:p w:rsidR="009E2035" w:rsidRDefault="009E2035" w:rsidP="009E2035">
      <w:pPr>
        <w:pStyle w:val="AERbulletlistfirststyle"/>
      </w:pPr>
      <w:r>
        <w:t>If switching to a trailing average approach is not revenue neutral, this would change the present value of a benchmark efficient entity's expected regulated cash flows compared to the value of the expected cash flows that would be consistent with the investor expectations when they invested (under the on-the-day approach). This may increase expected regulatory uncertainty. T</w:t>
      </w:r>
      <w:r w:rsidRPr="00AC4D63">
        <w:t xml:space="preserve">his may undermine confidence in the predictability of the regulatory arrangements and </w:t>
      </w:r>
      <w:r>
        <w:t>lead to an inefficient increase in</w:t>
      </w:r>
      <w:r w:rsidRPr="00AC4D63">
        <w:t xml:space="preserve"> financing costs (all else </w:t>
      </w:r>
      <w:r>
        <w:t xml:space="preserve">being </w:t>
      </w:r>
      <w:r w:rsidRPr="00AC4D63">
        <w:t>equal).</w:t>
      </w:r>
      <w:r w:rsidRPr="004871A6">
        <w:rPr>
          <w:rStyle w:val="FootnoteReference"/>
        </w:rPr>
        <w:footnoteReference w:id="404"/>
      </w:r>
      <w:r>
        <w:t xml:space="preserve"> This is consistent with SFG's advice to the AEMC </w:t>
      </w:r>
      <w:r w:rsidRPr="00873DA6">
        <w:t>that</w:t>
      </w:r>
      <w:r>
        <w:t>:</w:t>
      </w:r>
      <w:r w:rsidRPr="00873DA6">
        <w:rPr>
          <w:rStyle w:val="FootnoteReference"/>
        </w:rPr>
        <w:footnoteReference w:id="405"/>
      </w:r>
    </w:p>
    <w:p w:rsidR="009E2035" w:rsidRPr="008D3474" w:rsidRDefault="009E2035" w:rsidP="009E2035">
      <w:pPr>
        <w:pStyle w:val="AERquote"/>
      </w:pPr>
      <w:r w:rsidRPr="00993131">
        <w:t>The lack of any transition arrangements in a setting whether the rule change exposes regulated businesses to risks that they did not previously face is likely to be viewed by the market for funds as a signal that a higher degree of regulatory risk should be p</w:t>
      </w:r>
      <w:r w:rsidRPr="008D3474">
        <w:t>riced into their provision of funds. Such an outcome is unlikely to be consistent with the NEO and RPP.</w:t>
      </w:r>
    </w:p>
    <w:p w:rsidR="009E2035" w:rsidRDefault="009E2035" w:rsidP="009E2035">
      <w:pPr>
        <w:pStyle w:val="AERbulletlistfirststyle"/>
      </w:pPr>
      <w:r>
        <w:t>I</w:t>
      </w:r>
      <w:r w:rsidRPr="00873DA6">
        <w:t>ncentives on service providers to adopt efficient financing practices (and thereby minimise their long run cost of capital</w:t>
      </w:r>
      <w:r>
        <w:t xml:space="preserve"> all else being equal</w:t>
      </w:r>
      <w:r w:rsidRPr="00873DA6">
        <w:t>) under the regulatory regime</w:t>
      </w:r>
      <w:r>
        <w:t xml:space="preserve"> may be undermined</w:t>
      </w:r>
      <w:r w:rsidRPr="00873DA6">
        <w:t>.</w:t>
      </w:r>
      <w:r w:rsidRPr="00873DA6">
        <w:rPr>
          <w:rStyle w:val="FootnoteReference"/>
        </w:rPr>
        <w:footnoteReference w:id="406"/>
      </w:r>
      <w:r w:rsidRPr="00873DA6">
        <w:t xml:space="preserve"> </w:t>
      </w:r>
      <w:r>
        <w:t>For instance, by allowing service providers to bear the consequences (or reap the benefits) of their actions from</w:t>
      </w:r>
      <w:r w:rsidRPr="00873DA6">
        <w:t xml:space="preserve"> prior </w:t>
      </w:r>
      <w:r>
        <w:t>regulatory control period</w:t>
      </w:r>
      <w:r w:rsidRPr="00873DA6">
        <w:t>s</w:t>
      </w:r>
      <w:r>
        <w:t>, this</w:t>
      </w:r>
      <w:r w:rsidRPr="00873DA6">
        <w:t xml:space="preserve"> </w:t>
      </w:r>
      <w:r>
        <w:t>incentivises them</w:t>
      </w:r>
      <w:r w:rsidRPr="00873DA6">
        <w:t xml:space="preserve"> to efficiently manage financial risk</w:t>
      </w:r>
      <w:r>
        <w:t>.</w:t>
      </w:r>
    </w:p>
    <w:p w:rsidR="009E2035" w:rsidRDefault="009E2035" w:rsidP="009E2035">
      <w:pPr>
        <w:pStyle w:val="HeadingItalic"/>
      </w:pPr>
      <w:r>
        <w:t>Hybrid transitions will not contribute to the achievement of the ARORO</w:t>
      </w:r>
    </w:p>
    <w:p w:rsidR="009E2035" w:rsidRDefault="009E2035" w:rsidP="009E2035">
      <w:pPr>
        <w:rPr>
          <w:rStyle w:val="AERbody"/>
        </w:rPr>
      </w:pPr>
      <w:r>
        <w:rPr>
          <w:rStyle w:val="AERbody"/>
        </w:rPr>
        <w:t xml:space="preserve">As </w:t>
      </w:r>
      <w:r>
        <w:rPr>
          <w:rStyle w:val="AERbody"/>
        </w:rPr>
        <w:fldChar w:fldCharType="begin"/>
      </w:r>
      <w:r>
        <w:rPr>
          <w:rStyle w:val="AERbody"/>
        </w:rPr>
        <w:instrText xml:space="preserve"> REF  _Ref451174220 \* Lower \h </w:instrText>
      </w:r>
      <w:r>
        <w:rPr>
          <w:rStyle w:val="AERbody"/>
        </w:rPr>
      </w:r>
      <w:r>
        <w:rPr>
          <w:rStyle w:val="AERbody"/>
        </w:rPr>
        <w:fldChar w:fldCharType="separate"/>
      </w:r>
      <w:r w:rsidR="003F1AAB">
        <w:t xml:space="preserve">table </w:t>
      </w:r>
      <w:r w:rsidR="003F1AAB">
        <w:rPr>
          <w:noProof/>
        </w:rPr>
        <w:t>3</w:t>
      </w:r>
      <w:r w:rsidR="003F1AAB">
        <w:noBreakHyphen/>
      </w:r>
      <w:r w:rsidR="003F1AAB">
        <w:rPr>
          <w:noProof/>
        </w:rPr>
        <w:t>9</w:t>
      </w:r>
      <w:r>
        <w:rPr>
          <w:rStyle w:val="AERbody"/>
        </w:rPr>
        <w:fldChar w:fldCharType="end"/>
      </w:r>
      <w:r>
        <w:rPr>
          <w:rStyle w:val="AERbody"/>
        </w:rPr>
        <w:t xml:space="preserve"> highlights, both hybrid transitions are effectively different combinations of a 'full transition' and 'no transition'. On the basis that a full transition contributes to the achievement of the ARORO and no transition fails to achieve this, then both hybrid transitions would fail to </w:t>
      </w:r>
      <w:r w:rsidRPr="0042237F">
        <w:rPr>
          <w:rStyle w:val="AERbody"/>
        </w:rPr>
        <w:t xml:space="preserve">achieve </w:t>
      </w:r>
      <w:r>
        <w:rPr>
          <w:rStyle w:val="AERbody"/>
        </w:rPr>
        <w:t xml:space="preserve">the ARORO. For this reason, our analysis above on why immediately moving to a trailing average approach will not contribute to the achievement of the ARORO also applies to the hybrid transitions that service providers have proposed. </w:t>
      </w:r>
    </w:p>
    <w:p w:rsidR="009E2035" w:rsidRDefault="009E2035" w:rsidP="009E2035">
      <w:pPr>
        <w:pStyle w:val="Caption"/>
        <w:rPr>
          <w:rStyle w:val="AERbody"/>
        </w:rPr>
      </w:pPr>
      <w:bookmarkStart w:id="84" w:name="_Ref451174220"/>
      <w:r>
        <w:t xml:space="preserve">Table </w:t>
      </w:r>
      <w:fldSimple w:instr=" STYLEREF 1 \s ">
        <w:r w:rsidR="003F1AAB">
          <w:rPr>
            <w:noProof/>
          </w:rPr>
          <w:t>3</w:t>
        </w:r>
      </w:fldSimple>
      <w:r>
        <w:noBreakHyphen/>
      </w:r>
      <w:fldSimple w:instr=" SEQ Table \* ARABIC \s 1 ">
        <w:r w:rsidR="003F1AAB">
          <w:rPr>
            <w:noProof/>
          </w:rPr>
          <w:t>9</w:t>
        </w:r>
      </w:fldSimple>
      <w:bookmarkEnd w:id="84"/>
      <w:r>
        <w:tab/>
        <w:t>Different transitions to a trailing average</w:t>
      </w:r>
    </w:p>
    <w:tbl>
      <w:tblPr>
        <w:tblStyle w:val="AERtable-text0"/>
        <w:tblW w:w="0" w:type="auto"/>
        <w:tblLook w:val="04A0" w:firstRow="1" w:lastRow="0" w:firstColumn="1" w:lastColumn="0" w:noHBand="0" w:noVBand="1"/>
      </w:tblPr>
      <w:tblGrid>
        <w:gridCol w:w="2556"/>
        <w:gridCol w:w="3089"/>
        <w:gridCol w:w="3048"/>
      </w:tblGrid>
      <w:tr w:rsidR="009E2035" w:rsidTr="009E2035">
        <w:trPr>
          <w:cnfStyle w:val="100000000000" w:firstRow="1" w:lastRow="0" w:firstColumn="0" w:lastColumn="0" w:oddVBand="0" w:evenVBand="0" w:oddHBand="0" w:evenHBand="0" w:firstRowFirstColumn="0" w:firstRowLastColumn="0" w:lastRowFirstColumn="0" w:lastRowLastColumn="0"/>
        </w:trPr>
        <w:tc>
          <w:tcPr>
            <w:tcW w:w="2556" w:type="dxa"/>
          </w:tcPr>
          <w:p w:rsidR="009E2035" w:rsidRPr="009E2035" w:rsidRDefault="009E2035" w:rsidP="009E2035">
            <w:r>
              <w:t>Form of transition</w:t>
            </w:r>
          </w:p>
        </w:tc>
        <w:tc>
          <w:tcPr>
            <w:tcW w:w="3089" w:type="dxa"/>
          </w:tcPr>
          <w:p w:rsidR="009E2035" w:rsidRPr="009E2035" w:rsidRDefault="009E2035" w:rsidP="009E2035">
            <w:r>
              <w:t>Revenue-neutral t</w:t>
            </w:r>
            <w:r w:rsidRPr="009E2035">
              <w:t>ransition by updating 10% per year over 10 years</w:t>
            </w:r>
          </w:p>
        </w:tc>
        <w:tc>
          <w:tcPr>
            <w:tcW w:w="3048" w:type="dxa"/>
          </w:tcPr>
          <w:p w:rsidR="009E2035" w:rsidRPr="009E2035" w:rsidRDefault="009E2035" w:rsidP="009E2035">
            <w:r>
              <w:t>Immediately move to a trailing average approach</w:t>
            </w:r>
          </w:p>
        </w:tc>
      </w:tr>
      <w:tr w:rsidR="009E2035" w:rsidTr="009E2035">
        <w:tc>
          <w:tcPr>
            <w:tcW w:w="2556" w:type="dxa"/>
          </w:tcPr>
          <w:p w:rsidR="009E2035" w:rsidRPr="009E2035" w:rsidRDefault="009E2035" w:rsidP="009E2035">
            <w:r>
              <w:t>Full transition</w:t>
            </w:r>
          </w:p>
        </w:tc>
        <w:tc>
          <w:tcPr>
            <w:tcW w:w="3089" w:type="dxa"/>
          </w:tcPr>
          <w:p w:rsidR="009E2035" w:rsidRPr="009E2035" w:rsidRDefault="009E2035" w:rsidP="009E2035">
            <w:r>
              <w:t>100% of base rate + DRP</w:t>
            </w:r>
          </w:p>
        </w:tc>
        <w:tc>
          <w:tcPr>
            <w:tcW w:w="3048" w:type="dxa"/>
          </w:tcPr>
          <w:p w:rsidR="009E2035" w:rsidRPr="009E2035" w:rsidRDefault="009E2035" w:rsidP="009E2035">
            <w:r>
              <w:t>-</w:t>
            </w:r>
          </w:p>
        </w:tc>
      </w:tr>
      <w:tr w:rsidR="009E2035" w:rsidTr="009E2035">
        <w:trPr>
          <w:cnfStyle w:val="000000010000" w:firstRow="0" w:lastRow="0" w:firstColumn="0" w:lastColumn="0" w:oddVBand="0" w:evenVBand="0" w:oddHBand="0" w:evenHBand="1" w:firstRowFirstColumn="0" w:firstRowLastColumn="0" w:lastRowFirstColumn="0" w:lastRowLastColumn="0"/>
        </w:trPr>
        <w:tc>
          <w:tcPr>
            <w:tcW w:w="2556" w:type="dxa"/>
          </w:tcPr>
          <w:p w:rsidR="009E2035" w:rsidRPr="009E2035" w:rsidRDefault="009E2035" w:rsidP="009E2035">
            <w:r>
              <w:t>Hybrid transition</w:t>
            </w:r>
          </w:p>
        </w:tc>
        <w:tc>
          <w:tcPr>
            <w:tcW w:w="3089" w:type="dxa"/>
          </w:tcPr>
          <w:p w:rsidR="009E2035" w:rsidRPr="009E2035" w:rsidRDefault="009E2035" w:rsidP="009E2035">
            <w:r>
              <w:t>100% of b</w:t>
            </w:r>
            <w:r w:rsidRPr="009E2035">
              <w:t xml:space="preserve">ase rate </w:t>
            </w:r>
          </w:p>
        </w:tc>
        <w:tc>
          <w:tcPr>
            <w:tcW w:w="3048" w:type="dxa"/>
          </w:tcPr>
          <w:p w:rsidR="009E2035" w:rsidRPr="009E2035" w:rsidRDefault="009E2035" w:rsidP="009E2035">
            <w:r w:rsidRPr="00843751">
              <w:t>DRP</w:t>
            </w:r>
          </w:p>
        </w:tc>
      </w:tr>
      <w:tr w:rsidR="009E2035" w:rsidTr="009E2035">
        <w:tc>
          <w:tcPr>
            <w:tcW w:w="2556" w:type="dxa"/>
          </w:tcPr>
          <w:p w:rsidR="009E2035" w:rsidRPr="009E2035" w:rsidRDefault="009E2035" w:rsidP="009E2035">
            <w:r>
              <w:t>Hybrid transition under partial hedging</w:t>
            </w:r>
          </w:p>
        </w:tc>
        <w:tc>
          <w:tcPr>
            <w:tcW w:w="3089" w:type="dxa"/>
          </w:tcPr>
          <w:p w:rsidR="009E2035" w:rsidRPr="009E2035" w:rsidRDefault="009E2035" w:rsidP="009E2035">
            <w:r>
              <w:t>1/3 of b</w:t>
            </w:r>
            <w:r w:rsidRPr="009E2035">
              <w:t xml:space="preserve">ase rate </w:t>
            </w:r>
          </w:p>
        </w:tc>
        <w:tc>
          <w:tcPr>
            <w:tcW w:w="3048" w:type="dxa"/>
          </w:tcPr>
          <w:p w:rsidR="009E2035" w:rsidRPr="009E2035" w:rsidRDefault="009E2035" w:rsidP="009E2035">
            <w:r>
              <w:t>2/3 of b</w:t>
            </w:r>
            <w:r w:rsidRPr="009E2035">
              <w:t>ase rate + DRP</w:t>
            </w:r>
          </w:p>
        </w:tc>
      </w:tr>
      <w:tr w:rsidR="009E2035" w:rsidTr="009E2035">
        <w:trPr>
          <w:cnfStyle w:val="000000010000" w:firstRow="0" w:lastRow="0" w:firstColumn="0" w:lastColumn="0" w:oddVBand="0" w:evenVBand="0" w:oddHBand="0" w:evenHBand="1" w:firstRowFirstColumn="0" w:firstRowLastColumn="0" w:lastRowFirstColumn="0" w:lastRowLastColumn="0"/>
        </w:trPr>
        <w:tc>
          <w:tcPr>
            <w:tcW w:w="2556" w:type="dxa"/>
          </w:tcPr>
          <w:p w:rsidR="009E2035" w:rsidRPr="009E2035" w:rsidRDefault="009E2035" w:rsidP="009E2035">
            <w:r>
              <w:t>No transition</w:t>
            </w:r>
          </w:p>
        </w:tc>
        <w:tc>
          <w:tcPr>
            <w:tcW w:w="3089" w:type="dxa"/>
          </w:tcPr>
          <w:p w:rsidR="009E2035" w:rsidRPr="009E2035" w:rsidRDefault="009E2035" w:rsidP="009E2035">
            <w:r>
              <w:t>-</w:t>
            </w:r>
          </w:p>
        </w:tc>
        <w:tc>
          <w:tcPr>
            <w:tcW w:w="3048" w:type="dxa"/>
          </w:tcPr>
          <w:p w:rsidR="009E2035" w:rsidRPr="009E2035" w:rsidRDefault="009E2035" w:rsidP="009E2035">
            <w:r>
              <w:t>100% of b</w:t>
            </w:r>
            <w:r w:rsidRPr="009E2035">
              <w:t>ase rate + DRP</w:t>
            </w:r>
          </w:p>
        </w:tc>
      </w:tr>
    </w:tbl>
    <w:p w:rsidR="009E2035" w:rsidRDefault="009E2035" w:rsidP="009E2035">
      <w:pPr>
        <w:pStyle w:val="AERtablesource"/>
      </w:pPr>
      <w:r>
        <w:t xml:space="preserve">Source: </w:t>
      </w:r>
      <w:r>
        <w:tab/>
        <w:t>AER analysis.</w:t>
      </w:r>
    </w:p>
    <w:p w:rsidR="009E2035" w:rsidRPr="00785554" w:rsidRDefault="009E2035" w:rsidP="009E2035">
      <w:r>
        <w:t xml:space="preserve">For clarity, we also emphasise why the logic underpinning the use of </w:t>
      </w:r>
      <w:r w:rsidRPr="00785554">
        <w:t>a hybrid transition is problematic. By basing service providers' debt allowance on a 10 year historical DRP, a hybrid transition effectively removes realised losses or gains from interest rate risk that they had previously borne. This reasoning also applies to an immediate transition.</w:t>
      </w:r>
    </w:p>
    <w:p w:rsidR="009E2035" w:rsidRPr="00785554" w:rsidRDefault="009E2035" w:rsidP="009E2035">
      <w:r>
        <w:t>As the services providers operate under an ex-ante regulatory regime, we consider the ARORO requires us to provide ex-ante efficient compensation. This does not entail compensating</w:t>
      </w:r>
      <w:r w:rsidRPr="00785554">
        <w:t xml:space="preserve"> for historically incurred costs. That would be cost of service regulation, not incentive regulation. Investors have invested accepting the interest rate risk from the on-the-day approach, and we have already appropriately compensated service providers for bearing this risk. For both reasons, removing the outcomes of this risk ex-post would not contribute to the achievement of the ARORO.</w:t>
      </w:r>
      <w:r w:rsidRPr="00785554">
        <w:rPr>
          <w:rStyle w:val="FootnoteReference"/>
        </w:rPr>
        <w:footnoteReference w:id="407"/>
      </w:r>
      <w:r w:rsidRPr="00785554">
        <w:t xml:space="preserve">  </w:t>
      </w:r>
    </w:p>
    <w:p w:rsidR="009E2035" w:rsidRPr="00785554" w:rsidRDefault="009E2035" w:rsidP="009E2035">
      <w:r>
        <w:t xml:space="preserve">Further, we </w:t>
      </w:r>
      <w:r w:rsidRPr="00785554">
        <w:t>consider that we have appropriately compensated investors for the risks they faced when we set the allowed return on debt using the on-the-day approach. This is because:</w:t>
      </w:r>
    </w:p>
    <w:p w:rsidR="009E2035" w:rsidRDefault="009E2035" w:rsidP="009E2035">
      <w:pPr>
        <w:pStyle w:val="AERbulletlistfirststyle"/>
      </w:pPr>
      <w:r>
        <w:t xml:space="preserve">We have set the allowed return on debt using the on-the-day approach </w:t>
      </w:r>
      <w:r w:rsidRPr="00A71C98">
        <w:t>for many years.</w:t>
      </w:r>
      <w:r w:rsidRPr="00A71C98">
        <w:rPr>
          <w:rStyle w:val="FootnoteReference"/>
        </w:rPr>
        <w:footnoteReference w:id="408"/>
      </w:r>
      <w:r>
        <w:t xml:space="preserve"> As such, when we applied the on-the-day approach, investors in a benchmark efficient entity would have expected us to reset</w:t>
      </w:r>
      <w:r w:rsidRPr="00A71C98">
        <w:t xml:space="preserve"> the return on debt</w:t>
      </w:r>
      <w:r>
        <w:t xml:space="preserve"> at the start </w:t>
      </w:r>
      <w:r w:rsidRPr="00A71C98">
        <w:t>of each</w:t>
      </w:r>
      <w:r>
        <w:t xml:space="preserve"> regulatory control period</w:t>
      </w:r>
      <w:r w:rsidRPr="00A71C98">
        <w:t xml:space="preserve"> and accepted any risks</w:t>
      </w:r>
      <w:r>
        <w:t xml:space="preserve"> associated with this approach. When we proposed moving to a trailing average in the Guideline, this proposal was contingent on applying a transition so that the value of the firm aligned with previous investor expectations under the on-the-day regime.</w:t>
      </w:r>
    </w:p>
    <w:p w:rsidR="009E2035" w:rsidRDefault="009E2035" w:rsidP="009E2035">
      <w:pPr>
        <w:pStyle w:val="AERbulletlistfirststyle"/>
      </w:pPr>
      <w:r>
        <w:t>We benchmark the allowed rate of return (which requires consistently benchmarking the return on debt, return on equity and gearing) on observed data from service providers comparable to a benchmark efficient entity operating under an on-the-day approach. Therefore, the allowed rate of return should be commensurate with the efficient financing costs of a benchmark efficient entity with a similar degree of risk as a regulated service provider operating under this approach.</w:t>
      </w:r>
      <w:r>
        <w:rPr>
          <w:rStyle w:val="FootnoteReference"/>
        </w:rPr>
        <w:footnoteReference w:id="409"/>
      </w:r>
    </w:p>
    <w:p w:rsidR="009E2035" w:rsidRDefault="009E2035" w:rsidP="009E2035">
      <w:r>
        <w:rPr>
          <w:rStyle w:val="AERbody"/>
        </w:rPr>
        <w:t xml:space="preserve">Further, </w:t>
      </w:r>
      <w:r>
        <w:t>w</w:t>
      </w:r>
      <w:r w:rsidRPr="009F377E">
        <w:t>e consider a full transition necessary to satisfy the ARORO and NEO/NGO even if firms partially hedged</w:t>
      </w:r>
      <w:r>
        <w:t xml:space="preserve">. </w:t>
      </w:r>
      <w:r w:rsidRPr="009F377E">
        <w:t xml:space="preserve">It is also worth noting that service providers </w:t>
      </w:r>
      <w:r>
        <w:t xml:space="preserve">proposing this transition </w:t>
      </w:r>
      <w:r w:rsidRPr="009F377E">
        <w:t xml:space="preserve">did not appear to hold the view </w:t>
      </w:r>
      <w:r>
        <w:t xml:space="preserve">that hedging one third of the base rate was optimal </w:t>
      </w:r>
      <w:r w:rsidRPr="009F377E">
        <w:t>ex-ante because they appeared to have hedged nearly their entire base rate in practice.</w:t>
      </w:r>
      <w:r w:rsidRPr="009F377E">
        <w:rPr>
          <w:rStyle w:val="FootnoteReference"/>
        </w:rPr>
        <w:footnoteReference w:id="410"/>
      </w:r>
    </w:p>
    <w:p w:rsidR="009E2035" w:rsidRDefault="009E2035" w:rsidP="009E2035">
      <w:pPr>
        <w:pStyle w:val="HeadingBoldItalic"/>
      </w:pPr>
      <w:r>
        <w:t>General problems with using approaches based on historical data</w:t>
      </w:r>
    </w:p>
    <w:p w:rsidR="009E2035" w:rsidRPr="009F3831" w:rsidRDefault="009E2035" w:rsidP="009E2035">
      <w:r>
        <w:t>Both the immediate and hybrid forms of transition to the trailing average rely on using historical data</w:t>
      </w:r>
      <w:r w:rsidRPr="009F3831">
        <w:t xml:space="preserve"> to estimate the allowed return on debt. We consider this has the following problems:</w:t>
      </w:r>
    </w:p>
    <w:p w:rsidR="009E2035" w:rsidRDefault="009E2035" w:rsidP="009E2035">
      <w:pPr>
        <w:pStyle w:val="AERbulletlistfirststyle"/>
      </w:pPr>
      <w:r>
        <w:t xml:space="preserve">All of these transition paths would produce a return on debt allowance that effectively removes </w:t>
      </w:r>
      <w:r w:rsidRPr="00AC4D63">
        <w:t xml:space="preserve">interest rate risk </w:t>
      </w:r>
      <w:r>
        <w:t xml:space="preserve">(to at least some extent) </w:t>
      </w:r>
      <w:r w:rsidRPr="00AC4D63">
        <w:t xml:space="preserve">incurred in prior </w:t>
      </w:r>
      <w:r>
        <w:t>regulatory control period</w:t>
      </w:r>
      <w:r w:rsidRPr="00AC4D63">
        <w:t>s</w:t>
      </w:r>
      <w:r>
        <w:t>. A benchmark efficient entity</w:t>
      </w:r>
      <w:r w:rsidRPr="00AC4D63">
        <w:t xml:space="preserve"> </w:t>
      </w:r>
      <w:r>
        <w:t xml:space="preserve">was </w:t>
      </w:r>
      <w:r w:rsidRPr="00AC4D63">
        <w:t>required to bear and manage</w:t>
      </w:r>
      <w:r>
        <w:t xml:space="preserve"> this risk under the on-the-day approach. As such, these transition paths alter the service providers' historic</w:t>
      </w:r>
      <w:r w:rsidRPr="00AC4D63">
        <w:t xml:space="preserve"> </w:t>
      </w:r>
      <w:r>
        <w:t xml:space="preserve">risk profiles </w:t>
      </w:r>
      <w:r w:rsidRPr="005772E3">
        <w:rPr>
          <w:rStyle w:val="AERtextunderline"/>
        </w:rPr>
        <w:t>after</w:t>
      </w:r>
      <w:r>
        <w:t xml:space="preserve"> they have made decisions on how to </w:t>
      </w:r>
      <w:r w:rsidRPr="00AC4D63">
        <w:t xml:space="preserve">manage </w:t>
      </w:r>
      <w:r>
        <w:t xml:space="preserve">their </w:t>
      </w:r>
      <w:r w:rsidRPr="00AC4D63">
        <w:t>financial risk</w:t>
      </w:r>
      <w:r>
        <w:t>.</w:t>
      </w:r>
    </w:p>
    <w:p w:rsidR="009E2035" w:rsidRPr="006451AF" w:rsidRDefault="009E2035" w:rsidP="009E2035">
      <w:pPr>
        <w:pStyle w:val="AERbulletlistfirststyle"/>
      </w:pPr>
      <w:r>
        <w:t>C</w:t>
      </w:r>
      <w:r w:rsidRPr="00614DDA">
        <w:t xml:space="preserve">hoosing an approach that uses historical data after </w:t>
      </w:r>
      <w:r>
        <w:t xml:space="preserve">parties already know </w:t>
      </w:r>
      <w:r w:rsidRPr="00614DDA">
        <w:t>the results of that historical data</w:t>
      </w:r>
      <w:r>
        <w:t xml:space="preserve"> has the</w:t>
      </w:r>
      <w:r w:rsidRPr="00614DDA">
        <w:t xml:space="preserve"> potential</w:t>
      </w:r>
      <w:r>
        <w:t xml:space="preserve"> to bias</w:t>
      </w:r>
      <w:r w:rsidRPr="00614DDA">
        <w:t xml:space="preserve"> regulatory decision</w:t>
      </w:r>
      <w:r>
        <w:t>s. In previous decisions, we have explained that when parties (whether they be service providers, the Tribunal, or ourselves) choose</w:t>
      </w:r>
      <w:r w:rsidRPr="002900B0">
        <w:t xml:space="preserve"> </w:t>
      </w:r>
      <w:r>
        <w:t xml:space="preserve">historical </w:t>
      </w:r>
      <w:r w:rsidRPr="002900B0">
        <w:t>averaging period</w:t>
      </w:r>
      <w:r>
        <w:t>s</w:t>
      </w:r>
      <w:r w:rsidRPr="002900B0">
        <w:t>, the knowledge of the return on debt at any past point may influence the choice.</w:t>
      </w:r>
      <w:r>
        <w:rPr>
          <w:rStyle w:val="FootnoteReference"/>
        </w:rPr>
        <w:footnoteReference w:id="411"/>
      </w:r>
      <w:r w:rsidRPr="002900B0">
        <w:t xml:space="preserve"> </w:t>
      </w:r>
      <w:r>
        <w:t xml:space="preserve">For example, </w:t>
      </w:r>
      <w:r w:rsidRPr="002900B0">
        <w:t>if a service provider could select an averaging period by looking at historical yields, it could introduce an upward bias.</w:t>
      </w:r>
      <w:r w:rsidRPr="002900B0">
        <w:rPr>
          <w:rStyle w:val="AERsuperscript"/>
        </w:rPr>
        <w:footnoteReference w:id="412"/>
      </w:r>
      <w:r>
        <w:t xml:space="preserve"> This is one of  the reasons why, when recommending </w:t>
      </w:r>
      <w:r w:rsidRPr="006451AF">
        <w:t>a gradual transition into the trailing average approach, QTC stated:</w:t>
      </w:r>
    </w:p>
    <w:p w:rsidR="009E2035" w:rsidRPr="0027558F" w:rsidRDefault="009E2035" w:rsidP="009E2035">
      <w:pPr>
        <w:pStyle w:val="AERquote"/>
        <w:rPr>
          <w:rStyle w:val="AERsuperscript"/>
        </w:rPr>
      </w:pPr>
      <w:r w:rsidRPr="006451AF">
        <w:t>The transitional rule ensures that the NSP is not able to receive a higher initial rate simply by electing to use the moving average approach. It also avoids the need to reach agreement on the return on debt calculation for each of the preceding nine years</w:t>
      </w:r>
      <w:r w:rsidRPr="0027558F">
        <w:rPr>
          <w:rStyle w:val="AERsuperscript"/>
        </w:rPr>
        <w:t>.</w:t>
      </w:r>
      <w:r w:rsidRPr="0027558F">
        <w:rPr>
          <w:rStyle w:val="AERsuperscript"/>
        </w:rPr>
        <w:footnoteReference w:id="413"/>
      </w:r>
    </w:p>
    <w:p w:rsidR="009E2035" w:rsidRDefault="009E2035" w:rsidP="009E2035">
      <w:pPr>
        <w:pStyle w:val="AERbulletlistfirststyle"/>
      </w:pPr>
      <w:r>
        <w:t>In previous decisions, we have observed there are practical problems with using historical data dating back nine years.</w:t>
      </w:r>
      <w:r>
        <w:rPr>
          <w:rStyle w:val="FootnoteReference"/>
        </w:rPr>
        <w:footnoteReference w:id="414"/>
      </w:r>
      <w:r>
        <w:t xml:space="preserve"> In particular,</w:t>
      </w:r>
      <w:r w:rsidRPr="00756A0D">
        <w:t xml:space="preserve"> </w:t>
      </w:r>
      <w:r>
        <w:t>high quality and readily available historical data is unavailable for the DRP component of the return on debt.</w:t>
      </w:r>
      <w:r>
        <w:rPr>
          <w:rStyle w:val="FootnoteReference"/>
        </w:rPr>
        <w:footnoteReference w:id="415"/>
      </w:r>
      <w:r w:rsidRPr="00756A0D">
        <w:t xml:space="preserve"> </w:t>
      </w:r>
      <w:r>
        <w:t>There</w:t>
      </w:r>
      <w:r w:rsidRPr="00756A0D">
        <w:t xml:space="preserve"> is </w:t>
      </w:r>
      <w:r>
        <w:t xml:space="preserve">also </w:t>
      </w:r>
      <w:r w:rsidRPr="00756A0D">
        <w:t>no consensus among service providers on how to estimate the historical debt risk premium.</w:t>
      </w:r>
      <w:r>
        <w:t xml:space="preserve"> Moreover, the </w:t>
      </w:r>
      <w:r w:rsidRPr="00756A0D">
        <w:t>results of the different data series vary considerably</w:t>
      </w:r>
      <w:r>
        <w:t xml:space="preserve"> with Lally observing:</w:t>
      </w:r>
      <w:r>
        <w:rPr>
          <w:rStyle w:val="FootnoteReference"/>
        </w:rPr>
        <w:footnoteReference w:id="416"/>
      </w:r>
    </w:p>
    <w:p w:rsidR="009E2035" w:rsidRDefault="009E2035" w:rsidP="009E2035">
      <w:pPr>
        <w:pStyle w:val="AERquote"/>
      </w:pPr>
      <w:proofErr w:type="gramStart"/>
      <w:r w:rsidRPr="00756A0D">
        <w:t>there</w:t>
      </w:r>
      <w:proofErr w:type="gramEnd"/>
      <w:r w:rsidRPr="00756A0D">
        <w:t xml:space="preserve"> has been considerable variation in the results from four such indexes since early 2007, most particularly in early 2009 when the estimates of the RBA, CBA Spectrum, and BFV indexes were 9.5%, 5.0% and 3.5% respectively (CEG, 2014, Figure 1); this variation complicates the process of choosing estimates for that historical period.</w:t>
      </w:r>
    </w:p>
    <w:p w:rsidR="009E2035" w:rsidRDefault="009E2035" w:rsidP="009E2035">
      <w:pPr>
        <w:pStyle w:val="HeadingBoldBlue"/>
      </w:pPr>
      <w:r>
        <w:t>Implementing the return on debt approach</w:t>
      </w:r>
    </w:p>
    <w:p w:rsidR="009E2035" w:rsidRDefault="009E2035" w:rsidP="009E2035">
      <w:r>
        <w:t>In the previous section, we set out our approach to estimating the allowed return on debt. This approach involves estimating the allowed return on debt using the on-the-day approach gradually transitioning into a trailing average approach over 10 years. This gradual transition will occur through updating 10 per cent of the allowed return on debt each year to reflect prevailing market conditions during AusNet Services’ averaging period for that year.</w:t>
      </w:r>
    </w:p>
    <w:p w:rsidR="009E2035" w:rsidRDefault="009E2035" w:rsidP="009E2035">
      <w:r>
        <w:t>In this section, we set out our considerations on the implementation issues associated with estimating the allowed return on debt approach. These issues are:</w:t>
      </w:r>
    </w:p>
    <w:p w:rsidR="009E2035" w:rsidRPr="00DB6EB5" w:rsidRDefault="009E2035" w:rsidP="009E2035">
      <w:pPr>
        <w:pStyle w:val="AERbulletlistfirststyle"/>
      </w:pPr>
      <w:r>
        <w:t>the term of debt issued by a benchmark efficient entity</w:t>
      </w:r>
    </w:p>
    <w:p w:rsidR="009E2035" w:rsidRPr="00DB6EB5" w:rsidRDefault="009E2035" w:rsidP="009E2035">
      <w:pPr>
        <w:pStyle w:val="AERbulletlistfirststyle"/>
      </w:pPr>
      <w:r>
        <w:t>the credit rating of a benchmark efficient entity</w:t>
      </w:r>
    </w:p>
    <w:p w:rsidR="009E2035" w:rsidRDefault="009E2035" w:rsidP="009E2035">
      <w:pPr>
        <w:pStyle w:val="AERbulletlistfirststyle"/>
      </w:pPr>
      <w:r>
        <w:t>whether to use an independent third party data series or to construct our own data series (for example, based on an index of actual industry borrowing costs)</w:t>
      </w:r>
    </w:p>
    <w:p w:rsidR="009E2035" w:rsidRPr="00DB6EB5" w:rsidRDefault="009E2035" w:rsidP="009E2035">
      <w:pPr>
        <w:pStyle w:val="AERbulletlistfirststyle"/>
      </w:pPr>
      <w:r>
        <w:t>the choice of third party data series (or combination of data series) to estimate the efficient debt financing costs of a benchmark efficient entity, based on the benchmark debt term and benchmark credit rating</w:t>
      </w:r>
    </w:p>
    <w:p w:rsidR="009E2035" w:rsidRPr="00DB6EB5" w:rsidRDefault="009E2035" w:rsidP="009E2035">
      <w:pPr>
        <w:pStyle w:val="AERbulletlistfirststyle"/>
      </w:pPr>
      <w:r>
        <w:t>extrapolation and interpolation issues with adjusting our choice of data series</w:t>
      </w:r>
    </w:p>
    <w:p w:rsidR="009E2035" w:rsidRDefault="009E2035" w:rsidP="009E2035">
      <w:pPr>
        <w:pStyle w:val="AERbulletlistfirststyle"/>
      </w:pPr>
      <w:r>
        <w:t>contingencies associated with implementing our choice of data series, if the data series we have chosen to estimate the return on debt are unavailable or change in future regulatory years during the regulatory control period</w:t>
      </w:r>
    </w:p>
    <w:p w:rsidR="009E2035" w:rsidRPr="00DB6EB5" w:rsidRDefault="009E2035" w:rsidP="009E2035">
      <w:pPr>
        <w:pStyle w:val="AERbulletlistfirststyle"/>
      </w:pPr>
      <w:r>
        <w:t>the new issue premium</w:t>
      </w:r>
    </w:p>
    <w:p w:rsidR="009E2035" w:rsidRPr="00DB6EB5" w:rsidRDefault="009E2035" w:rsidP="009E2035">
      <w:pPr>
        <w:pStyle w:val="AERbulletlistfirststyle"/>
      </w:pPr>
      <w:r>
        <w:t>the averaging period used to estimate the return on debt for each regulatory year</w:t>
      </w:r>
    </w:p>
    <w:p w:rsidR="009E2035" w:rsidRDefault="009E2035" w:rsidP="009E2035">
      <w:pPr>
        <w:pStyle w:val="AERbulletlistfirststyle"/>
      </w:pPr>
      <w:proofErr w:type="gramStart"/>
      <w:r>
        <w:t>the</w:t>
      </w:r>
      <w:proofErr w:type="gramEnd"/>
      <w:r>
        <w:t xml:space="preserve"> annual process to update the return on debt. </w:t>
      </w:r>
    </w:p>
    <w:p w:rsidR="009E2035" w:rsidRDefault="009E2035" w:rsidP="009E2035">
      <w:r>
        <w:t>Consistent with the Guideline, we are satisfied that a return on debt estimated based on a 10 year benchmark debt term, BBB+ benchmark credit rating, and using an independent third party data series is commensurate with the efficient financing costs of a benchmark efficient entity.</w:t>
      </w:r>
    </w:p>
    <w:p w:rsidR="009E2035" w:rsidRDefault="009E2035" w:rsidP="009E2035">
      <w:r>
        <w:t>In choosing that third party series (or combination of series), we are satisfied that adopting a simple average of the broad BBB rated RBA and Bloomberg Valuation Service (BVAL) curves, with the RBA data series extrapolated to a 10 year term, is commensurate with the efficient financing costs of a benchmark efficient entity.</w:t>
      </w:r>
    </w:p>
    <w:p w:rsidR="009E2035" w:rsidRDefault="009E2035" w:rsidP="009E2035">
      <w:pPr>
        <w:pStyle w:val="HeadingBoldItalic"/>
      </w:pPr>
      <w:r>
        <w:t>Term</w:t>
      </w:r>
    </w:p>
    <w:p w:rsidR="009E2035" w:rsidRPr="001B05B2" w:rsidRDefault="009E2035" w:rsidP="009E2035">
      <w:r w:rsidRPr="001B05B2">
        <w:t xml:space="preserve">Our </w:t>
      </w:r>
      <w:r>
        <w:t xml:space="preserve">draft </w:t>
      </w:r>
      <w:r w:rsidRPr="001B05B2">
        <w:t xml:space="preserve">decision is to adopt a ten year term for the return on debt. This is </w:t>
      </w:r>
      <w:r>
        <w:t xml:space="preserve">consistent with </w:t>
      </w:r>
      <w:r w:rsidRPr="001B05B2">
        <w:t xml:space="preserve">the </w:t>
      </w:r>
      <w:r>
        <w:t>G</w:t>
      </w:r>
      <w:r w:rsidRPr="001B05B2">
        <w:t>uideline</w:t>
      </w:r>
      <w:r>
        <w:t xml:space="preserve"> and with AusNet Services’ regulatory proposal</w:t>
      </w:r>
      <w:r w:rsidRPr="001B05B2">
        <w:t>.</w:t>
      </w:r>
      <w:r>
        <w:rPr>
          <w:rStyle w:val="FootnoteReference"/>
        </w:rPr>
        <w:footnoteReference w:id="417"/>
      </w:r>
      <w:r>
        <w:t xml:space="preserve"> This is also consistent with </w:t>
      </w:r>
      <w:r w:rsidR="00B517DF">
        <w:t>our October and November 2015 decisions and May 2016 decisions</w:t>
      </w:r>
      <w:r>
        <w:t>.</w:t>
      </w:r>
      <w:r>
        <w:rPr>
          <w:rStyle w:val="FootnoteReference"/>
        </w:rPr>
        <w:footnoteReference w:id="418"/>
      </w:r>
    </w:p>
    <w:p w:rsidR="009E2035" w:rsidRPr="001B05B2" w:rsidRDefault="009E2035" w:rsidP="009E2035">
      <w:r>
        <w:t>We</w:t>
      </w:r>
      <w:r w:rsidRPr="001B05B2">
        <w:t xml:space="preserve"> are satisfied that </w:t>
      </w:r>
      <w:r>
        <w:t>measuring the allowed return on debt by reference to a 10</w:t>
      </w:r>
      <w:r w:rsidRPr="001B05B2">
        <w:t xml:space="preserve"> year </w:t>
      </w:r>
      <w:r>
        <w:t xml:space="preserve">benchmark term is commensurate with </w:t>
      </w:r>
      <w:r w:rsidRPr="001B05B2">
        <w:t xml:space="preserve">the efficient </w:t>
      </w:r>
      <w:r>
        <w:t xml:space="preserve">financing </w:t>
      </w:r>
      <w:r w:rsidRPr="001B05B2">
        <w:t>costs o</w:t>
      </w:r>
      <w:r>
        <w:t>f a benchmark efficient entity. Our</w:t>
      </w:r>
      <w:r w:rsidRPr="001B05B2">
        <w:t xml:space="preserve"> reasons for </w:t>
      </w:r>
      <w:r>
        <w:t>adopting a 10 year benchmark debt term are</w:t>
      </w:r>
      <w:r w:rsidRPr="001B05B2">
        <w:t>:</w:t>
      </w:r>
    </w:p>
    <w:p w:rsidR="009E2035" w:rsidRPr="005F0BC7" w:rsidRDefault="009E2035" w:rsidP="009E2035">
      <w:pPr>
        <w:pStyle w:val="AERbulletlistfirststyle"/>
      </w:pPr>
      <w:r w:rsidRPr="001B05B2">
        <w:t xml:space="preserve">A long debt tenor is consistent with the long lived assets of </w:t>
      </w:r>
      <w:r w:rsidRPr="005F0BC7">
        <w:t>a benchmark efficient entity and reduces refinancing risk.</w:t>
      </w:r>
    </w:p>
    <w:p w:rsidR="009E2035" w:rsidRPr="005F0BC7" w:rsidRDefault="009E2035" w:rsidP="009E2035">
      <w:pPr>
        <w:pStyle w:val="AERbulletlistfirststyle"/>
      </w:pPr>
      <w:r w:rsidRPr="001B05B2">
        <w:t>A 10 year term is similar to (though somewhat longer than) the industry average term at issuance of a sample of firms that are comparable to the benchmark efficient entity.</w:t>
      </w:r>
    </w:p>
    <w:p w:rsidR="009E2035" w:rsidRPr="001B05B2" w:rsidRDefault="009E2035" w:rsidP="009E2035">
      <w:r w:rsidRPr="001B05B2">
        <w:t xml:space="preserve">Regulated network assets are long lived, and have asset lives that are longer than the terms commonly available for debt. Refinancing risk is the risk that a firm would not be able to </w:t>
      </w:r>
      <w:r>
        <w:t>re</w:t>
      </w:r>
      <w:r w:rsidRPr="001B05B2">
        <w:t xml:space="preserve">finance its debt at a given point in time due to this mismatch in terms. While conceptually we agree that businesses will seek to issue longer term debt to lower their refinancing risk, generally the cost of long term debt is higher than shorter term debt. This is because debt holders require compensation for the risks associated with holding debt over a longer time period. We consider a benchmark efficient entity would have regard to the trade-off between the higher cost of long term debt and the risk associated with refinancing and structure their debt holdings accordingly. Overall, these considerations suggest the average debt term of </w:t>
      </w:r>
      <w:r>
        <w:t>a</w:t>
      </w:r>
      <w:r w:rsidRPr="001B05B2">
        <w:t xml:space="preserve"> benchmark efficient entity </w:t>
      </w:r>
      <w:r>
        <w:t>would</w:t>
      </w:r>
      <w:r w:rsidRPr="001B05B2">
        <w:t xml:space="preserve"> be long term, but they do not provide clear guidance on wh</w:t>
      </w:r>
      <w:r>
        <w:t>at exactly that term should be.</w:t>
      </w:r>
    </w:p>
    <w:p w:rsidR="009E2035" w:rsidRPr="00E761F9" w:rsidRDefault="009E2035" w:rsidP="009E2035">
      <w:r w:rsidRPr="001B05B2">
        <w:t>For that reason, in our Guideline, we requested information from a range of privately owned service providers on the amount, type, term and credit rating of their debt issuances.</w:t>
      </w:r>
      <w:r>
        <w:rPr>
          <w:rStyle w:val="FootnoteReference"/>
        </w:rPr>
        <w:footnoteReference w:id="419"/>
      </w:r>
      <w:r w:rsidRPr="001B05B2">
        <w:t xml:space="preserve"> These service providers are comparable to our definition of the benchmark efficient entity which is a 'pure play' regulated energy network business operating within Australia. Based on observed practice, the weighted average term at issuance of the debt portfolio of these service providers was 8.7 years at the time of the Guideline. We observed that service providers are securing bank debt with an average term at issuance of 4.3 years, issuing Australian bonds with an average term at issuance of 9.6 years, and issuing offshore bonds with an average term of 9.7 years.</w:t>
      </w:r>
      <w:r>
        <w:rPr>
          <w:rStyle w:val="FootnoteReference"/>
        </w:rPr>
        <w:footnoteReference w:id="420"/>
      </w:r>
    </w:p>
    <w:p w:rsidR="009E2035" w:rsidRDefault="009E2035" w:rsidP="009E2035">
      <w:pPr>
        <w:pStyle w:val="HeadingBoldItalic"/>
      </w:pPr>
      <w:r>
        <w:t>Credit rating</w:t>
      </w:r>
    </w:p>
    <w:p w:rsidR="009E2035" w:rsidRDefault="009E2035" w:rsidP="009E2035">
      <w:r w:rsidRPr="00235F75">
        <w:t>Our</w:t>
      </w:r>
      <w:r>
        <w:t xml:space="preserve"> draft</w:t>
      </w:r>
      <w:r w:rsidRPr="00235F75">
        <w:t xml:space="preserve"> decision is to adopt a BBB+ </w:t>
      </w:r>
      <w:r>
        <w:t xml:space="preserve">benchmark </w:t>
      </w:r>
      <w:r w:rsidRPr="00235F75">
        <w:t xml:space="preserve">credit rating to estimate the return on debt. </w:t>
      </w:r>
      <w:r>
        <w:t xml:space="preserve">This benchmark credit </w:t>
      </w:r>
      <w:r w:rsidRPr="00235F75">
        <w:t>rating is the same rating we proposed in the Guideline</w:t>
      </w:r>
      <w:r>
        <w:t xml:space="preserve"> and applied in our most recent decisions.</w:t>
      </w:r>
      <w:r>
        <w:rPr>
          <w:rStyle w:val="FootnoteReference"/>
        </w:rPr>
        <w:footnoteReference w:id="421"/>
      </w:r>
      <w:r>
        <w:t xml:space="preserve"> We also applied this credit rating to decisions that were upheld before the Tribunal.</w:t>
      </w:r>
      <w:r>
        <w:rPr>
          <w:rStyle w:val="FootnoteReference"/>
        </w:rPr>
        <w:footnoteReference w:id="422"/>
      </w:r>
    </w:p>
    <w:p w:rsidR="009E2035" w:rsidRDefault="009E2035" w:rsidP="009E2035">
      <w:r>
        <w:t>In current regulatory processes, different service providers, consultants and other stakeholders have proposed different credit ratings for the benchmark efficient entity. In particular:</w:t>
      </w:r>
    </w:p>
    <w:p w:rsidR="009E2035" w:rsidRDefault="009E2035" w:rsidP="009E2035">
      <w:pPr>
        <w:pStyle w:val="AERbulletlistfirststyle"/>
      </w:pPr>
      <w:r>
        <w:t>AusNet Services proposed a credit rating of BBB.</w:t>
      </w:r>
      <w:r>
        <w:rPr>
          <w:rStyle w:val="FootnoteReference"/>
        </w:rPr>
        <w:footnoteReference w:id="423"/>
      </w:r>
    </w:p>
    <w:p w:rsidR="009E2035" w:rsidRDefault="009E2035" w:rsidP="009E2035">
      <w:pPr>
        <w:pStyle w:val="AERbulletlistfirststyle"/>
      </w:pPr>
      <w:r>
        <w:t>Powerlink and TasNetworks accepted the approach in the Guideline, which has a BBB+ credit rating.</w:t>
      </w:r>
      <w:r>
        <w:rPr>
          <w:rStyle w:val="FootnoteReference"/>
        </w:rPr>
        <w:footnoteReference w:id="424"/>
      </w:r>
    </w:p>
    <w:p w:rsidR="009E2035" w:rsidRDefault="009E2035" w:rsidP="009E2035">
      <w:r>
        <w:t xml:space="preserve">These service providers did not submit any consultant reports on the benchmark credit rating. However, the consultant reports we received previously were mixed. For instance: </w:t>
      </w:r>
    </w:p>
    <w:p w:rsidR="009E2035" w:rsidRPr="005F0BC7" w:rsidRDefault="009E2035" w:rsidP="009E2035">
      <w:pPr>
        <w:pStyle w:val="AERbulletlistfirststyle"/>
      </w:pPr>
      <w:r>
        <w:t>NERA and Houston Kemp (commissioned by TransGrid in a recent regulatory process) recommended a BBB+ credit rating</w:t>
      </w:r>
      <w:r w:rsidRPr="005F0BC7">
        <w:t>.</w:t>
      </w:r>
      <w:r w:rsidRPr="005F0BC7">
        <w:rPr>
          <w:rStyle w:val="FootnoteReference"/>
        </w:rPr>
        <w:footnoteReference w:id="425"/>
      </w:r>
    </w:p>
    <w:p w:rsidR="009E2035" w:rsidRPr="005F0BC7" w:rsidRDefault="009E2035" w:rsidP="009E2035">
      <w:pPr>
        <w:pStyle w:val="AERbulletlistfirststyle"/>
      </w:pPr>
      <w:r>
        <w:t xml:space="preserve">Several service providers and </w:t>
      </w:r>
      <w:r w:rsidRPr="005F0BC7">
        <w:t>CEG (commissioned by several service providers) recommended a BBB credit rating.</w:t>
      </w:r>
      <w:r w:rsidRPr="005F0BC7">
        <w:rPr>
          <w:rStyle w:val="FootnoteReference"/>
        </w:rPr>
        <w:footnoteReference w:id="426"/>
      </w:r>
    </w:p>
    <w:p w:rsidR="009E2035" w:rsidRPr="005F0BC7" w:rsidRDefault="009E2035" w:rsidP="009E2035">
      <w:pPr>
        <w:pStyle w:val="AERbulletlistfirststyle"/>
      </w:pPr>
      <w:r>
        <w:t>Lally</w:t>
      </w:r>
      <w:r w:rsidRPr="005F0BC7">
        <w:t xml:space="preserve"> (commissioned by us) and the South Australian Centre for Economic Studies (SACES) recommended a credit rating for energy networks of BBB to BBB+.</w:t>
      </w:r>
      <w:r w:rsidRPr="005F0BC7">
        <w:rPr>
          <w:rStyle w:val="FootnoteReference"/>
        </w:rPr>
        <w:footnoteReference w:id="427"/>
      </w:r>
    </w:p>
    <w:p w:rsidR="009E2035" w:rsidRDefault="009E2035" w:rsidP="009E2035">
      <w:r>
        <w:t>In contrast, consumer groups generally submitted the benchmark credit rating of BBB+ was too low. For instance:</w:t>
      </w:r>
    </w:p>
    <w:p w:rsidR="009E2035" w:rsidRPr="005F0BC7" w:rsidRDefault="009E2035" w:rsidP="009E2035">
      <w:pPr>
        <w:pStyle w:val="AERbulletlistfirststyle"/>
      </w:pPr>
      <w:r>
        <w:t xml:space="preserve">The Chamber of Commerce and Industry Queensland (CCIQ) </w:t>
      </w:r>
      <w:r w:rsidRPr="005F0BC7">
        <w:t>and Energy Consumers Coalition of South Australia (ECCSA) submitted that credit ratings of BBB and BBB+ are too low.</w:t>
      </w:r>
      <w:r w:rsidRPr="005F0BC7">
        <w:rPr>
          <w:rStyle w:val="FootnoteReference"/>
        </w:rPr>
        <w:footnoteReference w:id="428"/>
      </w:r>
      <w:r w:rsidRPr="005F0BC7">
        <w:t xml:space="preserve"> ECCSA specifically noted this was the case given benchmark firms' gearing levels.</w:t>
      </w:r>
      <w:r w:rsidRPr="005F0BC7">
        <w:rPr>
          <w:rStyle w:val="FootnoteReference"/>
        </w:rPr>
        <w:footnoteReference w:id="429"/>
      </w:r>
    </w:p>
    <w:p w:rsidR="009E2035" w:rsidRPr="005F0BC7" w:rsidRDefault="009E2035" w:rsidP="009E2035">
      <w:pPr>
        <w:pStyle w:val="AERbulletlistfirststyle"/>
      </w:pPr>
      <w:r>
        <w:t xml:space="preserve">The Victorian </w:t>
      </w:r>
      <w:r w:rsidRPr="005F0BC7">
        <w:t>Energy Consumer and User Alliance (VECUA) referred to an analysis by the Energy Users Rule Change Committee (EURCC) in 2011 to support their view that we should recognise or have regard to service providers' actual credit ratings.</w:t>
      </w:r>
      <w:r w:rsidRPr="005F0BC7">
        <w:rPr>
          <w:rStyle w:val="FootnoteReference"/>
        </w:rPr>
        <w:footnoteReference w:id="430"/>
      </w:r>
      <w:r w:rsidRPr="005F0BC7">
        <w:t xml:space="preserve"> VECUA submitted that we provide higher debt allowances than appropriate by basing these on credit ratings that are lower than service providers' actual credit ratings.</w:t>
      </w:r>
      <w:r w:rsidRPr="005F0BC7">
        <w:rPr>
          <w:rStyle w:val="FootnoteReference"/>
        </w:rPr>
        <w:footnoteReference w:id="431"/>
      </w:r>
      <w:r w:rsidRPr="005F0BC7">
        <w:t xml:space="preserve">  Further, VECUA also submitted that by using debt in a broad BBB band to estimate the allowed return on debt, the debt allowance we provide is predominantly based on more expensive debt ratings.</w:t>
      </w:r>
      <w:r w:rsidRPr="005F0BC7">
        <w:rPr>
          <w:rStyle w:val="FootnoteReference"/>
        </w:rPr>
        <w:footnoteReference w:id="432"/>
      </w:r>
      <w:r w:rsidRPr="005F0BC7">
        <w:t xml:space="preserve"> We note that several service providers disagreed with this submission.</w:t>
      </w:r>
      <w:r w:rsidRPr="005F0BC7">
        <w:rPr>
          <w:rStyle w:val="FootnoteReference"/>
        </w:rPr>
        <w:footnoteReference w:id="433"/>
      </w:r>
    </w:p>
    <w:p w:rsidR="009E2035" w:rsidRPr="005F0BC7" w:rsidRDefault="009E2035" w:rsidP="009E2035">
      <w:pPr>
        <w:pStyle w:val="AERbulletlistfirststyle"/>
      </w:pPr>
      <w:r>
        <w:t>The CCP submitted that we should account for the difference between service providers actual cost of debt and the BBB benchmark so the allowance better reflects service providers' actual debt costs.</w:t>
      </w:r>
      <w:r w:rsidRPr="005F0BC7">
        <w:rPr>
          <w:rStyle w:val="FootnoteReference"/>
        </w:rPr>
        <w:footnoteReference w:id="434"/>
      </w:r>
      <w:r w:rsidRPr="005F0BC7">
        <w:t xml:space="preserve"> </w:t>
      </w:r>
    </w:p>
    <w:p w:rsidR="009E2035" w:rsidRDefault="009E2035" w:rsidP="009E2035">
      <w:r w:rsidRPr="00E46612">
        <w:t>We are satisfied that a benchmark efficient entity would have a BBB+ credit rating. We formed this view, as well as our view on the benchmark term of issuance, from considering a set of firms that we consider com parable to a benchmark efficient entity.</w:t>
      </w:r>
      <w:r w:rsidRPr="00E46612">
        <w:rPr>
          <w:rStyle w:val="FootnoteReference"/>
        </w:rPr>
        <w:footnoteReference w:id="435"/>
      </w:r>
      <w:r w:rsidRPr="00E46612">
        <w:t xml:space="preserve"> We consider this is more consistent with incentive regulation than basing our allowance for individual service providers on their actual credit ratings or actual historical costs of debt.</w:t>
      </w:r>
    </w:p>
    <w:p w:rsidR="009E2035" w:rsidRDefault="009E2035" w:rsidP="009E2035">
      <w:r>
        <w:t xml:space="preserve">While AusNet Services’ proposes a BBB benchmark credit rating, we </w:t>
      </w:r>
      <w:r w:rsidRPr="0055437B">
        <w:t xml:space="preserve">are satisfied that a benchmark efficient entity facing a similar degree of risk as </w:t>
      </w:r>
      <w:r>
        <w:t>AusNet Services in providing prescribed transmission services</w:t>
      </w:r>
      <w:r w:rsidRPr="00735D2F">
        <w:t xml:space="preserve"> </w:t>
      </w:r>
      <w:r>
        <w:t xml:space="preserve">would face a </w:t>
      </w:r>
      <w:r w:rsidRPr="0055437B">
        <w:t>BBB+ credit rating</w:t>
      </w:r>
      <w:r>
        <w:t>.</w:t>
      </w:r>
      <w:r w:rsidRPr="005728C3">
        <w:t xml:space="preserve"> </w:t>
      </w:r>
      <w:r>
        <w:t xml:space="preserve">In section </w:t>
      </w:r>
      <w:r>
        <w:fldChar w:fldCharType="begin"/>
      </w:r>
      <w:r>
        <w:instrText xml:space="preserve"> REF _Ref452629353 \r \h </w:instrText>
      </w:r>
      <w:r>
        <w:fldChar w:fldCharType="separate"/>
      </w:r>
      <w:r w:rsidR="003F1AAB">
        <w:t>I.4</w:t>
      </w:r>
      <w:r>
        <w:fldChar w:fldCharType="end"/>
      </w:r>
      <w:r>
        <w:t xml:space="preserve">, we </w:t>
      </w:r>
      <w:r w:rsidR="00EB0723">
        <w:t>address</w:t>
      </w:r>
      <w:r>
        <w:t xml:space="preserve"> AusNet Services’ submission. </w:t>
      </w:r>
      <w:r w:rsidR="00EB0723">
        <w:t>In particular, we</w:t>
      </w:r>
      <w:r>
        <w:t>:</w:t>
      </w:r>
      <w:r w:rsidRPr="0055437B">
        <w:t xml:space="preserve"> </w:t>
      </w:r>
    </w:p>
    <w:p w:rsidR="009E2035" w:rsidRDefault="009E2035" w:rsidP="009E2035">
      <w:pPr>
        <w:pStyle w:val="AERbulletlistfirststyle"/>
      </w:pPr>
      <w:r>
        <w:t>Set</w:t>
      </w:r>
      <w:r w:rsidR="00EB0723">
        <w:t xml:space="preserve"> </w:t>
      </w:r>
      <w:r>
        <w:t xml:space="preserve">out </w:t>
      </w:r>
      <w:r w:rsidRPr="00ED244D">
        <w:t>the comparator set we use to estimate the industry median</w:t>
      </w:r>
      <w:r>
        <w:t xml:space="preserve"> and responding to AusNet Services’ proposal to exclude itself and </w:t>
      </w:r>
      <w:r w:rsidRPr="00032247">
        <w:t>SGSP Australia Assets Pty Ltd</w:t>
      </w:r>
      <w:r>
        <w:t xml:space="preserve"> (SGSP)</w:t>
      </w:r>
      <w:r w:rsidRPr="00032247">
        <w:t xml:space="preserve"> </w:t>
      </w:r>
      <w:r>
        <w:t>from the comparator set.</w:t>
      </w:r>
    </w:p>
    <w:p w:rsidR="009E2035" w:rsidRPr="009E2035" w:rsidRDefault="009E2035" w:rsidP="00376690">
      <w:pPr>
        <w:pStyle w:val="AERbulletlistfirststyle"/>
      </w:pPr>
      <w:r>
        <w:t>Explain why we consider market data supports an</w:t>
      </w:r>
      <w:r w:rsidRPr="009E2035">
        <w:t xml:space="preserve"> industry median credit rating of BBB+, rather than BBB. </w:t>
      </w:r>
    </w:p>
    <w:p w:rsidR="009E2035" w:rsidRPr="009E2035" w:rsidRDefault="009E2035" w:rsidP="00376690">
      <w:pPr>
        <w:pStyle w:val="AERbulletlistfirststyle"/>
      </w:pPr>
      <w:r>
        <w:t>Respond to AusNet Services’ position on historical credit ratings not reflecting its low equity buffer under our approach to estimating the allowed return on equity.</w:t>
      </w:r>
    </w:p>
    <w:p w:rsidR="009E2035" w:rsidRPr="007B3953" w:rsidRDefault="009E2035" w:rsidP="009E2035">
      <w:pPr>
        <w:pStyle w:val="HeadingItalic"/>
      </w:pPr>
      <w:r>
        <w:t>Update of empirical evidence</w:t>
      </w:r>
    </w:p>
    <w:p w:rsidR="009E2035" w:rsidRPr="008E3CDC" w:rsidRDefault="009E2035" w:rsidP="009E2035">
      <w:r>
        <w:t>Consistent with our estimate in</w:t>
      </w:r>
      <w:r w:rsidRPr="008E3CDC">
        <w:t xml:space="preserve"> </w:t>
      </w:r>
      <w:r>
        <w:t xml:space="preserve">the </w:t>
      </w:r>
      <w:r w:rsidRPr="008E3CDC">
        <w:t>Guideline and preliminary decision</w:t>
      </w:r>
      <w:r>
        <w:t>, we have had regard to empirical evidence in applying a benchmark credit rating of BBB+</w:t>
      </w:r>
      <w:r w:rsidRPr="008E3CDC">
        <w:t>.</w:t>
      </w:r>
      <w:r w:rsidRPr="008E3CDC">
        <w:rPr>
          <w:rStyle w:val="FootnoteReference"/>
        </w:rPr>
        <w:footnoteReference w:id="436"/>
      </w:r>
      <w:r w:rsidRPr="008E3CDC">
        <w:t xml:space="preserve"> </w:t>
      </w:r>
    </w:p>
    <w:p w:rsidR="009E2035" w:rsidRDefault="009E2035" w:rsidP="009E2035">
      <w:r>
        <w:fldChar w:fldCharType="begin"/>
      </w:r>
      <w:r>
        <w:instrText xml:space="preserve"> REF _Ref450564730 \h </w:instrText>
      </w:r>
      <w:r>
        <w:fldChar w:fldCharType="separate"/>
      </w:r>
      <w:r w:rsidR="003F1AAB">
        <w:t xml:space="preserve">Table </w:t>
      </w:r>
      <w:r w:rsidR="003F1AAB">
        <w:rPr>
          <w:noProof/>
        </w:rPr>
        <w:t>3</w:t>
      </w:r>
      <w:r w:rsidR="003F1AAB">
        <w:noBreakHyphen/>
      </w:r>
      <w:r w:rsidR="003F1AAB">
        <w:rPr>
          <w:noProof/>
        </w:rPr>
        <w:t>10</w:t>
      </w:r>
      <w:r>
        <w:fldChar w:fldCharType="end"/>
      </w:r>
      <w:r>
        <w:t xml:space="preserve"> sets out the median credit rating over historical periods of progressively longer length. While </w:t>
      </w:r>
      <w:r>
        <w:fldChar w:fldCharType="begin"/>
      </w:r>
      <w:r>
        <w:instrText xml:space="preserve"> REF  _Ref450564730 \* Lower \h </w:instrText>
      </w:r>
      <w:r>
        <w:fldChar w:fldCharType="separate"/>
      </w:r>
      <w:r w:rsidR="003F1AAB">
        <w:t xml:space="preserve">table </w:t>
      </w:r>
      <w:r w:rsidR="003F1AAB">
        <w:rPr>
          <w:noProof/>
        </w:rPr>
        <w:t>3</w:t>
      </w:r>
      <w:r w:rsidR="003F1AAB">
        <w:noBreakHyphen/>
      </w:r>
      <w:r w:rsidR="003F1AAB">
        <w:rPr>
          <w:noProof/>
        </w:rPr>
        <w:t>10</w:t>
      </w:r>
      <w:r>
        <w:fldChar w:fldCharType="end"/>
      </w:r>
      <w:r>
        <w:t xml:space="preserve"> shows some support for a credit rating of BBB, we consider it shows stronger support for a credit rating of BBB+. </w:t>
      </w:r>
    </w:p>
    <w:p w:rsidR="009E2035" w:rsidRDefault="009E2035" w:rsidP="009E2035">
      <w:r>
        <w:t>We also note that this estimate entails taking the median from the yearly medians. We could also take the median of all credit rating observations over these time periods. This gives</w:t>
      </w:r>
      <w:r w:rsidRPr="00057769">
        <w:t xml:space="preserve"> BBB+ for the five most recent periods, BBB/BBB+ for the period 2010–2015 and BBB for the longer averaging periods (2006–2015 to 2009–15)</w:t>
      </w:r>
      <w:r>
        <w:t>. Both median of yearly medians and median of all observations show stronger support for a BBB+ benchmark credit rating. Similarly, having considered our presentation of this data in recent determinations, the Tribunal observed that the more recent years firmly point towards a BBB+ credit rating for the benchmark efficient entity.</w:t>
      </w:r>
      <w:r>
        <w:rPr>
          <w:rStyle w:val="FootnoteReference"/>
        </w:rPr>
        <w:footnoteReference w:id="437"/>
      </w:r>
    </w:p>
    <w:p w:rsidR="009E2035" w:rsidRPr="00E41C8B" w:rsidRDefault="009E2035" w:rsidP="009E2035">
      <w:pPr>
        <w:pStyle w:val="Caption"/>
      </w:pPr>
      <w:bookmarkStart w:id="85" w:name="_Ref450564730"/>
      <w:r>
        <w:t xml:space="preserve">Table </w:t>
      </w:r>
      <w:fldSimple w:instr=" STYLEREF 1 \s ">
        <w:r w:rsidR="003F1AAB">
          <w:rPr>
            <w:noProof/>
          </w:rPr>
          <w:t>3</w:t>
        </w:r>
      </w:fldSimple>
      <w:r>
        <w:noBreakHyphen/>
      </w:r>
      <w:fldSimple w:instr=" SEQ Table \* ARABIC \s 1 ">
        <w:r w:rsidR="003F1AAB">
          <w:rPr>
            <w:noProof/>
          </w:rPr>
          <w:t>10</w:t>
        </w:r>
      </w:fldSimple>
      <w:bookmarkEnd w:id="85"/>
      <w:r>
        <w:t xml:space="preserve"> </w:t>
      </w:r>
      <w:r w:rsidRPr="00E41C8B">
        <w:t>Median credit rating</w:t>
      </w:r>
      <w:r w:rsidRPr="00627B3D">
        <w:t>—</w:t>
      </w:r>
      <w:r w:rsidRPr="00E41C8B">
        <w:t>Comparator set of firms</w:t>
      </w:r>
    </w:p>
    <w:tbl>
      <w:tblPr>
        <w:tblStyle w:val="AERtable-text0"/>
        <w:tblW w:w="0" w:type="auto"/>
        <w:tblLook w:val="04A0" w:firstRow="1" w:lastRow="0" w:firstColumn="1" w:lastColumn="0" w:noHBand="0" w:noVBand="1"/>
      </w:tblPr>
      <w:tblGrid>
        <w:gridCol w:w="2153"/>
        <w:gridCol w:w="2192"/>
        <w:gridCol w:w="2155"/>
        <w:gridCol w:w="2193"/>
      </w:tblGrid>
      <w:tr w:rsidR="009E2035" w:rsidRPr="00073F41" w:rsidTr="009E2035">
        <w:trPr>
          <w:cnfStyle w:val="100000000000" w:firstRow="1" w:lastRow="0" w:firstColumn="0" w:lastColumn="0" w:oddVBand="0" w:evenVBand="0" w:oddHBand="0" w:evenHBand="0" w:firstRowFirstColumn="0" w:firstRowLastColumn="0" w:lastRowFirstColumn="0" w:lastRowLastColumn="0"/>
        </w:trPr>
        <w:tc>
          <w:tcPr>
            <w:tcW w:w="2153" w:type="dxa"/>
          </w:tcPr>
          <w:p w:rsidR="009E2035" w:rsidRPr="009E2035" w:rsidRDefault="009E2035" w:rsidP="009E2035">
            <w:r w:rsidRPr="00073F41">
              <w:t xml:space="preserve">Time </w:t>
            </w:r>
            <w:r w:rsidRPr="009E2035">
              <w:t xml:space="preserve">period </w:t>
            </w:r>
          </w:p>
        </w:tc>
        <w:tc>
          <w:tcPr>
            <w:tcW w:w="2192" w:type="dxa"/>
          </w:tcPr>
          <w:p w:rsidR="009E2035" w:rsidRPr="009E2035" w:rsidRDefault="009E2035" w:rsidP="009E2035">
            <w:r w:rsidRPr="00073F41">
              <w:t>Median credit rating</w:t>
            </w:r>
          </w:p>
        </w:tc>
        <w:tc>
          <w:tcPr>
            <w:tcW w:w="2155" w:type="dxa"/>
          </w:tcPr>
          <w:p w:rsidR="009E2035" w:rsidRPr="009E2035" w:rsidRDefault="009E2035" w:rsidP="009E2035">
            <w:r w:rsidRPr="00073F41">
              <w:t>Time period</w:t>
            </w:r>
          </w:p>
        </w:tc>
        <w:tc>
          <w:tcPr>
            <w:tcW w:w="2193" w:type="dxa"/>
          </w:tcPr>
          <w:p w:rsidR="009E2035" w:rsidRPr="009E2035" w:rsidRDefault="009E2035" w:rsidP="009E2035">
            <w:r w:rsidRPr="00073F41">
              <w:t>Median credit rating</w:t>
            </w:r>
          </w:p>
        </w:tc>
      </w:tr>
      <w:tr w:rsidR="009E2035" w:rsidRPr="00073F41" w:rsidTr="009E2035">
        <w:trPr>
          <w:trHeight w:val="622"/>
        </w:trPr>
        <w:tc>
          <w:tcPr>
            <w:tcW w:w="2153" w:type="dxa"/>
          </w:tcPr>
          <w:p w:rsidR="009E2035" w:rsidRPr="009E2035" w:rsidRDefault="009E2035" w:rsidP="009E2035">
            <w:r>
              <w:t xml:space="preserve">2015 </w:t>
            </w:r>
          </w:p>
        </w:tc>
        <w:tc>
          <w:tcPr>
            <w:tcW w:w="2192" w:type="dxa"/>
          </w:tcPr>
          <w:p w:rsidR="009E2035" w:rsidRPr="009E2035" w:rsidRDefault="009E2035" w:rsidP="009E2035">
            <w:r w:rsidRPr="00073F41">
              <w:t>BBB+</w:t>
            </w:r>
          </w:p>
        </w:tc>
        <w:tc>
          <w:tcPr>
            <w:tcW w:w="2155" w:type="dxa"/>
          </w:tcPr>
          <w:p w:rsidR="009E2035" w:rsidRPr="009E2035" w:rsidRDefault="009E2035" w:rsidP="009E2035">
            <w:r>
              <w:t>2010</w:t>
            </w:r>
            <w:r w:rsidRPr="009E2035">
              <w:t>–2015</w:t>
            </w:r>
          </w:p>
        </w:tc>
        <w:tc>
          <w:tcPr>
            <w:tcW w:w="2193" w:type="dxa"/>
          </w:tcPr>
          <w:p w:rsidR="009E2035" w:rsidRPr="009E2035" w:rsidRDefault="009E2035" w:rsidP="009E2035">
            <w:r w:rsidRPr="00073F41">
              <w:t>BBB</w:t>
            </w:r>
            <w:r w:rsidRPr="009E2035">
              <w:t>/BBB+</w:t>
            </w:r>
          </w:p>
        </w:tc>
      </w:tr>
      <w:tr w:rsidR="009E2035" w:rsidRPr="00073F41" w:rsidTr="009E2035">
        <w:trPr>
          <w:cnfStyle w:val="000000010000" w:firstRow="0" w:lastRow="0" w:firstColumn="0" w:lastColumn="0" w:oddVBand="0" w:evenVBand="0" w:oddHBand="0" w:evenHBand="1" w:firstRowFirstColumn="0" w:firstRowLastColumn="0" w:lastRowFirstColumn="0" w:lastRowLastColumn="0"/>
        </w:trPr>
        <w:tc>
          <w:tcPr>
            <w:tcW w:w="2153" w:type="dxa"/>
          </w:tcPr>
          <w:p w:rsidR="009E2035" w:rsidRPr="009E2035" w:rsidRDefault="009E2035" w:rsidP="009E2035">
            <w:r>
              <w:t>2014–2015</w:t>
            </w:r>
          </w:p>
        </w:tc>
        <w:tc>
          <w:tcPr>
            <w:tcW w:w="2192" w:type="dxa"/>
          </w:tcPr>
          <w:p w:rsidR="009E2035" w:rsidRPr="009E2035" w:rsidRDefault="009E2035" w:rsidP="009E2035">
            <w:r w:rsidRPr="00073F41">
              <w:t>BBB+</w:t>
            </w:r>
          </w:p>
        </w:tc>
        <w:tc>
          <w:tcPr>
            <w:tcW w:w="2155" w:type="dxa"/>
          </w:tcPr>
          <w:p w:rsidR="009E2035" w:rsidRPr="009E2035" w:rsidRDefault="009E2035" w:rsidP="009E2035">
            <w:r>
              <w:t>2009–2015</w:t>
            </w:r>
          </w:p>
        </w:tc>
        <w:tc>
          <w:tcPr>
            <w:tcW w:w="2193" w:type="dxa"/>
          </w:tcPr>
          <w:p w:rsidR="009E2035" w:rsidRPr="009E2035" w:rsidRDefault="009E2035" w:rsidP="009E2035">
            <w:r>
              <w:t>BBB</w:t>
            </w:r>
          </w:p>
        </w:tc>
      </w:tr>
      <w:tr w:rsidR="009E2035" w:rsidRPr="00073F41" w:rsidTr="009E2035">
        <w:tc>
          <w:tcPr>
            <w:tcW w:w="2153" w:type="dxa"/>
          </w:tcPr>
          <w:p w:rsidR="009E2035" w:rsidRPr="009E2035" w:rsidRDefault="009E2035" w:rsidP="009E2035">
            <w:r>
              <w:t>2013–2015</w:t>
            </w:r>
          </w:p>
        </w:tc>
        <w:tc>
          <w:tcPr>
            <w:tcW w:w="2192" w:type="dxa"/>
          </w:tcPr>
          <w:p w:rsidR="009E2035" w:rsidRPr="009E2035" w:rsidRDefault="009E2035" w:rsidP="009E2035">
            <w:r w:rsidRPr="00073F41">
              <w:t>BBB+</w:t>
            </w:r>
          </w:p>
        </w:tc>
        <w:tc>
          <w:tcPr>
            <w:tcW w:w="2155" w:type="dxa"/>
          </w:tcPr>
          <w:p w:rsidR="009E2035" w:rsidRPr="009E2035" w:rsidRDefault="009E2035" w:rsidP="009E2035">
            <w:r>
              <w:t>2008–2015</w:t>
            </w:r>
          </w:p>
        </w:tc>
        <w:tc>
          <w:tcPr>
            <w:tcW w:w="2193" w:type="dxa"/>
          </w:tcPr>
          <w:p w:rsidR="009E2035" w:rsidRPr="009E2035" w:rsidRDefault="009E2035" w:rsidP="009E2035">
            <w:r>
              <w:t>BBB</w:t>
            </w:r>
            <w:r w:rsidRPr="009E2035">
              <w:t>/BBB+</w:t>
            </w:r>
          </w:p>
        </w:tc>
      </w:tr>
      <w:tr w:rsidR="009E2035" w:rsidRPr="00073F41" w:rsidTr="009E2035">
        <w:trPr>
          <w:cnfStyle w:val="000000010000" w:firstRow="0" w:lastRow="0" w:firstColumn="0" w:lastColumn="0" w:oddVBand="0" w:evenVBand="0" w:oddHBand="0" w:evenHBand="1" w:firstRowFirstColumn="0" w:firstRowLastColumn="0" w:lastRowFirstColumn="0" w:lastRowLastColumn="0"/>
        </w:trPr>
        <w:tc>
          <w:tcPr>
            <w:tcW w:w="2153" w:type="dxa"/>
          </w:tcPr>
          <w:p w:rsidR="009E2035" w:rsidRPr="009E2035" w:rsidRDefault="009E2035" w:rsidP="009E2035">
            <w:r>
              <w:t>2012–2015</w:t>
            </w:r>
          </w:p>
        </w:tc>
        <w:tc>
          <w:tcPr>
            <w:tcW w:w="2192" w:type="dxa"/>
          </w:tcPr>
          <w:p w:rsidR="009E2035" w:rsidRPr="009E2035" w:rsidRDefault="009E2035" w:rsidP="009E2035">
            <w:r w:rsidRPr="00073F41">
              <w:t>BBB</w:t>
            </w:r>
            <w:r w:rsidRPr="009E2035">
              <w:t>/BBB+</w:t>
            </w:r>
          </w:p>
        </w:tc>
        <w:tc>
          <w:tcPr>
            <w:tcW w:w="2155" w:type="dxa"/>
          </w:tcPr>
          <w:p w:rsidR="009E2035" w:rsidRPr="009E2035" w:rsidRDefault="009E2035" w:rsidP="009E2035">
            <w:r>
              <w:t>2007–2015</w:t>
            </w:r>
          </w:p>
        </w:tc>
        <w:tc>
          <w:tcPr>
            <w:tcW w:w="2193" w:type="dxa"/>
          </w:tcPr>
          <w:p w:rsidR="009E2035" w:rsidRPr="009E2035" w:rsidRDefault="009E2035" w:rsidP="009E2035">
            <w:r>
              <w:t>BBB/</w:t>
            </w:r>
            <w:r w:rsidRPr="009E2035">
              <w:t>BBB+</w:t>
            </w:r>
          </w:p>
        </w:tc>
      </w:tr>
      <w:tr w:rsidR="009E2035" w:rsidRPr="00073F41" w:rsidTr="009E2035">
        <w:tc>
          <w:tcPr>
            <w:tcW w:w="2153" w:type="dxa"/>
          </w:tcPr>
          <w:p w:rsidR="009E2035" w:rsidRPr="009E2035" w:rsidRDefault="009E2035" w:rsidP="009E2035">
            <w:r>
              <w:t>2011–2015</w:t>
            </w:r>
          </w:p>
        </w:tc>
        <w:tc>
          <w:tcPr>
            <w:tcW w:w="2192" w:type="dxa"/>
          </w:tcPr>
          <w:p w:rsidR="009E2035" w:rsidRPr="009E2035" w:rsidRDefault="009E2035" w:rsidP="009E2035">
            <w:r>
              <w:t>BBB</w:t>
            </w:r>
            <w:r w:rsidRPr="009E2035">
              <w:t>/BBB+</w:t>
            </w:r>
          </w:p>
        </w:tc>
        <w:tc>
          <w:tcPr>
            <w:tcW w:w="2155" w:type="dxa"/>
          </w:tcPr>
          <w:p w:rsidR="009E2035" w:rsidRPr="009E2035" w:rsidRDefault="009E2035" w:rsidP="009E2035">
            <w:r>
              <w:t>2006–2015</w:t>
            </w:r>
          </w:p>
        </w:tc>
        <w:tc>
          <w:tcPr>
            <w:tcW w:w="2193" w:type="dxa"/>
          </w:tcPr>
          <w:p w:rsidR="009E2035" w:rsidRPr="009E2035" w:rsidRDefault="009E2035" w:rsidP="009E2035">
            <w:r>
              <w:t>BBB/</w:t>
            </w:r>
            <w:r w:rsidRPr="009E2035">
              <w:t>BBB+</w:t>
            </w:r>
          </w:p>
        </w:tc>
      </w:tr>
    </w:tbl>
    <w:p w:rsidR="009E2035" w:rsidRDefault="009E2035" w:rsidP="009E2035">
      <w:pPr>
        <w:pStyle w:val="AERtablesource"/>
      </w:pPr>
      <w:r w:rsidRPr="00E41C8B">
        <w:t xml:space="preserve">Source: </w:t>
      </w:r>
      <w:r w:rsidRPr="00E41C8B">
        <w:tab/>
        <w:t>Bloomberg (S&amp;P), AER analysis.</w:t>
      </w:r>
      <w:r>
        <w:t xml:space="preserve"> </w:t>
      </w:r>
    </w:p>
    <w:p w:rsidR="00E6234D" w:rsidRPr="00E6234D" w:rsidRDefault="00E6234D" w:rsidP="00E6234D">
      <w:pPr>
        <w:pStyle w:val="HeadingBoldItalic"/>
      </w:pPr>
      <w:r>
        <w:t>Use of independent third party data series</w:t>
      </w:r>
    </w:p>
    <w:p w:rsidR="00E6234D" w:rsidRPr="0031633C" w:rsidRDefault="00E6234D" w:rsidP="00E6234D">
      <w:pPr>
        <w:numPr>
          <w:ilvl w:val="0"/>
          <w:numId w:val="25"/>
        </w:numPr>
      </w:pPr>
      <w:r w:rsidRPr="0031633C">
        <w:t>Our decision is to estimate the return on debt by reference to independent third party data series. Using third party data series is the same approach we proposed in the Guideline.</w:t>
      </w:r>
      <w:r w:rsidRPr="0031633C">
        <w:rPr>
          <w:rStyle w:val="AERsuperscript"/>
        </w:rPr>
        <w:footnoteReference w:id="438"/>
      </w:r>
      <w:r>
        <w:t xml:space="preserve"> It is also consistent with AusNet Services’ regulatory proposal.</w:t>
      </w:r>
      <w:r>
        <w:rPr>
          <w:rStyle w:val="FootnoteReference"/>
        </w:rPr>
        <w:footnoteReference w:id="439"/>
      </w:r>
    </w:p>
    <w:p w:rsidR="00E6234D" w:rsidRDefault="00E6234D" w:rsidP="00E6234D">
      <w:pPr>
        <w:numPr>
          <w:ilvl w:val="0"/>
          <w:numId w:val="25"/>
        </w:numPr>
      </w:pPr>
      <w:r w:rsidRPr="0031633C">
        <w:t>The CCP and several other consumer groups</w:t>
      </w:r>
      <w:r>
        <w:t xml:space="preserve"> have</w:t>
      </w:r>
      <w:r w:rsidRPr="0031633C">
        <w:t xml:space="preserve"> raised our use of third party data service providers as an issue in several </w:t>
      </w:r>
      <w:r>
        <w:t>recent regulatory processes</w:t>
      </w:r>
      <w:r w:rsidRPr="0031633C">
        <w:t>. For instance, the CCP recommended using service providers' actual borrowing costs as a reasonableness check and/or using an industry index based on actual borrowing costs.</w:t>
      </w:r>
      <w:r w:rsidRPr="0031633C">
        <w:rPr>
          <w:rStyle w:val="AERsuperscript"/>
        </w:rPr>
        <w:footnoteReference w:id="440"/>
      </w:r>
      <w:r w:rsidRPr="0031633C">
        <w:t xml:space="preserve"> </w:t>
      </w:r>
    </w:p>
    <w:p w:rsidR="00E6234D" w:rsidRPr="0031633C" w:rsidRDefault="00E6234D" w:rsidP="00E6234D">
      <w:pPr>
        <w:numPr>
          <w:ilvl w:val="0"/>
          <w:numId w:val="25"/>
        </w:numPr>
      </w:pPr>
      <w:r w:rsidRPr="0031633C">
        <w:t xml:space="preserve">We are satisfied that using a third party data series (or multiple series), appropriately chosen, is commensurate with the efficient debt financing costs of </w:t>
      </w:r>
      <w:r>
        <w:t>a</w:t>
      </w:r>
      <w:r w:rsidRPr="0031633C">
        <w:t xml:space="preserve"> benchmark efficient entity. It is also consistent with the rule requirement that the change in revenue (resulting from the annual debt update) is effected through the automatic application of a formula that is specified in the </w:t>
      </w:r>
      <w:r>
        <w:t xml:space="preserve">revenue </w:t>
      </w:r>
      <w:r w:rsidRPr="0031633C">
        <w:t>determination.</w:t>
      </w:r>
      <w:r>
        <w:rPr>
          <w:rStyle w:val="FootnoteReference"/>
        </w:rPr>
        <w:footnoteReference w:id="441"/>
      </w:r>
      <w:r w:rsidRPr="0031633C">
        <w:t xml:space="preserve"> This is because:</w:t>
      </w:r>
    </w:p>
    <w:p w:rsidR="00E6234D" w:rsidRPr="0031633C" w:rsidRDefault="00E6234D" w:rsidP="00E6234D">
      <w:pPr>
        <w:pStyle w:val="AERbulletlistfirststyle"/>
      </w:pPr>
      <w:r w:rsidRPr="0031633C">
        <w:t>A third party data series can be practically applied in the annual debt update process—</w:t>
      </w:r>
      <w:proofErr w:type="gramStart"/>
      <w:r w:rsidRPr="0031633C">
        <w:t>We</w:t>
      </w:r>
      <w:proofErr w:type="gramEnd"/>
      <w:r w:rsidRPr="0031633C">
        <w:t xml:space="preserve"> discuss this </w:t>
      </w:r>
      <w:r>
        <w:t xml:space="preserve">point </w:t>
      </w:r>
      <w:r w:rsidRPr="0031633C">
        <w:t>further below.</w:t>
      </w:r>
    </w:p>
    <w:p w:rsidR="00E6234D" w:rsidRPr="0031633C" w:rsidRDefault="00E6234D" w:rsidP="00E6234D">
      <w:pPr>
        <w:pStyle w:val="AERbulletlistfirststyle"/>
      </w:pPr>
      <w:r w:rsidRPr="0031633C">
        <w:t>A third party data series is independent information developed by finance experts with access to financial datasets—</w:t>
      </w:r>
      <w:proofErr w:type="gramStart"/>
      <w:r w:rsidRPr="0031633C">
        <w:t>These</w:t>
      </w:r>
      <w:proofErr w:type="gramEnd"/>
      <w:r w:rsidRPr="0031633C">
        <w:t xml:space="preserve"> experts develop this independently from the regulatory process and for the use of market practitioners.</w:t>
      </w:r>
    </w:p>
    <w:p w:rsidR="00E6234D" w:rsidRPr="0031633C" w:rsidRDefault="00E6234D" w:rsidP="00E6234D">
      <w:pPr>
        <w:pStyle w:val="AERbulletlistfirststyle"/>
      </w:pPr>
      <w:r w:rsidRPr="0031633C">
        <w:t xml:space="preserve">Using a third party data series also reduces the scope for debate on debt instrument selection and curve fitting—For instance, independent data service providers have already exercised their judgement on bond selection, curve fitting and adjusting yields. However, we still must exercise our regulatory judgement to assess which third party data series (or combination of series) is better suited for contributing to the achievement of the </w:t>
      </w:r>
      <w:r>
        <w:t>ARORO</w:t>
      </w:r>
      <w:r w:rsidRPr="0031633C">
        <w:t>.</w:t>
      </w:r>
    </w:p>
    <w:p w:rsidR="00E6234D" w:rsidRPr="00293457" w:rsidRDefault="00E6234D" w:rsidP="00E6234D">
      <w:pPr>
        <w:pStyle w:val="AERbulletlistfirststyle"/>
      </w:pPr>
      <w:r w:rsidRPr="00293457">
        <w:t>There is no consensus among Australian regulators on the best method to estimate the return on debt—Some regulators use independent third party data series while others use their own data series (with or without it being cross checked against a third party data series).</w:t>
      </w:r>
      <w:r>
        <w:rPr>
          <w:rStyle w:val="FootnoteReference"/>
        </w:rPr>
        <w:footnoteReference w:id="442"/>
      </w:r>
      <w:r w:rsidRPr="00293457">
        <w:t xml:space="preserve"> </w:t>
      </w:r>
      <w:r w:rsidRPr="0031633C">
        <w:t>The Tribunal has found both approaches reasonable</w:t>
      </w:r>
      <w:r>
        <w:t>.</w:t>
      </w:r>
      <w:r>
        <w:rPr>
          <w:rStyle w:val="FootnoteReference"/>
        </w:rPr>
        <w:footnoteReference w:id="443"/>
      </w:r>
    </w:p>
    <w:p w:rsidR="00E6234D" w:rsidRPr="0031633C" w:rsidRDefault="00E6234D" w:rsidP="00E6234D">
      <w:r w:rsidRPr="0031633C">
        <w:t xml:space="preserve">We explain our first reason listed above in more detail here. The </w:t>
      </w:r>
      <w:r>
        <w:t>rules</w:t>
      </w:r>
      <w:r w:rsidRPr="0031633C">
        <w:t xml:space="preserve"> require that if we apply annual updating (or any other approach that could result in a different return on debt each year), then the change in revenue must be effected through the automatic application of a formula that is specified in the </w:t>
      </w:r>
      <w:r>
        <w:t xml:space="preserve">revenue </w:t>
      </w:r>
      <w:r w:rsidRPr="0031633C">
        <w:t>determination.</w:t>
      </w:r>
      <w:r>
        <w:rPr>
          <w:rStyle w:val="FootnoteReference"/>
        </w:rPr>
        <w:footnoteReference w:id="444"/>
      </w:r>
      <w:r w:rsidRPr="0031633C">
        <w:t xml:space="preserve"> Even if this were not a rule requirement, </w:t>
      </w:r>
      <w:r>
        <w:t xml:space="preserve">we consider </w:t>
      </w:r>
      <w:r w:rsidRPr="0031633C">
        <w:t xml:space="preserve">using a third party data series </w:t>
      </w:r>
      <w:r>
        <w:t>is likely to b</w:t>
      </w:r>
      <w:r w:rsidRPr="0031633C">
        <w:t>e the only practical option to update the return on debt annually. This position is supported by NERA</w:t>
      </w:r>
      <w:r>
        <w:t xml:space="preserve"> (commissioned by TransGrid in a recent decision process)</w:t>
      </w:r>
      <w:r w:rsidRPr="0031633C">
        <w:t>, who advised that:</w:t>
      </w:r>
    </w:p>
    <w:p w:rsidR="00E6234D" w:rsidRPr="0031633C" w:rsidRDefault="00E6234D" w:rsidP="00E6234D">
      <w:pPr>
        <w:pStyle w:val="AERquote"/>
      </w:pPr>
      <w:r w:rsidRPr="0031633C">
        <w:t>…a third party data service provider is essential to allow the return on debt to be updated automatically'.</w:t>
      </w:r>
      <w:r w:rsidRPr="0031633C">
        <w:rPr>
          <w:rStyle w:val="AERsuperscript"/>
        </w:rPr>
        <w:footnoteReference w:id="445"/>
      </w:r>
    </w:p>
    <w:p w:rsidR="00E6234D" w:rsidRDefault="00E6234D" w:rsidP="00E6234D">
      <w:r w:rsidRPr="0031633C">
        <w:t xml:space="preserve">Alternatives, such as calculating and implementing our own data series, would likely require us to apply a greater element of judgement and involve far greater complexity of calculations. For example, we may need to exercise judgement over whether we should exclude certain bonds as outliers. Consultation on these matters, </w:t>
      </w:r>
      <w:r w:rsidR="00704CF9">
        <w:t xml:space="preserve">particularly given </w:t>
      </w:r>
      <w:r w:rsidRPr="0031633C">
        <w:t xml:space="preserve">the complexity of calculations, would be impractical to achieve during the annual debt update process. The annual debt update we propose is set out below </w:t>
      </w:r>
      <w:r>
        <w:t>after</w:t>
      </w:r>
      <w:r w:rsidRPr="0031633C">
        <w:t xml:space="preserve"> the section on the averaging period. This process needs to occur relatively quickly and without consultation. Using a third party data series enables this. This is because we can consult on the choice of the data series and any implementation issues (for example, weighting of data series, extrapolation, or interpolation issues) when making the </w:t>
      </w:r>
      <w:r>
        <w:t xml:space="preserve">revenue </w:t>
      </w:r>
      <w:r w:rsidRPr="0031633C">
        <w:t>determination. We can then add a formula to the determination and apply it mechanistically during the annual debt update process.</w:t>
      </w:r>
    </w:p>
    <w:p w:rsidR="00E6234D" w:rsidRDefault="00E6234D" w:rsidP="00E6234D">
      <w:pPr>
        <w:pStyle w:val="HeadingBoldItalic"/>
      </w:pPr>
      <w:r w:rsidRPr="00484372">
        <w:t>Choice of third party data series (including adjustments)</w:t>
      </w:r>
    </w:p>
    <w:p w:rsidR="00E6234D" w:rsidRPr="00484372" w:rsidRDefault="00E6234D" w:rsidP="00E6234D">
      <w:pPr>
        <w:numPr>
          <w:ilvl w:val="0"/>
          <w:numId w:val="25"/>
        </w:numPr>
      </w:pPr>
      <w:r w:rsidRPr="00484372">
        <w:t xml:space="preserve">In the previous section, we explained our </w:t>
      </w:r>
      <w:r>
        <w:t xml:space="preserve">draft </w:t>
      </w:r>
      <w:r w:rsidRPr="00484372">
        <w:t>decision is to use third party published data series to estimate the allowed return on debt, rather than deriving our own data series. In this section, we explain our choice of third party data series, including adjustments we have decided to make to those data series.</w:t>
      </w:r>
    </w:p>
    <w:p w:rsidR="00E6234D" w:rsidRPr="00484372" w:rsidRDefault="00E6234D" w:rsidP="00E6234D">
      <w:pPr>
        <w:numPr>
          <w:ilvl w:val="0"/>
          <w:numId w:val="25"/>
        </w:numPr>
      </w:pPr>
      <w:r w:rsidRPr="00484372">
        <w:t>Our</w:t>
      </w:r>
      <w:r>
        <w:t xml:space="preserve"> draft</w:t>
      </w:r>
      <w:r w:rsidRPr="00484372">
        <w:t xml:space="preserve"> decision is to adopt a simple average of the debt data series published by the </w:t>
      </w:r>
      <w:r>
        <w:t>RBA</w:t>
      </w:r>
      <w:r w:rsidRPr="00484372">
        <w:t xml:space="preserve"> and Bloomberg that match, as close as available, our benchmarks of a BBB+ credit rating and a 10 year debt term. Specifically, </w:t>
      </w:r>
      <w:r>
        <w:t>we</w:t>
      </w:r>
      <w:r w:rsidRPr="00484372">
        <w:t xml:space="preserve"> adopt a simple average of:</w:t>
      </w:r>
    </w:p>
    <w:p w:rsidR="00E6234D" w:rsidRPr="00484372" w:rsidRDefault="00E6234D" w:rsidP="00E6234D">
      <w:pPr>
        <w:pStyle w:val="AERbulletlistfirststyle"/>
      </w:pPr>
      <w:r>
        <w:t>t</w:t>
      </w:r>
      <w:r w:rsidRPr="00484372">
        <w:t>he</w:t>
      </w:r>
      <w:r>
        <w:t xml:space="preserve"> </w:t>
      </w:r>
      <w:r w:rsidRPr="00484372">
        <w:t>10 year estimate from the non-financial corporate BBB rated data series published by the RBA (the RBA curve),</w:t>
      </w:r>
      <w:r w:rsidRPr="00D020D4">
        <w:rPr>
          <w:rStyle w:val="AERsuperscript"/>
        </w:rPr>
        <w:footnoteReference w:id="446"/>
      </w:r>
      <w:r w:rsidRPr="00D020D4">
        <w:rPr>
          <w:rStyle w:val="AERsuperscript"/>
        </w:rPr>
        <w:t xml:space="preserve"> </w:t>
      </w:r>
      <w:r w:rsidRPr="00484372">
        <w:t>and</w:t>
      </w:r>
    </w:p>
    <w:p w:rsidR="00E6234D" w:rsidRPr="00484372" w:rsidRDefault="00E6234D" w:rsidP="00E6234D">
      <w:pPr>
        <w:pStyle w:val="AERbulletlistfirststyle"/>
      </w:pPr>
      <w:proofErr w:type="gramStart"/>
      <w:r w:rsidRPr="00484372">
        <w:t>the</w:t>
      </w:r>
      <w:proofErr w:type="gramEnd"/>
      <w:r w:rsidRPr="00484372">
        <w:t xml:space="preserve"> 10 year yield estimate from the Australian corporate BBB rated Bloomberg Valuation Service (BVAL) data series published by Bloomberg (the BVAL curve).</w:t>
      </w:r>
      <w:r w:rsidRPr="00D020D4">
        <w:rPr>
          <w:rStyle w:val="AERsuperscript"/>
        </w:rPr>
        <w:footnoteReference w:id="447"/>
      </w:r>
    </w:p>
    <w:p w:rsidR="00E6234D" w:rsidRPr="00484372" w:rsidRDefault="00E6234D" w:rsidP="00E6234D">
      <w:pPr>
        <w:numPr>
          <w:ilvl w:val="0"/>
          <w:numId w:val="25"/>
        </w:numPr>
      </w:pPr>
      <w:r w:rsidRPr="00484372">
        <w:t>The RBA and BVAL curves are both 'broad BBB' rated data series in that they reflect bond pricing generally across the BBB+, BBB and BBB- rated spectrum of bonds.</w:t>
      </w:r>
    </w:p>
    <w:p w:rsidR="00E6234D" w:rsidRPr="00484372" w:rsidRDefault="00E6234D" w:rsidP="00E6234D">
      <w:pPr>
        <w:numPr>
          <w:ilvl w:val="0"/>
          <w:numId w:val="25"/>
        </w:numPr>
      </w:pPr>
      <w:r w:rsidRPr="00484372">
        <w:t xml:space="preserve">Our </w:t>
      </w:r>
      <w:r>
        <w:t xml:space="preserve">draft </w:t>
      </w:r>
      <w:r w:rsidRPr="00484372">
        <w:t xml:space="preserve">decision is also to make certain adjustments to the RBA and BVAL curves so these rates are consistent with our 10 year benchmark debt term and also so they can be applied across the dates of </w:t>
      </w:r>
      <w:r>
        <w:t>AusNet Services’</w:t>
      </w:r>
      <w:r w:rsidRPr="00484372">
        <w:t xml:space="preserve"> averaging periods. Those adjustments are:</w:t>
      </w:r>
    </w:p>
    <w:p w:rsidR="00E6234D" w:rsidRPr="00484372" w:rsidRDefault="00E6234D" w:rsidP="00E6234D">
      <w:r w:rsidRPr="00484372">
        <w:t>For the RBA curve, to extrapolate the data series from a 'target' 10 year term to an 'effective' 10 year term using the method recommended by Dr Lally (the Lally method),</w:t>
      </w:r>
      <w:r w:rsidRPr="00940FFA">
        <w:rPr>
          <w:rStyle w:val="AERsuperscript"/>
        </w:rPr>
        <w:footnoteReference w:id="448"/>
      </w:r>
      <w:r w:rsidRPr="00484372">
        <w:t xml:space="preserve"> to interpolate the monthly data points to produce daily estimates, and to convert the estimates from a semi-annual to an effective annual rate.</w:t>
      </w:r>
    </w:p>
    <w:p w:rsidR="00E6234D" w:rsidRPr="00484372" w:rsidRDefault="00E6234D" w:rsidP="00E6234D">
      <w:pPr>
        <w:pStyle w:val="AERbulletlistfirststyle"/>
      </w:pPr>
      <w:r w:rsidRPr="00484372">
        <w:t>For the BVAL curve, to convert the estimates from a semi-annual to an effective annual rate.</w:t>
      </w:r>
      <w:r w:rsidRPr="00484372">
        <w:rPr>
          <w:rStyle w:val="AERsuperscript"/>
        </w:rPr>
        <w:footnoteReference w:id="449"/>
      </w:r>
    </w:p>
    <w:p w:rsidR="00E6234D" w:rsidRDefault="00E6234D" w:rsidP="00E6234D">
      <w:pPr>
        <w:pStyle w:val="AERbulletlistfirststyle"/>
      </w:pPr>
      <w:r w:rsidRPr="00484372">
        <w:t xml:space="preserve">The above positions are consistent with the approach we adopted in the first round of decisions since the publication of the Guideline, the most recent being our </w:t>
      </w:r>
      <w:r>
        <w:t>decisions released in May 2016</w:t>
      </w:r>
      <w:r w:rsidRPr="00484372">
        <w:t>.</w:t>
      </w:r>
      <w:r w:rsidRPr="00484372">
        <w:rPr>
          <w:rStyle w:val="AERsuperscript"/>
        </w:rPr>
        <w:footnoteReference w:id="450"/>
      </w:r>
    </w:p>
    <w:p w:rsidR="00E6234D" w:rsidRPr="0044315E" w:rsidRDefault="00E6234D" w:rsidP="00E6234D">
      <w:r w:rsidRPr="0044315E">
        <w:t xml:space="preserve">We are satisfied that a simple average of the two </w:t>
      </w:r>
      <w:r>
        <w:t>curves</w:t>
      </w:r>
      <w:r w:rsidRPr="0044315E">
        <w:t xml:space="preserve"> will result in a return on debt that contributes to the achievement of the </w:t>
      </w:r>
      <w:r>
        <w:t>ARORO</w:t>
      </w:r>
      <w:r w:rsidRPr="0044315E">
        <w:t>. This is because:</w:t>
      </w:r>
    </w:p>
    <w:p w:rsidR="00E6234D" w:rsidRPr="0044315E" w:rsidRDefault="00E6234D" w:rsidP="00E6234D">
      <w:pPr>
        <w:pStyle w:val="AERbulletlistfirststyle"/>
      </w:pPr>
      <w:r w:rsidRPr="0044315E">
        <w:t>Based on analysis of the bond selection criteria</w:t>
      </w:r>
      <w:r>
        <w:t xml:space="preserve"> (including </w:t>
      </w:r>
      <w:r w:rsidR="00704CF9">
        <w:t xml:space="preserve">the </w:t>
      </w:r>
      <w:r>
        <w:t>approach for identifying outliers)</w:t>
      </w:r>
      <w:r w:rsidRPr="0044315E">
        <w:t xml:space="preserve">, we consider that both approaches employed by the RBA and Bloomberg have </w:t>
      </w:r>
      <w:r>
        <w:t xml:space="preserve">their unique </w:t>
      </w:r>
      <w:r w:rsidRPr="0044315E">
        <w:t>strengths</w:t>
      </w:r>
      <w:r>
        <w:t xml:space="preserve"> and weaknesses</w:t>
      </w:r>
      <w:r w:rsidRPr="0044315E">
        <w:t>, but we are not satisfied that either is clearly superior.</w:t>
      </w:r>
    </w:p>
    <w:p w:rsidR="00E6234D" w:rsidRPr="0044315E" w:rsidRDefault="00E6234D" w:rsidP="00E6234D">
      <w:pPr>
        <w:pStyle w:val="AERbulletlistfirststyle"/>
      </w:pPr>
      <w:r w:rsidRPr="0044315E">
        <w:t xml:space="preserve">Based on analysis of the curve fitting (or averaging) methodologies, we consider that both approaches have </w:t>
      </w:r>
      <w:r>
        <w:t xml:space="preserve">their unique </w:t>
      </w:r>
      <w:r w:rsidRPr="0044315E">
        <w:t>strengths</w:t>
      </w:r>
      <w:r>
        <w:t xml:space="preserve"> and weaknesses</w:t>
      </w:r>
      <w:r w:rsidRPr="0044315E">
        <w:t>, but we are not satisfied that either is clearly superior.</w:t>
      </w:r>
    </w:p>
    <w:p w:rsidR="00E6234D" w:rsidRPr="0044315E" w:rsidRDefault="00E6234D" w:rsidP="00E6234D">
      <w:pPr>
        <w:pStyle w:val="AERbulletlistfirststyle"/>
      </w:pPr>
      <w:r w:rsidRPr="0044315E">
        <w:t xml:space="preserve">Both curves require adjustments from their published form to make them </w:t>
      </w:r>
      <w:r>
        <w:t>fit-for-purpose</w:t>
      </w:r>
      <w:r w:rsidRPr="0044315E">
        <w:t xml:space="preserve">, and we are not satisfied that either can be more simply or reliably </w:t>
      </w:r>
      <w:r>
        <w:t>adjusted</w:t>
      </w:r>
      <w:r w:rsidRPr="0044315E">
        <w:t xml:space="preserve"> </w:t>
      </w:r>
      <w:r>
        <w:t>to estimate</w:t>
      </w:r>
      <w:r w:rsidRPr="0044315E">
        <w:t xml:space="preserve"> the annual return on debt.</w:t>
      </w:r>
      <w:r w:rsidRPr="0044315E">
        <w:rPr>
          <w:rStyle w:val="FootnoteReference"/>
        </w:rPr>
        <w:footnoteReference w:id="451"/>
      </w:r>
    </w:p>
    <w:p w:rsidR="00E6234D" w:rsidRDefault="00E6234D" w:rsidP="00E6234D">
      <w:pPr>
        <w:pStyle w:val="AERbulletlistfirststyle"/>
      </w:pPr>
      <w:r w:rsidRPr="0044315E">
        <w:t xml:space="preserve">A simple average is consistent with expert advice from Dr Lally that we adopt a simple average of the BVAL curve and the RBA curve, subject to the necessary adjustments to each curve. </w:t>
      </w:r>
      <w:r w:rsidRPr="0044315E">
        <w:rPr>
          <w:rStyle w:val="AERsuperscript"/>
        </w:rPr>
        <w:footnoteReference w:id="452"/>
      </w:r>
      <w:r w:rsidRPr="0044315E">
        <w:t xml:space="preserve"> In particular, Lally concluded that based on analysis of the curves, it was reasonably likely that a simple average of the two curves would produce an estimator with a lower mean squared error (MSE) than using either curv</w:t>
      </w:r>
      <w:r>
        <w:t>e in isolation. Lally also advised:</w:t>
      </w:r>
    </w:p>
    <w:p w:rsidR="00E6234D" w:rsidRPr="0044315E" w:rsidRDefault="00E6234D" w:rsidP="00E6234D">
      <w:pPr>
        <w:pStyle w:val="AERquoteindent1"/>
      </w:pPr>
      <w:r>
        <w:t>…</w:t>
      </w:r>
      <w:r w:rsidRPr="0044315E">
        <w:t>on the question of which index better reflects the cost of debt for the efficient benchmark e</w:t>
      </w:r>
      <w:r>
        <w:t>ntity, there is no clear winner</w:t>
      </w:r>
      <w:r w:rsidRPr="0044315E">
        <w:t>.</w:t>
      </w:r>
      <w:r w:rsidRPr="0044315E">
        <w:rPr>
          <w:rStyle w:val="AERsuperscript"/>
        </w:rPr>
        <w:footnoteReference w:id="453"/>
      </w:r>
    </w:p>
    <w:p w:rsidR="00E6234D" w:rsidRPr="0044315E" w:rsidRDefault="00E6234D" w:rsidP="00E6234D">
      <w:pPr>
        <w:pStyle w:val="AERbulletlistfirststyle"/>
      </w:pPr>
      <w:r w:rsidRPr="0044315E">
        <w:t>The two curves have regularly produced materially different results at particular points in time. Both curves have their strengths</w:t>
      </w:r>
      <w:r>
        <w:t xml:space="preserve"> and shortcomings</w:t>
      </w:r>
      <w:r w:rsidRPr="0044315E">
        <w:t>, but it is no</w:t>
      </w:r>
      <w:r>
        <w:t>t clear to us that one approach</w:t>
      </w:r>
      <w:r w:rsidRPr="0044315E">
        <w:t xml:space="preserve"> is clearly superior. Consequently, </w:t>
      </w:r>
      <w:r>
        <w:t xml:space="preserve">when the curves depart, we consider it is not easily discernible which curve produces estimates that better reflect the efficient financing costs of a benchmark efficient entity. We also note that the BVAL curve has produced estimates </w:t>
      </w:r>
      <w:proofErr w:type="gramStart"/>
      <w:r>
        <w:t>both higher</w:t>
      </w:r>
      <w:proofErr w:type="gramEnd"/>
      <w:r>
        <w:t xml:space="preserve"> than, lower than, and similar to, the RBA curve, depending on the particular point in time. So there is no clear indication that one curve produces systematically higher or lower estimates than the other.</w:t>
      </w:r>
    </w:p>
    <w:p w:rsidR="00E6234D" w:rsidRPr="0044315E" w:rsidRDefault="00E6234D" w:rsidP="00E6234D">
      <w:pPr>
        <w:pStyle w:val="AERbulletlistfirststyle"/>
      </w:pPr>
      <w:r w:rsidRPr="0044315E">
        <w:t>A simple average of two curves, in these circumstances, is consistent with the Tribunal's decision in the ActewAGL matter where the Tribunal concluded that:</w:t>
      </w:r>
    </w:p>
    <w:p w:rsidR="00E6234D" w:rsidRPr="0044315E" w:rsidRDefault="00E6234D" w:rsidP="00E6234D">
      <w:pPr>
        <w:pStyle w:val="AERquote"/>
      </w:pPr>
      <w:r w:rsidRPr="0044315E">
        <w:t>…if the AER cannot find a basis upon which to distinguish between the published curves, it is appropriate to average the yields provided by each curve, so long as the published curves are widely used and market respected.</w:t>
      </w:r>
      <w:r w:rsidRPr="0044315E">
        <w:rPr>
          <w:rStyle w:val="AERsuperscript"/>
        </w:rPr>
        <w:footnoteReference w:id="454"/>
      </w:r>
    </w:p>
    <w:p w:rsidR="00E6234D" w:rsidRPr="0044315E" w:rsidRDefault="00E6234D" w:rsidP="00E6234D">
      <w:pPr>
        <w:pStyle w:val="AERbulletlistfirststyle"/>
      </w:pPr>
      <w:r w:rsidRPr="0044315E">
        <w:t>A simple average of the two curves will reduce the likely price shock if either curve becomes unavailable or produces erroneous estimates during the period.</w:t>
      </w:r>
    </w:p>
    <w:p w:rsidR="00E6234D" w:rsidRDefault="00E6234D" w:rsidP="00E6234D">
      <w:r>
        <w:t>In our previous decisions, we have explained each of these reasons in more detail.</w:t>
      </w:r>
      <w:r>
        <w:rPr>
          <w:rStyle w:val="FootnoteReference"/>
        </w:rPr>
        <w:footnoteReference w:id="455"/>
      </w:r>
      <w:r>
        <w:t xml:space="preserve"> This analysis included the following evidence.</w:t>
      </w:r>
    </w:p>
    <w:p w:rsidR="00E6234D" w:rsidRDefault="00E6234D" w:rsidP="00E6234D">
      <w:pPr>
        <w:numPr>
          <w:ilvl w:val="0"/>
          <w:numId w:val="25"/>
        </w:numPr>
      </w:pPr>
      <w:r>
        <w:t>Dr Lally used the report of the Regulatory Economic Unit to identify 11 points of distinction between the RBA and BVAL curves. Lally analysed each of those differences and concluded:</w:t>
      </w:r>
    </w:p>
    <w:p w:rsidR="00E6234D" w:rsidRDefault="00E6234D" w:rsidP="00E6234D">
      <w:pPr>
        <w:pStyle w:val="AERquote"/>
      </w:pPr>
      <w:r w:rsidRPr="00305172">
        <w:t>In summary, eleven points of distinction have been identified between the BVAL and RBA indexes. Point (11) is irrelevant in view of the AER not requiring historical data. In respect of points (3), (4), (6), (7) and (8), it is not possible to express a preference for one of the two indexes. The BVAL is favoured in respect of points (1) and (9), but the advantage in respect of point (9) is small. The RBA is favoured in respect of points (2), (5) and (10), but the advantage in respect of point (5) is small. The most that can be said here is that neither index is clearly superior to the other.</w:t>
      </w:r>
      <w:r w:rsidRPr="00305172">
        <w:rPr>
          <w:rStyle w:val="FootnoteReference"/>
        </w:rPr>
        <w:footnoteReference w:id="456"/>
      </w:r>
    </w:p>
    <w:p w:rsidR="00E6234D" w:rsidRDefault="00E6234D" w:rsidP="00E6234D">
      <w:pPr>
        <w:numPr>
          <w:ilvl w:val="0"/>
          <w:numId w:val="25"/>
        </w:numPr>
      </w:pPr>
      <w:r>
        <w:t>Based on this analysis, Lally recommended using a simple average of the two curves. Lally advised:</w:t>
      </w:r>
    </w:p>
    <w:p w:rsidR="00E6234D" w:rsidRPr="00305172" w:rsidRDefault="00E6234D" w:rsidP="00E6234D">
      <w:pPr>
        <w:pStyle w:val="AERquote"/>
      </w:pPr>
      <w:r w:rsidRPr="00305172">
        <w:t>Firstly, on the question of which independent third-party data service provider should be used to estimate the cost of debt … I … recommend that a combined estimator be used. Since the standard deviations of these estimators are similar and it is not possible to quantify any biases in these two indexes, I recommend that the two indexes be equally weighted. This will lower the Mean Squared Error (MSE) of the estimator relative to using only one of the indexes, and significantly so if the correlation between the indexes is low.</w:t>
      </w:r>
      <w:r w:rsidRPr="00305172">
        <w:rPr>
          <w:rStyle w:val="FootnoteReference"/>
        </w:rPr>
        <w:footnoteReference w:id="457"/>
      </w:r>
    </w:p>
    <w:p w:rsidR="00E6234D" w:rsidRDefault="00E6234D" w:rsidP="00E6234D">
      <w:r>
        <w:t>Those 11 points of distinction, and Lally's assessment of those differences between the RBA and BVAL curves, are summarised in the following table.</w:t>
      </w:r>
    </w:p>
    <w:p w:rsidR="00E6234D" w:rsidRPr="00420956" w:rsidRDefault="00E6234D" w:rsidP="00E6234D">
      <w:pPr>
        <w:pStyle w:val="Caption"/>
      </w:pPr>
      <w:r>
        <w:t xml:space="preserve">Table </w:t>
      </w:r>
      <w:fldSimple w:instr=" STYLEREF 1 \s ">
        <w:r w:rsidR="003F1AAB">
          <w:rPr>
            <w:noProof/>
          </w:rPr>
          <w:t>3</w:t>
        </w:r>
      </w:fldSimple>
      <w:r>
        <w:noBreakHyphen/>
      </w:r>
      <w:fldSimple w:instr=" SEQ Table \* ARABIC \s 1 ">
        <w:r w:rsidR="003F1AAB">
          <w:rPr>
            <w:noProof/>
          </w:rPr>
          <w:t>11</w:t>
        </w:r>
      </w:fldSimple>
      <w:r>
        <w:tab/>
      </w:r>
      <w:r w:rsidRPr="008523DD">
        <w:t>Dr Lally's advice of the differences between the RBA and BVAL curves</w:t>
      </w:r>
      <w:r>
        <w:tab/>
      </w:r>
    </w:p>
    <w:tbl>
      <w:tblPr>
        <w:tblStyle w:val="AERtable-text0"/>
        <w:tblW w:w="0" w:type="auto"/>
        <w:tblLook w:val="04A0" w:firstRow="1" w:lastRow="0" w:firstColumn="1" w:lastColumn="0" w:noHBand="0" w:noVBand="1"/>
      </w:tblPr>
      <w:tblGrid>
        <w:gridCol w:w="959"/>
        <w:gridCol w:w="4394"/>
        <w:gridCol w:w="3340"/>
      </w:tblGrid>
      <w:tr w:rsidR="00E6234D" w:rsidTr="00DA33BB">
        <w:trPr>
          <w:cnfStyle w:val="100000000000" w:firstRow="1" w:lastRow="0" w:firstColumn="0" w:lastColumn="0" w:oddVBand="0" w:evenVBand="0" w:oddHBand="0" w:evenHBand="0" w:firstRowFirstColumn="0" w:firstRowLastColumn="0" w:lastRowFirstColumn="0" w:lastRowLastColumn="0"/>
          <w:tblHeader/>
        </w:trPr>
        <w:tc>
          <w:tcPr>
            <w:tcW w:w="959" w:type="dxa"/>
          </w:tcPr>
          <w:p w:rsidR="00E6234D" w:rsidRDefault="00E6234D" w:rsidP="00E6234D">
            <w:pPr>
              <w:numPr>
                <w:ilvl w:val="0"/>
                <w:numId w:val="25"/>
              </w:numPr>
            </w:pPr>
            <w:r>
              <w:t>No.</w:t>
            </w:r>
          </w:p>
        </w:tc>
        <w:tc>
          <w:tcPr>
            <w:tcW w:w="4394" w:type="dxa"/>
          </w:tcPr>
          <w:p w:rsidR="00E6234D" w:rsidRDefault="00E6234D" w:rsidP="00E6234D">
            <w:pPr>
              <w:numPr>
                <w:ilvl w:val="0"/>
                <w:numId w:val="25"/>
              </w:numPr>
            </w:pPr>
            <w:r>
              <w:t>Points of distinction identified by REU</w:t>
            </w:r>
            <w:r>
              <w:rPr>
                <w:rStyle w:val="FootnoteReference"/>
              </w:rPr>
              <w:footnoteReference w:id="458"/>
            </w:r>
          </w:p>
        </w:tc>
        <w:tc>
          <w:tcPr>
            <w:tcW w:w="3340" w:type="dxa"/>
          </w:tcPr>
          <w:p w:rsidR="00E6234D" w:rsidRDefault="00E6234D" w:rsidP="00E6234D">
            <w:pPr>
              <w:numPr>
                <w:ilvl w:val="0"/>
                <w:numId w:val="25"/>
              </w:numPr>
            </w:pPr>
            <w:r>
              <w:t>Advice from Dr Lally</w:t>
            </w:r>
            <w:r>
              <w:rPr>
                <w:rStyle w:val="FootnoteReference"/>
              </w:rPr>
              <w:footnoteReference w:id="459"/>
            </w:r>
          </w:p>
        </w:tc>
      </w:tr>
      <w:tr w:rsidR="00E6234D" w:rsidTr="00DA33BB">
        <w:tc>
          <w:tcPr>
            <w:tcW w:w="959" w:type="dxa"/>
          </w:tcPr>
          <w:p w:rsidR="00E6234D" w:rsidRDefault="00E6234D" w:rsidP="00E6234D">
            <w:pPr>
              <w:numPr>
                <w:ilvl w:val="0"/>
                <w:numId w:val="25"/>
              </w:numPr>
            </w:pPr>
            <w:r>
              <w:t>1</w:t>
            </w:r>
          </w:p>
        </w:tc>
        <w:tc>
          <w:tcPr>
            <w:tcW w:w="4394" w:type="dxa"/>
          </w:tcPr>
          <w:p w:rsidR="00E6234D" w:rsidRDefault="00E6234D" w:rsidP="00E6234D">
            <w:pPr>
              <w:numPr>
                <w:ilvl w:val="0"/>
                <w:numId w:val="25"/>
              </w:numPr>
            </w:pPr>
            <w:r w:rsidRPr="009F0E67">
              <w:t>The BVAL is available daily whilst the RBA is only available monthly.</w:t>
            </w:r>
          </w:p>
        </w:tc>
        <w:tc>
          <w:tcPr>
            <w:tcW w:w="3340" w:type="dxa"/>
          </w:tcPr>
          <w:p w:rsidR="00E6234D" w:rsidRDefault="00E6234D" w:rsidP="00E6234D">
            <w:pPr>
              <w:numPr>
                <w:ilvl w:val="0"/>
                <w:numId w:val="25"/>
              </w:numPr>
            </w:pPr>
            <w:r w:rsidRPr="009F0E67">
              <w:t>BVAL favoured.</w:t>
            </w:r>
          </w:p>
        </w:tc>
      </w:tr>
      <w:tr w:rsidR="00E6234D" w:rsidTr="00DA33BB">
        <w:trPr>
          <w:cnfStyle w:val="000000010000" w:firstRow="0" w:lastRow="0" w:firstColumn="0" w:lastColumn="0" w:oddVBand="0" w:evenVBand="0" w:oddHBand="0" w:evenHBand="1" w:firstRowFirstColumn="0" w:firstRowLastColumn="0" w:lastRowFirstColumn="0" w:lastRowLastColumn="0"/>
        </w:trPr>
        <w:tc>
          <w:tcPr>
            <w:tcW w:w="959" w:type="dxa"/>
          </w:tcPr>
          <w:p w:rsidR="00E6234D" w:rsidRDefault="00E6234D" w:rsidP="00E6234D">
            <w:pPr>
              <w:numPr>
                <w:ilvl w:val="0"/>
                <w:numId w:val="25"/>
              </w:numPr>
            </w:pPr>
            <w:r>
              <w:t>2</w:t>
            </w:r>
          </w:p>
        </w:tc>
        <w:tc>
          <w:tcPr>
            <w:tcW w:w="4394" w:type="dxa"/>
          </w:tcPr>
          <w:p w:rsidR="00E6234D" w:rsidRDefault="00E6234D" w:rsidP="00E6234D">
            <w:pPr>
              <w:numPr>
                <w:ilvl w:val="0"/>
                <w:numId w:val="25"/>
              </w:numPr>
            </w:pPr>
            <w:r w:rsidRPr="009F0E67">
              <w:t>The BVAL is only available for terms up to seven years, and therefore would have to be extrapolated out to the desired ten years, whilst the RBA is at least notionally available for the desired ten year term.</w:t>
            </w:r>
          </w:p>
        </w:tc>
        <w:tc>
          <w:tcPr>
            <w:tcW w:w="3340" w:type="dxa"/>
          </w:tcPr>
          <w:p w:rsidR="00E6234D" w:rsidRPr="009F0E67" w:rsidRDefault="00E6234D" w:rsidP="00E6234D">
            <w:pPr>
              <w:numPr>
                <w:ilvl w:val="0"/>
                <w:numId w:val="25"/>
              </w:numPr>
            </w:pPr>
            <w:r w:rsidRPr="009F0E67">
              <w:t>RBA favoured.</w:t>
            </w:r>
          </w:p>
          <w:p w:rsidR="00E6234D" w:rsidRPr="005C054F" w:rsidRDefault="00E6234D" w:rsidP="00E6234D">
            <w:pPr>
              <w:numPr>
                <w:ilvl w:val="0"/>
                <w:numId w:val="25"/>
              </w:numPr>
              <w:rPr>
                <w:rStyle w:val="AERtextitalic"/>
              </w:rPr>
            </w:pPr>
            <w:r w:rsidRPr="005C054F">
              <w:rPr>
                <w:rStyle w:val="AERtextitalic"/>
              </w:rPr>
              <w:t>Note: From April 2015, this point would have changed to “BVAL favoured” as Bloomberg commenced publication of a 10 year BVAL curve, which no longer requires any extrapolation adjustment.</w:t>
            </w:r>
          </w:p>
        </w:tc>
      </w:tr>
      <w:tr w:rsidR="00E6234D" w:rsidTr="00DA33BB">
        <w:tc>
          <w:tcPr>
            <w:tcW w:w="959" w:type="dxa"/>
          </w:tcPr>
          <w:p w:rsidR="00E6234D" w:rsidRDefault="00E6234D" w:rsidP="00E6234D">
            <w:pPr>
              <w:numPr>
                <w:ilvl w:val="0"/>
                <w:numId w:val="25"/>
              </w:numPr>
            </w:pPr>
            <w:r>
              <w:t>3</w:t>
            </w:r>
          </w:p>
        </w:tc>
        <w:tc>
          <w:tcPr>
            <w:tcW w:w="4394" w:type="dxa"/>
          </w:tcPr>
          <w:p w:rsidR="00E6234D" w:rsidRDefault="00E6234D" w:rsidP="00E6234D">
            <w:pPr>
              <w:numPr>
                <w:ilvl w:val="0"/>
                <w:numId w:val="25"/>
              </w:numPr>
            </w:pPr>
            <w:r w:rsidRPr="009F0E67">
              <w:t>The BVAL sample of bonds is limited to those with a minimum pricing quality (liquidity measure), at least two months to maturity, and above retail size ($10m: see REU, 2014, page 20), whilst the RBA sample is limited to bond issues of at least $100mAUD and at least one year to maturity.</w:t>
            </w:r>
          </w:p>
        </w:tc>
        <w:tc>
          <w:tcPr>
            <w:tcW w:w="3340" w:type="dxa"/>
          </w:tcPr>
          <w:p w:rsidR="00E6234D" w:rsidRDefault="00E6234D" w:rsidP="00E6234D">
            <w:pPr>
              <w:numPr>
                <w:ilvl w:val="0"/>
                <w:numId w:val="25"/>
              </w:numPr>
            </w:pPr>
            <w:r w:rsidRPr="009F0E67">
              <w:t>Not possible to express preference for one over the other.</w:t>
            </w:r>
          </w:p>
        </w:tc>
      </w:tr>
      <w:tr w:rsidR="00E6234D" w:rsidTr="00DA33BB">
        <w:trPr>
          <w:cnfStyle w:val="000000010000" w:firstRow="0" w:lastRow="0" w:firstColumn="0" w:lastColumn="0" w:oddVBand="0" w:evenVBand="0" w:oddHBand="0" w:evenHBand="1" w:firstRowFirstColumn="0" w:firstRowLastColumn="0" w:lastRowFirstColumn="0" w:lastRowLastColumn="0"/>
        </w:trPr>
        <w:tc>
          <w:tcPr>
            <w:tcW w:w="959" w:type="dxa"/>
          </w:tcPr>
          <w:p w:rsidR="00E6234D" w:rsidRDefault="00E6234D" w:rsidP="00E6234D">
            <w:pPr>
              <w:numPr>
                <w:ilvl w:val="0"/>
                <w:numId w:val="25"/>
              </w:numPr>
            </w:pPr>
            <w:r>
              <w:t>4</w:t>
            </w:r>
          </w:p>
        </w:tc>
        <w:tc>
          <w:tcPr>
            <w:tcW w:w="4394" w:type="dxa"/>
          </w:tcPr>
          <w:p w:rsidR="00E6234D" w:rsidRDefault="00E6234D" w:rsidP="00E6234D">
            <w:pPr>
              <w:numPr>
                <w:ilvl w:val="0"/>
                <w:numId w:val="25"/>
              </w:numPr>
            </w:pPr>
            <w:r w:rsidRPr="009F0E67">
              <w:t>The BVAL sample does not exclude financial corporations whilst the RBA’s does.</w:t>
            </w:r>
          </w:p>
        </w:tc>
        <w:tc>
          <w:tcPr>
            <w:tcW w:w="3340" w:type="dxa"/>
          </w:tcPr>
          <w:p w:rsidR="00E6234D" w:rsidRDefault="00E6234D" w:rsidP="00E6234D">
            <w:pPr>
              <w:numPr>
                <w:ilvl w:val="0"/>
                <w:numId w:val="25"/>
              </w:numPr>
            </w:pPr>
            <w:r w:rsidRPr="009F0E67">
              <w:t>Not possible to express preference for one over the other.</w:t>
            </w:r>
          </w:p>
        </w:tc>
      </w:tr>
      <w:tr w:rsidR="00E6234D" w:rsidTr="00DA33BB">
        <w:tc>
          <w:tcPr>
            <w:tcW w:w="959" w:type="dxa"/>
          </w:tcPr>
          <w:p w:rsidR="00E6234D" w:rsidRDefault="00E6234D" w:rsidP="00E6234D">
            <w:pPr>
              <w:numPr>
                <w:ilvl w:val="0"/>
                <w:numId w:val="25"/>
              </w:numPr>
            </w:pPr>
            <w:r>
              <w:t>5</w:t>
            </w:r>
          </w:p>
        </w:tc>
        <w:tc>
          <w:tcPr>
            <w:tcW w:w="4394" w:type="dxa"/>
          </w:tcPr>
          <w:p w:rsidR="00E6234D" w:rsidRDefault="00E6234D" w:rsidP="00E6234D">
            <w:pPr>
              <w:numPr>
                <w:ilvl w:val="0"/>
                <w:numId w:val="25"/>
              </w:numPr>
            </w:pPr>
            <w:r w:rsidRPr="009F0E67">
              <w:t>The BVAL sample is limited to unsecured bonds whilst the RBA’s sample includes both secured and unsecured bonds.</w:t>
            </w:r>
          </w:p>
        </w:tc>
        <w:tc>
          <w:tcPr>
            <w:tcW w:w="3340" w:type="dxa"/>
          </w:tcPr>
          <w:p w:rsidR="00E6234D" w:rsidRDefault="00E6234D" w:rsidP="00E6234D">
            <w:pPr>
              <w:numPr>
                <w:ilvl w:val="0"/>
                <w:numId w:val="25"/>
              </w:numPr>
            </w:pPr>
            <w:r w:rsidRPr="009F0E67">
              <w:t>RBA favoured, but advantage is small.</w:t>
            </w:r>
          </w:p>
        </w:tc>
      </w:tr>
      <w:tr w:rsidR="00E6234D" w:rsidTr="00DA33BB">
        <w:trPr>
          <w:cnfStyle w:val="000000010000" w:firstRow="0" w:lastRow="0" w:firstColumn="0" w:lastColumn="0" w:oddVBand="0" w:evenVBand="0" w:oddHBand="0" w:evenHBand="1" w:firstRowFirstColumn="0" w:firstRowLastColumn="0" w:lastRowFirstColumn="0" w:lastRowLastColumn="0"/>
        </w:trPr>
        <w:tc>
          <w:tcPr>
            <w:tcW w:w="959" w:type="dxa"/>
          </w:tcPr>
          <w:p w:rsidR="00E6234D" w:rsidRDefault="00E6234D" w:rsidP="00E6234D">
            <w:pPr>
              <w:numPr>
                <w:ilvl w:val="0"/>
                <w:numId w:val="25"/>
              </w:numPr>
            </w:pPr>
            <w:r>
              <w:t>6</w:t>
            </w:r>
          </w:p>
        </w:tc>
        <w:tc>
          <w:tcPr>
            <w:tcW w:w="4394" w:type="dxa"/>
          </w:tcPr>
          <w:p w:rsidR="00E6234D" w:rsidRDefault="00E6234D" w:rsidP="00E6234D">
            <w:pPr>
              <w:numPr>
                <w:ilvl w:val="0"/>
                <w:numId w:val="25"/>
              </w:numPr>
            </w:pPr>
            <w:r w:rsidRPr="009F0E67">
              <w:t>The BVAL sample is limited to bonds rated by either S&amp;P or Moody’s, whilst the RBA sample is limited to bonds rated by S&amp;P or issued by a firm with an S&amp;P rating.</w:t>
            </w:r>
          </w:p>
        </w:tc>
        <w:tc>
          <w:tcPr>
            <w:tcW w:w="3340" w:type="dxa"/>
          </w:tcPr>
          <w:p w:rsidR="00E6234D" w:rsidRDefault="00E6234D" w:rsidP="00E6234D">
            <w:pPr>
              <w:numPr>
                <w:ilvl w:val="0"/>
                <w:numId w:val="25"/>
              </w:numPr>
            </w:pPr>
            <w:r w:rsidRPr="009F0E67">
              <w:t>Not possible to express preference for one over the other.</w:t>
            </w:r>
          </w:p>
        </w:tc>
      </w:tr>
      <w:tr w:rsidR="00E6234D" w:rsidTr="00DA33BB">
        <w:tc>
          <w:tcPr>
            <w:tcW w:w="959" w:type="dxa"/>
          </w:tcPr>
          <w:p w:rsidR="00E6234D" w:rsidRDefault="00E6234D" w:rsidP="00E6234D">
            <w:pPr>
              <w:numPr>
                <w:ilvl w:val="0"/>
                <w:numId w:val="25"/>
              </w:numPr>
            </w:pPr>
            <w:r>
              <w:t>7</w:t>
            </w:r>
          </w:p>
        </w:tc>
        <w:tc>
          <w:tcPr>
            <w:tcW w:w="4394" w:type="dxa"/>
          </w:tcPr>
          <w:p w:rsidR="00E6234D" w:rsidRDefault="00E6234D" w:rsidP="00E6234D">
            <w:pPr>
              <w:numPr>
                <w:ilvl w:val="0"/>
                <w:numId w:val="25"/>
              </w:numPr>
            </w:pPr>
            <w:r w:rsidRPr="009F0E67">
              <w:t>The BVAL sample is limited to AUD denominated bonds whilst the RBA sample also includes USD and Euro denominated bonds.</w:t>
            </w:r>
          </w:p>
        </w:tc>
        <w:tc>
          <w:tcPr>
            <w:tcW w:w="3340" w:type="dxa"/>
          </w:tcPr>
          <w:p w:rsidR="00E6234D" w:rsidRDefault="00E6234D" w:rsidP="00E6234D">
            <w:pPr>
              <w:numPr>
                <w:ilvl w:val="0"/>
                <w:numId w:val="25"/>
              </w:numPr>
            </w:pPr>
            <w:r w:rsidRPr="009F0E67">
              <w:t>Not possible to express preference for one over the other.</w:t>
            </w:r>
          </w:p>
        </w:tc>
      </w:tr>
      <w:tr w:rsidR="00E6234D" w:rsidTr="00DA33BB">
        <w:trPr>
          <w:cnfStyle w:val="000000010000" w:firstRow="0" w:lastRow="0" w:firstColumn="0" w:lastColumn="0" w:oddVBand="0" w:evenVBand="0" w:oddHBand="0" w:evenHBand="1" w:firstRowFirstColumn="0" w:firstRowLastColumn="0" w:lastRowFirstColumn="0" w:lastRowLastColumn="0"/>
        </w:trPr>
        <w:tc>
          <w:tcPr>
            <w:tcW w:w="959" w:type="dxa"/>
          </w:tcPr>
          <w:p w:rsidR="00E6234D" w:rsidRDefault="00E6234D" w:rsidP="00E6234D">
            <w:pPr>
              <w:numPr>
                <w:ilvl w:val="0"/>
                <w:numId w:val="25"/>
              </w:numPr>
            </w:pPr>
            <w:r>
              <w:t>8</w:t>
            </w:r>
          </w:p>
        </w:tc>
        <w:tc>
          <w:tcPr>
            <w:tcW w:w="4394" w:type="dxa"/>
          </w:tcPr>
          <w:p w:rsidR="00E6234D" w:rsidRDefault="00E6234D" w:rsidP="00E6234D">
            <w:pPr>
              <w:numPr>
                <w:ilvl w:val="0"/>
                <w:numId w:val="25"/>
              </w:numPr>
            </w:pPr>
            <w:r w:rsidRPr="009F0E67">
              <w:t>The BVAL sample excludes bonds with call, put and conversion options, whilst the RBA sample does not exclude them.</w:t>
            </w:r>
          </w:p>
        </w:tc>
        <w:tc>
          <w:tcPr>
            <w:tcW w:w="3340" w:type="dxa"/>
          </w:tcPr>
          <w:p w:rsidR="00E6234D" w:rsidRDefault="00E6234D" w:rsidP="00E6234D">
            <w:pPr>
              <w:numPr>
                <w:ilvl w:val="0"/>
                <w:numId w:val="25"/>
              </w:numPr>
            </w:pPr>
            <w:r w:rsidRPr="009F0E67">
              <w:t>Not possible to express preference for one over the other.</w:t>
            </w:r>
          </w:p>
        </w:tc>
      </w:tr>
      <w:tr w:rsidR="00E6234D" w:rsidTr="00DA33BB">
        <w:tc>
          <w:tcPr>
            <w:tcW w:w="959" w:type="dxa"/>
          </w:tcPr>
          <w:p w:rsidR="00E6234D" w:rsidRDefault="00E6234D" w:rsidP="00E6234D">
            <w:pPr>
              <w:numPr>
                <w:ilvl w:val="0"/>
                <w:numId w:val="25"/>
              </w:numPr>
            </w:pPr>
            <w:r>
              <w:t>9</w:t>
            </w:r>
          </w:p>
        </w:tc>
        <w:tc>
          <w:tcPr>
            <w:tcW w:w="4394" w:type="dxa"/>
          </w:tcPr>
          <w:p w:rsidR="00E6234D" w:rsidRDefault="00E6234D" w:rsidP="00E6234D">
            <w:pPr>
              <w:numPr>
                <w:ilvl w:val="0"/>
                <w:numId w:val="25"/>
              </w:numPr>
            </w:pPr>
            <w:r w:rsidRPr="009F0E67">
              <w:t>The BVAL methodology involves a par yield curve whilst the RBA’s does not.</w:t>
            </w:r>
          </w:p>
        </w:tc>
        <w:tc>
          <w:tcPr>
            <w:tcW w:w="3340" w:type="dxa"/>
          </w:tcPr>
          <w:p w:rsidR="00E6234D" w:rsidRDefault="00E6234D" w:rsidP="00E6234D">
            <w:pPr>
              <w:numPr>
                <w:ilvl w:val="0"/>
                <w:numId w:val="25"/>
              </w:numPr>
            </w:pPr>
            <w:r w:rsidRPr="009F0E67">
              <w:t>BVAL favoured, but advantage is small.</w:t>
            </w:r>
          </w:p>
        </w:tc>
      </w:tr>
      <w:tr w:rsidR="00E6234D" w:rsidTr="00DA33BB">
        <w:trPr>
          <w:cnfStyle w:val="000000010000" w:firstRow="0" w:lastRow="0" w:firstColumn="0" w:lastColumn="0" w:oddVBand="0" w:evenVBand="0" w:oddHBand="0" w:evenHBand="1" w:firstRowFirstColumn="0" w:firstRowLastColumn="0" w:lastRowFirstColumn="0" w:lastRowLastColumn="0"/>
        </w:trPr>
        <w:tc>
          <w:tcPr>
            <w:tcW w:w="959" w:type="dxa"/>
          </w:tcPr>
          <w:p w:rsidR="00E6234D" w:rsidRDefault="00E6234D" w:rsidP="00E6234D">
            <w:pPr>
              <w:numPr>
                <w:ilvl w:val="0"/>
                <w:numId w:val="25"/>
              </w:numPr>
            </w:pPr>
            <w:r>
              <w:t>10</w:t>
            </w:r>
          </w:p>
        </w:tc>
        <w:tc>
          <w:tcPr>
            <w:tcW w:w="4394" w:type="dxa"/>
          </w:tcPr>
          <w:p w:rsidR="00E6234D" w:rsidRDefault="00E6234D" w:rsidP="00E6234D">
            <w:pPr>
              <w:numPr>
                <w:ilvl w:val="0"/>
                <w:numId w:val="25"/>
              </w:numPr>
            </w:pPr>
            <w:r w:rsidRPr="009F0E67">
              <w:t>The BVAL methodology for curve fitting is (in large part) not disclosed whilst the RBA’s methodology is disclosed.</w:t>
            </w:r>
          </w:p>
        </w:tc>
        <w:tc>
          <w:tcPr>
            <w:tcW w:w="3340" w:type="dxa"/>
          </w:tcPr>
          <w:p w:rsidR="00E6234D" w:rsidRDefault="00E6234D" w:rsidP="00E6234D">
            <w:pPr>
              <w:numPr>
                <w:ilvl w:val="0"/>
                <w:numId w:val="25"/>
              </w:numPr>
            </w:pPr>
            <w:r w:rsidRPr="009F0E67">
              <w:t>RBA favoured.</w:t>
            </w:r>
          </w:p>
        </w:tc>
      </w:tr>
      <w:tr w:rsidR="00E6234D" w:rsidTr="00DA33BB">
        <w:tc>
          <w:tcPr>
            <w:tcW w:w="959" w:type="dxa"/>
          </w:tcPr>
          <w:p w:rsidR="00E6234D" w:rsidRDefault="00E6234D" w:rsidP="00E6234D">
            <w:pPr>
              <w:numPr>
                <w:ilvl w:val="0"/>
                <w:numId w:val="25"/>
              </w:numPr>
            </w:pPr>
            <w:r>
              <w:t>11</w:t>
            </w:r>
          </w:p>
        </w:tc>
        <w:tc>
          <w:tcPr>
            <w:tcW w:w="4394" w:type="dxa"/>
          </w:tcPr>
          <w:p w:rsidR="00E6234D" w:rsidRDefault="00E6234D" w:rsidP="00E6234D">
            <w:pPr>
              <w:numPr>
                <w:ilvl w:val="0"/>
                <w:numId w:val="25"/>
              </w:numPr>
            </w:pPr>
            <w:r w:rsidRPr="009F0E67">
              <w:t>The BVAL is only available back to February 2011 (continuously) whilst the RBA is available back to January 2005, and therefore there will be more problems obtaining a ten-year trailing average when using the BVAL.</w:t>
            </w:r>
          </w:p>
        </w:tc>
        <w:tc>
          <w:tcPr>
            <w:tcW w:w="3340" w:type="dxa"/>
          </w:tcPr>
          <w:p w:rsidR="00E6234D" w:rsidRDefault="00E6234D" w:rsidP="00E6234D">
            <w:pPr>
              <w:numPr>
                <w:ilvl w:val="0"/>
                <w:numId w:val="25"/>
              </w:numPr>
            </w:pPr>
            <w:r w:rsidRPr="009F0E67">
              <w:t>Not relevant, as AER does not require historical data.</w:t>
            </w:r>
          </w:p>
        </w:tc>
      </w:tr>
    </w:tbl>
    <w:p w:rsidR="00E6234D" w:rsidRDefault="00E6234D" w:rsidP="00E6234D">
      <w:pPr>
        <w:pStyle w:val="AERtablesource"/>
      </w:pPr>
      <w:r>
        <w:t xml:space="preserve">Source: </w:t>
      </w:r>
      <w:r>
        <w:tab/>
        <w:t>Advice from Dr Lally.</w:t>
      </w:r>
      <w:r>
        <w:rPr>
          <w:rStyle w:val="FootnoteReference"/>
        </w:rPr>
        <w:footnoteReference w:id="460"/>
      </w:r>
    </w:p>
    <w:p w:rsidR="00E6234D" w:rsidRDefault="00E6234D" w:rsidP="00E6234D">
      <w:r>
        <w:t>In our previous decisions, we explained each of these reasons in more detail.</w:t>
      </w:r>
      <w:r>
        <w:rPr>
          <w:rStyle w:val="FootnoteReference"/>
        </w:rPr>
        <w:footnoteReference w:id="461"/>
      </w:r>
      <w:r>
        <w:t xml:space="preserve"> </w:t>
      </w:r>
    </w:p>
    <w:p w:rsidR="00E6234D" w:rsidRDefault="00E6234D" w:rsidP="00E6234D">
      <w:r>
        <w:t xml:space="preserve">Recently, the Tribunal also upheld this approach, in relation to the NSW/ACT electricity distribution determinations and JGN gas access arrangement. </w:t>
      </w:r>
    </w:p>
    <w:p w:rsidR="00E6234D" w:rsidRDefault="00E6234D" w:rsidP="00E6234D">
      <w:r>
        <w:t>The Tribunal was satisfied that our approach of adopting a simple average of the information from both the RBA and Bloomberg data services in those reviews was appropriate, stating:</w:t>
      </w:r>
      <w:r>
        <w:rPr>
          <w:rStyle w:val="FootnoteReference"/>
        </w:rPr>
        <w:footnoteReference w:id="462"/>
      </w:r>
    </w:p>
    <w:p w:rsidR="00E6234D" w:rsidRDefault="00E6234D" w:rsidP="00E6234D">
      <w:pPr>
        <w:pStyle w:val="AERquote"/>
      </w:pPr>
      <w:r w:rsidRPr="008B6856">
        <w:t>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w:t>
      </w:r>
    </w:p>
    <w:p w:rsidR="00E6234D" w:rsidRDefault="00E6234D" w:rsidP="00E6234D">
      <w:r>
        <w:t>Similarly, in relation to the choice of a BBB+ credit rating, the Tribunal noted:</w:t>
      </w:r>
      <w:r>
        <w:rPr>
          <w:rStyle w:val="FootnoteReference"/>
        </w:rPr>
        <w:footnoteReference w:id="463"/>
      </w:r>
    </w:p>
    <w:p w:rsidR="00E6234D" w:rsidRDefault="00E6234D" w:rsidP="00E6234D">
      <w:pPr>
        <w:pStyle w:val="AERquote"/>
      </w:pPr>
      <w:r w:rsidRPr="00C32DF3">
        <w:t xml:space="preserve">The Tribunal is not satisfied that the AER’s relevant Final Decisions on this topic disclose a ground of review. In the Final Decisions </w:t>
      </w:r>
      <w:r>
        <w:t>…</w:t>
      </w:r>
      <w:r w:rsidRPr="00C32DF3">
        <w:t xml:space="preserve"> is a table analysing the median credit ratings over time. The table itself is not apparently inaccurate. The more recent years point firmly towards a BBB+ credit rating for the BEE. The Tribunal does not consider that it was either factually wrong, or a wrong exercise of the discretion, to have regard to that material for the purpose of identifying the characteristics of the BEE.</w:t>
      </w:r>
    </w:p>
    <w:p w:rsidR="00E6234D" w:rsidRDefault="00E6234D" w:rsidP="00E6234D">
      <w:r>
        <w:t>Indeed, the Tribunal went further, noting that even if it was wrong in these findings, it would not be persuaded that it was materially preferable and in the long term interests of consumers to adopt a different approach to that adopted by the AER, noting:</w:t>
      </w:r>
      <w:r>
        <w:rPr>
          <w:rStyle w:val="FootnoteReference"/>
        </w:rPr>
        <w:footnoteReference w:id="464"/>
      </w:r>
    </w:p>
    <w:p w:rsidR="00E6234D" w:rsidRDefault="00E6234D" w:rsidP="00E6234D">
      <w:pPr>
        <w:pStyle w:val="AERquote"/>
      </w:pPr>
      <w:r w:rsidRPr="00C32DF3">
        <w:t xml:space="preserve">In any event, the Tribunal would not take the step of being satisfied, in either respect, that to vary or set aside the relevant Final Decision would, or would be likely to, result in a materially preferable NEO decision under s </w:t>
      </w:r>
      <w:proofErr w:type="gramStart"/>
      <w:r w:rsidRPr="00C32DF3">
        <w:t>71P(</w:t>
      </w:r>
      <w:proofErr w:type="gramEnd"/>
      <w:r w:rsidRPr="00C32DF3">
        <w:t>2a)(c)</w:t>
      </w:r>
      <w:r>
        <w:t>.While some aspects of the Tribunal's decision have been challenged in the Full Federal Court, this aspect of the Tribunal's decision has not been challenged by any party.</w:t>
      </w:r>
    </w:p>
    <w:p w:rsidR="00E6234D" w:rsidRDefault="00E6234D" w:rsidP="00E6234D">
      <w:r>
        <w:t xml:space="preserve">We have assessed the new information received in current proposals from service providers who recommend that we depart from our previous position of adopting a simple average of the RBA and BVAL curves. That new information does not persuade us to depart from our position or reasons from recent decisions. We explain our reasons for this decision in the remainder of this section and in Appendix </w:t>
      </w:r>
      <w:r>
        <w:fldChar w:fldCharType="begin"/>
      </w:r>
      <w:r>
        <w:instrText xml:space="preserve"> REF _Ref451267897 \r \h </w:instrText>
      </w:r>
      <w:r>
        <w:fldChar w:fldCharType="separate"/>
      </w:r>
      <w:r w:rsidR="003F1AAB">
        <w:t>A</w:t>
      </w:r>
      <w:r>
        <w:fldChar w:fldCharType="end"/>
      </w:r>
      <w:r>
        <w:t>.</w:t>
      </w:r>
    </w:p>
    <w:p w:rsidR="00E6234D" w:rsidRDefault="00E6234D" w:rsidP="00E6234D">
      <w:r>
        <w:t>We also requested Dr Lally review the recommendations from his previous report in light of the material submitted by service providers with current proposals. As part of that analysis, we requested Dr Lally review both our approach and the various approaches proposed by service providers proposals at that time against a set of criteria drawn from the requirements of the law and the rules, including the ARORO. After reviewing that material, Dr Lally concluded:</w:t>
      </w:r>
    </w:p>
    <w:p w:rsidR="00E6234D" w:rsidRPr="002C49C4" w:rsidRDefault="00E6234D" w:rsidP="00E6234D">
      <w:pPr>
        <w:pStyle w:val="AERquote"/>
      </w:pPr>
      <w:r>
        <w:t>…</w:t>
      </w:r>
      <w:r w:rsidRPr="002C49C4">
        <w:t>the AER’s proposed approach satisfies the criteria and these criteria are not satisfied by any other proposed approach.</w:t>
      </w:r>
    </w:p>
    <w:p w:rsidR="00E6234D" w:rsidRDefault="00E6234D" w:rsidP="00E6234D">
      <w:pPr>
        <w:pStyle w:val="AERquote"/>
      </w:pPr>
      <w:r w:rsidRPr="002C49C4">
        <w:t>Finally, I have previously provided advice on these implementation issues to the AER and nothing in these submissions warrants any change in that advice.</w:t>
      </w:r>
      <w:r>
        <w:rPr>
          <w:rStyle w:val="FootnoteReference"/>
        </w:rPr>
        <w:footnoteReference w:id="465"/>
      </w:r>
    </w:p>
    <w:p w:rsidR="00E6234D" w:rsidRDefault="00E6234D" w:rsidP="00E6234D">
      <w:pPr>
        <w:pStyle w:val="HeadingItalic"/>
      </w:pPr>
      <w:r>
        <w:t>Response to key issues raised by AusNet Services</w:t>
      </w:r>
    </w:p>
    <w:p w:rsidR="00E6234D" w:rsidRDefault="00E6234D" w:rsidP="00E6234D">
      <w:r>
        <w:t>In its regulatory proposal, AusNet Services submitted estimating the return on debt using RBA data only given it considered that the BVAL curve was not fit for purpose at that time.</w:t>
      </w:r>
      <w:r>
        <w:rPr>
          <w:rStyle w:val="FootnoteReference"/>
        </w:rPr>
        <w:footnoteReference w:id="466"/>
      </w:r>
      <w:r>
        <w:t xml:space="preserve"> Having considered this proposal, our </w:t>
      </w:r>
      <w:r w:rsidR="00151831">
        <w:t xml:space="preserve">draft </w:t>
      </w:r>
      <w:r>
        <w:t>decision is to maintain our approach as adopted in previous decisions and upheld by the Tribunal.</w:t>
      </w:r>
      <w:r>
        <w:rPr>
          <w:rStyle w:val="FootnoteReference"/>
        </w:rPr>
        <w:footnoteReference w:id="467"/>
      </w:r>
      <w:r>
        <w:t xml:space="preserve"> </w:t>
      </w:r>
    </w:p>
    <w:p w:rsidR="00E6234D" w:rsidRDefault="00E6234D" w:rsidP="00E6234D">
      <w:r>
        <w:t xml:space="preserve">In </w:t>
      </w:r>
      <w:r w:rsidR="00DD1A34">
        <w:t xml:space="preserve">other </w:t>
      </w:r>
      <w:r>
        <w:t>recent proposals, service providers indicated that Thomson Reuters al</w:t>
      </w:r>
      <w:r w:rsidR="00DD1A34">
        <w:t xml:space="preserve">so now publishes a yield curve </w:t>
      </w:r>
      <w:r>
        <w:t xml:space="preserve">that we could use to estimate the return on debt. We have therefore sought to evaluate all three curves to the fullest extent possible. For the reasons in this section and in Appendix </w:t>
      </w:r>
      <w:r>
        <w:fldChar w:fldCharType="begin"/>
      </w:r>
      <w:r>
        <w:instrText xml:space="preserve"> REF _Ref451267897 \r \h </w:instrText>
      </w:r>
      <w:r>
        <w:fldChar w:fldCharType="separate"/>
      </w:r>
      <w:r w:rsidR="003F1AAB">
        <w:t>A</w:t>
      </w:r>
      <w:r>
        <w:fldChar w:fldCharType="end"/>
      </w:r>
      <w:r>
        <w:t xml:space="preserve">, and given AusNet Services has not proposed we used Thomson Reuters curve, we remain satisfied that a simple average of the BVAL and RBA curves will contribute to an estimate that will achieve the ARORO. However, we have not yet formed a definitive view on the suitability of the Reuters curve, and are open to further considering this curve in the future. </w:t>
      </w:r>
    </w:p>
    <w:p w:rsidR="00E6234D" w:rsidRDefault="00E6234D" w:rsidP="00E6234D">
      <w:r>
        <w:t xml:space="preserve">We remain satisfied that the BVAL </w:t>
      </w:r>
      <w:proofErr w:type="gramStart"/>
      <w:r>
        <w:t>curve is fit-for-purpose, and combined with the RBA curve, are</w:t>
      </w:r>
      <w:proofErr w:type="gramEnd"/>
      <w:r>
        <w:t xml:space="preserve"> satisfied that it will contribute to an estimate which achieves the ARORO. Also, in proposing to only using RBA data, </w:t>
      </w:r>
      <w:proofErr w:type="gramStart"/>
      <w:r>
        <w:t>neither Ausnet Services or</w:t>
      </w:r>
      <w:proofErr w:type="gramEnd"/>
      <w:r>
        <w:t xml:space="preserve"> CEG have addressed the impact of our conservative benchmark assumptions. Specifically:</w:t>
      </w:r>
    </w:p>
    <w:p w:rsidR="00E6234D" w:rsidRDefault="00E6234D" w:rsidP="00E6234D">
      <w:pPr>
        <w:pStyle w:val="AERbulletlistfirststyle"/>
      </w:pPr>
      <w:r>
        <w:t xml:space="preserve"> In the Guideline, we adopted a 10 year benchmark term based on a weighted average term at issuance of 8.7 years observed amongst service providers.</w:t>
      </w:r>
      <w:r>
        <w:rPr>
          <w:rStyle w:val="FootnoteReference"/>
        </w:rPr>
        <w:footnoteReference w:id="468"/>
      </w:r>
      <w:r>
        <w:t xml:space="preserve"> Ordinarily, this will lead to an upward bias in our benchmark compared to the sector's costs of debt. Using the RBA curve since 2005, this difference leads to an average upward bias of approximately 14 basis points.</w:t>
      </w:r>
      <w:r>
        <w:rPr>
          <w:rStyle w:val="FootnoteReference"/>
        </w:rPr>
        <w:footnoteReference w:id="469"/>
      </w:r>
      <w:r>
        <w:t xml:space="preserve"> </w:t>
      </w:r>
    </w:p>
    <w:p w:rsidR="00E6234D" w:rsidRDefault="00E6234D" w:rsidP="00E6234D">
      <w:pPr>
        <w:pStyle w:val="AERbulletlistfirststyle"/>
      </w:pPr>
      <w:r>
        <w:t>We adopt a benchmark credit rating of BBB+ but estimate the return on debt using the 'broad-BBB' rated curves published by the RBA and Bloomberg. This means that these curves are estimated based on a bond sample that includes lower rated BBB and BBB</w:t>
      </w:r>
      <w:r>
        <w:softHyphen/>
        <w:t>– rated bonds. To the extent that the estimates produced by these curves reflect those lower rated bonds, this would similarly introduce an upward bias.</w:t>
      </w:r>
    </w:p>
    <w:p w:rsidR="00E6234D" w:rsidRPr="001A36BA" w:rsidRDefault="00E6234D" w:rsidP="00E6234D">
      <w:r>
        <w:t xml:space="preserve">In Appendix </w:t>
      </w:r>
      <w:r>
        <w:fldChar w:fldCharType="begin"/>
      </w:r>
      <w:r>
        <w:instrText xml:space="preserve"> REF _Ref451267897 \r \h </w:instrText>
      </w:r>
      <w:r>
        <w:fldChar w:fldCharType="separate"/>
      </w:r>
      <w:r w:rsidR="003F1AAB">
        <w:t>A</w:t>
      </w:r>
      <w:r>
        <w:fldChar w:fldCharType="end"/>
      </w:r>
      <w:r>
        <w:t xml:space="preserve">, we have set out more detailed analysis on our responses to issues that AusNet Services raised concerning </w:t>
      </w:r>
      <w:r w:rsidRPr="001A36BA">
        <w:t xml:space="preserve">the </w:t>
      </w:r>
      <w:r>
        <w:t>BVAL</w:t>
      </w:r>
      <w:r w:rsidRPr="001A36BA">
        <w:t xml:space="preserve"> curve</w:t>
      </w:r>
      <w:r>
        <w:t>.</w:t>
      </w:r>
    </w:p>
    <w:p w:rsidR="00E6234D" w:rsidRDefault="00E6234D" w:rsidP="00E6234D">
      <w:pPr>
        <w:pStyle w:val="HeadingBoldItalic"/>
      </w:pPr>
      <w:r>
        <w:t>Extrapolation and interpolation</w:t>
      </w:r>
    </w:p>
    <w:p w:rsidR="00E6234D" w:rsidRPr="00F427A1" w:rsidRDefault="00E6234D" w:rsidP="00E6234D">
      <w:r>
        <w:t>In its regulatory proposal, AusNet Services was not explicit about the extrapolation and interpolation i</w:t>
      </w:r>
      <w:r w:rsidR="001923FD">
        <w:t>t</w:t>
      </w:r>
      <w:r>
        <w:t xml:space="preserve"> prefers to use.</w:t>
      </w:r>
      <w:r>
        <w:rPr>
          <w:rStyle w:val="FootnoteReference"/>
        </w:rPr>
        <w:footnoteReference w:id="470"/>
      </w:r>
      <w:r>
        <w:t xml:space="preserve"> Whereas, o</w:t>
      </w:r>
      <w:r w:rsidRPr="00F427A1">
        <w:t xml:space="preserve">ur </w:t>
      </w:r>
      <w:r>
        <w:t xml:space="preserve">draft </w:t>
      </w:r>
      <w:r w:rsidRPr="00F427A1">
        <w:t>decision on extrapolation and interpolation issues is to maintain the approach set out in our recent decisions.</w:t>
      </w:r>
      <w:r>
        <w:rPr>
          <w:rStyle w:val="FootnoteReference"/>
        </w:rPr>
        <w:footnoteReference w:id="471"/>
      </w:r>
      <w:r w:rsidRPr="00F427A1">
        <w:t xml:space="preserve"> This refers to:</w:t>
      </w:r>
    </w:p>
    <w:p w:rsidR="00E6234D" w:rsidRPr="00F427A1" w:rsidRDefault="00E6234D" w:rsidP="00E6234D">
      <w:pPr>
        <w:pStyle w:val="AERbulletlistfirststyle"/>
      </w:pPr>
      <w:r w:rsidRPr="00F427A1">
        <w:t xml:space="preserve">Extrapolation—where we need to extend a curve beyond </w:t>
      </w:r>
      <w:proofErr w:type="gramStart"/>
      <w:r w:rsidRPr="00F427A1">
        <w:t>its</w:t>
      </w:r>
      <w:proofErr w:type="gramEnd"/>
      <w:r w:rsidRPr="00F427A1">
        <w:t xml:space="preserve"> observed or published range. For example, before April 2015, Bloomberg publishes its BVAL curve to a maximum term of 7 years, whereas we require an estimate for a 10 year term.</w:t>
      </w:r>
    </w:p>
    <w:p w:rsidR="00E6234D" w:rsidRPr="00F427A1" w:rsidRDefault="00E6234D" w:rsidP="00E6234D">
      <w:pPr>
        <w:pStyle w:val="AERbulletlistfirststyle"/>
      </w:pPr>
      <w:r w:rsidRPr="00F427A1">
        <w:t>Interpolation—where we need a value for which there is no published estimate but it lies between two published estimates. For example, the RBA only publishes its curve estimates for one day each month, but we require estimates for each business day.</w:t>
      </w:r>
    </w:p>
    <w:p w:rsidR="00E6234D" w:rsidRPr="00F427A1" w:rsidRDefault="00E6234D" w:rsidP="00E6234D">
      <w:r w:rsidRPr="00F427A1">
        <w:t xml:space="preserve">Specifically, we will make the following adjustments as set out in </w:t>
      </w:r>
      <w:r w:rsidRPr="00F427A1">
        <w:fldChar w:fldCharType="begin"/>
      </w:r>
      <w:r w:rsidRPr="00F427A1">
        <w:instrText xml:space="preserve"> REF  _Ref415565506 \* Lower \h </w:instrText>
      </w:r>
      <w:r w:rsidRPr="00F427A1">
        <w:fldChar w:fldCharType="separate"/>
      </w:r>
      <w:r w:rsidR="003F1AAB" w:rsidRPr="00F427A1">
        <w:t xml:space="preserve">table </w:t>
      </w:r>
      <w:r w:rsidR="003F1AAB">
        <w:rPr>
          <w:noProof/>
        </w:rPr>
        <w:t>3</w:t>
      </w:r>
      <w:r w:rsidR="003F1AAB">
        <w:noBreakHyphen/>
      </w:r>
      <w:r w:rsidR="003F1AAB">
        <w:rPr>
          <w:noProof/>
        </w:rPr>
        <w:t>12</w:t>
      </w:r>
      <w:r w:rsidRPr="00F427A1">
        <w:fldChar w:fldCharType="end"/>
      </w:r>
      <w:r w:rsidRPr="00F427A1">
        <w:t xml:space="preserve"> and </w:t>
      </w:r>
      <w:r w:rsidRPr="00F427A1">
        <w:fldChar w:fldCharType="begin"/>
      </w:r>
      <w:r w:rsidRPr="00F427A1">
        <w:instrText xml:space="preserve"> REF  _Ref415565534 \* Lower \h </w:instrText>
      </w:r>
      <w:r w:rsidRPr="00F427A1">
        <w:fldChar w:fldCharType="separate"/>
      </w:r>
      <w:r w:rsidR="003F1AAB" w:rsidRPr="00F427A1">
        <w:t xml:space="preserve">table </w:t>
      </w:r>
      <w:r w:rsidR="003F1AAB">
        <w:rPr>
          <w:noProof/>
        </w:rPr>
        <w:t>3</w:t>
      </w:r>
      <w:r w:rsidR="003F1AAB">
        <w:noBreakHyphen/>
      </w:r>
      <w:r w:rsidR="003F1AAB">
        <w:rPr>
          <w:noProof/>
        </w:rPr>
        <w:t>13</w:t>
      </w:r>
      <w:r w:rsidRPr="00F427A1">
        <w:fldChar w:fldCharType="end"/>
      </w:r>
      <w:r w:rsidRPr="00F427A1">
        <w:t xml:space="preserve">. </w:t>
      </w:r>
    </w:p>
    <w:p w:rsidR="00E6234D" w:rsidRPr="00F427A1" w:rsidRDefault="00E6234D" w:rsidP="00E6234D">
      <w:pPr>
        <w:pStyle w:val="Caption"/>
      </w:pPr>
      <w:r w:rsidRPr="00F427A1">
        <w:t xml:space="preserve"> </w:t>
      </w:r>
      <w:bookmarkStart w:id="86" w:name="_Ref415565506"/>
      <w:bookmarkStart w:id="87" w:name="_Ref415565496"/>
      <w:r w:rsidRPr="00F427A1">
        <w:t xml:space="preserve">Table </w:t>
      </w:r>
      <w:fldSimple w:instr=" STYLEREF 1 \s ">
        <w:r w:rsidR="003F1AAB">
          <w:rPr>
            <w:noProof/>
          </w:rPr>
          <w:t>3</w:t>
        </w:r>
      </w:fldSimple>
      <w:r>
        <w:noBreakHyphen/>
      </w:r>
      <w:fldSimple w:instr=" SEQ Table \* ARABIC \s 1 ">
        <w:r w:rsidR="003F1AAB">
          <w:rPr>
            <w:noProof/>
          </w:rPr>
          <w:t>12</w:t>
        </w:r>
      </w:fldSimple>
      <w:bookmarkEnd w:id="86"/>
      <w:r w:rsidRPr="00F427A1">
        <w:tab/>
        <w:t>Adjustments to the RBA curve</w:t>
      </w:r>
      <w:bookmarkEnd w:id="87"/>
    </w:p>
    <w:tbl>
      <w:tblPr>
        <w:tblStyle w:val="AERtable-text0"/>
        <w:tblW w:w="0" w:type="auto"/>
        <w:tblLook w:val="04A0" w:firstRow="1" w:lastRow="0" w:firstColumn="1" w:lastColumn="0" w:noHBand="0" w:noVBand="1"/>
      </w:tblPr>
      <w:tblGrid>
        <w:gridCol w:w="1763"/>
        <w:gridCol w:w="1262"/>
        <w:gridCol w:w="5668"/>
      </w:tblGrid>
      <w:tr w:rsidR="00E6234D" w:rsidRPr="00F427A1" w:rsidTr="00DA33BB">
        <w:trPr>
          <w:cnfStyle w:val="100000000000" w:firstRow="1" w:lastRow="0" w:firstColumn="0" w:lastColumn="0" w:oddVBand="0" w:evenVBand="0" w:oddHBand="0" w:evenHBand="0" w:firstRowFirstColumn="0" w:firstRowLastColumn="0" w:lastRowFirstColumn="0" w:lastRowLastColumn="0"/>
          <w:tblHeader/>
        </w:trPr>
        <w:tc>
          <w:tcPr>
            <w:tcW w:w="1763" w:type="dxa"/>
          </w:tcPr>
          <w:p w:rsidR="00E6234D" w:rsidRPr="00E6234D" w:rsidRDefault="00E6234D" w:rsidP="00E6234D">
            <w:r w:rsidRPr="00F427A1">
              <w:t>Adjustment Type</w:t>
            </w:r>
          </w:p>
        </w:tc>
        <w:tc>
          <w:tcPr>
            <w:tcW w:w="1262" w:type="dxa"/>
          </w:tcPr>
          <w:p w:rsidR="00E6234D" w:rsidRPr="00E6234D" w:rsidRDefault="00E6234D" w:rsidP="00E6234D">
            <w:r w:rsidRPr="00F427A1">
              <w:t>Amendment made?</w:t>
            </w:r>
          </w:p>
        </w:tc>
        <w:tc>
          <w:tcPr>
            <w:tcW w:w="5668" w:type="dxa"/>
          </w:tcPr>
          <w:p w:rsidR="00E6234D" w:rsidRPr="00E6234D" w:rsidRDefault="00E6234D" w:rsidP="00E6234D">
            <w:r w:rsidRPr="00F427A1">
              <w:t>Comments</w:t>
            </w:r>
          </w:p>
        </w:tc>
      </w:tr>
      <w:tr w:rsidR="00E6234D" w:rsidRPr="00F427A1" w:rsidTr="00DA33BB">
        <w:tc>
          <w:tcPr>
            <w:tcW w:w="1763" w:type="dxa"/>
          </w:tcPr>
          <w:p w:rsidR="00E6234D" w:rsidRPr="00E6234D" w:rsidRDefault="00E6234D" w:rsidP="00E6234D">
            <w:r w:rsidRPr="00F427A1">
              <w:t>Interpolation to construct daily estimates.</w:t>
            </w:r>
          </w:p>
        </w:tc>
        <w:tc>
          <w:tcPr>
            <w:tcW w:w="1262" w:type="dxa"/>
          </w:tcPr>
          <w:p w:rsidR="00E6234D" w:rsidRPr="00E6234D" w:rsidRDefault="00E6234D" w:rsidP="00E6234D">
            <w:r w:rsidRPr="00F427A1">
              <w:t>Yes</w:t>
            </w:r>
          </w:p>
        </w:tc>
        <w:tc>
          <w:tcPr>
            <w:tcW w:w="5668" w:type="dxa"/>
          </w:tcPr>
          <w:p w:rsidR="00E6234D" w:rsidRPr="00E6234D" w:rsidRDefault="00E6234D" w:rsidP="00E6234D">
            <w:r w:rsidRPr="00F427A1">
              <w:t xml:space="preserve">The RBA curve only provides an estimate for one business day at the end of each month. In our experience, averaging periods commonly start and/or end on dates during the month.  </w:t>
            </w:r>
          </w:p>
          <w:p w:rsidR="00E6234D" w:rsidRPr="00E6234D" w:rsidRDefault="00E6234D" w:rsidP="00E6234D">
            <w:r w:rsidRPr="00F427A1">
              <w:t>We will address this issue by linearly interpolating between month end values where possible. While we are satisfied that interpolation over business days is also reasonable, we will interpolate over all days because:</w:t>
            </w:r>
          </w:p>
          <w:p w:rsidR="00E6234D" w:rsidRPr="00E6234D" w:rsidRDefault="00E6234D" w:rsidP="00E6234D">
            <w:pPr>
              <w:pStyle w:val="AERbulletlistfirststyle"/>
            </w:pPr>
            <w:r w:rsidRPr="00F427A1">
              <w:t>this is consistent with our widely accepted approach to interpolate estimates of the risk free rate using CGS</w:t>
            </w:r>
          </w:p>
          <w:p w:rsidR="00E6234D" w:rsidRPr="00E6234D" w:rsidRDefault="00E6234D" w:rsidP="00E6234D">
            <w:pPr>
              <w:pStyle w:val="AERbulletlistfirststyle"/>
            </w:pPr>
            <w:r w:rsidRPr="00F427A1">
              <w:t>interpolating over all days is simpler to implement</w:t>
            </w:r>
          </w:p>
          <w:p w:rsidR="00E6234D" w:rsidRPr="00E6234D" w:rsidRDefault="00E6234D" w:rsidP="00E6234D">
            <w:pPr>
              <w:pStyle w:val="AERbulletlistfirststyle"/>
            </w:pPr>
            <w:r w:rsidRPr="00F427A1">
              <w:t>it is impractical to interpolate over business days for estimating the risk free rate, as this would require calculations relative to specific trading days 10 years in advance</w:t>
            </w:r>
          </w:p>
          <w:p w:rsidR="00E6234D" w:rsidRPr="00E6234D" w:rsidRDefault="00E6234D" w:rsidP="00E6234D">
            <w:pPr>
              <w:pStyle w:val="AERbulletlistfirststyle"/>
            </w:pPr>
            <w:proofErr w:type="gramStart"/>
            <w:r w:rsidRPr="00F427A1">
              <w:t>the</w:t>
            </w:r>
            <w:proofErr w:type="gramEnd"/>
            <w:r w:rsidRPr="00F427A1">
              <w:t xml:space="preserve"> difference to the estimates between interpolating over business days or interpolating over all days is immaterial.</w:t>
            </w:r>
            <w:r w:rsidRPr="00E6234D">
              <w:rPr>
                <w:rStyle w:val="AERsuperscript"/>
              </w:rPr>
              <w:footnoteReference w:id="472"/>
            </w:r>
          </w:p>
          <w:p w:rsidR="00E6234D" w:rsidRPr="00E6234D" w:rsidRDefault="00E6234D" w:rsidP="00E6234D">
            <w:r w:rsidRPr="00F427A1">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draft decision on the annual debt update process is set out in the annual debt update process later in this attachment. </w:t>
            </w:r>
          </w:p>
        </w:tc>
      </w:tr>
      <w:tr w:rsidR="00E6234D" w:rsidRPr="00F427A1" w:rsidTr="00DA33BB">
        <w:trPr>
          <w:cnfStyle w:val="000000010000" w:firstRow="0" w:lastRow="0" w:firstColumn="0" w:lastColumn="0" w:oddVBand="0" w:evenVBand="0" w:oddHBand="0" w:evenHBand="1" w:firstRowFirstColumn="0" w:firstRowLastColumn="0" w:lastRowFirstColumn="0" w:lastRowLastColumn="0"/>
        </w:trPr>
        <w:tc>
          <w:tcPr>
            <w:tcW w:w="1763" w:type="dxa"/>
          </w:tcPr>
          <w:p w:rsidR="00E6234D" w:rsidRPr="00E6234D" w:rsidRDefault="00E6234D" w:rsidP="00E6234D">
            <w:r w:rsidRPr="00F427A1">
              <w:t>Extrapolation to target term.</w:t>
            </w:r>
          </w:p>
        </w:tc>
        <w:tc>
          <w:tcPr>
            <w:tcW w:w="1262" w:type="dxa"/>
          </w:tcPr>
          <w:p w:rsidR="00E6234D" w:rsidRPr="00E6234D" w:rsidRDefault="00E6234D" w:rsidP="00E6234D">
            <w:r w:rsidRPr="00F427A1">
              <w:t>Yes</w:t>
            </w:r>
          </w:p>
        </w:tc>
        <w:tc>
          <w:tcPr>
            <w:tcW w:w="5668" w:type="dxa"/>
          </w:tcPr>
          <w:p w:rsidR="00E6234D" w:rsidRPr="00E6234D" w:rsidRDefault="00E6234D" w:rsidP="00E6234D">
            <w:r w:rsidRPr="00F427A1">
              <w:t xml:space="preserve">The 'effective term' of the RBA bond sample is commonly less than 10 years. For this reason, </w:t>
            </w:r>
            <w:r w:rsidRPr="00E6234D">
              <w:t>Lally recommended that the spread component of the yield should be extrapolated from its effective term at publication to the benchmark term (10 years).</w:t>
            </w:r>
            <w:r w:rsidRPr="00E6234D">
              <w:rPr>
                <w:rStyle w:val="AERsuperscript"/>
              </w:rPr>
              <w:footnoteReference w:id="473"/>
            </w:r>
            <w:r w:rsidRPr="00E6234D">
              <w:rPr>
                <w:rStyle w:val="AERsuperscript"/>
              </w:rPr>
              <w:t xml:space="preserve"> </w:t>
            </w:r>
          </w:p>
          <w:p w:rsidR="00E6234D" w:rsidRPr="00E6234D" w:rsidRDefault="00E6234D" w:rsidP="00E6234D">
            <w:r w:rsidRPr="00F427A1">
              <w:t xml:space="preserve">We agree with Lally's recommendation to extrapolate the spread component of the RBA's published yield in order to match it with the benchmark term of debt. </w:t>
            </w:r>
          </w:p>
          <w:p w:rsidR="00E6234D" w:rsidRPr="00E6234D" w:rsidRDefault="00E6234D" w:rsidP="00E6234D">
            <w:r w:rsidRPr="00F427A1">
              <w:t>Further, while the benchmark term of debt is 10 years, this benchmark was based on analysis of debt issuance that indicated a weighted average of 8.7 years amongst the benchmark sample.</w:t>
            </w:r>
            <w:r w:rsidRPr="00E6234D">
              <w:rPr>
                <w:rStyle w:val="AERsuperscript"/>
              </w:rPr>
              <w:footnoteReference w:id="474"/>
            </w:r>
            <w:r w:rsidRPr="00E6234D">
              <w:t xml:space="preserve"> Our benchmark sample consisted of service providers that were comparable to our definition of the benchmark efficient entity. We were therefore satisfied the average term at issuance for this sample was reflective of efficient financing costs. Similarly, from its earliest available publication to February 2015, the average effective term of the RBA's bond sample for its 10 year estimate is also 8.9 years.</w:t>
            </w:r>
            <w:r w:rsidRPr="00E6234D">
              <w:rPr>
                <w:rStyle w:val="AERsuperscript"/>
              </w:rPr>
              <w:footnoteReference w:id="475"/>
            </w:r>
            <w:r w:rsidRPr="00E6234D">
              <w:rPr>
                <w:rStyle w:val="AERsuperscript"/>
              </w:rPr>
              <w:t xml:space="preserve"> </w:t>
            </w:r>
            <w:r w:rsidRPr="00E6234D">
              <w:t>We recognise that the effective term of the RBA's sample may change each month. In some months, the effective term may be above or below its long term average. However, the long term average effective term to maturity is similar to the average term at issuance of our underlying benchmark sample. Therefore, while this average effective term is less than our stated benchmark term, it is consistent with the evidence of efficient financing practices that the benchmark term was based on. As such, extrapolation to match the benchmark term may result in overcompensation on average compared to the efficient financing costs of the benchmark efficient entity. In this decision, we have maintained our position from recent decisions to extrapolate the RBA curve. However, we may revisit this in in future decisions or the next Guideline review.</w:t>
            </w:r>
          </w:p>
        </w:tc>
      </w:tr>
      <w:tr w:rsidR="00E6234D" w:rsidRPr="00F427A1" w:rsidTr="00DA33BB">
        <w:tc>
          <w:tcPr>
            <w:tcW w:w="1763" w:type="dxa"/>
          </w:tcPr>
          <w:p w:rsidR="00E6234D" w:rsidRPr="00E6234D" w:rsidRDefault="00E6234D" w:rsidP="00E6234D">
            <w:r w:rsidRPr="00F427A1">
              <w:t>Conversion to effective annual rate</w:t>
            </w:r>
          </w:p>
        </w:tc>
        <w:tc>
          <w:tcPr>
            <w:tcW w:w="1262" w:type="dxa"/>
          </w:tcPr>
          <w:p w:rsidR="00E6234D" w:rsidRPr="00E6234D" w:rsidRDefault="00E6234D" w:rsidP="00E6234D">
            <w:r w:rsidRPr="00F427A1">
              <w:t>Yes</w:t>
            </w:r>
          </w:p>
        </w:tc>
        <w:tc>
          <w:tcPr>
            <w:tcW w:w="5668" w:type="dxa"/>
          </w:tcPr>
          <w:p w:rsidR="00E6234D" w:rsidRPr="00E6234D" w:rsidRDefault="00E6234D" w:rsidP="00E6234D">
            <w:r w:rsidRPr="00F427A1">
              <w:t>The RBA's published methodology does not explicitly specify whether the 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E6234D">
              <w:rPr>
                <w:rStyle w:val="AERsuperscript"/>
              </w:rPr>
              <w:footnoteReference w:id="476"/>
            </w:r>
            <w:r w:rsidRPr="00E6234D">
              <w:rPr>
                <w:rStyle w:val="AERsuperscript"/>
              </w:rPr>
              <w:t xml:space="preserve"> </w:t>
            </w:r>
            <w:r w:rsidRPr="00E6234D">
              <w:t xml:space="preserve">Therefore, this would require conversion into an effective annual rate, using the same approach as is applied to the BVAL yield estimate. </w:t>
            </w:r>
          </w:p>
          <w:p w:rsidR="00E6234D" w:rsidRPr="00E6234D" w:rsidRDefault="00E6234D" w:rsidP="00E6234D">
            <w:r w:rsidRPr="00F427A1">
              <w:t>However, we understand that the bonds in the RBA's sample are a mix of bonds with annual, semi-annual, and quarterly coupon frequencies. At this stage, there remains some uncertainty whether in all cases the bond yields and credit spreads are converted into comparable terms (i.e., annual rates with semi-annual compounding) prior to combining them into the published credit spread estimates for the target tenors (such as 7 and 10 year estimates in table F3). We may further investigate this issue in the future. The materiality of this issue is also currently unclear.</w:t>
            </w:r>
          </w:p>
        </w:tc>
      </w:tr>
    </w:tbl>
    <w:p w:rsidR="00E6234D" w:rsidRPr="00F427A1" w:rsidRDefault="00E6234D" w:rsidP="00E6234D">
      <w:pPr>
        <w:pStyle w:val="AERtablesource"/>
      </w:pPr>
      <w:bookmarkStart w:id="88" w:name="_Ref414863290"/>
      <w:r w:rsidRPr="00F427A1">
        <w:t xml:space="preserve">Source: </w:t>
      </w:r>
      <w:r>
        <w:tab/>
      </w:r>
      <w:r w:rsidRPr="00F427A1">
        <w:t>AER analysis</w:t>
      </w:r>
      <w:r>
        <w:t>.</w:t>
      </w:r>
    </w:p>
    <w:p w:rsidR="00E6234D" w:rsidRPr="00F427A1" w:rsidRDefault="00E6234D" w:rsidP="00E6234D">
      <w:pPr>
        <w:pStyle w:val="Caption"/>
      </w:pPr>
      <w:bookmarkStart w:id="89" w:name="_Ref415565534"/>
      <w:r w:rsidRPr="00F427A1">
        <w:t xml:space="preserve">Table </w:t>
      </w:r>
      <w:fldSimple w:instr=" STYLEREF 1 \s ">
        <w:r w:rsidR="003F1AAB">
          <w:rPr>
            <w:noProof/>
          </w:rPr>
          <w:t>3</w:t>
        </w:r>
      </w:fldSimple>
      <w:r>
        <w:noBreakHyphen/>
      </w:r>
      <w:fldSimple w:instr=" SEQ Table \* ARABIC \s 1 ">
        <w:r w:rsidR="003F1AAB">
          <w:rPr>
            <w:noProof/>
          </w:rPr>
          <w:t>13</w:t>
        </w:r>
      </w:fldSimple>
      <w:bookmarkEnd w:id="88"/>
      <w:bookmarkEnd w:id="89"/>
      <w:r w:rsidRPr="00F427A1">
        <w:tab/>
        <w:t>Adjustments to the BVAL curve</w:t>
      </w:r>
    </w:p>
    <w:tbl>
      <w:tblPr>
        <w:tblStyle w:val="AERtable-text0"/>
        <w:tblW w:w="0" w:type="auto"/>
        <w:tblLook w:val="04A0" w:firstRow="1" w:lastRow="0" w:firstColumn="1" w:lastColumn="0" w:noHBand="0" w:noVBand="1"/>
      </w:tblPr>
      <w:tblGrid>
        <w:gridCol w:w="2891"/>
        <w:gridCol w:w="1416"/>
        <w:gridCol w:w="4386"/>
      </w:tblGrid>
      <w:tr w:rsidR="00E6234D" w:rsidRPr="00F427A1" w:rsidTr="00DA33BB">
        <w:trPr>
          <w:cnfStyle w:val="100000000000" w:firstRow="1" w:lastRow="0" w:firstColumn="0" w:lastColumn="0" w:oddVBand="0" w:evenVBand="0" w:oddHBand="0" w:evenHBand="0" w:firstRowFirstColumn="0" w:firstRowLastColumn="0" w:lastRowFirstColumn="0" w:lastRowLastColumn="0"/>
          <w:tblHeader/>
        </w:trPr>
        <w:tc>
          <w:tcPr>
            <w:tcW w:w="2891" w:type="dxa"/>
          </w:tcPr>
          <w:p w:rsidR="00E6234D" w:rsidRPr="00E6234D" w:rsidRDefault="00E6234D" w:rsidP="00E6234D">
            <w:r w:rsidRPr="00F427A1">
              <w:t>Adjustment Type</w:t>
            </w:r>
          </w:p>
        </w:tc>
        <w:tc>
          <w:tcPr>
            <w:tcW w:w="1416" w:type="dxa"/>
          </w:tcPr>
          <w:p w:rsidR="00E6234D" w:rsidRPr="00E6234D" w:rsidRDefault="00E6234D" w:rsidP="00E6234D">
            <w:r w:rsidRPr="00F427A1">
              <w:t>Amendment made?</w:t>
            </w:r>
          </w:p>
        </w:tc>
        <w:tc>
          <w:tcPr>
            <w:tcW w:w="4386" w:type="dxa"/>
          </w:tcPr>
          <w:p w:rsidR="00E6234D" w:rsidRPr="00F427A1" w:rsidRDefault="00E6234D" w:rsidP="00E6234D">
            <w:pPr>
              <w:numPr>
                <w:ilvl w:val="0"/>
                <w:numId w:val="25"/>
              </w:numPr>
            </w:pPr>
            <w:r w:rsidRPr="00F427A1">
              <w:t>Comments</w:t>
            </w:r>
          </w:p>
        </w:tc>
      </w:tr>
      <w:tr w:rsidR="00E6234D" w:rsidRPr="00F427A1" w:rsidTr="00DA33BB">
        <w:tc>
          <w:tcPr>
            <w:tcW w:w="2891" w:type="dxa"/>
          </w:tcPr>
          <w:p w:rsidR="00E6234D" w:rsidRPr="00E6234D" w:rsidRDefault="00E6234D" w:rsidP="00E6234D">
            <w:r w:rsidRPr="00F427A1">
              <w:t>Interpolation to construct daily estimates</w:t>
            </w:r>
          </w:p>
        </w:tc>
        <w:tc>
          <w:tcPr>
            <w:tcW w:w="1416" w:type="dxa"/>
          </w:tcPr>
          <w:p w:rsidR="00E6234D" w:rsidRPr="00E6234D" w:rsidRDefault="00E6234D" w:rsidP="00E6234D">
            <w:r w:rsidRPr="00F427A1">
              <w:t>No</w:t>
            </w:r>
          </w:p>
        </w:tc>
        <w:tc>
          <w:tcPr>
            <w:tcW w:w="4386" w:type="dxa"/>
          </w:tcPr>
          <w:p w:rsidR="00E6234D" w:rsidRPr="00F427A1" w:rsidRDefault="00E6234D" w:rsidP="00E6234D">
            <w:pPr>
              <w:numPr>
                <w:ilvl w:val="0"/>
                <w:numId w:val="25"/>
              </w:numPr>
            </w:pPr>
            <w:r w:rsidRPr="00F427A1">
              <w:t>Bloomberg publishes daily estimates.</w:t>
            </w:r>
          </w:p>
        </w:tc>
      </w:tr>
      <w:tr w:rsidR="00E6234D" w:rsidRPr="00F427A1" w:rsidTr="00DA33BB">
        <w:trPr>
          <w:cnfStyle w:val="000000010000" w:firstRow="0" w:lastRow="0" w:firstColumn="0" w:lastColumn="0" w:oddVBand="0" w:evenVBand="0" w:oddHBand="0" w:evenHBand="1" w:firstRowFirstColumn="0" w:firstRowLastColumn="0" w:lastRowFirstColumn="0" w:lastRowLastColumn="0"/>
        </w:trPr>
        <w:tc>
          <w:tcPr>
            <w:tcW w:w="2891" w:type="dxa"/>
          </w:tcPr>
          <w:p w:rsidR="00E6234D" w:rsidRPr="00E6234D" w:rsidRDefault="00E6234D" w:rsidP="00E6234D">
            <w:r w:rsidRPr="00F427A1">
              <w:t>Extrapolation to target term</w:t>
            </w:r>
          </w:p>
        </w:tc>
        <w:tc>
          <w:tcPr>
            <w:tcW w:w="1416" w:type="dxa"/>
          </w:tcPr>
          <w:p w:rsidR="00E6234D" w:rsidRPr="00E6234D" w:rsidRDefault="00E6234D" w:rsidP="00E6234D">
            <w:r w:rsidRPr="00F427A1">
              <w:t>Depends on maximum term published by Bloomberg</w:t>
            </w:r>
          </w:p>
        </w:tc>
        <w:tc>
          <w:tcPr>
            <w:tcW w:w="4386" w:type="dxa"/>
          </w:tcPr>
          <w:p w:rsidR="00E6234D" w:rsidRPr="00F427A1" w:rsidRDefault="00E6234D" w:rsidP="00E6234D">
            <w:pPr>
              <w:numPr>
                <w:ilvl w:val="0"/>
                <w:numId w:val="25"/>
              </w:numPr>
            </w:pPr>
            <w:r w:rsidRPr="00F427A1">
              <w:t>For most of the time that the BVAL curve has been published, it has had a maximum term of 7 years. However, between September 2014 and November 2014, it was published to a maximum 5 year term.</w:t>
            </w:r>
            <w:r w:rsidRPr="00F427A1">
              <w:rPr>
                <w:rStyle w:val="AERsuperscript"/>
              </w:rPr>
              <w:footnoteReference w:id="477"/>
            </w:r>
            <w:r w:rsidRPr="00F427A1">
              <w:t xml:space="preserve"> In April 2015, Bloomberg revised its methodology for the BVAL curve (BVCSAB10) and it now publishes a 10 year estimate.</w:t>
            </w:r>
            <w:r w:rsidRPr="00F427A1">
              <w:rPr>
                <w:rStyle w:val="AERsuperscript"/>
              </w:rPr>
              <w:footnoteReference w:id="478"/>
            </w:r>
            <w:r w:rsidRPr="00F427A1">
              <w:rPr>
                <w:rStyle w:val="AERsuperscript"/>
              </w:rPr>
              <w:t xml:space="preserve"> </w:t>
            </w:r>
          </w:p>
          <w:p w:rsidR="00E6234D" w:rsidRPr="00F427A1" w:rsidRDefault="00E6234D" w:rsidP="00E6234D">
            <w:pPr>
              <w:numPr>
                <w:ilvl w:val="0"/>
                <w:numId w:val="25"/>
              </w:numPr>
            </w:pPr>
            <w:r w:rsidRPr="00F427A1">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E6234D" w:rsidRPr="00F427A1" w:rsidRDefault="00E6234D" w:rsidP="00E6234D">
            <w:pPr>
              <w:numPr>
                <w:ilvl w:val="0"/>
                <w:numId w:val="25"/>
              </w:numPr>
            </w:pPr>
            <w:r w:rsidRPr="00F427A1">
              <w:t>BVAL yield 10 years = BVAL yield 7 years + difference in CGS from 7 to 10 years + difference in RBA extrapolated spread to CGS from 7 to 10 years</w:t>
            </w:r>
          </w:p>
          <w:p w:rsidR="00E6234D" w:rsidRPr="00F427A1" w:rsidRDefault="00E6234D" w:rsidP="00E6234D">
            <w:pPr>
              <w:numPr>
                <w:ilvl w:val="0"/>
                <w:numId w:val="25"/>
              </w:numPr>
            </w:pPr>
            <w:r w:rsidRPr="00F427A1">
              <w:t>As recommended by Lally,</w:t>
            </w:r>
            <w:r w:rsidRPr="00F427A1">
              <w:rPr>
                <w:rStyle w:val="AERsuperscript"/>
              </w:rPr>
              <w:footnoteReference w:id="479"/>
            </w:r>
            <w:r w:rsidRPr="00F427A1">
              <w:t xml:space="preserve"> we are satisfied this approach is comparably reliable to the more complex approaches submitted by other stakeholders,</w:t>
            </w:r>
            <w:r w:rsidRPr="00F427A1">
              <w:footnoteReference w:id="480"/>
            </w:r>
            <w:r w:rsidRPr="00F427A1">
              <w:t xml:space="preserve"> but is simpler to implement and based on publicly available data.</w:t>
            </w:r>
          </w:p>
          <w:p w:rsidR="00E6234D" w:rsidRPr="00F427A1" w:rsidRDefault="00E6234D" w:rsidP="00E6234D">
            <w:pPr>
              <w:numPr>
                <w:ilvl w:val="0"/>
                <w:numId w:val="25"/>
              </w:numPr>
            </w:pPr>
            <w:r w:rsidRPr="00F427A1">
              <w:t>For a period of time in 2014, the maximum published BVAL term was 5 years. Accordingly, we extrapolate the spread component of the 5 year yield estimate to the 10 year target term using an analogous methodology to that used to extrapolate from 7 to 10 years.</w:t>
            </w:r>
          </w:p>
          <w:p w:rsidR="00E6234D" w:rsidRPr="00F427A1" w:rsidRDefault="00E6234D" w:rsidP="00E6234D">
            <w:pPr>
              <w:numPr>
                <w:ilvl w:val="0"/>
                <w:numId w:val="25"/>
              </w:numPr>
            </w:pPr>
            <w:r w:rsidRPr="00F427A1">
              <w:t xml:space="preserve">Additionally, as of 14 April 2015, Bloomberg has revised its methodology for the BVAL curve (BVCSAB10). It has correspondingly recommenced publishing a 10 year yield estimate. Data from 14 April 2015 onwards, therefore does not require any extrapolation adjustment. </w:t>
            </w:r>
          </w:p>
        </w:tc>
      </w:tr>
      <w:tr w:rsidR="00E6234D" w:rsidRPr="00F427A1" w:rsidTr="00DA33BB">
        <w:tc>
          <w:tcPr>
            <w:tcW w:w="2891" w:type="dxa"/>
          </w:tcPr>
          <w:p w:rsidR="00E6234D" w:rsidRPr="00E6234D" w:rsidRDefault="00E6234D" w:rsidP="00E6234D">
            <w:r w:rsidRPr="00F427A1">
              <w:t>Conversion to effective annual rate</w:t>
            </w:r>
          </w:p>
        </w:tc>
        <w:tc>
          <w:tcPr>
            <w:tcW w:w="1416" w:type="dxa"/>
          </w:tcPr>
          <w:p w:rsidR="00E6234D" w:rsidRPr="00E6234D" w:rsidRDefault="00E6234D" w:rsidP="00E6234D">
            <w:r w:rsidRPr="00F427A1">
              <w:t>Yes</w:t>
            </w:r>
          </w:p>
        </w:tc>
        <w:tc>
          <w:tcPr>
            <w:tcW w:w="4386" w:type="dxa"/>
          </w:tcPr>
          <w:p w:rsidR="00E6234D" w:rsidRPr="00F427A1" w:rsidRDefault="00E6234D" w:rsidP="00E6234D">
            <w:pPr>
              <w:numPr>
                <w:ilvl w:val="0"/>
                <w:numId w:val="25"/>
              </w:numPr>
            </w:pPr>
            <w:r w:rsidRPr="00F427A1">
              <w:t>Bloomberg publishes its yield as annual rates with semi-annual compounding. This needs to be converted into an effective annual rate.</w:t>
            </w:r>
          </w:p>
        </w:tc>
      </w:tr>
    </w:tbl>
    <w:p w:rsidR="00E6234D" w:rsidRDefault="00E6234D" w:rsidP="00E6234D">
      <w:pPr>
        <w:pStyle w:val="HeadingBoldItalic"/>
      </w:pPr>
      <w:r>
        <w:t>Choice of data series—Contingencies</w:t>
      </w:r>
    </w:p>
    <w:p w:rsidR="00E6234D" w:rsidRDefault="00E6234D" w:rsidP="00E6234D">
      <w:r>
        <w:t>Our draft decision is to largely maintain the set of contingencies as set out in our recent decisions.</w:t>
      </w:r>
      <w:r>
        <w:rPr>
          <w:rStyle w:val="FootnoteReference"/>
        </w:rPr>
        <w:footnoteReference w:id="481"/>
      </w:r>
      <w:r>
        <w:t xml:space="preserve"> W</w:t>
      </w:r>
      <w:r w:rsidRPr="00A86E9A">
        <w:t xml:space="preserve">e have made our </w:t>
      </w:r>
      <w:r w:rsidR="00151831">
        <w:t xml:space="preserve">draft </w:t>
      </w:r>
      <w:r w:rsidRPr="00A86E9A">
        <w:t>decision based on the information and third party data that is currently available.</w:t>
      </w:r>
      <w:r>
        <w:rPr>
          <w:rStyle w:val="FootnoteReference"/>
        </w:rPr>
        <w:footnoteReference w:id="482"/>
      </w:r>
      <w:r w:rsidRPr="00A86E9A">
        <w:t xml:space="preserve"> Nonetheless, in our experience it is common that the availability of third party data changes. </w:t>
      </w:r>
    </w:p>
    <w:p w:rsidR="00E6234D" w:rsidRDefault="00E6234D" w:rsidP="00E6234D">
      <w:r w:rsidRPr="00A86E9A">
        <w:t xml:space="preserve">Our </w:t>
      </w:r>
      <w:r w:rsidR="00151831">
        <w:t xml:space="preserve">draft </w:t>
      </w:r>
      <w:r w:rsidRPr="00A86E9A">
        <w:t xml:space="preserve">decision is to annually update the trailing average portfolio return on debt. Under the </w:t>
      </w:r>
      <w:r>
        <w:t>NER</w:t>
      </w:r>
      <w:r w:rsidRPr="00A86E9A">
        <w:t>, the change in revenue resulting from the annual update must occur by automatic application of a formula that is specified in the decision.</w:t>
      </w:r>
      <w:r w:rsidRPr="0067680A">
        <w:rPr>
          <w:rStyle w:val="AERsuperscript"/>
        </w:rPr>
        <w:t xml:space="preserve"> </w:t>
      </w:r>
      <w:r w:rsidRPr="00A86E9A">
        <w:rPr>
          <w:rStyle w:val="AERsuperscript"/>
        </w:rPr>
        <w:footnoteReference w:id="483"/>
      </w:r>
      <w:r w:rsidRPr="00A86E9A">
        <w:t xml:space="preserve"> This means our decision on how to apply these third party data sources must be fully specified</w:t>
      </w:r>
      <w:r>
        <w:t xml:space="preserve"> upfront in the determination</w:t>
      </w:r>
      <w:r w:rsidRPr="00A86E9A">
        <w:t xml:space="preserve">, and must be capable of application over the </w:t>
      </w:r>
      <w:r>
        <w:t xml:space="preserve">regulatory control </w:t>
      </w:r>
      <w:r w:rsidRPr="00A86E9A">
        <w:t xml:space="preserve">period without the use of subsequent judgement or discretion. </w:t>
      </w:r>
    </w:p>
    <w:p w:rsidR="00E6234D" w:rsidRDefault="00E6234D" w:rsidP="00E6234D">
      <w:r w:rsidRPr="00A86E9A">
        <w:t>For this reason, we have set out a series of contingencies in</w:t>
      </w:r>
      <w:r>
        <w:t xml:space="preserve"> </w:t>
      </w:r>
      <w:r>
        <w:fldChar w:fldCharType="begin"/>
      </w:r>
      <w:r>
        <w:instrText xml:space="preserve"> REF  _Ref415565798 \* Lower \h </w:instrText>
      </w:r>
      <w:r>
        <w:fldChar w:fldCharType="separate"/>
      </w:r>
      <w:r w:rsidR="003F1AAB">
        <w:t xml:space="preserve">table </w:t>
      </w:r>
      <w:r w:rsidR="003F1AAB">
        <w:rPr>
          <w:noProof/>
        </w:rPr>
        <w:t>3</w:t>
      </w:r>
      <w:r w:rsidR="003F1AAB">
        <w:noBreakHyphen/>
      </w:r>
      <w:r w:rsidR="003F1AAB">
        <w:rPr>
          <w:noProof/>
        </w:rPr>
        <w:t>14</w:t>
      </w:r>
      <w:r>
        <w:fldChar w:fldCharType="end"/>
      </w:r>
      <w:r w:rsidRPr="00A86E9A">
        <w:t xml:space="preserve">, below. These describe how we propose to estimate the annual return on debt in the event of </w:t>
      </w:r>
      <w:r>
        <w:t xml:space="preserve">revisions in the RBA's or Bloomberg's methodologies or other </w:t>
      </w:r>
      <w:r w:rsidRPr="00A86E9A">
        <w:t>changes to data availability.</w:t>
      </w:r>
    </w:p>
    <w:p w:rsidR="00E6234D" w:rsidRDefault="00E6234D" w:rsidP="00E6234D">
      <w:pPr>
        <w:pStyle w:val="Caption"/>
      </w:pPr>
      <w:bookmarkStart w:id="90" w:name="_Ref415565798"/>
      <w:r>
        <w:t xml:space="preserve">Table </w:t>
      </w:r>
      <w:fldSimple w:instr=" STYLEREF 1 \s ">
        <w:r w:rsidR="003F1AAB">
          <w:rPr>
            <w:noProof/>
          </w:rPr>
          <w:t>3</w:t>
        </w:r>
      </w:fldSimple>
      <w:r>
        <w:noBreakHyphen/>
      </w:r>
      <w:fldSimple w:instr=" SEQ Table \* ARABIC \s 1 ">
        <w:r w:rsidR="003F1AAB">
          <w:rPr>
            <w:noProof/>
          </w:rPr>
          <w:t>14</w:t>
        </w:r>
      </w:fldSimple>
      <w:bookmarkEnd w:id="90"/>
      <w:r>
        <w:tab/>
      </w:r>
      <w:r w:rsidRPr="00457B37">
        <w:t>Contingency approaches to choice of data series</w:t>
      </w:r>
    </w:p>
    <w:tbl>
      <w:tblPr>
        <w:tblStyle w:val="AERtable-text0"/>
        <w:tblW w:w="4966" w:type="pct"/>
        <w:tblLook w:val="04A0" w:firstRow="1" w:lastRow="0" w:firstColumn="1" w:lastColumn="0" w:noHBand="0" w:noVBand="1"/>
      </w:tblPr>
      <w:tblGrid>
        <w:gridCol w:w="2523"/>
        <w:gridCol w:w="6111"/>
      </w:tblGrid>
      <w:tr w:rsidR="00E6234D" w:rsidRPr="00BB7AB1" w:rsidTr="00DA33BB">
        <w:trPr>
          <w:cnfStyle w:val="100000000000" w:firstRow="1" w:lastRow="0" w:firstColumn="0" w:lastColumn="0" w:oddVBand="0" w:evenVBand="0" w:oddHBand="0" w:evenHBand="0" w:firstRowFirstColumn="0" w:firstRowLastColumn="0" w:lastRowFirstColumn="0" w:lastRowLastColumn="0"/>
          <w:tblHeader/>
        </w:trPr>
        <w:tc>
          <w:tcPr>
            <w:tcW w:w="1461" w:type="pct"/>
          </w:tcPr>
          <w:p w:rsidR="00E6234D" w:rsidRPr="00BB7AB1" w:rsidRDefault="00E6234D" w:rsidP="00E6234D">
            <w:pPr>
              <w:numPr>
                <w:ilvl w:val="0"/>
                <w:numId w:val="25"/>
              </w:numPr>
            </w:pPr>
            <w:r w:rsidRPr="00BB7AB1">
              <w:t>Event</w:t>
            </w:r>
          </w:p>
        </w:tc>
        <w:tc>
          <w:tcPr>
            <w:tcW w:w="3539" w:type="pct"/>
          </w:tcPr>
          <w:p w:rsidR="00E6234D" w:rsidRPr="00BB7AB1" w:rsidRDefault="00E6234D" w:rsidP="00E6234D">
            <w:pPr>
              <w:numPr>
                <w:ilvl w:val="0"/>
                <w:numId w:val="25"/>
              </w:numPr>
            </w:pPr>
            <w:r w:rsidRPr="00BB7AB1">
              <w:t>Changes to approach</w:t>
            </w:r>
          </w:p>
        </w:tc>
      </w:tr>
      <w:tr w:rsidR="00E6234D" w:rsidRPr="00BB7AB1" w:rsidTr="00DA33BB">
        <w:tc>
          <w:tcPr>
            <w:tcW w:w="1461" w:type="pct"/>
          </w:tcPr>
          <w:p w:rsidR="00E6234D" w:rsidRPr="00BB7AB1" w:rsidRDefault="00E6234D" w:rsidP="00E6234D">
            <w:pPr>
              <w:numPr>
                <w:ilvl w:val="0"/>
                <w:numId w:val="25"/>
              </w:numPr>
            </w:pPr>
            <w:r w:rsidRPr="00BB7AB1">
              <w:t>Either the RBA or Bloomberg ceases publication of Australian yield curves that reflect a broad BBB rating.</w:t>
            </w:r>
          </w:p>
        </w:tc>
        <w:tc>
          <w:tcPr>
            <w:tcW w:w="3539" w:type="pct"/>
          </w:tcPr>
          <w:p w:rsidR="00E6234D" w:rsidRPr="00BB7AB1" w:rsidRDefault="00E6234D" w:rsidP="00E6234D">
            <w:pPr>
              <w:numPr>
                <w:ilvl w:val="0"/>
                <w:numId w:val="25"/>
              </w:numPr>
            </w:pPr>
            <w:r w:rsidRPr="00BB7AB1">
              <w:t>We will estimate the annual return on debt using the remaining curve.</w:t>
            </w:r>
          </w:p>
        </w:tc>
      </w:tr>
      <w:tr w:rsidR="00E6234D" w:rsidRPr="00BB7AB1" w:rsidTr="00DA33BB">
        <w:trPr>
          <w:cnfStyle w:val="000000010000" w:firstRow="0" w:lastRow="0" w:firstColumn="0" w:lastColumn="0" w:oddVBand="0" w:evenVBand="0" w:oddHBand="0" w:evenHBand="1" w:firstRowFirstColumn="0" w:firstRowLastColumn="0" w:lastRowFirstColumn="0" w:lastRowLastColumn="0"/>
        </w:trPr>
        <w:tc>
          <w:tcPr>
            <w:tcW w:w="1461" w:type="pct"/>
          </w:tcPr>
          <w:p w:rsidR="00E6234D" w:rsidRPr="00BB7AB1" w:rsidRDefault="00E6234D" w:rsidP="00E6234D">
            <w:pPr>
              <w:numPr>
                <w:ilvl w:val="0"/>
                <w:numId w:val="25"/>
              </w:numPr>
            </w:pPr>
            <w:r w:rsidRPr="00BB7AB1">
              <w:t xml:space="preserve">A different third party commences publication of a 10 year yield estimate </w:t>
            </w:r>
            <w:r w:rsidRPr="005306B1">
              <w:t>(or we are made aware of a different third party publishing a 10 year yield estimate)</w:t>
            </w:r>
            <w:r w:rsidRPr="005306B1">
              <w:rPr>
                <w:rStyle w:val="AERsuperscript"/>
              </w:rPr>
              <w:footnoteReference w:id="484"/>
            </w:r>
            <w:r w:rsidRPr="00BB7AB1">
              <w:t>.</w:t>
            </w:r>
          </w:p>
        </w:tc>
        <w:tc>
          <w:tcPr>
            <w:tcW w:w="3539" w:type="pct"/>
          </w:tcPr>
          <w:p w:rsidR="00E6234D" w:rsidRPr="00BB7AB1" w:rsidRDefault="00E6234D" w:rsidP="00E6234D">
            <w:pPr>
              <w:numPr>
                <w:ilvl w:val="0"/>
                <w:numId w:val="25"/>
              </w:numPr>
            </w:pPr>
            <w:r w:rsidRPr="00BB7AB1">
              <w:t xml:space="preserve">We will not apply estimates from a third party data provider that we have not evaluated and included in our </w:t>
            </w:r>
            <w:r>
              <w:t>final</w:t>
            </w:r>
            <w:r w:rsidRPr="00BB7AB1">
              <w:t xml:space="preserve"> decision approach. We will consider any new data sources in future determinations. </w:t>
            </w:r>
          </w:p>
        </w:tc>
      </w:tr>
      <w:tr w:rsidR="00E6234D" w:rsidRPr="00BB7AB1" w:rsidTr="00DA33BB">
        <w:tc>
          <w:tcPr>
            <w:tcW w:w="1461" w:type="pct"/>
          </w:tcPr>
          <w:p w:rsidR="00E6234D" w:rsidRPr="00BB7AB1" w:rsidRDefault="00E6234D" w:rsidP="00E6234D">
            <w:pPr>
              <w:numPr>
                <w:ilvl w:val="0"/>
                <w:numId w:val="25"/>
              </w:numPr>
            </w:pPr>
            <w:r w:rsidRPr="00BB7AB1">
              <w:t>Either Bloomberg or RBA substitutes its current methodology for a revised or updated methodology.</w:t>
            </w:r>
          </w:p>
        </w:tc>
        <w:tc>
          <w:tcPr>
            <w:tcW w:w="3539" w:type="pct"/>
          </w:tcPr>
          <w:p w:rsidR="00E6234D" w:rsidRDefault="00E6234D" w:rsidP="00E6234D">
            <w:pPr>
              <w:numPr>
                <w:ilvl w:val="0"/>
                <w:numId w:val="25"/>
              </w:numPr>
            </w:pPr>
            <w:r w:rsidRPr="00BB7AB1">
              <w:t xml:space="preserve">We will adopt the revised or updated </w:t>
            </w:r>
            <w:r>
              <w:t>methodology</w:t>
            </w:r>
            <w:r w:rsidRPr="00BB7AB1">
              <w:t>. Then, at the next regulatory determination, we will review this updated methodology. As noted above, we would also review any new data sources.</w:t>
            </w:r>
          </w:p>
          <w:p w:rsidR="00E6234D" w:rsidRPr="00BB7AB1" w:rsidRDefault="00E6234D" w:rsidP="00E6234D">
            <w:pPr>
              <w:numPr>
                <w:ilvl w:val="0"/>
                <w:numId w:val="25"/>
              </w:numPr>
            </w:pPr>
            <w:r>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r>
              <w:rPr>
                <w:rStyle w:val="FootnoteReference"/>
              </w:rPr>
              <w:footnoteReference w:id="485"/>
            </w:r>
          </w:p>
        </w:tc>
      </w:tr>
      <w:tr w:rsidR="00E6234D" w:rsidRPr="00BB7AB1" w:rsidTr="00DA33BB">
        <w:trPr>
          <w:cnfStyle w:val="000000010000" w:firstRow="0" w:lastRow="0" w:firstColumn="0" w:lastColumn="0" w:oddVBand="0" w:evenVBand="0" w:oddHBand="0" w:evenHBand="1" w:firstRowFirstColumn="0" w:firstRowLastColumn="0" w:lastRowFirstColumn="0" w:lastRowLastColumn="0"/>
        </w:trPr>
        <w:tc>
          <w:tcPr>
            <w:tcW w:w="1461" w:type="pct"/>
          </w:tcPr>
          <w:p w:rsidR="00E6234D" w:rsidRPr="00BB7AB1" w:rsidRDefault="00E6234D" w:rsidP="00E6234D">
            <w:pPr>
              <w:numPr>
                <w:ilvl w:val="0"/>
                <w:numId w:val="25"/>
              </w:numPr>
            </w:pPr>
            <w:r w:rsidRPr="00BB7AB1">
              <w:t xml:space="preserve">Bloomberg </w:t>
            </w:r>
            <w:r>
              <w:t>reduces the maximum published BVAL term from 10 years</w:t>
            </w:r>
          </w:p>
        </w:tc>
        <w:tc>
          <w:tcPr>
            <w:tcW w:w="3539" w:type="pct"/>
          </w:tcPr>
          <w:p w:rsidR="00E6234D" w:rsidRDefault="00E6234D" w:rsidP="00E6234D">
            <w:pPr>
              <w:numPr>
                <w:ilvl w:val="0"/>
                <w:numId w:val="25"/>
              </w:numPr>
            </w:pPr>
            <w:r w:rsidRPr="00BB7AB1">
              <w:t>If Bloomberg still publishes the BVAL curve to 5</w:t>
            </w:r>
            <w:r>
              <w:t xml:space="preserve"> or more years</w:t>
            </w:r>
            <w:r w:rsidRPr="00BB7AB1">
              <w:t xml:space="preserve">, we will extrapolate the BVAL curve from </w:t>
            </w:r>
            <w:r>
              <w:t>the longest published term</w:t>
            </w:r>
            <w:r w:rsidR="00A44864">
              <w:t xml:space="preserve"> to 10</w:t>
            </w:r>
            <w:r w:rsidRPr="00BB7AB1">
              <w:t xml:space="preserve"> </w:t>
            </w:r>
            <w:r w:rsidR="00A44864">
              <w:t xml:space="preserve">years </w:t>
            </w:r>
            <w:r w:rsidRPr="00BB7AB1">
              <w:t xml:space="preserve">using the </w:t>
            </w:r>
            <w:r w:rsidR="00A44864">
              <w:t>corresponding</w:t>
            </w:r>
            <w:r w:rsidRPr="00BB7AB1">
              <w:t xml:space="preserve"> yield margin from the RBA curve.</w:t>
            </w:r>
            <w:r>
              <w:t xml:space="preserve"> </w:t>
            </w:r>
            <w:r w:rsidR="00A44864">
              <w:rPr>
                <w:rStyle w:val="FootnoteReference"/>
              </w:rPr>
              <w:footnoteReference w:id="486"/>
            </w:r>
          </w:p>
          <w:p w:rsidR="00E6234D" w:rsidRPr="00BB7AB1" w:rsidRDefault="00E6234D" w:rsidP="00E6234D">
            <w:pPr>
              <w:numPr>
                <w:ilvl w:val="0"/>
                <w:numId w:val="25"/>
              </w:numPr>
            </w:pPr>
            <w:r w:rsidRPr="00BB7AB1">
              <w:t>If Bloomberg no longer publishes the BVAL curve to 5 years, we will rely entirely on the RBA curve.</w:t>
            </w:r>
          </w:p>
        </w:tc>
      </w:tr>
      <w:tr w:rsidR="00E6234D" w:rsidRPr="00BB7AB1" w:rsidTr="00DA33BB">
        <w:tc>
          <w:tcPr>
            <w:tcW w:w="1461" w:type="pct"/>
          </w:tcPr>
          <w:p w:rsidR="00E6234D" w:rsidRPr="00BB7AB1" w:rsidRDefault="00E6234D" w:rsidP="00E6234D">
            <w:pPr>
              <w:numPr>
                <w:ilvl w:val="0"/>
                <w:numId w:val="25"/>
              </w:numPr>
            </w:pPr>
            <w:r w:rsidRPr="00BB7AB1">
              <w:t>The RBA ceases publication of a 10 year yield estimate.</w:t>
            </w:r>
            <w:r w:rsidRPr="00BB7AB1">
              <w:tab/>
            </w:r>
          </w:p>
        </w:tc>
        <w:tc>
          <w:tcPr>
            <w:tcW w:w="3539" w:type="pct"/>
          </w:tcPr>
          <w:p w:rsidR="00E6234D" w:rsidRPr="00BB7AB1" w:rsidRDefault="00E6234D" w:rsidP="00E6234D">
            <w:pPr>
              <w:numPr>
                <w:ilvl w:val="0"/>
                <w:numId w:val="25"/>
              </w:numPr>
            </w:pPr>
            <w:r w:rsidRPr="00BB7AB1">
              <w:t>If the RBA ceases publication of a 10 year yield estimate, we will extrapolate the RBA estimate to 10 years using:</w:t>
            </w:r>
          </w:p>
          <w:p w:rsidR="00E6234D" w:rsidRPr="00E6234D" w:rsidRDefault="00E6234D" w:rsidP="00E6234D">
            <w:pPr>
              <w:pStyle w:val="AERbulletlistfirststyle"/>
            </w:pPr>
            <w:r w:rsidRPr="00A86E9A">
              <w:t>if available, the margin between spreads in the Bloomberg curve,</w:t>
            </w:r>
            <w:r w:rsidRPr="00E6234D">
              <w:rPr>
                <w:rStyle w:val="FootnoteReference"/>
              </w:rPr>
              <w:footnoteReference w:id="487"/>
            </w:r>
            <w:r w:rsidRPr="00E6234D">
              <w:t xml:space="preserve"> from the RBA's longest published target term to 10 years</w:t>
            </w:r>
          </w:p>
          <w:p w:rsidR="00E6234D" w:rsidRPr="00E6234D" w:rsidRDefault="00E6234D" w:rsidP="00E6234D">
            <w:pPr>
              <w:pStyle w:val="AERbulletlistfirststyle"/>
            </w:pPr>
            <w:proofErr w:type="gramStart"/>
            <w:r w:rsidRPr="00A86E9A">
              <w:t>otherwise</w:t>
            </w:r>
            <w:proofErr w:type="gramEnd"/>
            <w:r w:rsidRPr="00A86E9A">
              <w:t>, the actual CGS margin from the RBA's longest published estimate to 10 years, plus the average DRP spread for the same term margin over the last month prior to the end of its publication.</w:t>
            </w:r>
          </w:p>
        </w:tc>
      </w:tr>
      <w:tr w:rsidR="00E6234D" w:rsidRPr="00BB7AB1" w:rsidTr="00DA33BB">
        <w:trPr>
          <w:cnfStyle w:val="000000010000" w:firstRow="0" w:lastRow="0" w:firstColumn="0" w:lastColumn="0" w:oddVBand="0" w:evenVBand="0" w:oddHBand="0" w:evenHBand="1" w:firstRowFirstColumn="0" w:firstRowLastColumn="0" w:lastRowFirstColumn="0" w:lastRowLastColumn="0"/>
        </w:trPr>
        <w:tc>
          <w:tcPr>
            <w:tcW w:w="1461" w:type="pct"/>
          </w:tcPr>
          <w:p w:rsidR="00E6234D" w:rsidRPr="00BB7AB1" w:rsidRDefault="00E6234D" w:rsidP="00E6234D">
            <w:pPr>
              <w:numPr>
                <w:ilvl w:val="0"/>
                <w:numId w:val="25"/>
              </w:numPr>
            </w:pPr>
            <w:r w:rsidRPr="00BB7AB1">
              <w:t>The RBA commences publication of daily estimates.</w:t>
            </w:r>
          </w:p>
        </w:tc>
        <w:tc>
          <w:tcPr>
            <w:tcW w:w="3539" w:type="pct"/>
          </w:tcPr>
          <w:p w:rsidR="00E6234D" w:rsidRPr="00BB7AB1" w:rsidRDefault="00E6234D" w:rsidP="00E6234D">
            <w:pPr>
              <w:numPr>
                <w:ilvl w:val="0"/>
                <w:numId w:val="25"/>
              </w:numPr>
            </w:pPr>
            <w:r w:rsidRPr="00BB7AB1">
              <w:t>We will cease interpolating the RBA monthly yields. Instead, we will estimate both the RBA yield and the RBA year extrapolation margin (used with the BVAL curve) using these daily estimates.</w:t>
            </w:r>
          </w:p>
        </w:tc>
      </w:tr>
      <w:tr w:rsidR="00E6234D" w:rsidRPr="00BB7AB1" w:rsidTr="00DA33BB">
        <w:tc>
          <w:tcPr>
            <w:tcW w:w="1461" w:type="pct"/>
          </w:tcPr>
          <w:p w:rsidR="00E6234D" w:rsidRPr="00BB7AB1" w:rsidRDefault="00E6234D" w:rsidP="00E6234D">
            <w:pPr>
              <w:numPr>
                <w:ilvl w:val="0"/>
                <w:numId w:val="25"/>
              </w:numPr>
            </w:pPr>
            <w:r w:rsidRPr="00BB7AB1">
              <w:t>Either Bloomberg or the RBA publishes a BBB+ or utilities specific yield curve.</w:t>
            </w:r>
          </w:p>
        </w:tc>
        <w:tc>
          <w:tcPr>
            <w:tcW w:w="3539" w:type="pct"/>
          </w:tcPr>
          <w:p w:rsidR="00E6234D" w:rsidRPr="00BB7AB1" w:rsidRDefault="00E6234D" w:rsidP="00E6234D">
            <w:pPr>
              <w:numPr>
                <w:ilvl w:val="0"/>
                <w:numId w:val="25"/>
              </w:numPr>
            </w:pPr>
            <w:r w:rsidRPr="00BB7AB1">
              <w:t>We will adopt the BBB+ or utilities curve in place of the provider's existing curve, on the basis that it is a closer fit to our benchmark efficient entity.</w:t>
            </w:r>
          </w:p>
        </w:tc>
      </w:tr>
    </w:tbl>
    <w:p w:rsidR="00E6234D" w:rsidRPr="00BB7AB1" w:rsidRDefault="00E6234D" w:rsidP="00E6234D">
      <w:pPr>
        <w:pStyle w:val="AERtablesource"/>
      </w:pPr>
      <w:r w:rsidRPr="00BB7AB1">
        <w:t>Source:</w:t>
      </w:r>
      <w:r w:rsidRPr="00BB7AB1">
        <w:tab/>
        <w:t>AER analysis</w:t>
      </w:r>
      <w:r>
        <w:t>.</w:t>
      </w:r>
    </w:p>
    <w:p w:rsidR="00A44864" w:rsidRDefault="00A44864" w:rsidP="00A44864">
      <w:r>
        <w:t>For this draft decision, we have re-worded the contingency for the scenario where Bloomberg reduces its longest published term to between 5 and 10 years. This does not change the meaning of the required change in response to this event, and remains consistent with the approach we adopted in decisions prior to Bloomberg publishing a 10 year BVAL estimate. However, we consider this explanation of the 'changes to approach' is clearer.</w:t>
      </w:r>
    </w:p>
    <w:p w:rsidR="00A44864" w:rsidRDefault="00A44864" w:rsidP="00E6234D"/>
    <w:p w:rsidR="00E6234D" w:rsidRPr="00C56839" w:rsidRDefault="00E6234D" w:rsidP="00E6234D">
      <w:r w:rsidRPr="00C56839">
        <w:t>In general, we have decided on these contingencies based on a series of guiding principles. These are that the contingency must:</w:t>
      </w:r>
    </w:p>
    <w:p w:rsidR="00E6234D" w:rsidRPr="00C56839" w:rsidRDefault="00E6234D" w:rsidP="00E6234D">
      <w:pPr>
        <w:pStyle w:val="AERbulletlistfirststyle"/>
      </w:pPr>
      <w:r w:rsidRPr="00C56839">
        <w:t xml:space="preserve">Be practically implementable—the rules require the automatic application of a formula to update the trailing average portfolio return on debt. As a result, we will be unable to analyse changes to the approaches or new approaches during the </w:t>
      </w:r>
      <w:r>
        <w:t>regulatory control or access arrangement</w:t>
      </w:r>
      <w:r w:rsidRPr="00C56839">
        <w:t xml:space="preserve"> period. Therefore, it is important that any contingency be practical and easily implementable.</w:t>
      </w:r>
    </w:p>
    <w:p w:rsidR="00E6234D" w:rsidRPr="00762C27" w:rsidRDefault="00E6234D" w:rsidP="00E6234D">
      <w:pPr>
        <w:pStyle w:val="AERbulletlistfirststyle"/>
      </w:pPr>
      <w:r w:rsidRPr="00762C27">
        <w:t>Use the curve in a form as close as possible to its published form—for example,</w:t>
      </w:r>
      <w:r>
        <w:t xml:space="preserve"> in April 2015 </w:t>
      </w:r>
      <w:r w:rsidRPr="00762C27">
        <w:t>B</w:t>
      </w:r>
      <w:r>
        <w:t>loomberg commenced</w:t>
      </w:r>
      <w:r w:rsidRPr="00762C27">
        <w:t xml:space="preserve"> publication of a 10 year BVAL curve</w:t>
      </w:r>
      <w:r>
        <w:t>. Accordingly, for averaging periods where the 10 year estimate is available</w:t>
      </w:r>
      <w:r w:rsidRPr="00762C27">
        <w:t xml:space="preserve">, we </w:t>
      </w:r>
      <w:r>
        <w:t xml:space="preserve">will </w:t>
      </w:r>
      <w:r w:rsidRPr="00762C27">
        <w:t>adopt this estimate rather than the 7 year BVAL curve extrapolated with RBA data.</w:t>
      </w:r>
    </w:p>
    <w:p w:rsidR="00E6234D" w:rsidRDefault="00E6234D" w:rsidP="00E6234D">
      <w:pPr>
        <w:pStyle w:val="AERbulletlistfirststyle"/>
      </w:pPr>
      <w:r w:rsidRPr="00C56839">
        <w:t>Where necessary, rely on the independent expert judg</w:t>
      </w:r>
      <w:r>
        <w:t>ement of the RBA and Bloomberg—I</w:t>
      </w:r>
      <w:r w:rsidRPr="00C56839">
        <w:t>n particular, where the RBA or Bloomberg makes changes to its methodology, we would prefer to evaluate these changes before concluding we are satisfied the curve still meets the criteria set out in the Guideline.</w:t>
      </w:r>
      <w:r>
        <w:rPr>
          <w:rStyle w:val="FootnoteReference"/>
        </w:rPr>
        <w:footnoteReference w:id="488"/>
      </w:r>
      <w:r w:rsidRPr="00C56839">
        <w:t xml:space="preserve"> However, this is not possible during the </w:t>
      </w:r>
      <w:r>
        <w:t>regulatory control or access arrangement</w:t>
      </w:r>
      <w:r w:rsidRPr="00C56839">
        <w:t xml:space="preserve">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E6234D" w:rsidRPr="00E6234D" w:rsidRDefault="00E6234D" w:rsidP="00E6234D">
      <w:pPr>
        <w:pStyle w:val="HeadingBoldItalic"/>
      </w:pPr>
      <w:r>
        <w:t>New issue premium</w:t>
      </w:r>
    </w:p>
    <w:p w:rsidR="00E6234D" w:rsidRDefault="00E6234D" w:rsidP="00E6234D">
      <w:r w:rsidRPr="0018148E">
        <w:t xml:space="preserve">We accept </w:t>
      </w:r>
      <w:r>
        <w:t>AusNet Services' regulatory proposal to not</w:t>
      </w:r>
      <w:r w:rsidRPr="0018148E">
        <w:t xml:space="preserve"> include an allowance for the new issue premium. However, we do not </w:t>
      </w:r>
      <w:r>
        <w:t>agree with its commentary</w:t>
      </w:r>
      <w:r w:rsidRPr="0018148E">
        <w:t xml:space="preserve"> </w:t>
      </w:r>
      <w:r>
        <w:t>that excluding</w:t>
      </w:r>
      <w:r w:rsidRPr="0018148E">
        <w:t xml:space="preserve"> a new issue premium makes</w:t>
      </w:r>
      <w:r>
        <w:t xml:space="preserve"> its proposed return on debt 'conservative'</w:t>
      </w:r>
      <w:r w:rsidRPr="0018148E">
        <w:t>.</w:t>
      </w:r>
      <w:r>
        <w:rPr>
          <w:rStyle w:val="FootnoteReference"/>
        </w:rPr>
        <w:footnoteReference w:id="489"/>
      </w:r>
    </w:p>
    <w:p w:rsidR="00E6234D" w:rsidRDefault="00E6234D" w:rsidP="00E6234D">
      <w:r>
        <w:t>We continue to be</w:t>
      </w:r>
      <w:r w:rsidRPr="0048764A">
        <w:t xml:space="preserve"> satisfied our current approach, without </w:t>
      </w:r>
      <w:r>
        <w:t>providing</w:t>
      </w:r>
      <w:r w:rsidRPr="0048764A">
        <w:t xml:space="preserve"> </w:t>
      </w:r>
      <w:proofErr w:type="gramStart"/>
      <w:r w:rsidRPr="0048764A">
        <w:t>an uplift</w:t>
      </w:r>
      <w:proofErr w:type="gramEnd"/>
      <w:r w:rsidRPr="0048764A">
        <w:t xml:space="preserve"> for </w:t>
      </w:r>
      <w:r>
        <w:t xml:space="preserve">a </w:t>
      </w:r>
      <w:r w:rsidRPr="0048764A">
        <w:t>new issue premium,</w:t>
      </w:r>
      <w:r>
        <w:rPr>
          <w:rStyle w:val="FootnoteReference"/>
        </w:rPr>
        <w:footnoteReference w:id="490"/>
      </w:r>
      <w:r w:rsidRPr="0048764A">
        <w:t xml:space="preserve"> contributes to the achievement of</w:t>
      </w:r>
      <w:r>
        <w:t xml:space="preserve"> the</w:t>
      </w:r>
      <w:r w:rsidRPr="0048764A">
        <w:t xml:space="preserve"> </w:t>
      </w:r>
      <w:r>
        <w:t>ARORO</w:t>
      </w:r>
      <w:r w:rsidRPr="0048764A">
        <w:t xml:space="preserve">. In particular, we are satisfied it is commensurate with the efficient financing costs of </w:t>
      </w:r>
      <w:r>
        <w:t>a</w:t>
      </w:r>
      <w:r w:rsidRPr="0048764A">
        <w:t xml:space="preserve"> benchmark efficient entity.</w:t>
      </w:r>
      <w:r>
        <w:rPr>
          <w:rStyle w:val="FootnoteReference"/>
        </w:rPr>
        <w:footnoteReference w:id="491"/>
      </w:r>
      <w:r>
        <w:t xml:space="preserve"> The </w:t>
      </w:r>
      <w:r w:rsidRPr="006D5821">
        <w:t>main reasons for our position are:</w:t>
      </w:r>
    </w:p>
    <w:p w:rsidR="00E6234D" w:rsidRPr="00784F6B" w:rsidRDefault="00E6234D" w:rsidP="00E6234D">
      <w:pPr>
        <w:pStyle w:val="AERbulletlistfirststyle"/>
      </w:pPr>
      <w:r w:rsidRPr="001426E4">
        <w:t xml:space="preserve">Conceptually, we </w:t>
      </w:r>
      <w:r w:rsidRPr="00784F6B">
        <w:t>consider that a benchmark efficient entity would not face a new issue premium as part of its efficient financing costs.</w:t>
      </w:r>
    </w:p>
    <w:p w:rsidR="00E6234D" w:rsidRPr="00784F6B" w:rsidRDefault="00E6234D" w:rsidP="00E6234D">
      <w:pPr>
        <w:pStyle w:val="AERbulletlistfirststyle"/>
      </w:pPr>
      <w:r>
        <w:t>T</w:t>
      </w:r>
      <w:r w:rsidRPr="00784F6B">
        <w:t>he evidence before us indicates that our return on debt allowance already appropriately compensates a benchmark efficient entity overall for its efficient financing costs.</w:t>
      </w:r>
    </w:p>
    <w:p w:rsidR="00E6234D" w:rsidRPr="00784F6B" w:rsidRDefault="00E6234D" w:rsidP="00E6234D">
      <w:pPr>
        <w:pStyle w:val="AERbulletlistfirststyle"/>
      </w:pPr>
      <w:r>
        <w:t>W</w:t>
      </w:r>
      <w:r w:rsidRPr="00784F6B">
        <w:t xml:space="preserve">e consider that the empirical evidence on the new issue premium is inconclusive in general and that there is little consensus among experts on how to measure potential new issue </w:t>
      </w:r>
      <w:r w:rsidR="00202BA2">
        <w:t>premium</w:t>
      </w:r>
      <w:r w:rsidRPr="00784F6B">
        <w:t>.</w:t>
      </w:r>
    </w:p>
    <w:p w:rsidR="00E6234D" w:rsidRPr="00784F6B" w:rsidRDefault="00E6234D" w:rsidP="00E6234D">
      <w:pPr>
        <w:pStyle w:val="AERbulletlistfirststyle"/>
      </w:pPr>
      <w:r>
        <w:t>We are unaware of any academic literature on the new issue premium in the Australian market. On behalf of several service providers, CEG conducted an empirical analysis on the Australian marke</w:t>
      </w:r>
      <w:r w:rsidRPr="00784F6B">
        <w:t>t.</w:t>
      </w:r>
      <w:r w:rsidRPr="00784F6B">
        <w:rPr>
          <w:rStyle w:val="FootnoteReference"/>
        </w:rPr>
        <w:footnoteReference w:id="492"/>
      </w:r>
      <w:r w:rsidRPr="00784F6B">
        <w:t xml:space="preserve"> However, we have concerns with CEG's methodology, which we do not consider CEG has satisfactorily addressed.</w:t>
      </w:r>
      <w:r w:rsidRPr="00784F6B">
        <w:rPr>
          <w:rStyle w:val="FootnoteReference"/>
        </w:rPr>
        <w:footnoteReference w:id="493"/>
      </w:r>
    </w:p>
    <w:p w:rsidR="00E6234D" w:rsidRDefault="00E6234D" w:rsidP="00E6234D">
      <w:r>
        <w:t>For a more detailed explanation of our reasons, see Appendix I of our final decision for United Energy.</w:t>
      </w:r>
      <w:r>
        <w:rPr>
          <w:rStyle w:val="FootnoteReference"/>
        </w:rPr>
        <w:footnoteReference w:id="494"/>
      </w:r>
    </w:p>
    <w:p w:rsidR="00E6234D" w:rsidRDefault="00E6234D" w:rsidP="00E6234D">
      <w:pPr>
        <w:pStyle w:val="HeadingBoldItalic"/>
      </w:pPr>
      <w:r w:rsidRPr="00E761F9">
        <w:t xml:space="preserve">Averaging periods </w:t>
      </w:r>
    </w:p>
    <w:p w:rsidR="00E6234D" w:rsidRDefault="00E6234D" w:rsidP="00E6234D">
      <w:r>
        <w:t>O</w:t>
      </w:r>
      <w:r w:rsidRPr="00F62E1D">
        <w:t xml:space="preserve">ur </w:t>
      </w:r>
      <w:r>
        <w:t>draft decision</w:t>
      </w:r>
      <w:r w:rsidRPr="00F62E1D">
        <w:t xml:space="preserve"> is to accept </w:t>
      </w:r>
      <w:r>
        <w:t xml:space="preserve">AusNet Services' </w:t>
      </w:r>
      <w:r w:rsidRPr="00F62E1D">
        <w:t xml:space="preserve">proposed debt </w:t>
      </w:r>
      <w:r>
        <w:t>averaging periods for 2017 to 2022.</w:t>
      </w:r>
      <w:r>
        <w:rPr>
          <w:rStyle w:val="FootnoteReference"/>
        </w:rPr>
        <w:footnoteReference w:id="495"/>
      </w:r>
      <w:r>
        <w:t xml:space="preserve"> </w:t>
      </w:r>
    </w:p>
    <w:p w:rsidR="00E6234D" w:rsidRPr="00E761F9" w:rsidRDefault="00E6234D" w:rsidP="00E6234D">
      <w:r w:rsidRPr="00E761F9">
        <w:t>We specify these averaging periods for the 2017 to 202</w:t>
      </w:r>
      <w:r>
        <w:t>2</w:t>
      </w:r>
      <w:r w:rsidRPr="00E761F9">
        <w:t xml:space="preserve"> regulatory years in c</w:t>
      </w:r>
      <w:r>
        <w:t xml:space="preserve">onfidential Appendix </w:t>
      </w:r>
      <w:r w:rsidR="00A74ABC">
        <w:t>K</w:t>
      </w:r>
      <w:r w:rsidRPr="00E761F9">
        <w:t>. This is because our practice is to keep the dates of averaging periods confidential until they have expired.</w:t>
      </w:r>
    </w:p>
    <w:p w:rsidR="00E6234D" w:rsidRPr="00E761F9" w:rsidRDefault="00E6234D" w:rsidP="00E6234D">
      <w:r w:rsidRPr="00E761F9">
        <w:t xml:space="preserve">In </w:t>
      </w:r>
      <w:r>
        <w:t>this draft</w:t>
      </w:r>
      <w:r w:rsidRPr="00E761F9">
        <w:t xml:space="preserve"> decision, we </w:t>
      </w:r>
      <w:r w:rsidR="00F34DB3">
        <w:t>use</w:t>
      </w:r>
      <w:r w:rsidRPr="00E761F9">
        <w:t xml:space="preserve"> a placeholder averaging period of </w:t>
      </w:r>
      <w:r w:rsidRPr="00190E30">
        <w:t>2</w:t>
      </w:r>
      <w:r>
        <w:t>1</w:t>
      </w:r>
      <w:r w:rsidRPr="00190E30">
        <w:t xml:space="preserve"> consecutive business days commencing </w:t>
      </w:r>
      <w:r>
        <w:t xml:space="preserve">1 March 2016 </w:t>
      </w:r>
      <w:r w:rsidRPr="00E761F9">
        <w:t xml:space="preserve">to estimate the allowed return on debt for the </w:t>
      </w:r>
      <w:r w:rsidR="00F34DB3">
        <w:t xml:space="preserve">2017–18 regulatory </w:t>
      </w:r>
      <w:proofErr w:type="gramStart"/>
      <w:r w:rsidR="00F34DB3">
        <w:t>year</w:t>
      </w:r>
      <w:proofErr w:type="gramEnd"/>
      <w:r w:rsidRPr="00E761F9">
        <w:t xml:space="preserve">. </w:t>
      </w:r>
      <w:r>
        <w:t>W</w:t>
      </w:r>
      <w:r w:rsidRPr="00E761F9">
        <w:t>e w</w:t>
      </w:r>
      <w:r>
        <w:t>ill</w:t>
      </w:r>
      <w:r w:rsidRPr="00E761F9">
        <w:t xml:space="preserve"> update this averaging period for the final decision</w:t>
      </w:r>
      <w:r>
        <w:t xml:space="preserve"> in accordance with the dates in</w:t>
      </w:r>
      <w:r w:rsidRPr="00E761F9">
        <w:t xml:space="preserve"> c</w:t>
      </w:r>
      <w:r>
        <w:t xml:space="preserve">onfidential Appendix </w:t>
      </w:r>
      <w:r w:rsidR="00F34DB3">
        <w:t>K</w:t>
      </w:r>
      <w:r>
        <w:t>.</w:t>
      </w:r>
      <w:r w:rsidR="00F34DB3">
        <w:t xml:space="preserve"> </w:t>
      </w:r>
    </w:p>
    <w:p w:rsidR="00E6234D" w:rsidRPr="00E761F9" w:rsidRDefault="00E6234D" w:rsidP="00E6234D">
      <w:r w:rsidRPr="00E761F9">
        <w:t>In the Guideline, we proposed that service providers could nominate averaging periods of 10 or more consecutive business days up to a maximum of 12 months.</w:t>
      </w:r>
      <w:r w:rsidRPr="00E761F9">
        <w:rPr>
          <w:rStyle w:val="FootnoteReference"/>
        </w:rPr>
        <w:footnoteReference w:id="496"/>
      </w:r>
      <w:r w:rsidRPr="00E761F9">
        <w:t xml:space="preserve"> We also proposed that an averaging period should satisfy certain conditions. We developed these conditions so that the application of the averaging period contributes to the achievement of the </w:t>
      </w:r>
      <w:r>
        <w:t>ARORO</w:t>
      </w:r>
      <w:r w:rsidRPr="00E761F9">
        <w:t>.</w:t>
      </w:r>
      <w:r w:rsidRPr="00E761F9">
        <w:rPr>
          <w:rStyle w:val="FootnoteReference"/>
        </w:rPr>
        <w:footnoteReference w:id="497"/>
      </w:r>
    </w:p>
    <w:p w:rsidR="00E6234D" w:rsidRPr="00E761F9" w:rsidRDefault="00E6234D" w:rsidP="00E6234D">
      <w:r w:rsidRPr="00E761F9">
        <w:t xml:space="preserve">In </w:t>
      </w:r>
      <w:r>
        <w:t xml:space="preserve">general, when </w:t>
      </w:r>
      <w:r w:rsidRPr="00E761F9">
        <w:t xml:space="preserve">assessing service providers' proposed averaging periods, we applied the conditions we proposed in the Guideline, </w:t>
      </w:r>
      <w:r>
        <w:t>except for one condition that we do</w:t>
      </w:r>
      <w:r w:rsidRPr="00E761F9">
        <w:t xml:space="preserve"> not</w:t>
      </w:r>
      <w:r>
        <w:t xml:space="preserve"> consider is</w:t>
      </w:r>
      <w:r w:rsidRPr="00E761F9">
        <w:t xml:space="preserve"> necessary to achieve the </w:t>
      </w:r>
      <w:r>
        <w:t>ARORO</w:t>
      </w:r>
      <w:r w:rsidRPr="00E761F9">
        <w:t>. Th</w:t>
      </w:r>
      <w:r>
        <w:t>is</w:t>
      </w:r>
      <w:r w:rsidRPr="00E761F9">
        <w:t xml:space="preserve"> condition was that averaging periods should be as close as practical to the commencement of each regulatory year. We remain of the view that the remaining Guideline conditions are important and necessary to promote the </w:t>
      </w:r>
      <w:r>
        <w:t>ARORO</w:t>
      </w:r>
      <w:r w:rsidRPr="00E761F9">
        <w:t xml:space="preserve">. Those conditions include that at the time the period is nominated all dates in the averaging period must take place in the future, and that all averaging periods should be specified prior to the commencement of the regulatory control </w:t>
      </w:r>
      <w:r>
        <w:t xml:space="preserve">or access arrangement </w:t>
      </w:r>
      <w:r w:rsidRPr="00E761F9">
        <w:t>period. These conditions, respectively, help to ensure that the return on debt resulting from the averaging period is unbiased and the annual debt update can be practically and automatically applied (as required by the rules).</w:t>
      </w:r>
    </w:p>
    <w:p w:rsidR="00E6234D" w:rsidRPr="00E761F9" w:rsidRDefault="00E6234D" w:rsidP="00E6234D">
      <w:pPr>
        <w:numPr>
          <w:ilvl w:val="0"/>
          <w:numId w:val="25"/>
        </w:numPr>
      </w:pPr>
      <w:r w:rsidRPr="00E761F9">
        <w:fldChar w:fldCharType="begin"/>
      </w:r>
      <w:r w:rsidRPr="00E761F9">
        <w:instrText xml:space="preserve"> REF _Ref433327592 \h </w:instrText>
      </w:r>
      <w:r w:rsidRPr="00E761F9">
        <w:fldChar w:fldCharType="separate"/>
      </w:r>
      <w:r w:rsidR="003F1AAB" w:rsidRPr="00E761F9">
        <w:t xml:space="preserve">Table </w:t>
      </w:r>
      <w:r w:rsidR="003F1AAB">
        <w:rPr>
          <w:noProof/>
        </w:rPr>
        <w:t>3</w:t>
      </w:r>
      <w:r w:rsidR="003F1AAB">
        <w:noBreakHyphen/>
      </w:r>
      <w:r w:rsidR="003F1AAB">
        <w:rPr>
          <w:noProof/>
        </w:rPr>
        <w:t>15</w:t>
      </w:r>
      <w:r w:rsidRPr="00E761F9">
        <w:fldChar w:fldCharType="end"/>
      </w:r>
      <w:r w:rsidRPr="00E761F9">
        <w:t xml:space="preserve"> sets out why we consider an averaging period that meets the remaining conditions in the Guideline contributes to the achievement of the </w:t>
      </w:r>
      <w:r>
        <w:t>ARORO</w:t>
      </w:r>
      <w:r w:rsidRPr="00E761F9">
        <w:t xml:space="preserve">. It also summarises our assessment of </w:t>
      </w:r>
      <w:r>
        <w:t>AusNet Services’</w:t>
      </w:r>
      <w:r w:rsidRPr="00E761F9">
        <w:t xml:space="preserve"> proposed debt averaging periods</w:t>
      </w:r>
      <w:r>
        <w:t xml:space="preserve"> against these conditions</w:t>
      </w:r>
      <w:r w:rsidRPr="00E761F9">
        <w:t xml:space="preserve">. </w:t>
      </w:r>
    </w:p>
    <w:p w:rsidR="00E6234D" w:rsidRPr="00E761F9" w:rsidRDefault="00E6234D" w:rsidP="00E6234D">
      <w:pPr>
        <w:pStyle w:val="Caption"/>
      </w:pPr>
      <w:bookmarkStart w:id="91" w:name="_Ref433327592"/>
      <w:r w:rsidRPr="00E761F9">
        <w:t xml:space="preserve">Table </w:t>
      </w:r>
      <w:fldSimple w:instr=" STYLEREF 1 \s ">
        <w:r w:rsidR="003F1AAB">
          <w:rPr>
            <w:noProof/>
          </w:rPr>
          <w:t>3</w:t>
        </w:r>
      </w:fldSimple>
      <w:r>
        <w:noBreakHyphen/>
      </w:r>
      <w:fldSimple w:instr=" SEQ Table \* ARABIC \s 1 ">
        <w:r w:rsidR="003F1AAB">
          <w:rPr>
            <w:noProof/>
          </w:rPr>
          <w:t>15</w:t>
        </w:r>
      </w:fldSimple>
      <w:bookmarkEnd w:id="91"/>
      <w:r w:rsidRPr="00E761F9">
        <w:tab/>
        <w:t>Assessment of proposed averaging periods against Guideline</w:t>
      </w:r>
    </w:p>
    <w:tbl>
      <w:tblPr>
        <w:tblStyle w:val="AERtable-text0"/>
        <w:tblW w:w="0" w:type="auto"/>
        <w:tblLook w:val="04A0" w:firstRow="1" w:lastRow="0" w:firstColumn="1" w:lastColumn="0" w:noHBand="0" w:noVBand="1"/>
      </w:tblPr>
      <w:tblGrid>
        <w:gridCol w:w="2591"/>
        <w:gridCol w:w="4647"/>
        <w:gridCol w:w="1425"/>
      </w:tblGrid>
      <w:tr w:rsidR="00E6234D" w:rsidTr="00DA33BB">
        <w:trPr>
          <w:cnfStyle w:val="100000000000" w:firstRow="1" w:lastRow="0" w:firstColumn="0" w:lastColumn="0" w:oddVBand="0" w:evenVBand="0" w:oddHBand="0" w:evenHBand="0" w:firstRowFirstColumn="0" w:firstRowLastColumn="0" w:lastRowFirstColumn="0" w:lastRowLastColumn="0"/>
          <w:trHeight w:val="143"/>
          <w:tblHeader/>
        </w:trPr>
        <w:tc>
          <w:tcPr>
            <w:tcW w:w="2591" w:type="dxa"/>
          </w:tcPr>
          <w:p w:rsidR="00E6234D" w:rsidRPr="00E6234D" w:rsidRDefault="00E6234D" w:rsidP="00E6234D">
            <w:r w:rsidRPr="00E761F9">
              <w:t>Condition</w:t>
            </w:r>
          </w:p>
        </w:tc>
        <w:tc>
          <w:tcPr>
            <w:tcW w:w="4647" w:type="dxa"/>
          </w:tcPr>
          <w:p w:rsidR="00E6234D" w:rsidRPr="00E6234D" w:rsidRDefault="00E6234D" w:rsidP="00E6234D">
            <w:r w:rsidRPr="00E761F9">
              <w:t>Reasons for condition</w:t>
            </w:r>
          </w:p>
        </w:tc>
        <w:tc>
          <w:tcPr>
            <w:tcW w:w="1425" w:type="dxa"/>
          </w:tcPr>
          <w:p w:rsidR="00E6234D" w:rsidRPr="00E6234D" w:rsidRDefault="00E6234D" w:rsidP="00E6234D">
            <w:r w:rsidRPr="00E761F9">
              <w:t>Condition met?</w:t>
            </w:r>
          </w:p>
        </w:tc>
      </w:tr>
      <w:tr w:rsidR="00E6234D" w:rsidTr="00DA33BB">
        <w:trPr>
          <w:trHeight w:val="143"/>
        </w:trPr>
        <w:tc>
          <w:tcPr>
            <w:tcW w:w="2591" w:type="dxa"/>
          </w:tcPr>
          <w:p w:rsidR="00E6234D" w:rsidRPr="00E6234D" w:rsidRDefault="00E6234D" w:rsidP="00E6234D">
            <w:r w:rsidRPr="00E761F9">
              <w:t xml:space="preserve">Observed over a period of 10 or more consecutive business days up to a maximum of </w:t>
            </w:r>
            <w:r w:rsidRPr="00E6234D">
              <w:t>12 months</w:t>
            </w:r>
          </w:p>
        </w:tc>
        <w:tc>
          <w:tcPr>
            <w:tcW w:w="4647" w:type="dxa"/>
          </w:tcPr>
          <w:p w:rsidR="00E6234D" w:rsidRPr="00E6234D" w:rsidRDefault="00E6234D" w:rsidP="00E6234D">
            <w:r w:rsidRPr="00E761F9">
              <w:t>Averaging daily estimates</w:t>
            </w:r>
            <w:r w:rsidRPr="00E6234D">
              <w:t xml:space="preserve"> over a number of days smooths out short term volatility in the annually updated return on debt allowance.</w:t>
            </w:r>
          </w:p>
        </w:tc>
        <w:tc>
          <w:tcPr>
            <w:tcW w:w="1425" w:type="dxa"/>
          </w:tcPr>
          <w:p w:rsidR="00E6234D" w:rsidRPr="00E6234D" w:rsidRDefault="00E6234D" w:rsidP="00E6234D">
            <w:r w:rsidRPr="00E761F9">
              <w:t>Yes</w:t>
            </w:r>
          </w:p>
        </w:tc>
      </w:tr>
      <w:tr w:rsidR="00E6234D" w:rsidTr="00DA33BB">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E6234D" w:rsidRPr="00E6234D" w:rsidRDefault="00E6234D" w:rsidP="00E6234D">
            <w:r w:rsidRPr="00E761F9">
              <w:t>It should be specified prior to the commencement of the regulatory control period.</w:t>
            </w:r>
          </w:p>
        </w:tc>
        <w:tc>
          <w:tcPr>
            <w:tcW w:w="4647" w:type="dxa"/>
          </w:tcPr>
          <w:p w:rsidR="00E6234D" w:rsidRPr="00E6234D" w:rsidRDefault="00E6234D" w:rsidP="00E6234D">
            <w:r w:rsidRPr="00E761F9">
              <w:t>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w:t>
            </w:r>
          </w:p>
        </w:tc>
        <w:tc>
          <w:tcPr>
            <w:tcW w:w="1425" w:type="dxa"/>
          </w:tcPr>
          <w:p w:rsidR="00E6234D" w:rsidRPr="00E6234D" w:rsidRDefault="00E6234D" w:rsidP="00E6234D">
            <w:r w:rsidRPr="00E761F9">
              <w:t>Yes</w:t>
            </w:r>
          </w:p>
        </w:tc>
      </w:tr>
      <w:tr w:rsidR="00E6234D" w:rsidTr="00DA33BB">
        <w:trPr>
          <w:trHeight w:val="143"/>
        </w:trPr>
        <w:tc>
          <w:tcPr>
            <w:tcW w:w="2591" w:type="dxa"/>
          </w:tcPr>
          <w:p w:rsidR="00E6234D" w:rsidRPr="00E6234D" w:rsidRDefault="00E6234D" w:rsidP="00E6234D">
            <w:r w:rsidRPr="00E761F9">
              <w:t>At the time it is nominated, all dates in the averaging period must take place in the future.</w:t>
            </w:r>
          </w:p>
        </w:tc>
        <w:tc>
          <w:tcPr>
            <w:tcW w:w="4647" w:type="dxa"/>
          </w:tcPr>
          <w:p w:rsidR="00E6234D" w:rsidRPr="00E6234D" w:rsidRDefault="00E6234D" w:rsidP="00E6234D">
            <w:r w:rsidRPr="00E761F9">
              <w:t>If a regulated service provider can select an averaging period by looking at historical yields, it may introduce an upward bias.</w:t>
            </w:r>
            <w:r w:rsidRPr="00E6234D">
              <w:rPr>
                <w:rStyle w:val="FootnoteReference"/>
              </w:rPr>
              <w:footnoteReference w:id="498"/>
            </w:r>
          </w:p>
        </w:tc>
        <w:tc>
          <w:tcPr>
            <w:tcW w:w="1425" w:type="dxa"/>
          </w:tcPr>
          <w:p w:rsidR="00E6234D" w:rsidRPr="00E6234D" w:rsidRDefault="00E6234D" w:rsidP="00E6234D">
            <w:r w:rsidRPr="00E761F9">
              <w:t>Yes</w:t>
            </w:r>
          </w:p>
        </w:tc>
      </w:tr>
      <w:tr w:rsidR="00E6234D" w:rsidTr="00DA33BB">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E6234D" w:rsidRPr="00E6234D" w:rsidRDefault="00E6234D" w:rsidP="00E6234D">
            <w:r w:rsidRPr="00E761F9">
              <w:t>An averaging period needs to be specified for each regulatory year within a regulatory control period.</w:t>
            </w:r>
          </w:p>
        </w:tc>
        <w:tc>
          <w:tcPr>
            <w:tcW w:w="4647" w:type="dxa"/>
          </w:tcPr>
          <w:p w:rsidR="00E6234D" w:rsidRPr="00E6234D" w:rsidRDefault="00E6234D" w:rsidP="00E6234D">
            <w:r w:rsidRPr="00E761F9">
              <w:t>This allows for the annual debt update. The annual debt update reduces the potential for a mismatch between the allowed and actual return on debt for the benchmark efficient entity.</w:t>
            </w:r>
          </w:p>
        </w:tc>
        <w:tc>
          <w:tcPr>
            <w:tcW w:w="1425" w:type="dxa"/>
          </w:tcPr>
          <w:p w:rsidR="00E6234D" w:rsidRPr="00E6234D" w:rsidRDefault="00E6234D" w:rsidP="00E6234D">
            <w:r w:rsidRPr="00E761F9">
              <w:t>Yes</w:t>
            </w:r>
          </w:p>
        </w:tc>
      </w:tr>
      <w:tr w:rsidR="00E6234D" w:rsidTr="00DA33BB">
        <w:trPr>
          <w:trHeight w:val="143"/>
        </w:trPr>
        <w:tc>
          <w:tcPr>
            <w:tcW w:w="2591" w:type="dxa"/>
          </w:tcPr>
          <w:p w:rsidR="00E6234D" w:rsidRPr="00E6234D" w:rsidRDefault="00E6234D" w:rsidP="00E6234D">
            <w:r w:rsidRPr="00E761F9">
              <w:t>The proposed averaging periods for different regulatory years are not required to be identical but should not overlap.</w:t>
            </w:r>
          </w:p>
        </w:tc>
        <w:tc>
          <w:tcPr>
            <w:tcW w:w="4647" w:type="dxa"/>
          </w:tcPr>
          <w:p w:rsidR="00E6234D" w:rsidRPr="00E6234D" w:rsidRDefault="00E6234D" w:rsidP="00E6234D">
            <w:r w:rsidRPr="00E761F9">
              <w:t>This avoids 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425" w:type="dxa"/>
          </w:tcPr>
          <w:p w:rsidR="00E6234D" w:rsidRPr="00E6234D" w:rsidRDefault="00E6234D" w:rsidP="00E6234D">
            <w:r w:rsidRPr="00E761F9">
              <w:t>Yes</w:t>
            </w:r>
          </w:p>
        </w:tc>
      </w:tr>
      <w:tr w:rsidR="00E6234D" w:rsidTr="00DA33BB">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E6234D" w:rsidRPr="00E6234D" w:rsidRDefault="00E6234D" w:rsidP="00E6234D">
            <w:r w:rsidRPr="00E761F9">
              <w:t xml:space="preserve">The nominal return on debt is to be updated annually using the </w:t>
            </w:r>
            <w:r w:rsidRPr="00E6234D">
              <w:t>agreed averaging period for the relevant regulatory year.</w:t>
            </w:r>
          </w:p>
        </w:tc>
        <w:tc>
          <w:tcPr>
            <w:tcW w:w="4647" w:type="dxa"/>
          </w:tcPr>
          <w:p w:rsidR="00E6234D" w:rsidRPr="00E6234D" w:rsidRDefault="00E6234D" w:rsidP="00E6234D">
            <w:r w:rsidRPr="00E761F9">
              <w:t>This prevents a service provider from introducing bias by only updating annually using the agreed averaging period when it is advantageous for it to do so.</w:t>
            </w:r>
          </w:p>
        </w:tc>
        <w:tc>
          <w:tcPr>
            <w:tcW w:w="1425" w:type="dxa"/>
          </w:tcPr>
          <w:p w:rsidR="00E6234D" w:rsidRPr="00E6234D" w:rsidRDefault="00E6234D" w:rsidP="00E6234D">
            <w:r w:rsidRPr="00E761F9">
              <w:t>Yes</w:t>
            </w:r>
          </w:p>
        </w:tc>
      </w:tr>
      <w:tr w:rsidR="00E6234D" w:rsidTr="00DA33BB">
        <w:trPr>
          <w:trHeight w:val="143"/>
        </w:trPr>
        <w:tc>
          <w:tcPr>
            <w:tcW w:w="2591" w:type="dxa"/>
          </w:tcPr>
          <w:p w:rsidR="00E6234D" w:rsidRPr="00E6234D" w:rsidRDefault="00E6234D" w:rsidP="00E6234D">
            <w:r w:rsidRPr="00E761F9">
              <w:t>Each agreed averaging period is to be confidential.</w:t>
            </w:r>
          </w:p>
        </w:tc>
        <w:tc>
          <w:tcPr>
            <w:tcW w:w="4647" w:type="dxa"/>
          </w:tcPr>
          <w:p w:rsidR="00E6234D" w:rsidRPr="00E6234D" w:rsidRDefault="00E6234D" w:rsidP="00E6234D">
            <w:r w:rsidRPr="00E761F9">
              <w:t>This facilitates service providers organising their financing arrangements without market participants being aware of the averaging periods. Accordingly, in practice we keep averaging periods confidential until they expire.</w:t>
            </w:r>
          </w:p>
        </w:tc>
        <w:tc>
          <w:tcPr>
            <w:tcW w:w="1425" w:type="dxa"/>
          </w:tcPr>
          <w:p w:rsidR="00E6234D" w:rsidRPr="00E6234D" w:rsidRDefault="00E6234D" w:rsidP="00E6234D">
            <w:r w:rsidRPr="00E761F9">
              <w:t>Yes</w:t>
            </w:r>
          </w:p>
        </w:tc>
      </w:tr>
    </w:tbl>
    <w:p w:rsidR="00E6234D" w:rsidRPr="00E761F9" w:rsidRDefault="00E6234D" w:rsidP="00E6234D">
      <w:pPr>
        <w:pStyle w:val="AERtablesource"/>
      </w:pPr>
      <w:r w:rsidRPr="00E761F9">
        <w:t xml:space="preserve">Source: </w:t>
      </w:r>
      <w:r w:rsidRPr="00E761F9">
        <w:tab/>
        <w:t xml:space="preserve">AER, </w:t>
      </w:r>
      <w:r w:rsidRPr="00E761F9">
        <w:rPr>
          <w:rStyle w:val="AERtextitalic"/>
        </w:rPr>
        <w:t>Rate of return guideline</w:t>
      </w:r>
      <w:r w:rsidRPr="00E761F9">
        <w:t xml:space="preserve">, December 2013, pp. 21-22; </w:t>
      </w:r>
      <w:r>
        <w:t xml:space="preserve">AusNet Services, </w:t>
      </w:r>
      <w:r w:rsidRPr="00E6234D">
        <w:t>Transmission revenue review, Appendix 10I: Averaging period letter (Confidential)</w:t>
      </w:r>
      <w:r>
        <w:t xml:space="preserve">, 30 October 2015; AusNet Services, </w:t>
      </w:r>
      <w:r>
        <w:rPr>
          <w:rStyle w:val="Emphasis"/>
        </w:rPr>
        <w:t>Nominated debt averaging periods for AusNet Services’ 2017</w:t>
      </w:r>
      <w:r w:rsidRPr="00E6234D">
        <w:rPr>
          <w:rStyle w:val="Emphasis"/>
        </w:rPr>
        <w:t>–</w:t>
      </w:r>
      <w:r>
        <w:rPr>
          <w:rStyle w:val="Emphasis"/>
        </w:rPr>
        <w:t xml:space="preserve">22 transmission revenue reset, </w:t>
      </w:r>
      <w:r>
        <w:t>2 June 2016</w:t>
      </w:r>
      <w:r w:rsidRPr="00E761F9">
        <w:t>; AER analysis.</w:t>
      </w:r>
    </w:p>
    <w:p w:rsidR="00F34DB3" w:rsidRPr="00E761F9" w:rsidRDefault="00E6234D" w:rsidP="00F34DB3">
      <w:r w:rsidRPr="00E761F9">
        <w:t xml:space="preserve">In assessing </w:t>
      </w:r>
      <w:r>
        <w:t>AusNet Services'</w:t>
      </w:r>
      <w:r w:rsidRPr="00E761F9">
        <w:t xml:space="preserve"> </w:t>
      </w:r>
      <w:r>
        <w:t xml:space="preserve">proposed </w:t>
      </w:r>
      <w:r w:rsidRPr="00E761F9">
        <w:t>debt averaging period</w:t>
      </w:r>
      <w:r>
        <w:t>s</w:t>
      </w:r>
      <w:r w:rsidRPr="00E761F9">
        <w:t xml:space="preserve">, we considered the timeframe within which each period should occur. In the Guideline, we proposed that service providers could nominate averaging periods of 10 or more consecutive business days up to a maximum of 12 months. </w:t>
      </w:r>
      <w:r w:rsidR="00F34DB3">
        <w:t>However, t</w:t>
      </w:r>
      <w:r w:rsidR="00F34DB3" w:rsidRPr="004057C7">
        <w:t xml:space="preserve">he timing of </w:t>
      </w:r>
      <w:r w:rsidR="00F34DB3">
        <w:t>publishing</w:t>
      </w:r>
      <w:r w:rsidR="00F34DB3" w:rsidRPr="004057C7">
        <w:t xml:space="preserve"> </w:t>
      </w:r>
      <w:r w:rsidR="00F34DB3">
        <w:t>transmission</w:t>
      </w:r>
      <w:r w:rsidR="00F34DB3" w:rsidRPr="004057C7">
        <w:t xml:space="preserve"> prices </w:t>
      </w:r>
      <w:r w:rsidR="00F34DB3">
        <w:t>affects</w:t>
      </w:r>
      <w:r w:rsidR="00F34DB3" w:rsidRPr="004057C7">
        <w:t xml:space="preserve"> how late an averaging period can end and still be implemented in practice.</w:t>
      </w:r>
      <w:r w:rsidR="00F34DB3">
        <w:t xml:space="preserve"> Accordingly, u</w:t>
      </w:r>
      <w:r w:rsidR="00F34DB3" w:rsidRPr="00BB4A87">
        <w:t xml:space="preserve">nder </w:t>
      </w:r>
      <w:r w:rsidR="00A967E4">
        <w:t xml:space="preserve">the </w:t>
      </w:r>
      <w:r w:rsidR="00F34DB3" w:rsidRPr="00E761F9">
        <w:t>'Annual debt update process' section</w:t>
      </w:r>
      <w:r w:rsidR="00F34DB3" w:rsidRPr="00BB4A87">
        <w:t xml:space="preserve">, we consider </w:t>
      </w:r>
      <w:r w:rsidR="00F34DB3" w:rsidRPr="00E761F9">
        <w:t xml:space="preserve">an averaging period for estimating </w:t>
      </w:r>
      <w:r w:rsidR="00F34DB3">
        <w:t>AusNet Services' allowed</w:t>
      </w:r>
      <w:r w:rsidR="00F34DB3" w:rsidRPr="00E761F9">
        <w:t xml:space="preserve"> return on debt for regulatory year t should fall within the following timeframe:</w:t>
      </w:r>
    </w:p>
    <w:p w:rsidR="00F34DB3" w:rsidRPr="00E761F9" w:rsidRDefault="00F34DB3" w:rsidP="00F34DB3">
      <w:pPr>
        <w:pStyle w:val="AERbulletlistfirststyle"/>
      </w:pPr>
      <w:r w:rsidRPr="00E761F9">
        <w:t xml:space="preserve">end no later than </w:t>
      </w:r>
      <w:r w:rsidR="00FD61C4">
        <w:t>15</w:t>
      </w:r>
      <w:r w:rsidRPr="00E761F9">
        <w:t xml:space="preserve"> business days before </w:t>
      </w:r>
      <w:r>
        <w:t>the 6th business day of February in regulatory year t-1</w:t>
      </w:r>
    </w:p>
    <w:p w:rsidR="00F34DB3" w:rsidRPr="00E761F9" w:rsidRDefault="00F34DB3" w:rsidP="00F34DB3">
      <w:pPr>
        <w:pStyle w:val="AERbulletlistfirststyle"/>
      </w:pPr>
      <w:proofErr w:type="gramStart"/>
      <w:r w:rsidRPr="00E761F9">
        <w:t>commence</w:t>
      </w:r>
      <w:proofErr w:type="gramEnd"/>
      <w:r w:rsidRPr="00E761F9">
        <w:t xml:space="preserve"> no earlier than 12 months plus </w:t>
      </w:r>
      <w:r w:rsidR="00FD61C4">
        <w:t>15</w:t>
      </w:r>
      <w:r w:rsidRPr="00E761F9">
        <w:t xml:space="preserve"> business days before </w:t>
      </w:r>
      <w:r w:rsidRPr="00F50C1F">
        <w:t xml:space="preserve">the 6th business day of February </w:t>
      </w:r>
      <w:r>
        <w:t>in regulatory year t-1</w:t>
      </w:r>
      <w:r w:rsidRPr="00E761F9">
        <w:t>.</w:t>
      </w:r>
      <w:r w:rsidRPr="00E761F9">
        <w:rPr>
          <w:rStyle w:val="FootnoteReference"/>
        </w:rPr>
        <w:footnoteReference w:id="499"/>
      </w:r>
    </w:p>
    <w:p w:rsidR="00E6234D" w:rsidRPr="00E761F9" w:rsidRDefault="00E6234D" w:rsidP="00E6234D">
      <w:r>
        <w:t xml:space="preserve">We consider AusNet Services' proposed averaging periods for 2017 to 2022 can be practically applied because they fall within this timeframe. </w:t>
      </w:r>
      <w:r w:rsidRPr="00E761F9">
        <w:t xml:space="preserve">We discuss this in </w:t>
      </w:r>
      <w:r>
        <w:t xml:space="preserve">more </w:t>
      </w:r>
      <w:r w:rsidRPr="00E761F9">
        <w:t>detail in the 'Annual debt update process' section.</w:t>
      </w:r>
    </w:p>
    <w:p w:rsidR="00E6234D" w:rsidRPr="00E761F9" w:rsidRDefault="00E6234D" w:rsidP="00E6234D">
      <w:pPr>
        <w:pStyle w:val="HeadingBoldItalic"/>
      </w:pPr>
      <w:r w:rsidRPr="00E761F9">
        <w:t xml:space="preserve">Annual debt update process </w:t>
      </w:r>
    </w:p>
    <w:p w:rsidR="006719DF" w:rsidRDefault="006719DF" w:rsidP="006719DF">
      <w:pPr>
        <w:numPr>
          <w:ilvl w:val="0"/>
          <w:numId w:val="25"/>
        </w:numPr>
      </w:pPr>
      <w:r>
        <w:t xml:space="preserve">The general </w:t>
      </w:r>
      <w:r w:rsidRPr="004057C7">
        <w:t xml:space="preserve">process </w:t>
      </w:r>
      <w:r>
        <w:t>we propose to adopt for the annual debt update</w:t>
      </w:r>
      <w:r w:rsidRPr="004057C7">
        <w:t xml:space="preserve"> </w:t>
      </w:r>
      <w:r>
        <w:t>f</w:t>
      </w:r>
      <w:r w:rsidRPr="004057C7">
        <w:t>or</w:t>
      </w:r>
      <w:r>
        <w:t xml:space="preserve"> AusNet Services is set out in </w:t>
      </w:r>
      <w:r>
        <w:fldChar w:fldCharType="begin"/>
      </w:r>
      <w:r>
        <w:instrText xml:space="preserve"> REF _Ref417964671 \h </w:instrText>
      </w:r>
      <w:r>
        <w:fldChar w:fldCharType="separate"/>
      </w:r>
      <w:r w:rsidR="003F1AAB">
        <w:t xml:space="preserve">Table </w:t>
      </w:r>
      <w:r w:rsidR="003F1AAB">
        <w:rPr>
          <w:noProof/>
        </w:rPr>
        <w:t>3</w:t>
      </w:r>
      <w:r w:rsidR="003F1AAB">
        <w:noBreakHyphen/>
      </w:r>
      <w:r w:rsidR="003F1AAB">
        <w:rPr>
          <w:noProof/>
        </w:rPr>
        <w:t>16</w:t>
      </w:r>
      <w:r>
        <w:fldChar w:fldCharType="end"/>
      </w:r>
      <w:r>
        <w:t xml:space="preserve">. </w:t>
      </w:r>
    </w:p>
    <w:p w:rsidR="006719DF" w:rsidRPr="004057C7" w:rsidRDefault="006719DF" w:rsidP="006719DF">
      <w:pPr>
        <w:pStyle w:val="Caption"/>
      </w:pPr>
      <w:bookmarkStart w:id="92" w:name="_Ref417964671"/>
      <w:r>
        <w:t xml:space="preserve">Table </w:t>
      </w:r>
      <w:r w:rsidRPr="006719DF">
        <w:fldChar w:fldCharType="begin"/>
      </w:r>
      <w:r>
        <w:instrText xml:space="preserve"> STYLEREF 1 \s </w:instrText>
      </w:r>
      <w:r w:rsidRPr="006719DF">
        <w:fldChar w:fldCharType="separate"/>
      </w:r>
      <w:r w:rsidR="003F1AAB">
        <w:rPr>
          <w:noProof/>
        </w:rPr>
        <w:t>3</w:t>
      </w:r>
      <w:r w:rsidRPr="006719DF">
        <w:fldChar w:fldCharType="end"/>
      </w:r>
      <w:r>
        <w:noBreakHyphen/>
      </w:r>
      <w:r w:rsidRPr="006719DF">
        <w:fldChar w:fldCharType="begin"/>
      </w:r>
      <w:r>
        <w:instrText xml:space="preserve"> SEQ Table \* ARABIC \s 1 </w:instrText>
      </w:r>
      <w:r w:rsidRPr="006719DF">
        <w:fldChar w:fldCharType="separate"/>
      </w:r>
      <w:r w:rsidR="003F1AAB">
        <w:rPr>
          <w:noProof/>
        </w:rPr>
        <w:t>16</w:t>
      </w:r>
      <w:r w:rsidRPr="006719DF">
        <w:fldChar w:fldCharType="end"/>
      </w:r>
      <w:bookmarkEnd w:id="92"/>
      <w:r>
        <w:tab/>
        <w:t>Annual debt update process</w:t>
      </w:r>
    </w:p>
    <w:tbl>
      <w:tblPr>
        <w:tblStyle w:val="AERtable-text0"/>
        <w:tblW w:w="5000" w:type="pct"/>
        <w:tblLook w:val="04A0" w:firstRow="1" w:lastRow="0" w:firstColumn="1" w:lastColumn="0" w:noHBand="0" w:noVBand="1"/>
      </w:tblPr>
      <w:tblGrid>
        <w:gridCol w:w="650"/>
        <w:gridCol w:w="2144"/>
        <w:gridCol w:w="2655"/>
        <w:gridCol w:w="3244"/>
      </w:tblGrid>
      <w:tr w:rsidR="006719DF" w:rsidRPr="00616FA2" w:rsidTr="00A74ABC">
        <w:trPr>
          <w:cnfStyle w:val="100000000000" w:firstRow="1" w:lastRow="0" w:firstColumn="0" w:lastColumn="0" w:oddVBand="0" w:evenVBand="0" w:oddHBand="0" w:evenHBand="0" w:firstRowFirstColumn="0" w:firstRowLastColumn="0" w:lastRowFirstColumn="0" w:lastRowLastColumn="0"/>
        </w:trPr>
        <w:tc>
          <w:tcPr>
            <w:tcW w:w="374" w:type="pct"/>
          </w:tcPr>
          <w:p w:rsidR="006719DF" w:rsidRPr="006719DF" w:rsidRDefault="006719DF" w:rsidP="006719DF">
            <w:pPr>
              <w:pStyle w:val="AERtabletextleft"/>
            </w:pPr>
            <w:r w:rsidRPr="00616FA2">
              <w:t>Step</w:t>
            </w:r>
          </w:p>
        </w:tc>
        <w:tc>
          <w:tcPr>
            <w:tcW w:w="1233" w:type="pct"/>
          </w:tcPr>
          <w:p w:rsidR="006719DF" w:rsidRPr="006719DF" w:rsidRDefault="006719DF" w:rsidP="006719DF">
            <w:pPr>
              <w:pStyle w:val="AERtabletextleft"/>
            </w:pPr>
            <w:r w:rsidRPr="00616FA2">
              <w:t>Timing</w:t>
            </w:r>
          </w:p>
        </w:tc>
        <w:tc>
          <w:tcPr>
            <w:tcW w:w="1527" w:type="pct"/>
          </w:tcPr>
          <w:p w:rsidR="006719DF" w:rsidRPr="006719DF" w:rsidRDefault="006719DF" w:rsidP="006719DF">
            <w:pPr>
              <w:pStyle w:val="AERtabletextleft"/>
            </w:pPr>
            <w:r w:rsidRPr="00616FA2">
              <w:t>Description of step</w:t>
            </w:r>
          </w:p>
        </w:tc>
        <w:tc>
          <w:tcPr>
            <w:tcW w:w="1867" w:type="pct"/>
          </w:tcPr>
          <w:p w:rsidR="006719DF" w:rsidRPr="006719DF" w:rsidRDefault="006719DF" w:rsidP="006719DF">
            <w:pPr>
              <w:pStyle w:val="AERtabletextleft"/>
            </w:pPr>
            <w:r w:rsidRPr="00616FA2">
              <w:t>Reasons for timing</w:t>
            </w:r>
          </w:p>
        </w:tc>
      </w:tr>
      <w:tr w:rsidR="006719DF" w:rsidRPr="00616FA2" w:rsidTr="00A74ABC">
        <w:tc>
          <w:tcPr>
            <w:tcW w:w="374" w:type="pct"/>
          </w:tcPr>
          <w:p w:rsidR="006719DF" w:rsidRPr="006719DF" w:rsidRDefault="006719DF" w:rsidP="006719DF">
            <w:pPr>
              <w:pStyle w:val="AERtabletextleft"/>
            </w:pPr>
            <w:r w:rsidRPr="00616FA2">
              <w:t>1</w:t>
            </w:r>
          </w:p>
        </w:tc>
        <w:tc>
          <w:tcPr>
            <w:tcW w:w="1233" w:type="pct"/>
          </w:tcPr>
          <w:p w:rsidR="006719DF" w:rsidRPr="006719DF" w:rsidRDefault="00AB74A2" w:rsidP="006719DF">
            <w:pPr>
              <w:pStyle w:val="AERtabletextleft"/>
            </w:pPr>
            <w:r>
              <w:t>15</w:t>
            </w:r>
            <w:r w:rsidR="006719DF" w:rsidRPr="00E74B28">
              <w:t xml:space="preserve"> business days prior </w:t>
            </w:r>
            <w:r w:rsidR="006719DF" w:rsidRPr="006719DF">
              <w:t>the 6th business day of February each year.</w:t>
            </w:r>
            <w:r w:rsidR="006719DF" w:rsidRPr="006719DF">
              <w:rPr>
                <w:rStyle w:val="FootnoteReference"/>
              </w:rPr>
              <w:footnoteReference w:id="500"/>
            </w:r>
            <w:r w:rsidR="006719DF" w:rsidRPr="006719DF">
              <w:t xml:space="preserve"> </w:t>
            </w:r>
          </w:p>
        </w:tc>
        <w:tc>
          <w:tcPr>
            <w:tcW w:w="1527" w:type="pct"/>
          </w:tcPr>
          <w:p w:rsidR="006719DF" w:rsidRPr="006719DF" w:rsidRDefault="006719DF" w:rsidP="006719DF">
            <w:pPr>
              <w:pStyle w:val="AERtabletextleft"/>
            </w:pPr>
            <w:r w:rsidRPr="00616FA2">
              <w:t>Averaging period ends on or before this date</w:t>
            </w:r>
          </w:p>
        </w:tc>
        <w:tc>
          <w:tcPr>
            <w:tcW w:w="1867" w:type="pct"/>
          </w:tcPr>
          <w:p w:rsidR="006719DF" w:rsidRPr="006719DF" w:rsidRDefault="006719DF" w:rsidP="006719DF">
            <w:pPr>
              <w:pStyle w:val="AERtabletextleft"/>
            </w:pPr>
            <w:r w:rsidRPr="00616FA2">
              <w:t xml:space="preserve">We determine the maximum practical end date of the averaging </w:t>
            </w:r>
            <w:r w:rsidRPr="006719DF">
              <w:t>period from the timing of step 2.</w:t>
            </w:r>
          </w:p>
        </w:tc>
      </w:tr>
      <w:tr w:rsidR="006719DF" w:rsidRPr="00616FA2" w:rsidTr="00A74ABC">
        <w:trPr>
          <w:cnfStyle w:val="000000010000" w:firstRow="0" w:lastRow="0" w:firstColumn="0" w:lastColumn="0" w:oddVBand="0" w:evenVBand="0" w:oddHBand="0" w:evenHBand="1" w:firstRowFirstColumn="0" w:firstRowLastColumn="0" w:lastRowFirstColumn="0" w:lastRowLastColumn="0"/>
        </w:trPr>
        <w:tc>
          <w:tcPr>
            <w:tcW w:w="374" w:type="pct"/>
          </w:tcPr>
          <w:p w:rsidR="006719DF" w:rsidRPr="006719DF" w:rsidRDefault="006719DF" w:rsidP="006719DF">
            <w:pPr>
              <w:pStyle w:val="AERtabletextleft"/>
            </w:pPr>
            <w:r w:rsidRPr="00616FA2">
              <w:t>2</w:t>
            </w:r>
          </w:p>
        </w:tc>
        <w:tc>
          <w:tcPr>
            <w:tcW w:w="1233" w:type="pct"/>
          </w:tcPr>
          <w:p w:rsidR="006719DF" w:rsidRPr="006719DF" w:rsidRDefault="006719DF" w:rsidP="006719DF">
            <w:pPr>
              <w:pStyle w:val="AERtabletextleft"/>
            </w:pPr>
            <w:r>
              <w:t xml:space="preserve">The </w:t>
            </w:r>
            <w:r w:rsidRPr="006719DF">
              <w:t>6th business day of February each year.</w:t>
            </w:r>
          </w:p>
        </w:tc>
        <w:tc>
          <w:tcPr>
            <w:tcW w:w="1527" w:type="pct"/>
          </w:tcPr>
          <w:p w:rsidR="006719DF" w:rsidRPr="006719DF" w:rsidRDefault="006719DF" w:rsidP="006719DF">
            <w:pPr>
              <w:pStyle w:val="AERtabletextleft"/>
            </w:pPr>
            <w:r w:rsidRPr="00616FA2">
              <w:t xml:space="preserve">So </w:t>
            </w:r>
            <w:r w:rsidRPr="006719DF">
              <w:t>AusNet Services can factor this into its transmission prices, we inform it of updates on the return on debt, annual building block revenue requirement and X factor</w:t>
            </w:r>
            <w:r w:rsidRPr="006719DF" w:rsidDel="00665E6A">
              <w:t xml:space="preserve"> </w:t>
            </w:r>
            <w:r w:rsidRPr="006719DF">
              <w:t>that incorporates the updated return on debt</w:t>
            </w:r>
            <w:r w:rsidRPr="006719DF" w:rsidDel="00665E6A">
              <w:t xml:space="preserve"> </w:t>
            </w:r>
          </w:p>
        </w:tc>
        <w:tc>
          <w:tcPr>
            <w:tcW w:w="1867" w:type="pct"/>
          </w:tcPr>
          <w:p w:rsidR="006719DF" w:rsidRPr="006719DF" w:rsidRDefault="006719DF" w:rsidP="006719DF">
            <w:pPr>
              <w:pStyle w:val="AERtabletextleft"/>
            </w:pPr>
            <w:r w:rsidRPr="00616FA2">
              <w:t>15 business days between steps 1 and 2 provides sufficient time for us to calculate (and provide quality assurance checks on) the updated return on debt, revenue and X factor.</w:t>
            </w:r>
          </w:p>
        </w:tc>
      </w:tr>
    </w:tbl>
    <w:p w:rsidR="006719DF" w:rsidRDefault="006719DF" w:rsidP="006719DF">
      <w:pPr>
        <w:pStyle w:val="AERtablesource"/>
      </w:pPr>
      <w:r>
        <w:t xml:space="preserve">Source: </w:t>
      </w:r>
      <w:r>
        <w:tab/>
        <w:t>AER analysis.</w:t>
      </w:r>
    </w:p>
    <w:p w:rsidR="006719DF" w:rsidRDefault="006719DF" w:rsidP="006719DF">
      <w:pPr>
        <w:numPr>
          <w:ilvl w:val="0"/>
          <w:numId w:val="25"/>
        </w:numPr>
      </w:pPr>
      <w:r>
        <w:t xml:space="preserve">Service providers typically require notification of their updated return on debt allowance and updated annual revenue requirement as these are relevant factors in determining prices for regulated services. As such, in previous determinations, we have </w:t>
      </w:r>
      <w:r w:rsidRPr="00A3151D">
        <w:t>linked our annual debt updating timelines to annual pricing approval/ publication timelines.</w:t>
      </w:r>
      <w:r>
        <w:rPr>
          <w:rStyle w:val="FootnoteReference"/>
        </w:rPr>
        <w:footnoteReference w:id="501"/>
      </w:r>
    </w:p>
    <w:p w:rsidR="006719DF" w:rsidRDefault="006719DF" w:rsidP="006719DF">
      <w:r w:rsidRPr="004F2787">
        <w:t xml:space="preserve">AusNet is required </w:t>
      </w:r>
      <w:r>
        <w:t xml:space="preserve">under the NER </w:t>
      </w:r>
      <w:r w:rsidRPr="004F2787">
        <w:t xml:space="preserve">to publish </w:t>
      </w:r>
      <w:r>
        <w:t>its</w:t>
      </w:r>
      <w:r w:rsidRPr="004F2787">
        <w:t xml:space="preserve"> transmission prices by 15 May for </w:t>
      </w:r>
      <w:r>
        <w:t xml:space="preserve">prices to apply in </w:t>
      </w:r>
      <w:r w:rsidRPr="004F2787">
        <w:t>the period 1 July to 30 June</w:t>
      </w:r>
      <w:r>
        <w:t>.</w:t>
      </w:r>
      <w:r w:rsidRPr="00F72B1A">
        <w:rPr>
          <w:rStyle w:val="FootnoteReference"/>
        </w:rPr>
        <w:t xml:space="preserve"> </w:t>
      </w:r>
      <w:r>
        <w:rPr>
          <w:rStyle w:val="FootnoteReference"/>
        </w:rPr>
        <w:footnoteReference w:id="502"/>
      </w:r>
      <w:r>
        <w:t xml:space="preserve"> For AusNet Services, this process occurs after the start of each regulatory year on 1 April. AusNet Services submitted that it requires notification of its updated return on debt allowance prior to the start of each regulatory year. This is because AusNet Services typically provides updated charges information to generators and distribution businesses at or prior to the start of the regulatory year for charges to apply in the April–June period.</w:t>
      </w:r>
      <w:r>
        <w:rPr>
          <w:rStyle w:val="FootnoteReference"/>
        </w:rPr>
        <w:footnoteReference w:id="503"/>
      </w:r>
    </w:p>
    <w:p w:rsidR="006719DF" w:rsidRDefault="006719DF" w:rsidP="006719DF">
      <w:r>
        <w:t xml:space="preserve">In this </w:t>
      </w:r>
      <w:r w:rsidRPr="004F2787">
        <w:t xml:space="preserve">draft decision we </w:t>
      </w:r>
      <w:r>
        <w:t xml:space="preserve">propose to </w:t>
      </w:r>
      <w:r w:rsidRPr="004F2787">
        <w:t xml:space="preserve">complete our annual update debt process by </w:t>
      </w:r>
      <w:r w:rsidRPr="00062D9F">
        <w:t>the 6th business day of February</w:t>
      </w:r>
      <w:r>
        <w:t>. This will allow AusNet to finalise</w:t>
      </w:r>
      <w:r w:rsidRPr="004F2787">
        <w:t xml:space="preserve"> transmission prices and </w:t>
      </w:r>
      <w:r>
        <w:t>notify</w:t>
      </w:r>
      <w:r w:rsidRPr="004F2787">
        <w:t xml:space="preserve"> </w:t>
      </w:r>
      <w:r>
        <w:t>its customers of updated charges. Additionally, we consider this is consistent with the period for notifying other service providers of their updated</w:t>
      </w:r>
      <w:r w:rsidRPr="000E04F3">
        <w:t xml:space="preserve"> </w:t>
      </w:r>
      <w:r>
        <w:t xml:space="preserve">return on </w:t>
      </w:r>
      <w:r w:rsidRPr="000E04F3">
        <w:t>debt allowance</w:t>
      </w:r>
      <w:r>
        <w:t xml:space="preserve"> prior to the start of the regulatory year. </w:t>
      </w:r>
    </w:p>
    <w:p w:rsidR="006719DF" w:rsidRPr="00E761F9" w:rsidRDefault="006719DF" w:rsidP="006719DF">
      <w:r w:rsidRPr="004057C7">
        <w:t xml:space="preserve">The timing of </w:t>
      </w:r>
      <w:r>
        <w:t>publishing</w:t>
      </w:r>
      <w:r w:rsidRPr="004057C7">
        <w:t xml:space="preserve"> </w:t>
      </w:r>
      <w:r>
        <w:t>transmission</w:t>
      </w:r>
      <w:r w:rsidRPr="004057C7">
        <w:t xml:space="preserve"> prices </w:t>
      </w:r>
      <w:r>
        <w:t>affects</w:t>
      </w:r>
      <w:r w:rsidRPr="004057C7">
        <w:t xml:space="preserve"> how late an averaging period can end and still </w:t>
      </w:r>
      <w:proofErr w:type="gramStart"/>
      <w:r w:rsidRPr="004057C7">
        <w:t>be</w:t>
      </w:r>
      <w:proofErr w:type="gramEnd"/>
      <w:r w:rsidRPr="004057C7">
        <w:t xml:space="preserve"> implemented in practice.</w:t>
      </w:r>
      <w:r>
        <w:t xml:space="preserve"> In order to implement the </w:t>
      </w:r>
      <w:r w:rsidRPr="00E761F9">
        <w:t xml:space="preserve">process outlined in </w:t>
      </w:r>
      <w:r>
        <w:fldChar w:fldCharType="begin"/>
      </w:r>
      <w:r>
        <w:instrText xml:space="preserve"> REF _Ref417964671 \h </w:instrText>
      </w:r>
      <w:r>
        <w:fldChar w:fldCharType="separate"/>
      </w:r>
      <w:r w:rsidR="003F1AAB">
        <w:t xml:space="preserve">Table </w:t>
      </w:r>
      <w:r w:rsidR="003F1AAB">
        <w:rPr>
          <w:noProof/>
        </w:rPr>
        <w:t>3</w:t>
      </w:r>
      <w:r w:rsidR="003F1AAB">
        <w:noBreakHyphen/>
      </w:r>
      <w:r w:rsidR="003F1AAB">
        <w:rPr>
          <w:noProof/>
        </w:rPr>
        <w:t>16</w:t>
      </w:r>
      <w:r>
        <w:fldChar w:fldCharType="end"/>
      </w:r>
      <w:r w:rsidRPr="00E761F9">
        <w:t xml:space="preserve">, we consider an averaging period for estimating </w:t>
      </w:r>
      <w:r>
        <w:t>AusNet Services' allowed</w:t>
      </w:r>
      <w:r w:rsidRPr="00E761F9">
        <w:t xml:space="preserve"> return on debt for regulatory year t should fall within the following timeframe:</w:t>
      </w:r>
    </w:p>
    <w:p w:rsidR="006719DF" w:rsidRPr="00E761F9" w:rsidRDefault="006719DF" w:rsidP="006719DF">
      <w:pPr>
        <w:pStyle w:val="AERbulletlistfirststyle"/>
      </w:pPr>
      <w:r w:rsidRPr="00E761F9">
        <w:t xml:space="preserve">end no later than </w:t>
      </w:r>
      <w:r w:rsidR="00AB74A2">
        <w:t>15</w:t>
      </w:r>
      <w:r w:rsidRPr="00E761F9">
        <w:t xml:space="preserve"> business days before </w:t>
      </w:r>
      <w:r>
        <w:t xml:space="preserve">the </w:t>
      </w:r>
      <w:r w:rsidRPr="00AC72AE">
        <w:t>6th business day of February</w:t>
      </w:r>
      <w:r>
        <w:t xml:space="preserve"> in regulatory year t-1</w:t>
      </w:r>
    </w:p>
    <w:p w:rsidR="006719DF" w:rsidRPr="00E761F9" w:rsidRDefault="006719DF" w:rsidP="006719DF">
      <w:pPr>
        <w:pStyle w:val="AERbulletlistfirststyle"/>
      </w:pPr>
      <w:proofErr w:type="gramStart"/>
      <w:r w:rsidRPr="00E761F9">
        <w:t>commence</w:t>
      </w:r>
      <w:proofErr w:type="gramEnd"/>
      <w:r w:rsidRPr="00E761F9">
        <w:t xml:space="preserve"> no earlier than 12 months plus </w:t>
      </w:r>
      <w:r w:rsidR="00AB74A2">
        <w:t>15</w:t>
      </w:r>
      <w:r w:rsidRPr="00E761F9">
        <w:t xml:space="preserve"> business days before </w:t>
      </w:r>
      <w:r w:rsidRPr="00AC72AE">
        <w:t xml:space="preserve">the 6th business day of February </w:t>
      </w:r>
      <w:r>
        <w:t>in regulatory year t-1</w:t>
      </w:r>
      <w:r w:rsidRPr="00E761F9">
        <w:t>.</w:t>
      </w:r>
      <w:r w:rsidRPr="00E761F9">
        <w:rPr>
          <w:rStyle w:val="FootnoteReference"/>
        </w:rPr>
        <w:footnoteReference w:id="504"/>
      </w:r>
    </w:p>
    <w:p w:rsidR="006719DF" w:rsidRDefault="006719DF" w:rsidP="006719DF">
      <w:pPr>
        <w:numPr>
          <w:ilvl w:val="0"/>
          <w:numId w:val="25"/>
        </w:numPr>
      </w:pPr>
      <w:r>
        <w:t xml:space="preserve">We assess AusNet's return on debt averaging periods against these criteria and other criteria in the 'averaging periods' section of 3.4.2 and in Appendix K. </w:t>
      </w:r>
    </w:p>
    <w:p w:rsidR="006719DF" w:rsidRDefault="006719DF" w:rsidP="006719DF">
      <w:pPr>
        <w:numPr>
          <w:ilvl w:val="0"/>
          <w:numId w:val="25"/>
        </w:numPr>
      </w:pPr>
      <w:r>
        <w:t>W</w:t>
      </w:r>
      <w:r w:rsidRPr="00E761F9">
        <w:t xml:space="preserve">e are open to </w:t>
      </w:r>
      <w:r>
        <w:t>service providers</w:t>
      </w:r>
      <w:r w:rsidRPr="00E761F9">
        <w:t xml:space="preserve"> </w:t>
      </w:r>
      <w:r>
        <w:t>requesting</w:t>
      </w:r>
      <w:r w:rsidRPr="00E761F9">
        <w:t xml:space="preserve"> a </w:t>
      </w:r>
      <w:r>
        <w:t xml:space="preserve">different notification date than that outlined in step 2 of </w:t>
      </w:r>
      <w:r>
        <w:fldChar w:fldCharType="begin"/>
      </w:r>
      <w:r>
        <w:instrText xml:space="preserve"> REF _Ref417964671 \h </w:instrText>
      </w:r>
      <w:r>
        <w:fldChar w:fldCharType="separate"/>
      </w:r>
      <w:r w:rsidR="003F1AAB">
        <w:t xml:space="preserve">Table </w:t>
      </w:r>
      <w:r w:rsidR="003F1AAB">
        <w:rPr>
          <w:noProof/>
        </w:rPr>
        <w:t>3</w:t>
      </w:r>
      <w:r w:rsidR="003F1AAB">
        <w:noBreakHyphen/>
      </w:r>
      <w:r w:rsidR="003F1AAB">
        <w:rPr>
          <w:noProof/>
        </w:rPr>
        <w:t>16</w:t>
      </w:r>
      <w:r>
        <w:fldChar w:fldCharType="end"/>
      </w:r>
      <w:r>
        <w:t xml:space="preserve"> if it better </w:t>
      </w:r>
      <w:r w:rsidRPr="00E761F9">
        <w:t>accommodate</w:t>
      </w:r>
      <w:r>
        <w:t>s</w:t>
      </w:r>
      <w:r w:rsidRPr="00E761F9">
        <w:t xml:space="preserve"> their internal processes. We note that a longer (or shorter) time period would move back (or forward) the </w:t>
      </w:r>
      <w:r>
        <w:t>timeframe in which an averaging period should fall</w:t>
      </w:r>
      <w:r w:rsidRPr="00E761F9">
        <w:t xml:space="preserve">. </w:t>
      </w:r>
    </w:p>
    <w:p w:rsidR="006719DF" w:rsidRPr="00E761F9" w:rsidRDefault="006719DF" w:rsidP="006719DF">
      <w:pPr>
        <w:numPr>
          <w:ilvl w:val="0"/>
          <w:numId w:val="25"/>
        </w:numPr>
      </w:pPr>
      <w:r w:rsidRPr="00E761F9">
        <w:t xml:space="preserve">The process outlined in </w:t>
      </w:r>
      <w:r>
        <w:fldChar w:fldCharType="begin"/>
      </w:r>
      <w:r>
        <w:instrText xml:space="preserve"> REF _Ref417964671 \h </w:instrText>
      </w:r>
      <w:r>
        <w:fldChar w:fldCharType="separate"/>
      </w:r>
      <w:r w:rsidR="003F1AAB">
        <w:t xml:space="preserve">Table </w:t>
      </w:r>
      <w:r w:rsidR="003F1AAB">
        <w:rPr>
          <w:noProof/>
        </w:rPr>
        <w:t>3</w:t>
      </w:r>
      <w:r w:rsidR="003F1AAB">
        <w:noBreakHyphen/>
      </w:r>
      <w:r w:rsidR="003F1AAB">
        <w:rPr>
          <w:noProof/>
        </w:rPr>
        <w:t>16</w:t>
      </w:r>
      <w:r>
        <w:fldChar w:fldCharType="end"/>
      </w:r>
      <w:r>
        <w:t xml:space="preserve"> and the remainder of this section </w:t>
      </w:r>
      <w:r w:rsidRPr="00E761F9">
        <w:t xml:space="preserve">does not apply to the first regulatory year in the regulatory control period. This is because the </w:t>
      </w:r>
      <w:r>
        <w:t>transmission</w:t>
      </w:r>
      <w:r w:rsidRPr="00E761F9">
        <w:t xml:space="preserve"> determination will include the X factor for the first year, which will already incorporate the first year return on debt. Therefore, this process will generally apply to the subsequent years of a regulatory control period.</w:t>
      </w:r>
    </w:p>
    <w:p w:rsidR="002F6FA6" w:rsidRDefault="002F6FA6" w:rsidP="002F6FA6">
      <w:pPr>
        <w:pStyle w:val="Heading3"/>
      </w:pPr>
      <w:bookmarkStart w:id="93" w:name="_Ref451351248"/>
      <w:bookmarkStart w:id="94" w:name="_Toc451938958"/>
      <w:bookmarkStart w:id="95" w:name="_Toc456686706"/>
      <w:r>
        <w:t>Gearing</w:t>
      </w:r>
      <w:bookmarkEnd w:id="93"/>
      <w:bookmarkEnd w:id="94"/>
      <w:r w:rsidR="000055D3">
        <w:t xml:space="preserve"> ratio</w:t>
      </w:r>
      <w:bookmarkEnd w:id="95"/>
    </w:p>
    <w:p w:rsidR="00972CF8" w:rsidRPr="00E96F55" w:rsidRDefault="00972CF8" w:rsidP="00972CF8">
      <w:pPr>
        <w:numPr>
          <w:ilvl w:val="0"/>
          <w:numId w:val="25"/>
        </w:numPr>
      </w:pPr>
      <w:r w:rsidRPr="00E96F55">
        <w:t xml:space="preserve">Our decision is to adopt a 60 per cent gearing ratio. </w:t>
      </w:r>
      <w:r>
        <w:t xml:space="preserve">This is consistent with </w:t>
      </w:r>
      <w:r w:rsidRPr="00E96F55">
        <w:t xml:space="preserve">the Guideline and </w:t>
      </w:r>
      <w:r>
        <w:t>AusNet Services’ regulatory proposal</w:t>
      </w:r>
      <w:r w:rsidRPr="00E96F55">
        <w:t>.</w:t>
      </w:r>
      <w:r>
        <w:rPr>
          <w:rStyle w:val="FootnoteReference"/>
        </w:rPr>
        <w:footnoteReference w:id="505"/>
      </w:r>
    </w:p>
    <w:p w:rsidR="00972CF8" w:rsidRPr="00E96F55" w:rsidRDefault="00972CF8" w:rsidP="00972CF8">
      <w:pPr>
        <w:numPr>
          <w:ilvl w:val="0"/>
          <w:numId w:val="25"/>
        </w:numPr>
      </w:pPr>
      <w:r w:rsidRPr="00E96F55">
        <w:t>Overall, 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972CF8" w:rsidRPr="00E96F55" w:rsidRDefault="00972CF8" w:rsidP="00972CF8">
      <w:pPr>
        <w:numPr>
          <w:ilvl w:val="0"/>
          <w:numId w:val="25"/>
        </w:numPr>
      </w:pPr>
      <w:r w:rsidRPr="00E96F55">
        <w:t>Gearing is defined as the ratio of the value of debt to total capital (that is, debt and equity). There are benefits in using debt to fund investment. Debt is usually cheaper than equity and the use of debt also has tax advantages because borrowing costs are tax deductible. However, increased use of debt also increases the possibility that a business will experience financial distress, and in the worst case, bankruptcy. In theory, the optimal debt to equity ratio is the point at which business value is maximised, where the marginal benefits just offset the marginal cost of debt. While an optimal capital structure theoretically exists, the actual optimal value of debt and equity for any given business is dynamic and dependent on a number of business specific factors. Because of this uncertainty around the theoretically optimal gearing ratio, we primary rely on the average of a sample of firms that are comparable to the benchmark efficient entity. In other words, we assume that the industry is, on average, efficient and therefore use the industry average to guide our regulatory benchmark.</w:t>
      </w:r>
    </w:p>
    <w:p w:rsidR="00972CF8" w:rsidRPr="00E96F55" w:rsidRDefault="00972CF8" w:rsidP="00972CF8">
      <w:pPr>
        <w:numPr>
          <w:ilvl w:val="0"/>
          <w:numId w:val="25"/>
        </w:numPr>
      </w:pPr>
      <w:r w:rsidRPr="00E96F55">
        <w:t>We consider that the empirical evidence supports a gearing of 60 per cent. Average gearing levels from the 2009 WACC review are presented in the following table, as are the Bloomberg market valuations using more recent data and Standard and Poor's book valuations. We observe that the average level of gearing across the four different approaches has a range of 59 to 66 per cent. Accordingly, we propose to maintain the currently adopted benchmark efficient level of gearing of 60 per cent.</w:t>
      </w:r>
    </w:p>
    <w:p w:rsidR="00972CF8" w:rsidRPr="00E96F55" w:rsidRDefault="00972CF8" w:rsidP="00972CF8">
      <w:pPr>
        <w:pStyle w:val="Caption"/>
      </w:pPr>
      <w:r w:rsidRPr="00E96F55">
        <w:t xml:space="preserve">Table </w:t>
      </w:r>
      <w:fldSimple w:instr=" STYLEREF 1 \s ">
        <w:r w:rsidR="003F1AAB">
          <w:rPr>
            <w:noProof/>
          </w:rPr>
          <w:t>3</w:t>
        </w:r>
      </w:fldSimple>
      <w:r>
        <w:noBreakHyphen/>
      </w:r>
      <w:fldSimple w:instr=" SEQ Table \* ARABIC \s 1 ">
        <w:r w:rsidR="003F1AAB">
          <w:rPr>
            <w:noProof/>
          </w:rPr>
          <w:t>17</w:t>
        </w:r>
      </w:fldSimple>
      <w:r w:rsidRPr="00E96F55">
        <w:tab/>
        <w:t>Averaging gearing ratio—Comparator set of firms</w:t>
      </w:r>
    </w:p>
    <w:tbl>
      <w:tblPr>
        <w:tblStyle w:val="AERtable-text0"/>
        <w:tblW w:w="0" w:type="auto"/>
        <w:tblLayout w:type="fixed"/>
        <w:tblLook w:val="01E0" w:firstRow="1" w:lastRow="1" w:firstColumn="1" w:lastColumn="1" w:noHBand="0" w:noVBand="0"/>
      </w:tblPr>
      <w:tblGrid>
        <w:gridCol w:w="1812"/>
        <w:gridCol w:w="1812"/>
        <w:gridCol w:w="1813"/>
        <w:gridCol w:w="1812"/>
        <w:gridCol w:w="1813"/>
      </w:tblGrid>
      <w:tr w:rsidR="00972CF8" w:rsidRPr="00E94496" w:rsidTr="00E42A91">
        <w:trPr>
          <w:cnfStyle w:val="100000000000" w:firstRow="1" w:lastRow="0" w:firstColumn="0" w:lastColumn="0" w:oddVBand="0" w:evenVBand="0" w:oddHBand="0" w:evenHBand="0" w:firstRowFirstColumn="0" w:firstRowLastColumn="0" w:lastRowFirstColumn="0" w:lastRowLastColumn="0"/>
          <w:trHeight w:val="255"/>
        </w:trPr>
        <w:tc>
          <w:tcPr>
            <w:tcW w:w="1812" w:type="dxa"/>
            <w:noWrap/>
          </w:tcPr>
          <w:p w:rsidR="00972CF8" w:rsidRPr="00E96F55" w:rsidRDefault="00972CF8" w:rsidP="00972CF8">
            <w:r w:rsidRPr="00E96F55">
              <w:t>Year</w:t>
            </w:r>
          </w:p>
        </w:tc>
        <w:tc>
          <w:tcPr>
            <w:tcW w:w="1812" w:type="dxa"/>
            <w:noWrap/>
          </w:tcPr>
          <w:p w:rsidR="00972CF8" w:rsidRPr="00E96F55" w:rsidRDefault="00972CF8" w:rsidP="00972CF8">
            <w:r w:rsidRPr="00E96F55">
              <w:t xml:space="preserve">2009 WACC review </w:t>
            </w:r>
          </w:p>
          <w:p w:rsidR="00972CF8" w:rsidRPr="00972CF8" w:rsidRDefault="00972CF8" w:rsidP="00972CF8">
            <w:r w:rsidRPr="00E96F55">
              <w:t>2002–2007</w:t>
            </w:r>
            <w:r w:rsidRPr="00972CF8">
              <w:rPr>
                <w:rStyle w:val="AERsuperscript"/>
              </w:rPr>
              <w:t>a</w:t>
            </w:r>
            <w:r w:rsidRPr="00972CF8">
              <w:t xml:space="preserve"> </w:t>
            </w:r>
          </w:p>
        </w:tc>
        <w:tc>
          <w:tcPr>
            <w:tcW w:w="1813" w:type="dxa"/>
            <w:noWrap/>
          </w:tcPr>
          <w:p w:rsidR="00972CF8" w:rsidRPr="00E96F55" w:rsidRDefault="00972CF8" w:rsidP="00972CF8">
            <w:r w:rsidRPr="00E96F55">
              <w:t>Bloomberg    (market value)</w:t>
            </w:r>
          </w:p>
          <w:p w:rsidR="00972CF8" w:rsidRPr="00972CF8" w:rsidRDefault="00972CF8" w:rsidP="00972CF8">
            <w:r w:rsidRPr="00E96F55">
              <w:t>2002–2012            (full sample)</w:t>
            </w:r>
            <w:r w:rsidRPr="00972CF8">
              <w:rPr>
                <w:rStyle w:val="AERsuperscript"/>
              </w:rPr>
              <w:t>b</w:t>
            </w:r>
          </w:p>
        </w:tc>
        <w:tc>
          <w:tcPr>
            <w:tcW w:w="1812" w:type="dxa"/>
          </w:tcPr>
          <w:p w:rsidR="00972CF8" w:rsidRPr="00E96F55" w:rsidRDefault="00972CF8" w:rsidP="00972CF8">
            <w:r w:rsidRPr="00E96F55">
              <w:t>Bloomberg    (market value)</w:t>
            </w:r>
          </w:p>
          <w:p w:rsidR="00972CF8" w:rsidRPr="00972CF8" w:rsidRDefault="00972CF8" w:rsidP="00972CF8">
            <w:r w:rsidRPr="00E96F55">
              <w:t>2002–2012     (refined sample)</w:t>
            </w:r>
            <w:r w:rsidRPr="00972CF8">
              <w:rPr>
                <w:rStyle w:val="AERsuperscript"/>
              </w:rPr>
              <w:t>c</w:t>
            </w:r>
          </w:p>
        </w:tc>
        <w:tc>
          <w:tcPr>
            <w:tcW w:w="1813" w:type="dxa"/>
          </w:tcPr>
          <w:p w:rsidR="00972CF8" w:rsidRPr="00E96F55" w:rsidRDefault="00972CF8" w:rsidP="00972CF8">
            <w:r w:rsidRPr="00E96F55">
              <w:t>Standard and Poor's (book value)</w:t>
            </w:r>
          </w:p>
          <w:p w:rsidR="00972CF8" w:rsidRPr="00972CF8" w:rsidRDefault="00972CF8" w:rsidP="00972CF8">
            <w:r w:rsidRPr="00E96F55">
              <w:t>2008–2012</w:t>
            </w:r>
            <w:r w:rsidRPr="00972CF8">
              <w:rPr>
                <w:rStyle w:val="AERsuperscript"/>
              </w:rPr>
              <w:t>d</w:t>
            </w:r>
          </w:p>
        </w:tc>
      </w:tr>
      <w:tr w:rsidR="00972CF8" w:rsidRPr="00E94496" w:rsidTr="00E42A91">
        <w:trPr>
          <w:trHeight w:val="255"/>
        </w:trPr>
        <w:tc>
          <w:tcPr>
            <w:tcW w:w="1812" w:type="dxa"/>
            <w:noWrap/>
          </w:tcPr>
          <w:p w:rsidR="00972CF8" w:rsidRPr="00E96F55" w:rsidRDefault="00972CF8" w:rsidP="00972CF8">
            <w:r w:rsidRPr="00E96F55">
              <w:t>2002</w:t>
            </w:r>
          </w:p>
        </w:tc>
        <w:tc>
          <w:tcPr>
            <w:tcW w:w="1812" w:type="dxa"/>
            <w:noWrap/>
          </w:tcPr>
          <w:p w:rsidR="00972CF8" w:rsidRPr="00E96F55" w:rsidRDefault="00972CF8" w:rsidP="00972CF8">
            <w:r w:rsidRPr="00E96F55">
              <w:t>65.1</w:t>
            </w:r>
          </w:p>
        </w:tc>
        <w:tc>
          <w:tcPr>
            <w:tcW w:w="1813" w:type="dxa"/>
            <w:noWrap/>
          </w:tcPr>
          <w:p w:rsidR="00972CF8" w:rsidRPr="00E96F55" w:rsidRDefault="00972CF8" w:rsidP="00972CF8">
            <w:r w:rsidRPr="00E96F55">
              <w:t>54.5</w:t>
            </w:r>
          </w:p>
        </w:tc>
        <w:tc>
          <w:tcPr>
            <w:tcW w:w="1812" w:type="dxa"/>
          </w:tcPr>
          <w:p w:rsidR="00972CF8" w:rsidRPr="00E96F55" w:rsidRDefault="00972CF8" w:rsidP="00972CF8">
            <w:r w:rsidRPr="00E96F55">
              <w:t>65.8</w:t>
            </w:r>
          </w:p>
        </w:tc>
        <w:tc>
          <w:tcPr>
            <w:tcW w:w="1813" w:type="dxa"/>
          </w:tcPr>
          <w:p w:rsidR="00972CF8" w:rsidRPr="00E96F55" w:rsidRDefault="00972CF8" w:rsidP="00972CF8">
            <w:r w:rsidRPr="00E96F55">
              <w:t>N/A</w:t>
            </w:r>
          </w:p>
        </w:tc>
      </w:tr>
      <w:tr w:rsidR="00972CF8" w:rsidRPr="00E94496" w:rsidTr="00E42A91">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72CF8" w:rsidRPr="00E96F55" w:rsidRDefault="00972CF8" w:rsidP="00972CF8">
            <w:r w:rsidRPr="00E96F55">
              <w:t>2003</w:t>
            </w:r>
          </w:p>
        </w:tc>
        <w:tc>
          <w:tcPr>
            <w:tcW w:w="1812" w:type="dxa"/>
            <w:noWrap/>
          </w:tcPr>
          <w:p w:rsidR="00972CF8" w:rsidRPr="00E96F55" w:rsidRDefault="00972CF8" w:rsidP="00972CF8">
            <w:r w:rsidRPr="00E96F55">
              <w:t>64.8</w:t>
            </w:r>
          </w:p>
        </w:tc>
        <w:tc>
          <w:tcPr>
            <w:tcW w:w="1813" w:type="dxa"/>
            <w:noWrap/>
          </w:tcPr>
          <w:p w:rsidR="00972CF8" w:rsidRPr="00E96F55" w:rsidRDefault="00972CF8" w:rsidP="00972CF8">
            <w:r w:rsidRPr="00E96F55">
              <w:t>51.8</w:t>
            </w:r>
          </w:p>
        </w:tc>
        <w:tc>
          <w:tcPr>
            <w:tcW w:w="1812" w:type="dxa"/>
          </w:tcPr>
          <w:p w:rsidR="00972CF8" w:rsidRPr="00E96F55" w:rsidRDefault="00972CF8" w:rsidP="00972CF8">
            <w:r w:rsidRPr="00E96F55">
              <w:t>60.5</w:t>
            </w:r>
          </w:p>
        </w:tc>
        <w:tc>
          <w:tcPr>
            <w:tcW w:w="1813" w:type="dxa"/>
          </w:tcPr>
          <w:p w:rsidR="00972CF8" w:rsidRPr="00E96F55" w:rsidRDefault="00972CF8" w:rsidP="00972CF8">
            <w:r w:rsidRPr="00E96F55">
              <w:t>N/A</w:t>
            </w:r>
          </w:p>
        </w:tc>
      </w:tr>
      <w:tr w:rsidR="00972CF8" w:rsidRPr="00E94496" w:rsidTr="00E42A91">
        <w:trPr>
          <w:trHeight w:val="255"/>
        </w:trPr>
        <w:tc>
          <w:tcPr>
            <w:tcW w:w="1812" w:type="dxa"/>
            <w:noWrap/>
          </w:tcPr>
          <w:p w:rsidR="00972CF8" w:rsidRPr="00E96F55" w:rsidRDefault="00972CF8" w:rsidP="00972CF8">
            <w:r w:rsidRPr="00E96F55">
              <w:t>2004</w:t>
            </w:r>
          </w:p>
        </w:tc>
        <w:tc>
          <w:tcPr>
            <w:tcW w:w="1812" w:type="dxa"/>
            <w:noWrap/>
          </w:tcPr>
          <w:p w:rsidR="00972CF8" w:rsidRPr="00E96F55" w:rsidRDefault="00972CF8" w:rsidP="00972CF8">
            <w:r w:rsidRPr="00E96F55">
              <w:t>61.7</w:t>
            </w:r>
          </w:p>
        </w:tc>
        <w:tc>
          <w:tcPr>
            <w:tcW w:w="1813" w:type="dxa"/>
            <w:noWrap/>
          </w:tcPr>
          <w:p w:rsidR="00972CF8" w:rsidRPr="00E96F55" w:rsidRDefault="00972CF8" w:rsidP="00972CF8">
            <w:r w:rsidRPr="00E96F55">
              <w:t>51.2</w:t>
            </w:r>
          </w:p>
        </w:tc>
        <w:tc>
          <w:tcPr>
            <w:tcW w:w="1812" w:type="dxa"/>
          </w:tcPr>
          <w:p w:rsidR="00972CF8" w:rsidRPr="00E96F55" w:rsidRDefault="00972CF8" w:rsidP="00972CF8">
            <w:r w:rsidRPr="00E96F55">
              <w:t>55.1</w:t>
            </w:r>
          </w:p>
        </w:tc>
        <w:tc>
          <w:tcPr>
            <w:tcW w:w="1813" w:type="dxa"/>
          </w:tcPr>
          <w:p w:rsidR="00972CF8" w:rsidRPr="00E96F55" w:rsidRDefault="00972CF8" w:rsidP="00972CF8">
            <w:r w:rsidRPr="00E96F55">
              <w:t>N/A</w:t>
            </w:r>
          </w:p>
        </w:tc>
      </w:tr>
      <w:tr w:rsidR="00972CF8" w:rsidRPr="00E94496" w:rsidTr="00E42A91">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72CF8" w:rsidRPr="00E96F55" w:rsidRDefault="00972CF8" w:rsidP="00972CF8">
            <w:r w:rsidRPr="00E96F55">
              <w:t>2005</w:t>
            </w:r>
          </w:p>
        </w:tc>
        <w:tc>
          <w:tcPr>
            <w:tcW w:w="1812" w:type="dxa"/>
            <w:noWrap/>
          </w:tcPr>
          <w:p w:rsidR="00972CF8" w:rsidRPr="00E96F55" w:rsidRDefault="00972CF8" w:rsidP="00972CF8">
            <w:r w:rsidRPr="00E96F55">
              <w:t>64.6</w:t>
            </w:r>
          </w:p>
        </w:tc>
        <w:tc>
          <w:tcPr>
            <w:tcW w:w="1813" w:type="dxa"/>
            <w:noWrap/>
          </w:tcPr>
          <w:p w:rsidR="00972CF8" w:rsidRPr="00E96F55" w:rsidRDefault="00972CF8" w:rsidP="00972CF8">
            <w:r w:rsidRPr="00E96F55">
              <w:t>51.2</w:t>
            </w:r>
          </w:p>
        </w:tc>
        <w:tc>
          <w:tcPr>
            <w:tcW w:w="1812" w:type="dxa"/>
          </w:tcPr>
          <w:p w:rsidR="00972CF8" w:rsidRPr="00E96F55" w:rsidRDefault="00972CF8" w:rsidP="00972CF8">
            <w:r w:rsidRPr="00E96F55">
              <w:t>62.6</w:t>
            </w:r>
          </w:p>
        </w:tc>
        <w:tc>
          <w:tcPr>
            <w:tcW w:w="1813" w:type="dxa"/>
          </w:tcPr>
          <w:p w:rsidR="00972CF8" w:rsidRPr="00E96F55" w:rsidRDefault="00972CF8" w:rsidP="00972CF8">
            <w:r w:rsidRPr="00E96F55">
              <w:t>N/A</w:t>
            </w:r>
          </w:p>
        </w:tc>
      </w:tr>
      <w:tr w:rsidR="00972CF8" w:rsidRPr="00E94496" w:rsidTr="00E42A91">
        <w:trPr>
          <w:trHeight w:val="255"/>
        </w:trPr>
        <w:tc>
          <w:tcPr>
            <w:tcW w:w="1812" w:type="dxa"/>
            <w:noWrap/>
          </w:tcPr>
          <w:p w:rsidR="00972CF8" w:rsidRPr="00E96F55" w:rsidRDefault="00972CF8" w:rsidP="00972CF8">
            <w:r w:rsidRPr="00E96F55">
              <w:t>2006</w:t>
            </w:r>
          </w:p>
        </w:tc>
        <w:tc>
          <w:tcPr>
            <w:tcW w:w="1812" w:type="dxa"/>
            <w:noWrap/>
          </w:tcPr>
          <w:p w:rsidR="00972CF8" w:rsidRPr="00E96F55" w:rsidRDefault="00972CF8" w:rsidP="00972CF8">
            <w:r w:rsidRPr="00E96F55">
              <w:t>63.0</w:t>
            </w:r>
          </w:p>
        </w:tc>
        <w:tc>
          <w:tcPr>
            <w:tcW w:w="1813" w:type="dxa"/>
            <w:noWrap/>
          </w:tcPr>
          <w:p w:rsidR="00972CF8" w:rsidRPr="00E96F55" w:rsidRDefault="00972CF8" w:rsidP="00972CF8">
            <w:r w:rsidRPr="00E96F55">
              <w:t>56.6</w:t>
            </w:r>
          </w:p>
        </w:tc>
        <w:tc>
          <w:tcPr>
            <w:tcW w:w="1812" w:type="dxa"/>
          </w:tcPr>
          <w:p w:rsidR="00972CF8" w:rsidRPr="00E96F55" w:rsidRDefault="00972CF8" w:rsidP="00972CF8">
            <w:r w:rsidRPr="00E96F55">
              <w:t>61.9</w:t>
            </w:r>
          </w:p>
        </w:tc>
        <w:tc>
          <w:tcPr>
            <w:tcW w:w="1813" w:type="dxa"/>
          </w:tcPr>
          <w:p w:rsidR="00972CF8" w:rsidRPr="00E96F55" w:rsidRDefault="00972CF8" w:rsidP="00972CF8">
            <w:r w:rsidRPr="00E96F55">
              <w:t>N/A</w:t>
            </w:r>
          </w:p>
        </w:tc>
      </w:tr>
      <w:tr w:rsidR="00972CF8" w:rsidRPr="00E94496" w:rsidTr="00E42A91">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72CF8" w:rsidRPr="00E96F55" w:rsidRDefault="00972CF8" w:rsidP="00972CF8">
            <w:r w:rsidRPr="00E96F55">
              <w:t>2007</w:t>
            </w:r>
          </w:p>
        </w:tc>
        <w:tc>
          <w:tcPr>
            <w:tcW w:w="1812" w:type="dxa"/>
            <w:noWrap/>
          </w:tcPr>
          <w:p w:rsidR="00972CF8" w:rsidRPr="00E96F55" w:rsidRDefault="00972CF8" w:rsidP="00972CF8">
            <w:r w:rsidRPr="00E96F55">
              <w:t>60.5</w:t>
            </w:r>
          </w:p>
        </w:tc>
        <w:tc>
          <w:tcPr>
            <w:tcW w:w="1813" w:type="dxa"/>
            <w:noWrap/>
          </w:tcPr>
          <w:p w:rsidR="00972CF8" w:rsidRPr="00E96F55" w:rsidRDefault="00972CF8" w:rsidP="00972CF8">
            <w:r w:rsidRPr="00E96F55">
              <w:t>57.6</w:t>
            </w:r>
          </w:p>
        </w:tc>
        <w:tc>
          <w:tcPr>
            <w:tcW w:w="1812" w:type="dxa"/>
          </w:tcPr>
          <w:p w:rsidR="00972CF8" w:rsidRPr="00E96F55" w:rsidRDefault="00972CF8" w:rsidP="00972CF8">
            <w:r w:rsidRPr="00E96F55">
              <w:t>57.6</w:t>
            </w:r>
          </w:p>
        </w:tc>
        <w:tc>
          <w:tcPr>
            <w:tcW w:w="1813" w:type="dxa"/>
          </w:tcPr>
          <w:p w:rsidR="00972CF8" w:rsidRPr="00E96F55" w:rsidRDefault="00972CF8" w:rsidP="00972CF8">
            <w:r w:rsidRPr="00E96F55">
              <w:t>N/A</w:t>
            </w:r>
          </w:p>
        </w:tc>
      </w:tr>
      <w:tr w:rsidR="00972CF8" w:rsidRPr="00E94496" w:rsidTr="00E42A91">
        <w:trPr>
          <w:trHeight w:val="255"/>
        </w:trPr>
        <w:tc>
          <w:tcPr>
            <w:tcW w:w="1812" w:type="dxa"/>
            <w:noWrap/>
          </w:tcPr>
          <w:p w:rsidR="00972CF8" w:rsidRPr="00E96F55" w:rsidRDefault="00972CF8" w:rsidP="00972CF8">
            <w:r w:rsidRPr="00E96F55">
              <w:t>2008</w:t>
            </w:r>
          </w:p>
        </w:tc>
        <w:tc>
          <w:tcPr>
            <w:tcW w:w="1812" w:type="dxa"/>
            <w:noWrap/>
          </w:tcPr>
          <w:p w:rsidR="00972CF8" w:rsidRPr="00E96F55" w:rsidRDefault="00972CF8" w:rsidP="00972CF8">
            <w:r w:rsidRPr="00E96F55">
              <w:t>N/A</w:t>
            </w:r>
          </w:p>
        </w:tc>
        <w:tc>
          <w:tcPr>
            <w:tcW w:w="1813" w:type="dxa"/>
            <w:noWrap/>
          </w:tcPr>
          <w:p w:rsidR="00972CF8" w:rsidRPr="00E96F55" w:rsidRDefault="00972CF8" w:rsidP="00972CF8">
            <w:r w:rsidRPr="00E96F55">
              <w:t>68.3</w:t>
            </w:r>
          </w:p>
        </w:tc>
        <w:tc>
          <w:tcPr>
            <w:tcW w:w="1812" w:type="dxa"/>
          </w:tcPr>
          <w:p w:rsidR="00972CF8" w:rsidRPr="00E96F55" w:rsidRDefault="00972CF8" w:rsidP="00972CF8">
            <w:r w:rsidRPr="00E96F55">
              <w:t>68.3</w:t>
            </w:r>
          </w:p>
        </w:tc>
        <w:tc>
          <w:tcPr>
            <w:tcW w:w="1813" w:type="dxa"/>
          </w:tcPr>
          <w:p w:rsidR="00972CF8" w:rsidRPr="00E96F55" w:rsidRDefault="00972CF8" w:rsidP="00972CF8">
            <w:r w:rsidRPr="00E96F55">
              <w:t>70</w:t>
            </w:r>
          </w:p>
        </w:tc>
      </w:tr>
      <w:tr w:rsidR="00972CF8" w:rsidRPr="00E94496" w:rsidTr="00E42A91">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72CF8" w:rsidRPr="00E96F55" w:rsidRDefault="00972CF8" w:rsidP="00972CF8">
            <w:r w:rsidRPr="00E96F55">
              <w:t>2009</w:t>
            </w:r>
          </w:p>
        </w:tc>
        <w:tc>
          <w:tcPr>
            <w:tcW w:w="1812" w:type="dxa"/>
            <w:noWrap/>
          </w:tcPr>
          <w:p w:rsidR="00972CF8" w:rsidRPr="00E96F55" w:rsidRDefault="00972CF8" w:rsidP="00972CF8">
            <w:r w:rsidRPr="00E96F55">
              <w:t>N/A</w:t>
            </w:r>
          </w:p>
        </w:tc>
        <w:tc>
          <w:tcPr>
            <w:tcW w:w="1813" w:type="dxa"/>
            <w:noWrap/>
          </w:tcPr>
          <w:p w:rsidR="00972CF8" w:rsidRPr="00E96F55" w:rsidRDefault="00972CF8" w:rsidP="00972CF8">
            <w:r w:rsidRPr="00E96F55">
              <w:t>68.8</w:t>
            </w:r>
          </w:p>
        </w:tc>
        <w:tc>
          <w:tcPr>
            <w:tcW w:w="1812" w:type="dxa"/>
          </w:tcPr>
          <w:p w:rsidR="00972CF8" w:rsidRPr="00E96F55" w:rsidRDefault="00972CF8" w:rsidP="00972CF8">
            <w:r w:rsidRPr="00E96F55">
              <w:t>68.8</w:t>
            </w:r>
          </w:p>
        </w:tc>
        <w:tc>
          <w:tcPr>
            <w:tcW w:w="1813" w:type="dxa"/>
          </w:tcPr>
          <w:p w:rsidR="00972CF8" w:rsidRPr="00E96F55" w:rsidRDefault="00972CF8" w:rsidP="00972CF8">
            <w:r w:rsidRPr="00E96F55">
              <w:t>69</w:t>
            </w:r>
          </w:p>
        </w:tc>
      </w:tr>
      <w:tr w:rsidR="00972CF8" w:rsidRPr="00E94496" w:rsidTr="00E42A91">
        <w:trPr>
          <w:trHeight w:val="255"/>
        </w:trPr>
        <w:tc>
          <w:tcPr>
            <w:tcW w:w="1812" w:type="dxa"/>
            <w:noWrap/>
          </w:tcPr>
          <w:p w:rsidR="00972CF8" w:rsidRPr="00E96F55" w:rsidRDefault="00972CF8" w:rsidP="00972CF8">
            <w:r w:rsidRPr="00E96F55">
              <w:t>2010</w:t>
            </w:r>
          </w:p>
        </w:tc>
        <w:tc>
          <w:tcPr>
            <w:tcW w:w="1812" w:type="dxa"/>
            <w:noWrap/>
          </w:tcPr>
          <w:p w:rsidR="00972CF8" w:rsidRPr="00E96F55" w:rsidRDefault="00972CF8" w:rsidP="00972CF8">
            <w:r w:rsidRPr="00E96F55">
              <w:t>N/A</w:t>
            </w:r>
          </w:p>
        </w:tc>
        <w:tc>
          <w:tcPr>
            <w:tcW w:w="1813" w:type="dxa"/>
            <w:noWrap/>
          </w:tcPr>
          <w:p w:rsidR="00972CF8" w:rsidRPr="00E96F55" w:rsidRDefault="00972CF8" w:rsidP="00972CF8">
            <w:r w:rsidRPr="00E96F55">
              <w:t>65.5</w:t>
            </w:r>
          </w:p>
        </w:tc>
        <w:tc>
          <w:tcPr>
            <w:tcW w:w="1812" w:type="dxa"/>
          </w:tcPr>
          <w:p w:rsidR="00972CF8" w:rsidRPr="00E96F55" w:rsidRDefault="00972CF8" w:rsidP="00972CF8">
            <w:r w:rsidRPr="00E96F55">
              <w:t>65.5</w:t>
            </w:r>
          </w:p>
        </w:tc>
        <w:tc>
          <w:tcPr>
            <w:tcW w:w="1813" w:type="dxa"/>
          </w:tcPr>
          <w:p w:rsidR="00972CF8" w:rsidRPr="00E96F55" w:rsidRDefault="00972CF8" w:rsidP="00972CF8">
            <w:r w:rsidRPr="00E96F55">
              <w:t>66</w:t>
            </w:r>
          </w:p>
        </w:tc>
      </w:tr>
      <w:tr w:rsidR="00972CF8" w:rsidRPr="00E94496" w:rsidTr="00E42A91">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72CF8" w:rsidRPr="00E96F55" w:rsidRDefault="00972CF8" w:rsidP="00972CF8">
            <w:r w:rsidRPr="00E96F55">
              <w:t>2011</w:t>
            </w:r>
          </w:p>
        </w:tc>
        <w:tc>
          <w:tcPr>
            <w:tcW w:w="1812" w:type="dxa"/>
            <w:noWrap/>
          </w:tcPr>
          <w:p w:rsidR="00972CF8" w:rsidRPr="00E96F55" w:rsidRDefault="00972CF8" w:rsidP="00972CF8">
            <w:r w:rsidRPr="00E96F55">
              <w:t>N/A</w:t>
            </w:r>
          </w:p>
        </w:tc>
        <w:tc>
          <w:tcPr>
            <w:tcW w:w="1813" w:type="dxa"/>
            <w:noWrap/>
          </w:tcPr>
          <w:p w:rsidR="00972CF8" w:rsidRPr="00E96F55" w:rsidRDefault="00972CF8" w:rsidP="00972CF8">
            <w:r w:rsidRPr="00E96F55">
              <w:t>63.2</w:t>
            </w:r>
          </w:p>
        </w:tc>
        <w:tc>
          <w:tcPr>
            <w:tcW w:w="1812" w:type="dxa"/>
          </w:tcPr>
          <w:p w:rsidR="00972CF8" w:rsidRPr="00E96F55" w:rsidRDefault="00972CF8" w:rsidP="00972CF8">
            <w:r w:rsidRPr="00E96F55">
              <w:t>63.2</w:t>
            </w:r>
          </w:p>
        </w:tc>
        <w:tc>
          <w:tcPr>
            <w:tcW w:w="1813" w:type="dxa"/>
          </w:tcPr>
          <w:p w:rsidR="00972CF8" w:rsidRPr="00E96F55" w:rsidRDefault="00972CF8" w:rsidP="00972CF8">
            <w:r w:rsidRPr="00E96F55">
              <w:t>62</w:t>
            </w:r>
          </w:p>
        </w:tc>
      </w:tr>
      <w:tr w:rsidR="00972CF8" w:rsidRPr="00E94496" w:rsidTr="00E42A91">
        <w:trPr>
          <w:trHeight w:val="255"/>
        </w:trPr>
        <w:tc>
          <w:tcPr>
            <w:tcW w:w="1812" w:type="dxa"/>
            <w:noWrap/>
          </w:tcPr>
          <w:p w:rsidR="00972CF8" w:rsidRPr="00E96F55" w:rsidRDefault="00972CF8" w:rsidP="00972CF8">
            <w:r w:rsidRPr="00E96F55">
              <w:t>2012</w:t>
            </w:r>
          </w:p>
        </w:tc>
        <w:tc>
          <w:tcPr>
            <w:tcW w:w="1812" w:type="dxa"/>
            <w:noWrap/>
          </w:tcPr>
          <w:p w:rsidR="00972CF8" w:rsidRPr="00E96F55" w:rsidRDefault="00972CF8" w:rsidP="00972CF8">
            <w:r w:rsidRPr="00E96F55">
              <w:t>N/A</w:t>
            </w:r>
          </w:p>
        </w:tc>
        <w:tc>
          <w:tcPr>
            <w:tcW w:w="1813" w:type="dxa"/>
            <w:noWrap/>
          </w:tcPr>
          <w:p w:rsidR="00972CF8" w:rsidRPr="00E96F55" w:rsidRDefault="00972CF8" w:rsidP="00972CF8">
            <w:r w:rsidRPr="00E96F55">
              <w:t>60.6</w:t>
            </w:r>
          </w:p>
        </w:tc>
        <w:tc>
          <w:tcPr>
            <w:tcW w:w="1812" w:type="dxa"/>
          </w:tcPr>
          <w:p w:rsidR="00972CF8" w:rsidRPr="00E96F55" w:rsidRDefault="00972CF8" w:rsidP="00972CF8">
            <w:r w:rsidRPr="00E96F55">
              <w:t>60.6</w:t>
            </w:r>
          </w:p>
        </w:tc>
        <w:tc>
          <w:tcPr>
            <w:tcW w:w="1813" w:type="dxa"/>
          </w:tcPr>
          <w:p w:rsidR="00972CF8" w:rsidRPr="00E96F55" w:rsidRDefault="00972CF8" w:rsidP="00972CF8">
            <w:r w:rsidRPr="00E96F55">
              <w:t>65</w:t>
            </w:r>
          </w:p>
        </w:tc>
      </w:tr>
      <w:tr w:rsidR="00972CF8" w:rsidRPr="00E94496" w:rsidTr="00E42A91">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72CF8" w:rsidRPr="00E96F55" w:rsidRDefault="00972CF8" w:rsidP="00972CF8">
            <w:r w:rsidRPr="00E96F55">
              <w:t>Average</w:t>
            </w:r>
          </w:p>
        </w:tc>
        <w:tc>
          <w:tcPr>
            <w:tcW w:w="1812" w:type="dxa"/>
            <w:noWrap/>
          </w:tcPr>
          <w:p w:rsidR="00972CF8" w:rsidRPr="00E96F55" w:rsidRDefault="00972CF8" w:rsidP="00972CF8">
            <w:r w:rsidRPr="00E96F55">
              <w:t>63.3</w:t>
            </w:r>
          </w:p>
        </w:tc>
        <w:tc>
          <w:tcPr>
            <w:tcW w:w="1813" w:type="dxa"/>
            <w:noWrap/>
          </w:tcPr>
          <w:p w:rsidR="00972CF8" w:rsidRPr="00E96F55" w:rsidRDefault="00972CF8" w:rsidP="00972CF8">
            <w:r w:rsidRPr="00E96F55">
              <w:t>59.0</w:t>
            </w:r>
          </w:p>
        </w:tc>
        <w:tc>
          <w:tcPr>
            <w:tcW w:w="1812" w:type="dxa"/>
          </w:tcPr>
          <w:p w:rsidR="00972CF8" w:rsidRPr="00E96F55" w:rsidRDefault="00972CF8" w:rsidP="00972CF8">
            <w:r w:rsidRPr="00E96F55">
              <w:t>63.1</w:t>
            </w:r>
          </w:p>
        </w:tc>
        <w:tc>
          <w:tcPr>
            <w:tcW w:w="1813" w:type="dxa"/>
          </w:tcPr>
          <w:p w:rsidR="00972CF8" w:rsidRPr="00E96F55" w:rsidRDefault="00972CF8" w:rsidP="00972CF8">
            <w:r w:rsidRPr="00E96F55">
              <w:t>66</w:t>
            </w:r>
          </w:p>
        </w:tc>
      </w:tr>
    </w:tbl>
    <w:p w:rsidR="00972CF8" w:rsidRPr="00E96F55" w:rsidRDefault="00972CF8" w:rsidP="00972CF8">
      <w:pPr>
        <w:pStyle w:val="AERtablesource"/>
      </w:pPr>
      <w:r w:rsidRPr="00E96F55">
        <w:t xml:space="preserve">Source: </w:t>
      </w:r>
      <w:r w:rsidRPr="00E96F55">
        <w:tab/>
        <w:t>AER analysis.</w:t>
      </w:r>
    </w:p>
    <w:p w:rsidR="00972CF8" w:rsidRPr="00E96F55" w:rsidRDefault="00972CF8" w:rsidP="00972CF8">
      <w:pPr>
        <w:pStyle w:val="AERtablesource"/>
      </w:pPr>
      <w:r w:rsidRPr="00E96F55">
        <w:t xml:space="preserve">Notes: </w:t>
      </w:r>
      <w:r w:rsidRPr="00E96F55">
        <w:tab/>
        <w:t xml:space="preserve">(a) AER, </w:t>
      </w:r>
      <w:r w:rsidRPr="00E96F55">
        <w:rPr>
          <w:rStyle w:val="AERtextitalic"/>
        </w:rPr>
        <w:t>Final decision: Electricity transmission and distribution network service providers: Review of the weighted average cost of capital (WACC) parameters</w:t>
      </w:r>
      <w:r w:rsidRPr="00E96F55">
        <w:t>, 1 May 2009, p. 124.</w:t>
      </w:r>
    </w:p>
    <w:p w:rsidR="00972CF8" w:rsidRPr="00E96F55" w:rsidRDefault="00972CF8" w:rsidP="00972CF8">
      <w:pPr>
        <w:pStyle w:val="AERtablesource"/>
      </w:pPr>
      <w:r w:rsidRPr="00E96F55">
        <w:tab/>
        <w:t>(b) Analysis including full sample of businesses.</w:t>
      </w:r>
    </w:p>
    <w:p w:rsidR="00972CF8" w:rsidRPr="00E96F55" w:rsidRDefault="00972CF8" w:rsidP="00972CF8">
      <w:pPr>
        <w:pStyle w:val="AERtablesource"/>
      </w:pPr>
      <w:r w:rsidRPr="00E96F55">
        <w:tab/>
        <w:t>(c) AGL, Alinta and GasNet excluded from the analysis.</w:t>
      </w:r>
    </w:p>
    <w:p w:rsidR="00972CF8" w:rsidRPr="00E96F55" w:rsidRDefault="00972CF8" w:rsidP="00972CF8">
      <w:pPr>
        <w:pStyle w:val="AERtablesource"/>
      </w:pPr>
      <w:r w:rsidRPr="00E96F55">
        <w:tab/>
        <w:t xml:space="preserve">(d) ERA, </w:t>
      </w:r>
      <w:r w:rsidRPr="00E96F55">
        <w:rPr>
          <w:rStyle w:val="AERtextitalic"/>
        </w:rPr>
        <w:t>Explanatory statement for the draft rate of return guidelines</w:t>
      </w:r>
      <w:r w:rsidRPr="00E96F55">
        <w:t>, 6 August 2013, p. 49.</w:t>
      </w:r>
    </w:p>
    <w:p w:rsidR="00972CF8" w:rsidRPr="00E96F55" w:rsidRDefault="00972CF8" w:rsidP="00972CF8">
      <w:pPr>
        <w:numPr>
          <w:ilvl w:val="0"/>
          <w:numId w:val="25"/>
        </w:numPr>
      </w:pPr>
      <w:r w:rsidRPr="00E96F55">
        <w:t>The benchmark gearing ratio is used:</w:t>
      </w:r>
    </w:p>
    <w:p w:rsidR="00972CF8" w:rsidRPr="00E96F55" w:rsidRDefault="00972CF8" w:rsidP="00972CF8">
      <w:pPr>
        <w:pStyle w:val="AERbulletlistfirststyle"/>
      </w:pPr>
      <w:r w:rsidRPr="00E96F55">
        <w:t>to weight the expected required return on debt and equity to derive a WACC</w:t>
      </w:r>
    </w:p>
    <w:p w:rsidR="00972CF8" w:rsidRPr="00E96F55" w:rsidRDefault="00972CF8" w:rsidP="00972CF8">
      <w:pPr>
        <w:pStyle w:val="AERbulletlistfirststyle"/>
      </w:pPr>
      <w:r w:rsidRPr="00E96F55">
        <w:t>to re-lever the asset betas for the purposes of comparing the levels of systematic risk across businesses, and</w:t>
      </w:r>
    </w:p>
    <w:p w:rsidR="00972CF8" w:rsidRPr="00972CF8" w:rsidRDefault="00972CF8" w:rsidP="00972CF8">
      <w:pPr>
        <w:pStyle w:val="AERbulletlistfirststyle"/>
      </w:pPr>
      <w:proofErr w:type="gramStart"/>
      <w:r w:rsidRPr="00E96F55">
        <w:t>as</w:t>
      </w:r>
      <w:proofErr w:type="gramEnd"/>
      <w:r w:rsidRPr="00E96F55">
        <w:t xml:space="preserve"> a factor in estimating the benchmark credit rating.</w:t>
      </w:r>
      <w:r w:rsidRPr="00E96F55">
        <w:rPr>
          <w:rStyle w:val="FootnoteReference"/>
        </w:rPr>
        <w:footnoteReference w:id="506"/>
      </w:r>
    </w:p>
    <w:p w:rsidR="002F6FA6" w:rsidRDefault="002F6FA6" w:rsidP="002F6FA6">
      <w:pPr>
        <w:pStyle w:val="Heading3"/>
      </w:pPr>
      <w:bookmarkStart w:id="96" w:name="_Ref451351249"/>
      <w:bookmarkStart w:id="97" w:name="_Toc451938959"/>
      <w:bookmarkStart w:id="98" w:name="_Toc456686707"/>
      <w:r>
        <w:t>Expected inflation rate</w:t>
      </w:r>
      <w:bookmarkEnd w:id="96"/>
      <w:bookmarkEnd w:id="97"/>
      <w:bookmarkEnd w:id="98"/>
    </w:p>
    <w:p w:rsidR="00972CF8" w:rsidRDefault="00972CF8" w:rsidP="00972CF8">
      <w:r>
        <w:t xml:space="preserve">Our estimate of expected inflation for this draft decision is set out in </w:t>
      </w:r>
      <w:r>
        <w:fldChar w:fldCharType="begin"/>
      </w:r>
      <w:r>
        <w:instrText xml:space="preserve"> REF  _Ref450910100 \* Lower \h </w:instrText>
      </w:r>
      <w:r>
        <w:fldChar w:fldCharType="separate"/>
      </w:r>
      <w:r w:rsidR="003F1AAB">
        <w:t xml:space="preserve">table </w:t>
      </w:r>
      <w:r w:rsidR="003F1AAB">
        <w:rPr>
          <w:noProof/>
        </w:rPr>
        <w:t>3</w:t>
      </w:r>
      <w:r w:rsidR="003F1AAB">
        <w:noBreakHyphen/>
      </w:r>
      <w:r w:rsidR="003F1AAB">
        <w:rPr>
          <w:noProof/>
        </w:rPr>
        <w:t>18</w:t>
      </w:r>
      <w:r>
        <w:fldChar w:fldCharType="end"/>
      </w:r>
      <w:r>
        <w:t xml:space="preserve">. </w:t>
      </w:r>
      <w:r w:rsidRPr="00C66100">
        <w:t xml:space="preserve">We base our approach on an average of the RBA's short term inflation forecasts and the mid-point of the </w:t>
      </w:r>
      <w:r>
        <w:t>RBA’s inflation targeting band.</w:t>
      </w:r>
    </w:p>
    <w:p w:rsidR="00972CF8" w:rsidRDefault="00972CF8" w:rsidP="00972CF8">
      <w:r w:rsidRPr="00C66100">
        <w:t>This</w:t>
      </w:r>
      <w:r>
        <w:t xml:space="preserve"> method is consistent with what w</w:t>
      </w:r>
      <w:r w:rsidRPr="00C66100">
        <w:t>e have previously adopted</w:t>
      </w:r>
      <w:r>
        <w:t xml:space="preserve"> and applied since 2008, as well as</w:t>
      </w:r>
      <w:r w:rsidRPr="00E04B8A">
        <w:t xml:space="preserve"> our </w:t>
      </w:r>
      <w:r>
        <w:t>recent</w:t>
      </w:r>
      <w:r w:rsidRPr="00E04B8A">
        <w:t xml:space="preserve"> de</w:t>
      </w:r>
      <w:r>
        <w:t>cisions (the current method).</w:t>
      </w:r>
      <w:r w:rsidRPr="00DA79C8">
        <w:rPr>
          <w:rStyle w:val="FootnoteReference"/>
        </w:rPr>
        <w:footnoteReference w:id="507"/>
      </w:r>
      <w:r>
        <w:t xml:space="preserve"> We consider the current method to be a reasonable estimation method for the following reasons:</w:t>
      </w:r>
    </w:p>
    <w:p w:rsidR="00972CF8" w:rsidRPr="007614B1" w:rsidRDefault="00972CF8" w:rsidP="00972CF8">
      <w:pPr>
        <w:pStyle w:val="AERbulletlistfirststyle"/>
      </w:pPr>
      <w:r>
        <w:t xml:space="preserve">RBA </w:t>
      </w:r>
      <w:r w:rsidRPr="007614B1">
        <w:t xml:space="preserve">research </w:t>
      </w:r>
      <w:r>
        <w:t>indicates that its one</w:t>
      </w:r>
      <w:r w:rsidRPr="007614B1">
        <w:t xml:space="preserve"> year inflation forecasts have substantial explanatory power.</w:t>
      </w:r>
      <w:r w:rsidRPr="007614B1">
        <w:rPr>
          <w:rStyle w:val="FootnoteReference"/>
        </w:rPr>
        <w:footnoteReference w:id="508"/>
      </w:r>
    </w:p>
    <w:p w:rsidR="00972CF8" w:rsidRDefault="00972CF8" w:rsidP="00972CF8">
      <w:pPr>
        <w:pStyle w:val="AERbulletlistfirststyle"/>
      </w:pPr>
      <w:r w:rsidRPr="00D62DC1">
        <w:t>To the extent that the historical success of RBA monetary policy informs m</w:t>
      </w:r>
      <w:r>
        <w:t xml:space="preserve">arket </w:t>
      </w:r>
      <w:r w:rsidRPr="00D62DC1">
        <w:t xml:space="preserve">consensus inflation expectations, </w:t>
      </w:r>
      <w:r>
        <w:t xml:space="preserve">the mid-point of the RBA's inflation targeting band </w:t>
      </w:r>
      <w:r w:rsidRPr="00D62DC1">
        <w:t xml:space="preserve">would </w:t>
      </w:r>
      <w:r>
        <w:t>reflect</w:t>
      </w:r>
      <w:r w:rsidRPr="00D62DC1">
        <w:t xml:space="preserve"> longer term inflation expectations.</w:t>
      </w:r>
      <w:r>
        <w:t xml:space="preserve"> We note that s</w:t>
      </w:r>
      <w:r w:rsidRPr="00883AE6">
        <w:t xml:space="preserve">ince inflation </w:t>
      </w:r>
      <w:r w:rsidRPr="004B3EE3">
        <w:t>rate targeting in 1993, the average annuali</w:t>
      </w:r>
      <w:r>
        <w:t>sed inflation rate has been approximately 2.6 per cent, which is close to the 2.5 per cent</w:t>
      </w:r>
      <w:r w:rsidRPr="004B3EE3">
        <w:t xml:space="preserve"> midpoint of the target band.</w:t>
      </w:r>
    </w:p>
    <w:p w:rsidR="00972CF8" w:rsidRDefault="00972CF8" w:rsidP="00972CF8">
      <w:pPr>
        <w:pStyle w:val="AERbulletlistfirststyle"/>
      </w:pPr>
      <w:r>
        <w:t>Evidence indicates</w:t>
      </w:r>
      <w:r w:rsidRPr="007614B1">
        <w:t xml:space="preserve"> that the RBA's control of official interest rates and commentary has an impact on outturn inflation and inflation expectations.</w:t>
      </w:r>
      <w:r w:rsidRPr="007614B1">
        <w:rPr>
          <w:rStyle w:val="FootnoteReference"/>
        </w:rPr>
        <w:footnoteReference w:id="509"/>
      </w:r>
    </w:p>
    <w:p w:rsidR="00972CF8" w:rsidRDefault="00972CF8" w:rsidP="00972CF8">
      <w:pPr>
        <w:pStyle w:val="AERbulletlistfirststyle"/>
      </w:pPr>
      <w:r w:rsidRPr="00B6405A">
        <w:t>This</w:t>
      </w:r>
      <w:r>
        <w:t xml:space="preserve"> method</w:t>
      </w:r>
      <w:r w:rsidRPr="00B6405A">
        <w:t xml:space="preserve"> is simple, transparent, easily replicated and unlikely to be subject to estimation error.</w:t>
      </w:r>
    </w:p>
    <w:p w:rsidR="00972CF8" w:rsidRDefault="00972CF8" w:rsidP="00972CF8">
      <w:r>
        <w:t>W</w:t>
      </w:r>
      <w:r w:rsidRPr="00AF5BA1">
        <w:t xml:space="preserve">e will update </w:t>
      </w:r>
      <w:r>
        <w:t>our estimated</w:t>
      </w:r>
      <w:r w:rsidRPr="00AF5BA1">
        <w:t xml:space="preserve"> expected inflation rate </w:t>
      </w:r>
      <w:r>
        <w:t>for the RBA’s most recent inflation forecasts available as close as practical to the publication of our final decision.</w:t>
      </w:r>
    </w:p>
    <w:p w:rsidR="00972CF8" w:rsidRDefault="00972CF8" w:rsidP="00972CF8">
      <w:pPr>
        <w:pStyle w:val="Caption"/>
      </w:pPr>
      <w:bookmarkStart w:id="99" w:name="_Ref450910100"/>
      <w:r>
        <w:t xml:space="preserve">Table </w:t>
      </w:r>
      <w:fldSimple w:instr=" STYLEREF 1 \s ">
        <w:r w:rsidR="003F1AAB">
          <w:rPr>
            <w:noProof/>
          </w:rPr>
          <w:t>3</w:t>
        </w:r>
      </w:fldSimple>
      <w:r>
        <w:noBreakHyphen/>
      </w:r>
      <w:fldSimple w:instr=" SEQ Table \* ARABIC \s 1 ">
        <w:r w:rsidR="003F1AAB">
          <w:rPr>
            <w:noProof/>
          </w:rPr>
          <w:t>18</w:t>
        </w:r>
      </w:fldSimple>
      <w:bookmarkEnd w:id="99"/>
      <w:r>
        <w:tab/>
      </w:r>
      <w:r w:rsidRPr="00C66100">
        <w:t xml:space="preserve">AER </w:t>
      </w:r>
      <w:r>
        <w:t>estimate of expected inflation</w:t>
      </w:r>
      <w:r w:rsidRPr="00C66100">
        <w:t xml:space="preserve"> (per cent)</w:t>
      </w:r>
      <w:r w:rsidR="00835300">
        <w:rPr>
          <w:rStyle w:val="FootnoteReference"/>
        </w:rPr>
        <w:footnoteReference w:id="510"/>
      </w:r>
    </w:p>
    <w:tbl>
      <w:tblPr>
        <w:tblStyle w:val="AERtable-numbers"/>
        <w:tblW w:w="5000" w:type="pct"/>
        <w:tblLook w:val="04A0" w:firstRow="1" w:lastRow="0" w:firstColumn="1" w:lastColumn="0" w:noHBand="0" w:noVBand="1"/>
      </w:tblPr>
      <w:tblGrid>
        <w:gridCol w:w="2951"/>
        <w:gridCol w:w="1332"/>
        <w:gridCol w:w="1992"/>
        <w:gridCol w:w="2418"/>
      </w:tblGrid>
      <w:tr w:rsidR="00972CF8" w:rsidRPr="00616FA2" w:rsidTr="00E42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pct"/>
          </w:tcPr>
          <w:p w:rsidR="00972CF8" w:rsidRPr="00972CF8" w:rsidRDefault="00972CF8" w:rsidP="00972CF8">
            <w:r>
              <w:t>Expected</w:t>
            </w:r>
            <w:r w:rsidRPr="00972CF8">
              <w:t xml:space="preserve"> inflation</w:t>
            </w:r>
          </w:p>
        </w:tc>
        <w:tc>
          <w:tcPr>
            <w:tcW w:w="766" w:type="pct"/>
          </w:tcPr>
          <w:p w:rsidR="00972CF8" w:rsidRPr="00972CF8" w:rsidRDefault="00972CF8" w:rsidP="00972CF8">
            <w:pPr>
              <w:cnfStyle w:val="100000000000" w:firstRow="1" w:lastRow="0" w:firstColumn="0" w:lastColumn="0" w:oddVBand="0" w:evenVBand="0" w:oddHBand="0" w:evenHBand="0" w:firstRowFirstColumn="0" w:firstRowLastColumn="0" w:lastRowFirstColumn="0" w:lastRowLastColumn="0"/>
            </w:pPr>
            <w:r>
              <w:t>20</w:t>
            </w:r>
            <w:r w:rsidRPr="00972CF8">
              <w:t>17–18</w:t>
            </w:r>
          </w:p>
        </w:tc>
        <w:tc>
          <w:tcPr>
            <w:tcW w:w="1146" w:type="pct"/>
          </w:tcPr>
          <w:p w:rsidR="00972CF8" w:rsidRPr="00972CF8" w:rsidRDefault="00972CF8" w:rsidP="00972CF8">
            <w:pPr>
              <w:cnfStyle w:val="100000000000" w:firstRow="1" w:lastRow="0" w:firstColumn="0" w:lastColumn="0" w:oddVBand="0" w:evenVBand="0" w:oddHBand="0" w:evenHBand="0" w:firstRowFirstColumn="0" w:firstRowLastColumn="0" w:lastRowFirstColumn="0" w:lastRowLastColumn="0"/>
            </w:pPr>
            <w:r>
              <w:t>2019</w:t>
            </w:r>
            <w:r w:rsidRPr="00972CF8">
              <w:t>–20 to 2026–27</w:t>
            </w:r>
          </w:p>
        </w:tc>
        <w:tc>
          <w:tcPr>
            <w:tcW w:w="1391" w:type="pct"/>
          </w:tcPr>
          <w:p w:rsidR="00972CF8" w:rsidRPr="00972CF8" w:rsidRDefault="00972CF8" w:rsidP="00972CF8">
            <w:pPr>
              <w:cnfStyle w:val="100000000000" w:firstRow="1" w:lastRow="0" w:firstColumn="0" w:lastColumn="0" w:oddVBand="0" w:evenVBand="0" w:oddHBand="0" w:evenHBand="0" w:firstRowFirstColumn="0" w:firstRowLastColumn="0" w:lastRowFirstColumn="0" w:lastRowLastColumn="0"/>
            </w:pPr>
            <w:r w:rsidRPr="00616FA2">
              <w:t xml:space="preserve">Geometric </w:t>
            </w:r>
            <w:r w:rsidRPr="00972CF8">
              <w:t>average</w:t>
            </w:r>
          </w:p>
        </w:tc>
      </w:tr>
      <w:tr w:rsidR="00972CF8" w:rsidRPr="00616FA2" w:rsidTr="00E42A91">
        <w:tc>
          <w:tcPr>
            <w:cnfStyle w:val="001000000000" w:firstRow="0" w:lastRow="0" w:firstColumn="1" w:lastColumn="0" w:oddVBand="0" w:evenVBand="0" w:oddHBand="0" w:evenHBand="0" w:firstRowFirstColumn="0" w:firstRowLastColumn="0" w:lastRowFirstColumn="0" w:lastRowLastColumn="0"/>
            <w:tcW w:w="1697" w:type="pct"/>
          </w:tcPr>
          <w:p w:rsidR="00972CF8" w:rsidRPr="00972CF8" w:rsidRDefault="00972CF8" w:rsidP="00972CF8">
            <w:r>
              <w:t xml:space="preserve">AusNet Services proposal </w:t>
            </w:r>
          </w:p>
        </w:tc>
        <w:tc>
          <w:tcPr>
            <w:tcW w:w="766" w:type="pct"/>
          </w:tcPr>
          <w:p w:rsidR="00972CF8" w:rsidRPr="00972CF8" w:rsidRDefault="00972CF8" w:rsidP="00972CF8">
            <w:pPr>
              <w:cnfStyle w:val="000000000000" w:firstRow="0" w:lastRow="0" w:firstColumn="0" w:lastColumn="0" w:oddVBand="0" w:evenVBand="0" w:oddHBand="0" w:evenHBand="0" w:firstRowFirstColumn="0" w:firstRowLastColumn="0" w:lastRowFirstColumn="0" w:lastRowLastColumn="0"/>
            </w:pPr>
            <w:r>
              <w:t>2.35</w:t>
            </w:r>
          </w:p>
        </w:tc>
        <w:tc>
          <w:tcPr>
            <w:tcW w:w="1146" w:type="pct"/>
          </w:tcPr>
          <w:p w:rsidR="00972CF8" w:rsidRPr="00972CF8" w:rsidRDefault="00972CF8" w:rsidP="00972CF8">
            <w:pPr>
              <w:cnfStyle w:val="000000000000" w:firstRow="0" w:lastRow="0" w:firstColumn="0" w:lastColumn="0" w:oddVBand="0" w:evenVBand="0" w:oddHBand="0" w:evenHBand="0" w:firstRowFirstColumn="0" w:firstRowLastColumn="0" w:lastRowFirstColumn="0" w:lastRowLastColumn="0"/>
            </w:pPr>
            <w:r>
              <w:t>2.35</w:t>
            </w:r>
          </w:p>
        </w:tc>
        <w:tc>
          <w:tcPr>
            <w:tcW w:w="1391" w:type="pct"/>
          </w:tcPr>
          <w:p w:rsidR="00972CF8" w:rsidRPr="00972CF8" w:rsidRDefault="00972CF8" w:rsidP="00972CF8">
            <w:pPr>
              <w:cnfStyle w:val="000000000000" w:firstRow="0" w:lastRow="0" w:firstColumn="0" w:lastColumn="0" w:oddVBand="0" w:evenVBand="0" w:oddHBand="0" w:evenHBand="0" w:firstRowFirstColumn="0" w:firstRowLastColumn="0" w:lastRowFirstColumn="0" w:lastRowLastColumn="0"/>
            </w:pPr>
            <w:r>
              <w:t>2.35</w:t>
            </w:r>
          </w:p>
        </w:tc>
      </w:tr>
      <w:tr w:rsidR="00972CF8" w:rsidRPr="00616FA2" w:rsidTr="00E42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pct"/>
          </w:tcPr>
          <w:p w:rsidR="00972CF8" w:rsidRPr="00972CF8" w:rsidRDefault="00972CF8" w:rsidP="00835300">
            <w:r>
              <w:t xml:space="preserve">AER </w:t>
            </w:r>
            <w:r w:rsidR="00835300">
              <w:t>draft decision</w:t>
            </w:r>
          </w:p>
        </w:tc>
        <w:tc>
          <w:tcPr>
            <w:tcW w:w="766" w:type="pct"/>
          </w:tcPr>
          <w:p w:rsidR="00972CF8" w:rsidRPr="00972CF8" w:rsidRDefault="00972CF8" w:rsidP="00972CF8">
            <w:pPr>
              <w:cnfStyle w:val="000000010000" w:firstRow="0" w:lastRow="0" w:firstColumn="0" w:lastColumn="0" w:oddVBand="0" w:evenVBand="0" w:oddHBand="0" w:evenHBand="1" w:firstRowFirstColumn="0" w:firstRowLastColumn="0" w:lastRowFirstColumn="0" w:lastRowLastColumn="0"/>
            </w:pPr>
            <w:r>
              <w:t>2.0</w:t>
            </w:r>
            <w:r w:rsidRPr="00972CF8">
              <w:t xml:space="preserve"> </w:t>
            </w:r>
            <w:r w:rsidRPr="00972CF8">
              <w:rPr>
                <w:rStyle w:val="FootnoteReference"/>
              </w:rPr>
              <w:t>a</w:t>
            </w:r>
          </w:p>
        </w:tc>
        <w:tc>
          <w:tcPr>
            <w:tcW w:w="1146" w:type="pct"/>
          </w:tcPr>
          <w:p w:rsidR="00972CF8" w:rsidRPr="00972CF8" w:rsidRDefault="00972CF8" w:rsidP="00972CF8">
            <w:pPr>
              <w:cnfStyle w:val="000000010000" w:firstRow="0" w:lastRow="0" w:firstColumn="0" w:lastColumn="0" w:oddVBand="0" w:evenVBand="0" w:oddHBand="0" w:evenHBand="1" w:firstRowFirstColumn="0" w:firstRowLastColumn="0" w:lastRowFirstColumn="0" w:lastRowLastColumn="0"/>
            </w:pPr>
            <w:r>
              <w:t>2.5</w:t>
            </w:r>
          </w:p>
        </w:tc>
        <w:tc>
          <w:tcPr>
            <w:tcW w:w="1391" w:type="pct"/>
          </w:tcPr>
          <w:p w:rsidR="00972CF8" w:rsidRPr="00972CF8" w:rsidRDefault="00972CF8" w:rsidP="000F260B">
            <w:pPr>
              <w:cnfStyle w:val="000000010000" w:firstRow="0" w:lastRow="0" w:firstColumn="0" w:lastColumn="0" w:oddVBand="0" w:evenVBand="0" w:oddHBand="0" w:evenHBand="1" w:firstRowFirstColumn="0" w:firstRowLastColumn="0" w:lastRowFirstColumn="0" w:lastRowLastColumn="0"/>
            </w:pPr>
            <w:r>
              <w:t>2.44</w:t>
            </w:r>
          </w:p>
        </w:tc>
      </w:tr>
    </w:tbl>
    <w:p w:rsidR="00972CF8" w:rsidRDefault="00972CF8" w:rsidP="00972CF8">
      <w:pPr>
        <w:pStyle w:val="AERtablesource"/>
      </w:pPr>
      <w:r w:rsidRPr="008234EE">
        <w:t xml:space="preserve">Source: </w:t>
      </w:r>
      <w:r>
        <w:tab/>
        <w:t xml:space="preserve">AusNet Services, </w:t>
      </w:r>
      <w:r w:rsidRPr="006C0405">
        <w:rPr>
          <w:rStyle w:val="AERtextitalic"/>
        </w:rPr>
        <w:t>Transmission Revenue Review 2017–2022 regulatory proposal</w:t>
      </w:r>
      <w:r>
        <w:t xml:space="preserve">, 30 October 2015, p. 281; </w:t>
      </w:r>
      <w:r w:rsidRPr="00A00BC9">
        <w:t xml:space="preserve">RBA, </w:t>
      </w:r>
      <w:r w:rsidRPr="00A00BC9">
        <w:rPr>
          <w:rStyle w:val="AERtextitalic"/>
        </w:rPr>
        <w:t>Statement on Monetary Policy</w:t>
      </w:r>
      <w:r>
        <w:t>, May 2016, p. 61</w:t>
      </w:r>
      <w:r w:rsidRPr="001372F5">
        <w:t>.</w:t>
      </w:r>
    </w:p>
    <w:p w:rsidR="00972CF8" w:rsidRDefault="00972CF8" w:rsidP="00972CF8">
      <w:pPr>
        <w:pStyle w:val="AERtablesource"/>
      </w:pPr>
      <w:r w:rsidRPr="008234EE">
        <w:t xml:space="preserve"> (</w:t>
      </w:r>
      <w:r w:rsidR="000F260B">
        <w:t>a</w:t>
      </w:r>
      <w:r w:rsidRPr="008234EE">
        <w:t xml:space="preserve">) </w:t>
      </w:r>
      <w:r>
        <w:tab/>
        <w:t>In May 2016</w:t>
      </w:r>
      <w:r w:rsidRPr="00AF5BA1">
        <w:t xml:space="preserve">, the RBA published a range </w:t>
      </w:r>
      <w:r>
        <w:t>of</w:t>
      </w:r>
      <w:r w:rsidRPr="00AF5BA1">
        <w:t xml:space="preserve"> </w:t>
      </w:r>
      <w:r>
        <w:t xml:space="preserve">1.5–2.5 </w:t>
      </w:r>
      <w:r w:rsidRPr="00AF5BA1">
        <w:t xml:space="preserve">per cent for its </w:t>
      </w:r>
      <w:r>
        <w:t>December 2017 CPI inflation forecast</w:t>
      </w:r>
      <w:r w:rsidRPr="00AF5BA1">
        <w:t xml:space="preserve">. </w:t>
      </w:r>
      <w:r>
        <w:t>We select</w:t>
      </w:r>
      <w:r w:rsidRPr="008234EE">
        <w:t xml:space="preserve"> the mid-poin</w:t>
      </w:r>
      <w:r>
        <w:t>t from this range.</w:t>
      </w:r>
    </w:p>
    <w:p w:rsidR="00972CF8" w:rsidRDefault="00972CF8" w:rsidP="00972CF8">
      <w:r>
        <w:t>AusNet Services proposes an estimate of expected inflation of 2.35 per cent, based on its estimates of the 'breakeven approach',</w:t>
      </w:r>
      <w:r>
        <w:rPr>
          <w:rStyle w:val="FootnoteReference"/>
        </w:rPr>
        <w:footnoteReference w:id="511"/>
      </w:r>
      <w:r>
        <w:t xml:space="preserve"> using an averaging period of 20 business days ending 17 July 2015.</w:t>
      </w:r>
      <w:r>
        <w:rPr>
          <w:rStyle w:val="FootnoteReference"/>
        </w:rPr>
        <w:footnoteReference w:id="512"/>
      </w:r>
      <w:r>
        <w:t xml:space="preserve"> </w:t>
      </w:r>
    </w:p>
    <w:p w:rsidR="00972CF8" w:rsidRDefault="00972CF8" w:rsidP="00972CF8">
      <w:r>
        <w:t>We do not accept this aspect of AusNet Services’ regulatory proposal because:</w:t>
      </w:r>
    </w:p>
    <w:p w:rsidR="00B01D49" w:rsidRDefault="00B01D49" w:rsidP="00B01D49">
      <w:pPr>
        <w:pStyle w:val="AERbulletlistfirststyle"/>
      </w:pPr>
      <w:r>
        <w:t>W</w:t>
      </w:r>
      <w:r w:rsidR="00972CF8">
        <w:t xml:space="preserve">e do not consider </w:t>
      </w:r>
      <w:r w:rsidR="00972CF8" w:rsidRPr="00972CF8">
        <w:t xml:space="preserve">that this application of the breakeven approach appropriately adjusts for bias. </w:t>
      </w:r>
    </w:p>
    <w:p w:rsidR="00972CF8" w:rsidRDefault="00B01D49" w:rsidP="00B01D49">
      <w:pPr>
        <w:pStyle w:val="AERbulletlistfirststyle"/>
      </w:pPr>
      <w:r>
        <w:t>W</w:t>
      </w:r>
      <w:r w:rsidR="00972CF8">
        <w:t>e do not consider that a breakeven approach using indexed CGSs would necessarily produce better estimates of expected inflation than the current method (or another estimation method, such a one based on inflation swaps).</w:t>
      </w:r>
      <w:r w:rsidR="00972CF8" w:rsidRPr="00972CF8">
        <w:rPr>
          <w:rStyle w:val="FootnoteReference"/>
        </w:rPr>
        <w:footnoteReference w:id="513"/>
      </w:r>
    </w:p>
    <w:p w:rsidR="00972CF8" w:rsidRPr="00972CF8" w:rsidRDefault="00B01D49" w:rsidP="00376690">
      <w:pPr>
        <w:pStyle w:val="AERbulletlistfirststyle"/>
      </w:pPr>
      <w:r>
        <w:t>W</w:t>
      </w:r>
      <w:r w:rsidR="00972CF8">
        <w:t xml:space="preserve">e also note that </w:t>
      </w:r>
      <w:r w:rsidR="00972CF8" w:rsidRPr="00972CF8">
        <w:t>even if we considered an alternative approach was preferable to the current approach (which we do not)</w:t>
      </w:r>
      <w:proofErr w:type="gramStart"/>
      <w:r w:rsidR="00972CF8" w:rsidRPr="00972CF8">
        <w:t>,</w:t>
      </w:r>
      <w:proofErr w:type="gramEnd"/>
      <w:r w:rsidR="00972CF8" w:rsidRPr="00972CF8">
        <w:t xml:space="preserve"> the method for estimating expected inflation should apply to all service providers as inflation expectations are not business-specific. As such, any change in approach should only be considered following broad consultation with all stakeholders, rather than within a single reset. Moreover, the method for estimating expected inflation is defined in the post-tax revenue model (PTRM) and changing this should be done in accordance with distribution consultation procedures.</w:t>
      </w:r>
      <w:r w:rsidR="00972CF8" w:rsidRPr="00972CF8">
        <w:rPr>
          <w:rStyle w:val="FootnoteReference"/>
        </w:rPr>
        <w:footnoteReference w:id="514"/>
      </w:r>
    </w:p>
    <w:p w:rsidR="00972CF8" w:rsidRPr="00972CF8" w:rsidRDefault="00972CF8" w:rsidP="00376690">
      <w:pPr>
        <w:pStyle w:val="HeadingBoldBlue"/>
      </w:pPr>
      <w:r>
        <w:t>B</w:t>
      </w:r>
      <w:r w:rsidRPr="00972CF8">
        <w:t>reakeven estimates</w:t>
      </w:r>
    </w:p>
    <w:p w:rsidR="00972CF8" w:rsidRPr="007568F9" w:rsidRDefault="00972CF8" w:rsidP="00972CF8">
      <w:r>
        <w:t xml:space="preserve">Our draft decision is to apply the current </w:t>
      </w:r>
      <w:r w:rsidRPr="007568F9">
        <w:t xml:space="preserve">method rather than to use </w:t>
      </w:r>
      <w:r>
        <w:t>AusNet Services’</w:t>
      </w:r>
      <w:r w:rsidRPr="007568F9">
        <w:t xml:space="preserve"> breakeven estimates. Even though we recognise there may be benefits to using a breakeven approach, we also recognise:</w:t>
      </w:r>
    </w:p>
    <w:p w:rsidR="00972CF8" w:rsidRDefault="00972CF8" w:rsidP="00972CF8">
      <w:pPr>
        <w:pStyle w:val="AERbulletlistfirststyle"/>
      </w:pPr>
      <w:r>
        <w:t>There are strengths and limitations to both the current method and breakeven approaches.</w:t>
      </w:r>
      <w:r w:rsidRPr="00A476C5">
        <w:t xml:space="preserve"> </w:t>
      </w:r>
      <w:r>
        <w:t>Given the information currently before us, we are not satisfied that changing our approach would improve our estimates of expected inflation.</w:t>
      </w:r>
    </w:p>
    <w:p w:rsidR="00972CF8" w:rsidRPr="005F5142" w:rsidRDefault="00972CF8" w:rsidP="00972CF8">
      <w:pPr>
        <w:pStyle w:val="AERbulletlistfirststyle"/>
      </w:pPr>
      <w:r w:rsidRPr="005F5142">
        <w:t xml:space="preserve">There are clear limitations to </w:t>
      </w:r>
      <w:r>
        <w:t>using</w:t>
      </w:r>
      <w:r w:rsidRPr="005F5142">
        <w:t xml:space="preserve"> breakeven approach</w:t>
      </w:r>
      <w:r>
        <w:t>es</w:t>
      </w:r>
      <w:r w:rsidRPr="005F5142">
        <w:t xml:space="preserve"> that result in biase</w:t>
      </w:r>
      <w:r>
        <w:t>d estimates of expected inflation</w:t>
      </w:r>
      <w:r w:rsidRPr="005F5142">
        <w:t xml:space="preserve"> unless particular adjustments are made to these estimates. </w:t>
      </w:r>
      <w:r>
        <w:t>AusNet Services</w:t>
      </w:r>
      <w:r w:rsidRPr="005F5142">
        <w:t xml:space="preserve"> has not put any material before us to discuss these limitations or propose how </w:t>
      </w:r>
      <w:r>
        <w:t>to adjust for them</w:t>
      </w:r>
      <w:r w:rsidRPr="005F5142">
        <w:t xml:space="preserve">. </w:t>
      </w:r>
    </w:p>
    <w:p w:rsidR="00972CF8" w:rsidRDefault="00972CF8" w:rsidP="00972CF8">
      <w:pPr>
        <w:pStyle w:val="AERbulletlistfirststyle"/>
      </w:pPr>
      <w:r>
        <w:t xml:space="preserve">Market imperfections can undermine the ability of breakeven approaches to estimate the market's inflation expectations. </w:t>
      </w:r>
    </w:p>
    <w:p w:rsidR="00972CF8" w:rsidRDefault="00972CF8" w:rsidP="00376690">
      <w:pPr>
        <w:pStyle w:val="HeadingBoldItalic"/>
      </w:pPr>
      <w:r>
        <w:t xml:space="preserve">Changing approaches may not improve estimates </w:t>
      </w:r>
    </w:p>
    <w:p w:rsidR="00972CF8" w:rsidRPr="007568F9" w:rsidRDefault="00972CF8" w:rsidP="00972CF8">
      <w:r w:rsidRPr="00C554DC">
        <w:t>We</w:t>
      </w:r>
      <w:r w:rsidRPr="007568F9">
        <w:t xml:space="preserve"> do not consider that reverting to a breakeven approach is likely to improve our estimates of expected inflation. We recognise that both the current method and breakeven approaches have benefits and limitations, as summarised in </w:t>
      </w:r>
      <w:r w:rsidRPr="007568F9">
        <w:fldChar w:fldCharType="begin"/>
      </w:r>
      <w:r w:rsidRPr="007568F9">
        <w:instrText xml:space="preserve"> REF  _Ref450910117 \* Lower \h </w:instrText>
      </w:r>
      <w:r w:rsidRPr="007568F9">
        <w:fldChar w:fldCharType="separate"/>
      </w:r>
      <w:r w:rsidR="003F1AAB">
        <w:t xml:space="preserve">table </w:t>
      </w:r>
      <w:r w:rsidR="003F1AAB">
        <w:rPr>
          <w:noProof/>
        </w:rPr>
        <w:t>3</w:t>
      </w:r>
      <w:r w:rsidR="003F1AAB">
        <w:noBreakHyphen/>
      </w:r>
      <w:r w:rsidR="003F1AAB">
        <w:rPr>
          <w:noProof/>
        </w:rPr>
        <w:t>19</w:t>
      </w:r>
      <w:r w:rsidRPr="007568F9">
        <w:fldChar w:fldCharType="end"/>
      </w:r>
      <w:r w:rsidRPr="007568F9">
        <w:t>.</w:t>
      </w:r>
    </w:p>
    <w:p w:rsidR="00972CF8" w:rsidRDefault="00972CF8" w:rsidP="00972CF8">
      <w:pPr>
        <w:pStyle w:val="Caption"/>
      </w:pPr>
      <w:bookmarkStart w:id="100" w:name="_Ref450910117"/>
      <w:r>
        <w:t xml:space="preserve">Table </w:t>
      </w:r>
      <w:fldSimple w:instr=" STYLEREF 1 \s ">
        <w:r w:rsidR="003F1AAB">
          <w:rPr>
            <w:noProof/>
          </w:rPr>
          <w:t>3</w:t>
        </w:r>
      </w:fldSimple>
      <w:r>
        <w:noBreakHyphen/>
      </w:r>
      <w:fldSimple w:instr=" SEQ Table \* ARABIC \s 1 ">
        <w:r w:rsidR="003F1AAB">
          <w:rPr>
            <w:noProof/>
          </w:rPr>
          <w:t>19</w:t>
        </w:r>
      </w:fldSimple>
      <w:bookmarkEnd w:id="100"/>
      <w:r>
        <w:t>:</w:t>
      </w:r>
      <w:r>
        <w:tab/>
        <w:t xml:space="preserve">Comparison of the current method and breakeven approach </w:t>
      </w:r>
    </w:p>
    <w:tbl>
      <w:tblPr>
        <w:tblStyle w:val="AERtable-text0"/>
        <w:tblW w:w="0" w:type="auto"/>
        <w:tblLook w:val="04A0" w:firstRow="1" w:lastRow="0" w:firstColumn="1" w:lastColumn="0" w:noHBand="0" w:noVBand="1"/>
      </w:tblPr>
      <w:tblGrid>
        <w:gridCol w:w="1809"/>
        <w:gridCol w:w="3261"/>
        <w:gridCol w:w="3623"/>
      </w:tblGrid>
      <w:tr w:rsidR="00972CF8" w:rsidTr="00E42A91">
        <w:trPr>
          <w:cnfStyle w:val="100000000000" w:firstRow="1" w:lastRow="0" w:firstColumn="0" w:lastColumn="0" w:oddVBand="0" w:evenVBand="0" w:oddHBand="0" w:evenHBand="0" w:firstRowFirstColumn="0" w:firstRowLastColumn="0" w:lastRowFirstColumn="0" w:lastRowLastColumn="0"/>
        </w:trPr>
        <w:tc>
          <w:tcPr>
            <w:tcW w:w="1809" w:type="dxa"/>
          </w:tcPr>
          <w:p w:rsidR="00972CF8" w:rsidRPr="00972CF8" w:rsidRDefault="00972CF8" w:rsidP="00972CF8">
            <w:r>
              <w:t>Approach</w:t>
            </w:r>
          </w:p>
        </w:tc>
        <w:tc>
          <w:tcPr>
            <w:tcW w:w="3261" w:type="dxa"/>
          </w:tcPr>
          <w:p w:rsidR="00972CF8" w:rsidRPr="00972CF8" w:rsidRDefault="00972CF8" w:rsidP="00972CF8">
            <w:r>
              <w:t>Benefits</w:t>
            </w:r>
          </w:p>
        </w:tc>
        <w:tc>
          <w:tcPr>
            <w:tcW w:w="3623" w:type="dxa"/>
          </w:tcPr>
          <w:p w:rsidR="00972CF8" w:rsidRPr="00972CF8" w:rsidRDefault="00972CF8" w:rsidP="00972CF8">
            <w:r>
              <w:t>Limitations</w:t>
            </w:r>
          </w:p>
        </w:tc>
      </w:tr>
      <w:tr w:rsidR="00972CF8" w:rsidTr="00E42A91">
        <w:tc>
          <w:tcPr>
            <w:tcW w:w="1809" w:type="dxa"/>
          </w:tcPr>
          <w:p w:rsidR="00972CF8" w:rsidRPr="00972CF8" w:rsidRDefault="00972CF8" w:rsidP="00972CF8">
            <w:r>
              <w:t xml:space="preserve">The </w:t>
            </w:r>
            <w:r w:rsidRPr="00972CF8">
              <w:t>current method :</w:t>
            </w:r>
          </w:p>
          <w:p w:rsidR="00972CF8" w:rsidRPr="00972CF8" w:rsidRDefault="00972CF8" w:rsidP="00972CF8">
            <w:r>
              <w:t xml:space="preserve">A </w:t>
            </w:r>
            <w:r w:rsidRPr="00972CF8">
              <w:t>geometric average of the RBA forecast and mid-point.</w:t>
            </w:r>
          </w:p>
        </w:tc>
        <w:tc>
          <w:tcPr>
            <w:tcW w:w="3261" w:type="dxa"/>
          </w:tcPr>
          <w:p w:rsidR="00972CF8" w:rsidRPr="00972CF8" w:rsidRDefault="00972CF8" w:rsidP="00972CF8">
            <w:r>
              <w:t>This is</w:t>
            </w:r>
            <w:r w:rsidRPr="00972CF8">
              <w:t xml:space="preserve"> simple, transparent and easily replicated. Since the current method is not subject to estimation bias or error it may improve regulatory certainty and reduce the scope for gaming.</w:t>
            </w:r>
          </w:p>
          <w:p w:rsidR="00972CF8" w:rsidRPr="00972CF8" w:rsidRDefault="00972CF8" w:rsidP="00972CF8">
            <w:r>
              <w:t>This</w:t>
            </w:r>
            <w:r w:rsidRPr="00972CF8">
              <w:t xml:space="preserve"> relies on RBA 2 year forecasts – RBA’s research suggests that its 1 year forecasts of inflation have substantial explanatory power and in the past RBA forecasts have been marginally more accurate than private sector forecasts.</w:t>
            </w:r>
            <w:r w:rsidRPr="00972CF8">
              <w:rPr>
                <w:rStyle w:val="FootnoteReference"/>
              </w:rPr>
              <w:footnoteReference w:id="515"/>
            </w:r>
            <w:r w:rsidRPr="00972CF8">
              <w:t xml:space="preserve"> </w:t>
            </w:r>
          </w:p>
          <w:p w:rsidR="00972CF8" w:rsidRPr="00972CF8" w:rsidRDefault="00972CF8" w:rsidP="00972CF8">
            <w:r w:rsidRPr="00883AE6">
              <w:t xml:space="preserve">Since inflation </w:t>
            </w:r>
            <w:r w:rsidRPr="00972CF8">
              <w:t>rate targeting in 1993, the average annualised inflation rate has been approximately 2.6%, which is close to the 2.5% midpoint of the target band. To the extent that the historical success of RBA monetary policy informs market-consensus expectations of inflation, the current approach may be a reasonable estimate of longer term inflation expectations. There is evidence to suggest that the RBA's control of official interest rates and commentary has an impact on outturn inflation and inflation expectations.</w:t>
            </w:r>
            <w:r w:rsidRPr="00972CF8">
              <w:rPr>
                <w:rStyle w:val="FootnoteReference"/>
              </w:rPr>
              <w:footnoteReference w:id="516"/>
            </w:r>
          </w:p>
        </w:tc>
        <w:tc>
          <w:tcPr>
            <w:tcW w:w="3623" w:type="dxa"/>
          </w:tcPr>
          <w:p w:rsidR="00972CF8" w:rsidRPr="00972CF8" w:rsidRDefault="00972CF8" w:rsidP="00972CF8">
            <w:r>
              <w:t>If</w:t>
            </w:r>
            <w:r w:rsidRPr="00972CF8">
              <w:t xml:space="preserve"> monetary policy loses or is perceived to have lost its effectiveness in influencing economic activity, inflation expectations may deviate systematically from the mid-point of the inflation target range. In which case, estimates under this approach may be too high or too low relative to the market inflation expectations. </w:t>
            </w:r>
          </w:p>
          <w:p w:rsidR="00972CF8" w:rsidRPr="00972CF8" w:rsidRDefault="00972CF8" w:rsidP="00972CF8">
            <w:r>
              <w:t>Th</w:t>
            </w:r>
            <w:r w:rsidRPr="00972CF8">
              <w:t>e current approach is more likely than market-based estimates to be inconsistent with the term structure of inflation observed in the market because it is not based on the market-implied forward inflation curve. This raises the risk that estimates of the real risk free rate may depart from the ‘true’ real risk free rate in the market.</w:t>
            </w:r>
          </w:p>
        </w:tc>
      </w:tr>
      <w:tr w:rsidR="00972CF8" w:rsidTr="00E42A91">
        <w:trPr>
          <w:cnfStyle w:val="000000010000" w:firstRow="0" w:lastRow="0" w:firstColumn="0" w:lastColumn="0" w:oddVBand="0" w:evenVBand="0" w:oddHBand="0" w:evenHBand="1" w:firstRowFirstColumn="0" w:firstRowLastColumn="0" w:lastRowFirstColumn="0" w:lastRowLastColumn="0"/>
        </w:trPr>
        <w:tc>
          <w:tcPr>
            <w:tcW w:w="1809" w:type="dxa"/>
          </w:tcPr>
          <w:p w:rsidR="00972CF8" w:rsidRPr="00972CF8" w:rsidRDefault="00972CF8" w:rsidP="00972CF8">
            <w:r>
              <w:t xml:space="preserve">The </w:t>
            </w:r>
            <w:r w:rsidRPr="00972CF8">
              <w:t>breakeven approach:</w:t>
            </w:r>
          </w:p>
          <w:p w:rsidR="00972CF8" w:rsidRPr="00972CF8" w:rsidRDefault="00972CF8" w:rsidP="00972CF8">
            <w:r>
              <w:t>The breakeven inflation rate implied by comparing CPI-indexed CGS and nominal CGS</w:t>
            </w:r>
            <w:r w:rsidRPr="00972CF8">
              <w:t>.</w:t>
            </w:r>
          </w:p>
        </w:tc>
        <w:tc>
          <w:tcPr>
            <w:tcW w:w="3261" w:type="dxa"/>
          </w:tcPr>
          <w:p w:rsidR="00972CF8" w:rsidRPr="00972CF8" w:rsidRDefault="00972CF8" w:rsidP="00972CF8">
            <w:r>
              <w:t>These e</w:t>
            </w:r>
            <w:r w:rsidRPr="00972CF8">
              <w:t xml:space="preserve">stimates include market-consensus expectations of inflation that is based on an aggregation of most up-to-date, relevant and available information. </w:t>
            </w:r>
          </w:p>
          <w:p w:rsidR="00972CF8" w:rsidRDefault="00972CF8" w:rsidP="00972CF8"/>
        </w:tc>
        <w:tc>
          <w:tcPr>
            <w:tcW w:w="3623" w:type="dxa"/>
          </w:tcPr>
          <w:p w:rsidR="00972CF8" w:rsidRPr="00972CF8" w:rsidRDefault="00972CF8" w:rsidP="00972CF8">
            <w:r>
              <w:t xml:space="preserve">We moved away from using this approach in the past as it was recognised that bias existed in </w:t>
            </w:r>
            <w:r w:rsidRPr="00972CF8">
              <w:t xml:space="preserve">indexed CGS yields. </w:t>
            </w:r>
          </w:p>
          <w:p w:rsidR="00972CF8" w:rsidRPr="00972CF8" w:rsidRDefault="00972CF8" w:rsidP="00972CF8">
            <w:r>
              <w:t>The breakeven approach</w:t>
            </w:r>
            <w:r w:rsidRPr="00972CF8">
              <w:t xml:space="preserve"> can be a misleading proxy for expected inflation unless various biases are identified and removed. Potential sources of bias include the effect of bond convexity; inflation risk premia, liquidity premia, and inflation indexation lag on nominal and/or indexed bond yields. </w:t>
            </w:r>
          </w:p>
        </w:tc>
      </w:tr>
    </w:tbl>
    <w:p w:rsidR="00972CF8" w:rsidRDefault="00972CF8" w:rsidP="00376690">
      <w:pPr>
        <w:pStyle w:val="HeadingBoldItalic"/>
      </w:pPr>
    </w:p>
    <w:p w:rsidR="00972CF8" w:rsidRDefault="00972CF8" w:rsidP="00376690">
      <w:pPr>
        <w:pStyle w:val="HeadingBoldItalic"/>
      </w:pPr>
      <w:r>
        <w:t xml:space="preserve">Other limitations and potential biases to the breakeven approach </w:t>
      </w:r>
    </w:p>
    <w:p w:rsidR="00972CF8" w:rsidRPr="007568F9" w:rsidRDefault="00972CF8" w:rsidP="00972CF8">
      <w:r>
        <w:t>T</w:t>
      </w:r>
      <w:r w:rsidRPr="007568F9">
        <w:t>here is no straightforward way of employing a breakeven approach. Rather, breakeven estimates require adjustment to account for several different types of bias.</w:t>
      </w:r>
      <w:r w:rsidRPr="007568F9">
        <w:rPr>
          <w:rStyle w:val="FootnoteReference"/>
        </w:rPr>
        <w:footnoteReference w:id="517"/>
      </w:r>
      <w:r w:rsidRPr="007568F9">
        <w:t xml:space="preserve"> </w:t>
      </w:r>
      <w:r w:rsidRPr="007568F9">
        <w:fldChar w:fldCharType="begin"/>
      </w:r>
      <w:r w:rsidRPr="007568F9">
        <w:instrText xml:space="preserve"> REF _Ref450910134 \h </w:instrText>
      </w:r>
      <w:r w:rsidRPr="007568F9">
        <w:fldChar w:fldCharType="separate"/>
      </w:r>
      <w:r w:rsidR="003F1AAB">
        <w:t xml:space="preserve">Table </w:t>
      </w:r>
      <w:r w:rsidR="003F1AAB">
        <w:rPr>
          <w:noProof/>
        </w:rPr>
        <w:t>3</w:t>
      </w:r>
      <w:r w:rsidR="003F1AAB">
        <w:noBreakHyphen/>
      </w:r>
      <w:r w:rsidR="003F1AAB">
        <w:rPr>
          <w:noProof/>
        </w:rPr>
        <w:t>20</w:t>
      </w:r>
      <w:r w:rsidRPr="007568F9">
        <w:fldChar w:fldCharType="end"/>
      </w:r>
      <w:r w:rsidRPr="007568F9">
        <w:t xml:space="preserve"> highlights some of these potential biases based on preliminary research.</w:t>
      </w:r>
    </w:p>
    <w:p w:rsidR="00972CF8" w:rsidRDefault="00972CF8" w:rsidP="00972CF8">
      <w:pPr>
        <w:pStyle w:val="Caption"/>
      </w:pPr>
      <w:bookmarkStart w:id="101" w:name="_Ref450910134"/>
      <w:r>
        <w:t xml:space="preserve">Table </w:t>
      </w:r>
      <w:fldSimple w:instr=" STYLEREF 1 \s ">
        <w:r w:rsidR="003F1AAB">
          <w:rPr>
            <w:noProof/>
          </w:rPr>
          <w:t>3</w:t>
        </w:r>
      </w:fldSimple>
      <w:r>
        <w:noBreakHyphen/>
      </w:r>
      <w:fldSimple w:instr=" SEQ Table \* ARABIC \s 1 ">
        <w:r w:rsidR="003F1AAB">
          <w:rPr>
            <w:noProof/>
          </w:rPr>
          <w:t>20</w:t>
        </w:r>
      </w:fldSimple>
      <w:bookmarkEnd w:id="101"/>
      <w:r>
        <w:t>: Potential biases under the breakeven approach</w:t>
      </w:r>
    </w:p>
    <w:tbl>
      <w:tblPr>
        <w:tblStyle w:val="AERtable-text0"/>
        <w:tblW w:w="0" w:type="auto"/>
        <w:tblLook w:val="04A0" w:firstRow="1" w:lastRow="0" w:firstColumn="1" w:lastColumn="0" w:noHBand="0" w:noVBand="1"/>
      </w:tblPr>
      <w:tblGrid>
        <w:gridCol w:w="1171"/>
        <w:gridCol w:w="1631"/>
        <w:gridCol w:w="3685"/>
        <w:gridCol w:w="2206"/>
      </w:tblGrid>
      <w:tr w:rsidR="00972CF8" w:rsidTr="00E42A91">
        <w:trPr>
          <w:cnfStyle w:val="100000000000" w:firstRow="1" w:lastRow="0" w:firstColumn="0" w:lastColumn="0" w:oddVBand="0" w:evenVBand="0" w:oddHBand="0" w:evenHBand="0" w:firstRowFirstColumn="0" w:firstRowLastColumn="0" w:lastRowFirstColumn="0" w:lastRowLastColumn="0"/>
        </w:trPr>
        <w:tc>
          <w:tcPr>
            <w:tcW w:w="1171" w:type="dxa"/>
          </w:tcPr>
          <w:p w:rsidR="00972CF8" w:rsidRPr="00972CF8" w:rsidRDefault="00972CF8" w:rsidP="00972CF8">
            <w:r>
              <w:t>Potential bias</w:t>
            </w:r>
          </w:p>
        </w:tc>
        <w:tc>
          <w:tcPr>
            <w:tcW w:w="1631" w:type="dxa"/>
          </w:tcPr>
          <w:p w:rsidR="00972CF8" w:rsidRPr="00972CF8" w:rsidRDefault="00972CF8" w:rsidP="00972CF8">
            <w:r>
              <w:t>Effect on estimates</w:t>
            </w:r>
          </w:p>
        </w:tc>
        <w:tc>
          <w:tcPr>
            <w:tcW w:w="3685" w:type="dxa"/>
          </w:tcPr>
          <w:p w:rsidR="00972CF8" w:rsidRPr="00972CF8" w:rsidRDefault="00972CF8" w:rsidP="00972CF8">
            <w:r>
              <w:t>Explanation</w:t>
            </w:r>
          </w:p>
        </w:tc>
        <w:tc>
          <w:tcPr>
            <w:tcW w:w="2206" w:type="dxa"/>
          </w:tcPr>
          <w:p w:rsidR="00972CF8" w:rsidRPr="00972CF8" w:rsidRDefault="00972CF8" w:rsidP="00972CF8">
            <w:r>
              <w:t>Adjustment needed?</w:t>
            </w:r>
          </w:p>
        </w:tc>
      </w:tr>
      <w:tr w:rsidR="00972CF8" w:rsidTr="00E42A91">
        <w:tc>
          <w:tcPr>
            <w:tcW w:w="1171" w:type="dxa"/>
          </w:tcPr>
          <w:p w:rsidR="00972CF8" w:rsidRPr="00972CF8" w:rsidRDefault="00972CF8" w:rsidP="00972CF8">
            <w:r w:rsidRPr="00D273FA">
              <w:t>Convexity</w:t>
            </w:r>
          </w:p>
        </w:tc>
        <w:tc>
          <w:tcPr>
            <w:tcW w:w="1631" w:type="dxa"/>
          </w:tcPr>
          <w:p w:rsidR="00972CF8" w:rsidRPr="00972CF8" w:rsidRDefault="00972CF8" w:rsidP="00972CF8">
            <w:r>
              <w:t>Underestimate</w:t>
            </w:r>
          </w:p>
        </w:tc>
        <w:tc>
          <w:tcPr>
            <w:tcW w:w="3685" w:type="dxa"/>
          </w:tcPr>
          <w:p w:rsidR="00972CF8" w:rsidRPr="00972CF8" w:rsidRDefault="00972CF8" w:rsidP="00972CF8">
            <w:r>
              <w:t xml:space="preserve">Differences in convexity and convexity bias between indexed and nominal bonds mean that the implied breakeven inflation rate may differ from inflation expectations. </w:t>
            </w:r>
          </w:p>
          <w:p w:rsidR="00972CF8" w:rsidRPr="00972CF8" w:rsidRDefault="00972CF8" w:rsidP="00972CF8">
            <w:r w:rsidRPr="00EA48FF">
              <w:t>Convexity bias results in a downward bias of bond yields and nominal bond yields are generally more downwardly biased than indexed bond yields. This is because convexity bias is sensitive to yield volatility and nominal bond yields are generally more volatile than indexed bond yields. As a result, the differences in bond convexity bias could bias long-term brea</w:t>
            </w:r>
            <w:r w:rsidRPr="00972CF8">
              <w:t>keven inflation rates below inflation expectations.</w:t>
            </w:r>
            <w:r w:rsidRPr="00972CF8">
              <w:rPr>
                <w:rStyle w:val="FootnoteReference"/>
              </w:rPr>
              <w:t xml:space="preserve"> </w:t>
            </w:r>
            <w:r w:rsidRPr="00972CF8">
              <w:rPr>
                <w:rStyle w:val="FootnoteReference"/>
              </w:rPr>
              <w:footnoteReference w:id="518"/>
            </w:r>
            <w:r w:rsidRPr="00972CF8">
              <w:t xml:space="preserve"> </w:t>
            </w:r>
          </w:p>
        </w:tc>
        <w:tc>
          <w:tcPr>
            <w:tcW w:w="2206" w:type="dxa"/>
          </w:tcPr>
          <w:p w:rsidR="00972CF8" w:rsidRPr="00972CF8" w:rsidRDefault="00972CF8" w:rsidP="00972CF8">
            <w:r>
              <w:t>Yes</w:t>
            </w:r>
          </w:p>
        </w:tc>
      </w:tr>
      <w:tr w:rsidR="00972CF8" w:rsidTr="00E42A91">
        <w:trPr>
          <w:cnfStyle w:val="000000010000" w:firstRow="0" w:lastRow="0" w:firstColumn="0" w:lastColumn="0" w:oddVBand="0" w:evenVBand="0" w:oddHBand="0" w:evenHBand="1" w:firstRowFirstColumn="0" w:firstRowLastColumn="0" w:lastRowFirstColumn="0" w:lastRowLastColumn="0"/>
        </w:trPr>
        <w:tc>
          <w:tcPr>
            <w:tcW w:w="1171" w:type="dxa"/>
          </w:tcPr>
          <w:p w:rsidR="00972CF8" w:rsidRPr="00972CF8" w:rsidRDefault="00972CF8" w:rsidP="00972CF8">
            <w:r w:rsidRPr="00D273FA">
              <w:t>Inflation risk premium</w:t>
            </w:r>
          </w:p>
        </w:tc>
        <w:tc>
          <w:tcPr>
            <w:tcW w:w="1631" w:type="dxa"/>
          </w:tcPr>
          <w:p w:rsidR="00972CF8" w:rsidRPr="00972CF8" w:rsidRDefault="00972CF8" w:rsidP="00972CF8">
            <w:r>
              <w:t>Generally an o</w:t>
            </w:r>
            <w:r w:rsidRPr="00972CF8">
              <w:t>verestimate.</w:t>
            </w:r>
          </w:p>
          <w:p w:rsidR="00972CF8" w:rsidRPr="00972CF8" w:rsidRDefault="00972CF8" w:rsidP="00972CF8">
            <w:r>
              <w:t>Potential u</w:t>
            </w:r>
            <w:r w:rsidRPr="00972CF8">
              <w:t>nderestimate if there are concerns about deflation or very low inflation.</w:t>
            </w:r>
            <w:r w:rsidRPr="00972CF8">
              <w:rPr>
                <w:rStyle w:val="FootnoteReference"/>
              </w:rPr>
              <w:footnoteReference w:id="519"/>
            </w:r>
          </w:p>
        </w:tc>
        <w:tc>
          <w:tcPr>
            <w:tcW w:w="3685" w:type="dxa"/>
          </w:tcPr>
          <w:p w:rsidR="00972CF8" w:rsidRPr="00972CF8" w:rsidRDefault="00972CF8" w:rsidP="00972CF8">
            <w:r w:rsidRPr="00D273FA">
              <w:t>Nominal bondhold</w:t>
            </w:r>
            <w:r w:rsidRPr="00972CF8">
              <w:t xml:space="preserve">ers will demand compensation for inﬂation risk as the actual inflation rate may not match the expected inflation rate. The implied breakeven inflation rate is likely to exceed the expected inflation rate if there is an inflation risk premium in nominal bond yields. </w:t>
            </w:r>
          </w:p>
          <w:p w:rsidR="00972CF8" w:rsidRPr="00972CF8" w:rsidRDefault="00972CF8" w:rsidP="00972CF8">
            <w:r w:rsidRPr="00D273FA">
              <w:t xml:space="preserve">However, if there are </w:t>
            </w:r>
            <w:r w:rsidRPr="00972CF8">
              <w:t>concerns about deflation, the inflation risk premium may become negative and the breakeven inflation rate may underestimate expected inflation.</w:t>
            </w:r>
          </w:p>
        </w:tc>
        <w:tc>
          <w:tcPr>
            <w:tcW w:w="2206" w:type="dxa"/>
          </w:tcPr>
          <w:p w:rsidR="00972CF8" w:rsidRPr="00972CF8" w:rsidRDefault="00972CF8" w:rsidP="00972CF8">
            <w:r>
              <w:t xml:space="preserve">Yes, if our goal is to </w:t>
            </w:r>
            <w:r w:rsidRPr="00972CF8">
              <w:t>only estimate expected inflation.</w:t>
            </w:r>
          </w:p>
          <w:p w:rsidR="00972CF8" w:rsidRPr="00972CF8" w:rsidRDefault="00972CF8" w:rsidP="00972CF8">
            <w:r>
              <w:t xml:space="preserve">No, if our goal is to convert a nominal rate of return with an inflation risk premium into a real rate of return for a business with no inflation risk. </w:t>
            </w:r>
          </w:p>
        </w:tc>
      </w:tr>
      <w:tr w:rsidR="00972CF8" w:rsidTr="00E42A91">
        <w:tc>
          <w:tcPr>
            <w:tcW w:w="1171" w:type="dxa"/>
          </w:tcPr>
          <w:p w:rsidR="00972CF8" w:rsidRPr="00972CF8" w:rsidRDefault="00972CF8" w:rsidP="00972CF8">
            <w:r w:rsidRPr="00D273FA">
              <w:t>Liquidity premium</w:t>
            </w:r>
          </w:p>
        </w:tc>
        <w:tc>
          <w:tcPr>
            <w:tcW w:w="1631" w:type="dxa"/>
          </w:tcPr>
          <w:p w:rsidR="00972CF8" w:rsidRPr="00972CF8" w:rsidRDefault="00972CF8" w:rsidP="00972CF8">
            <w:r>
              <w:t>Underestimate</w:t>
            </w:r>
          </w:p>
        </w:tc>
        <w:tc>
          <w:tcPr>
            <w:tcW w:w="3685" w:type="dxa"/>
          </w:tcPr>
          <w:p w:rsidR="00972CF8" w:rsidRPr="00972CF8" w:rsidRDefault="00972CF8" w:rsidP="00972CF8">
            <w:r>
              <w:t>T</w:t>
            </w:r>
            <w:r w:rsidRPr="00972CF8">
              <w:t>he indexed bond market is likely to be less liquid than the nominal bond market and as a result the breakeven inflation rate is likely to include a liquidity premium.</w:t>
            </w:r>
          </w:p>
          <w:p w:rsidR="00972CF8" w:rsidRPr="00972CF8" w:rsidRDefault="00972CF8" w:rsidP="00972CF8">
            <w:r w:rsidRPr="00EA48FF">
              <w:t>The differential liquidity premium between nominal and indexed bonds may also be time-varying. This premium is likely to be greater during periods of uncertainty when there is a ‘flight’ to more liquid nominal bond markets.</w:t>
            </w:r>
            <w:r w:rsidRPr="00972CF8">
              <w:rPr>
                <w:rStyle w:val="FootnoteReference"/>
              </w:rPr>
              <w:footnoteReference w:id="520"/>
            </w:r>
            <w:r w:rsidRPr="00972CF8">
              <w:t xml:space="preserve"> This would result in a narrow spread between nominal and indexed bond yields caused by greater uncertainty rather than a fall in expected inflation. If we accept CEG's forecasts of weak economic activity and an 'inflation trap', any resulting financial market uncertainty may give rise to a large liquidity premium in the breakeven inflation rate.</w:t>
            </w:r>
          </w:p>
        </w:tc>
        <w:tc>
          <w:tcPr>
            <w:tcW w:w="2206" w:type="dxa"/>
          </w:tcPr>
          <w:p w:rsidR="00972CF8" w:rsidRPr="00972CF8" w:rsidRDefault="00972CF8" w:rsidP="00972CF8">
            <w:r>
              <w:t>Yes</w:t>
            </w:r>
          </w:p>
        </w:tc>
      </w:tr>
      <w:tr w:rsidR="00972CF8" w:rsidTr="00E42A91">
        <w:trPr>
          <w:cnfStyle w:val="000000010000" w:firstRow="0" w:lastRow="0" w:firstColumn="0" w:lastColumn="0" w:oddVBand="0" w:evenVBand="0" w:oddHBand="0" w:evenHBand="1" w:firstRowFirstColumn="0" w:firstRowLastColumn="0" w:lastRowFirstColumn="0" w:lastRowLastColumn="0"/>
        </w:trPr>
        <w:tc>
          <w:tcPr>
            <w:tcW w:w="1171" w:type="dxa"/>
          </w:tcPr>
          <w:p w:rsidR="00972CF8" w:rsidRPr="00972CF8" w:rsidRDefault="00972CF8" w:rsidP="00972CF8">
            <w:r w:rsidRPr="00D273FA">
              <w:t>Inflation indexation lag</w:t>
            </w:r>
          </w:p>
        </w:tc>
        <w:tc>
          <w:tcPr>
            <w:tcW w:w="1631" w:type="dxa"/>
          </w:tcPr>
          <w:p w:rsidR="00972CF8" w:rsidRPr="00972CF8" w:rsidRDefault="00972CF8" w:rsidP="00972CF8">
            <w:r>
              <w:t>U</w:t>
            </w:r>
            <w:r w:rsidRPr="00972CF8">
              <w:t>nderestimate or overestimate – potentially small if inflation is stable and the indexation lag is small.</w:t>
            </w:r>
          </w:p>
        </w:tc>
        <w:tc>
          <w:tcPr>
            <w:tcW w:w="3685" w:type="dxa"/>
          </w:tcPr>
          <w:p w:rsidR="00972CF8" w:rsidRPr="00972CF8" w:rsidRDefault="00972CF8" w:rsidP="00972CF8">
            <w:r>
              <w:t>I</w:t>
            </w:r>
            <w:r w:rsidRPr="00972CF8">
              <w:t>ndexed CGS yields reflect some historical inflation as there are lags between movements in the price index and adjustments of indexed bond cash flows.</w:t>
            </w:r>
            <w:r w:rsidRPr="00972CF8">
              <w:rPr>
                <w:rStyle w:val="FootnoteReference"/>
              </w:rPr>
              <w:footnoteReference w:id="521"/>
            </w:r>
            <w:r w:rsidRPr="00972CF8">
              <w:t xml:space="preserve"> The indexation lag on indexed CGS is considerable - between 4.5 and 5.5 months.</w:t>
            </w:r>
          </w:p>
          <w:p w:rsidR="00972CF8" w:rsidRPr="00972CF8" w:rsidRDefault="00972CF8" w:rsidP="00972CF8">
            <w:r>
              <w:t>As a result of indexation lag, i</w:t>
            </w:r>
            <w:r w:rsidRPr="00972CF8">
              <w:t xml:space="preserve">f historical inflation is high (low) relative to the inflation rate expected by the market then, all else equal, the real yield to maturity on the indexed bond may be higher (lower) than its ‘true’ real yield and the breakeven approach may underestimate (overestimate) the expected inflation rate. </w:t>
            </w:r>
          </w:p>
          <w:p w:rsidR="00972CF8" w:rsidRPr="00972CF8" w:rsidRDefault="00972CF8" w:rsidP="00972CF8">
            <w:r w:rsidRPr="00D273FA">
              <w:t>A</w:t>
            </w:r>
            <w:r w:rsidRPr="00972CF8">
              <w:t>lso, due to indexation lag, the real return on indexed bonds may be exposed to some inflation risk and may include an inflation risk premium.</w:t>
            </w:r>
            <w:r w:rsidRPr="00972CF8">
              <w:rPr>
                <w:rStyle w:val="FootnoteReference"/>
              </w:rPr>
              <w:footnoteReference w:id="522"/>
            </w:r>
          </w:p>
        </w:tc>
        <w:tc>
          <w:tcPr>
            <w:tcW w:w="2206" w:type="dxa"/>
          </w:tcPr>
          <w:p w:rsidR="00972CF8" w:rsidRPr="00972CF8" w:rsidRDefault="00972CF8" w:rsidP="00972CF8">
            <w:r>
              <w:t>Potentially not if immaterial.</w:t>
            </w:r>
            <w:r w:rsidRPr="00972CF8">
              <w:t xml:space="preserve"> </w:t>
            </w:r>
          </w:p>
        </w:tc>
      </w:tr>
    </w:tbl>
    <w:p w:rsidR="00972CF8" w:rsidRDefault="00972CF8" w:rsidP="00972CF8">
      <w:pPr>
        <w:rPr>
          <w:rStyle w:val="AERbody"/>
        </w:rPr>
      </w:pPr>
    </w:p>
    <w:p w:rsidR="00972CF8" w:rsidRPr="008F77D5" w:rsidRDefault="00972CF8" w:rsidP="00972CF8">
      <w:r w:rsidRPr="00EA48FF">
        <w:rPr>
          <w:rStyle w:val="AERbody"/>
        </w:rPr>
        <w:t xml:space="preserve">It is worth noting that the potentially material biases in </w:t>
      </w:r>
      <w:r>
        <w:rPr>
          <w:rStyle w:val="AERbody"/>
        </w:rPr>
        <w:fldChar w:fldCharType="begin"/>
      </w:r>
      <w:r>
        <w:rPr>
          <w:rStyle w:val="AERbody"/>
        </w:rPr>
        <w:instrText xml:space="preserve"> REF  _Ref450910134 \* Lower \h </w:instrText>
      </w:r>
      <w:r>
        <w:rPr>
          <w:rStyle w:val="AERbody"/>
        </w:rPr>
      </w:r>
      <w:r>
        <w:rPr>
          <w:rStyle w:val="AERbody"/>
        </w:rPr>
        <w:fldChar w:fldCharType="separate"/>
      </w:r>
      <w:r w:rsidR="003F1AAB">
        <w:t xml:space="preserve">table </w:t>
      </w:r>
      <w:r w:rsidR="003F1AAB">
        <w:rPr>
          <w:noProof/>
        </w:rPr>
        <w:t>3</w:t>
      </w:r>
      <w:r w:rsidR="003F1AAB">
        <w:noBreakHyphen/>
      </w:r>
      <w:r w:rsidR="003F1AAB">
        <w:rPr>
          <w:noProof/>
        </w:rPr>
        <w:t>20</w:t>
      </w:r>
      <w:r>
        <w:rPr>
          <w:rStyle w:val="AERbody"/>
        </w:rPr>
        <w:fldChar w:fldCharType="end"/>
      </w:r>
      <w:r>
        <w:rPr>
          <w:rStyle w:val="AERbody"/>
        </w:rPr>
        <w:t xml:space="preserve"> </w:t>
      </w:r>
      <w:r w:rsidRPr="00EA48FF">
        <w:rPr>
          <w:rStyle w:val="AERbody"/>
        </w:rPr>
        <w:t xml:space="preserve">have yet to be raised or discussed. </w:t>
      </w:r>
      <w:r>
        <w:t>This provides further support for broad consultation with</w:t>
      </w:r>
      <w:r w:rsidRPr="008D2805">
        <w:t xml:space="preserve"> all stakeholders</w:t>
      </w:r>
      <w:r>
        <w:t xml:space="preserve"> prior to changing approaches as this would illicit stakeholder input to the various benefits and limitations to a change in approach. For instance, </w:t>
      </w:r>
      <w:r w:rsidRPr="00EA48FF">
        <w:rPr>
          <w:rStyle w:val="AERbody"/>
        </w:rPr>
        <w:t>there is a range of limitations to the breakeven approach that</w:t>
      </w:r>
      <w:r w:rsidRPr="008F77D5">
        <w:t xml:space="preserve"> </w:t>
      </w:r>
      <w:r>
        <w:t>AusNet Services has not raised</w:t>
      </w:r>
      <w:r w:rsidRPr="008F77D5">
        <w:t xml:space="preserve"> and stakeholders may </w:t>
      </w:r>
      <w:r>
        <w:t>be</w:t>
      </w:r>
      <w:r w:rsidRPr="009B0F8C">
        <w:t xml:space="preserve"> yet </w:t>
      </w:r>
      <w:r>
        <w:t xml:space="preserve">to </w:t>
      </w:r>
      <w:r w:rsidRPr="009B0F8C">
        <w:t>consider</w:t>
      </w:r>
      <w:r w:rsidRPr="008F77D5">
        <w:t>. Where possible, it would be prudent to adjust for any identifiable material biases if such a review lead us to adopt the breakeven approach (or another method, such as one</w:t>
      </w:r>
      <w:r>
        <w:t xml:space="preserve"> based on interest rate swaps).</w:t>
      </w:r>
    </w:p>
    <w:p w:rsidR="00972CF8" w:rsidRPr="005F5142" w:rsidRDefault="00972CF8" w:rsidP="00376690">
      <w:pPr>
        <w:pStyle w:val="HeadingBoldItalic"/>
      </w:pPr>
      <w:r w:rsidRPr="005F5142">
        <w:t>Limitations under market imperfections</w:t>
      </w:r>
    </w:p>
    <w:p w:rsidR="00972CF8" w:rsidRDefault="00972CF8" w:rsidP="00972CF8">
      <w:r w:rsidRPr="005F5142">
        <w:t>Market imperfections can undermine the ability of the breakeven approach to estimate the market's inflation expectations. For this reason, our use of the breakeven approach pre-2008 had been criticised by various stakeholders.</w:t>
      </w:r>
      <w:r w:rsidRPr="005F5142">
        <w:rPr>
          <w:rStyle w:val="FootnoteReference"/>
        </w:rPr>
        <w:footnoteReference w:id="523"/>
      </w:r>
      <w:r w:rsidRPr="005F5142">
        <w:t xml:space="preserve"> </w:t>
      </w:r>
      <w:r>
        <w:t>CEG has recognised this in the past when advising that it was generally reasonable to use RBA forecasts and that its estimate of expected inflation using the breakeven approach (at that time) was, 'at odds with credible forecasts by the RBA and all other macro-economic experts'.</w:t>
      </w:r>
      <w:r>
        <w:rPr>
          <w:rStyle w:val="FootnoteReference"/>
        </w:rPr>
        <w:footnoteReference w:id="524"/>
      </w:r>
      <w:r>
        <w:t xml:space="preserve"> CEG has recognised this in its recent advice.</w:t>
      </w:r>
      <w:r>
        <w:rPr>
          <w:rStyle w:val="FootnoteReference"/>
        </w:rPr>
        <w:footnoteReference w:id="525"/>
      </w:r>
      <w:r>
        <w:t xml:space="preserve"> </w:t>
      </w:r>
    </w:p>
    <w:p w:rsidR="00972CF8" w:rsidRDefault="00972CF8" w:rsidP="00972CF8">
      <w:r>
        <w:t>AusNet Services indicates that market imperfections are no longer a material concern for estimating expected inflation when it submits:</w:t>
      </w:r>
      <w:r>
        <w:rPr>
          <w:rStyle w:val="FootnoteReference"/>
        </w:rPr>
        <w:footnoteReference w:id="526"/>
      </w:r>
    </w:p>
    <w:p w:rsidR="00972CF8" w:rsidRPr="00972CF8" w:rsidRDefault="00972CF8" w:rsidP="00376690">
      <w:pPr>
        <w:pStyle w:val="AERquote"/>
      </w:pPr>
      <w:r w:rsidRPr="00D267B3">
        <w:t>…</w:t>
      </w:r>
      <w:r w:rsidRPr="00972CF8">
        <w:t>between 1995 and 2008, there was a marked reduction in the volume of all CGS on issue. There are some investor classes for which adequate substitutes for CGS were not available, and there was a belief in the market that observed yields on CGS might have been affected by that scarcity. However, since 2008, the volumes of CGS on issue have increased significantly, both in dollar terms and as a proportion of GDP… The value of indexed CGS on issue has increased from approximately $6 billion in 2009 to $18 billion in 2013. Furthermore, the outstanding stock of CGS is not expected to diminish at all over the regulatory period.</w:t>
      </w:r>
    </w:p>
    <w:p w:rsidR="00972CF8" w:rsidRPr="005F5142" w:rsidRDefault="00972CF8" w:rsidP="00972CF8">
      <w:r w:rsidRPr="005F5142">
        <w:t xml:space="preserve">We agree with </w:t>
      </w:r>
      <w:r>
        <w:t>AusNet Services’</w:t>
      </w:r>
      <w:r w:rsidRPr="005F5142">
        <w:t xml:space="preserve"> observation that there has been an increase in the size of the indexed CGS market (there are currently seven types of indexed CGS on issue).</w:t>
      </w:r>
      <w:r w:rsidRPr="005F5142">
        <w:rPr>
          <w:rStyle w:val="FootnoteReference"/>
        </w:rPr>
        <w:footnoteReference w:id="527"/>
      </w:r>
      <w:r w:rsidRPr="005F5142">
        <w:t xml:space="preserve"> However, we do not consider th</w:t>
      </w:r>
      <w:r>
        <w:t>is</w:t>
      </w:r>
      <w:r w:rsidRPr="005F5142">
        <w:t xml:space="preserve"> means that market disto</w:t>
      </w:r>
      <w:r>
        <w:t>rtions are no longer a concern.</w:t>
      </w:r>
    </w:p>
    <w:p w:rsidR="00972CF8" w:rsidRPr="005F5142" w:rsidRDefault="00972CF8" w:rsidP="00972CF8">
      <w:r w:rsidRPr="005F5142">
        <w:t>For instance, despite having improved since 2007, the size and liquidity of the indexed CGS market is still limited.</w:t>
      </w:r>
      <w:r w:rsidRPr="005F5142">
        <w:rPr>
          <w:rStyle w:val="FootnoteReference"/>
        </w:rPr>
        <w:footnoteReference w:id="528"/>
      </w:r>
      <w:r w:rsidRPr="005F5142">
        <w:t xml:space="preserve"> Further, increased</w:t>
      </w:r>
      <w:r>
        <w:t xml:space="preserve"> </w:t>
      </w:r>
      <w:r w:rsidRPr="007D3879">
        <w:rPr>
          <w:rStyle w:val="AERtextitalic"/>
        </w:rPr>
        <w:t>absolute</w:t>
      </w:r>
      <w:r w:rsidRPr="005F5142">
        <w:t xml:space="preserve"> liquidity in the indexed CGS market does not necessarily imply that th</w:t>
      </w:r>
      <w:r>
        <w:t>is</w:t>
      </w:r>
      <w:r w:rsidRPr="005F5142">
        <w:t xml:space="preserve"> market has become more liquid</w:t>
      </w:r>
      <w:r w:rsidRPr="005F5142">
        <w:rPr>
          <w:rStyle w:val="AERtextitalic"/>
        </w:rPr>
        <w:t xml:space="preserve"> relative</w:t>
      </w:r>
      <w:r w:rsidRPr="005F5142">
        <w:t xml:space="preserve"> to </w:t>
      </w:r>
      <w:r>
        <w:t xml:space="preserve">the </w:t>
      </w:r>
      <w:r w:rsidRPr="005F5142">
        <w:t>nominal CGS</w:t>
      </w:r>
      <w:r>
        <w:t xml:space="preserve"> market</w:t>
      </w:r>
      <w:r w:rsidRPr="005F5142">
        <w:t xml:space="preserve">. </w:t>
      </w:r>
      <w:r>
        <w:t xml:space="preserve">This is important because </w:t>
      </w:r>
      <w:r w:rsidRPr="005F5142">
        <w:t xml:space="preserve">relative liquidity </w:t>
      </w:r>
      <w:r>
        <w:t xml:space="preserve">between these two markets determines </w:t>
      </w:r>
      <w:r w:rsidRPr="005F5142">
        <w:t>the liquidity bias in implied breakeven rates. Trading volume of indexed CGS expressed share of total indexed and nominal CGS can be used as a measure of the relative liquidity.</w:t>
      </w:r>
      <w:r w:rsidRPr="005F5142">
        <w:rPr>
          <w:rStyle w:val="FootnoteReference"/>
        </w:rPr>
        <w:footnoteReference w:id="529"/>
      </w:r>
      <w:r w:rsidRPr="005F5142">
        <w:t xml:space="preserve"> According to this metric, there has only been a minor improvement to relative liquidity of the indexed CGS since early 2008.</w:t>
      </w:r>
      <w:r w:rsidRPr="005F5142">
        <w:rPr>
          <w:rStyle w:val="FootnoteReference"/>
        </w:rPr>
        <w:footnoteReference w:id="530"/>
      </w:r>
      <w:r w:rsidRPr="005F5142">
        <w:t xml:space="preserve"> </w:t>
      </w:r>
      <w:r>
        <w:t>Liquidity</w:t>
      </w:r>
      <w:r w:rsidRPr="005F5142">
        <w:t xml:space="preserve"> bias can be material and difficult to </w:t>
      </w:r>
      <w:r>
        <w:t>identify and remove from the breakeven rate</w:t>
      </w:r>
      <w:r w:rsidRPr="005F5142">
        <w:t>―particularly as evidence indicates that it can vary considerably over time.</w:t>
      </w:r>
      <w:r w:rsidRPr="005F5142">
        <w:rPr>
          <w:rStyle w:val="FootnoteReference"/>
        </w:rPr>
        <w:footnoteReference w:id="531"/>
      </w:r>
    </w:p>
    <w:p w:rsidR="00972CF8" w:rsidRDefault="00972CF8" w:rsidP="00972CF8">
      <w:r w:rsidRPr="005F5142">
        <w:t xml:space="preserve">Further, </w:t>
      </w:r>
      <w:r>
        <w:t>while</w:t>
      </w:r>
      <w:r w:rsidRPr="005F5142">
        <w:t xml:space="preserve"> CEG suggest</w:t>
      </w:r>
      <w:r>
        <w:t>s</w:t>
      </w:r>
      <w:r w:rsidRPr="005F5142">
        <w:t xml:space="preserve"> the current approach is producing unusual results</w:t>
      </w:r>
      <w:r>
        <w:t xml:space="preserve">, it </w:t>
      </w:r>
      <w:r w:rsidRPr="005F5142">
        <w:t>is not clear that</w:t>
      </w:r>
      <w:r>
        <w:t xml:space="preserve"> this is the case</w:t>
      </w:r>
      <w:r w:rsidRPr="005F5142">
        <w:t>. Another market-based method for estimating expected inflation entails using inflation swaps. CEG's application of this method showed that a 10 year inflation expectation of approximately 2.6 per cent, which was higher than what the current approach produced at that time (2.5 per cent). While CEG advised that hedging costs cause an upward bias in inflation estimates from swaps, it is worth noting that the breakeven approach is not free from bias either.</w:t>
      </w:r>
      <w:r w:rsidRPr="005F5142">
        <w:rPr>
          <w:rStyle w:val="FootnoteReference"/>
        </w:rPr>
        <w:footnoteReference w:id="532"/>
      </w:r>
      <w:r w:rsidRPr="005F5142">
        <w:t xml:space="preserve"> Inflation swaps also have some advantages over the breakeven approach. For instance, </w:t>
      </w:r>
      <w:r>
        <w:t xml:space="preserve">the Treasury, the RBA and several academic researchers observe that, as estimates of expected inflation, inflation swap rates are </w:t>
      </w:r>
      <w:r w:rsidRPr="005F5142">
        <w:t>less affected by</w:t>
      </w:r>
      <w:r>
        <w:t xml:space="preserve"> </w:t>
      </w:r>
      <w:r w:rsidRPr="005F5142">
        <w:t>liquidity premia</w:t>
      </w:r>
      <w:r>
        <w:t xml:space="preserve"> than</w:t>
      </w:r>
      <w:r w:rsidRPr="007D5816">
        <w:t xml:space="preserve"> </w:t>
      </w:r>
      <w:r>
        <w:t>the bond breakeven inflation rate</w:t>
      </w:r>
      <w:r w:rsidRPr="005F5142">
        <w:t>.</w:t>
      </w:r>
      <w:r w:rsidRPr="005F5142">
        <w:rPr>
          <w:rStyle w:val="FootnoteReference"/>
        </w:rPr>
        <w:footnoteReference w:id="533"/>
      </w:r>
    </w:p>
    <w:p w:rsidR="00972CF8" w:rsidRDefault="00972CF8" w:rsidP="00972CF8">
      <w:pPr>
        <w:pStyle w:val="HeadingBoldBlue"/>
      </w:pPr>
      <w:bookmarkStart w:id="102" w:name="_Toc450909479"/>
      <w:r>
        <w:t>Amending methods in the future</w:t>
      </w:r>
      <w:bookmarkEnd w:id="102"/>
      <w:r>
        <w:t xml:space="preserve"> </w:t>
      </w:r>
    </w:p>
    <w:p w:rsidR="00972CF8" w:rsidRDefault="00972CF8" w:rsidP="00972CF8">
      <w:r>
        <w:t>We consider the NER require that</w:t>
      </w:r>
      <w:r w:rsidRPr="003F28B8">
        <w:t xml:space="preserve"> changes/amendments to the PTRM</w:t>
      </w:r>
      <w:r w:rsidRPr="008F77D5">
        <w:t xml:space="preserve">, which would apply to all service providers, must be done in accordance with the </w:t>
      </w:r>
      <w:r>
        <w:t xml:space="preserve">transmission </w:t>
      </w:r>
      <w:r w:rsidRPr="008F77D5">
        <w:t>consultation procedures.</w:t>
      </w:r>
      <w:r w:rsidRPr="008F77D5">
        <w:rPr>
          <w:rStyle w:val="FootnoteReference"/>
        </w:rPr>
        <w:footnoteReference w:id="534"/>
      </w:r>
      <w:r w:rsidRPr="008F77D5">
        <w:t xml:space="preserve"> This applies to inflation, which is addressed through the PTRM rather than the rate of return (which is to be in nominal terms).</w:t>
      </w:r>
      <w:r w:rsidRPr="008F77D5">
        <w:rPr>
          <w:rStyle w:val="FootnoteReference"/>
        </w:rPr>
        <w:footnoteReference w:id="535"/>
      </w:r>
    </w:p>
    <w:p w:rsidR="00972CF8" w:rsidRPr="00746B06" w:rsidRDefault="00972CF8" w:rsidP="00972CF8">
      <w:r>
        <w:rPr>
          <w:rStyle w:val="AERbody"/>
        </w:rPr>
        <w:t xml:space="preserve">On a more general note, we consider there </w:t>
      </w:r>
      <w:r w:rsidRPr="00746B06">
        <w:t>are good reasons for maintaining</w:t>
      </w:r>
      <w:r>
        <w:t xml:space="preserve"> </w:t>
      </w:r>
      <w:r w:rsidRPr="00746B06">
        <w:rPr>
          <w:rStyle w:val="AERbody"/>
        </w:rPr>
        <w:t xml:space="preserve">a methodology </w:t>
      </w:r>
      <w:r>
        <w:rPr>
          <w:rStyle w:val="AERbody"/>
        </w:rPr>
        <w:t xml:space="preserve">for estimating inflation expectations </w:t>
      </w:r>
      <w:r w:rsidRPr="00746B06">
        <w:rPr>
          <w:rStyle w:val="AERbody"/>
        </w:rPr>
        <w:t>that is broadly accepted as sound</w:t>
      </w:r>
      <w:r>
        <w:rPr>
          <w:rStyle w:val="AERbody"/>
        </w:rPr>
        <w:t xml:space="preserve"> </w:t>
      </w:r>
      <w:r w:rsidRPr="00746B06">
        <w:t>rather than changing approaches across resets</w:t>
      </w:r>
      <w:r>
        <w:t xml:space="preserve"> (noting that we do not consider service providers </w:t>
      </w:r>
      <w:r w:rsidRPr="008769C3">
        <w:t>have shown broad support to permanently return to the breakeven approach</w:t>
      </w:r>
      <w:r>
        <w:t>)</w:t>
      </w:r>
      <w:r w:rsidRPr="008769C3">
        <w:t>.</w:t>
      </w:r>
      <w:r w:rsidRPr="008769C3">
        <w:rPr>
          <w:rStyle w:val="FootnoteReference"/>
        </w:rPr>
        <w:footnoteReference w:id="536"/>
      </w:r>
      <w:r w:rsidRPr="00746B06">
        <w:t xml:space="preserve"> This is because:</w:t>
      </w:r>
    </w:p>
    <w:p w:rsidR="00972CF8" w:rsidRDefault="00972CF8" w:rsidP="00972CF8">
      <w:pPr>
        <w:pStyle w:val="AERbulletlistfirststyle"/>
      </w:pPr>
      <w:r>
        <w:t xml:space="preserve">The </w:t>
      </w:r>
      <w:r w:rsidRPr="00175DB3">
        <w:rPr>
          <w:rStyle w:val="AERtextunderline"/>
        </w:rPr>
        <w:t>method</w:t>
      </w:r>
      <w:r>
        <w:t xml:space="preserve"> that we determine is likely to result in the best estimates of expected inflation must be contained in the PTRM.</w:t>
      </w:r>
      <w:r w:rsidRPr="003A1732">
        <w:rPr>
          <w:rStyle w:val="FootnoteReference"/>
        </w:rPr>
        <w:footnoteReference w:id="537"/>
      </w:r>
      <w:r>
        <w:t xml:space="preserve"> The rules specify that we may amend the PTRM in accordance with transmission consultation procedures.</w:t>
      </w:r>
      <w:r w:rsidRPr="008769C3">
        <w:rPr>
          <w:rStyle w:val="FootnoteReference"/>
        </w:rPr>
        <w:footnoteReference w:id="538"/>
      </w:r>
      <w:r>
        <w:t xml:space="preserve"> It is valuable to follow transmission consultation procedures in amending this aspect of the PTRM because the method for estimating expected inflation applies to all service providers. </w:t>
      </w:r>
    </w:p>
    <w:p w:rsidR="00972CF8" w:rsidRDefault="00972CF8" w:rsidP="00972CF8">
      <w:pPr>
        <w:pStyle w:val="AERbulletlistfirststyle"/>
      </w:pPr>
      <w:r w:rsidRPr="003A1732">
        <w:t xml:space="preserve">Regularly </w:t>
      </w:r>
      <w:r>
        <w:t>switching between different methods for estimating inflation expectations</w:t>
      </w:r>
      <w:r w:rsidRPr="003A1732">
        <w:t xml:space="preserve"> could allow bias to enter our decisions as </w:t>
      </w:r>
      <w:r>
        <w:t xml:space="preserve">this would incentivise </w:t>
      </w:r>
      <w:r w:rsidRPr="003A1732">
        <w:t>service providers to propose approaches that were most beneficial to them at a given point in time.</w:t>
      </w:r>
      <w:r>
        <w:t xml:space="preserve"> If an alternative to the current method provides unambiguously better estimates of expected inflation, we consider it preferable to adopt this as our general approach rather than applying it on a decision-by-decision basis. We do not consider AusNet Services</w:t>
      </w:r>
      <w:r w:rsidRPr="003A1732">
        <w:t xml:space="preserve"> </w:t>
      </w:r>
      <w:r>
        <w:t>has</w:t>
      </w:r>
      <w:r w:rsidRPr="008F77D5">
        <w:t xml:space="preserve"> made a strong case </w:t>
      </w:r>
      <w:r>
        <w:t>for how the</w:t>
      </w:r>
      <w:r w:rsidRPr="008F77D5">
        <w:t xml:space="preserve"> breakeven approach </w:t>
      </w:r>
      <w:r>
        <w:t xml:space="preserve">might produce </w:t>
      </w:r>
      <w:r w:rsidRPr="008F77D5">
        <w:t>superior</w:t>
      </w:r>
      <w:r>
        <w:t xml:space="preserve"> estimates of expected inflation to the current method</w:t>
      </w:r>
      <w:r w:rsidRPr="008F77D5">
        <w:t xml:space="preserve">. </w:t>
      </w:r>
      <w:r>
        <w:t xml:space="preserve">Further, it has not addressed or proposed to adjust for the potentially material biases underpinning this approach. </w:t>
      </w:r>
    </w:p>
    <w:p w:rsidR="002F6FA6" w:rsidRPr="002F6FA6" w:rsidRDefault="00972CF8" w:rsidP="00376690">
      <w:pPr>
        <w:pStyle w:val="AERbulletlistfirststyle"/>
      </w:pPr>
      <w:r>
        <w:t>We do not consider that service providers or other stakeholders</w:t>
      </w:r>
      <w:r w:rsidRPr="007568F9">
        <w:t xml:space="preserve"> have shown broad support to permanently return to the breakeven approach. In 2013, stakeholders endorsed continuing the current method when we raised this as an issue for potential review of our regulatory approach.</w:t>
      </w:r>
      <w:r w:rsidRPr="007568F9">
        <w:rPr>
          <w:rStyle w:val="FootnoteReference"/>
        </w:rPr>
        <w:footnoteReference w:id="539"/>
      </w:r>
      <w:r w:rsidRPr="007568F9">
        <w:t xml:space="preserve"> Recognising that different methods produce different estimates across time, we consider stakeholders would have supported the estimation method they considered was most reasonable. We would accept that stakeholders might change their preferences if liquidity in the indexed CGS market improved notably since 2013 and/or less biases and premia were affecting the breakeven inflation rate more generally. However, this does not appear to be the case.</w:t>
      </w:r>
    </w:p>
    <w:p w:rsidR="003920C5" w:rsidRDefault="003920C5" w:rsidP="002F6FA6">
      <w:pPr>
        <w:spacing w:line="240" w:lineRule="auto"/>
      </w:pPr>
      <w:r>
        <w:br w:type="page"/>
      </w:r>
    </w:p>
    <w:p w:rsidR="00CA3F61" w:rsidRDefault="00312F8A" w:rsidP="00312F8A">
      <w:pPr>
        <w:pStyle w:val="Heading7"/>
      </w:pPr>
      <w:bookmarkStart w:id="103" w:name="_Ref448871343"/>
      <w:bookmarkStart w:id="104" w:name="_Toc452629083"/>
      <w:bookmarkStart w:id="105" w:name="_Toc456686708"/>
      <w:bookmarkStart w:id="106" w:name="_Ref451267680"/>
      <w:bookmarkStart w:id="107" w:name="_Ref451267772"/>
      <w:bookmarkStart w:id="108" w:name="_Ref451267793"/>
      <w:bookmarkStart w:id="109" w:name="_Ref451267832"/>
      <w:bookmarkStart w:id="110" w:name="_Ref451267844"/>
      <w:bookmarkStart w:id="111" w:name="_Ref451267855"/>
      <w:bookmarkStart w:id="112" w:name="_Ref451267869"/>
      <w:bookmarkStart w:id="113" w:name="_Ref451267984"/>
      <w:bookmarkStart w:id="114" w:name="_Ref451268006"/>
      <w:bookmarkStart w:id="115" w:name="_Ref451268035"/>
      <w:bookmarkStart w:id="116" w:name="_Toc452629090"/>
      <w:bookmarkStart w:id="117" w:name="_Ref451267897"/>
      <w:bookmarkStart w:id="118" w:name="_Ref451268065"/>
      <w:bookmarkStart w:id="119" w:name="_Toc452629156"/>
      <w:bookmarkStart w:id="120" w:name="_Ref451267719"/>
      <w:bookmarkStart w:id="121" w:name="_Ref451268021"/>
      <w:bookmarkStart w:id="122" w:name="_Toc452629164"/>
      <w:bookmarkStart w:id="123" w:name="_Ref451675743"/>
      <w:bookmarkStart w:id="124" w:name="_Ref451675824"/>
      <w:bookmarkStart w:id="125" w:name="_Toc451678630"/>
      <w:bookmarkStart w:id="126" w:name="_Toc451678708"/>
      <w:r>
        <w:t>Our foundation model approach</w:t>
      </w:r>
      <w:bookmarkEnd w:id="103"/>
      <w:bookmarkEnd w:id="104"/>
      <w:bookmarkEnd w:id="105"/>
    </w:p>
    <w:p w:rsidR="00CA3F61" w:rsidRDefault="00CA3F61" w:rsidP="00CA3F61">
      <w:r>
        <w:t>We determined the allowed return on equity by applying our foundation model approach. The foundation model approach was developed after extensive consultation during the formation of our Rate of Return Guideline in December 2013.</w:t>
      </w:r>
    </w:p>
    <w:p w:rsidR="00CA3F61" w:rsidRDefault="00CA3F61" w:rsidP="00CA3F61">
      <w:r>
        <w:t>Service providers submitted that our approach prevents us from having appropriate regard to relevant material.</w:t>
      </w:r>
      <w:r>
        <w:rPr>
          <w:rStyle w:val="FootnoteReference"/>
        </w:rPr>
        <w:footnoteReference w:id="540"/>
      </w:r>
      <w:r>
        <w:t xml:space="preserve"> We disagree, and provide the following for clarification:</w:t>
      </w:r>
    </w:p>
    <w:p w:rsidR="00CA3F61" w:rsidRDefault="00CA3F61" w:rsidP="00CA3F61">
      <w:pPr>
        <w:pStyle w:val="AERbulletlistfirststyle"/>
      </w:pPr>
      <w:r>
        <w:t>The foundation model approach identifies one model as the foundation model, but this is just a starting point and does not prevent other models, or combinations of multiple models, from being adopted. As set out in the Guideline:</w:t>
      </w:r>
      <w:r>
        <w:rPr>
          <w:rStyle w:val="FootnoteReference"/>
        </w:rPr>
        <w:footnoteReference w:id="541"/>
      </w:r>
    </w:p>
    <w:p w:rsidR="00CA3F61" w:rsidRPr="0081065F" w:rsidRDefault="00CA3F61" w:rsidP="00CA3F61">
      <w:pPr>
        <w:pStyle w:val="AERquote"/>
      </w:pPr>
      <w:r w:rsidRPr="0081065F">
        <w:t xml:space="preserve">The use of regulatory judgement may also result in a final estimate of the return on equity that is outside the foundation model range. This recognises that, ultimately, our rate of return must meet the allowed rate of return objective. In these circumstances, we may reconsider the foundation model input parameter estimates, or more fundamentally, we may also reconsider the foundation model itself. </w:t>
      </w:r>
    </w:p>
    <w:p w:rsidR="00CA3F61" w:rsidRDefault="00CA3F61" w:rsidP="00CA3F61">
      <w:pPr>
        <w:pStyle w:val="AERbulletlistfirststyle"/>
      </w:pPr>
      <w:r>
        <w:t>The foundation model approach has six steps, but this does not mean that material considered in earlier steps are given more weight than material considered in later steps.</w:t>
      </w:r>
    </w:p>
    <w:p w:rsidR="00CA3F61" w:rsidRDefault="00CA3F61" w:rsidP="00CA3F61">
      <w:pPr>
        <w:pStyle w:val="AERbulletlistfirststyle"/>
      </w:pPr>
      <w:r>
        <w:t>Identifying material as being valuable in the estimation of one parameter (eg. market risk premium) does not prevent us from considering the value of that parameter for the estimation of other parameters (eg. overall return on equity). However, in using certain material to inform the estimation of multiple parameters, it is important to consider that the weight being afforded to the material reflects the relative merits of the material and is not in effect being 'double-counted'.</w:t>
      </w:r>
    </w:p>
    <w:p w:rsidR="00CA3F61" w:rsidRDefault="00CA3F61" w:rsidP="00CA3F61">
      <w:pPr>
        <w:pStyle w:val="AERbulletlistfirststyle"/>
      </w:pPr>
      <w:r>
        <w:t xml:space="preserve">We do not consider that having </w:t>
      </w:r>
      <w:proofErr w:type="gramStart"/>
      <w:r>
        <w:t>regard</w:t>
      </w:r>
      <w:proofErr w:type="gramEnd"/>
      <w:r>
        <w:t xml:space="preserve"> to relevant material requires running all the equity models put before us. Rather, the need to run these models depends on how valuable we consider they are in estimating a return on equity commensurate with the efficient financing costs given the systematic risk associated with AusNet's regulated services.</w:t>
      </w:r>
    </w:p>
    <w:p w:rsidR="00CA3F61" w:rsidRPr="003D1061" w:rsidRDefault="00CA3F61" w:rsidP="00CA3F61">
      <w:pPr>
        <w:numPr>
          <w:ilvl w:val="0"/>
          <w:numId w:val="25"/>
        </w:numPr>
      </w:pPr>
      <w:r>
        <w:t>Our approach was endorsed by the Tribunal, which stated recently:</w:t>
      </w:r>
    </w:p>
    <w:p w:rsidR="00CA3F61" w:rsidRPr="003D1061" w:rsidRDefault="00CA3F61" w:rsidP="00CA3F61">
      <w:pPr>
        <w:pStyle w:val="AERquote"/>
      </w:pPr>
      <w:r w:rsidRPr="003D1061">
        <w:t xml:space="preserve">649 The AER has appropriately extracted from the 2012 Rule Amendments the following propositions summarising how </w:t>
      </w:r>
      <w:r>
        <w:t>[the AEMC]</w:t>
      </w:r>
      <w:r w:rsidRPr="003D1061">
        <w:t xml:space="preserve"> intended the 2012 Rule Amendments, in particular r 6.5.2 of the NER and r 87(2) of the NGR, to operate: </w:t>
      </w:r>
    </w:p>
    <w:p w:rsidR="00CA3F61" w:rsidRPr="003D1061" w:rsidRDefault="00CA3F61" w:rsidP="00CA3F61">
      <w:pPr>
        <w:pStyle w:val="AERquote"/>
      </w:pPr>
      <w:r w:rsidRPr="003D1061">
        <w:t xml:space="preserve">(a) </w:t>
      </w:r>
      <w:proofErr w:type="gramStart"/>
      <w:r w:rsidRPr="003D1061">
        <w:t>the</w:t>
      </w:r>
      <w:proofErr w:type="gramEnd"/>
      <w:r w:rsidRPr="003D1061">
        <w:t xml:space="preserve"> RoR Objective has primacy in any estimation of the rate of return on equity (pp 18, 36 and 38-39); </w:t>
      </w:r>
    </w:p>
    <w:p w:rsidR="00CA3F61" w:rsidRPr="003D1061" w:rsidRDefault="00CA3F61" w:rsidP="00CA3F61">
      <w:pPr>
        <w:pStyle w:val="AERquote"/>
      </w:pPr>
      <w:r w:rsidRPr="003D1061">
        <w:t xml:space="preserve">(b) the AER’s obligation to “have regard to” the material referred to in NER 6.5.2(e) when determining the allowed rate of return is subject to its obligation under NER 6.5.2(b) to determine the allowed rate of return such that it achieves the RoR Objective (and equally under NGR r 87(3) and 87(2)) (pp 36-37); </w:t>
      </w:r>
    </w:p>
    <w:p w:rsidR="00CA3F61" w:rsidRPr="003D1061" w:rsidRDefault="00CA3F61" w:rsidP="00CA3F61">
      <w:pPr>
        <w:pStyle w:val="AERquote"/>
      </w:pPr>
      <w:r w:rsidRPr="003D1061">
        <w:t xml:space="preserve">(c) the AER must actively turn its mind to the factors listed, but it is up to the regulator to determine whether and, if so, how the factors should influence its decision (if at all) (pp 36-37); </w:t>
      </w:r>
    </w:p>
    <w:p w:rsidR="00CA3F61" w:rsidRPr="003D1061" w:rsidRDefault="00CA3F61" w:rsidP="00CA3F61">
      <w:pPr>
        <w:pStyle w:val="AERquote"/>
      </w:pPr>
      <w:r w:rsidRPr="003D1061">
        <w:t xml:space="preserve">(d) </w:t>
      </w:r>
      <w:proofErr w:type="gramStart"/>
      <w:r w:rsidRPr="003D1061">
        <w:t>it</w:t>
      </w:r>
      <w:proofErr w:type="gramEnd"/>
      <w:r w:rsidRPr="003D1061">
        <w:t xml:space="preserve"> is important that the AER be given flexibility to adopt an approach to determining the rate of return that is appropriate to market conditions (p 44); </w:t>
      </w:r>
    </w:p>
    <w:p w:rsidR="00CA3F61" w:rsidRPr="003D1061" w:rsidRDefault="00CA3F61" w:rsidP="00CA3F61">
      <w:pPr>
        <w:pStyle w:val="AERquote"/>
      </w:pPr>
      <w:r w:rsidRPr="003D1061">
        <w:t xml:space="preserve">(e) </w:t>
      </w:r>
      <w:proofErr w:type="gramStart"/>
      <w:r w:rsidRPr="003D1061">
        <w:t>it</w:t>
      </w:r>
      <w:proofErr w:type="gramEnd"/>
      <w:r w:rsidRPr="003D1061">
        <w:t xml:space="preserve"> is important for the AER to be transparent in its approach to determining the rate of return in order to maintain the confidence of service providers, investors and consumers in the process (pp 23 and 24); </w:t>
      </w:r>
    </w:p>
    <w:p w:rsidR="00CA3F61" w:rsidRPr="003D1061" w:rsidRDefault="00CA3F61" w:rsidP="00CA3F61">
      <w:pPr>
        <w:pStyle w:val="AERquote"/>
      </w:pPr>
      <w:r w:rsidRPr="003D1061">
        <w:t xml:space="preserve">(f) it is important that all stakeholders (including consumers) have the opportunity to contribute to the development of the RoR 2013 Guideline and its evolution through periodic review every three years (pp 45-46); </w:t>
      </w:r>
    </w:p>
    <w:p w:rsidR="00CA3F61" w:rsidRPr="003D1061" w:rsidRDefault="00CA3F61" w:rsidP="00CA3F61">
      <w:pPr>
        <w:pStyle w:val="AERquote"/>
      </w:pPr>
      <w:r w:rsidRPr="003D1061">
        <w:t>(g) the RoR 2013 Guideline should include details as to the financial models that the AER would take into account in making a determination, and why it has chosen those models over other models (p 70);</w:t>
      </w:r>
    </w:p>
    <w:p w:rsidR="00CA3F61" w:rsidRPr="003D1061" w:rsidRDefault="00CA3F61" w:rsidP="00CA3F61">
      <w:pPr>
        <w:pStyle w:val="AERquote"/>
      </w:pPr>
      <w:r w:rsidRPr="003D1061">
        <w:t xml:space="preserve">(h) </w:t>
      </w:r>
      <w:proofErr w:type="gramStart"/>
      <w:r w:rsidRPr="003D1061">
        <w:t>the</w:t>
      </w:r>
      <w:proofErr w:type="gramEnd"/>
      <w:r w:rsidRPr="003D1061">
        <w:t xml:space="preserve"> RoR 2013 Guideline should provide a service provider with a reasonably predictable, transparent guide as to how the AER will assess the various estimation methods, financial models, market data and other evidence in meeting the overall RoR objective. The Guideline should allow a service provider to make a reasonably good estimate of the rate of return that would be determined by the AER if the Guidelines were applied (p 71); and </w:t>
      </w:r>
    </w:p>
    <w:p w:rsidR="00CA3F61" w:rsidRDefault="00CA3F61" w:rsidP="00CA3F61">
      <w:pPr>
        <w:pStyle w:val="AERquote"/>
      </w:pPr>
      <w:r w:rsidRPr="003D1061">
        <w:t>(i) while the RoR 2013 Guideline are not determinative, these should “provide a meaningful signal as to the regulator’s intended methodologies for estimating return on equity” and be capable of being given “some weight” to narrow the debate about preferred methodologies and models. They should be used as a starting point in making a regulatory determination (p 71).</w:t>
      </w:r>
    </w:p>
    <w:p w:rsidR="00CA3F61" w:rsidRPr="002629C5" w:rsidRDefault="00CA3F61" w:rsidP="00CA3F61">
      <w:r>
        <w:t>Ultimately, as the Tribunal has emphasised, we must exercise our regulatory judgement about the weight that should be attached to different models, data, methods and other evidence that may be available to us when making our decision.</w:t>
      </w:r>
      <w:r>
        <w:rPr>
          <w:rStyle w:val="FootnoteReference"/>
        </w:rPr>
        <w:footnoteReference w:id="542"/>
      </w:r>
      <w:r>
        <w:t xml:space="preserve"> We recognise that there are potential weaknesses in the different models and estimation methods.  Nevertheless, we are charged with deciding from the available evidence, a return on equity that we consider contributes to the rate of return objective. The Australian Competition Tribunal has described the way in which the AER should carry out this task as follows:</w:t>
      </w:r>
      <w:r>
        <w:rPr>
          <w:rStyle w:val="FootnoteReference"/>
        </w:rPr>
        <w:footnoteReference w:id="543"/>
      </w:r>
    </w:p>
    <w:p w:rsidR="00CA3F61" w:rsidRPr="002629C5" w:rsidRDefault="00CA3F61" w:rsidP="00CA3F61">
      <w:pPr>
        <w:pStyle w:val="AERquote"/>
      </w:pPr>
      <w:r>
        <w:t>713 …</w:t>
      </w:r>
      <w:r w:rsidRPr="002629C5">
        <w:t xml:space="preserve">The Tribunal takes the obligation on the AER so expressed as requiring it to give consideration to the range of sources of evidence and analysis to estimate the rate of return. It need not give particular weight to any one source of evidence, and indeed it might treat particular evidence as having little or no weight in the circumstances. It is for the AER to make that assessment. It may also have regard to other factors. </w:t>
      </w:r>
      <w:r>
        <w:t>….</w:t>
      </w:r>
      <w:r w:rsidRPr="002629C5">
        <w:t xml:space="preserve"> </w:t>
      </w:r>
    </w:p>
    <w:p w:rsidR="00CA3F61" w:rsidRPr="002629C5" w:rsidRDefault="00CA3F61" w:rsidP="00CA3F61">
      <w:pPr>
        <w:pStyle w:val="AERquote"/>
      </w:pPr>
      <w:r w:rsidRPr="002629C5">
        <w:t xml:space="preserve">714 The AER accepted that it did not itself “run” other models than the SL CAPM. It had presented to it the outcome of other models, through various expert reports provided to it. It considered, but did not adopt, those outcomes. It is said by the Network Applicants that the AER’s approach was based upon an incorrect step – both non-compliant with the Rules and in fact – that the SL CAPM was a superior model and so an appropriate “foundation model” for the purposes of the RoR 2013 Guideline. </w:t>
      </w:r>
    </w:p>
    <w:p w:rsidR="00CA3F61" w:rsidRPr="002629C5" w:rsidRDefault="00CA3F61" w:rsidP="00CA3F61">
      <w:pPr>
        <w:pStyle w:val="AERquote"/>
      </w:pPr>
      <w:r w:rsidRPr="002629C5">
        <w:t xml:space="preserve">715 The relevant textual features, in the view of the Tribunal, are the breadth and generality of the words “relevant estimation methods, financial models, market data and other evidence”. They do not suggest a prescriptive obligation to consider particular methods, models or data. If that were intended, one would expect it to be more prescribed. Rather, it is left to the AER to decide what is “relevant” and a dispute about relevance is not itself a basis for asserting error of the character now asserted. In fact, the AER did have regard – in the sense of considering – the material put forward by the Network Applicants. The same reasoning suggests that the obligation to “have regard to” certain material is to consider it and to give it such weight as the AER decides. Again, if a more sophisticated obligation were intended, it is likely it would have been differently expressed. </w:t>
      </w:r>
      <w:r>
        <w:t>…</w:t>
      </w:r>
    </w:p>
    <w:p w:rsidR="00CA3F61" w:rsidRPr="00C241EE" w:rsidRDefault="00CA3F61" w:rsidP="00CA3F61">
      <w:r>
        <w:t>This means that when we consider conflicting evidence, we must come to a conclusion that we consider fits the regulatory requirements.  This has been recently emphasised again by the Tribunal:</w:t>
      </w:r>
      <w:r>
        <w:rPr>
          <w:rStyle w:val="FootnoteReference"/>
        </w:rPr>
        <w:footnoteReference w:id="544"/>
      </w:r>
    </w:p>
    <w:p w:rsidR="00312F8A" w:rsidRPr="00CA3F61" w:rsidRDefault="00CA3F61" w:rsidP="00CA3F61">
      <w:pPr>
        <w:pStyle w:val="AERquote"/>
      </w:pPr>
      <w:r w:rsidRPr="00C241EE">
        <w:t xml:space="preserve">802 </w:t>
      </w:r>
      <w:r>
        <w:t>…</w:t>
      </w:r>
      <w:r w:rsidRPr="00C241EE">
        <w:t xml:space="preserve"> The mere existence of competing views or of reasons why a particular piece of information might point in one or other direction will not of itself mean that the Tribunal should or will reach a view different from that of the AER. That is particularly so where there are competing expert opinions. In the universe of the NEL and the NGL (as in other areas of decision making) it is a feature of the qualitative decision making process that competing materials, including competing expert opinions, may be available to the AER. It must make its decisions under, and in accordance with, the legislative and regulatory instruments </w:t>
      </w:r>
      <w:r>
        <w:t>having regard to that material. …</w:t>
      </w:r>
    </w:p>
    <w:p w:rsidR="00312F8A" w:rsidRDefault="00312F8A" w:rsidP="00312F8A">
      <w:pPr>
        <w:pStyle w:val="Heading7"/>
      </w:pPr>
      <w:bookmarkStart w:id="127" w:name="_Ref451685041"/>
      <w:bookmarkStart w:id="128" w:name="_Toc452629084"/>
      <w:bookmarkStart w:id="129" w:name="_Toc456686709"/>
      <w:bookmarkStart w:id="130" w:name="_Ref451414893"/>
      <w:bookmarkStart w:id="131" w:name="_Ref451414916"/>
      <w:bookmarkStart w:id="132" w:name="_Ref451415098"/>
      <w:bookmarkStart w:id="133" w:name="_Ref451415590"/>
      <w:bookmarkStart w:id="134" w:name="_Ref451415625"/>
      <w:bookmarkStart w:id="135" w:name="_Ref451415763"/>
      <w:bookmarkStart w:id="136" w:name="_Ref451415800"/>
      <w:bookmarkStart w:id="137" w:name="_Ref451415926"/>
      <w:bookmarkStart w:id="138" w:name="_Ref451416598"/>
      <w:bookmarkStart w:id="139" w:name="_Ref451416623"/>
      <w:bookmarkStart w:id="140" w:name="_Ref451416644"/>
      <w:bookmarkStart w:id="141" w:name="_Toc451498843"/>
      <w:r>
        <w:t>Equity models</w:t>
      </w:r>
      <w:bookmarkEnd w:id="127"/>
      <w:bookmarkEnd w:id="128"/>
      <w:bookmarkEnd w:id="129"/>
    </w:p>
    <w:p w:rsidR="0010250E" w:rsidRPr="001562D4" w:rsidRDefault="0010250E" w:rsidP="0010250E">
      <w:pPr>
        <w:numPr>
          <w:ilvl w:val="0"/>
          <w:numId w:val="25"/>
        </w:numPr>
      </w:pPr>
      <w:r>
        <w:t xml:space="preserve">As part of </w:t>
      </w:r>
      <w:r w:rsidRPr="001562D4">
        <w:t>the</w:t>
      </w:r>
      <w:r>
        <w:t xml:space="preserve"> rate of return guideline (the </w:t>
      </w:r>
      <w:r w:rsidRPr="001562D4">
        <w:t>Gui</w:t>
      </w:r>
      <w:r>
        <w:t>deline)</w:t>
      </w:r>
      <w:r w:rsidRPr="001562D4">
        <w:t xml:space="preserve"> process</w:t>
      </w:r>
      <w:r>
        <w:t>,</w:t>
      </w:r>
      <w:r w:rsidRPr="001562D4">
        <w:t xml:space="preserve"> we focused on </w:t>
      </w:r>
      <w:r>
        <w:t>four</w:t>
      </w:r>
      <w:r w:rsidRPr="001562D4">
        <w:t xml:space="preserve"> key models that </w:t>
      </w:r>
      <w:r>
        <w:t>may</w:t>
      </w:r>
      <w:r w:rsidRPr="001562D4">
        <w:t xml:space="preserve"> be used to estimate the </w:t>
      </w:r>
      <w:r>
        <w:t>return on equity,</w:t>
      </w:r>
      <w:r w:rsidRPr="001562D4">
        <w:t xml:space="preserve"> or to i</w:t>
      </w:r>
      <w:r>
        <w:t xml:space="preserve">nform </w:t>
      </w:r>
      <w:r w:rsidRPr="001562D4">
        <w:t>the implementation of our foundation model approach:</w:t>
      </w:r>
    </w:p>
    <w:p w:rsidR="0010250E" w:rsidRPr="001562D4" w:rsidRDefault="0010250E" w:rsidP="0010250E">
      <w:pPr>
        <w:pStyle w:val="ListNumber"/>
        <w:numPr>
          <w:ilvl w:val="1"/>
          <w:numId w:val="25"/>
        </w:numPr>
      </w:pPr>
      <w:r w:rsidRPr="001562D4">
        <w:t>The Sharp</w:t>
      </w:r>
      <w:r>
        <w:t>e–</w:t>
      </w:r>
      <w:r w:rsidRPr="001562D4">
        <w:t>Lintn</w:t>
      </w:r>
      <w:r>
        <w:t>er Capital Asset Pricing Model (Sharpe-Lintner CAPM)</w:t>
      </w:r>
    </w:p>
    <w:p w:rsidR="0010250E" w:rsidRPr="001562D4" w:rsidRDefault="0010250E" w:rsidP="0010250E">
      <w:pPr>
        <w:pStyle w:val="ListNumber"/>
        <w:numPr>
          <w:ilvl w:val="1"/>
          <w:numId w:val="25"/>
        </w:numPr>
      </w:pPr>
      <w:r w:rsidRPr="001562D4">
        <w:t>The Black Capital Asset Pricing model (Black CAPM)</w:t>
      </w:r>
    </w:p>
    <w:p w:rsidR="0010250E" w:rsidRPr="001562D4" w:rsidRDefault="0010250E" w:rsidP="0010250E">
      <w:pPr>
        <w:pStyle w:val="ListNumber"/>
        <w:numPr>
          <w:ilvl w:val="1"/>
          <w:numId w:val="25"/>
        </w:numPr>
      </w:pPr>
      <w:r w:rsidRPr="001562D4">
        <w:t xml:space="preserve">The </w:t>
      </w:r>
      <w:r>
        <w:t>Fama French Three Factor Model</w:t>
      </w:r>
    </w:p>
    <w:p w:rsidR="0010250E" w:rsidRPr="001562D4" w:rsidRDefault="0010250E" w:rsidP="0010250E">
      <w:pPr>
        <w:pStyle w:val="ListNumber"/>
        <w:numPr>
          <w:ilvl w:val="1"/>
          <w:numId w:val="25"/>
        </w:numPr>
      </w:pPr>
      <w:r>
        <w:t>The Dividend Growth Model</w:t>
      </w:r>
    </w:p>
    <w:p w:rsidR="0010250E" w:rsidRDefault="0010250E" w:rsidP="0010250E">
      <w:pPr>
        <w:numPr>
          <w:ilvl w:val="0"/>
          <w:numId w:val="25"/>
        </w:numPr>
      </w:pPr>
      <w:r>
        <w:t>We have</w:t>
      </w:r>
      <w:r w:rsidRPr="00577884">
        <w:t xml:space="preserve"> considered all mo</w:t>
      </w:r>
      <w:r>
        <w:t>dels that have been proposed.</w:t>
      </w:r>
      <w:r w:rsidRPr="00BA3AB3">
        <w:t xml:space="preserve"> </w:t>
      </w:r>
      <w:r w:rsidRPr="00577884">
        <w:t>In this sense, all of the models are relevant.</w:t>
      </w:r>
      <w:r>
        <w:t xml:space="preserve"> </w:t>
      </w:r>
      <w:r w:rsidRPr="00577884">
        <w:t xml:space="preserve"> </w:t>
      </w:r>
      <w:r w:rsidRPr="006C4D93">
        <w:t>In addition to these models, we have considered information submitted in relation to non-s</w:t>
      </w:r>
      <w:r>
        <w:t xml:space="preserve">tandard versions of the Sharpe-Lintner CAPM </w:t>
      </w:r>
      <w:r w:rsidRPr="008A35BC">
        <w:t>—</w:t>
      </w:r>
      <w:r>
        <w:t xml:space="preserve"> </w:t>
      </w:r>
      <w:r w:rsidRPr="006C4D93">
        <w:t>th</w:t>
      </w:r>
      <w:r>
        <w:t>e Wright and historical specifications</w:t>
      </w:r>
      <w:r w:rsidRPr="006C4D93">
        <w:t>.</w:t>
      </w:r>
    </w:p>
    <w:p w:rsidR="0010250E" w:rsidRPr="001562D4" w:rsidRDefault="0010250E" w:rsidP="0010250E">
      <w:pPr>
        <w:numPr>
          <w:ilvl w:val="0"/>
          <w:numId w:val="25"/>
        </w:numPr>
      </w:pPr>
      <w:r>
        <w:t>Service providers</w:t>
      </w:r>
      <w:r w:rsidRPr="001562D4">
        <w:t xml:space="preserve"> </w:t>
      </w:r>
      <w:r>
        <w:t>proposed using</w:t>
      </w:r>
      <w:r w:rsidRPr="001562D4">
        <w:t xml:space="preserve"> empirical estimates from the </w:t>
      </w:r>
      <w:r>
        <w:t>Black CAPM, Fama-French model, and dividend growth model. They proposed to use the estimates from these models to inform</w:t>
      </w:r>
      <w:r w:rsidRPr="001562D4">
        <w:t xml:space="preserve"> the </w:t>
      </w:r>
      <w:r>
        <w:t>overall return on equity through either:</w:t>
      </w:r>
      <w:r w:rsidRPr="001562D4">
        <w:rPr>
          <w:rStyle w:val="FootnoteReference"/>
        </w:rPr>
        <w:footnoteReference w:id="545"/>
      </w:r>
      <w:r>
        <w:t xml:space="preserve"> </w:t>
      </w:r>
    </w:p>
    <w:p w:rsidR="0010250E" w:rsidRPr="0010250E" w:rsidRDefault="0010250E" w:rsidP="0010250E">
      <w:pPr>
        <w:pStyle w:val="AERbulletlistfirststyle"/>
      </w:pPr>
      <w:r>
        <w:t>e</w:t>
      </w:r>
      <w:r w:rsidRPr="0010250E">
        <w:t>stimating their proposed return on equity as part of a multi-model approach, or to inform input parameters into the Sharpe-Lintner CAPM, and/or</w:t>
      </w:r>
    </w:p>
    <w:p w:rsidR="0010250E" w:rsidRPr="0010250E" w:rsidRDefault="0010250E" w:rsidP="0010250E">
      <w:pPr>
        <w:pStyle w:val="AERbulletlistfirststyle"/>
      </w:pPr>
      <w:proofErr w:type="gramStart"/>
      <w:r>
        <w:t>providing</w:t>
      </w:r>
      <w:proofErr w:type="gramEnd"/>
      <w:r>
        <w:t xml:space="preserve"> </w:t>
      </w:r>
      <w:r w:rsidRPr="0010250E">
        <w:t>evidentiary support that their estimate of the return on equity is reasonable and will contribute to the achievement of the ARORO.</w:t>
      </w:r>
    </w:p>
    <w:p w:rsidR="0010250E" w:rsidRDefault="0010250E" w:rsidP="0010250E">
      <w:pPr>
        <w:numPr>
          <w:ilvl w:val="0"/>
          <w:numId w:val="25"/>
        </w:numPr>
      </w:pPr>
      <w:r w:rsidRPr="00577884">
        <w:t xml:space="preserve">While </w:t>
      </w:r>
      <w:r>
        <w:t>we have</w:t>
      </w:r>
      <w:r w:rsidRPr="00577884">
        <w:t xml:space="preserve"> considered all proposed models, </w:t>
      </w:r>
      <w:r>
        <w:t>we are</w:t>
      </w:r>
      <w:r w:rsidRPr="00577884">
        <w:t xml:space="preserve"> not </w:t>
      </w:r>
      <w:r>
        <w:t>persuaded</w:t>
      </w:r>
      <w:r w:rsidRPr="00577884">
        <w:t xml:space="preserve"> that they are all of equal value. </w:t>
      </w:r>
      <w:r>
        <w:t>This appendix sets out our assessment of the relative merits of the models for estimating the return on equity, either directly through a foundation model or multi-model approach, or through informing other parameters of the return on equity.</w:t>
      </w:r>
    </w:p>
    <w:p w:rsidR="0010250E" w:rsidRDefault="0010250E" w:rsidP="0010250E">
      <w:pPr>
        <w:pStyle w:val="Heading8"/>
      </w:pPr>
      <w:bookmarkStart w:id="142" w:name="_Toc443923187"/>
      <w:bookmarkStart w:id="143" w:name="_Ref445849366"/>
      <w:bookmarkStart w:id="144" w:name="_Ref451691679"/>
      <w:bookmarkStart w:id="145" w:name="_Ref451691691"/>
      <w:bookmarkStart w:id="146" w:name="_Toc451943786"/>
      <w:bookmarkStart w:id="147" w:name="_Toc456686710"/>
      <w:r>
        <w:t>Sharpe-Lintner CAPM</w:t>
      </w:r>
      <w:bookmarkEnd w:id="142"/>
      <w:bookmarkEnd w:id="143"/>
      <w:bookmarkEnd w:id="144"/>
      <w:bookmarkEnd w:id="145"/>
      <w:bookmarkEnd w:id="146"/>
      <w:bookmarkEnd w:id="147"/>
    </w:p>
    <w:p w:rsidR="0010250E" w:rsidRPr="001562D4" w:rsidRDefault="0010250E" w:rsidP="0010250E">
      <w:pPr>
        <w:numPr>
          <w:ilvl w:val="0"/>
          <w:numId w:val="25"/>
        </w:numPr>
      </w:pPr>
      <w:r w:rsidRPr="001562D4">
        <w:t xml:space="preserve">The </w:t>
      </w:r>
      <w:r>
        <w:t>Sharpe-Lintner CAPM</w:t>
      </w:r>
      <w:r w:rsidRPr="001562D4">
        <w:t xml:space="preserve"> is an equilibrium asset pricing model. It is based on the well accepted finance principle</w:t>
      </w:r>
      <w:r>
        <w:t xml:space="preserve"> that</w:t>
      </w:r>
      <w:r w:rsidRPr="001562D4">
        <w:t xml:space="preserve"> rational investors will seek to minimise risk (as measured by portfolio variance) for a given expected return.</w:t>
      </w:r>
      <w:r w:rsidRPr="001562D4">
        <w:rPr>
          <w:rStyle w:val="FootnoteReference"/>
        </w:rPr>
        <w:footnoteReference w:id="546"/>
      </w:r>
    </w:p>
    <w:p w:rsidR="0010250E" w:rsidRDefault="0010250E" w:rsidP="0010250E">
      <w:pPr>
        <w:numPr>
          <w:ilvl w:val="0"/>
          <w:numId w:val="25"/>
        </w:numPr>
      </w:pPr>
      <w:r>
        <w:t xml:space="preserve">We consider the Sharpe-Lintner </w:t>
      </w:r>
      <w:r w:rsidRPr="001562D4">
        <w:t>CAPM will, as the foundation model</w:t>
      </w:r>
      <w:r>
        <w:t xml:space="preserve"> in our foundation model approach</w:t>
      </w:r>
      <w:r w:rsidRPr="0056187B">
        <w:t xml:space="preserve"> </w:t>
      </w:r>
      <w:r>
        <w:t xml:space="preserve">and </w:t>
      </w:r>
      <w:r w:rsidRPr="001562D4">
        <w:t xml:space="preserve">with reasonably selected input parameters, result in a </w:t>
      </w:r>
      <w:r>
        <w:t>return on equity</w:t>
      </w:r>
      <w:r w:rsidRPr="001562D4">
        <w:t xml:space="preserve"> commensurate with the benchmark ent</w:t>
      </w:r>
      <w:r>
        <w:t>ity's efficient financing costs</w:t>
      </w:r>
      <w:r w:rsidRPr="001562D4">
        <w:t xml:space="preserve">. We consider </w:t>
      </w:r>
      <w:r>
        <w:t xml:space="preserve">our </w:t>
      </w:r>
      <w:r w:rsidRPr="001562D4">
        <w:t>cross checks</w:t>
      </w:r>
      <w:r>
        <w:rPr>
          <w:rStyle w:val="FootnoteReference"/>
        </w:rPr>
        <w:footnoteReference w:id="547"/>
      </w:r>
      <w:r w:rsidRPr="001562D4">
        <w:t xml:space="preserve"> on the </w:t>
      </w:r>
      <w:r>
        <w:t>return on equity provide supporting evidence that the</w:t>
      </w:r>
      <w:r w:rsidRPr="001562D4">
        <w:t xml:space="preserve"> </w:t>
      </w:r>
      <w:r>
        <w:t>return on equity derived using the Sharpe-Lintner CAPM-</w:t>
      </w:r>
      <w:r w:rsidRPr="001562D4">
        <w:t xml:space="preserve">based foundation model </w:t>
      </w:r>
      <w:r>
        <w:t xml:space="preserve">approach </w:t>
      </w:r>
      <w:r w:rsidRPr="001562D4">
        <w:t xml:space="preserve">will </w:t>
      </w:r>
      <w:r>
        <w:t>contribute to the achievement of</w:t>
      </w:r>
      <w:r w:rsidRPr="001562D4">
        <w:t xml:space="preserve"> the</w:t>
      </w:r>
      <w:r>
        <w:t xml:space="preserve"> allowed</w:t>
      </w:r>
      <w:r w:rsidRPr="001562D4">
        <w:t xml:space="preserve"> </w:t>
      </w:r>
      <w:r>
        <w:t>rate of return</w:t>
      </w:r>
      <w:r w:rsidRPr="001562D4">
        <w:t xml:space="preserve"> </w:t>
      </w:r>
      <w:r>
        <w:t>objective.</w:t>
      </w:r>
    </w:p>
    <w:p w:rsidR="0010250E" w:rsidRPr="001562D4" w:rsidRDefault="0010250E" w:rsidP="0010250E">
      <w:pPr>
        <w:numPr>
          <w:ilvl w:val="0"/>
          <w:numId w:val="25"/>
        </w:numPr>
      </w:pPr>
      <w:r w:rsidRPr="001562D4">
        <w:t>We consider this is the case for the reasons set o</w:t>
      </w:r>
      <w:r>
        <w:t xml:space="preserve">ut in this decision and in the </w:t>
      </w:r>
      <w:r w:rsidRPr="001562D4">
        <w:t>Guideline</w:t>
      </w:r>
      <w:r>
        <w:t>'s</w:t>
      </w:r>
      <w:r w:rsidRPr="001562D4">
        <w:t xml:space="preserve"> </w:t>
      </w:r>
      <w:r>
        <w:t>explanatory s</w:t>
      </w:r>
      <w:r w:rsidRPr="001562D4">
        <w:t xml:space="preserve">tatement </w:t>
      </w:r>
      <w:r>
        <w:t>and its appendices</w:t>
      </w:r>
      <w:r w:rsidRPr="001562D4">
        <w:t>.</w:t>
      </w:r>
      <w:r w:rsidRPr="001562D4">
        <w:rPr>
          <w:rStyle w:val="FootnoteReference"/>
        </w:rPr>
        <w:footnoteReference w:id="548"/>
      </w:r>
      <w:r w:rsidRPr="001562D4">
        <w:t xml:space="preserve"> In coming to this conclusion</w:t>
      </w:r>
      <w:r>
        <w:t>,</w:t>
      </w:r>
      <w:r w:rsidRPr="001562D4">
        <w:t xml:space="preserve"> we and our consultants have considered the material submitted to us </w:t>
      </w:r>
      <w:r>
        <w:t>after publishing</w:t>
      </w:r>
      <w:r w:rsidRPr="001562D4">
        <w:t xml:space="preserve"> the Guideline. This has</w:t>
      </w:r>
      <w:r>
        <w:t xml:space="preserve"> included consideration of</w:t>
      </w:r>
      <w:r w:rsidRPr="001562D4">
        <w:t xml:space="preserve"> proposals </w:t>
      </w:r>
      <w:r>
        <w:t>from</w:t>
      </w:r>
      <w:r w:rsidRPr="001562D4">
        <w:t xml:space="preserve"> </w:t>
      </w:r>
      <w:r>
        <w:t>service providers'</w:t>
      </w:r>
      <w:r w:rsidRPr="001562D4">
        <w:t xml:space="preserve"> and submissions on these proposals</w:t>
      </w:r>
      <w:r>
        <w:t>.</w:t>
      </w:r>
      <w:r>
        <w:rPr>
          <w:rStyle w:val="FootnoteReference"/>
        </w:rPr>
        <w:footnoteReference w:id="549"/>
      </w:r>
    </w:p>
    <w:p w:rsidR="0010250E" w:rsidRPr="001562D4" w:rsidRDefault="0010250E" w:rsidP="0010250E">
      <w:pPr>
        <w:numPr>
          <w:ilvl w:val="0"/>
          <w:numId w:val="25"/>
        </w:numPr>
      </w:pPr>
      <w:r>
        <w:t xml:space="preserve">The Sharpe-Lintner </w:t>
      </w:r>
      <w:r w:rsidRPr="001562D4">
        <w:t>CAPM is the dominant model used to estimate firms' cost of capital by providers of capital to firms (</w:t>
      </w:r>
      <w:r>
        <w:t>that is,</w:t>
      </w:r>
      <w:r w:rsidRPr="001562D4">
        <w:t xml:space="preserve"> investors).</w:t>
      </w:r>
      <w:r>
        <w:rPr>
          <w:rStyle w:val="FootnoteReference"/>
        </w:rPr>
        <w:footnoteReference w:id="550"/>
      </w:r>
      <w:r>
        <w:t xml:space="preserve"> We consider the model:</w:t>
      </w:r>
    </w:p>
    <w:p w:rsidR="0010250E" w:rsidRPr="0010250E" w:rsidRDefault="0010250E" w:rsidP="0010250E">
      <w:pPr>
        <w:pStyle w:val="AERbulletlistfirststyle"/>
      </w:pPr>
      <w:r w:rsidRPr="001562D4">
        <w:t>is reflective of economic and finance pri</w:t>
      </w:r>
      <w:r w:rsidRPr="0010250E">
        <w:t>nciples and market information</w:t>
      </w:r>
    </w:p>
    <w:p w:rsidR="0010250E" w:rsidRPr="0010250E" w:rsidRDefault="0010250E" w:rsidP="0010250E">
      <w:pPr>
        <w:pStyle w:val="AERbulletlistfirststyle"/>
      </w:pPr>
      <w:r w:rsidRPr="001562D4">
        <w:t xml:space="preserve">is fit for purpose as it was developed for </w:t>
      </w:r>
      <w:r w:rsidRPr="0010250E">
        <w:t>estimating the cost of capital</w:t>
      </w:r>
    </w:p>
    <w:p w:rsidR="0010250E" w:rsidRPr="0010250E" w:rsidRDefault="0010250E" w:rsidP="0010250E">
      <w:pPr>
        <w:pStyle w:val="AERbulletlistfirststyle"/>
      </w:pPr>
      <w:r w:rsidRPr="001562D4">
        <w:t>can be implemented in accordance with good pr</w:t>
      </w:r>
      <w:r w:rsidRPr="0010250E">
        <w:t>actice</w:t>
      </w:r>
    </w:p>
    <w:p w:rsidR="0010250E" w:rsidRPr="0010250E" w:rsidRDefault="0010250E" w:rsidP="0010250E">
      <w:pPr>
        <w:pStyle w:val="AERbulletlistfirststyle"/>
      </w:pPr>
      <w:r w:rsidRPr="001562D4">
        <w:t>is not unduly sensitive to errors in</w:t>
      </w:r>
      <w:r w:rsidRPr="0010250E">
        <w:t xml:space="preserve"> inputs or arbitrary filtering</w:t>
      </w:r>
    </w:p>
    <w:p w:rsidR="0010250E" w:rsidRPr="0010250E" w:rsidRDefault="0010250E" w:rsidP="0010250E">
      <w:pPr>
        <w:pStyle w:val="AERbulletlistfirststyle"/>
      </w:pPr>
      <w:r w:rsidRPr="001562D4">
        <w:t xml:space="preserve">uses input data that is credible and verifiable, comparable and </w:t>
      </w:r>
      <w:r w:rsidRPr="0010250E">
        <w:t>timely and clearly sourced</w:t>
      </w:r>
    </w:p>
    <w:p w:rsidR="0010250E" w:rsidRPr="0010250E" w:rsidRDefault="0010250E" w:rsidP="0010250E">
      <w:pPr>
        <w:pStyle w:val="AERbulletlistfirststyle"/>
      </w:pPr>
      <w:proofErr w:type="gramStart"/>
      <w:r w:rsidRPr="001562D4">
        <w:t>is</w:t>
      </w:r>
      <w:proofErr w:type="gramEnd"/>
      <w:r w:rsidRPr="001562D4">
        <w:t xml:space="preserve"> sufficiently flexible to allow for changing market conditions and new information to be reflected in regul</w:t>
      </w:r>
      <w:r w:rsidRPr="0010250E">
        <w:t>atory outcomes, as appropriate.</w:t>
      </w:r>
    </w:p>
    <w:p w:rsidR="0010250E" w:rsidRPr="006C4D93" w:rsidRDefault="0010250E" w:rsidP="0010250E">
      <w:r w:rsidRPr="001562D4">
        <w:t xml:space="preserve">While a range of challenges to the </w:t>
      </w:r>
      <w:r>
        <w:t>Sharpe-Lintner CAPM</w:t>
      </w:r>
      <w:r w:rsidRPr="001562D4">
        <w:t xml:space="preserve"> have been raised over many years, the model remains the dominant asset pricing model used for capital budgeting.</w:t>
      </w:r>
      <w:r>
        <w:rPr>
          <w:rStyle w:val="FootnoteReference"/>
        </w:rPr>
        <w:footnoteReference w:id="551"/>
      </w:r>
      <w:r w:rsidRPr="001562D4">
        <w:t xml:space="preserve"> </w:t>
      </w:r>
      <w:r>
        <w:t>T</w:t>
      </w:r>
      <w:r w:rsidRPr="006C4D93">
        <w:t xml:space="preserve">he </w:t>
      </w:r>
      <w:r>
        <w:t>model—</w:t>
      </w:r>
      <w:r w:rsidRPr="006C4D93">
        <w:t xml:space="preserve">estimated as the sum of the risk free rate and the product of the equity beta and </w:t>
      </w:r>
      <w:r>
        <w:t>market risk premium—</w:t>
      </w:r>
      <w:r w:rsidRPr="006C4D93">
        <w:t xml:space="preserve">is relatively simple to implement. </w:t>
      </w:r>
      <w:r>
        <w:t>We consider these i</w:t>
      </w:r>
      <w:r w:rsidRPr="006C4D93">
        <w:t xml:space="preserve">nput parameter estimates </w:t>
      </w:r>
      <w:r>
        <w:t>are based on ro</w:t>
      </w:r>
      <w:r w:rsidRPr="006C4D93">
        <w:t>bust, transparent and replicable analysis.</w:t>
      </w:r>
      <w:r>
        <w:t xml:space="preserve"> </w:t>
      </w:r>
      <w:r w:rsidRPr="00C61D42">
        <w:t>We consider its use in this context will lead to a predictable estimate of the return on equity, and this will be valuable in ensuring regulated service providers can efficiently raise equity.</w:t>
      </w:r>
    </w:p>
    <w:p w:rsidR="0010250E" w:rsidRPr="001562D4" w:rsidRDefault="0010250E" w:rsidP="0010250E">
      <w:pPr>
        <w:numPr>
          <w:ilvl w:val="0"/>
          <w:numId w:val="25"/>
        </w:numPr>
      </w:pPr>
      <w:r w:rsidRPr="001562D4">
        <w:t>In relation to the S</w:t>
      </w:r>
      <w:r>
        <w:t>harpe-</w:t>
      </w:r>
      <w:r w:rsidRPr="001562D4">
        <w:t>L</w:t>
      </w:r>
      <w:r>
        <w:t xml:space="preserve">intner </w:t>
      </w:r>
      <w:r w:rsidRPr="001562D4">
        <w:t>CAPM, McKenzie and Partington found the following:</w:t>
      </w:r>
      <w:r>
        <w:rPr>
          <w:rStyle w:val="FootnoteReference"/>
        </w:rPr>
        <w:footnoteReference w:id="552"/>
      </w:r>
    </w:p>
    <w:p w:rsidR="0010250E" w:rsidRPr="0010250E" w:rsidRDefault="0010250E" w:rsidP="0010250E">
      <w:pPr>
        <w:pStyle w:val="AERbulletlistfirststyle"/>
      </w:pPr>
      <w:r>
        <w:t>A</w:t>
      </w:r>
      <w:r w:rsidRPr="0010250E">
        <w:t>s the foundation model it, 'provides a starting point, which is firmly based in a mature and well accepted theoretical and empirical literature'.</w:t>
      </w:r>
    </w:p>
    <w:p w:rsidR="0010250E" w:rsidRPr="0010250E" w:rsidRDefault="0010250E" w:rsidP="0010250E">
      <w:pPr>
        <w:pStyle w:val="AERbulletlistfirststyle"/>
      </w:pPr>
      <w:r w:rsidRPr="001562D4">
        <w:t>Its efficacy comes from surviving the test of time</w:t>
      </w:r>
      <w:r w:rsidRPr="0010250E">
        <w:t>. They noted the 'model has been around for in excess of half a century and has become the standard workhorse model of modern finance both in theory and practice'.</w:t>
      </w:r>
    </w:p>
    <w:p w:rsidR="0010250E" w:rsidRPr="0010250E" w:rsidRDefault="0010250E" w:rsidP="0010250E">
      <w:pPr>
        <w:pStyle w:val="AERbulletlistfirststyle"/>
      </w:pPr>
      <w:r>
        <w:t>Its '</w:t>
      </w:r>
      <w:r w:rsidRPr="0010250E">
        <w:t>place as the foundation model is justifiable in terms of its simple theoretical underpinnings and relative ease of application'.</w:t>
      </w:r>
    </w:p>
    <w:p w:rsidR="0010250E" w:rsidRPr="0010250E" w:rsidRDefault="0010250E" w:rsidP="0010250E">
      <w:pPr>
        <w:pStyle w:val="AERbulletlistfirststyle"/>
      </w:pPr>
      <w:r>
        <w:t>T</w:t>
      </w:r>
      <w:r w:rsidRPr="0010250E">
        <w:t>he majority of international regulators primarily base their decision on the Sharpe-Lintner CAPM framework.</w:t>
      </w:r>
    </w:p>
    <w:p w:rsidR="0010250E" w:rsidRPr="001562D4" w:rsidRDefault="0010250E" w:rsidP="0010250E">
      <w:pPr>
        <w:numPr>
          <w:ilvl w:val="0"/>
          <w:numId w:val="25"/>
        </w:numPr>
      </w:pPr>
      <w:r>
        <w:t xml:space="preserve">Further, </w:t>
      </w:r>
      <w:r w:rsidRPr="001562D4">
        <w:t xml:space="preserve">McKenzie and Partington </w:t>
      </w:r>
      <w:r>
        <w:t>have expressed that</w:t>
      </w:r>
      <w:r w:rsidRPr="001562D4">
        <w:t xml:space="preserve"> the foundat</w:t>
      </w:r>
      <w:r>
        <w:t xml:space="preserve">ion model approach, using the Sharpe-Lintner </w:t>
      </w:r>
      <w:r w:rsidRPr="001562D4">
        <w:t>CAPM as the foundation model, would be expected to:</w:t>
      </w:r>
      <w:r w:rsidRPr="001562D4">
        <w:rPr>
          <w:rStyle w:val="FootnoteReference"/>
        </w:rPr>
        <w:footnoteReference w:id="553"/>
      </w:r>
    </w:p>
    <w:p w:rsidR="0010250E" w:rsidRPr="0010250E" w:rsidRDefault="0010250E" w:rsidP="0010250E">
      <w:pPr>
        <w:pStyle w:val="AERbulletlistfirststyle"/>
      </w:pPr>
      <w:r w:rsidRPr="001562D4">
        <w:t xml:space="preserve">lead to a reasonable estimate of the </w:t>
      </w:r>
      <w:r w:rsidRPr="0010250E">
        <w:t>return on equity</w:t>
      </w:r>
    </w:p>
    <w:p w:rsidR="0010250E" w:rsidRPr="0010250E" w:rsidRDefault="0010250E" w:rsidP="0010250E">
      <w:pPr>
        <w:pStyle w:val="AERbulletlistfirststyle"/>
      </w:pPr>
      <w:r w:rsidRPr="001562D4">
        <w:t xml:space="preserve">lead to a </w:t>
      </w:r>
      <w:r w:rsidRPr="0010250E">
        <w:t>rate of return that meets the allowed rate of return objective</w:t>
      </w:r>
    </w:p>
    <w:p w:rsidR="0010250E" w:rsidRPr="0010250E" w:rsidRDefault="0010250E" w:rsidP="0010250E">
      <w:pPr>
        <w:pStyle w:val="AERbulletlistfirststyle"/>
      </w:pPr>
      <w:proofErr w:type="gramStart"/>
      <w:r w:rsidRPr="001562D4">
        <w:t>not</w:t>
      </w:r>
      <w:proofErr w:type="gramEnd"/>
      <w:r w:rsidRPr="001562D4">
        <w:t xml:space="preserve"> lead to a downward biased estimate of the cost of equity fo</w:t>
      </w:r>
      <w:r w:rsidRPr="0010250E">
        <w:t>r a benchmark efficient entity.</w:t>
      </w:r>
    </w:p>
    <w:p w:rsidR="0010250E" w:rsidRDefault="0010250E" w:rsidP="0010250E">
      <w:pPr>
        <w:pStyle w:val="AERbulletlistfirststyle"/>
        <w:numPr>
          <w:ilvl w:val="0"/>
          <w:numId w:val="25"/>
        </w:numPr>
      </w:pPr>
      <w:r>
        <w:t>In relation to the Sharpe-Lintner CAPM, Partington and Satchell noted:</w:t>
      </w:r>
      <w:r>
        <w:rPr>
          <w:rStyle w:val="FootnoteReference"/>
        </w:rPr>
        <w:footnoteReference w:id="554"/>
      </w:r>
      <w:r>
        <w:t xml:space="preserve"> </w:t>
      </w:r>
    </w:p>
    <w:p w:rsidR="0010250E" w:rsidRPr="0010250E" w:rsidRDefault="0010250E" w:rsidP="0010250E">
      <w:pPr>
        <w:pStyle w:val="AERbulletlistfirststyle"/>
      </w:pPr>
      <w:r>
        <w:t>The model is 'ubiquitous in relation to the estimation of the cost of equity' and 'the same cannot be said for the alternative models proposed by the regulated</w:t>
      </w:r>
      <w:r w:rsidRPr="0010250E">
        <w:t xml:space="preserve"> businesses.</w:t>
      </w:r>
      <w:r w:rsidRPr="0010250E">
        <w:rPr>
          <w:rStyle w:val="FootnoteReference"/>
        </w:rPr>
        <w:footnoteReference w:id="555"/>
      </w:r>
    </w:p>
    <w:p w:rsidR="0010250E" w:rsidRPr="0010250E" w:rsidRDefault="0010250E" w:rsidP="0010250E">
      <w:pPr>
        <w:pStyle w:val="AERbulletlistfirststyle"/>
      </w:pPr>
      <w:r>
        <w:t xml:space="preserve">It is 'widely used and understood'. </w:t>
      </w:r>
    </w:p>
    <w:p w:rsidR="0010250E" w:rsidRPr="0010250E" w:rsidRDefault="0010250E" w:rsidP="0010250E">
      <w:pPr>
        <w:pStyle w:val="AERbulletlistfirststyle"/>
      </w:pPr>
      <w:r>
        <w:t xml:space="preserve">The model has passed the test of time and 'has had several decades of widespread practical use in estimating the cost of capital'. </w:t>
      </w:r>
    </w:p>
    <w:p w:rsidR="0010250E" w:rsidRDefault="0010250E" w:rsidP="0010250E">
      <w:pPr>
        <w:numPr>
          <w:ilvl w:val="0"/>
          <w:numId w:val="25"/>
        </w:numPr>
      </w:pPr>
      <w:r w:rsidRPr="001562D4">
        <w:t>Handley</w:t>
      </w:r>
      <w:r>
        <w:t xml:space="preserve"> </w:t>
      </w:r>
      <w:r w:rsidRPr="001562D4">
        <w:t xml:space="preserve">indicated </w:t>
      </w:r>
      <w:r>
        <w:t xml:space="preserve">that our use of the Sharpe-Lintner </w:t>
      </w:r>
      <w:r w:rsidRPr="001562D4">
        <w:t>CAPM as foundation model</w:t>
      </w:r>
      <w:r>
        <w:t xml:space="preserve"> was</w:t>
      </w:r>
      <w:r w:rsidRPr="001562D4">
        <w:t xml:space="preserve"> entirely appropriate and reasonable.</w:t>
      </w:r>
      <w:r>
        <w:rPr>
          <w:rStyle w:val="FootnoteReference"/>
        </w:rPr>
        <w:footnoteReference w:id="556"/>
      </w:r>
      <w:r>
        <w:t xml:space="preserve"> He noted:</w:t>
      </w:r>
      <w:r w:rsidRPr="00B310A9">
        <w:rPr>
          <w:rStyle w:val="FootnoteReference"/>
        </w:rPr>
        <w:t xml:space="preserve"> </w:t>
      </w:r>
      <w:r>
        <w:rPr>
          <w:rStyle w:val="FootnoteReference"/>
        </w:rPr>
        <w:footnoteReference w:id="557"/>
      </w:r>
    </w:p>
    <w:p w:rsidR="0010250E" w:rsidRDefault="0010250E" w:rsidP="0010250E">
      <w:pPr>
        <w:pStyle w:val="AERquote"/>
      </w:pPr>
      <w:r>
        <w:t>'</w:t>
      </w:r>
      <w:r w:rsidRPr="001562D4">
        <w:t>[t]he Sharpe-CAPM is the standard (equilibrium) asset pricing model. It has a long established and well understood theoretical foundation and is a transparent representation of one of the most fundamental paradigms of finance – the risk-return trade off.</w:t>
      </w:r>
    </w:p>
    <w:p w:rsidR="0010250E" w:rsidRDefault="0010250E" w:rsidP="0010250E">
      <w:pPr>
        <w:numPr>
          <w:ilvl w:val="0"/>
          <w:numId w:val="25"/>
        </w:numPr>
      </w:pPr>
      <w:r w:rsidRPr="001562D4">
        <w:t>A s</w:t>
      </w:r>
      <w:r>
        <w:t xml:space="preserve">ubstantial </w:t>
      </w:r>
      <w:r w:rsidRPr="001562D4">
        <w:t xml:space="preserve">amount of the material submitted to us </w:t>
      </w:r>
      <w:r>
        <w:t>after publishing</w:t>
      </w:r>
      <w:r w:rsidRPr="001562D4">
        <w:t xml:space="preserve"> the Guideline commented on </w:t>
      </w:r>
      <w:r>
        <w:t xml:space="preserve">our conclusions and choice of Sharpe-Lintner </w:t>
      </w:r>
      <w:r w:rsidRPr="001562D4">
        <w:t xml:space="preserve">CAPM as the foundation model. </w:t>
      </w:r>
      <w:r>
        <w:t xml:space="preserve">The majority of </w:t>
      </w:r>
      <w:r w:rsidRPr="001562D4">
        <w:t xml:space="preserve">stakeholders </w:t>
      </w:r>
      <w:r>
        <w:t xml:space="preserve">other than service providers </w:t>
      </w:r>
      <w:r w:rsidRPr="001562D4">
        <w:t>su</w:t>
      </w:r>
      <w:r>
        <w:t xml:space="preserve">pported the use of </w:t>
      </w:r>
      <w:r w:rsidRPr="001562D4">
        <w:t xml:space="preserve">the </w:t>
      </w:r>
      <w:r>
        <w:t>model</w:t>
      </w:r>
      <w:r w:rsidRPr="001562D4">
        <w:t xml:space="preserve"> as the </w:t>
      </w:r>
      <w:r>
        <w:t>foundation model.</w:t>
      </w:r>
      <w:r>
        <w:rPr>
          <w:rStyle w:val="FootnoteReference"/>
        </w:rPr>
        <w:footnoteReference w:id="558"/>
      </w:r>
      <w:r>
        <w:t xml:space="preserve"> These submissions are detailed in section </w:t>
      </w:r>
      <w:r>
        <w:fldChar w:fldCharType="begin"/>
      </w:r>
      <w:r>
        <w:instrText xml:space="preserve"> REF _Ref449004907 \r \h </w:instrText>
      </w:r>
      <w:r>
        <w:fldChar w:fldCharType="separate"/>
      </w:r>
      <w:r w:rsidR="003F1AAB">
        <w:t>B.1.1</w:t>
      </w:r>
      <w:r>
        <w:fldChar w:fldCharType="end"/>
      </w:r>
      <w:r>
        <w:t>.</w:t>
      </w:r>
    </w:p>
    <w:p w:rsidR="0010250E" w:rsidRDefault="0010250E" w:rsidP="0010250E">
      <w:r>
        <w:t>Generally,</w:t>
      </w:r>
      <w:r w:rsidRPr="001562D4">
        <w:t xml:space="preserve"> </w:t>
      </w:r>
      <w:r>
        <w:t xml:space="preserve">service providers </w:t>
      </w:r>
      <w:r w:rsidRPr="001562D4">
        <w:t>submitted that the allowed return on equity for a bench</w:t>
      </w:r>
      <w:r>
        <w:t>mark efficient entity from the foundation m</w:t>
      </w:r>
      <w:r w:rsidRPr="001562D4">
        <w:t>odel approach (usin</w:t>
      </w:r>
      <w:r>
        <w:t>g the Sharpe-Lintner CAPM as the foundation</w:t>
      </w:r>
      <w:r w:rsidRPr="001562D4">
        <w:t xml:space="preserve"> model) is likely to be downward biased. </w:t>
      </w:r>
      <w:r>
        <w:t>In their proposals, t</w:t>
      </w:r>
      <w:r w:rsidRPr="001562D4">
        <w:t xml:space="preserve">hese </w:t>
      </w:r>
      <w:r>
        <w:t>service providers</w:t>
      </w:r>
      <w:r w:rsidRPr="001562D4">
        <w:t xml:space="preserve"> submitted </w:t>
      </w:r>
      <w:r>
        <w:t>that we should use</w:t>
      </w:r>
      <w:r w:rsidRPr="001562D4">
        <w:t xml:space="preserve"> different models and </w:t>
      </w:r>
      <w:r>
        <w:t xml:space="preserve">additional </w:t>
      </w:r>
      <w:r w:rsidRPr="001562D4">
        <w:t xml:space="preserve">information to </w:t>
      </w:r>
      <w:r>
        <w:t>the information in the foundation m</w:t>
      </w:r>
      <w:r w:rsidRPr="001562D4">
        <w:t>odel approach.</w:t>
      </w:r>
      <w:r w:rsidRPr="001562D4">
        <w:rPr>
          <w:rStyle w:val="FootnoteReference"/>
        </w:rPr>
        <w:footnoteReference w:id="559"/>
      </w:r>
      <w:r>
        <w:t xml:space="preserve"> Service providers also resubmitted these positions in their submissions on other service providers' regulatory proposals.</w:t>
      </w:r>
      <w:r>
        <w:rPr>
          <w:rStyle w:val="FootnoteReference"/>
        </w:rPr>
        <w:footnoteReference w:id="560"/>
      </w:r>
      <w:r w:rsidRPr="001562D4">
        <w:t xml:space="preserve"> </w:t>
      </w:r>
    </w:p>
    <w:p w:rsidR="0010250E" w:rsidRDefault="0010250E" w:rsidP="0010250E">
      <w:r>
        <w:t>Service providers</w:t>
      </w:r>
      <w:r w:rsidRPr="001562D4">
        <w:t xml:space="preserve"> appear to have submitted </w:t>
      </w:r>
      <w:r>
        <w:t xml:space="preserve">that </w:t>
      </w:r>
      <w:r w:rsidRPr="001562D4">
        <w:t xml:space="preserve">the downward bias is </w:t>
      </w:r>
      <w:r>
        <w:t xml:space="preserve">(in part) </w:t>
      </w:r>
      <w:r w:rsidRPr="001562D4">
        <w:t xml:space="preserve">due to improper consideration </w:t>
      </w:r>
      <w:r>
        <w:t>of the Black CAPM, Fama-French model, and dividend growth model. Service providers appear to have submitted that these other models should be used to either directly estimate the return on equity</w:t>
      </w:r>
      <w:r w:rsidRPr="006C4D93">
        <w:rPr>
          <w:rStyle w:val="FootnoteReference"/>
        </w:rPr>
        <w:footnoteReference w:id="561"/>
      </w:r>
      <w:r>
        <w:t xml:space="preserve"> or used to inform appropriate parameter values to use in applying the Sharpe-Lintner CAPM.</w:t>
      </w:r>
      <w:r w:rsidRPr="00895AD3">
        <w:rPr>
          <w:rStyle w:val="FootnoteReference"/>
        </w:rPr>
        <w:t xml:space="preserve"> </w:t>
      </w:r>
      <w:r w:rsidRPr="006C4D93">
        <w:rPr>
          <w:rStyle w:val="FootnoteReference"/>
        </w:rPr>
        <w:footnoteReference w:id="562"/>
      </w:r>
      <w:r>
        <w:t xml:space="preserve"> </w:t>
      </w:r>
      <w:r w:rsidRPr="001562D4">
        <w:t xml:space="preserve">A number of </w:t>
      </w:r>
      <w:r>
        <w:t>service providers</w:t>
      </w:r>
      <w:r w:rsidRPr="001562D4">
        <w:t xml:space="preserve"> appear to have submitted, directly or implicitly, that </w:t>
      </w:r>
      <w:r>
        <w:t xml:space="preserve">the parameters we select for the Sharpe-Lintner </w:t>
      </w:r>
      <w:r w:rsidRPr="001562D4">
        <w:t xml:space="preserve">CAPM </w:t>
      </w:r>
      <w:r>
        <w:t>under the</w:t>
      </w:r>
      <w:r w:rsidRPr="001562D4">
        <w:t xml:space="preserve"> foundation model approach </w:t>
      </w:r>
      <w:r>
        <w:t>are</w:t>
      </w:r>
      <w:r w:rsidRPr="001562D4">
        <w:t xml:space="preserve"> </w:t>
      </w:r>
      <w:r>
        <w:t>in</w:t>
      </w:r>
      <w:r w:rsidRPr="001562D4">
        <w:t>sufficient to over</w:t>
      </w:r>
      <w:r>
        <w:t xml:space="preserve">come the downward bias in the Sharpe-Lintner </w:t>
      </w:r>
      <w:r w:rsidRPr="001562D4">
        <w:t>CAPM.</w:t>
      </w:r>
      <w:r w:rsidRPr="001562D4">
        <w:rPr>
          <w:rStyle w:val="FootnoteReference"/>
        </w:rPr>
        <w:footnoteReference w:id="563"/>
      </w:r>
      <w:r>
        <w:t xml:space="preserve"> </w:t>
      </w:r>
    </w:p>
    <w:p w:rsidR="0010250E" w:rsidRDefault="0010250E" w:rsidP="0010250E">
      <w:r w:rsidRPr="001562D4">
        <w:t xml:space="preserve">The key information </w:t>
      </w:r>
      <w:r>
        <w:t>that service providers</w:t>
      </w:r>
      <w:r w:rsidRPr="001562D4">
        <w:t xml:space="preserve"> </w:t>
      </w:r>
      <w:r>
        <w:t>used to support</w:t>
      </w:r>
      <w:r w:rsidRPr="001562D4">
        <w:t xml:space="preserve"> these propositions </w:t>
      </w:r>
      <w:r w:rsidRPr="00787D60">
        <w:t>include</w:t>
      </w:r>
      <w:r>
        <w:t>d:</w:t>
      </w:r>
    </w:p>
    <w:p w:rsidR="0010250E" w:rsidRPr="0010250E" w:rsidRDefault="0010250E" w:rsidP="0010250E">
      <w:pPr>
        <w:pStyle w:val="AERbulletlistfirststyle"/>
      </w:pPr>
      <w:r w:rsidRPr="00787D60">
        <w:t>Studies of ex post performance of the S</w:t>
      </w:r>
      <w:r w:rsidRPr="0010250E">
        <w:t>harpe-Lintner CAPM.</w:t>
      </w:r>
      <w:r w:rsidRPr="0010250E">
        <w:rPr>
          <w:rStyle w:val="FootnoteReference"/>
        </w:rPr>
        <w:footnoteReference w:id="564"/>
      </w:r>
      <w:r w:rsidRPr="0010250E">
        <w:t xml:space="preserve"> Frontier and NERA submitted that empirical tests reject the model and that it performs poorly relative to the other models.</w:t>
      </w:r>
      <w:r w:rsidRPr="0010250E">
        <w:rPr>
          <w:rStyle w:val="FootnoteReference"/>
        </w:rPr>
        <w:footnoteReference w:id="565"/>
      </w:r>
      <w:r w:rsidRPr="0010250E">
        <w:t xml:space="preserve"> </w:t>
      </w:r>
    </w:p>
    <w:p w:rsidR="0010250E" w:rsidRPr="0010250E" w:rsidRDefault="0010250E" w:rsidP="0010250E">
      <w:pPr>
        <w:pStyle w:val="AERbulletlistfirststyle"/>
      </w:pPr>
      <w:r w:rsidRPr="00787D60">
        <w:t xml:space="preserve">Other direct estimates of the </w:t>
      </w:r>
      <w:r w:rsidRPr="0010250E">
        <w:t>return on equity from the Black CAPM, Fama-French model, and dividend growth model.</w:t>
      </w:r>
      <w:r w:rsidRPr="0010250E">
        <w:rPr>
          <w:rStyle w:val="FootnoteReference"/>
        </w:rPr>
        <w:footnoteReference w:id="566"/>
      </w:r>
      <w:r w:rsidRPr="0010250E">
        <w:t xml:space="preserve"> Service providers submitted:</w:t>
      </w:r>
    </w:p>
    <w:p w:rsidR="0010250E" w:rsidRDefault="0010250E" w:rsidP="0010250E">
      <w:pPr>
        <w:pStyle w:val="AERbulletlistsecondstyle"/>
      </w:pPr>
      <w:r>
        <w:t>the Black CAPM as evidence that the Sharpe-Lintner CAPM displays low beta bias</w:t>
      </w:r>
    </w:p>
    <w:p w:rsidR="0010250E" w:rsidRDefault="0010250E" w:rsidP="0010250E">
      <w:pPr>
        <w:pStyle w:val="AERbulletlistsecondstyle"/>
      </w:pPr>
      <w:r>
        <w:t>the Fama-French model as evidence that the Sharpe-Lintner CAPM displays book-to-market bias</w:t>
      </w:r>
    </w:p>
    <w:p w:rsidR="0010250E" w:rsidRPr="006C4D93" w:rsidRDefault="0010250E" w:rsidP="0010250E">
      <w:pPr>
        <w:pStyle w:val="AERbulletlistsecondstyle"/>
      </w:pPr>
      <w:proofErr w:type="gramStart"/>
      <w:r>
        <w:t>the</w:t>
      </w:r>
      <w:proofErr w:type="gramEnd"/>
      <w:r>
        <w:t xml:space="preserve"> dividend growth model as evidence that the Sharpe-Lintner CAPM, as applied by the AER, is not reflective of prevailing market conditions.</w:t>
      </w:r>
    </w:p>
    <w:p w:rsidR="0010250E" w:rsidRDefault="0010250E" w:rsidP="0010250E">
      <w:pPr>
        <w:numPr>
          <w:ilvl w:val="0"/>
          <w:numId w:val="25"/>
        </w:numPr>
      </w:pPr>
      <w:r>
        <w:t xml:space="preserve">These submissions from service providers are detailed further in sections </w:t>
      </w:r>
      <w:r>
        <w:fldChar w:fldCharType="begin"/>
      </w:r>
      <w:r>
        <w:instrText xml:space="preserve"> REF _Ref449004981 \r \h </w:instrText>
      </w:r>
      <w:r>
        <w:fldChar w:fldCharType="separate"/>
      </w:r>
      <w:r w:rsidR="003F1AAB">
        <w:t>B.1.3</w:t>
      </w:r>
      <w:r>
        <w:fldChar w:fldCharType="end"/>
      </w:r>
      <w:r>
        <w:t xml:space="preserve"> and </w:t>
      </w:r>
      <w:r>
        <w:fldChar w:fldCharType="begin"/>
      </w:r>
      <w:r>
        <w:instrText xml:space="preserve"> REF _Ref449004969 \r \h </w:instrText>
      </w:r>
      <w:r>
        <w:fldChar w:fldCharType="separate"/>
      </w:r>
      <w:r w:rsidR="003F1AAB">
        <w:t>B.1.2</w:t>
      </w:r>
      <w:r>
        <w:fldChar w:fldCharType="end"/>
      </w:r>
      <w:r>
        <w:t xml:space="preserve"> below.</w:t>
      </w:r>
    </w:p>
    <w:p w:rsidR="0010250E" w:rsidRDefault="0010250E" w:rsidP="0010250E">
      <w:pPr>
        <w:numPr>
          <w:ilvl w:val="0"/>
          <w:numId w:val="25"/>
        </w:numPr>
      </w:pPr>
      <w:r>
        <w:t>The</w:t>
      </w:r>
      <w:r w:rsidRPr="00787D60">
        <w:t xml:space="preserve"> key submissions on these points</w:t>
      </w:r>
      <w:r>
        <w:t xml:space="preserve"> were considered in our draft decision for AGN, and this material remains relevant.</w:t>
      </w:r>
      <w:r w:rsidRPr="00787D60">
        <w:t xml:space="preserve"> </w:t>
      </w:r>
      <w:r>
        <w:t>We have reviewed the new material</w:t>
      </w:r>
      <w:r w:rsidRPr="00C61D42">
        <w:t xml:space="preserve"> before us</w:t>
      </w:r>
      <w:r>
        <w:t xml:space="preserve">. </w:t>
      </w:r>
      <w:r w:rsidRPr="00C61D42">
        <w:t>While we recognise all models have strengths an</w:t>
      </w:r>
      <w:r>
        <w:t xml:space="preserve">d weaknesses, we consider the Sharpe-Lintner </w:t>
      </w:r>
      <w:r w:rsidRPr="00C61D42">
        <w:t>CAPM to be the superior model before us for the purpose of estimati</w:t>
      </w:r>
      <w:r>
        <w:t xml:space="preserve">ng the allowed return on equity. </w:t>
      </w:r>
      <w:r w:rsidRPr="00787D60">
        <w:t xml:space="preserve">We do not consider that </w:t>
      </w:r>
      <w:r>
        <w:t>service providers' submissions</w:t>
      </w:r>
      <w:r w:rsidRPr="00787D60">
        <w:t xml:space="preserve"> support any further adjustment to our S</w:t>
      </w:r>
      <w:r>
        <w:t xml:space="preserve">harpe-Lintner </w:t>
      </w:r>
      <w:r w:rsidRPr="00787D60">
        <w:t>CAPM input parameters</w:t>
      </w:r>
      <w:r>
        <w:t>. We are satisfied that we have had significant regard to prevailing market conditions in estimating the return on equity for a benchmark efficient entity.</w:t>
      </w:r>
      <w:r>
        <w:rPr>
          <w:rStyle w:val="FootnoteReference"/>
        </w:rPr>
        <w:footnoteReference w:id="567"/>
      </w:r>
      <w:r>
        <w:t xml:space="preserve"> We are satisfied</w:t>
      </w:r>
      <w:r w:rsidRPr="00787D60">
        <w:t xml:space="preserve"> that our </w:t>
      </w:r>
      <w:r>
        <w:t>return on equity</w:t>
      </w:r>
      <w:r w:rsidRPr="00787D60">
        <w:t xml:space="preserve"> estimate </w:t>
      </w:r>
      <w:r>
        <w:t>would</w:t>
      </w:r>
      <w:r w:rsidRPr="00787D60">
        <w:t xml:space="preserve"> fairly compensate a benchmark entity facing a similar degree of risk to </w:t>
      </w:r>
      <w:r>
        <w:t xml:space="preserve">AGN </w:t>
      </w:r>
      <w:r w:rsidRPr="00787D60">
        <w:t>for its efficient equity financing costs</w:t>
      </w:r>
      <w:r>
        <w:t>.</w:t>
      </w:r>
    </w:p>
    <w:p w:rsidR="0010250E" w:rsidRPr="00663DB7" w:rsidRDefault="0010250E" w:rsidP="0010250E">
      <w:pPr>
        <w:pStyle w:val="ListParagraph"/>
        <w:numPr>
          <w:ilvl w:val="0"/>
          <w:numId w:val="25"/>
        </w:numPr>
      </w:pPr>
      <w:r>
        <w:t>Services providers submitted that t</w:t>
      </w:r>
      <w:r w:rsidRPr="00663DB7">
        <w:t xml:space="preserve">he AER has </w:t>
      </w:r>
      <w:r>
        <w:t>"</w:t>
      </w:r>
      <w:r w:rsidRPr="00663DB7">
        <w:t>erred in finding that the SL-CAPM is the clearly superior model</w:t>
      </w:r>
      <w:r>
        <w:t>",</w:t>
      </w:r>
      <w:r>
        <w:rPr>
          <w:rStyle w:val="FootnoteReference"/>
        </w:rPr>
        <w:footnoteReference w:id="568"/>
      </w:r>
      <w:r w:rsidRPr="00663DB7">
        <w:t xml:space="preserve"> </w:t>
      </w:r>
      <w:r>
        <w:t>submitting that</w:t>
      </w:r>
      <w:r w:rsidRPr="00663DB7">
        <w:t xml:space="preserve"> no evidence</w:t>
      </w:r>
      <w:r>
        <w:t xml:space="preserve"> (such as expert reports)</w:t>
      </w:r>
      <w:r w:rsidRPr="00663DB7">
        <w:t xml:space="preserve"> is cited in support of this statemen</w:t>
      </w:r>
      <w:r>
        <w:t>t</w:t>
      </w:r>
      <w:r w:rsidRPr="00663DB7">
        <w:t xml:space="preserve">. </w:t>
      </w:r>
      <w:r>
        <w:t>We note that the Tribunal recently found no error in our approach to estimating the return on equity, including the use of the Sharpe-Lintner CAPM in our foundation model approach.</w:t>
      </w:r>
      <w:r>
        <w:rPr>
          <w:rStyle w:val="FootnoteReference"/>
        </w:rPr>
        <w:footnoteReference w:id="569"/>
      </w:r>
    </w:p>
    <w:p w:rsidR="0010250E" w:rsidRPr="00B4711B" w:rsidRDefault="0010250E" w:rsidP="0010250E">
      <w:pPr>
        <w:pStyle w:val="Heading9"/>
      </w:pPr>
      <w:bookmarkStart w:id="148" w:name="_Ref449004907"/>
      <w:bookmarkStart w:id="149" w:name="_Toc456686711"/>
      <w:r>
        <w:t>Submissions supporting the use of the Sharpe-Lintner CAPM as the foundation model</w:t>
      </w:r>
      <w:bookmarkEnd w:id="148"/>
      <w:bookmarkEnd w:id="149"/>
    </w:p>
    <w:p w:rsidR="0010250E" w:rsidRPr="001562D4" w:rsidRDefault="0010250E" w:rsidP="0010250E">
      <w:pPr>
        <w:numPr>
          <w:ilvl w:val="0"/>
          <w:numId w:val="25"/>
        </w:numPr>
      </w:pPr>
      <w:r>
        <w:t xml:space="preserve">The majority of </w:t>
      </w:r>
      <w:r w:rsidRPr="001562D4">
        <w:t>stakeholders</w:t>
      </w:r>
      <w:r>
        <w:t xml:space="preserve"> (other than service providers)</w:t>
      </w:r>
      <w:r w:rsidRPr="001562D4">
        <w:t xml:space="preserve"> su</w:t>
      </w:r>
      <w:r>
        <w:t xml:space="preserve">pported using the Sharpe-Lintner </w:t>
      </w:r>
      <w:r w:rsidRPr="001562D4">
        <w:t xml:space="preserve">CAPM as the </w:t>
      </w:r>
      <w:r>
        <w:t>foundation model.</w:t>
      </w:r>
      <w:r>
        <w:rPr>
          <w:rStyle w:val="FootnoteReference"/>
        </w:rPr>
        <w:footnoteReference w:id="570"/>
      </w:r>
      <w:r>
        <w:t xml:space="preserve"> However, </w:t>
      </w:r>
      <w:r w:rsidRPr="001562D4">
        <w:t xml:space="preserve">a number </w:t>
      </w:r>
      <w:r>
        <w:t xml:space="preserve">of them </w:t>
      </w:r>
      <w:r w:rsidRPr="001562D4">
        <w:t>submitted we sh</w:t>
      </w:r>
      <w:r>
        <w:t xml:space="preserve">ould consider lowering our </w:t>
      </w:r>
      <w:r w:rsidRPr="001562D4">
        <w:t xml:space="preserve">input parameters </w:t>
      </w:r>
      <w:r>
        <w:t>used in the model relative to those published with the Guideline</w:t>
      </w:r>
      <w:r w:rsidRPr="001562D4">
        <w:t>.</w:t>
      </w:r>
      <w:r w:rsidRPr="001562D4">
        <w:rPr>
          <w:rStyle w:val="FootnoteReference"/>
        </w:rPr>
        <w:footnoteReference w:id="571"/>
      </w:r>
      <w:r w:rsidRPr="001562D4">
        <w:t xml:space="preserve"> </w:t>
      </w:r>
      <w:r>
        <w:fldChar w:fldCharType="begin"/>
      </w:r>
      <w:r>
        <w:instrText xml:space="preserve"> REF _Ref433137654 \h </w:instrText>
      </w:r>
      <w:r>
        <w:fldChar w:fldCharType="separate"/>
      </w:r>
      <w:r w:rsidR="003F1AAB">
        <w:t xml:space="preserve">Table </w:t>
      </w:r>
      <w:r w:rsidR="003F1AAB">
        <w:rPr>
          <w:noProof/>
        </w:rPr>
        <w:t>3</w:t>
      </w:r>
      <w:r w:rsidR="003F1AAB">
        <w:noBreakHyphen/>
      </w:r>
      <w:r w:rsidR="003F1AAB">
        <w:rPr>
          <w:noProof/>
        </w:rPr>
        <w:t>21</w:t>
      </w:r>
      <w:r>
        <w:fldChar w:fldCharType="end"/>
      </w:r>
      <w:r>
        <w:t xml:space="preserve"> summarises a</w:t>
      </w:r>
      <w:r w:rsidRPr="001562D4">
        <w:t xml:space="preserve"> number of these submissions</w:t>
      </w:r>
      <w:r>
        <w:t>.</w:t>
      </w:r>
      <w:r w:rsidRPr="001562D4">
        <w:t xml:space="preserve"> </w:t>
      </w:r>
    </w:p>
    <w:p w:rsidR="0010250E" w:rsidRPr="001562D4" w:rsidRDefault="0010250E" w:rsidP="0010250E">
      <w:pPr>
        <w:pStyle w:val="Caption"/>
      </w:pPr>
      <w:bookmarkStart w:id="150" w:name="_Ref433137654"/>
      <w:r>
        <w:t xml:space="preserve">Table </w:t>
      </w:r>
      <w:r w:rsidRPr="00421894">
        <w:fldChar w:fldCharType="begin"/>
      </w:r>
      <w:r>
        <w:instrText xml:space="preserve"> STYLEREF 1 \s </w:instrText>
      </w:r>
      <w:r w:rsidRPr="00421894">
        <w:fldChar w:fldCharType="separate"/>
      </w:r>
      <w:r w:rsidR="003F1AAB">
        <w:rPr>
          <w:noProof/>
        </w:rPr>
        <w:t>3</w:t>
      </w:r>
      <w:r w:rsidRPr="00421894">
        <w:fldChar w:fldCharType="end"/>
      </w:r>
      <w:r>
        <w:noBreakHyphen/>
      </w:r>
      <w:r w:rsidRPr="00421894">
        <w:fldChar w:fldCharType="begin"/>
      </w:r>
      <w:r>
        <w:instrText xml:space="preserve"> SEQ Table \* ARABIC \s 1 </w:instrText>
      </w:r>
      <w:r w:rsidRPr="00421894">
        <w:fldChar w:fldCharType="separate"/>
      </w:r>
      <w:r w:rsidR="003F1AAB">
        <w:rPr>
          <w:noProof/>
        </w:rPr>
        <w:t>21</w:t>
      </w:r>
      <w:r w:rsidRPr="00421894">
        <w:fldChar w:fldCharType="end"/>
      </w:r>
      <w:bookmarkEnd w:id="150"/>
      <w:r>
        <w:tab/>
        <w:t xml:space="preserve"> </w:t>
      </w:r>
      <w:r w:rsidRPr="001562D4">
        <w:t>Submission</w:t>
      </w:r>
      <w:r>
        <w:t>s supporting the SLCAPM</w:t>
      </w:r>
    </w:p>
    <w:tbl>
      <w:tblPr>
        <w:tblStyle w:val="AERtable-text0"/>
        <w:tblW w:w="0" w:type="auto"/>
        <w:tblLook w:val="04A0" w:firstRow="1" w:lastRow="0" w:firstColumn="1" w:lastColumn="0" w:noHBand="0" w:noVBand="1"/>
      </w:tblPr>
      <w:tblGrid>
        <w:gridCol w:w="1605"/>
        <w:gridCol w:w="7088"/>
      </w:tblGrid>
      <w:tr w:rsidR="0010250E" w:rsidRPr="001848E2" w:rsidTr="0010250E">
        <w:trPr>
          <w:cnfStyle w:val="100000000000" w:firstRow="1" w:lastRow="0" w:firstColumn="0" w:lastColumn="0" w:oddVBand="0" w:evenVBand="0" w:oddHBand="0" w:evenHBand="0" w:firstRowFirstColumn="0" w:firstRowLastColumn="0" w:lastRowFirstColumn="0" w:lastRowLastColumn="0"/>
          <w:tblHeader/>
        </w:trPr>
        <w:tc>
          <w:tcPr>
            <w:tcW w:w="1605" w:type="dxa"/>
          </w:tcPr>
          <w:p w:rsidR="0010250E" w:rsidRPr="0010250E" w:rsidRDefault="0010250E" w:rsidP="0010250E">
            <w:r w:rsidRPr="001562D4">
              <w:t>Stakeholder</w:t>
            </w:r>
          </w:p>
        </w:tc>
        <w:tc>
          <w:tcPr>
            <w:tcW w:w="7088" w:type="dxa"/>
          </w:tcPr>
          <w:p w:rsidR="0010250E" w:rsidRPr="0010250E" w:rsidRDefault="0010250E" w:rsidP="0010250E">
            <w:r w:rsidRPr="001562D4">
              <w:t>Submission</w:t>
            </w:r>
          </w:p>
        </w:tc>
      </w:tr>
      <w:tr w:rsidR="0010250E" w:rsidRPr="001848E2" w:rsidTr="0010250E">
        <w:tc>
          <w:tcPr>
            <w:tcW w:w="1605" w:type="dxa"/>
          </w:tcPr>
          <w:p w:rsidR="0010250E" w:rsidRPr="0010250E" w:rsidRDefault="0010250E" w:rsidP="0010250E">
            <w:r w:rsidRPr="001562D4">
              <w:t>AGL</w:t>
            </w:r>
          </w:p>
        </w:tc>
        <w:tc>
          <w:tcPr>
            <w:tcW w:w="7088" w:type="dxa"/>
          </w:tcPr>
          <w:p w:rsidR="0010250E" w:rsidRPr="0010250E" w:rsidRDefault="0010250E" w:rsidP="0010250E">
            <w:r w:rsidRPr="00B54D67">
              <w:t>AGL</w:t>
            </w:r>
            <w:r w:rsidRPr="0010250E">
              <w:t xml:space="preserve"> fully supported our use of the Guideline for determining a rate of return which balances the interests of the distributions networks and energy consumers. AGL submitted that the equity beta provided by the Guideline can be considered generous given the regulated framework ensures revenue recovery by distribution networks.</w:t>
            </w:r>
            <w:r w:rsidRPr="0010250E">
              <w:rPr>
                <w:rStyle w:val="FootnoteReference"/>
              </w:rPr>
              <w:footnoteReference w:id="572"/>
            </w:r>
          </w:p>
        </w:tc>
      </w:tr>
      <w:tr w:rsidR="0010250E" w:rsidRPr="001848E2" w:rsidTr="0010250E">
        <w:trPr>
          <w:cnfStyle w:val="000000010000" w:firstRow="0" w:lastRow="0" w:firstColumn="0" w:lastColumn="0" w:oddVBand="0" w:evenVBand="0" w:oddHBand="0" w:evenHBand="1" w:firstRowFirstColumn="0" w:firstRowLastColumn="0" w:lastRowFirstColumn="0" w:lastRowLastColumn="0"/>
        </w:trPr>
        <w:tc>
          <w:tcPr>
            <w:tcW w:w="1605" w:type="dxa"/>
          </w:tcPr>
          <w:p w:rsidR="0010250E" w:rsidRPr="0010250E" w:rsidRDefault="0010250E" w:rsidP="0010250E">
            <w:r>
              <w:t xml:space="preserve">Alternative </w:t>
            </w:r>
            <w:r w:rsidRPr="0010250E">
              <w:t>Technologies Association (ATA)</w:t>
            </w:r>
          </w:p>
        </w:tc>
        <w:tc>
          <w:tcPr>
            <w:tcW w:w="7088" w:type="dxa"/>
          </w:tcPr>
          <w:p w:rsidR="0010250E" w:rsidRPr="0010250E" w:rsidDel="00433B42" w:rsidRDefault="0010250E" w:rsidP="0010250E">
            <w:r w:rsidRPr="00D5494F">
              <w:t>ATA expect</w:t>
            </w:r>
            <w:r w:rsidRPr="0010250E">
              <w:t>ed our determinations to be consistent with our recent decisions and provide for a lower rate of return.</w:t>
            </w:r>
            <w:r w:rsidRPr="0010250E">
              <w:rPr>
                <w:rStyle w:val="FootnoteReference"/>
              </w:rPr>
              <w:footnoteReference w:id="573"/>
            </w:r>
          </w:p>
        </w:tc>
      </w:tr>
      <w:tr w:rsidR="0010250E" w:rsidRPr="001848E2" w:rsidTr="0010250E">
        <w:tc>
          <w:tcPr>
            <w:tcW w:w="1605" w:type="dxa"/>
          </w:tcPr>
          <w:p w:rsidR="0010250E" w:rsidRPr="0010250E" w:rsidRDefault="0010250E" w:rsidP="0010250E">
            <w:r>
              <w:t>Business South Australia</w:t>
            </w:r>
          </w:p>
        </w:tc>
        <w:tc>
          <w:tcPr>
            <w:tcW w:w="7088" w:type="dxa"/>
          </w:tcPr>
          <w:p w:rsidR="0010250E" w:rsidRPr="0010250E" w:rsidRDefault="0010250E" w:rsidP="0010250E">
            <w:r>
              <w:t>Business SA support</w:t>
            </w:r>
            <w:r w:rsidRPr="0010250E">
              <w:t>ed our decision not to depart from its rate of return guideline.</w:t>
            </w:r>
            <w:r w:rsidRPr="0010250E">
              <w:rPr>
                <w:rStyle w:val="FootnoteReference"/>
              </w:rPr>
              <w:footnoteReference w:id="574"/>
            </w:r>
          </w:p>
        </w:tc>
      </w:tr>
      <w:tr w:rsidR="0010250E" w:rsidRPr="001848E2" w:rsidTr="0010250E">
        <w:trPr>
          <w:cnfStyle w:val="000000010000" w:firstRow="0" w:lastRow="0" w:firstColumn="0" w:lastColumn="0" w:oddVBand="0" w:evenVBand="0" w:oddHBand="0" w:evenHBand="1" w:firstRowFirstColumn="0" w:firstRowLastColumn="0" w:lastRowFirstColumn="0" w:lastRowLastColumn="0"/>
        </w:trPr>
        <w:tc>
          <w:tcPr>
            <w:tcW w:w="1605" w:type="dxa"/>
          </w:tcPr>
          <w:p w:rsidR="0010250E" w:rsidRPr="0010250E" w:rsidRDefault="0010250E" w:rsidP="0010250E">
            <w:r>
              <w:t>The Consumer Utilities Advocacy Centre (CUAC)</w:t>
            </w:r>
          </w:p>
        </w:tc>
        <w:tc>
          <w:tcPr>
            <w:tcW w:w="7088" w:type="dxa"/>
          </w:tcPr>
          <w:p w:rsidR="0010250E" w:rsidRPr="0010250E" w:rsidRDefault="0010250E" w:rsidP="0010250E">
            <w:r>
              <w:t>The Consumer Utilities Advocacy Centre submit</w:t>
            </w:r>
            <w:r w:rsidRPr="0010250E">
              <w:t>ted that the weighted average cost of capital proposals from distributors are excessive, and encourages us to instead apply the methodology of the Guideline in estimating a fair rate of return.</w:t>
            </w:r>
            <w:r w:rsidRPr="0010250E">
              <w:rPr>
                <w:rStyle w:val="FootnoteReference"/>
              </w:rPr>
              <w:footnoteReference w:id="575"/>
            </w:r>
          </w:p>
        </w:tc>
      </w:tr>
      <w:tr w:rsidR="0010250E" w:rsidRPr="001848E2" w:rsidTr="0010250E">
        <w:tc>
          <w:tcPr>
            <w:tcW w:w="1605" w:type="dxa"/>
          </w:tcPr>
          <w:p w:rsidR="0010250E" w:rsidRPr="0010250E" w:rsidRDefault="0010250E" w:rsidP="0010250E">
            <w:r>
              <w:t>Consumer Challenge Panel (</w:t>
            </w:r>
            <w:r w:rsidRPr="0010250E">
              <w:t>CCP)</w:t>
            </w:r>
          </w:p>
        </w:tc>
        <w:tc>
          <w:tcPr>
            <w:tcW w:w="7088" w:type="dxa"/>
          </w:tcPr>
          <w:p w:rsidR="0010250E" w:rsidRPr="0010250E" w:rsidRDefault="0010250E" w:rsidP="0010250E">
            <w:r>
              <w:t>The CCP wa</w:t>
            </w:r>
            <w:r w:rsidRPr="0010250E">
              <w:t xml:space="preserve">s unconvinced by arguments from the service providers' various consultants' reports urging us to use models other than the Sharpe-Lintner CAPM for calculating the rate of return. The CCP considered that these alternative models are currently not being utilized by academics </w:t>
            </w:r>
            <w:proofErr w:type="gramStart"/>
            <w:r w:rsidRPr="0010250E">
              <w:t>nor</w:t>
            </w:r>
            <w:proofErr w:type="gramEnd"/>
            <w:r w:rsidRPr="0010250E">
              <w:t xml:space="preserve"> valuation practitioners.</w:t>
            </w:r>
            <w:r w:rsidRPr="0010250E">
              <w:rPr>
                <w:rStyle w:val="FootnoteReference"/>
              </w:rPr>
              <w:footnoteReference w:id="576"/>
            </w:r>
            <w:r w:rsidRPr="0010250E">
              <w:t xml:space="preserve"> </w:t>
            </w:r>
          </w:p>
        </w:tc>
      </w:tr>
      <w:tr w:rsidR="0010250E" w:rsidRPr="001848E2" w:rsidTr="0010250E">
        <w:trPr>
          <w:cnfStyle w:val="000000010000" w:firstRow="0" w:lastRow="0" w:firstColumn="0" w:lastColumn="0" w:oddVBand="0" w:evenVBand="0" w:oddHBand="0" w:evenHBand="1" w:firstRowFirstColumn="0" w:firstRowLastColumn="0" w:lastRowFirstColumn="0" w:lastRowLastColumn="0"/>
        </w:trPr>
        <w:tc>
          <w:tcPr>
            <w:tcW w:w="1605" w:type="dxa"/>
          </w:tcPr>
          <w:p w:rsidR="0010250E" w:rsidRPr="0010250E" w:rsidRDefault="0010250E" w:rsidP="0010250E">
            <w:r w:rsidRPr="00202838">
              <w:t>Energy Consumers Coalition of SA (ECCSA)</w:t>
            </w:r>
          </w:p>
        </w:tc>
        <w:tc>
          <w:tcPr>
            <w:tcW w:w="7088" w:type="dxa"/>
          </w:tcPr>
          <w:p w:rsidR="0010250E" w:rsidRPr="0010250E" w:rsidRDefault="0010250E" w:rsidP="0010250E">
            <w:r>
              <w:t xml:space="preserve">The </w:t>
            </w:r>
            <w:r w:rsidRPr="0010250E">
              <w:t>Energy Consumers Coalition of SA (ECCSA) rejected SA Power Networks' assertion that its risk profile has changed and that our approach to return on equity developed during the Better Regulation program does not reflect this change in risk. The ECCSA notes that the Better Regulation program was finalised within the past 2 years and considers it to be contemporary.</w:t>
            </w:r>
            <w:r w:rsidRPr="0010250E">
              <w:rPr>
                <w:rStyle w:val="FootnoteReference"/>
              </w:rPr>
              <w:footnoteReference w:id="577"/>
            </w:r>
          </w:p>
          <w:p w:rsidR="0010250E" w:rsidRPr="0010250E" w:rsidRDefault="0010250E" w:rsidP="0010250E">
            <w:r>
              <w:t xml:space="preserve">The </w:t>
            </w:r>
            <w:r w:rsidRPr="0010250E">
              <w:t>ECCSA is concerned with AGN's equity modelling framework, which the ECCSA consider to be arbitrary and includes weighting for models that have not met the tests of transparency, repeatability and validity in the Australian context.</w:t>
            </w:r>
          </w:p>
          <w:p w:rsidR="0010250E" w:rsidRPr="0010250E" w:rsidRDefault="0010250E" w:rsidP="0010250E">
            <w:r w:rsidRPr="00D57CEF">
              <w:t xml:space="preserve">The </w:t>
            </w:r>
            <w:r w:rsidRPr="0010250E">
              <w:t>ECCSA rejected the suggestion that a lower cost of equity (as would be derived under the Guideline) would result in an inability of AGN to invest in the network in the future as it could not recover its costs. If AGN applies prudent capital management principles, there is no reason to believe that it would not recover its costs, although it may not achieve the same above normal profits as it currently enjoys.</w:t>
            </w:r>
            <w:r w:rsidRPr="0010250E">
              <w:rPr>
                <w:rStyle w:val="FootnoteReference"/>
              </w:rPr>
              <w:footnoteReference w:id="578"/>
            </w:r>
          </w:p>
        </w:tc>
      </w:tr>
      <w:tr w:rsidR="0010250E" w:rsidRPr="001848E2" w:rsidTr="0010250E">
        <w:tc>
          <w:tcPr>
            <w:tcW w:w="1605" w:type="dxa"/>
          </w:tcPr>
          <w:p w:rsidR="0010250E" w:rsidRPr="0010250E" w:rsidRDefault="0010250E" w:rsidP="0010250E">
            <w:r>
              <w:t>The</w:t>
            </w:r>
            <w:r w:rsidRPr="0010250E">
              <w:t xml:space="preserve"> Energy Retailers Association of Australia (ERAA)</w:t>
            </w:r>
          </w:p>
        </w:tc>
        <w:tc>
          <w:tcPr>
            <w:tcW w:w="7088" w:type="dxa"/>
          </w:tcPr>
          <w:p w:rsidR="0010250E" w:rsidRPr="0010250E" w:rsidRDefault="0010250E" w:rsidP="0010250E">
            <w:r>
              <w:t>ERAA support</w:t>
            </w:r>
            <w:r w:rsidRPr="0010250E">
              <w:t>ed our proposed methodology and determination in relation to the rate of return. It believed our prelimiary decision on the rate of return better reflects the financing costs of SA Power Networks with respect to the level and exposure to risk that applies to an Australian regulated energy network service provider and should be preferred over SA Power Networks’ estimate.</w:t>
            </w:r>
            <w:r w:rsidRPr="0010250E">
              <w:rPr>
                <w:rStyle w:val="FootnoteReference"/>
              </w:rPr>
              <w:footnoteReference w:id="579"/>
            </w:r>
          </w:p>
        </w:tc>
      </w:tr>
      <w:tr w:rsidR="0010250E" w:rsidRPr="001848E2" w:rsidTr="0010250E">
        <w:trPr>
          <w:cnfStyle w:val="000000010000" w:firstRow="0" w:lastRow="0" w:firstColumn="0" w:lastColumn="0" w:oddVBand="0" w:evenVBand="0" w:oddHBand="0" w:evenHBand="1" w:firstRowFirstColumn="0" w:firstRowLastColumn="0" w:lastRowFirstColumn="0" w:lastRowLastColumn="0"/>
        </w:trPr>
        <w:tc>
          <w:tcPr>
            <w:tcW w:w="1605" w:type="dxa"/>
          </w:tcPr>
          <w:p w:rsidR="0010250E" w:rsidRPr="0010250E" w:rsidRDefault="0010250E" w:rsidP="0010250E">
            <w:r w:rsidRPr="001562D4">
              <w:t xml:space="preserve">The Energy </w:t>
            </w:r>
            <w:r w:rsidRPr="0010250E">
              <w:t>Users Association of Australia (EUAA)</w:t>
            </w:r>
          </w:p>
        </w:tc>
        <w:tc>
          <w:tcPr>
            <w:tcW w:w="7088" w:type="dxa"/>
          </w:tcPr>
          <w:p w:rsidR="0010250E" w:rsidRPr="0010250E" w:rsidRDefault="0010250E" w:rsidP="0010250E">
            <w:r>
              <w:t xml:space="preserve">The Energy Users Association of Australia (EUAA) </w:t>
            </w:r>
            <w:r w:rsidRPr="0010250E">
              <w:t>considered that the service providers were over compensated by the AER for post GFC financial market conditions that did not eventuate. The EUAA proposed a market risk premium of 5.00 per cent and an equity beta of 0.4, resulting in a rate of return of 5.07 per cent.</w:t>
            </w:r>
            <w:r w:rsidRPr="0010250E">
              <w:rPr>
                <w:rStyle w:val="FootnoteReference"/>
              </w:rPr>
              <w:footnoteReference w:id="580"/>
            </w:r>
          </w:p>
        </w:tc>
      </w:tr>
      <w:tr w:rsidR="0010250E" w:rsidRPr="001848E2" w:rsidTr="0010250E">
        <w:tc>
          <w:tcPr>
            <w:tcW w:w="1605" w:type="dxa"/>
          </w:tcPr>
          <w:p w:rsidR="0010250E" w:rsidRPr="0010250E" w:rsidRDefault="0010250E" w:rsidP="0010250E">
            <w:r w:rsidRPr="001562D4">
              <w:t>Origin Energy</w:t>
            </w:r>
          </w:p>
        </w:tc>
        <w:tc>
          <w:tcPr>
            <w:tcW w:w="7088" w:type="dxa"/>
          </w:tcPr>
          <w:p w:rsidR="0010250E" w:rsidRPr="0010250E" w:rsidRDefault="0010250E" w:rsidP="0010250E">
            <w:r w:rsidRPr="00C61D42">
              <w:t>Origin Energy submitted that the AER has no reason to expect that departing from relying pri</w:t>
            </w:r>
            <w:r w:rsidRPr="0010250E">
              <w:t>ncipally on the output of the Sharpe-Lintner CAPM would better contribute to the achievement of the allowed rate of return objective.</w:t>
            </w:r>
            <w:r w:rsidRPr="0010250E">
              <w:rPr>
                <w:rStyle w:val="FootnoteReference"/>
              </w:rPr>
              <w:footnoteReference w:id="581"/>
            </w:r>
          </w:p>
          <w:p w:rsidR="0010250E" w:rsidRPr="0010250E" w:rsidRDefault="0010250E" w:rsidP="0010250E">
            <w:r>
              <w:t>Origin Energy maintain</w:t>
            </w:r>
            <w:r w:rsidRPr="0010250E">
              <w:t>ed its view that we have adopted a balanced and pragmatic approach that provides certain and predictable outcomes for investors and provides a balance between the views of consumer groups and the network businesses.</w:t>
            </w:r>
            <w:r w:rsidRPr="0010250E">
              <w:rPr>
                <w:rStyle w:val="FootnoteReference"/>
              </w:rPr>
              <w:footnoteReference w:id="582"/>
            </w:r>
          </w:p>
          <w:p w:rsidR="0010250E" w:rsidRPr="0010250E" w:rsidRDefault="0010250E" w:rsidP="0010250E">
            <w:r>
              <w:t>Origin Energy submit</w:t>
            </w:r>
            <w:r w:rsidRPr="0010250E">
              <w:t>ted that the Guideline provides transparency and predictability of outcomes in rate of return issues and a balance between the views of distributors and consumers, and considers that departures from the Guideline should only be approved where there is strong evidence to support the departure.</w:t>
            </w:r>
            <w:r w:rsidRPr="0010250E">
              <w:rPr>
                <w:rStyle w:val="FootnoteReference"/>
              </w:rPr>
              <w:footnoteReference w:id="583"/>
            </w:r>
          </w:p>
        </w:tc>
      </w:tr>
      <w:tr w:rsidR="0010250E" w:rsidRPr="001848E2" w:rsidTr="0010250E">
        <w:trPr>
          <w:cnfStyle w:val="000000010000" w:firstRow="0" w:lastRow="0" w:firstColumn="0" w:lastColumn="0" w:oddVBand="0" w:evenVBand="0" w:oddHBand="0" w:evenHBand="1" w:firstRowFirstColumn="0" w:firstRowLastColumn="0" w:lastRowFirstColumn="0" w:lastRowLastColumn="0"/>
        </w:trPr>
        <w:tc>
          <w:tcPr>
            <w:tcW w:w="1605" w:type="dxa"/>
          </w:tcPr>
          <w:p w:rsidR="0010250E" w:rsidRPr="0010250E" w:rsidRDefault="0010250E" w:rsidP="0010250E">
            <w:r w:rsidRPr="00DD3B92">
              <w:t>Q</w:t>
            </w:r>
            <w:r w:rsidRPr="0010250E">
              <w:t xml:space="preserve">ueensland Council of Social Service (QCOSS) </w:t>
            </w:r>
          </w:p>
        </w:tc>
        <w:tc>
          <w:tcPr>
            <w:tcW w:w="7088" w:type="dxa"/>
          </w:tcPr>
          <w:p w:rsidR="0010250E" w:rsidRPr="0010250E" w:rsidRDefault="0010250E" w:rsidP="0010250E">
            <w:r>
              <w:t>The Queensland Council of Social Service consider</w:t>
            </w:r>
            <w:r w:rsidRPr="0010250E">
              <w:t>ed the rate of return parameters in the draft decision are too conservative and are not consistent with both the low prevailing cost of capital and the low risk of distribution activities.</w:t>
            </w:r>
            <w:r w:rsidRPr="0010250E">
              <w:rPr>
                <w:rStyle w:val="FootnoteReference"/>
              </w:rPr>
              <w:footnoteReference w:id="584"/>
            </w:r>
          </w:p>
          <w:p w:rsidR="0010250E" w:rsidRPr="0010250E" w:rsidRDefault="0010250E" w:rsidP="0010250E">
            <w:r>
              <w:t>The Queensland Council of Social Service submit</w:t>
            </w:r>
            <w:r w:rsidRPr="0010250E">
              <w:t>ted that empirical studies, as well as the reports from McKenzie and Partington and Frontier suggest an appropriate equity beta to be around 0.5.</w:t>
            </w:r>
            <w:r w:rsidRPr="0010250E">
              <w:rPr>
                <w:rStyle w:val="FootnoteReference"/>
              </w:rPr>
              <w:footnoteReference w:id="585"/>
            </w:r>
          </w:p>
        </w:tc>
      </w:tr>
      <w:tr w:rsidR="0010250E" w:rsidRPr="001848E2" w:rsidTr="0010250E">
        <w:tc>
          <w:tcPr>
            <w:tcW w:w="1605" w:type="dxa"/>
          </w:tcPr>
          <w:p w:rsidR="0010250E" w:rsidRPr="0010250E" w:rsidRDefault="0010250E" w:rsidP="0010250E">
            <w:r>
              <w:t>Victorian Energy Consumer and User Alliance</w:t>
            </w:r>
            <w:r w:rsidRPr="0010250E">
              <w:t xml:space="preserve"> (VECUSA)</w:t>
            </w:r>
          </w:p>
        </w:tc>
        <w:tc>
          <w:tcPr>
            <w:tcW w:w="7088" w:type="dxa"/>
          </w:tcPr>
          <w:p w:rsidR="0010250E" w:rsidRPr="0010250E" w:rsidRDefault="0010250E" w:rsidP="0010250E">
            <w:r>
              <w:t>The Victorian Energy Consumer and User Alliance consider</w:t>
            </w:r>
            <w:r w:rsidRPr="0010250E">
              <w:t>ed the Victorian service providers' proposed rate of return allowances of 7.18-7.38 per cent to be excessive and based on major unjustified departures from the Guideline.</w:t>
            </w:r>
            <w:r w:rsidRPr="0010250E">
              <w:rPr>
                <w:rStyle w:val="FootnoteReference"/>
              </w:rPr>
              <w:footnoteReference w:id="586"/>
            </w:r>
          </w:p>
          <w:p w:rsidR="0010250E" w:rsidRPr="0010250E" w:rsidRDefault="0010250E" w:rsidP="0010250E">
            <w:r>
              <w:t>The Victorian Energy Consumer and User Alliance consider</w:t>
            </w:r>
            <w:r w:rsidRPr="0010250E">
              <w:t>ed that our approach to estimating return on equity is more appropriate than the distributors' proposed approaches that adopt weighted averages of different return on equity models. These proposed departures have not been subjected to any rigorous analysis or stakeholder consultation.</w:t>
            </w:r>
            <w:r w:rsidRPr="0010250E">
              <w:rPr>
                <w:rStyle w:val="FootnoteReference"/>
              </w:rPr>
              <w:footnoteReference w:id="587"/>
            </w:r>
          </w:p>
          <w:p w:rsidR="0010250E" w:rsidRPr="0010250E" w:rsidRDefault="0010250E" w:rsidP="0010250E">
            <w:r>
              <w:t xml:space="preserve">The Victorian Energy Consumers and Users </w:t>
            </w:r>
            <w:r w:rsidRPr="0010250E">
              <w:t>Alliance noted Professor Henry's report</w:t>
            </w:r>
            <w:r w:rsidRPr="0010250E">
              <w:rPr>
                <w:rStyle w:val="FootnoteReference"/>
              </w:rPr>
              <w:footnoteReference w:id="588"/>
            </w:r>
            <w:r w:rsidRPr="0010250E">
              <w:t xml:space="preserve"> suggests an equity beta at the low end of the Guideline range (i.e. 0.4) more accurately reflects the empirical data available.</w:t>
            </w:r>
            <w:r w:rsidRPr="0010250E">
              <w:rPr>
                <w:rStyle w:val="FootnoteReference"/>
              </w:rPr>
              <w:footnoteReference w:id="589"/>
            </w:r>
          </w:p>
          <w:p w:rsidR="0010250E" w:rsidRPr="0010250E" w:rsidRDefault="0010250E" w:rsidP="0010250E">
            <w:r>
              <w:t xml:space="preserve">The Victorian </w:t>
            </w:r>
            <w:r w:rsidRPr="0010250E">
              <w:t>Energy Consumer and User Alliance (VECUA) agreed with other submissions we received over the past year that regarding the regulatory framework for Australia’s monopoly networks as providing an extremely low business risk environment. The VECUA submits that the market risk premium should be set at the bottom of the Guideline range (i.e. 5.0%).</w:t>
            </w:r>
            <w:r w:rsidRPr="0010250E">
              <w:rPr>
                <w:rStyle w:val="FootnoteReference"/>
              </w:rPr>
              <w:footnoteReference w:id="590"/>
            </w:r>
          </w:p>
        </w:tc>
      </w:tr>
    </w:tbl>
    <w:p w:rsidR="0010250E" w:rsidRPr="001562D4" w:rsidRDefault="0010250E" w:rsidP="0010250E">
      <w:pPr>
        <w:pStyle w:val="AERtablesource"/>
      </w:pPr>
      <w:r>
        <w:t xml:space="preserve">Source: </w:t>
      </w:r>
      <w:r>
        <w:tab/>
        <w:t>AER analysis of submissions.</w:t>
      </w:r>
    </w:p>
    <w:p w:rsidR="0010250E" w:rsidRDefault="0010250E" w:rsidP="0010250E">
      <w:pPr>
        <w:numPr>
          <w:ilvl w:val="0"/>
          <w:numId w:val="25"/>
        </w:numPr>
      </w:pPr>
      <w:r>
        <w:t xml:space="preserve">We consider the submissions in </w:t>
      </w:r>
      <w:r>
        <w:fldChar w:fldCharType="begin"/>
      </w:r>
      <w:r>
        <w:instrText xml:space="preserve"> REF _Ref433137654 \h </w:instrText>
      </w:r>
      <w:r>
        <w:fldChar w:fldCharType="separate"/>
      </w:r>
      <w:r w:rsidR="003F1AAB">
        <w:t xml:space="preserve">Table </w:t>
      </w:r>
      <w:r w:rsidR="003F1AAB">
        <w:rPr>
          <w:noProof/>
        </w:rPr>
        <w:t>3</w:t>
      </w:r>
      <w:r w:rsidR="003F1AAB">
        <w:noBreakHyphen/>
      </w:r>
      <w:r w:rsidR="003F1AAB">
        <w:rPr>
          <w:noProof/>
        </w:rPr>
        <w:t>21</w:t>
      </w:r>
      <w:r>
        <w:fldChar w:fldCharType="end"/>
      </w:r>
      <w:r>
        <w:t xml:space="preserve"> generally support our use of the Sharpe-Lintner CAPM as the foundation model in our foundation model approach. However, we do not agree with submissions to lower the input parameters from those published in the Guideline. Our reasons for this position are set out in section </w:t>
      </w:r>
      <w:r>
        <w:fldChar w:fldCharType="begin"/>
      </w:r>
      <w:r>
        <w:instrText xml:space="preserve"> REF _Ref430958591 \r \h </w:instrText>
      </w:r>
      <w:r>
        <w:fldChar w:fldCharType="separate"/>
      </w:r>
      <w:r w:rsidR="003F1AAB">
        <w:t>3.4.1</w:t>
      </w:r>
      <w:r>
        <w:fldChar w:fldCharType="end"/>
      </w:r>
      <w:r>
        <w:t>.</w:t>
      </w:r>
    </w:p>
    <w:p w:rsidR="0010250E" w:rsidRPr="00B4711B" w:rsidRDefault="0010250E" w:rsidP="0010250E">
      <w:pPr>
        <w:pStyle w:val="Heading9"/>
      </w:pPr>
      <w:bookmarkStart w:id="151" w:name="_Ref449004969"/>
      <w:bookmarkStart w:id="152" w:name="_Toc456686712"/>
      <w:r>
        <w:t>Empirical tests of the Sharpe-Lintner CAPM</w:t>
      </w:r>
      <w:bookmarkEnd w:id="151"/>
      <w:bookmarkEnd w:id="152"/>
    </w:p>
    <w:p w:rsidR="0010250E" w:rsidRDefault="0010250E" w:rsidP="0010250E">
      <w:pPr>
        <w:numPr>
          <w:ilvl w:val="0"/>
          <w:numId w:val="25"/>
        </w:numPr>
      </w:pPr>
      <w:r>
        <w:t>Service providers submitted that empirical tests indicate that the Sharpe-Lintner CAPM performs poorly compared to the Fama-French model and Black CAPM.</w:t>
      </w:r>
      <w:r>
        <w:rPr>
          <w:rStyle w:val="FootnoteReference"/>
        </w:rPr>
        <w:footnoteReference w:id="591"/>
      </w:r>
    </w:p>
    <w:p w:rsidR="0010250E" w:rsidRDefault="0010250E" w:rsidP="0010250E">
      <w:pPr>
        <w:numPr>
          <w:ilvl w:val="0"/>
          <w:numId w:val="25"/>
        </w:numPr>
      </w:pPr>
      <w:r>
        <w:t>At this time, we conclude that</w:t>
      </w:r>
      <w:r w:rsidRPr="001562D4">
        <w:t xml:space="preserve"> </w:t>
      </w:r>
      <w:r>
        <w:t>the evidence i</w:t>
      </w:r>
      <w:r w:rsidRPr="001562D4">
        <w:t>s unclear given the empirical limitation of the tests</w:t>
      </w:r>
      <w:r>
        <w:t>. Given the available evidence and the limitations of this evidence, we consider that there is no strong basis to conclude that the Black CAPM and/or Fama-French model provide materially better estimates of expected return on equity. N</w:t>
      </w:r>
      <w:r w:rsidRPr="001562D4">
        <w:t>otwithstanding potential limitatio</w:t>
      </w:r>
      <w:r>
        <w:t>ns with the empirical tests, we consider</w:t>
      </w:r>
      <w:r w:rsidRPr="001562D4">
        <w:t xml:space="preserve"> that our implementa</w:t>
      </w:r>
      <w:r>
        <w:t>tion of the Sharpe-Lintner CAPM in our foundation model approach recognises any potential</w:t>
      </w:r>
      <w:r w:rsidRPr="001562D4">
        <w:t xml:space="preserve"> em</w:t>
      </w:r>
      <w:r>
        <w:t>pirical limitations.</w:t>
      </w:r>
    </w:p>
    <w:p w:rsidR="0010250E" w:rsidRPr="001562D4" w:rsidRDefault="0010250E" w:rsidP="0010250E">
      <w:pPr>
        <w:numPr>
          <w:ilvl w:val="0"/>
          <w:numId w:val="25"/>
        </w:numPr>
      </w:pPr>
      <w:r>
        <w:t xml:space="preserve">On the empirical performance of the Sharpe-Lintner </w:t>
      </w:r>
      <w:r w:rsidRPr="001562D4">
        <w:t>CAPM, McKenzie and Partington found the following:</w:t>
      </w:r>
      <w:r>
        <w:rPr>
          <w:rStyle w:val="FootnoteReference"/>
        </w:rPr>
        <w:footnoteReference w:id="592"/>
      </w:r>
    </w:p>
    <w:p w:rsidR="0010250E" w:rsidRPr="0010250E" w:rsidRDefault="0010250E" w:rsidP="0010250E">
      <w:pPr>
        <w:pStyle w:val="AERbulletlistfirststyle"/>
      </w:pPr>
      <w:r w:rsidRPr="001562D4">
        <w:t>The fact some work appears to show other models better explain the cross section of realised average returns does not invalidate the use of the model for several reasons</w:t>
      </w:r>
      <w:r w:rsidRPr="0010250E">
        <w:t>. For instance, the cross section of returns is only one dimension of interest.</w:t>
      </w:r>
      <w:r w:rsidRPr="0010250E">
        <w:rPr>
          <w:rStyle w:val="FootnoteReference"/>
        </w:rPr>
        <w:footnoteReference w:id="593"/>
      </w:r>
    </w:p>
    <w:p w:rsidR="0010250E" w:rsidRPr="0010250E" w:rsidRDefault="0010250E" w:rsidP="0010250E">
      <w:pPr>
        <w:pStyle w:val="AERbulletlistfirststyle"/>
      </w:pPr>
      <w:r>
        <w:t>T</w:t>
      </w:r>
      <w:r w:rsidRPr="0010250E">
        <w:t>he evidence against the Sharpe-Lintner CAPM may not be as robust as once thought when more appropriate statistical tests are used.</w:t>
      </w:r>
    </w:p>
    <w:p w:rsidR="0010250E" w:rsidRPr="0010250E" w:rsidRDefault="0010250E" w:rsidP="0010250E">
      <w:pPr>
        <w:pStyle w:val="AERbulletlistfirststyle"/>
      </w:pPr>
      <w:r>
        <w:t>T</w:t>
      </w:r>
      <w:r w:rsidRPr="0010250E">
        <w:t>he empirical evidence against the model does not invalidate its use for estimating the cost of capital for projects when making capital budgeting decisions.</w:t>
      </w:r>
    </w:p>
    <w:p w:rsidR="0010250E" w:rsidRDefault="0010250E" w:rsidP="0010250E">
      <w:pPr>
        <w:numPr>
          <w:ilvl w:val="0"/>
          <w:numId w:val="25"/>
        </w:numPr>
      </w:pPr>
      <w:r>
        <w:t xml:space="preserve">Partington and Satchell made the following observations for testing empirical performances of asset pricing models: </w:t>
      </w:r>
    </w:p>
    <w:p w:rsidR="0010250E" w:rsidRPr="0010250E" w:rsidRDefault="0010250E" w:rsidP="0010250E">
      <w:pPr>
        <w:pStyle w:val="AERbulletlistfirststyle"/>
      </w:pPr>
      <w:r>
        <w:t>Testing of an asset pricing model involves how well it describes ex-ante expected returns when security prices are in equilibrium. Empirical work attempts to examine how well the asset pricing model explains ex-post realised returns which 'may not be a particularly good test'.</w:t>
      </w:r>
      <w:r w:rsidRPr="0010250E">
        <w:rPr>
          <w:rStyle w:val="FootnoteReference"/>
        </w:rPr>
        <w:footnoteReference w:id="594"/>
      </w:r>
      <w:r w:rsidRPr="0010250E">
        <w:t xml:space="preserve"> </w:t>
      </w:r>
    </w:p>
    <w:p w:rsidR="0010250E" w:rsidRPr="0010250E" w:rsidRDefault="0010250E" w:rsidP="0010250E">
      <w:pPr>
        <w:pStyle w:val="AERbulletlistfirststyle"/>
      </w:pPr>
      <w:r>
        <w:t>T</w:t>
      </w:r>
      <w:r w:rsidRPr="0010250E">
        <w:t>he results are dependent on the method used to conduct the test (for example the characteristics used in sorting stocks into portfolios when testing model performance), was also noted by Kan, Robotti and Shanken.</w:t>
      </w:r>
      <w:r w:rsidRPr="0010250E">
        <w:rPr>
          <w:rStyle w:val="FootnoteReference"/>
        </w:rPr>
        <w:t xml:space="preserve"> </w:t>
      </w:r>
      <w:r w:rsidRPr="0010250E">
        <w:rPr>
          <w:rStyle w:val="FootnoteReference"/>
        </w:rPr>
        <w:footnoteReference w:id="595"/>
      </w:r>
      <w:r w:rsidRPr="0010250E">
        <w:t xml:space="preserve"> </w:t>
      </w:r>
    </w:p>
    <w:p w:rsidR="0010250E" w:rsidRPr="0010250E" w:rsidRDefault="0010250E" w:rsidP="0010250E">
      <w:pPr>
        <w:pStyle w:val="AERbulletlistfirststyle"/>
      </w:pPr>
      <w:r>
        <w:t>Fischer Black has previously suggested that testing of model performance using ex-post realised returns 'might be telling…more about the shocks to the expected returns (volatility) rather than the equilibrium expected returns'.</w:t>
      </w:r>
      <w:r w:rsidRPr="0010250E">
        <w:rPr>
          <w:rStyle w:val="FootnoteReference"/>
        </w:rPr>
        <w:footnoteReference w:id="596"/>
      </w:r>
    </w:p>
    <w:p w:rsidR="0010250E" w:rsidRPr="0010250E" w:rsidRDefault="0010250E" w:rsidP="0010250E">
      <w:pPr>
        <w:pStyle w:val="AERbulletlistfirststyle"/>
      </w:pPr>
      <w:r w:rsidRPr="00C61D42">
        <w:t>NERA referred to the work of Kan, Robotti</w:t>
      </w:r>
      <w:r w:rsidRPr="0010250E">
        <w:t xml:space="preserve"> and Shanken for the superior performance of the Fama-French model compared to the Sharpe-Lintner CAPM.</w:t>
      </w:r>
      <w:r w:rsidRPr="0010250E">
        <w:rPr>
          <w:rStyle w:val="FootnoteReference"/>
        </w:rPr>
        <w:footnoteReference w:id="597"/>
      </w:r>
      <w:r w:rsidRPr="0010250E">
        <w:t xml:space="preserve"> Partington and Satchell stated that they "are not persuaded at this time as there is no conclusive evidence of the superior performance of the FFM–as Kan, Robotti and Shanken also found the conditional CAPM and ICAPM to be the best performing models if the portfolios are formed by ranking stocks on size and CAPM beta instead of by book-to-market and size".</w:t>
      </w:r>
      <w:r w:rsidRPr="0010250E">
        <w:rPr>
          <w:rStyle w:val="FootnoteReference"/>
        </w:rPr>
        <w:footnoteReference w:id="598"/>
      </w:r>
      <w:r w:rsidRPr="0010250E">
        <w:t xml:space="preserve">  Partington and Satchell noted that Lewellen, Nagel and Shanken have cautioned that 'none of the models provides much improvement over the simple or consumption CAPM when performance is measured by the GLS</w:t>
      </w:r>
      <w:r w:rsidRPr="0010250E">
        <w:rPr>
          <w:rStyle w:val="FootnoteReference"/>
        </w:rPr>
        <w:footnoteReference w:id="599"/>
      </w:r>
      <w:r w:rsidRPr="0010250E">
        <w:t xml:space="preserve"> R2 or q'.</w:t>
      </w:r>
      <w:r w:rsidRPr="0010250E">
        <w:rPr>
          <w:rStyle w:val="FootnoteReference"/>
        </w:rPr>
        <w:footnoteReference w:id="600"/>
      </w:r>
      <w:r w:rsidRPr="0010250E">
        <w:t xml:space="preserve"> </w:t>
      </w:r>
    </w:p>
    <w:p w:rsidR="0010250E" w:rsidRDefault="0010250E" w:rsidP="0010250E">
      <w:r>
        <w:t xml:space="preserve">In response to our draft decision, HoustonKemp submitted that </w:t>
      </w:r>
      <w:r w:rsidRPr="006B3D58">
        <w:t>Kan, Robotti and Shanken do not say that</w:t>
      </w:r>
      <w:r>
        <w:t xml:space="preserve"> </w:t>
      </w:r>
      <w:r w:rsidRPr="006B3D58">
        <w:t>when po</w:t>
      </w:r>
      <w:r>
        <w:t xml:space="preserve">rtfolios are formed by size and beta </w:t>
      </w:r>
      <w:r w:rsidRPr="006B3D58">
        <w:t>that the CAPM can be shown to be superior to the Fama-French</w:t>
      </w:r>
      <w:r>
        <w:t xml:space="preserve"> </w:t>
      </w:r>
      <w:r w:rsidRPr="006B3D58">
        <w:t>three-factor model</w:t>
      </w:r>
      <w:r>
        <w:t>.</w:t>
      </w:r>
      <w:r>
        <w:rPr>
          <w:rStyle w:val="FootnoteReference"/>
        </w:rPr>
        <w:footnoteReference w:id="601"/>
      </w:r>
      <w:r>
        <w:t xml:space="preserve"> In response, Partington and Satchell state that:</w:t>
      </w:r>
      <w:r>
        <w:rPr>
          <w:rStyle w:val="FootnoteReference"/>
        </w:rPr>
        <w:footnoteReference w:id="602"/>
      </w:r>
    </w:p>
    <w:p w:rsidR="0010250E" w:rsidRDefault="0010250E" w:rsidP="0010250E">
      <w:pPr>
        <w:pStyle w:val="AERquote"/>
      </w:pPr>
      <w:r w:rsidRPr="00290597">
        <w:t>We stand by our observations that in Kan, Robotti and Shanken (2013) the results of the asset pricing tests in general, and tests of the FF3 model in particular, depend upon the characteristics used in sorting stocks into portfolios</w:t>
      </w:r>
      <w:r>
        <w:t>…</w:t>
      </w:r>
      <w:r w:rsidRPr="00823F8D">
        <w:t xml:space="preserve">in </w:t>
      </w:r>
      <w:r w:rsidRPr="00290597">
        <w:t xml:space="preserve">Kan, Robotti and Shanken (2013) using </w:t>
      </w:r>
      <w:r w:rsidRPr="00823F8D">
        <w:t xml:space="preserve">tests based on size and book to market sorts for portfolios </w:t>
      </w:r>
      <w:r>
        <w:t xml:space="preserve">the </w:t>
      </w:r>
      <w:r w:rsidRPr="00823F8D">
        <w:t xml:space="preserve">FF3 model ranks second to the ICAPM, but when portfolios are sorted on size and beta </w:t>
      </w:r>
      <w:r>
        <w:t>the</w:t>
      </w:r>
      <w:r w:rsidRPr="00823F8D">
        <w:t xml:space="preserve"> performance </w:t>
      </w:r>
      <w:r>
        <w:t xml:space="preserve">of FF3 </w:t>
      </w:r>
      <w:r w:rsidRPr="00823F8D">
        <w:t>degrades</w:t>
      </w:r>
    </w:p>
    <w:p w:rsidR="0010250E" w:rsidRDefault="0010250E" w:rsidP="0010250E">
      <w:pPr>
        <w:numPr>
          <w:ilvl w:val="0"/>
          <w:numId w:val="25"/>
        </w:numPr>
      </w:pPr>
      <w:r>
        <w:t>Several service providers resubmitted an empirical test of the Sharpe-Lintner CAPM and the Black CAPM by NERA that was considered in the JGN final decision.</w:t>
      </w:r>
      <w:r>
        <w:rPr>
          <w:rStyle w:val="FootnoteReference"/>
        </w:rPr>
        <w:footnoteReference w:id="603"/>
      </w:r>
      <w:r>
        <w:t xml:space="preserve"> We continue to observe that the results in NERA's report appear counterintuitive. For instance, NERA's in-sample tests indicated there was a negative relation between returns and beta</w:t>
      </w:r>
      <w:r w:rsidRPr="0021745C">
        <w:t>—</w:t>
      </w:r>
      <w:r>
        <w:t>which is not consistent with the theory underpinning the Sharpe-Lintner CAPM or the Black CAPM.</w:t>
      </w:r>
      <w:r>
        <w:rPr>
          <w:rStyle w:val="FootnoteReference"/>
        </w:rPr>
        <w:footnoteReference w:id="604"/>
      </w:r>
      <w:r>
        <w:t xml:space="preserve"> NERA also provided an estimate of the zero-beta premium of 10.75 per cent.</w:t>
      </w:r>
      <w:r>
        <w:rPr>
          <w:rStyle w:val="FootnoteReference"/>
        </w:rPr>
        <w:footnoteReference w:id="605"/>
      </w:r>
      <w:r>
        <w:t xml:space="preserve"> It has been acknowledged that it is implausible for the zero beta </w:t>
      </w:r>
      <w:proofErr w:type="gramStart"/>
      <w:r>
        <w:t>premium</w:t>
      </w:r>
      <w:proofErr w:type="gramEnd"/>
      <w:r>
        <w:t xml:space="preserve"> to be equal to or greater than the market risk premium</w:t>
      </w:r>
      <w:r w:rsidRPr="001562D4">
        <w:t>.</w:t>
      </w:r>
      <w:r w:rsidRPr="001562D4">
        <w:rPr>
          <w:rStyle w:val="FootnoteReference"/>
        </w:rPr>
        <w:footnoteReference w:id="606"/>
      </w:r>
      <w:r>
        <w:t xml:space="preserve"> Further, having reviewed this report in relation to its results on the Black CAPM, Partington advised:</w:t>
      </w:r>
      <w:r>
        <w:rPr>
          <w:rStyle w:val="FootnoteReference"/>
        </w:rPr>
        <w:footnoteReference w:id="607"/>
      </w:r>
      <w:r>
        <w:t xml:space="preserve"> </w:t>
      </w:r>
    </w:p>
    <w:p w:rsidR="0010250E" w:rsidRPr="00AB3FED" w:rsidRDefault="0010250E" w:rsidP="0010250E">
      <w:pPr>
        <w:pStyle w:val="AERquote"/>
      </w:pPr>
      <w:proofErr w:type="gramStart"/>
      <w:r w:rsidRPr="00AB3FED">
        <w:t>the</w:t>
      </w:r>
      <w:proofErr w:type="gramEnd"/>
      <w:r w:rsidRPr="00AB3FED">
        <w:t xml:space="preserve"> results of NERA’s various empirical analyses (most recently NERA, 2015) show that the reference portfolio they use is not on the efficient set ex-post.  If it were, then there would be a perfect linear relation between the returns on securities and their betas calculated relative to the reference portfolio. Empirically, however, this is not the case. Therefore, the reference portfolio is not on the efficient set. </w:t>
      </w:r>
    </w:p>
    <w:p w:rsidR="0010250E" w:rsidRPr="001562D4" w:rsidRDefault="0010250E" w:rsidP="0010250E">
      <w:pPr>
        <w:pStyle w:val="AERquote"/>
      </w:pPr>
      <w:r w:rsidRPr="00AB3FED">
        <w:t xml:space="preserve">The implication of a reference portfolio that is not on the efficient set is that there is an infinite set of zero beta portfolios with differing returns that can be associated with the reference portfolio. In this case, the zero beta return can be more or less arbitrarily chosen. NERA (2015) and SFG (2015) restrict the choice by fitting a regression model to the data in order to obtain a single estimate. </w:t>
      </w:r>
    </w:p>
    <w:p w:rsidR="0010250E" w:rsidRDefault="0010250E" w:rsidP="0010250E">
      <w:pPr>
        <w:numPr>
          <w:ilvl w:val="0"/>
          <w:numId w:val="25"/>
        </w:numPr>
      </w:pPr>
      <w:r>
        <w:t xml:space="preserve">McKenzie and Partington considered that </w:t>
      </w:r>
      <w:r w:rsidRPr="001562D4">
        <w:t>the empirical results</w:t>
      </w:r>
      <w:r>
        <w:t xml:space="preserve"> for the Black CAPM and Sharpe-Lintner CAPM we</w:t>
      </w:r>
      <w:r w:rsidRPr="001562D4">
        <w:t>re not directly comparable</w:t>
      </w:r>
      <w:r>
        <w:t>.</w:t>
      </w:r>
      <w:r w:rsidRPr="001562D4">
        <w:rPr>
          <w:rStyle w:val="FootnoteReference"/>
        </w:rPr>
        <w:footnoteReference w:id="608"/>
      </w:r>
    </w:p>
    <w:p w:rsidR="0010250E" w:rsidRDefault="0010250E" w:rsidP="0010250E">
      <w:pPr>
        <w:numPr>
          <w:ilvl w:val="0"/>
          <w:numId w:val="25"/>
        </w:numPr>
      </w:pPr>
      <w:r>
        <w:t>Further, there are a number of possible explanations (for example, economic conditions) that do not imply a bias in beta. These explanations were noted by Partington and Satchell as well as Handley.</w:t>
      </w:r>
      <w:r>
        <w:rPr>
          <w:rStyle w:val="FootnoteReference"/>
        </w:rPr>
        <w:footnoteReference w:id="609"/>
      </w:r>
      <w:r>
        <w:t xml:space="preserve"> For example, Mujisson, Fishwick and Satchell (2014) found that beta for a given portfolio remains relatively constant despite changes in the interest rate and market movements. More discussion of these potential explanations is in sections </w:t>
      </w:r>
      <w:r>
        <w:fldChar w:fldCharType="begin"/>
      </w:r>
      <w:r>
        <w:instrText xml:space="preserve"> REF _Ref449010288 \r \h </w:instrText>
      </w:r>
      <w:r>
        <w:fldChar w:fldCharType="separate"/>
      </w:r>
      <w:r w:rsidR="003F1AAB">
        <w:t>B.2.2</w:t>
      </w:r>
      <w:r>
        <w:fldChar w:fldCharType="end"/>
      </w:r>
      <w:r>
        <w:t xml:space="preserve"> and </w:t>
      </w:r>
      <w:r>
        <w:fldChar w:fldCharType="begin"/>
      </w:r>
      <w:r>
        <w:instrText xml:space="preserve"> REF _Ref449010281 \r \h </w:instrText>
      </w:r>
      <w:r>
        <w:fldChar w:fldCharType="separate"/>
      </w:r>
      <w:r w:rsidR="003F1AAB">
        <w:t>B.3.2</w:t>
      </w:r>
      <w:r>
        <w:fldChar w:fldCharType="end"/>
      </w:r>
      <w:r>
        <w:t>.</w:t>
      </w:r>
    </w:p>
    <w:p w:rsidR="0010250E" w:rsidRDefault="0010250E" w:rsidP="0010250E">
      <w:r>
        <w:t>In response to t</w:t>
      </w:r>
      <w:r w:rsidRPr="00C674E4">
        <w:t xml:space="preserve">he AER’s </w:t>
      </w:r>
      <w:r>
        <w:t>statement</w:t>
      </w:r>
      <w:r w:rsidRPr="00C674E4">
        <w:t xml:space="preserve"> that results </w:t>
      </w:r>
      <w:r>
        <w:t>from</w:t>
      </w:r>
      <w:r w:rsidRPr="00C674E4">
        <w:t xml:space="preserve"> </w:t>
      </w:r>
      <w:r>
        <w:t>NERA's</w:t>
      </w:r>
      <w:r w:rsidRPr="00C674E4">
        <w:t xml:space="preserve"> February 2015</w:t>
      </w:r>
      <w:r>
        <w:t xml:space="preserve"> </w:t>
      </w:r>
      <w:r w:rsidRPr="00C674E4">
        <w:t>report are counterintuitive</w:t>
      </w:r>
      <w:r>
        <w:t>, HoustonKemp</w:t>
      </w:r>
      <w:r w:rsidRPr="00C674E4">
        <w:t xml:space="preserve"> </w:t>
      </w:r>
      <w:r>
        <w:t>submitted that t</w:t>
      </w:r>
      <w:r w:rsidRPr="00C674E4">
        <w:t>he results are not unusual and that many others have produced very similar results</w:t>
      </w:r>
      <w:r>
        <w:t>.</w:t>
      </w:r>
      <w:r>
        <w:rPr>
          <w:rStyle w:val="FootnoteReference"/>
        </w:rPr>
        <w:footnoteReference w:id="610"/>
      </w:r>
      <w:r w:rsidRPr="00C674E4">
        <w:t xml:space="preserve">  </w:t>
      </w:r>
      <w:r w:rsidRPr="00864180">
        <w:t>HoustonKemp noted that over the period 1979 through 2014 there has been a negative rather than a positive relation in Australia between average returns and estimates of their betas.</w:t>
      </w:r>
      <w:r w:rsidRPr="00864180">
        <w:rPr>
          <w:rStyle w:val="FootnoteReference"/>
        </w:rPr>
        <w:footnoteReference w:id="611"/>
      </w:r>
      <w:r>
        <w:t xml:space="preserve"> HoustonKemp submitted that </w:t>
      </w:r>
      <w:r w:rsidRPr="00284228">
        <w:t>Kan, Robotti and Shanken</w:t>
      </w:r>
      <w:r>
        <w:t xml:space="preserve"> </w:t>
      </w:r>
      <w:r w:rsidRPr="00284228">
        <w:t>show that the GLS R2 associated with the CAPM exceeds zero because of a significant negative relation between the mean returns and betas</w:t>
      </w:r>
      <w:r>
        <w:t>.</w:t>
      </w:r>
      <w:r>
        <w:rPr>
          <w:rStyle w:val="FootnoteReference"/>
        </w:rPr>
        <w:footnoteReference w:id="612"/>
      </w:r>
    </w:p>
    <w:p w:rsidR="0010250E" w:rsidRDefault="0010250E" w:rsidP="0010250E">
      <w:r>
        <w:t>Partington and Satchell also note that '</w:t>
      </w:r>
      <w:r w:rsidRPr="000A45F8">
        <w:t xml:space="preserve"> a relatively flat or inverted relation between beta and realised returns is quite common in empirical work</w:t>
      </w:r>
      <w:r>
        <w:t>'.</w:t>
      </w:r>
      <w:r>
        <w:rPr>
          <w:rStyle w:val="FootnoteReference"/>
        </w:rPr>
        <w:footnoteReference w:id="613"/>
      </w:r>
      <w:r>
        <w:t xml:space="preserve"> However, they also note that it is not clear that this is evidence that other models are better at estimating expected return on equity, stating: </w:t>
      </w:r>
      <w:r>
        <w:rPr>
          <w:rStyle w:val="FootnoteReference"/>
        </w:rPr>
        <w:footnoteReference w:id="614"/>
      </w:r>
    </w:p>
    <w:p w:rsidR="0010250E" w:rsidRDefault="0010250E" w:rsidP="0010250E">
      <w:pPr>
        <w:pStyle w:val="AERquote"/>
      </w:pPr>
      <w:r w:rsidRPr="000A45F8">
        <w:t>What this shows is that low beta shares have had realised returns that outperformed and high beta shares have had realised returns that underperformed relative to the CAPM equilibrium expected return benchmark. This may or may not be because the CAPM is a poor model of equilibrium returns and some examples of varying explanations are given in Handley (2014). Harvey, Liu and Zhu (2015) report more than 300 variables have been found significant in explaining the cross section of realised returns. Possibly one or several of these variables might explain the divergence of realised returns from the CAPM. The question is do any of these variables determine equilibrium expected returns and that is a question that is unresolved.</w:t>
      </w:r>
    </w:p>
    <w:p w:rsidR="0010250E" w:rsidRDefault="0010250E" w:rsidP="0010250E">
      <w:pPr>
        <w:numPr>
          <w:ilvl w:val="0"/>
          <w:numId w:val="25"/>
        </w:numPr>
      </w:pPr>
      <w:r w:rsidRPr="001562D4">
        <w:t xml:space="preserve">We consider the </w:t>
      </w:r>
      <w:r>
        <w:t>empirical information submitted in relation to</w:t>
      </w:r>
      <w:r w:rsidRPr="001562D4">
        <w:t xml:space="preserve"> the </w:t>
      </w:r>
      <w:r>
        <w:t>ex post performance of the different models</w:t>
      </w:r>
      <w:r w:rsidRPr="001562D4">
        <w:t xml:space="preserve"> do</w:t>
      </w:r>
      <w:r>
        <w:t>es</w:t>
      </w:r>
      <w:r w:rsidRPr="001562D4">
        <w:t xml:space="preserve"> not show </w:t>
      </w:r>
      <w:r>
        <w:t xml:space="preserve">that our application of the Sharpe-Lintner </w:t>
      </w:r>
      <w:r w:rsidRPr="001562D4">
        <w:t>CAPM will undercompensate the benchmark efficient entity for it</w:t>
      </w:r>
      <w:r>
        <w:t>s</w:t>
      </w:r>
      <w:r w:rsidRPr="001562D4">
        <w:t xml:space="preserve"> efficient cost of equity. The benchmark firm is not average risk and its risk is not expected to change given its </w:t>
      </w:r>
      <w:r>
        <w:t xml:space="preserve">regulated </w:t>
      </w:r>
      <w:r w:rsidRPr="001562D4">
        <w:t xml:space="preserve">monopoly nature. Empirical evidence by </w:t>
      </w:r>
      <w:r>
        <w:t xml:space="preserve">Professor </w:t>
      </w:r>
      <w:r w:rsidRPr="001562D4">
        <w:t xml:space="preserve">Henry supports this and shows no </w:t>
      </w:r>
      <w:r>
        <w:t xml:space="preserve">clear </w:t>
      </w:r>
      <w:r w:rsidRPr="001562D4">
        <w:t>evidence of mean reversion of risk towards the average</w:t>
      </w:r>
      <w:r>
        <w:t xml:space="preserve"> risk of the market. Partington also observed Henry's result in advising that a Vasicek adjustment was not valid. He advised:</w:t>
      </w:r>
      <w:r>
        <w:rPr>
          <w:rStyle w:val="FootnoteReference"/>
        </w:rPr>
        <w:footnoteReference w:id="615"/>
      </w:r>
    </w:p>
    <w:p w:rsidR="0010250E" w:rsidRPr="00BD52D8" w:rsidRDefault="0010250E" w:rsidP="0010250E">
      <w:pPr>
        <w:pStyle w:val="AERquote"/>
      </w:pPr>
      <w:proofErr w:type="gramStart"/>
      <w:r w:rsidRPr="00BD52D8">
        <w:t>we</w:t>
      </w:r>
      <w:proofErr w:type="gramEnd"/>
      <w:r w:rsidRPr="00BD52D8">
        <w:t xml:space="preserve"> note the work of Henry (2008), who finds no evidence that would support the use of the Vasicek model for Australian data.  The results of the Henry (2008) study:</w:t>
      </w:r>
    </w:p>
    <w:p w:rsidR="0010250E" w:rsidRPr="00BD52D8" w:rsidRDefault="0010250E" w:rsidP="0010250E">
      <w:pPr>
        <w:pStyle w:val="AERquoteindent2"/>
      </w:pPr>
      <w:r w:rsidRPr="00BD52D8">
        <w:t xml:space="preserve">“… </w:t>
      </w:r>
      <w:proofErr w:type="gramStart"/>
      <w:r w:rsidRPr="00BD52D8">
        <w:t>suggest</w:t>
      </w:r>
      <w:proofErr w:type="gramEnd"/>
      <w:r w:rsidRPr="00BD52D8">
        <w:t xml:space="preserve"> that there is little convincing evidence of regression to unity in this data. Therefore, it is difficult to justify the application of the Blume or Vasicek adjustments.” (p. 12)</w:t>
      </w:r>
    </w:p>
    <w:p w:rsidR="0010250E" w:rsidRDefault="0010250E" w:rsidP="0010250E">
      <w:r>
        <w:t>HoustonKemp responded that a</w:t>
      </w:r>
      <w:r w:rsidRPr="00ED2704">
        <w:t>n absence of mean reversion in betas will not guarantee that the use</w:t>
      </w:r>
      <w:r>
        <w:t xml:space="preserve"> </w:t>
      </w:r>
      <w:r w:rsidRPr="00ED2704">
        <w:t>of the S</w:t>
      </w:r>
      <w:r>
        <w:t>harpe-</w:t>
      </w:r>
      <w:r w:rsidRPr="00ED2704">
        <w:t>L</w:t>
      </w:r>
      <w:r>
        <w:t>intner</w:t>
      </w:r>
      <w:r w:rsidRPr="00ED2704">
        <w:t xml:space="preserve"> CAPM will generate estimates of the cost of equity capital for a benchmark efficient entity that are</w:t>
      </w:r>
      <w:r>
        <w:t xml:space="preserve"> </w:t>
      </w:r>
      <w:r w:rsidRPr="00ED2704">
        <w:t>not downwardly biased.</w:t>
      </w:r>
      <w:r>
        <w:rPr>
          <w:rStyle w:val="FootnoteReference"/>
        </w:rPr>
        <w:footnoteReference w:id="616"/>
      </w:r>
      <w:r>
        <w:t xml:space="preserve"> In response, Partington and Satchell clarified their statements on mean reversion in beta. They noted that the absence of mean reversion indicates that measurement error in empirical tests is unlikely to be a source of low beta bias.</w:t>
      </w:r>
      <w:r>
        <w:rPr>
          <w:rStyle w:val="FootnoteReference"/>
        </w:rPr>
        <w:footnoteReference w:id="617"/>
      </w:r>
    </w:p>
    <w:p w:rsidR="0010250E" w:rsidRPr="00B4711B" w:rsidRDefault="0010250E" w:rsidP="0010250E">
      <w:pPr>
        <w:pStyle w:val="Heading9"/>
      </w:pPr>
      <w:bookmarkStart w:id="153" w:name="_Ref449004981"/>
      <w:bookmarkStart w:id="154" w:name="_Toc456686713"/>
      <w:r>
        <w:t>Evidence from estimates of other models</w:t>
      </w:r>
      <w:bookmarkEnd w:id="153"/>
      <w:bookmarkEnd w:id="154"/>
    </w:p>
    <w:p w:rsidR="0010250E" w:rsidRDefault="0010250E" w:rsidP="0010250E">
      <w:r>
        <w:t>Service providers</w:t>
      </w:r>
      <w:r w:rsidRPr="001562D4">
        <w:t xml:space="preserve"> </w:t>
      </w:r>
      <w:r>
        <w:t>submitted:</w:t>
      </w:r>
    </w:p>
    <w:p w:rsidR="0010250E" w:rsidRPr="0010250E" w:rsidRDefault="0010250E" w:rsidP="0010250E">
      <w:pPr>
        <w:pStyle w:val="AERbulletlistfirststyle"/>
      </w:pPr>
      <w:r>
        <w:t xml:space="preserve">the Black CAPM as evidence that the Sharpe-Lintner CAPM displays low beta bias (that is, </w:t>
      </w:r>
      <w:r w:rsidRPr="0010250E">
        <w:t>downward biased for stocks with a beta of less than one)</w:t>
      </w:r>
    </w:p>
    <w:p w:rsidR="0010250E" w:rsidRPr="0010250E" w:rsidRDefault="0010250E" w:rsidP="0010250E">
      <w:pPr>
        <w:pStyle w:val="AERbulletlistfirststyle"/>
      </w:pPr>
      <w:r>
        <w:t>the Fama-French model as evidence that the Sharpe-Lintner CAPM displays book-to-market bias</w:t>
      </w:r>
    </w:p>
    <w:p w:rsidR="0010250E" w:rsidRPr="0010250E" w:rsidRDefault="0010250E" w:rsidP="0010250E">
      <w:pPr>
        <w:pStyle w:val="AERbulletlistfirststyle"/>
      </w:pPr>
      <w:proofErr w:type="gramStart"/>
      <w:r>
        <w:t>the</w:t>
      </w:r>
      <w:proofErr w:type="gramEnd"/>
      <w:r>
        <w:t xml:space="preserve"> dividend growth model as evidence that the Sharpe-Lintner CAPM, as applied by the AER, is not reflective of prevailing market conditions.</w:t>
      </w:r>
    </w:p>
    <w:p w:rsidR="0010250E" w:rsidRDefault="0010250E" w:rsidP="0010250E">
      <w:pPr>
        <w:numPr>
          <w:ilvl w:val="0"/>
          <w:numId w:val="25"/>
        </w:numPr>
      </w:pPr>
      <w:r>
        <w:t>We note that the usefulness of the evidence provided from the Black CAPM, Fama-French model, and dividend growth model about possible bias in the Sharpe-Lintner CAPM is predominately in conjunction with empirical tests of these asset pricing models. That is, where multiple models are considered capable of providing appropriate estimates, tests of the relative performance of the models may be needed to determine if one model outperforms another. For example, empirical tests may be needed to determine if estimates from the Black CAPM (on their own) suggest downwards bias in the Sharpe-Lintner CAPM, or if they suggest upwards bias in the Black CAPM.</w:t>
      </w:r>
    </w:p>
    <w:p w:rsidR="0010250E" w:rsidRDefault="0010250E" w:rsidP="0010250E">
      <w:pPr>
        <w:numPr>
          <w:ilvl w:val="0"/>
          <w:numId w:val="25"/>
        </w:numPr>
      </w:pPr>
      <w:r>
        <w:t xml:space="preserve">Our assessment of the empirical tests of the asset pricing models is set out in section </w:t>
      </w:r>
      <w:r>
        <w:fldChar w:fldCharType="begin"/>
      </w:r>
      <w:r>
        <w:instrText xml:space="preserve"> REF _Ref449004969 \r \h </w:instrText>
      </w:r>
      <w:r>
        <w:fldChar w:fldCharType="separate"/>
      </w:r>
      <w:r w:rsidR="003F1AAB">
        <w:t>B.1.2</w:t>
      </w:r>
      <w:r>
        <w:fldChar w:fldCharType="end"/>
      </w:r>
      <w:r>
        <w:t xml:space="preserve">. Notwithstanding this assessment, we consider that there are significant limitations to the Black CAPM, Fama-French model, and dividend growth models. Given these limitations, we do not consider that these models provide compelling evidence that the Sharpe-Lintner CAPM, when used as our foundation model in our foundation model approach, is downwardly biased. Our assessment of the Black CAPM, Fama-French model, and dividend growth model are contained in sections </w:t>
      </w:r>
      <w:r>
        <w:fldChar w:fldCharType="begin"/>
      </w:r>
      <w:r>
        <w:instrText xml:space="preserve"> REF _Ref449007419 \r \h </w:instrText>
      </w:r>
      <w:r>
        <w:fldChar w:fldCharType="separate"/>
      </w:r>
      <w:r w:rsidR="003F1AAB">
        <w:t>B.2</w:t>
      </w:r>
      <w:r>
        <w:fldChar w:fldCharType="end"/>
      </w:r>
      <w:r>
        <w:t xml:space="preserve">, </w:t>
      </w:r>
      <w:r>
        <w:fldChar w:fldCharType="begin"/>
      </w:r>
      <w:r>
        <w:instrText xml:space="preserve"> REF _Ref449007420 \r \h </w:instrText>
      </w:r>
      <w:r>
        <w:fldChar w:fldCharType="separate"/>
      </w:r>
      <w:r w:rsidR="003F1AAB">
        <w:t>B.3</w:t>
      </w:r>
      <w:r>
        <w:fldChar w:fldCharType="end"/>
      </w:r>
      <w:r>
        <w:t xml:space="preserve">, and </w:t>
      </w:r>
      <w:r>
        <w:fldChar w:fldCharType="begin"/>
      </w:r>
      <w:r>
        <w:instrText xml:space="preserve"> REF _Ref449007421 \r \h </w:instrText>
      </w:r>
      <w:r>
        <w:fldChar w:fldCharType="separate"/>
      </w:r>
      <w:r w:rsidR="003F1AAB">
        <w:t>B.4</w:t>
      </w:r>
      <w:r>
        <w:fldChar w:fldCharType="end"/>
      </w:r>
      <w:r>
        <w:t xml:space="preserve"> respectively.</w:t>
      </w:r>
    </w:p>
    <w:p w:rsidR="0010250E" w:rsidRDefault="0010250E" w:rsidP="0010250E">
      <w:pPr>
        <w:pStyle w:val="Heading8"/>
      </w:pPr>
      <w:bookmarkStart w:id="155" w:name="_Ref449007419"/>
      <w:bookmarkStart w:id="156" w:name="_Toc451943787"/>
      <w:bookmarkStart w:id="157" w:name="_Toc456686714"/>
      <w:r>
        <w:t>Black CAPM</w:t>
      </w:r>
      <w:bookmarkEnd w:id="155"/>
      <w:bookmarkEnd w:id="156"/>
      <w:bookmarkEnd w:id="157"/>
    </w:p>
    <w:p w:rsidR="0010250E" w:rsidRPr="001562D4" w:rsidRDefault="0010250E" w:rsidP="0010250E">
      <w:r w:rsidRPr="001562D4">
        <w:t>Fischer Black developed a version of the CAPM with restricted borrowing</w:t>
      </w:r>
      <w:r>
        <w:t xml:space="preserve"> (the Black CAPM)</w:t>
      </w:r>
      <w:r w:rsidRPr="001562D4">
        <w:t>.</w:t>
      </w:r>
      <w:r w:rsidRPr="001562D4">
        <w:rPr>
          <w:rStyle w:val="FootnoteReference"/>
        </w:rPr>
        <w:footnoteReference w:id="618"/>
      </w:r>
      <w:r w:rsidRPr="001562D4">
        <w:t xml:space="preserve"> Black's model relaxes one of th</w:t>
      </w:r>
      <w:r>
        <w:t xml:space="preserve">e key assumptions of the Sharpe-Lintner CAPM </w:t>
      </w:r>
      <w:r w:rsidRPr="006C4D93">
        <w:t>—</w:t>
      </w:r>
      <w:r w:rsidRPr="001562D4">
        <w:t xml:space="preserve"> that investors can borrow and lend unlimited amounts at the risk free rate. He </w:t>
      </w:r>
      <w:r>
        <w:t>developed two versions of the model;</w:t>
      </w:r>
      <w:r w:rsidRPr="001562D4">
        <w:t xml:space="preserve"> one with a total restriction on borrowing and lending and one that only restricts borrowing at the risk free rate. However, while he relaxes the </w:t>
      </w:r>
      <w:r>
        <w:t xml:space="preserve">Sharpe-Lintner </w:t>
      </w:r>
      <w:r w:rsidRPr="001562D4">
        <w:t>CAPM assumption of unlimited borrowing and lending at the risk free rate, in its place he assumes investors can en</w:t>
      </w:r>
      <w:r>
        <w:t>gage in unlimited short selling.</w:t>
      </w:r>
      <w:r w:rsidRPr="001562D4">
        <w:rPr>
          <w:rStyle w:val="FootnoteReference"/>
        </w:rPr>
        <w:footnoteReference w:id="619"/>
      </w:r>
      <w:r w:rsidRPr="001562D4">
        <w:t xml:space="preserve"> </w:t>
      </w:r>
      <w:r>
        <w:t>Unlimited short selling does not hold in practice either</w:t>
      </w:r>
      <w:r w:rsidRPr="001562D4">
        <w:t>.</w:t>
      </w:r>
      <w:r>
        <w:rPr>
          <w:rStyle w:val="FootnoteReference"/>
        </w:rPr>
        <w:footnoteReference w:id="620"/>
      </w:r>
    </w:p>
    <w:p w:rsidR="0010250E" w:rsidRDefault="0010250E" w:rsidP="0010250E">
      <w:r w:rsidRPr="001562D4">
        <w:t xml:space="preserve">In the place of the risk free asset in the </w:t>
      </w:r>
      <w:r>
        <w:t xml:space="preserve">Sharpe-Lintner </w:t>
      </w:r>
      <w:r w:rsidRPr="001562D4">
        <w:t>CAPM, Black substitutes the minimum variance zero-beta portfolio. This zero beta portfolio faces no market (systematic) risk and is formed through the utilisation of short selling. Black shows in his model that the return on every a</w:t>
      </w:r>
      <w:r>
        <w:t>sset is a linear function of its equity b</w:t>
      </w:r>
      <w:r w:rsidRPr="001562D4">
        <w:t xml:space="preserve">eta (as </w:t>
      </w:r>
      <w:r>
        <w:t xml:space="preserve">it is </w:t>
      </w:r>
      <w:r w:rsidRPr="001562D4">
        <w:t>in the S</w:t>
      </w:r>
      <w:r>
        <w:t>harpe-</w:t>
      </w:r>
      <w:r w:rsidRPr="001562D4">
        <w:t>L</w:t>
      </w:r>
      <w:r>
        <w:t xml:space="preserve">intner </w:t>
      </w:r>
      <w:r w:rsidRPr="001562D4">
        <w:t>CAPM)</w:t>
      </w:r>
      <w:r>
        <w:t>. Further, in</w:t>
      </w:r>
      <w:r w:rsidRPr="001562D4">
        <w:t xml:space="preserve"> the CAPM (security market line) equation</w:t>
      </w:r>
      <w:r>
        <w:t>,</w:t>
      </w:r>
      <w:r w:rsidRPr="001562D4">
        <w:t xml:space="preserve"> </w:t>
      </w:r>
      <w:r>
        <w:t xml:space="preserve">Black finds </w:t>
      </w:r>
      <w:r w:rsidRPr="001562D4">
        <w:t xml:space="preserve">the expected return on the zero beta </w:t>
      </w:r>
      <w:proofErr w:type="gramStart"/>
      <w:r w:rsidRPr="001562D4">
        <w:t>p</w:t>
      </w:r>
      <w:r>
        <w:t>ortfolio</w:t>
      </w:r>
      <w:proofErr w:type="gramEnd"/>
      <w:r>
        <w:t xml:space="preserve"> replaces the </w:t>
      </w:r>
      <w:r w:rsidRPr="001562D4">
        <w:t>risk free asset.</w:t>
      </w:r>
      <w:r w:rsidRPr="001562D4">
        <w:rPr>
          <w:rStyle w:val="FootnoteReference"/>
        </w:rPr>
        <w:footnoteReference w:id="621"/>
      </w:r>
      <w:r>
        <w:t xml:space="preserve"> </w:t>
      </w:r>
      <w:r w:rsidRPr="001562D4" w:rsidDel="00BF79E1">
        <w:t xml:space="preserve">Relative to the </w:t>
      </w:r>
      <w:r w:rsidDel="00BF79E1">
        <w:t>S</w:t>
      </w:r>
      <w:r>
        <w:t>harpe-</w:t>
      </w:r>
      <w:r w:rsidDel="00BF79E1">
        <w:t>L</w:t>
      </w:r>
      <w:r>
        <w:t xml:space="preserve">intner </w:t>
      </w:r>
      <w:r w:rsidRPr="001562D4" w:rsidDel="00BF79E1">
        <w:t xml:space="preserve">CAPM that can utilise observable proxies for the risk free rate, the Black CAPM </w:t>
      </w:r>
      <w:r w:rsidDel="00BF79E1">
        <w:t>requires estimating an additional</w:t>
      </w:r>
      <w:r w:rsidRPr="001562D4" w:rsidDel="00BF79E1">
        <w:t xml:space="preserve"> parameter</w:t>
      </w:r>
      <w:r w:rsidDel="00BF79E1">
        <w:t xml:space="preserve"> </w:t>
      </w:r>
      <w:r w:rsidRPr="006C4D93" w:rsidDel="00BF79E1">
        <w:t>—</w:t>
      </w:r>
      <w:r w:rsidDel="00BF79E1">
        <w:t xml:space="preserve"> the zero </w:t>
      </w:r>
      <w:proofErr w:type="gramStart"/>
      <w:r w:rsidDel="00BF79E1">
        <w:t>beta</w:t>
      </w:r>
      <w:proofErr w:type="gramEnd"/>
      <w:r w:rsidDel="00BF79E1">
        <w:t xml:space="preserve"> expected return.</w:t>
      </w:r>
    </w:p>
    <w:p w:rsidR="0010250E" w:rsidRDefault="0010250E" w:rsidP="0010250E">
      <w:pPr>
        <w:numPr>
          <w:ilvl w:val="0"/>
          <w:numId w:val="25"/>
        </w:numPr>
      </w:pPr>
      <w:r>
        <w:t>We have reviewed the material submitted to us</w:t>
      </w:r>
      <w:r>
        <w:rPr>
          <w:rStyle w:val="FootnoteReference"/>
        </w:rPr>
        <w:footnoteReference w:id="622"/>
      </w:r>
      <w:r>
        <w:t xml:space="preserve"> on the Black CAPM and w</w:t>
      </w:r>
      <w:r w:rsidRPr="001562D4">
        <w:t>e do not consider</w:t>
      </w:r>
      <w:r>
        <w:t xml:space="preserve"> that estimating the Black CAPM</w:t>
      </w:r>
      <w:r w:rsidRPr="001562D4">
        <w:t xml:space="preserve"> will result in a </w:t>
      </w:r>
      <w:r>
        <w:t>return on equity</w:t>
      </w:r>
      <w:r w:rsidRPr="001562D4">
        <w:t xml:space="preserve"> </w:t>
      </w:r>
      <w:r>
        <w:t>commensurate with the efficient financing costs given the risk of AGN's regulated services</w:t>
      </w:r>
      <w:r w:rsidRPr="001562D4">
        <w:t xml:space="preserve">. </w:t>
      </w:r>
      <w:r>
        <w:t xml:space="preserve">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623"/>
      </w:r>
      <w:r w:rsidRPr="002E1BC3">
        <w:rPr>
          <w:rStyle w:val="FootnoteReference"/>
        </w:rPr>
        <w:t xml:space="preserve"> </w:t>
      </w:r>
    </w:p>
    <w:p w:rsidR="0010250E" w:rsidRPr="001562D4" w:rsidDel="00BF79E1" w:rsidRDefault="0010250E" w:rsidP="0010250E">
      <w:r>
        <w:t>Therefore, our approach is to:</w:t>
      </w:r>
    </w:p>
    <w:p w:rsidR="0010250E" w:rsidRPr="0010250E" w:rsidRDefault="0010250E" w:rsidP="0010250E">
      <w:pPr>
        <w:pStyle w:val="AERbulletlistfirststyle"/>
      </w:pPr>
      <w:proofErr w:type="gramStart"/>
      <w:r>
        <w:t>use</w:t>
      </w:r>
      <w:proofErr w:type="gramEnd"/>
      <w:r>
        <w:t xml:space="preserve"> the</w:t>
      </w:r>
      <w:r w:rsidRPr="0010250E">
        <w:t xml:space="preserve"> theory behind the Black CAPM to inform the equity beta estimate in the Sharpe-Lintner CAPM.</w:t>
      </w:r>
    </w:p>
    <w:p w:rsidR="0010250E" w:rsidRPr="0010250E" w:rsidRDefault="0010250E" w:rsidP="0010250E">
      <w:pPr>
        <w:pStyle w:val="AERbulletlistfirststyle"/>
      </w:pPr>
      <w:proofErr w:type="gramStart"/>
      <w:r>
        <w:t>not</w:t>
      </w:r>
      <w:proofErr w:type="gramEnd"/>
      <w:r>
        <w:t xml:space="preserve"> use the</w:t>
      </w:r>
      <w:r w:rsidRPr="0010250E">
        <w:t xml:space="preserve"> Black CAPM to empirically estimate the return on equity for the benchmark efficient entity.</w:t>
      </w:r>
    </w:p>
    <w:p w:rsidR="0010250E" w:rsidRPr="001562D4" w:rsidRDefault="0010250E" w:rsidP="0010250E">
      <w:r>
        <w:t>Our use of the</w:t>
      </w:r>
      <w:r w:rsidRPr="006C4D93">
        <w:t xml:space="preserve"> Black CAPM </w:t>
      </w:r>
      <w:r>
        <w:t>is due to the following reasons:</w:t>
      </w:r>
    </w:p>
    <w:p w:rsidR="0010250E" w:rsidRPr="0010250E" w:rsidRDefault="0010250E" w:rsidP="0010250E">
      <w:pPr>
        <w:pStyle w:val="AERbulletlistfirststyle"/>
      </w:pPr>
      <w:r>
        <w:t>T</w:t>
      </w:r>
      <w:r w:rsidRPr="0010250E">
        <w:t xml:space="preserve">he empirical implementation of the Black CAPM is unreliable because, in contrast to the risk-free rate, the expected return on the zero beta </w:t>
      </w:r>
      <w:proofErr w:type="gramStart"/>
      <w:r w:rsidRPr="0010250E">
        <w:t>asset</w:t>
      </w:r>
      <w:proofErr w:type="gramEnd"/>
      <w:r w:rsidRPr="0010250E">
        <w:t xml:space="preserve"> is unobservable and there is no apparent consensus on methods for estimating this return. The lack of consensus on methodological choices is likely to increase the sensitivity of the model to such choices, reducing the reliability of the model and increasing the potential for bias.</w:t>
      </w:r>
    </w:p>
    <w:p w:rsidR="0010250E" w:rsidRPr="0010250E" w:rsidRDefault="0010250E" w:rsidP="0010250E">
      <w:pPr>
        <w:pStyle w:val="AERbulletlistfirststyle"/>
      </w:pPr>
      <w:r>
        <w:t>T</w:t>
      </w:r>
      <w:r w:rsidRPr="0010250E">
        <w:t>here is little evidence that other regulators, academics or market practitioners use the Black CAPM to estimate the return on equity.</w:t>
      </w:r>
      <w:r w:rsidRPr="0010250E">
        <w:rPr>
          <w:rStyle w:val="FootnoteReference"/>
        </w:rPr>
        <w:footnoteReference w:id="624"/>
      </w:r>
      <w:r w:rsidRPr="0010250E">
        <w:t xml:space="preserve"> In particular, regulators rarely have recourse to the Black CAPM.</w:t>
      </w:r>
      <w:r w:rsidRPr="0010250E">
        <w:rPr>
          <w:rStyle w:val="FootnoteReference"/>
        </w:rPr>
        <w:footnoteReference w:id="625"/>
      </w:r>
      <w:r w:rsidRPr="0010250E">
        <w:t xml:space="preserve"> This view was supported by Handley.</w:t>
      </w:r>
      <w:r w:rsidRPr="0010250E">
        <w:rPr>
          <w:rStyle w:val="FootnoteReference"/>
        </w:rPr>
        <w:footnoteReference w:id="626"/>
      </w:r>
    </w:p>
    <w:p w:rsidR="0010250E" w:rsidRPr="0010250E" w:rsidRDefault="0010250E" w:rsidP="0010250E">
      <w:pPr>
        <w:pStyle w:val="AERbulletlistfirststyle"/>
      </w:pPr>
      <w:r>
        <w:t>Implementation of the Black CAPM typically results in estimates of the</w:t>
      </w:r>
      <w:r w:rsidRPr="0010250E">
        <w:t xml:space="preserve"> zero beta return being less reflective of prevailing market conditions than risk free rate estimates.</w:t>
      </w:r>
      <w:r w:rsidRPr="0010250E">
        <w:rPr>
          <w:rStyle w:val="FootnoteReference"/>
        </w:rPr>
        <w:footnoteReference w:id="627"/>
      </w:r>
      <w:r w:rsidRPr="0010250E">
        <w:t xml:space="preserve"> </w:t>
      </w:r>
    </w:p>
    <w:p w:rsidR="0010250E" w:rsidRPr="0010250E" w:rsidRDefault="0010250E" w:rsidP="0010250E">
      <w:pPr>
        <w:pStyle w:val="AERbulletlistfirststyle"/>
      </w:pPr>
      <w:r>
        <w:t>U</w:t>
      </w:r>
      <w:r w:rsidRPr="0010250E">
        <w:t>sing a conservative estimate of beta in the Sharpe-Lintner CAPM can accommodate potential issues that arise from not estimating the Black CAPM.</w:t>
      </w:r>
      <w:r w:rsidRPr="0010250E">
        <w:rPr>
          <w:rStyle w:val="FootnoteReference"/>
        </w:rPr>
        <w:footnoteReference w:id="628"/>
      </w:r>
    </w:p>
    <w:p w:rsidR="0010250E" w:rsidRDefault="0010250E" w:rsidP="0010250E">
      <w:r>
        <w:t xml:space="preserve">We elaborate on our reasons for these positions in sections </w:t>
      </w:r>
      <w:r>
        <w:fldChar w:fldCharType="begin"/>
      </w:r>
      <w:r>
        <w:instrText xml:space="preserve"> REF _Ref448924784 \r \h </w:instrText>
      </w:r>
      <w:r>
        <w:fldChar w:fldCharType="separate"/>
      </w:r>
      <w:r w:rsidR="003F1AAB">
        <w:t>B.2.1</w:t>
      </w:r>
      <w:r>
        <w:fldChar w:fldCharType="end"/>
      </w:r>
      <w:r>
        <w:t xml:space="preserve"> to </w:t>
      </w:r>
      <w:r>
        <w:fldChar w:fldCharType="begin"/>
      </w:r>
      <w:r>
        <w:instrText xml:space="preserve"> REF _Ref448924785 \r \h </w:instrText>
      </w:r>
      <w:r>
        <w:fldChar w:fldCharType="separate"/>
      </w:r>
      <w:r w:rsidR="003F1AAB">
        <w:t>B.2.3</w:t>
      </w:r>
      <w:r>
        <w:fldChar w:fldCharType="end"/>
      </w:r>
      <w:r>
        <w:t xml:space="preserve"> below.</w:t>
      </w:r>
    </w:p>
    <w:p w:rsidR="0010250E" w:rsidRPr="001562D4" w:rsidRDefault="0010250E" w:rsidP="0010250E">
      <w:r>
        <w:t>Service providers proposed</w:t>
      </w:r>
      <w:r w:rsidRPr="001562D4">
        <w:t xml:space="preserve"> that empirical estimates from the Black CAPM should be used for e</w:t>
      </w:r>
      <w:r>
        <w:t>stimating the return on equity</w:t>
      </w:r>
      <w:r w:rsidRPr="001562D4">
        <w:t>.</w:t>
      </w:r>
      <w:r w:rsidRPr="001562D4">
        <w:rPr>
          <w:rStyle w:val="FootnoteReference"/>
        </w:rPr>
        <w:footnoteReference w:id="629"/>
      </w:r>
      <w:r>
        <w:t xml:space="preserve"> </w:t>
      </w:r>
      <w:r w:rsidRPr="001562D4">
        <w:t xml:space="preserve">In support of </w:t>
      </w:r>
      <w:r>
        <w:t>using</w:t>
      </w:r>
      <w:r w:rsidRPr="001562D4">
        <w:t xml:space="preserve"> empirical </w:t>
      </w:r>
      <w:r>
        <w:t>return on equity</w:t>
      </w:r>
      <w:r w:rsidRPr="001562D4">
        <w:t xml:space="preserve"> estimates from the Black CAPM,</w:t>
      </w:r>
      <w:r>
        <w:t xml:space="preserve"> service providers submitted that: </w:t>
      </w:r>
    </w:p>
    <w:p w:rsidR="0010250E" w:rsidRPr="0010250E" w:rsidRDefault="0010250E" w:rsidP="0010250E">
      <w:pPr>
        <w:pStyle w:val="AERbulletlistfirststyle"/>
      </w:pPr>
      <w:r>
        <w:t xml:space="preserve">Empirical evidence indicates that the SL-CAPM will lead to downwardly biased </w:t>
      </w:r>
      <w:r w:rsidRPr="0010250E">
        <w:t>estimates of the return on equity for low-beta stocks.</w:t>
      </w:r>
      <w:r w:rsidRPr="0010250E">
        <w:rPr>
          <w:rStyle w:val="FootnoteReference"/>
        </w:rPr>
        <w:footnoteReference w:id="630"/>
      </w:r>
    </w:p>
    <w:p w:rsidR="0010250E" w:rsidRDefault="0010250E" w:rsidP="0010250E">
      <w:pPr>
        <w:pStyle w:val="AERbulletlistfirststyle"/>
      </w:pPr>
      <w:r>
        <w:t>The AER cannot reject the use of the Black CAPM based on concerns with reliability without testing SFG's zero-beta premium or 'seeking a reliable estimate' of the premium</w:t>
      </w:r>
      <w:r w:rsidRPr="0010250E">
        <w:rPr>
          <w:rStyle w:val="FootnoteReference"/>
        </w:rPr>
        <w:footnoteReference w:id="631"/>
      </w:r>
    </w:p>
    <w:p w:rsidR="006230F1" w:rsidRPr="0010250E" w:rsidRDefault="006230F1" w:rsidP="0010250E">
      <w:pPr>
        <w:pStyle w:val="AERbulletlistfirststyle"/>
      </w:pPr>
      <w:r>
        <w:t xml:space="preserve">The AER stated that the </w:t>
      </w:r>
      <w:r w:rsidR="00AD0C1D">
        <w:t xml:space="preserve">zero beta </w:t>
      </w:r>
      <w:proofErr w:type="gramStart"/>
      <w:r w:rsidR="00AD0C1D">
        <w:t>portfolio</w:t>
      </w:r>
      <w:proofErr w:type="gramEnd"/>
      <w:r w:rsidR="00AD0C1D">
        <w:t xml:space="preserve"> is hard to estimate but </w:t>
      </w:r>
      <w:r>
        <w:t xml:space="preserve">Gray and Hall (SFG) have provided </w:t>
      </w:r>
      <w:r w:rsidR="00AD0C1D">
        <w:t xml:space="preserve">an </w:t>
      </w:r>
      <w:r>
        <w:t>estimate</w:t>
      </w:r>
      <w:r w:rsidR="00AD0C1D">
        <w:t>.</w:t>
      </w:r>
      <w:r w:rsidR="00AD0C1D">
        <w:rPr>
          <w:rStyle w:val="FootnoteReference"/>
        </w:rPr>
        <w:footnoteReference w:id="632"/>
      </w:r>
    </w:p>
    <w:p w:rsidR="0010250E" w:rsidRPr="0010250E" w:rsidRDefault="0010250E" w:rsidP="0010250E">
      <w:pPr>
        <w:pStyle w:val="AERbulletlistfirststyle"/>
      </w:pPr>
      <w:r>
        <w:t>The AER's return on equity estimate is below those from other relevant return on equity models.</w:t>
      </w:r>
      <w:r w:rsidRPr="0010250E">
        <w:rPr>
          <w:rStyle w:val="FootnoteReference"/>
        </w:rPr>
        <w:footnoteReference w:id="633"/>
      </w:r>
    </w:p>
    <w:p w:rsidR="0010250E" w:rsidRPr="0010250E" w:rsidRDefault="0010250E" w:rsidP="0010250E">
      <w:pPr>
        <w:pStyle w:val="AERbulletlistfirststyle"/>
      </w:pPr>
      <w:r>
        <w:t xml:space="preserve">Consultant reports </w:t>
      </w:r>
      <w:r w:rsidR="0047611F">
        <w:t xml:space="preserve">and </w:t>
      </w:r>
      <w:proofErr w:type="gramStart"/>
      <w:r w:rsidR="0047611F">
        <w:t>US</w:t>
      </w:r>
      <w:proofErr w:type="gramEnd"/>
      <w:r w:rsidR="0047611F">
        <w:t xml:space="preserve"> regulators </w:t>
      </w:r>
      <w:r>
        <w:t>show that the Black CAPM is used in rate of return regulation cases.</w:t>
      </w:r>
      <w:r w:rsidRPr="0010250E">
        <w:rPr>
          <w:rStyle w:val="FootnoteReference"/>
        </w:rPr>
        <w:footnoteReference w:id="634"/>
      </w:r>
      <w:r w:rsidRPr="0010250E">
        <w:t xml:space="preserve"> </w:t>
      </w:r>
    </w:p>
    <w:p w:rsidR="0010250E" w:rsidRDefault="0010250E" w:rsidP="0010250E">
      <w:pPr>
        <w:numPr>
          <w:ilvl w:val="0"/>
          <w:numId w:val="25"/>
        </w:numPr>
      </w:pPr>
      <w:r>
        <w:t>Having considered these submissions, we do not find them compelling and we remain satisfied with our position in the Guideline and draft decision. We consider that</w:t>
      </w:r>
      <w:r w:rsidRPr="001562D4">
        <w:t xml:space="preserve"> the Black CAPM </w:t>
      </w:r>
      <w:r>
        <w:t xml:space="preserve">is </w:t>
      </w:r>
      <w:r w:rsidRPr="001562D4">
        <w:t>to</w:t>
      </w:r>
      <w:r>
        <w:t>o sensitive to</w:t>
      </w:r>
      <w:r w:rsidRPr="001562D4">
        <w:t xml:space="preserve"> implementation choices</w:t>
      </w:r>
      <w:r>
        <w:t xml:space="preserve"> for which there is no general consensus. This may also explain </w:t>
      </w:r>
      <w:r w:rsidRPr="001562D4">
        <w:t>its lack of use</w:t>
      </w:r>
      <w:r>
        <w:t xml:space="preserve">. </w:t>
      </w:r>
      <w:r w:rsidRPr="001562D4">
        <w:t xml:space="preserve">We do not consider </w:t>
      </w:r>
      <w:r>
        <w:t xml:space="preserve">that Black CAPM </w:t>
      </w:r>
      <w:r w:rsidRPr="001562D4">
        <w:t xml:space="preserve">estimates </w:t>
      </w:r>
      <w:r>
        <w:t>would</w:t>
      </w:r>
      <w:r w:rsidRPr="001562D4">
        <w:t xml:space="preserve"> </w:t>
      </w:r>
      <w:r>
        <w:t xml:space="preserve">contribute to a return on equity commensurate with efficient financing costs given AGN's risk in providing regulated services. We elaborate on our response to these submissions in sections </w:t>
      </w:r>
      <w:r>
        <w:fldChar w:fldCharType="begin"/>
      </w:r>
      <w:r>
        <w:instrText xml:space="preserve"> REF _Ref448924784 \r \h </w:instrText>
      </w:r>
      <w:r>
        <w:fldChar w:fldCharType="separate"/>
      </w:r>
      <w:r w:rsidR="003F1AAB">
        <w:t>B.2.1</w:t>
      </w:r>
      <w:r>
        <w:fldChar w:fldCharType="end"/>
      </w:r>
      <w:r>
        <w:t xml:space="preserve"> to </w:t>
      </w:r>
      <w:r>
        <w:fldChar w:fldCharType="begin"/>
      </w:r>
      <w:r>
        <w:instrText xml:space="preserve"> REF _Ref448924785 \r \h </w:instrText>
      </w:r>
      <w:r>
        <w:fldChar w:fldCharType="separate"/>
      </w:r>
      <w:r w:rsidR="003F1AAB">
        <w:t>B.2.3</w:t>
      </w:r>
      <w:r>
        <w:fldChar w:fldCharType="end"/>
      </w:r>
      <w:r>
        <w:t xml:space="preserve"> below.</w:t>
      </w:r>
    </w:p>
    <w:p w:rsidR="0010250E" w:rsidRPr="00B4711B" w:rsidRDefault="0010250E" w:rsidP="0010250E">
      <w:pPr>
        <w:pStyle w:val="Heading9"/>
      </w:pPr>
      <w:bookmarkStart w:id="158" w:name="_Ref448924784"/>
      <w:bookmarkStart w:id="159" w:name="_Toc456686715"/>
      <w:r>
        <w:t>Empirical reliability of the Black CAPM</w:t>
      </w:r>
      <w:bookmarkEnd w:id="158"/>
      <w:bookmarkEnd w:id="159"/>
    </w:p>
    <w:p w:rsidR="0010250E" w:rsidRDefault="0010250E" w:rsidP="0010250E">
      <w:r>
        <w:t>We consider that there appears no consensus on the methodological choices required to construct a zero-beta portfolio.</w:t>
      </w:r>
    </w:p>
    <w:p w:rsidR="0010250E" w:rsidRPr="007B60D8" w:rsidRDefault="0010250E" w:rsidP="0010250E">
      <w:pPr>
        <w:pStyle w:val="AERbulletlistfirststyle"/>
        <w:numPr>
          <w:ilvl w:val="0"/>
          <w:numId w:val="25"/>
        </w:numPr>
      </w:pPr>
      <w:r w:rsidRPr="001562D4">
        <w:t xml:space="preserve">McKenzie and Partington </w:t>
      </w:r>
      <w:r>
        <w:t>indicated that</w:t>
      </w:r>
      <w:r w:rsidRPr="001562D4">
        <w:t xml:space="preserve"> the Black CAPM</w:t>
      </w:r>
      <w:r w:rsidRPr="00DD27F8">
        <w:t xml:space="preserve"> </w:t>
      </w:r>
      <w:r w:rsidRPr="006C4D93">
        <w:t>can be very sensitive to implementation choices.</w:t>
      </w:r>
      <w:r w:rsidRPr="006C4D93">
        <w:rPr>
          <w:rStyle w:val="FootnoteReference"/>
        </w:rPr>
        <w:footnoteReference w:id="635"/>
      </w:r>
      <w:r>
        <w:t xml:space="preserve"> Partington and Satchell noted that, irrespective of the </w:t>
      </w:r>
      <w:r w:rsidRPr="00C61D42">
        <w:t>name and framework (the Black, Vasicek and Brennan versions of the CAPM), the major issue with zero beta CAPMs is determining the return of the zero beta portfolio.</w:t>
      </w:r>
      <w:r w:rsidRPr="00C61D42">
        <w:rPr>
          <w:rStyle w:val="FootnoteReference"/>
        </w:rPr>
        <w:footnoteReference w:id="636"/>
      </w:r>
      <w:r w:rsidRPr="00C61D42">
        <w:t xml:space="preserve"> They noted Beaulieu, Dufour and Khalaf's conclusion that the estimate of the zero beta return is unstable and unreliable over time.</w:t>
      </w:r>
      <w:r w:rsidRPr="00C61D42">
        <w:rPr>
          <w:rStyle w:val="FootnoteReference"/>
        </w:rPr>
        <w:footnoteReference w:id="637"/>
      </w:r>
      <w:r w:rsidRPr="00C61D42">
        <w:t xml:space="preserve"> </w:t>
      </w:r>
      <w:r w:rsidRPr="008F0849">
        <w:t xml:space="preserve">Partington recommended </w:t>
      </w:r>
      <w:r>
        <w:t>against</w:t>
      </w:r>
      <w:r w:rsidRPr="008F0849">
        <w:t xml:space="preserve"> using empirical </w:t>
      </w:r>
      <w:r w:rsidRPr="00C61D42">
        <w:t xml:space="preserve">estimates of the </w:t>
      </w:r>
      <w:r>
        <w:t>Fama French model</w:t>
      </w:r>
      <w:r w:rsidRPr="00C61D42">
        <w:t xml:space="preserve"> and Black CAPM in the Australian context because many of the issue are 'virtually intractable and estimates, such as those of the zero beta return are so problematic and unreliable as to render them virtually worthless'.</w:t>
      </w:r>
      <w:r w:rsidRPr="00C61D42">
        <w:rPr>
          <w:rStyle w:val="FootnoteReference"/>
        </w:rPr>
        <w:footnoteReference w:id="638"/>
      </w:r>
    </w:p>
    <w:p w:rsidR="0010250E" w:rsidRPr="001562D4" w:rsidRDefault="0010250E" w:rsidP="0010250E">
      <w:pPr>
        <w:numPr>
          <w:ilvl w:val="0"/>
          <w:numId w:val="25"/>
        </w:numPr>
      </w:pPr>
      <w:r w:rsidRPr="001562D4">
        <w:t xml:space="preserve">The instability of the Black CAPM </w:t>
      </w:r>
      <w:r>
        <w:t>is</w:t>
      </w:r>
      <w:r w:rsidRPr="001562D4">
        <w:t xml:space="preserve"> highlighted in</w:t>
      </w:r>
      <w:r>
        <w:t xml:space="preserve"> </w:t>
      </w:r>
      <w:r w:rsidRPr="001562D4">
        <w:t xml:space="preserve">NERA's report for </w:t>
      </w:r>
      <w:r>
        <w:t>TransGrid's revenue proposal. This report</w:t>
      </w:r>
      <w:r w:rsidRPr="001562D4">
        <w:t xml:space="preserve"> lists the following prior estimates of the zero beta return for the Australian market:</w:t>
      </w:r>
      <w:r w:rsidRPr="001562D4">
        <w:rPr>
          <w:rStyle w:val="FootnoteReference"/>
        </w:rPr>
        <w:footnoteReference w:id="639"/>
      </w:r>
    </w:p>
    <w:p w:rsidR="0010250E" w:rsidRPr="0010250E" w:rsidRDefault="0010250E" w:rsidP="0010250E">
      <w:pPr>
        <w:pStyle w:val="AERbulletlistfirststyle"/>
      </w:pPr>
      <w:r w:rsidRPr="001562D4">
        <w:t xml:space="preserve">CEG (2008) reports zero beta </w:t>
      </w:r>
      <w:r w:rsidRPr="0010250E">
        <w:t>premium estimates between 7.21 and 10.31 per cent per annum.</w:t>
      </w:r>
    </w:p>
    <w:p w:rsidR="0010250E" w:rsidRPr="0010250E" w:rsidRDefault="0010250E" w:rsidP="0010250E">
      <w:pPr>
        <w:pStyle w:val="AERbulletlistfirststyle"/>
      </w:pPr>
      <w:r w:rsidRPr="001562D4">
        <w:t xml:space="preserve">NERA (2013) reports zero beta </w:t>
      </w:r>
      <w:r w:rsidRPr="0010250E">
        <w:t>premium estimates between 8.74 and 13.95 per cent per annum.</w:t>
      </w:r>
    </w:p>
    <w:p w:rsidR="0010250E" w:rsidRDefault="0010250E" w:rsidP="0010250E">
      <w:pPr>
        <w:numPr>
          <w:ilvl w:val="0"/>
          <w:numId w:val="25"/>
        </w:numPr>
      </w:pPr>
      <w:r w:rsidRPr="001562D4">
        <w:t>NERA also acknowledge</w:t>
      </w:r>
      <w:r>
        <w:t>d</w:t>
      </w:r>
      <w:r w:rsidRPr="001562D4">
        <w:t xml:space="preserve"> that</w:t>
      </w:r>
      <w:r>
        <w:t>:</w:t>
      </w:r>
      <w:r w:rsidRPr="001562D4">
        <w:rPr>
          <w:rStyle w:val="FootnoteReference"/>
        </w:rPr>
        <w:footnoteReference w:id="640"/>
      </w:r>
    </w:p>
    <w:p w:rsidR="0010250E" w:rsidRDefault="0010250E" w:rsidP="0010250E">
      <w:pPr>
        <w:pStyle w:val="AERquote"/>
      </w:pPr>
      <w:proofErr w:type="gramStart"/>
      <w:r w:rsidRPr="001562D4">
        <w:t>estimates</w:t>
      </w:r>
      <w:proofErr w:type="gramEnd"/>
      <w:r w:rsidRPr="001562D4">
        <w:t xml:space="preserve"> of the zero-beta premium produced by studies that use long time series of Australian data are generally larger than estimates of the MRP that the AER has in the past used</w:t>
      </w:r>
      <w:r>
        <w:t>.</w:t>
      </w:r>
    </w:p>
    <w:p w:rsidR="0010250E" w:rsidRDefault="0010250E" w:rsidP="0010250E">
      <w:pPr>
        <w:numPr>
          <w:ilvl w:val="0"/>
          <w:numId w:val="25"/>
        </w:numPr>
      </w:pPr>
      <w:r>
        <w:t>NERA</w:t>
      </w:r>
      <w:r w:rsidRPr="001562D4">
        <w:t xml:space="preserve"> also acknowledge</w:t>
      </w:r>
      <w:r>
        <w:t>d</w:t>
      </w:r>
      <w:r w:rsidRPr="001562D4">
        <w:t xml:space="preserve"> the implausibility of the zero beta </w:t>
      </w:r>
      <w:proofErr w:type="gramStart"/>
      <w:r w:rsidRPr="001562D4">
        <w:t>premium</w:t>
      </w:r>
      <w:proofErr w:type="gramEnd"/>
      <w:r w:rsidRPr="001562D4">
        <w:t xml:space="preserve"> being equal to the </w:t>
      </w:r>
      <w:r>
        <w:t>market risk premium</w:t>
      </w:r>
      <w:r w:rsidRPr="001562D4">
        <w:t>. However, NERA claim</w:t>
      </w:r>
      <w:r>
        <w:t>ed</w:t>
      </w:r>
      <w:r w:rsidRPr="001562D4">
        <w:t xml:space="preserve"> the result simply reflects that there is no relationship between systematic risk and return.</w:t>
      </w:r>
      <w:r w:rsidRPr="001562D4">
        <w:rPr>
          <w:rStyle w:val="FootnoteReference"/>
        </w:rPr>
        <w:footnoteReference w:id="641"/>
      </w:r>
      <w:r>
        <w:t xml:space="preserve"> Similarly, SFG submitted that imprecise estimates of the zero beta </w:t>
      </w:r>
      <w:proofErr w:type="gramStart"/>
      <w:r>
        <w:t>premium</w:t>
      </w:r>
      <w:proofErr w:type="gramEnd"/>
      <w:r>
        <w:t xml:space="preserve"> arose from the imprecision in the relationship between beta and stock returns.</w:t>
      </w:r>
      <w:r>
        <w:rPr>
          <w:rStyle w:val="FootnoteReference"/>
        </w:rPr>
        <w:footnoteReference w:id="642"/>
      </w:r>
      <w:r>
        <w:t xml:space="preserve"> We do not find these submissions compelling. As stated by Handley, </w:t>
      </w:r>
      <w:r w:rsidRPr="001562D4">
        <w:t>NERA's results that the zero b</w:t>
      </w:r>
      <w:r w:rsidRPr="006C4D93">
        <w:t xml:space="preserve">eta premium equals the </w:t>
      </w:r>
      <w:r>
        <w:t>market risk premium</w:t>
      </w:r>
      <w:r w:rsidRPr="006C4D93">
        <w:t xml:space="preserve"> ha</w:t>
      </w:r>
      <w:r>
        <w:t>ve</w:t>
      </w:r>
      <w:r w:rsidRPr="006C4D93">
        <w:t xml:space="preserve"> an unsettling implication that, 'there is a minimum variance portfolio that has no exposure to the risk of the market but is still expected to yield the same return as the market portfolio.'</w:t>
      </w:r>
      <w:r w:rsidRPr="006C4D93">
        <w:rPr>
          <w:rStyle w:val="FootnoteReference"/>
        </w:rPr>
        <w:footnoteReference w:id="643"/>
      </w:r>
      <w:r>
        <w:t xml:space="preserve"> </w:t>
      </w:r>
      <w:r w:rsidRPr="001562D4">
        <w:t xml:space="preserve">We also question the validity of applying an asset pricing model that prices assets on the basis of </w:t>
      </w:r>
      <w:r>
        <w:t xml:space="preserve">equity </w:t>
      </w:r>
      <w:r w:rsidRPr="001562D4">
        <w:t>beta</w:t>
      </w:r>
      <w:r>
        <w:t xml:space="preserve">, in a situation where one does </w:t>
      </w:r>
      <w:r w:rsidRPr="001562D4">
        <w:t>not consider there is a relationship be</w:t>
      </w:r>
      <w:r>
        <w:t>tween equity beta and required return.</w:t>
      </w:r>
    </w:p>
    <w:p w:rsidR="0010250E" w:rsidRDefault="0010250E" w:rsidP="0010250E">
      <w:pPr>
        <w:pStyle w:val="AERbulletlistfirststyle"/>
        <w:numPr>
          <w:ilvl w:val="0"/>
          <w:numId w:val="25"/>
        </w:numPr>
      </w:pPr>
      <w:r>
        <w:t xml:space="preserve">Partington </w:t>
      </w:r>
      <w:r w:rsidRPr="00CA5AF6">
        <w:t xml:space="preserve">and Satchell also noted </w:t>
      </w:r>
      <w:r>
        <w:t xml:space="preserve">that </w:t>
      </w:r>
      <w:r w:rsidRPr="00CA5AF6">
        <w:t>Shanken has cautioned u</w:t>
      </w:r>
      <w:r>
        <w:t>sing the method by Litzenburger</w:t>
      </w:r>
      <w:r w:rsidRPr="00CA5AF6">
        <w:t xml:space="preserve"> and Ramaswamy and Shanken (used by NERA) to estimate the zero-beta premium because such procedures can lead to unreliable estimates.</w:t>
      </w:r>
      <w:r w:rsidRPr="00CA5AF6">
        <w:rPr>
          <w:rStyle w:val="FootnoteReference"/>
        </w:rPr>
        <w:footnoteReference w:id="644"/>
      </w:r>
      <w:r w:rsidRPr="00CA5AF6">
        <w:t xml:space="preserve"> </w:t>
      </w:r>
    </w:p>
    <w:p w:rsidR="0010250E" w:rsidRPr="00C854DA" w:rsidRDefault="0010250E" w:rsidP="0010250E">
      <w:pPr>
        <w:pStyle w:val="ListParagraph"/>
        <w:numPr>
          <w:ilvl w:val="0"/>
          <w:numId w:val="25"/>
        </w:numPr>
      </w:pPr>
      <w:r w:rsidRPr="00C854DA">
        <w:t xml:space="preserve">NERA’s 2012 submission further illustrates the unreliability of the Black CAPM. This presented estimates of a Black CAPM that implied a negative </w:t>
      </w:r>
      <w:r>
        <w:t>market risk premium</w:t>
      </w:r>
      <w:r w:rsidRPr="00C854DA">
        <w:t>.</w:t>
      </w:r>
      <w:r w:rsidRPr="00C854DA">
        <w:rPr>
          <w:rStyle w:val="FootnoteReference"/>
        </w:rPr>
        <w:footnoteReference w:id="645"/>
      </w:r>
    </w:p>
    <w:p w:rsidR="0010250E" w:rsidRPr="001562D4" w:rsidRDefault="0010250E" w:rsidP="0010250E">
      <w:pPr>
        <w:numPr>
          <w:ilvl w:val="0"/>
          <w:numId w:val="25"/>
        </w:numPr>
      </w:pPr>
      <w:r w:rsidRPr="001562D4">
        <w:t>SFG acknowledge</w:t>
      </w:r>
      <w:r>
        <w:t>d</w:t>
      </w:r>
      <w:r w:rsidRPr="001562D4">
        <w:t xml:space="preserve"> </w:t>
      </w:r>
      <w:r>
        <w:t>that one</w:t>
      </w:r>
      <w:r w:rsidRPr="001562D4">
        <w:t xml:space="preserve"> might expect the zero beta </w:t>
      </w:r>
      <w:r>
        <w:t>return</w:t>
      </w:r>
      <w:r w:rsidRPr="001562D4">
        <w:t xml:space="preserve"> to lie below the expected return on the market.</w:t>
      </w:r>
      <w:r w:rsidRPr="001562D4">
        <w:rPr>
          <w:rStyle w:val="FootnoteReference"/>
        </w:rPr>
        <w:footnoteReference w:id="646"/>
      </w:r>
      <w:r w:rsidRPr="001562D4">
        <w:t xml:space="preserve"> SFG estimate</w:t>
      </w:r>
      <w:r>
        <w:t xml:space="preserve">d an </w:t>
      </w:r>
      <w:r w:rsidRPr="001562D4">
        <w:t xml:space="preserve">estimate of the zero beta </w:t>
      </w:r>
      <w:proofErr w:type="gramStart"/>
      <w:r w:rsidRPr="001562D4">
        <w:t>premium</w:t>
      </w:r>
      <w:proofErr w:type="gramEnd"/>
      <w:r w:rsidRPr="001562D4">
        <w:t xml:space="preserve"> of 3.34</w:t>
      </w:r>
      <w:r>
        <w:t xml:space="preserve"> per cent per annum</w:t>
      </w:r>
      <w:r w:rsidRPr="001562D4">
        <w:t>.</w:t>
      </w:r>
      <w:r w:rsidRPr="001562D4">
        <w:rPr>
          <w:rStyle w:val="FootnoteReference"/>
        </w:rPr>
        <w:footnoteReference w:id="647"/>
      </w:r>
      <w:r w:rsidRPr="001562D4">
        <w:t xml:space="preserve"> </w:t>
      </w:r>
      <w:r>
        <w:t>It</w:t>
      </w:r>
      <w:r w:rsidRPr="001562D4">
        <w:t xml:space="preserve"> then attempt</w:t>
      </w:r>
      <w:r>
        <w:t>ed</w:t>
      </w:r>
      <w:r w:rsidRPr="001562D4">
        <w:t xml:space="preserve"> to reconcile </w:t>
      </w:r>
      <w:r>
        <w:t xml:space="preserve">its </w:t>
      </w:r>
      <w:r w:rsidRPr="001562D4">
        <w:t>estimate with NERA's and state</w:t>
      </w:r>
      <w:r>
        <w:t>d</w:t>
      </w:r>
      <w:r w:rsidRPr="001562D4">
        <w:t>:</w:t>
      </w:r>
      <w:r w:rsidRPr="001562D4">
        <w:rPr>
          <w:rStyle w:val="FootnoteReference"/>
        </w:rPr>
        <w:footnoteReference w:id="648"/>
      </w:r>
    </w:p>
    <w:p w:rsidR="0010250E" w:rsidRPr="001562D4" w:rsidRDefault="0010250E" w:rsidP="0010250E">
      <w:pPr>
        <w:pStyle w:val="AERquote"/>
      </w:pPr>
      <w:r w:rsidRPr="001562D4">
        <w:t xml:space="preserve">When we formed portfolios to measure the relationship between </w:t>
      </w:r>
      <w:proofErr w:type="gramStart"/>
      <w:r w:rsidRPr="001562D4">
        <w:t>beta</w:t>
      </w:r>
      <w:proofErr w:type="gramEnd"/>
      <w:r w:rsidRPr="001562D4">
        <w:t xml:space="preserve"> estimates we formed portfolios that had approximately the same industry composition, market capitalisation, and book-to-market ratio. So we isolated the relationship between stock returns and beta estimates that was largely independent of other stock characteristics that are associated stock returns. We repeated our analysis after forming portfolios entirely on the basis of beta estimates and found that the zero beta </w:t>
      </w:r>
      <w:proofErr w:type="gramStart"/>
      <w:r w:rsidRPr="001562D4">
        <w:t>premium</w:t>
      </w:r>
      <w:proofErr w:type="gramEnd"/>
      <w:r w:rsidRPr="001562D4">
        <w:t xml:space="preserve"> was 9.28%. This estimate of the zero beta </w:t>
      </w:r>
      <w:proofErr w:type="gramStart"/>
      <w:r w:rsidRPr="001562D4">
        <w:t>premium</w:t>
      </w:r>
      <w:proofErr w:type="gramEnd"/>
      <w:r w:rsidRPr="001562D4">
        <w:t xml:space="preserve"> is almost identical to the portfolio return of 10.03% reported by NERA for the 19-year period from 1994 to 2012.</w:t>
      </w:r>
    </w:p>
    <w:p w:rsidR="0010250E" w:rsidRPr="001562D4" w:rsidRDefault="0010250E" w:rsidP="0010250E">
      <w:pPr>
        <w:numPr>
          <w:ilvl w:val="0"/>
          <w:numId w:val="25"/>
        </w:numPr>
      </w:pPr>
      <w:r>
        <w:t>W</w:t>
      </w:r>
      <w:r w:rsidRPr="001562D4">
        <w:t>e consider SFG's latest estimate of the zero beta</w:t>
      </w:r>
      <w:r>
        <w:t xml:space="preserve"> </w:t>
      </w:r>
      <w:proofErr w:type="gramStart"/>
      <w:r>
        <w:t>premium</w:t>
      </w:r>
      <w:proofErr w:type="gramEnd"/>
      <w:r>
        <w:t xml:space="preserve"> appears more plausible, as it is not negative and is below the market risk premium. However,</w:t>
      </w:r>
      <w:r w:rsidRPr="001562D4">
        <w:t xml:space="preserve"> we remain of the view that the large range of zero beta estimates by consultants indicates</w:t>
      </w:r>
      <w:r>
        <w:t xml:space="preserve"> that</w:t>
      </w:r>
      <w:r w:rsidRPr="001562D4">
        <w:t xml:space="preserve"> the model is unsuitable </w:t>
      </w:r>
      <w:r>
        <w:t>for estimating</w:t>
      </w:r>
      <w:r w:rsidRPr="001562D4">
        <w:t xml:space="preserve"> the </w:t>
      </w:r>
      <w:r>
        <w:t>return on equity</w:t>
      </w:r>
      <w:r w:rsidRPr="001562D4">
        <w:t xml:space="preserve"> </w:t>
      </w:r>
      <w:r>
        <w:t>for the</w:t>
      </w:r>
      <w:r w:rsidRPr="001562D4">
        <w:t xml:space="preserve"> benchmark efficient entity.</w:t>
      </w:r>
      <w:r>
        <w:t xml:space="preserve"> </w:t>
      </w:r>
      <w:r w:rsidRPr="001562D4">
        <w:t>McKenzie and Partington also consider</w:t>
      </w:r>
      <w:r>
        <w:t>ed</w:t>
      </w:r>
      <w:r w:rsidRPr="001562D4">
        <w:t xml:space="preserve"> </w:t>
      </w:r>
      <w:r>
        <w:t xml:space="preserve">SFG's and </w:t>
      </w:r>
      <w:r w:rsidRPr="001562D4">
        <w:t>NERA's submissions and remain</w:t>
      </w:r>
      <w:r>
        <w:t>ed</w:t>
      </w:r>
      <w:r w:rsidRPr="001562D4">
        <w:t xml:space="preserve"> of the view </w:t>
      </w:r>
      <w:r>
        <w:t xml:space="preserve">that </w:t>
      </w:r>
      <w:r w:rsidRPr="001562D4">
        <w:t>th</w:t>
      </w:r>
      <w:r>
        <w:t xml:space="preserve">e model is empirically unstable. They </w:t>
      </w:r>
      <w:r w:rsidRPr="001562D4">
        <w:t>state</w:t>
      </w:r>
      <w:r>
        <w:t>d</w:t>
      </w:r>
      <w:r w:rsidRPr="001562D4">
        <w:t>:</w:t>
      </w:r>
      <w:r w:rsidRPr="001562D4">
        <w:rPr>
          <w:rStyle w:val="FootnoteReference"/>
        </w:rPr>
        <w:footnoteReference w:id="649"/>
      </w:r>
    </w:p>
    <w:p w:rsidR="0010250E" w:rsidRDefault="0010250E" w:rsidP="0010250E">
      <w:pPr>
        <w:pStyle w:val="AERquote"/>
      </w:pPr>
      <w:r w:rsidRPr="001562D4">
        <w:t>Our point that ‘what you get depends very heavily on what you do’ is well illustrated by the SFG estimate of the zero beta premium, which is quite different to the NERA estimate</w:t>
      </w:r>
    </w:p>
    <w:p w:rsidR="0010250E" w:rsidRDefault="0010250E" w:rsidP="0010250E">
      <w:pPr>
        <w:rPr>
          <w:rStyle w:val="CommentReference"/>
        </w:rPr>
      </w:pPr>
      <w:r w:rsidRPr="005A1480">
        <w:t xml:space="preserve">SFG </w:t>
      </w:r>
      <w:r>
        <w:t>later characterised this logic as not placing reliance on a 'plausible' estimate simply because different approaches produced implausible estimates.</w:t>
      </w:r>
      <w:r>
        <w:rPr>
          <w:rStyle w:val="FootnoteReference"/>
        </w:rPr>
        <w:footnoteReference w:id="650"/>
      </w:r>
      <w:r>
        <w:t xml:space="preserve"> Having reviewed SFG's report, Partington advised:</w:t>
      </w:r>
      <w:r>
        <w:rPr>
          <w:rStyle w:val="FootnoteReference"/>
        </w:rPr>
        <w:footnoteReference w:id="651"/>
      </w:r>
    </w:p>
    <w:p w:rsidR="0010250E" w:rsidRPr="009A5577" w:rsidRDefault="0010250E" w:rsidP="0010250E">
      <w:pPr>
        <w:pStyle w:val="AERquote"/>
      </w:pPr>
      <w:r>
        <w:t>There</w:t>
      </w:r>
      <w:r w:rsidRPr="009A5577">
        <w:t xml:space="preserve"> are a great number of practical difficulties to be confronted when implementing the Black CAPM such that McKenzie and Partington (2014) do not recommend any weight be given to the estimates provided in the network service </w:t>
      </w:r>
      <w:proofErr w:type="gramStart"/>
      <w:r w:rsidRPr="009A5577">
        <w:t>providers</w:t>
      </w:r>
      <w:proofErr w:type="gramEnd"/>
      <w:r w:rsidRPr="009A5577">
        <w:t xml:space="preserve"> consultants reports. This is an important point as McKenzie and Partington (2014) do not suggest that the Black model cannot be estimated. Indeed, the </w:t>
      </w:r>
      <w:proofErr w:type="gramStart"/>
      <w:r w:rsidRPr="009A5577">
        <w:t>consultants</w:t>
      </w:r>
      <w:proofErr w:type="gramEnd"/>
      <w:r w:rsidRPr="009A5577">
        <w:t xml:space="preserve"> reports clearly show that it can be done. What they do say however, is that it is unclear what those estimated represent</w:t>
      </w:r>
      <w:r>
        <w:t>.</w:t>
      </w:r>
    </w:p>
    <w:p w:rsidR="0010250E" w:rsidRPr="00127ECB" w:rsidRDefault="0010250E" w:rsidP="0010250E">
      <w:r>
        <w:t>We received a number of submissions from the service providers and their consultants on the Black CAPM for this decision. However, they largely surround issues previously considered in our Guideline and/or previous decisions.</w:t>
      </w:r>
      <w:r>
        <w:rPr>
          <w:rStyle w:val="FootnoteReference"/>
        </w:rPr>
        <w:footnoteReference w:id="652"/>
      </w:r>
      <w:r>
        <w:t xml:space="preserve"> We focus on key aspects of these submissions below. In response to our concern with the reliability</w:t>
      </w:r>
      <w:r w:rsidRPr="00127ECB">
        <w:t xml:space="preserve"> of the </w:t>
      </w:r>
      <w:r>
        <w:t>zero beta premium</w:t>
      </w:r>
      <w:r w:rsidRPr="00127ECB">
        <w:t xml:space="preserve">, </w:t>
      </w:r>
      <w:r>
        <w:t>service providers submitted that</w:t>
      </w:r>
      <w:r w:rsidRPr="00127ECB">
        <w:t xml:space="preserve"> the AER has not sought to test SFG’s proposed</w:t>
      </w:r>
      <w:r>
        <w:t xml:space="preserve"> </w:t>
      </w:r>
      <w:r w:rsidRPr="00127ECB">
        <w:t>zero-beta premium</w:t>
      </w:r>
      <w:r>
        <w:t xml:space="preserve"> and</w:t>
      </w:r>
      <w:r w:rsidRPr="00127ECB">
        <w:t xml:space="preserve"> </w:t>
      </w:r>
      <w:r>
        <w:t xml:space="preserve">instead </w:t>
      </w:r>
      <w:r w:rsidRPr="00127ECB">
        <w:t xml:space="preserve">dismissed </w:t>
      </w:r>
      <w:r>
        <w:t>this</w:t>
      </w:r>
      <w:r w:rsidRPr="00127ECB">
        <w:t xml:space="preserve"> estimate on the basis that there are other</w:t>
      </w:r>
      <w:r>
        <w:t xml:space="preserve"> </w:t>
      </w:r>
      <w:r w:rsidRPr="00127ECB">
        <w:t>differing estimates, some of which are ‘implausible</w:t>
      </w:r>
      <w:r>
        <w:t>'.</w:t>
      </w:r>
      <w:r>
        <w:rPr>
          <w:rStyle w:val="FootnoteReference"/>
        </w:rPr>
        <w:footnoteReference w:id="653"/>
      </w:r>
      <w:r w:rsidR="00C73D89">
        <w:t xml:space="preserve"> AusNet Services also argued against the zero-beta portfolio being hard to estimate.</w:t>
      </w:r>
      <w:r w:rsidR="00C73D89">
        <w:rPr>
          <w:rStyle w:val="FootnoteReference"/>
        </w:rPr>
        <w:footnoteReference w:id="654"/>
      </w:r>
    </w:p>
    <w:p w:rsidR="0010250E" w:rsidRDefault="0010250E" w:rsidP="0010250E">
      <w:r>
        <w:t>Service providers considered that, g</w:t>
      </w:r>
      <w:r w:rsidRPr="00127ECB">
        <w:t xml:space="preserve">iven </w:t>
      </w:r>
      <w:r>
        <w:t>t</w:t>
      </w:r>
      <w:r w:rsidRPr="00127ECB">
        <w:t xml:space="preserve">he Black CAPM is a relevant model, a proper examination should be undertaken </w:t>
      </w:r>
      <w:r>
        <w:t>for</w:t>
      </w:r>
      <w:r w:rsidRPr="00127ECB">
        <w:t xml:space="preserve"> the</w:t>
      </w:r>
      <w:r>
        <w:t xml:space="preserve"> </w:t>
      </w:r>
      <w:r w:rsidRPr="00127ECB">
        <w:t>best estimate for the zero-beta premium and this value should be used</w:t>
      </w:r>
      <w:r>
        <w:t xml:space="preserve"> instead of </w:t>
      </w:r>
      <w:r w:rsidRPr="00127ECB">
        <w:t>effectively assum</w:t>
      </w:r>
      <w:r>
        <w:t xml:space="preserve">ing </w:t>
      </w:r>
      <w:r w:rsidRPr="00127ECB">
        <w:t>this to be ze</w:t>
      </w:r>
      <w:r>
        <w:t xml:space="preserve">ro (by relying solely on the Sharpe-Lintner </w:t>
      </w:r>
      <w:r w:rsidRPr="00127ECB">
        <w:t>CAPM to estimate the return on equity).</w:t>
      </w:r>
      <w:r>
        <w:rPr>
          <w:rStyle w:val="FootnoteReference"/>
        </w:rPr>
        <w:footnoteReference w:id="655"/>
      </w:r>
      <w:r w:rsidRPr="00127ECB">
        <w:t xml:space="preserve"> </w:t>
      </w:r>
      <w:r w:rsidR="00C73D89">
        <w:t>AusNet Services</w:t>
      </w:r>
      <w:r w:rsidR="0047611F">
        <w:t xml:space="preserve"> also</w:t>
      </w:r>
      <w:r w:rsidR="00C73D89">
        <w:t xml:space="preserve"> submitted that the Black CAPM should be used as part of the multi-model approach for estimating the required return on equity.</w:t>
      </w:r>
      <w:r w:rsidR="00C73D89">
        <w:rPr>
          <w:rStyle w:val="FootnoteReference"/>
        </w:rPr>
        <w:footnoteReference w:id="656"/>
      </w:r>
    </w:p>
    <w:p w:rsidR="0010250E" w:rsidRDefault="0010250E" w:rsidP="0010250E">
      <w:pPr>
        <w:rPr>
          <w:rStyle w:val="AERbody"/>
        </w:rPr>
      </w:pPr>
      <w:r>
        <w:rPr>
          <w:rStyle w:val="AERbody"/>
        </w:rPr>
        <w:t>Partington and Satchell continue to note a range of issues (some of which are long-standing) with the Black CAPM in their latest report:</w:t>
      </w:r>
    </w:p>
    <w:p w:rsidR="0010250E" w:rsidRPr="0010250E" w:rsidRDefault="0010250E" w:rsidP="0010250E">
      <w:pPr>
        <w:pStyle w:val="AERbulletlistfirststyle"/>
      </w:pPr>
      <w:r>
        <w:t>Examinations of important academic research on the Black CAPM show that it is based on a number of unrealistic assumptions, such as unrestricted short-selling.</w:t>
      </w:r>
      <w:r w:rsidRPr="0010250E">
        <w:rPr>
          <w:rStyle w:val="FootnoteReference"/>
        </w:rPr>
        <w:footnoteReference w:id="657"/>
      </w:r>
      <w:r w:rsidRPr="0010250E">
        <w:t xml:space="preserve"> In particular, the 1971 Brennan paper indicates that the Black CAPM is unsuitable for regulatory use due to its assumption of two Markowitz portfolios as we cannot be certain what the properties of the market portfolio actually are. </w:t>
      </w:r>
    </w:p>
    <w:p w:rsidR="0010250E" w:rsidRPr="0010250E" w:rsidRDefault="0010250E" w:rsidP="0010250E">
      <w:pPr>
        <w:pStyle w:val="AERbulletlistfirststyle"/>
        <w:rPr>
          <w:rStyle w:val="AERbody"/>
        </w:rPr>
      </w:pPr>
      <w:r>
        <w:rPr>
          <w:rStyle w:val="AERbody"/>
        </w:rPr>
        <w:t>There are a range of issues with implementing the Black CAPM.</w:t>
      </w:r>
      <w:r w:rsidRPr="0010250E">
        <w:rPr>
          <w:rStyle w:val="FootnoteReference"/>
        </w:rPr>
        <w:footnoteReference w:id="658"/>
      </w:r>
      <w:r w:rsidRPr="0010250E">
        <w:rPr>
          <w:rStyle w:val="AERbody"/>
        </w:rPr>
        <w:t xml:space="preserve"> For example, the zero-beta premium is not observable and different methods and assumptions can lead to very different estimates of the zero-beta premium. In particular, the variability in zero-beta premiums is evident in SFG's estimate (10.75 per cent) and NERA's estimate (3.43 per cent).</w:t>
      </w:r>
    </w:p>
    <w:p w:rsidR="0010250E" w:rsidRPr="0010250E" w:rsidRDefault="0010250E" w:rsidP="0010250E">
      <w:pPr>
        <w:pStyle w:val="AERbulletlistfirststyle"/>
      </w:pPr>
      <w:r>
        <w:t>The zero beta premium estimates is not current nor observable and the standard errors of the estimates are substantial.</w:t>
      </w:r>
      <w:r w:rsidRPr="0010250E">
        <w:rPr>
          <w:rStyle w:val="FootnoteReference"/>
        </w:rPr>
        <w:footnoteReference w:id="659"/>
      </w:r>
    </w:p>
    <w:p w:rsidR="0010250E" w:rsidRDefault="0010250E" w:rsidP="0010250E">
      <w:r>
        <w:t>After reviewing the material submitted to us, we are satisfied that we do not need to estimate the Black CAPM.</w:t>
      </w:r>
    </w:p>
    <w:p w:rsidR="0010250E" w:rsidRDefault="0010250E" w:rsidP="0010250E">
      <w:r>
        <w:t>In response to Partington and Satchell's October 2015 advice, HoustonKemp submitted analysis</w:t>
      </w:r>
      <w:r w:rsidRPr="001B55CE">
        <w:t xml:space="preserve"> show</w:t>
      </w:r>
      <w:r>
        <w:t>ed</w:t>
      </w:r>
      <w:r w:rsidRPr="001B55CE">
        <w:t xml:space="preserve"> that none of the estimates are either extremely large and negative or extremely large and positive</w:t>
      </w:r>
      <w:r>
        <w:t>. HoustonKemp submitted that</w:t>
      </w:r>
      <w:r w:rsidRPr="001B55CE">
        <w:t xml:space="preserve"> the recursive estimates of the zero-beta premium have been relatively stable for the last 30 years and do not appear to be either problematic or unreliable.</w:t>
      </w:r>
      <w:r>
        <w:rPr>
          <w:rStyle w:val="FootnoteReference"/>
        </w:rPr>
        <w:footnoteReference w:id="660"/>
      </w:r>
      <w:r w:rsidRPr="001B55CE">
        <w:t xml:space="preserve"> </w:t>
      </w:r>
    </w:p>
    <w:p w:rsidR="0010250E" w:rsidRPr="001B6CF5" w:rsidRDefault="0010250E" w:rsidP="0010250E">
      <w:pPr>
        <w:rPr>
          <w:rStyle w:val="AERbody"/>
        </w:rPr>
      </w:pPr>
      <w:r w:rsidRPr="001B6CF5">
        <w:rPr>
          <w:rStyle w:val="AERbody"/>
        </w:rPr>
        <w:t>Based on a visu</w:t>
      </w:r>
      <w:r>
        <w:rPr>
          <w:rStyle w:val="AERbody"/>
        </w:rPr>
        <w:t xml:space="preserve">al interpretation of its </w:t>
      </w:r>
      <w:r w:rsidRPr="001B6CF5">
        <w:rPr>
          <w:rStyle w:val="AERbody"/>
        </w:rPr>
        <w:t>figure 4</w:t>
      </w:r>
      <w:r>
        <w:rPr>
          <w:rStyle w:val="AERbody"/>
        </w:rPr>
        <w:t xml:space="preserve"> in HoustonKemp's report</w:t>
      </w:r>
      <w:r w:rsidRPr="001B6CF5">
        <w:rPr>
          <w:rStyle w:val="AERbody"/>
        </w:rPr>
        <w:t>, more than half of the zero beta premium estimates are concentrated in the 5% bar. HoustonKemp's recursive estimate of the zero bet</w:t>
      </w:r>
      <w:r>
        <w:rPr>
          <w:rStyle w:val="AERbody"/>
        </w:rPr>
        <w:t xml:space="preserve">a </w:t>
      </w:r>
      <w:proofErr w:type="gramStart"/>
      <w:r>
        <w:rPr>
          <w:rStyle w:val="AERbody"/>
        </w:rPr>
        <w:t>premium</w:t>
      </w:r>
      <w:proofErr w:type="gramEnd"/>
      <w:r>
        <w:rPr>
          <w:rStyle w:val="AERbody"/>
        </w:rPr>
        <w:t xml:space="preserve"> (figure 5) indicates</w:t>
      </w:r>
      <w:r w:rsidRPr="001B6CF5">
        <w:rPr>
          <w:rStyle w:val="AERbody"/>
        </w:rPr>
        <w:t xml:space="preserve"> a value around 7–8% in 2014.  We consider that both charts indicate a large and positive premium, </w:t>
      </w:r>
      <w:r>
        <w:rPr>
          <w:rStyle w:val="AERbody"/>
        </w:rPr>
        <w:t>relative to our estimated range for the market risk premium</w:t>
      </w:r>
      <w:r w:rsidRPr="001B6CF5">
        <w:rPr>
          <w:rStyle w:val="AERbody"/>
        </w:rPr>
        <w:t>. Further, we note that the 95% confidence interval captures a range of approximately 4–13% which suggest</w:t>
      </w:r>
      <w:r>
        <w:rPr>
          <w:rStyle w:val="AERbody"/>
        </w:rPr>
        <w:t>s</w:t>
      </w:r>
      <w:r w:rsidRPr="001B6CF5">
        <w:rPr>
          <w:rStyle w:val="AERbody"/>
        </w:rPr>
        <w:t xml:space="preserve"> not insignificant uncertainty regarding the zero beta premium </w:t>
      </w:r>
      <w:proofErr w:type="gramStart"/>
      <w:r w:rsidRPr="001B6CF5">
        <w:rPr>
          <w:rStyle w:val="AERbody"/>
        </w:rPr>
        <w:t>estimate</w:t>
      </w:r>
      <w:proofErr w:type="gramEnd"/>
      <w:r w:rsidRPr="001B6CF5">
        <w:rPr>
          <w:rStyle w:val="AERbody"/>
        </w:rPr>
        <w:t xml:space="preserve">. </w:t>
      </w:r>
    </w:p>
    <w:p w:rsidR="0010250E" w:rsidRDefault="0010250E" w:rsidP="0010250E">
      <w:r>
        <w:t xml:space="preserve">HoustonKemp made the following submissions on Beaulieu, Dufour and Khalaf's </w:t>
      </w:r>
      <w:r w:rsidRPr="00C61D42">
        <w:t>conclusion that the estimate of the zero beta return is unstable and unreliable over time</w:t>
      </w:r>
      <w:r>
        <w:t>:</w:t>
      </w:r>
      <w:r>
        <w:rPr>
          <w:rStyle w:val="FootnoteReference"/>
        </w:rPr>
        <w:footnoteReference w:id="661"/>
      </w:r>
    </w:p>
    <w:p w:rsidR="0010250E" w:rsidRDefault="0010250E" w:rsidP="0010250E">
      <w:pPr>
        <w:pStyle w:val="AERquote"/>
      </w:pPr>
      <w:r>
        <w:t>Beaulieu, Dufour and Khalaf's finding relates to unreliable zero-beta rate estimates</w:t>
      </w:r>
      <w:r w:rsidRPr="00A22A95">
        <w:t xml:space="preserve"> </w:t>
      </w:r>
      <w:r>
        <w:t>for assets with true betas that are close to one. HoustonKemp has used data from the largest stocks</w:t>
      </w:r>
      <w:r>
        <w:rPr>
          <w:rStyle w:val="FootnoteReference"/>
        </w:rPr>
        <w:footnoteReference w:id="662"/>
      </w:r>
      <w:r w:rsidRPr="001B55CE">
        <w:t xml:space="preserve"> </w:t>
      </w:r>
      <w:r>
        <w:t xml:space="preserve">to </w:t>
      </w:r>
      <w:r w:rsidRPr="001B55CE">
        <w:t xml:space="preserve">compute </w:t>
      </w:r>
      <w:r>
        <w:t>its</w:t>
      </w:r>
      <w:r w:rsidRPr="001B55CE">
        <w:t xml:space="preserve"> zero-beta premium</w:t>
      </w:r>
      <w:r>
        <w:t xml:space="preserve"> </w:t>
      </w:r>
      <w:r w:rsidRPr="001B55CE">
        <w:t>and it</w:t>
      </w:r>
      <w:r>
        <w:t xml:space="preserve"> </w:t>
      </w:r>
      <w:r w:rsidRPr="001B55CE">
        <w:t>is unlikely that all of these stocks have true betas that are close to one.</w:t>
      </w:r>
      <w:r>
        <w:t xml:space="preserve"> </w:t>
      </w:r>
    </w:p>
    <w:p w:rsidR="0010250E" w:rsidRDefault="0010250E" w:rsidP="0010250E">
      <w:pPr>
        <w:rPr>
          <w:rStyle w:val="AERbody"/>
        </w:rPr>
      </w:pPr>
      <w:r>
        <w:rPr>
          <w:rStyle w:val="AERbody"/>
        </w:rPr>
        <w:t>Partington and Satchell noted that the estimation problems set out in Beaulieu, Dufour and Khalaf remain relevant even for assets with estimated betas not close to one. Partington and Satchell stated:</w:t>
      </w:r>
      <w:r>
        <w:rPr>
          <w:rStyle w:val="FootnoteReference"/>
        </w:rPr>
        <w:footnoteReference w:id="663"/>
      </w:r>
    </w:p>
    <w:p w:rsidR="0010250E" w:rsidRPr="00F8120D" w:rsidRDefault="0010250E" w:rsidP="0010250E">
      <w:pPr>
        <w:pStyle w:val="AERquote"/>
      </w:pPr>
      <w:r w:rsidRPr="00F8120D">
        <w:t>[Beaulieu, Dufour and Khalaf (2012) states that] even if estimated betas are not close to one, irregularities associated with WI [weak identification] are not at all precluded [in view of (1) and (2) above]…</w:t>
      </w:r>
    </w:p>
    <w:p w:rsidR="0010250E" w:rsidRPr="00F8120D" w:rsidRDefault="0010250E" w:rsidP="0010250E">
      <w:pPr>
        <w:pStyle w:val="AERquote"/>
      </w:pPr>
      <w:r w:rsidRPr="00F8120D">
        <w:t xml:space="preserve"> [Their statement states that] even if the estimated betas are not close to one, this is not a sufficient condition to preclude problems of estimation and inference.</w:t>
      </w:r>
    </w:p>
    <w:p w:rsidR="0010250E" w:rsidRPr="003E007E" w:rsidRDefault="0010250E" w:rsidP="0010250E">
      <w:pPr>
        <w:pStyle w:val="AERquote"/>
      </w:pPr>
      <w:r w:rsidRPr="00F8120D">
        <w:t xml:space="preserve">The implicit argument [by HoustonKemp] is that any instability in estimates of the zero beta return is due to variation in the risk free rate. Thus eliminating the risk free rate fixes the stability problems in the zero beta </w:t>
      </w:r>
      <w:proofErr w:type="gramStart"/>
      <w:r w:rsidRPr="00F8120D">
        <w:t>rate</w:t>
      </w:r>
      <w:proofErr w:type="gramEnd"/>
      <w:r w:rsidRPr="00F8120D">
        <w:t xml:space="preserve"> by transforming it to a zero beta premium. This is a dubious proposition, which we find completely unconvincing.</w:t>
      </w:r>
    </w:p>
    <w:p w:rsidR="0010250E" w:rsidRDefault="0010250E" w:rsidP="0010250E">
      <w:r>
        <w:t>HoustonKemp submitted that Partington and Satchell's finding of Kan, Robotti and Shanken's</w:t>
      </w:r>
      <w:r w:rsidRPr="00AB73B1">
        <w:t xml:space="preserve"> </w:t>
      </w:r>
      <w:r>
        <w:t>zero-beta estimate being implausibly high ignores the fact that there is no sign the authors consider their estimate</w:t>
      </w:r>
      <w:r w:rsidRPr="00AB73B1">
        <w:t xml:space="preserve"> unreliable</w:t>
      </w:r>
      <w:r>
        <w:t>.</w:t>
      </w:r>
      <w:r w:rsidRPr="00BC4BBC">
        <w:rPr>
          <w:rStyle w:val="FootnoteReference"/>
        </w:rPr>
        <w:t xml:space="preserve"> </w:t>
      </w:r>
      <w:r>
        <w:rPr>
          <w:rStyle w:val="FootnoteReference"/>
        </w:rPr>
        <w:footnoteReference w:id="664"/>
      </w:r>
    </w:p>
    <w:p w:rsidR="0010250E" w:rsidRDefault="0010250E" w:rsidP="0010250E">
      <w:r w:rsidRPr="00024F5D">
        <w:rPr>
          <w:rStyle w:val="AERbody"/>
        </w:rPr>
        <w:t xml:space="preserve">We note Partington previous </w:t>
      </w:r>
      <w:r>
        <w:rPr>
          <w:rStyle w:val="AERbody"/>
        </w:rPr>
        <w:t xml:space="preserve">and latest </w:t>
      </w:r>
      <w:r w:rsidRPr="00024F5D">
        <w:rPr>
          <w:rStyle w:val="AERbody"/>
        </w:rPr>
        <w:t>advice regarding issues with implementing the Black CAPM, including the unreliable nature of (and wide range for) the zero beta estimate.</w:t>
      </w:r>
      <w:r w:rsidRPr="009A482A">
        <w:rPr>
          <w:rStyle w:val="FootnoteReference"/>
        </w:rPr>
        <w:footnoteReference w:id="665"/>
      </w:r>
      <w:r w:rsidRPr="00024F5D">
        <w:rPr>
          <w:rStyle w:val="AERbody"/>
        </w:rPr>
        <w:t xml:space="preserve"> We also consider </w:t>
      </w:r>
      <w:r>
        <w:rPr>
          <w:rStyle w:val="AERbody"/>
        </w:rPr>
        <w:t xml:space="preserve">that </w:t>
      </w:r>
      <w:r>
        <w:t>Kan, Robotti and Shanken</w:t>
      </w:r>
      <w:r>
        <w:rPr>
          <w:rStyle w:val="AERbody"/>
        </w:rPr>
        <w:t xml:space="preserve">'s </w:t>
      </w:r>
      <w:r w:rsidRPr="00024F5D">
        <w:rPr>
          <w:rStyle w:val="AERbody"/>
        </w:rPr>
        <w:t>caution reinforces our view that the model is not empirically reliable.</w:t>
      </w:r>
      <w:r w:rsidRPr="00FE6A89">
        <w:rPr>
          <w:rStyle w:val="FootnoteReference"/>
        </w:rPr>
        <w:footnoteReference w:id="666"/>
      </w:r>
      <w:r w:rsidRPr="00024F5D">
        <w:rPr>
          <w:rStyle w:val="AERbody"/>
        </w:rPr>
        <w:t xml:space="preserve"> </w:t>
      </w:r>
      <w:r w:rsidRPr="00FE35A8">
        <w:t xml:space="preserve"> </w:t>
      </w:r>
      <w:r>
        <w:t>Partington and Satchell advise that the Black CAPM is based on a number of unrealistic assumptions and can lead to a wide range (and unreliable) estimates depending on the method used.</w:t>
      </w:r>
      <w:r>
        <w:rPr>
          <w:rStyle w:val="FootnoteReference"/>
        </w:rPr>
        <w:footnoteReference w:id="667"/>
      </w:r>
    </w:p>
    <w:p w:rsidR="0010250E" w:rsidRPr="00890E90" w:rsidRDefault="0010250E" w:rsidP="0010250E">
      <w:r>
        <w:t>HoustonKemp submitted in respect of the asset pricing tests in Lewellen, Nagel and Shanken:</w:t>
      </w:r>
      <w:r w:rsidRPr="00890E90">
        <w:rPr>
          <w:rStyle w:val="FootnoteReference"/>
        </w:rPr>
        <w:footnoteReference w:id="668"/>
      </w:r>
      <w:r w:rsidRPr="00890E90">
        <w:t xml:space="preserve">  </w:t>
      </w:r>
    </w:p>
    <w:p w:rsidR="0010250E" w:rsidRPr="0010250E" w:rsidRDefault="0010250E" w:rsidP="0010250E">
      <w:pPr>
        <w:pStyle w:val="AERbulletlistfirststyle"/>
      </w:pPr>
      <w:r>
        <w:t>Lewellen, Nagel and Shanken</w:t>
      </w:r>
      <w:r w:rsidRPr="0010250E">
        <w:t xml:space="preserve"> find that there is little relation between mean return and beta, and that estimates of the zero-beta premium are large and both economically and statistically significant.</w:t>
      </w:r>
    </w:p>
    <w:p w:rsidR="0010250E" w:rsidRPr="0010250E" w:rsidRDefault="0010250E" w:rsidP="0010250E">
      <w:pPr>
        <w:pStyle w:val="AERbulletlistfirststyle"/>
      </w:pPr>
      <w:r w:rsidRPr="00065C01">
        <w:t>Lewellen, Nagel and Shanken find</w:t>
      </w:r>
      <w:r w:rsidRPr="0010250E">
        <w:t xml:space="preserve"> statistically significant evidence that the Sharpe-Lintner CAPM will deliver downwardly biased estimates of the returns required on low-beta portfolios of stocks.</w:t>
      </w:r>
    </w:p>
    <w:p w:rsidR="0010250E" w:rsidRPr="009A482A" w:rsidRDefault="0010250E" w:rsidP="0010250E">
      <w:pPr>
        <w:rPr>
          <w:rStyle w:val="AERbody"/>
        </w:rPr>
      </w:pPr>
      <w:r w:rsidRPr="009A482A">
        <w:rPr>
          <w:rStyle w:val="AERbody"/>
        </w:rPr>
        <w:t>However, Partington and Satchell cautioned use of results from asset pricing tests:</w:t>
      </w:r>
      <w:r w:rsidRPr="009A482A">
        <w:rPr>
          <w:rStyle w:val="FootnoteReference"/>
        </w:rPr>
        <w:footnoteReference w:id="669"/>
      </w:r>
    </w:p>
    <w:p w:rsidR="0010250E" w:rsidRDefault="0010250E" w:rsidP="0010250E">
      <w:pPr>
        <w:pStyle w:val="AERquote"/>
      </w:pPr>
      <w:r>
        <w:t xml:space="preserve">we have also pointed out (see for example, Partington and Satchell 2015a and 2015b) that there is well regarded </w:t>
      </w:r>
      <w:r w:rsidRPr="001B191B">
        <w:t>research which shows that there are substantial methodological and statistical problems associated with asset pricing tests, for example, that results depend on how the portfolios used in the tests are formed.</w:t>
      </w:r>
      <w:r>
        <w:t xml:space="preserve"> </w:t>
      </w:r>
    </w:p>
    <w:p w:rsidR="0010250E" w:rsidRDefault="0010250E" w:rsidP="0010250E">
      <w:pPr>
        <w:pStyle w:val="AERquote"/>
        <w:rPr>
          <w:rStyle w:val="AERtexthighlight"/>
        </w:rPr>
      </w:pPr>
      <w:r w:rsidRPr="001B191B">
        <w:t>These papers also illustrate that the tide of academic opinion is divided about the evidence from realised returns, both for and against the CAPM. In short there is ongoing debate about how asset pricing tests should be conducted, what test statistics are appropriate, and what such tests actually mean.</w:t>
      </w:r>
    </w:p>
    <w:p w:rsidR="0010250E" w:rsidRPr="00B4711B" w:rsidRDefault="0010250E" w:rsidP="0010250E">
      <w:pPr>
        <w:pStyle w:val="Heading9"/>
      </w:pPr>
      <w:bookmarkStart w:id="160" w:name="_Ref449010288"/>
      <w:bookmarkStart w:id="161" w:name="_Toc456686716"/>
      <w:r>
        <w:t>Low beta bias may not reflect ex ante priced risk</w:t>
      </w:r>
      <w:bookmarkEnd w:id="160"/>
      <w:bookmarkEnd w:id="161"/>
    </w:p>
    <w:p w:rsidR="0010250E" w:rsidRDefault="0010250E" w:rsidP="0010250E">
      <w:r>
        <w:t>Service providers submitted that the Sharpe-Lintner CAPM underestimates the return on equity for businesses with an equity beta less than one ('low beta bias'). Service providers submitted that low beta bias is evidenced by the return on equity estimates from Black CAPM and the empirical performance of the Sharpe-Lintner CAPM using ex post data.</w:t>
      </w:r>
      <w:r>
        <w:rPr>
          <w:rStyle w:val="FootnoteReference"/>
        </w:rPr>
        <w:footnoteReference w:id="670"/>
      </w:r>
    </w:p>
    <w:p w:rsidR="0010250E" w:rsidRDefault="0010250E" w:rsidP="0010250E">
      <w:r>
        <w:t xml:space="preserve">The empirical performance of the Sharpe-Lintner CAPM using ex post data is discussed in detail in section </w:t>
      </w:r>
      <w:r>
        <w:fldChar w:fldCharType="begin"/>
      </w:r>
      <w:r>
        <w:instrText xml:space="preserve"> REF _Ref449004969 \r \h </w:instrText>
      </w:r>
      <w:r>
        <w:fldChar w:fldCharType="separate"/>
      </w:r>
      <w:r w:rsidR="003F1AAB">
        <w:t>B.1.2</w:t>
      </w:r>
      <w:r>
        <w:fldChar w:fldCharType="end"/>
      </w:r>
      <w:r>
        <w:t>. We acknowledge that the Sharpe-Lintner CAPM tests poorly using ex post returns data, and appears to underestimate the ex post returns for businesses with an equity beta less than one. However, we do not consider that this result is evidence that the set of assumptions underpinning the Black CAPM are more realistic than those underpinning the Sharpe-Lintner CAPM.</w:t>
      </w:r>
    </w:p>
    <w:p w:rsidR="0010250E" w:rsidRPr="006C4D93" w:rsidRDefault="0010250E" w:rsidP="0010250E">
      <w:r>
        <w:t>Handley stated that t</w:t>
      </w:r>
      <w:r w:rsidRPr="006C4D93">
        <w:t>he Black CAPM and low beta bias are not equivalent concepts. As such, the empirical results of Black Scholes and Jenson (1972) and Fama and French (2004) are not direct tests of the Black CAPM.</w:t>
      </w:r>
      <w:r w:rsidRPr="006C4D93">
        <w:rPr>
          <w:rStyle w:val="FootnoteReference"/>
        </w:rPr>
        <w:footnoteReference w:id="671"/>
      </w:r>
      <w:r w:rsidRPr="00FB2D22">
        <w:t xml:space="preserve"> </w:t>
      </w:r>
      <w:r>
        <w:t>I</w:t>
      </w:r>
      <w:r w:rsidRPr="006C4D93">
        <w:t>t is unclear that low beta bias is a priced risk not already captured by the S</w:t>
      </w:r>
      <w:r>
        <w:t>harpe-</w:t>
      </w:r>
      <w:r w:rsidRPr="006C4D93">
        <w:t>L</w:t>
      </w:r>
      <w:r>
        <w:t xml:space="preserve">intner </w:t>
      </w:r>
      <w:r w:rsidRPr="006C4D93">
        <w:t>CAPM.</w:t>
      </w:r>
      <w:r w:rsidRPr="006C4D93">
        <w:rPr>
          <w:rStyle w:val="FootnoteReference"/>
        </w:rPr>
        <w:footnoteReference w:id="672"/>
      </w:r>
      <w:r>
        <w:t xml:space="preserve"> Handley later reiterated that </w:t>
      </w:r>
      <w:r w:rsidRPr="00725202">
        <w:t>our understanding of the low beta bias is still far</w:t>
      </w:r>
      <w:r>
        <w:t xml:space="preserve"> </w:t>
      </w:r>
      <w:r w:rsidRPr="00725202">
        <w:t>from clear.</w:t>
      </w:r>
      <w:r>
        <w:rPr>
          <w:rStyle w:val="FootnoteReference"/>
        </w:rPr>
        <w:footnoteReference w:id="673"/>
      </w:r>
    </w:p>
    <w:p w:rsidR="0010250E" w:rsidRDefault="0010250E" w:rsidP="0010250E">
      <w:r w:rsidRPr="001562D4">
        <w:t xml:space="preserve">McKenzie and Partington </w:t>
      </w:r>
      <w:r>
        <w:t>indicated that</w:t>
      </w:r>
      <w:r w:rsidRPr="001562D4">
        <w:t xml:space="preserve"> the Black CAPM</w:t>
      </w:r>
      <w:r w:rsidRPr="00DD27F8">
        <w:t xml:space="preserve"> </w:t>
      </w:r>
      <w:r w:rsidRPr="006C4D93">
        <w:t>is not based on more realistic assumptions than the S</w:t>
      </w:r>
      <w:r>
        <w:t xml:space="preserve">harpe-Lintner </w:t>
      </w:r>
      <w:r w:rsidRPr="006C4D93">
        <w:t xml:space="preserve">CAPM. </w:t>
      </w:r>
      <w:r>
        <w:t>In fact, Partington and Satchell show that the Black CAPM is based on a number of unrealistic assumptions, such as unrestricted short-selling.</w:t>
      </w:r>
      <w:r>
        <w:rPr>
          <w:rStyle w:val="FootnoteReference"/>
        </w:rPr>
        <w:footnoteReference w:id="674"/>
      </w:r>
    </w:p>
    <w:p w:rsidR="0010250E" w:rsidRDefault="0010250E" w:rsidP="0010250E">
      <w:r w:rsidRPr="006C4D93">
        <w:t>The Black CAPM cannot be directly compared to the S</w:t>
      </w:r>
      <w:r>
        <w:t>harpe-</w:t>
      </w:r>
      <w:r w:rsidRPr="006C4D93">
        <w:t>L</w:t>
      </w:r>
      <w:r>
        <w:t xml:space="preserve">intner </w:t>
      </w:r>
      <w:r w:rsidRPr="006C4D93">
        <w:t>CAPM as they each involve very different investment strategies.</w:t>
      </w:r>
      <w:r w:rsidRPr="006C4D93">
        <w:rPr>
          <w:rStyle w:val="FootnoteReference"/>
        </w:rPr>
        <w:footnoteReference w:id="675"/>
      </w:r>
      <w:r>
        <w:t xml:space="preserve"> As such, any attempt to compare the two models must be done with great care.</w:t>
      </w:r>
      <w:r>
        <w:rPr>
          <w:rStyle w:val="FootnoteReference"/>
        </w:rPr>
        <w:footnoteReference w:id="676"/>
      </w:r>
    </w:p>
    <w:p w:rsidR="0010250E" w:rsidRPr="001B6CF5" w:rsidRDefault="0010250E" w:rsidP="0010250E">
      <w:r>
        <w:t xml:space="preserve">Partington and Satchell noted that 'low beta bias' represents </w:t>
      </w:r>
      <w:r w:rsidRPr="001B6CF5">
        <w:t xml:space="preserve">a tendency for low beta stocks to overperform and high beta stocks to underperform relative to the CAPM. </w:t>
      </w:r>
      <w:r>
        <w:t>Partington and Satchell noted that o</w:t>
      </w:r>
      <w:r w:rsidRPr="001B6CF5">
        <w:t xml:space="preserve">ne possible interpretation is </w:t>
      </w:r>
      <w:r>
        <w:t xml:space="preserve">not necessarily that the </w:t>
      </w:r>
      <w:r w:rsidRPr="001B6CF5">
        <w:t>Sharpe–Lintner CAPM gives a downward biased estimated</w:t>
      </w:r>
      <w:r>
        <w:t xml:space="preserve"> of required returns </w:t>
      </w:r>
      <w:r w:rsidRPr="001B6CF5">
        <w:t>but that low b</w:t>
      </w:r>
      <w:r>
        <w:t>eta stocks have positive 'alphas'</w:t>
      </w:r>
      <w:r w:rsidRPr="001B6CF5">
        <w:t>.</w:t>
      </w:r>
      <w:r w:rsidRPr="001B6CF5">
        <w:rPr>
          <w:rStyle w:val="FootnoteReference"/>
        </w:rPr>
        <w:footnoteReference w:id="677"/>
      </w:r>
      <w:r>
        <w:t xml:space="preserve"> We note that a myriad factors can contribute to the under and over performance of a stock.</w:t>
      </w:r>
      <w:r w:rsidRPr="001B6CF5">
        <w:t xml:space="preserve"> </w:t>
      </w:r>
      <w:r>
        <w:t xml:space="preserve">Partington and Satchell noted that the question of whether </w:t>
      </w:r>
      <w:r w:rsidRPr="001B6CF5">
        <w:t>any of these variables determine equilibrium expected returns</w:t>
      </w:r>
      <w:r>
        <w:t xml:space="preserve"> </w:t>
      </w:r>
      <w:r w:rsidRPr="001B6CF5">
        <w:t xml:space="preserve">is </w:t>
      </w:r>
      <w:r>
        <w:t xml:space="preserve">currently </w:t>
      </w:r>
      <w:r w:rsidRPr="001B6CF5">
        <w:t>unresolved.</w:t>
      </w:r>
      <w:r w:rsidRPr="001B6CF5">
        <w:rPr>
          <w:rStyle w:val="FootnoteReference"/>
        </w:rPr>
        <w:footnoteReference w:id="678"/>
      </w:r>
      <w:r w:rsidRPr="001B6CF5">
        <w:t xml:space="preserve"> </w:t>
      </w:r>
    </w:p>
    <w:p w:rsidR="0010250E" w:rsidRPr="0010250E" w:rsidRDefault="0010250E" w:rsidP="0010250E">
      <w:pPr>
        <w:pStyle w:val="Heading9"/>
      </w:pPr>
      <w:bookmarkStart w:id="162" w:name="_Ref448924785"/>
      <w:bookmarkStart w:id="163" w:name="_Toc456686717"/>
      <w:r>
        <w:t>AER's role for the theory of the Black CAPM</w:t>
      </w:r>
      <w:bookmarkEnd w:id="162"/>
      <w:bookmarkEnd w:id="163"/>
    </w:p>
    <w:p w:rsidR="0010250E" w:rsidRDefault="0010250E" w:rsidP="00376690">
      <w:pPr>
        <w:numPr>
          <w:ilvl w:val="0"/>
          <w:numId w:val="25"/>
        </w:numPr>
      </w:pPr>
      <w:r>
        <w:t>We consider that the Black CAPM cannot be reliably estimated and we should not place weight on return on equity estimates from the model. However, we consider the theoretical underpinnings of the model remain a relevant consideration.</w:t>
      </w:r>
    </w:p>
    <w:p w:rsidR="0010250E" w:rsidRDefault="0010250E" w:rsidP="0010250E">
      <w:pPr>
        <w:numPr>
          <w:ilvl w:val="0"/>
          <w:numId w:val="25"/>
        </w:numPr>
      </w:pPr>
      <w:r>
        <w:t>T</w:t>
      </w:r>
      <w:r w:rsidRPr="00A71CB9">
        <w:t xml:space="preserve">he </w:t>
      </w:r>
      <w:r w:rsidRPr="00C61D42">
        <w:t>theoretical principles underpinning the Black CAPM demonstrate that market imperfections could cause the true (unobservable) expected return on equity to vary from the S</w:t>
      </w:r>
      <w:r>
        <w:t>harpe-</w:t>
      </w:r>
      <w:r w:rsidRPr="00C61D42">
        <w:t>L</w:t>
      </w:r>
      <w:r>
        <w:t xml:space="preserve">intner CAPM estimate. This is </w:t>
      </w:r>
      <w:r w:rsidRPr="00A71CB9">
        <w:t>a result of slightly different starting assumptions</w:t>
      </w:r>
      <w:r>
        <w:t xml:space="preserve"> between the models.</w:t>
      </w:r>
      <w:r w:rsidRPr="00A71CB9">
        <w:rPr>
          <w:rStyle w:val="FootnoteReference"/>
        </w:rPr>
        <w:footnoteReference w:id="679"/>
      </w:r>
      <w:r w:rsidRPr="00A71CB9">
        <w:t xml:space="preserve"> </w:t>
      </w:r>
      <w:r>
        <w:t>The resulting variation in expected return on equity is (in the theoretical principles) larger for businesses with equity betas further from one. We</w:t>
      </w:r>
      <w:r w:rsidRPr="00C44EAF">
        <w:t xml:space="preserve"> have </w:t>
      </w:r>
      <w:r>
        <w:t xml:space="preserve">also </w:t>
      </w:r>
      <w:r w:rsidRPr="00C44EAF">
        <w:t>considered the empirical evidence that the S</w:t>
      </w:r>
      <w:r>
        <w:t>harpe-</w:t>
      </w:r>
      <w:r w:rsidRPr="00C44EAF">
        <w:t>L</w:t>
      </w:r>
      <w:r>
        <w:t xml:space="preserve">intner </w:t>
      </w:r>
      <w:r w:rsidRPr="00C44EAF">
        <w:t xml:space="preserve">CAPM </w:t>
      </w:r>
      <w:r>
        <w:t xml:space="preserve">tends to </w:t>
      </w:r>
      <w:r w:rsidRPr="00C44EAF">
        <w:t>underestimate return</w:t>
      </w:r>
      <w:r>
        <w:t>s</w:t>
      </w:r>
      <w:r w:rsidRPr="00C44EAF">
        <w:t xml:space="preserve"> on low beta stocks </w:t>
      </w:r>
      <w:r w:rsidRPr="00C61D42">
        <w:t>when examined using ex</w:t>
      </w:r>
      <w:r>
        <w:t>-</w:t>
      </w:r>
      <w:r w:rsidRPr="00C61D42">
        <w:t>post data.</w:t>
      </w:r>
    </w:p>
    <w:p w:rsidR="0010250E" w:rsidRDefault="0010250E" w:rsidP="0010250E">
      <w:pPr>
        <w:numPr>
          <w:ilvl w:val="0"/>
          <w:numId w:val="25"/>
        </w:numPr>
      </w:pPr>
      <w:r>
        <w:t>Our empirical and conceptual analysis of equity beta for businesses with a similar degree of risk as AGN (in the provision of regulated services) indicates an equity beta less than one, and within the range of 0.4 to 0.7.</w:t>
      </w:r>
      <w:r>
        <w:rPr>
          <w:rStyle w:val="FootnoteReference"/>
        </w:rPr>
        <w:footnoteReference w:id="680"/>
      </w:r>
      <w:r>
        <w:t xml:space="preserve"> In this case, where initial considerations indicate an equity beta materially below one, the theory of the Black CAPM may be relevant. As the importance of the theory of the Black CAPM is relative to considerations of the business' equity beta estimate, we consider it is appropriate for the theory of the Black CAPM to inform our equity beta estimate.</w:t>
      </w:r>
    </w:p>
    <w:p w:rsidR="0010250E" w:rsidRDefault="0010250E" w:rsidP="0010250E">
      <w:pPr>
        <w:numPr>
          <w:ilvl w:val="0"/>
          <w:numId w:val="25"/>
        </w:numPr>
      </w:pPr>
      <w:r>
        <w:t>However, it is important to note that:</w:t>
      </w:r>
    </w:p>
    <w:p w:rsidR="0010250E" w:rsidRPr="0010250E" w:rsidRDefault="0010250E" w:rsidP="0010250E">
      <w:pPr>
        <w:pStyle w:val="AERbulletlistfirststyle"/>
      </w:pPr>
      <w:r>
        <w:t>A</w:t>
      </w:r>
      <w:r w:rsidRPr="0010250E">
        <w:t>ll models with simplifying assumptions will likely be affected by market imperfections when they are applied in a practical setting. The key theoretical difference between the Black CAPM and the Sharpe-Lintner CAPM relates to borrowing and lending. The Sharpe-Lintner CAPM assumes that investors can access unlimited borrowing and lending at the risk free rate. The Black CAPM relaxes this assumption, and instead assumes that investors can access unlimited short selling of stocks, with the proceeds immediately available for investment. Either of these assumptions might correctly be criticised as being unrealistic, and it is not clear which assumption is preferable.</w:t>
      </w:r>
    </w:p>
    <w:p w:rsidR="0010250E" w:rsidRPr="0010250E" w:rsidRDefault="0010250E" w:rsidP="0010250E">
      <w:pPr>
        <w:pStyle w:val="AERbulletlistfirststyle"/>
      </w:pPr>
      <w:r>
        <w:t>W</w:t>
      </w:r>
      <w:r w:rsidRPr="0010250E">
        <w:t>e consider that we cannot reliably estimate the Black CAPM.</w:t>
      </w:r>
    </w:p>
    <w:p w:rsidR="0010250E" w:rsidRPr="0010250E" w:rsidRDefault="0010250E" w:rsidP="0010250E">
      <w:pPr>
        <w:pStyle w:val="AERbulletlistfirststyle"/>
      </w:pPr>
      <w:r>
        <w:t>The</w:t>
      </w:r>
      <w:r w:rsidRPr="0010250E">
        <w:t xml:space="preserve"> empirical tests of the Sharpe-Lintner CAPM using ex-post data do not provide conclusive evidence that the Sharpe-Lintner CAPM has 'low beta bias'.</w:t>
      </w:r>
    </w:p>
    <w:p w:rsidR="0010250E" w:rsidRDefault="0010250E" w:rsidP="0010250E">
      <w:pPr>
        <w:numPr>
          <w:ilvl w:val="0"/>
          <w:numId w:val="25"/>
        </w:numPr>
      </w:pPr>
      <w:r>
        <w:t xml:space="preserve">Our use of the Black CAPM in informing the equity beta point estimate is supported by recent advice from our expert consultants, McKenzie and Partington and John Handley. </w:t>
      </w:r>
    </w:p>
    <w:p w:rsidR="0010250E" w:rsidRDefault="0010250E" w:rsidP="0010250E">
      <w:pPr>
        <w:numPr>
          <w:ilvl w:val="0"/>
          <w:numId w:val="25"/>
        </w:numPr>
      </w:pPr>
      <w:r>
        <w:t>John Handley noted our use of the Black CAPM to inform the beta estimate, as well as our roles for the dividend growth model and the Fama-French model, as 'appropriate and reasonable'.</w:t>
      </w:r>
      <w:r>
        <w:rPr>
          <w:rStyle w:val="FootnoteReference"/>
        </w:rPr>
        <w:footnoteReference w:id="681"/>
      </w:r>
    </w:p>
    <w:p w:rsidR="0010250E" w:rsidRDefault="0010250E" w:rsidP="0010250E">
      <w:pPr>
        <w:numPr>
          <w:ilvl w:val="0"/>
          <w:numId w:val="25"/>
        </w:numPr>
      </w:pPr>
      <w:r w:rsidRPr="00A71CB9">
        <w:t>McKenzie and Partington consider</w:t>
      </w:r>
      <w:r>
        <w:t>ed</w:t>
      </w:r>
      <w:r w:rsidRPr="00A71CB9">
        <w:t xml:space="preserve"> that while the empirical implementation of the Black CAPM is </w:t>
      </w:r>
      <w:r>
        <w:t>problematic</w:t>
      </w:r>
      <w:r w:rsidRPr="00A71CB9">
        <w:t>, the theory underlying the Black CAPM may have a role in informing the equity beta estimate.</w:t>
      </w:r>
      <w:r>
        <w:rPr>
          <w:rStyle w:val="FootnoteReference"/>
        </w:rPr>
        <w:footnoteReference w:id="682"/>
      </w:r>
      <w:r w:rsidRPr="00A71CB9">
        <w:t xml:space="preserve"> </w:t>
      </w:r>
      <w:r w:rsidRPr="00C1309F">
        <w:t>McKenzie and Partington note</w:t>
      </w:r>
      <w:r>
        <w:t>d</w:t>
      </w:r>
      <w:r w:rsidRPr="00C1309F">
        <w:t xml:space="preserve"> there is considerable uncertainty in how the Black CAPM</w:t>
      </w:r>
      <w:r>
        <w:t xml:space="preserve"> theory should be applied to a Sharpe-Lintner CAPM</w:t>
      </w:r>
      <w:r w:rsidRPr="00C1309F">
        <w:t xml:space="preserve"> equity beta estimate.</w:t>
      </w:r>
      <w:r>
        <w:t xml:space="preserve"> However, they considered the theory underlying the Black CAPM does not necessarily support </w:t>
      </w:r>
      <w:proofErr w:type="gramStart"/>
      <w:r>
        <w:t>an uplift</w:t>
      </w:r>
      <w:proofErr w:type="gramEnd"/>
      <w:r>
        <w:t xml:space="preserve"> to the equity beta estimate used in the Sharpe-Lintner CAPM.</w:t>
      </w:r>
      <w:r w:rsidRPr="00A71CB9">
        <w:rPr>
          <w:rStyle w:val="FootnoteReference"/>
        </w:rPr>
        <w:footnoteReference w:id="683"/>
      </w:r>
      <w:r>
        <w:t xml:space="preserve"> </w:t>
      </w:r>
    </w:p>
    <w:p w:rsidR="0010250E" w:rsidRDefault="0010250E" w:rsidP="0010250E">
      <w:r>
        <w:t>W</w:t>
      </w:r>
      <w:r w:rsidRPr="001562D4">
        <w:t xml:space="preserve">e agree with McKenzie and Partington that the Black CAPM (of itself) does not justify </w:t>
      </w:r>
      <w:proofErr w:type="gramStart"/>
      <w:r w:rsidRPr="001562D4">
        <w:t>an uplift</w:t>
      </w:r>
      <w:proofErr w:type="gramEnd"/>
      <w:r w:rsidRPr="001562D4">
        <w:t xml:space="preserve"> to the equity beta </w:t>
      </w:r>
      <w:r>
        <w:t>used in</w:t>
      </w:r>
      <w:r w:rsidRPr="001562D4">
        <w:t xml:space="preserve"> the S</w:t>
      </w:r>
      <w:r>
        <w:t>harpe-</w:t>
      </w:r>
      <w:r w:rsidRPr="001562D4">
        <w:t>L</w:t>
      </w:r>
      <w:r>
        <w:t xml:space="preserve">intner </w:t>
      </w:r>
      <w:r w:rsidRPr="001562D4">
        <w:t>CAPM</w:t>
      </w:r>
      <w:r>
        <w:t>.</w:t>
      </w:r>
      <w:r w:rsidRPr="001562D4">
        <w:rPr>
          <w:rStyle w:val="FootnoteReference"/>
        </w:rPr>
        <w:footnoteReference w:id="684"/>
      </w:r>
      <w:r>
        <w:t xml:space="preserve"> However, w</w:t>
      </w:r>
      <w:r w:rsidRPr="001562D4">
        <w:t>e have had regard to it when exercising our regulatory judgment in selecting the equity beta. We consider the Black CAPM does demonstrate that market imperfections could cause the true (unobservable) required return on</w:t>
      </w:r>
      <w:r>
        <w:t xml:space="preserve"> equity to vary from the Sharpe-Lintner CAPM-</w:t>
      </w:r>
      <w:r w:rsidRPr="001562D4">
        <w:t>based estimate</w:t>
      </w:r>
      <w:r>
        <w:t>. We consider this</w:t>
      </w:r>
      <w:r w:rsidRPr="001562D4">
        <w:t xml:space="preserve"> a relevant consideration</w:t>
      </w:r>
      <w:r>
        <w:t xml:space="preserve"> in selecting the equity beta.</w:t>
      </w:r>
    </w:p>
    <w:p w:rsidR="0010250E" w:rsidRPr="00C61D42" w:rsidRDefault="0010250E" w:rsidP="0010250E">
      <w:r>
        <w:t>Some s</w:t>
      </w:r>
      <w:r w:rsidRPr="00C61D42">
        <w:t>ervice providers have submitted that we have adjusted the equity beta for the Black CAPM in order to provide a correction for low beta bias.</w:t>
      </w:r>
      <w:r>
        <w:rPr>
          <w:rStyle w:val="FootnoteReference"/>
        </w:rPr>
        <w:footnoteReference w:id="685"/>
      </w:r>
      <w:r w:rsidRPr="00C61D42">
        <w:t xml:space="preserve"> </w:t>
      </w:r>
      <w:r>
        <w:t>Other service providers submitted that</w:t>
      </w:r>
      <w:r w:rsidRPr="0012004B">
        <w:t xml:space="preserve"> it is not clear whether </w:t>
      </w:r>
      <w:r>
        <w:t>our equity beta estimate</w:t>
      </w:r>
      <w:r w:rsidRPr="0012004B">
        <w:t xml:space="preserve"> is intended to correct for bias in the</w:t>
      </w:r>
      <w:r>
        <w:t xml:space="preserve"> Sharpe-Lintner CAPM</w:t>
      </w:r>
      <w:r w:rsidRPr="0012004B">
        <w:t>.</w:t>
      </w:r>
      <w:r>
        <w:rPr>
          <w:rStyle w:val="FootnoteReference"/>
        </w:rPr>
        <w:footnoteReference w:id="686"/>
      </w:r>
      <w:r>
        <w:t xml:space="preserve"> </w:t>
      </w:r>
      <w:r w:rsidRPr="00C61D42">
        <w:t xml:space="preserve">We do not consider </w:t>
      </w:r>
      <w:r>
        <w:t>that</w:t>
      </w:r>
      <w:r w:rsidRPr="00C61D42">
        <w:t xml:space="preserve"> service providers have shown that low beta bias exists on an ex ante basis and that it reflects a priced risk factor that would contribute to the allowed rate of return objective. </w:t>
      </w:r>
      <w:r>
        <w:t xml:space="preserve">We also note that the theory of the Black CAPM is only one consideration informing our equity beta point estimate (for more detail, see the 'estimating equity beta' subsection in section </w:t>
      </w:r>
      <w:r>
        <w:fldChar w:fldCharType="begin"/>
      </w:r>
      <w:r>
        <w:instrText xml:space="preserve"> REF _Ref430958591 \r \h </w:instrText>
      </w:r>
      <w:r>
        <w:fldChar w:fldCharType="separate"/>
      </w:r>
      <w:r w:rsidR="003F1AAB">
        <w:t>3.4.1</w:t>
      </w:r>
      <w:r>
        <w:fldChar w:fldCharType="end"/>
      </w:r>
      <w:r>
        <w:t>).</w:t>
      </w:r>
    </w:p>
    <w:p w:rsidR="0010250E" w:rsidRDefault="0010250E" w:rsidP="0010250E">
      <w:r>
        <w:t>SFG, Frontier, and Houston Kemp</w:t>
      </w:r>
      <w:r w:rsidRPr="00C61D42">
        <w:t xml:space="preserve"> submitted it is not possible to have proper regard to the Black CAPM without estimating it</w:t>
      </w:r>
      <w:r>
        <w:t>, and that we have essentially computed an unspecified estimate of the zero-beta premium</w:t>
      </w:r>
      <w:r w:rsidRPr="00C61D42">
        <w:t>.</w:t>
      </w:r>
      <w:r w:rsidRPr="00C61D42">
        <w:rPr>
          <w:rStyle w:val="FootnoteReference"/>
        </w:rPr>
        <w:footnoteReference w:id="687"/>
      </w:r>
      <w:r>
        <w:t xml:space="preserve"> We do not consider that the Black CAPM can be reliably estimated, and therefore consider that proper regard to the model requires that we do not place weight on estimates from the model and do not estimate the zero-beta premium.</w:t>
      </w:r>
    </w:p>
    <w:p w:rsidR="0010250E" w:rsidRDefault="0010250E" w:rsidP="0010250E">
      <w:r>
        <w:t xml:space="preserve">HoustonKemp submitted that we </w:t>
      </w:r>
      <w:r w:rsidRPr="002D59BA">
        <w:t>adjust upwards an estimate of 0.55 – the midpoint of the</w:t>
      </w:r>
      <w:r>
        <w:t xml:space="preserve"> </w:t>
      </w:r>
      <w:r w:rsidRPr="002D59BA">
        <w:t>range of 0.4 to 0.7 – to 0.7</w:t>
      </w:r>
      <w:r>
        <w:t xml:space="preserve"> by placing</w:t>
      </w:r>
      <w:r w:rsidRPr="002D59BA">
        <w:t xml:space="preserve"> a weight of two thirds on an</w:t>
      </w:r>
      <w:r>
        <w:t xml:space="preserve"> </w:t>
      </w:r>
      <w:r w:rsidRPr="002D59BA">
        <w:t>unadjusted estimate of beta</w:t>
      </w:r>
      <w:r>
        <w:t xml:space="preserve"> (0.55)</w:t>
      </w:r>
      <w:r w:rsidRPr="002D59BA">
        <w:t xml:space="preserve"> and one third on one.</w:t>
      </w:r>
      <w:r>
        <w:rPr>
          <w:rStyle w:val="FootnoteReference"/>
        </w:rPr>
        <w:footnoteReference w:id="688"/>
      </w:r>
      <w:r>
        <w:t xml:space="preserve"> </w:t>
      </w:r>
    </w:p>
    <w:p w:rsidR="0010250E" w:rsidRPr="0092561B" w:rsidRDefault="0010250E" w:rsidP="0010250E">
      <w:pPr>
        <w:rPr>
          <w:rStyle w:val="AERbody"/>
        </w:rPr>
      </w:pPr>
      <w:r w:rsidRPr="0092561B">
        <w:rPr>
          <w:rStyle w:val="AERbody"/>
        </w:rPr>
        <w:t>We note that our equity beta estimate of 0.7 is informed by a range of relevant evidence</w:t>
      </w:r>
      <w:r w:rsidRPr="0092561B">
        <w:rPr>
          <w:rStyle w:val="FootnoteReference"/>
        </w:rPr>
        <w:footnoteReference w:id="689"/>
      </w:r>
      <w:r w:rsidRPr="0092561B">
        <w:rPr>
          <w:rStyle w:val="AERbody"/>
        </w:rPr>
        <w:t xml:space="preserve"> and based on exercise of our regulatory judgment. It is not determined in any mechanistic manner as suggested by HoustonKemp. </w:t>
      </w:r>
    </w:p>
    <w:p w:rsidR="0010250E" w:rsidRDefault="0010250E" w:rsidP="0010250E">
      <w:pPr>
        <w:pStyle w:val="ListParagraph"/>
        <w:numPr>
          <w:ilvl w:val="0"/>
          <w:numId w:val="25"/>
        </w:numPr>
      </w:pPr>
      <w:r>
        <w:t xml:space="preserve">In its June 2015 and January 2016 reports, </w:t>
      </w:r>
      <w:r w:rsidRPr="00EB6387">
        <w:t xml:space="preserve">Frontier </w:t>
      </w:r>
      <w:r>
        <w:t>maintained its disagreement</w:t>
      </w:r>
      <w:r w:rsidRPr="00EB6387">
        <w:t xml:space="preserve"> with our use of the theory underlying the Black CAPM to inform the equity beta point estimate.</w:t>
      </w:r>
      <w:r w:rsidRPr="00EB6387">
        <w:rPr>
          <w:rStyle w:val="FootnoteReference"/>
        </w:rPr>
        <w:footnoteReference w:id="690"/>
      </w:r>
      <w:r w:rsidRPr="00EB6387">
        <w:t xml:space="preserve"> We do not consider </w:t>
      </w:r>
      <w:r>
        <w:t>that Frontier</w:t>
      </w:r>
      <w:r w:rsidRPr="00EB6387">
        <w:t xml:space="preserve"> have raised any substantive new evidence to support their views. Therefore, we maintain the position and reasoning set out above.</w:t>
      </w:r>
    </w:p>
    <w:p w:rsidR="0010250E" w:rsidRPr="00F143C8" w:rsidRDefault="0010250E" w:rsidP="0010250E">
      <w:pPr>
        <w:pStyle w:val="ListParagraph"/>
        <w:numPr>
          <w:ilvl w:val="0"/>
          <w:numId w:val="25"/>
        </w:numPr>
      </w:pPr>
      <w:r w:rsidRPr="00F143C8">
        <w:t xml:space="preserve">The </w:t>
      </w:r>
      <w:r>
        <w:t>Consumer Challenge Panel</w:t>
      </w:r>
      <w:r w:rsidRPr="00F143C8">
        <w:t xml:space="preserve"> agreed with our view on </w:t>
      </w:r>
      <w:r>
        <w:t xml:space="preserve">the difficulties with </w:t>
      </w:r>
      <w:r w:rsidRPr="00F143C8">
        <w:t>empirically implementing the Black CAPM. However, it disagreed with our use of the theory underlying the Black CAPM to inform the equity beta point estimate.</w:t>
      </w:r>
      <w:r w:rsidRPr="00F143C8">
        <w:rPr>
          <w:rStyle w:val="FootnoteReference"/>
        </w:rPr>
        <w:footnoteReference w:id="691"/>
      </w:r>
      <w:r w:rsidRPr="00F143C8">
        <w:t xml:space="preserve"> The </w:t>
      </w:r>
      <w:r>
        <w:t>Consumer Challenge Panel</w:t>
      </w:r>
      <w:r w:rsidRPr="00F143C8">
        <w:t xml:space="preserve"> stated:</w:t>
      </w:r>
      <w:r w:rsidRPr="00F143C8">
        <w:rPr>
          <w:rStyle w:val="FootnoteReference"/>
        </w:rPr>
        <w:footnoteReference w:id="692"/>
      </w:r>
    </w:p>
    <w:p w:rsidR="0010250E" w:rsidRPr="00F143C8" w:rsidRDefault="0010250E" w:rsidP="0010250E">
      <w:pPr>
        <w:pStyle w:val="AERquote"/>
      </w:pPr>
      <w:r w:rsidRPr="00F143C8">
        <w:t>We have discussed our concerns with the Black CAPM above and do not consider it is an appropriate basis for the AER to select an equity beta that is higher than the median of the empirical observations.</w:t>
      </w:r>
    </w:p>
    <w:p w:rsidR="0010250E" w:rsidRDefault="0010250E" w:rsidP="0010250E">
      <w:pPr>
        <w:pStyle w:val="ListParagraph"/>
        <w:numPr>
          <w:ilvl w:val="0"/>
          <w:numId w:val="25"/>
        </w:numPr>
      </w:pPr>
      <w:r w:rsidRPr="00F143C8">
        <w:t xml:space="preserve">We consider the </w:t>
      </w:r>
      <w:r>
        <w:t>Consumer Challenge Panel's</w:t>
      </w:r>
      <w:r w:rsidRPr="00F143C8">
        <w:t xml:space="preserve"> submission merely reflects a difference in opinion on the usefulness of qualitative evidence from one model to inform a parameter estimate in another model.</w:t>
      </w:r>
      <w:r w:rsidRPr="00F143C8">
        <w:rPr>
          <w:rStyle w:val="FootnoteReference"/>
        </w:rPr>
        <w:footnoteReference w:id="693"/>
      </w:r>
      <w:r w:rsidRPr="00F143C8">
        <w:t xml:space="preserve"> We note that the theory of the Black CAPM was only one factor that informed our equity beta point estimate.</w:t>
      </w:r>
    </w:p>
    <w:p w:rsidR="0010250E" w:rsidRPr="001B6CF5" w:rsidRDefault="0010250E" w:rsidP="0010250E">
      <w:r>
        <w:t xml:space="preserve">In submissions </w:t>
      </w:r>
      <w:r w:rsidRPr="001B6CF5">
        <w:t xml:space="preserve">on </w:t>
      </w:r>
      <w:r>
        <w:t>service providers' proposals</w:t>
      </w:r>
      <w:r w:rsidRPr="001B6CF5">
        <w:t>, there was broad agreement from consumer groups on the application of our foundation model approach as set out in our Guideline.</w:t>
      </w:r>
      <w:r w:rsidRPr="001B6CF5">
        <w:rPr>
          <w:rStyle w:val="FootnoteReference"/>
        </w:rPr>
        <w:footnoteReference w:id="694"/>
      </w:r>
      <w:r w:rsidRPr="001B6CF5">
        <w:t xml:space="preserve"> We consider that this refers to the Guideline in its entirety, including our role for the theory of the Black CAPM.</w:t>
      </w:r>
    </w:p>
    <w:p w:rsidR="0010250E" w:rsidRDefault="0010250E" w:rsidP="0010250E">
      <w:pPr>
        <w:pStyle w:val="Heading8"/>
      </w:pPr>
      <w:bookmarkStart w:id="164" w:name="_Ref449007420"/>
      <w:bookmarkStart w:id="165" w:name="_Toc451943788"/>
      <w:bookmarkStart w:id="166" w:name="_Toc456686718"/>
      <w:r>
        <w:t>Fama-French model</w:t>
      </w:r>
      <w:bookmarkEnd w:id="164"/>
      <w:bookmarkEnd w:id="165"/>
      <w:bookmarkEnd w:id="166"/>
    </w:p>
    <w:p w:rsidR="0010250E" w:rsidRPr="001562D4" w:rsidRDefault="0010250E" w:rsidP="0010250E">
      <w:pPr>
        <w:numPr>
          <w:ilvl w:val="0"/>
          <w:numId w:val="25"/>
        </w:numPr>
      </w:pPr>
      <w:r w:rsidRPr="001562D4">
        <w:t xml:space="preserve">The </w:t>
      </w:r>
      <w:r>
        <w:t>Fama-French model</w:t>
      </w:r>
      <w:r w:rsidRPr="001562D4">
        <w:t xml:space="preserve"> is a three factor model of asset returns.</w:t>
      </w:r>
      <w:r w:rsidRPr="001562D4">
        <w:rPr>
          <w:rStyle w:val="FootnoteReference"/>
        </w:rPr>
        <w:footnoteReference w:id="695"/>
      </w:r>
      <w:r w:rsidRPr="001562D4">
        <w:t xml:space="preserve"> It incorporates </w:t>
      </w:r>
      <w:r>
        <w:t xml:space="preserve">the following </w:t>
      </w:r>
      <w:r w:rsidRPr="001562D4">
        <w:t xml:space="preserve">three </w:t>
      </w:r>
      <w:r>
        <w:t xml:space="preserve">risk </w:t>
      </w:r>
      <w:r w:rsidRPr="001562D4">
        <w:t>factors:</w:t>
      </w:r>
      <w:r w:rsidRPr="001562D4">
        <w:rPr>
          <w:rStyle w:val="FootnoteReference"/>
        </w:rPr>
        <w:footnoteReference w:id="696"/>
      </w:r>
    </w:p>
    <w:p w:rsidR="0010250E" w:rsidRPr="0010250E" w:rsidRDefault="0010250E" w:rsidP="0010250E">
      <w:pPr>
        <w:pStyle w:val="AERbulletlistfirststyle"/>
      </w:pPr>
      <w:r w:rsidRPr="001562D4">
        <w:t>the return on the market (thus it incorporates the CAPM</w:t>
      </w:r>
      <w:r w:rsidRPr="0010250E">
        <w:t>'s systematic risk factor by having  the return on the market as a factor)</w:t>
      </w:r>
    </w:p>
    <w:p w:rsidR="0010250E" w:rsidRPr="0010250E" w:rsidRDefault="0010250E" w:rsidP="0010250E">
      <w:pPr>
        <w:pStyle w:val="AERbulletlistfirststyle"/>
      </w:pPr>
      <w:r w:rsidRPr="001562D4">
        <w:t>firm size (measured by market capitalisation)</w:t>
      </w:r>
    </w:p>
    <w:p w:rsidR="0010250E" w:rsidRPr="0010250E" w:rsidRDefault="0010250E" w:rsidP="0010250E">
      <w:pPr>
        <w:pStyle w:val="AERbulletlistfirststyle"/>
      </w:pPr>
      <w:proofErr w:type="gramStart"/>
      <w:r w:rsidRPr="001562D4">
        <w:t>the</w:t>
      </w:r>
      <w:proofErr w:type="gramEnd"/>
      <w:r w:rsidRPr="001562D4">
        <w:t xml:space="preserve"> ratio of book value to market value</w:t>
      </w:r>
      <w:r w:rsidRPr="0010250E">
        <w:t>.</w:t>
      </w:r>
    </w:p>
    <w:p w:rsidR="0010250E" w:rsidRDefault="0010250E" w:rsidP="0010250E">
      <w:pPr>
        <w:numPr>
          <w:ilvl w:val="0"/>
          <w:numId w:val="25"/>
        </w:numPr>
      </w:pPr>
      <w:r>
        <w:t>We have reviewed all the material submitted to us</w:t>
      </w:r>
      <w:r>
        <w:rPr>
          <w:rStyle w:val="FootnoteReference"/>
        </w:rPr>
        <w:footnoteReference w:id="697"/>
      </w:r>
      <w:r>
        <w:t xml:space="preserve"> on the Fama-French model and decided to give the model no role in informing our return on equity estimate (either directly or through informing parameter estimates). 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698"/>
      </w:r>
      <w:r w:rsidRPr="002E1BC3">
        <w:rPr>
          <w:rStyle w:val="FootnoteReference"/>
        </w:rPr>
        <w:t xml:space="preserve"> </w:t>
      </w:r>
      <w:r w:rsidRPr="001562D4">
        <w:t>We do not consider</w:t>
      </w:r>
      <w:r>
        <w:t xml:space="preserve"> that using the Fama-French model</w:t>
      </w:r>
      <w:r w:rsidRPr="001562D4">
        <w:t xml:space="preserve"> will result in a </w:t>
      </w:r>
      <w:r>
        <w:t>return on equity</w:t>
      </w:r>
      <w:r w:rsidRPr="001562D4">
        <w:t xml:space="preserve"> </w:t>
      </w:r>
      <w:r>
        <w:t>commensurate with the efficient financing costs given the risk of AGN's regulated services</w:t>
      </w:r>
      <w:r w:rsidRPr="001562D4">
        <w:t xml:space="preserve">. </w:t>
      </w:r>
    </w:p>
    <w:p w:rsidR="0010250E" w:rsidRPr="001562D4" w:rsidRDefault="0010250E" w:rsidP="0010250E">
      <w:pPr>
        <w:numPr>
          <w:ilvl w:val="0"/>
          <w:numId w:val="25"/>
        </w:numPr>
      </w:pPr>
      <w:r>
        <w:t>Our</w:t>
      </w:r>
      <w:r w:rsidRPr="001562D4">
        <w:t xml:space="preserve"> reasons for giving the </w:t>
      </w:r>
      <w:r>
        <w:t>Fama-French model</w:t>
      </w:r>
      <w:r w:rsidRPr="001562D4">
        <w:t xml:space="preserve"> no role </w:t>
      </w:r>
      <w:r>
        <w:t>are:</w:t>
      </w:r>
    </w:p>
    <w:p w:rsidR="0010250E" w:rsidRPr="0010250E" w:rsidRDefault="0010250E" w:rsidP="0010250E">
      <w:pPr>
        <w:pStyle w:val="AERbulletlistfirststyle"/>
      </w:pPr>
      <w:r>
        <w:t>E</w:t>
      </w:r>
      <w:r w:rsidRPr="0010250E">
        <w:t>mpirical implementation of the Fama-French model is relatively complex and opaque, with no apparent consensus on the factors to be included or the construction of portfolios for the factors. Its estimates are sensitive to the chosen estimation period and methodological assumptions.</w:t>
      </w:r>
    </w:p>
    <w:p w:rsidR="0010250E" w:rsidRPr="0010250E" w:rsidRDefault="0010250E" w:rsidP="0010250E">
      <w:pPr>
        <w:pStyle w:val="AERbulletlistfirststyle"/>
      </w:pPr>
      <w:r>
        <w:t>T</w:t>
      </w:r>
      <w:r w:rsidRPr="0010250E">
        <w:t>he ex-post (backward looking) observation of apparently priced risk factors does not mean these factors are priced ex-ante (on a forward looking basis).</w:t>
      </w:r>
    </w:p>
    <w:p w:rsidR="0010250E" w:rsidRPr="0010250E" w:rsidRDefault="0010250E" w:rsidP="0010250E">
      <w:pPr>
        <w:pStyle w:val="AERbulletlistfirststyle"/>
      </w:pPr>
      <w:r>
        <w:t>T</w:t>
      </w:r>
      <w:r w:rsidRPr="0010250E">
        <w:t>here is a lack of agreed-upon theoretical foundation for the factors and the instability of parameter estimates. This may be a contributing factor to the lack of consensus on the empirical implementation of the Fama-French model. It also increases the difficulty associated with ascertaining whether the ex post observation of apparently priced risk factors are priced ex ante.</w:t>
      </w:r>
      <w:r w:rsidRPr="0010250E">
        <w:rPr>
          <w:rStyle w:val="FootnoteReference"/>
        </w:rPr>
        <w:t xml:space="preserve"> </w:t>
      </w:r>
      <w:r w:rsidRPr="0010250E">
        <w:rPr>
          <w:rStyle w:val="FootnoteReference"/>
        </w:rPr>
        <w:footnoteReference w:id="699"/>
      </w:r>
    </w:p>
    <w:p w:rsidR="0010250E" w:rsidRPr="0010250E" w:rsidRDefault="0010250E" w:rsidP="0010250E">
      <w:pPr>
        <w:pStyle w:val="AERbulletlistfirststyle"/>
      </w:pPr>
      <w:r>
        <w:t>T</w:t>
      </w:r>
      <w:r w:rsidRPr="0010250E">
        <w:t>here is little evidence of companies or regulators using the Fama-French model to estimate the return on equity.</w:t>
      </w:r>
      <w:r w:rsidRPr="0010250E">
        <w:rPr>
          <w:rStyle w:val="FootnoteReference"/>
        </w:rPr>
        <w:footnoteReference w:id="700"/>
      </w:r>
    </w:p>
    <w:p w:rsidR="0010250E" w:rsidRDefault="0010250E" w:rsidP="0010250E">
      <w:pPr>
        <w:numPr>
          <w:ilvl w:val="0"/>
          <w:numId w:val="25"/>
        </w:numPr>
      </w:pPr>
      <w:r>
        <w:t>T</w:t>
      </w:r>
      <w:r w:rsidRPr="001562D4">
        <w:t>here is no single correct application</w:t>
      </w:r>
      <w:r>
        <w:t xml:space="preserve"> of the Fama-French model</w:t>
      </w:r>
      <w:r w:rsidRPr="001562D4">
        <w:t xml:space="preserve">. </w:t>
      </w:r>
      <w:r>
        <w:t>T</w:t>
      </w:r>
      <w:r w:rsidRPr="001562D4">
        <w:t xml:space="preserve">here are numerous specifications of the </w:t>
      </w:r>
      <w:r>
        <w:t>model that produce</w:t>
      </w:r>
      <w:r w:rsidRPr="001562D4">
        <w:t xml:space="preserve"> different estimates of the </w:t>
      </w:r>
      <w:r>
        <w:t>return on equity. The lack of consensus on both the relevant factors and methodological choices is likely to increase the sensitivity of the model to such choices, reducing the reliability of the model and increasing the potential for bias. I</w:t>
      </w:r>
      <w:r w:rsidRPr="001562D4">
        <w:t xml:space="preserve">t is unclear that any of the different </w:t>
      </w:r>
      <w:r>
        <w:t>return on equity</w:t>
      </w:r>
      <w:r w:rsidRPr="001562D4">
        <w:t xml:space="preserve"> estimates from the different model specifications reflect an ex ante required return for risk. It is also unclear if any of the different specifications would be capable of estimating the required return on equity of investors in </w:t>
      </w:r>
      <w:r>
        <w:t>a business with a similar degree of risk as AGN in providing regulated services,</w:t>
      </w:r>
      <w:r w:rsidRPr="001562D4">
        <w:t xml:space="preserve"> even if they were capable of estimating required returns for the</w:t>
      </w:r>
      <w:r>
        <w:t xml:space="preserve"> average firm.</w:t>
      </w:r>
      <w:r w:rsidRPr="00405B65">
        <w:t xml:space="preserve"> </w:t>
      </w:r>
      <w:r>
        <w:t>We set out these issues in more detail in the subsections below.</w:t>
      </w:r>
    </w:p>
    <w:p w:rsidR="0010250E" w:rsidRPr="001562D4" w:rsidRDefault="0010250E" w:rsidP="0010250E">
      <w:pPr>
        <w:numPr>
          <w:ilvl w:val="0"/>
          <w:numId w:val="25"/>
        </w:numPr>
      </w:pPr>
      <w:r>
        <w:t xml:space="preserve">McKenzie and Partington have also previously </w:t>
      </w:r>
      <w:r w:rsidRPr="001562D4">
        <w:t>support</w:t>
      </w:r>
      <w:r>
        <w:t>ed</w:t>
      </w:r>
      <w:r w:rsidRPr="001562D4">
        <w:t xml:space="preserve"> our decision to not use the model.</w:t>
      </w:r>
      <w:r w:rsidRPr="001562D4">
        <w:rPr>
          <w:rStyle w:val="FootnoteReference"/>
        </w:rPr>
        <w:footnoteReference w:id="701"/>
      </w:r>
      <w:r>
        <w:t xml:space="preserve"> We consider Handley's comments on the model also support our decision to not use the Fame-French model.</w:t>
      </w:r>
      <w:r>
        <w:rPr>
          <w:rStyle w:val="FootnoteReference"/>
        </w:rPr>
        <w:footnoteReference w:id="702"/>
      </w:r>
    </w:p>
    <w:p w:rsidR="0010250E" w:rsidRDefault="0010250E" w:rsidP="0010250E">
      <w:r w:rsidRPr="000A3A91">
        <w:t>The E</w:t>
      </w:r>
      <w:r>
        <w:t xml:space="preserve">nergy </w:t>
      </w:r>
      <w:r w:rsidRPr="000A3A91">
        <w:t>C</w:t>
      </w:r>
      <w:r>
        <w:t xml:space="preserve">onsumers </w:t>
      </w:r>
      <w:r w:rsidRPr="000A3A91">
        <w:t>C</w:t>
      </w:r>
      <w:r>
        <w:t xml:space="preserve">oalition of </w:t>
      </w:r>
      <w:r w:rsidRPr="000A3A91">
        <w:t>S</w:t>
      </w:r>
      <w:r>
        <w:t xml:space="preserve">outh </w:t>
      </w:r>
      <w:r w:rsidRPr="000A3A91">
        <w:t>A</w:t>
      </w:r>
      <w:r>
        <w:t>ustralia (ECCSA)</w:t>
      </w:r>
      <w:r w:rsidRPr="000A3A91">
        <w:t xml:space="preserve"> agree</w:t>
      </w:r>
      <w:r>
        <w:t>d</w:t>
      </w:r>
      <w:r w:rsidRPr="000A3A91">
        <w:t xml:space="preserve"> </w:t>
      </w:r>
      <w:r>
        <w:t>with the role we assign to</w:t>
      </w:r>
      <w:r w:rsidRPr="000A3A91">
        <w:t xml:space="preserve"> the Fama–French model</w:t>
      </w:r>
      <w:r>
        <w:t>. ECCSA</w:t>
      </w:r>
      <w:r w:rsidRPr="000A3A91">
        <w:t xml:space="preserve"> </w:t>
      </w:r>
      <w:r>
        <w:t xml:space="preserve">rejected </w:t>
      </w:r>
      <w:r w:rsidRPr="000A3A91">
        <w:t>the associated proposal by the</w:t>
      </w:r>
      <w:r>
        <w:t xml:space="preserve"> </w:t>
      </w:r>
      <w:r w:rsidRPr="000A3A91">
        <w:t>networks to use multiple models to assess the outcomes then weighting</w:t>
      </w:r>
      <w:r>
        <w:t xml:space="preserve"> </w:t>
      </w:r>
      <w:r w:rsidRPr="000A3A91">
        <w:t>these models to arrive at a point estimate.</w:t>
      </w:r>
      <w:r>
        <w:rPr>
          <w:rStyle w:val="FootnoteReference"/>
        </w:rPr>
        <w:footnoteReference w:id="703"/>
      </w:r>
      <w:r>
        <w:t xml:space="preserve"> </w:t>
      </w:r>
    </w:p>
    <w:p w:rsidR="0010250E" w:rsidRDefault="0010250E" w:rsidP="0010250E">
      <w:r>
        <w:t>The Consumer Challenge P</w:t>
      </w:r>
      <w:r w:rsidRPr="001562D4">
        <w:t>anel</w:t>
      </w:r>
      <w:r>
        <w:t xml:space="preserve"> was</w:t>
      </w:r>
      <w:r w:rsidRPr="001562D4">
        <w:t xml:space="preserve"> </w:t>
      </w:r>
      <w:r>
        <w:t>also unconvinced by arguments from the various service providers for the AER to use models other than the Sharpe-Lintner CAPM for estimating the cost of equity. The Consumer Challenge P</w:t>
      </w:r>
      <w:r w:rsidRPr="001562D4">
        <w:t>anel</w:t>
      </w:r>
      <w:r>
        <w:t xml:space="preserve"> considered that these alternative models are currently not being utilized by academics </w:t>
      </w:r>
      <w:proofErr w:type="gramStart"/>
      <w:r>
        <w:t>nor</w:t>
      </w:r>
      <w:proofErr w:type="gramEnd"/>
      <w:r>
        <w:t xml:space="preserve"> valuation practitioners.</w:t>
      </w:r>
      <w:r>
        <w:rPr>
          <w:rStyle w:val="FootnoteReference"/>
        </w:rPr>
        <w:footnoteReference w:id="704"/>
      </w:r>
      <w:r>
        <w:t xml:space="preserve"> Similarly, t</w:t>
      </w:r>
      <w:r w:rsidRPr="006B4511">
        <w:t xml:space="preserve">he Victorian Energy Consumer and User Alliance </w:t>
      </w:r>
      <w:r>
        <w:t xml:space="preserve">(VECUA) </w:t>
      </w:r>
      <w:r w:rsidRPr="006B4511">
        <w:t>consider</w:t>
      </w:r>
      <w:r>
        <w:t>ed</w:t>
      </w:r>
      <w:r w:rsidRPr="006B4511">
        <w:t xml:space="preserve"> that </w:t>
      </w:r>
      <w:r>
        <w:t>our</w:t>
      </w:r>
      <w:r w:rsidRPr="006B4511">
        <w:t xml:space="preserve"> approach to estimating return on equity is more appropriate than the distribut</w:t>
      </w:r>
      <w:r>
        <w:t>or</w:t>
      </w:r>
      <w:r w:rsidRPr="006B4511">
        <w:t>s' proposed approaches that adopt weighted averages of different return on equity models</w:t>
      </w:r>
      <w:r>
        <w:t>. T</w:t>
      </w:r>
      <w:r w:rsidRPr="006B4511">
        <w:t>hese proposed departures have not been subjected to any rigorous analysis or stakeholder consultation.</w:t>
      </w:r>
      <w:r w:rsidRPr="006B4511">
        <w:rPr>
          <w:rStyle w:val="FootnoteReference"/>
        </w:rPr>
        <w:footnoteReference w:id="705"/>
      </w:r>
      <w:r>
        <w:t xml:space="preserve"> </w:t>
      </w:r>
    </w:p>
    <w:p w:rsidR="0010250E" w:rsidRDefault="0010250E" w:rsidP="0010250E">
      <w:pPr>
        <w:numPr>
          <w:ilvl w:val="0"/>
          <w:numId w:val="25"/>
        </w:numPr>
      </w:pPr>
      <w:r>
        <w:t>Service providers</w:t>
      </w:r>
      <w:r w:rsidRPr="001562D4">
        <w:t xml:space="preserve"> responded to </w:t>
      </w:r>
      <w:r>
        <w:t xml:space="preserve">our </w:t>
      </w:r>
      <w:r w:rsidRPr="001562D4">
        <w:t>rea</w:t>
      </w:r>
      <w:r>
        <w:t>sons for giving the Fama-French model no role, submitting that:</w:t>
      </w:r>
      <w:r>
        <w:rPr>
          <w:rStyle w:val="FootnoteReference"/>
        </w:rPr>
        <w:footnoteReference w:id="706"/>
      </w:r>
      <w:r>
        <w:t xml:space="preserve"> </w:t>
      </w:r>
    </w:p>
    <w:p w:rsidR="0010250E" w:rsidRPr="0010250E" w:rsidRDefault="0010250E" w:rsidP="0010250E">
      <w:pPr>
        <w:pStyle w:val="AERbulletlistfirststyle"/>
      </w:pPr>
      <w:r>
        <w:t>The Fama-French model performs better than the Sharpe-Lintner CAPM.</w:t>
      </w:r>
      <w:r w:rsidRPr="0010250E">
        <w:rPr>
          <w:rStyle w:val="FootnoteReference"/>
        </w:rPr>
        <w:footnoteReference w:id="707"/>
      </w:r>
    </w:p>
    <w:p w:rsidR="0010250E" w:rsidRPr="0010250E" w:rsidRDefault="0010250E" w:rsidP="0010250E">
      <w:pPr>
        <w:pStyle w:val="AERbulletlistfirststyle"/>
      </w:pPr>
      <w:r>
        <w:t xml:space="preserve">All models requiring parameter estimates are sensitive to those estimates, including the Sharpe-Lintner CAPM, and the </w:t>
      </w:r>
      <w:r w:rsidRPr="0010250E">
        <w:t>Fama-French model is not materially more sensitive to input choices than the Sharpe-Lintner CAPM.</w:t>
      </w:r>
    </w:p>
    <w:p w:rsidR="0010250E" w:rsidRPr="0010250E" w:rsidRDefault="00F96A40" w:rsidP="0010250E">
      <w:pPr>
        <w:pStyle w:val="AERbulletlistfirststyle"/>
        <w:rPr>
          <w:rStyle w:val="AERbody"/>
        </w:rPr>
      </w:pPr>
      <w:r>
        <w:rPr>
          <w:rStyle w:val="AERbody"/>
        </w:rPr>
        <w:t>T</w:t>
      </w:r>
      <w:r w:rsidR="0010250E" w:rsidRPr="008166A1">
        <w:rPr>
          <w:rStyle w:val="AERbody"/>
        </w:rPr>
        <w:t xml:space="preserve">he </w:t>
      </w:r>
      <w:r w:rsidR="0010250E" w:rsidRPr="0010250E">
        <w:rPr>
          <w:rStyle w:val="AERbody"/>
        </w:rPr>
        <w:t>Fama-French model was developed to address mis-pricing on low-cap and value stocks.</w:t>
      </w:r>
      <w:r w:rsidR="0010250E" w:rsidRPr="0010250E">
        <w:rPr>
          <w:rStyle w:val="FootnoteReference"/>
        </w:rPr>
        <w:footnoteReference w:id="708"/>
      </w:r>
      <w:r w:rsidR="0010250E" w:rsidRPr="0010250E">
        <w:rPr>
          <w:rStyle w:val="AERbody"/>
        </w:rPr>
        <w:t xml:space="preserve"> </w:t>
      </w:r>
    </w:p>
    <w:p w:rsidR="0010250E" w:rsidRPr="008166A1" w:rsidRDefault="0010250E" w:rsidP="0010250E">
      <w:pPr>
        <w:pStyle w:val="ListParagraph"/>
        <w:numPr>
          <w:ilvl w:val="0"/>
          <w:numId w:val="25"/>
        </w:numPr>
        <w:rPr>
          <w:rStyle w:val="AERtexthighlight"/>
        </w:rPr>
      </w:pPr>
      <w:r w:rsidRPr="008166A1">
        <w:rPr>
          <w:rStyle w:val="AERbody"/>
        </w:rPr>
        <w:t>HoustonKemp submitted that, in examining the performance of a five factor model, Fama and French do not suggest that they consider the three-factor model to provide estimates of the returns required on equities to be inferior to those produced by the S</w:t>
      </w:r>
      <w:r>
        <w:rPr>
          <w:rStyle w:val="AERbody"/>
        </w:rPr>
        <w:t>harpe-Lintner</w:t>
      </w:r>
      <w:r w:rsidRPr="008166A1">
        <w:rPr>
          <w:rStyle w:val="AERbody"/>
        </w:rPr>
        <w:t xml:space="preserve"> CAPM.</w:t>
      </w:r>
      <w:r w:rsidRPr="008166A1">
        <w:rPr>
          <w:rStyle w:val="FootnoteReference"/>
        </w:rPr>
        <w:footnoteReference w:id="709"/>
      </w:r>
      <w:r w:rsidRPr="008166A1">
        <w:rPr>
          <w:rStyle w:val="AERbody"/>
        </w:rPr>
        <w:t xml:space="preserve"> </w:t>
      </w:r>
    </w:p>
    <w:p w:rsidR="0010250E" w:rsidRDefault="0010250E" w:rsidP="0010250E">
      <w:pPr>
        <w:pStyle w:val="ListParagraph"/>
        <w:numPr>
          <w:ilvl w:val="0"/>
          <w:numId w:val="25"/>
        </w:numPr>
      </w:pPr>
      <w:r>
        <w:t xml:space="preserve">We are not satisfied with these arguments. </w:t>
      </w:r>
      <w:r w:rsidRPr="006F34DC">
        <w:t xml:space="preserve">Partington and Satchell's latest report </w:t>
      </w:r>
      <w:r>
        <w:t>also advised against using the Fama-French model:</w:t>
      </w:r>
      <w:r>
        <w:rPr>
          <w:rStyle w:val="FootnoteReference"/>
        </w:rPr>
        <w:footnoteReference w:id="710"/>
      </w:r>
    </w:p>
    <w:p w:rsidR="0010250E" w:rsidRPr="006F34DC" w:rsidRDefault="0010250E" w:rsidP="0010250E">
      <w:pPr>
        <w:pStyle w:val="AERquote"/>
      </w:pPr>
      <w:r w:rsidRPr="006F34DC">
        <w:t>'</w:t>
      </w:r>
      <w:r>
        <w:t xml:space="preserve">one reason why </w:t>
      </w:r>
      <w:r w:rsidRPr="006F34DC">
        <w:t xml:space="preserve">regulators should be wary of the Fama-French approach is that there is considerable possible variation in the ways these factors can be constructed, which is one of the reasons that these factors are favoured by the financial sector; they can be customised. Also, there is no theory attached to such a model; this has the implication that we do not really know if these factors represent risks, alpha opportunities, or behavioural anomalies. By contrast, the CAPM is a simple but self-contained theory of equilibrium pricing; the single factor, the market, is clearly identifiable as a risk factor and this makes it much harder to manipulate once we agree upon the market portfolio and the choice of riskless asset. </w:t>
      </w:r>
    </w:p>
    <w:p w:rsidR="0010250E" w:rsidRPr="001F02B3" w:rsidRDefault="0010250E" w:rsidP="0010250E">
      <w:pPr>
        <w:pStyle w:val="ListParagraph"/>
        <w:numPr>
          <w:ilvl w:val="0"/>
          <w:numId w:val="25"/>
        </w:numPr>
        <w:rPr>
          <w:rStyle w:val="AERbody"/>
        </w:rPr>
      </w:pPr>
      <w:r w:rsidRPr="001F02B3">
        <w:t>Further, Partington and Satchell noted that the Fama-French model is a model that that is still to gain acceptance in the world of practice and is also being increasingly questioned.</w:t>
      </w:r>
      <w:r w:rsidRPr="001F02B3">
        <w:rPr>
          <w:rStyle w:val="FootnoteReference"/>
        </w:rPr>
        <w:footnoteReference w:id="711"/>
      </w:r>
      <w:r w:rsidRPr="001F02B3">
        <w:t>. They advised that the model has not established itself in the role of estimating the cost of capital, it is increasingly being challenged and currently it is in a state of flux with Fama and French having moved on to a new model.</w:t>
      </w:r>
      <w:r w:rsidRPr="001F02B3">
        <w:rPr>
          <w:rStyle w:val="FootnoteReference"/>
        </w:rPr>
        <w:footnoteReference w:id="712"/>
      </w:r>
    </w:p>
    <w:p w:rsidR="0010250E" w:rsidRDefault="0010250E" w:rsidP="0010250E">
      <w:pPr>
        <w:numPr>
          <w:ilvl w:val="0"/>
          <w:numId w:val="25"/>
        </w:numPr>
      </w:pPr>
      <w:r>
        <w:t xml:space="preserve">We have discussed the relative empirical performance of the Sharpe-Lintner CAPM in section </w:t>
      </w:r>
      <w:r>
        <w:fldChar w:fldCharType="begin"/>
      </w:r>
      <w:r>
        <w:instrText xml:space="preserve"> REF _Ref445849366 \r \h </w:instrText>
      </w:r>
      <w:r>
        <w:fldChar w:fldCharType="separate"/>
      </w:r>
      <w:r w:rsidR="003F1AAB">
        <w:t>B.1</w:t>
      </w:r>
      <w:r>
        <w:fldChar w:fldCharType="end"/>
      </w:r>
      <w:r>
        <w:t xml:space="preserve"> above. We set out our response to the other issues in the following sections.</w:t>
      </w:r>
    </w:p>
    <w:p w:rsidR="0010250E" w:rsidRPr="00B4711B" w:rsidRDefault="0010250E" w:rsidP="0010250E">
      <w:pPr>
        <w:pStyle w:val="Heading9"/>
      </w:pPr>
      <w:bookmarkStart w:id="167" w:name="_Toc456686719"/>
      <w:r>
        <w:t>Sensitivity to methodological choices</w:t>
      </w:r>
      <w:bookmarkEnd w:id="167"/>
    </w:p>
    <w:p w:rsidR="0010250E" w:rsidRDefault="0010250E" w:rsidP="0010250E">
      <w:pPr>
        <w:pStyle w:val="AERbulletlistfirststyle"/>
        <w:numPr>
          <w:ilvl w:val="0"/>
          <w:numId w:val="25"/>
        </w:numPr>
      </w:pPr>
      <w:r w:rsidRPr="00EE03E8">
        <w:t xml:space="preserve">There appears to be no consensus, and, indeed, nothing approaching a consensus, on the appropriate factors to use in factor modelling. </w:t>
      </w:r>
      <w:r w:rsidRPr="001562D4">
        <w:t>McKenzie and Partington</w:t>
      </w:r>
      <w:r>
        <w:t xml:space="preserve"> </w:t>
      </w:r>
      <w:r w:rsidRPr="001562D4">
        <w:t>highlight</w:t>
      </w:r>
      <w:r>
        <w:t xml:space="preserve">ed a vast array of models that add further factors to the Fama-French model. They </w:t>
      </w:r>
      <w:r w:rsidRPr="001562D4">
        <w:t>point</w:t>
      </w:r>
      <w:r>
        <w:t>ed to one academic article that used</w:t>
      </w:r>
      <w:r w:rsidRPr="001562D4">
        <w:t xml:space="preserve"> over 50 variables to predict stock returns</w:t>
      </w:r>
      <w:r>
        <w:t>, and another that showed</w:t>
      </w:r>
      <w:r w:rsidRPr="001562D4">
        <w:t xml:space="preserve"> over 330 different predictive return signals.</w:t>
      </w:r>
      <w:r w:rsidRPr="001562D4">
        <w:rPr>
          <w:rStyle w:val="FootnoteReference"/>
        </w:rPr>
        <w:footnoteReference w:id="713"/>
      </w:r>
      <w:r w:rsidRPr="001562D4">
        <w:t xml:space="preserve"> They </w:t>
      </w:r>
      <w:r>
        <w:t>identified</w:t>
      </w:r>
      <w:r w:rsidRPr="001562D4">
        <w:t xml:space="preserve"> </w:t>
      </w:r>
      <w:r>
        <w:t xml:space="preserve">that Fama and French </w:t>
      </w:r>
      <w:r w:rsidRPr="001562D4">
        <w:t>have proposed a five factor version of the model that they claim provides a better description of returns than their original three factor model.</w:t>
      </w:r>
      <w:r w:rsidRPr="001562D4">
        <w:rPr>
          <w:rStyle w:val="FootnoteReference"/>
        </w:rPr>
        <w:footnoteReference w:id="714"/>
      </w:r>
    </w:p>
    <w:p w:rsidR="0010250E" w:rsidRDefault="0010250E" w:rsidP="0010250E">
      <w:pPr>
        <w:numPr>
          <w:ilvl w:val="0"/>
          <w:numId w:val="25"/>
        </w:numPr>
      </w:pPr>
      <w:r>
        <w:t>In addition to the appropriate factors to us in the model, there appears to be no consensus on the methodological choices for constructing the portfolios to proxy the chosen factors.</w:t>
      </w:r>
      <w:r>
        <w:rPr>
          <w:rStyle w:val="FootnoteReference"/>
        </w:rPr>
        <w:footnoteReference w:id="715"/>
      </w:r>
      <w:r>
        <w:t xml:space="preserve"> This lack of consensus on both the relevant factors and methodological choices is likely to increase the sensitivity of the model to such choices, reducing the reliability of the model and increasing the potential for bias and regulatory gaming.</w:t>
      </w:r>
    </w:p>
    <w:p w:rsidR="0010250E" w:rsidRPr="00F17532" w:rsidRDefault="0010250E" w:rsidP="0010250E">
      <w:pPr>
        <w:pStyle w:val="ListParagraph"/>
        <w:numPr>
          <w:ilvl w:val="0"/>
          <w:numId w:val="25"/>
        </w:numPr>
      </w:pPr>
      <w:r w:rsidRPr="00F17532">
        <w:t>Partington and Satchell noted that the Fama-French model can be manipulated through varying the number of factors and their definitions to choose a form that is most favourable to certain arguments.</w:t>
      </w:r>
      <w:r w:rsidRPr="00F17532">
        <w:rPr>
          <w:rStyle w:val="FootnoteReference"/>
        </w:rPr>
        <w:footnoteReference w:id="716"/>
      </w:r>
      <w:r w:rsidRPr="00F17532">
        <w:t xml:space="preserve"> They noted that </w:t>
      </w:r>
      <w:r>
        <w:t xml:space="preserve">two </w:t>
      </w:r>
      <w:r w:rsidRPr="00F17532">
        <w:t>advantage</w:t>
      </w:r>
      <w:r>
        <w:t xml:space="preserve">s </w:t>
      </w:r>
      <w:r w:rsidRPr="00F17532">
        <w:t>of the S</w:t>
      </w:r>
      <w:r>
        <w:t xml:space="preserve">harpe-Lintner </w:t>
      </w:r>
      <w:r w:rsidRPr="00F17532">
        <w:t xml:space="preserve">CAPM </w:t>
      </w:r>
      <w:r>
        <w:t>are its parsimony and greater observability</w:t>
      </w:r>
      <w:r w:rsidRPr="00F17532">
        <w:t xml:space="preserve"> which reduces opportunities for cherry picking and also provides the opportunity for a relatively transparent implementation.</w:t>
      </w:r>
      <w:r w:rsidRPr="00F17532">
        <w:rPr>
          <w:rStyle w:val="FootnoteReference"/>
        </w:rPr>
        <w:footnoteReference w:id="717"/>
      </w:r>
    </w:p>
    <w:p w:rsidR="0010250E" w:rsidRPr="001562D4" w:rsidRDefault="0010250E" w:rsidP="0010250E">
      <w:pPr>
        <w:numPr>
          <w:ilvl w:val="0"/>
          <w:numId w:val="25"/>
        </w:numPr>
      </w:pPr>
      <w:r>
        <w:t>A</w:t>
      </w:r>
      <w:r w:rsidRPr="001562D4">
        <w:t xml:space="preserve"> recent study in the UK by Michou, Mouselli and Stark (2014)</w:t>
      </w:r>
      <w:r>
        <w:t xml:space="preserve"> supports </w:t>
      </w:r>
      <w:r w:rsidRPr="001562D4">
        <w:t>this conclusion.</w:t>
      </w:r>
      <w:r w:rsidRPr="001562D4">
        <w:rPr>
          <w:rStyle w:val="FootnoteReference"/>
        </w:rPr>
        <w:footnoteReference w:id="718"/>
      </w:r>
      <w:r>
        <w:t xml:space="preserve"> </w:t>
      </w:r>
      <w:r w:rsidRPr="001562D4">
        <w:t>A principal conclusion</w:t>
      </w:r>
      <w:r>
        <w:t xml:space="preserve"> of Michou, Mouselli and Stark wa</w:t>
      </w:r>
      <w:r w:rsidRPr="001562D4">
        <w:t xml:space="preserve">s that the results of the </w:t>
      </w:r>
      <w:r>
        <w:t>model</w:t>
      </w:r>
      <w:r w:rsidRPr="001562D4">
        <w:t xml:space="preserve"> are highly sensitive to the methodology chosen, so that ‘factor construction methods can matter in the use of factor models and, as a consequence, factor construction methods need to be considered carefully in empirical settings’.</w:t>
      </w:r>
      <w:r w:rsidRPr="001562D4">
        <w:rPr>
          <w:rStyle w:val="FootnoteReference"/>
        </w:rPr>
        <w:footnoteReference w:id="719"/>
      </w:r>
      <w:r w:rsidRPr="001562D4">
        <w:t xml:space="preserve"> </w:t>
      </w:r>
      <w:r>
        <w:t>T</w:t>
      </w:r>
      <w:r w:rsidRPr="001562D4">
        <w:t>he Australian work of Brailsford, Guant and O'Brien (2012) note</w:t>
      </w:r>
      <w:r>
        <w:t>d that,</w:t>
      </w:r>
      <w:r w:rsidRPr="001562D4">
        <w:t xml:space="preserve"> </w:t>
      </w:r>
      <w:r>
        <w:t>regarding</w:t>
      </w:r>
      <w:r w:rsidRPr="001562D4">
        <w:t xml:space="preserve"> the </w:t>
      </w:r>
      <w:r>
        <w:t>Fama French model's</w:t>
      </w:r>
      <w:r w:rsidRPr="001562D4">
        <w:t xml:space="preserve"> specification choices</w:t>
      </w:r>
      <w:r>
        <w:t>,</w:t>
      </w:r>
      <w:r w:rsidRPr="001562D4">
        <w:t xml:space="preserve"> </w:t>
      </w:r>
      <w:r>
        <w:t>'</w:t>
      </w:r>
      <w:r w:rsidRPr="001562D4">
        <w:t xml:space="preserve">what </w:t>
      </w:r>
      <w:proofErr w:type="gramStart"/>
      <w:r w:rsidRPr="001562D4">
        <w:t>appears to be relatively innocuous choices</w:t>
      </w:r>
      <w:proofErr w:type="gramEnd"/>
      <w:r w:rsidRPr="001562D4">
        <w:t xml:space="preserve"> in portfolio construction can lead to substantially different conclusions</w:t>
      </w:r>
      <w:r>
        <w:t>'</w:t>
      </w:r>
      <w:r w:rsidRPr="001562D4">
        <w:t>.</w:t>
      </w:r>
      <w:r w:rsidRPr="001562D4">
        <w:rPr>
          <w:rStyle w:val="FootnoteReference"/>
        </w:rPr>
        <w:footnoteReference w:id="720"/>
      </w:r>
      <w:r>
        <w:t xml:space="preserve"> In contrast, we have a higher degree of confidence in our Sharpe-Lintner CAPM input parameters and resulting return on equity estimates.</w:t>
      </w:r>
    </w:p>
    <w:p w:rsidR="0010250E" w:rsidRDefault="0010250E" w:rsidP="0010250E">
      <w:pPr>
        <w:pStyle w:val="AERbulletlistfirststyle"/>
        <w:numPr>
          <w:ilvl w:val="0"/>
          <w:numId w:val="25"/>
        </w:numPr>
      </w:pPr>
      <w:r w:rsidRPr="00EE03E8">
        <w:t xml:space="preserve">Given the large range of potential factors used in factor modelling, as well as the contested and technical nature of this emerging body of research, we consider (at this time) factor modelling is </w:t>
      </w:r>
      <w:r>
        <w:t>unlikely to produce suitably reliable and unbiased estimates of the return on equity.</w:t>
      </w:r>
    </w:p>
    <w:p w:rsidR="0010250E" w:rsidRDefault="0010250E" w:rsidP="0010250E">
      <w:pPr>
        <w:pStyle w:val="AERbulletlistfirststyle"/>
        <w:numPr>
          <w:ilvl w:val="0"/>
          <w:numId w:val="25"/>
        </w:numPr>
      </w:pPr>
      <w:r>
        <w:t>SFG did not consider the Fama-French model complex to implement, as it simply required estimating three factors instead of the one factor in the Sharpe-Lintner CAPM.</w:t>
      </w:r>
      <w:r>
        <w:rPr>
          <w:rStyle w:val="FootnoteReference"/>
        </w:rPr>
        <w:footnoteReference w:id="721"/>
      </w:r>
      <w:r>
        <w:t xml:space="preserve"> We do not agree. We consider that there is a much greater degree of consensus among academics and market practitioners on the methods and data sources for estimating the market risk premium and equity beta than there is for estimating the size and value factors in the Fama-French model.</w:t>
      </w:r>
      <w:r>
        <w:rPr>
          <w:rStyle w:val="FootnoteReference"/>
        </w:rPr>
        <w:footnoteReference w:id="722"/>
      </w:r>
      <w:r>
        <w:t xml:space="preserve"> Further, estimating the market risk premium and equity beta in the Sharpe-Lintner CAPM has resulted in a large amount of material being submitted by service providers, consultants and consumer groups.</w:t>
      </w:r>
      <w:r>
        <w:rPr>
          <w:rStyle w:val="FootnoteReference"/>
        </w:rPr>
        <w:footnoteReference w:id="723"/>
      </w:r>
      <w:r>
        <w:t xml:space="preserve"> This material adds a large amount of complexity to the task of estimating a return on equity that contributes to the achievement of the allowed rate of return objective. Given this, we have no reason to consider that estimating two additional premiums and correlation coefficients would not add considerable complexity to our task.</w:t>
      </w:r>
    </w:p>
    <w:p w:rsidR="0010250E" w:rsidRDefault="0010250E" w:rsidP="0010250E">
      <w:pPr>
        <w:numPr>
          <w:ilvl w:val="0"/>
          <w:numId w:val="25"/>
        </w:numPr>
      </w:pPr>
      <w:r>
        <w:t>Regarding sensitivity, SFG and Frontier considered all models requiring parameter estimates are sensitive to those estimates, including the Sharpe-Lintner CAPM.</w:t>
      </w:r>
      <w:r>
        <w:rPr>
          <w:rStyle w:val="FootnoteReference"/>
        </w:rPr>
        <w:footnoteReference w:id="724"/>
      </w:r>
      <w:r>
        <w:t xml:space="preserve"> While we recognise that all models can be sensitive, we are not satisfied that the sensitivity of the Fama-French model is comparable to the Sharpe-Lintner CAPM. </w:t>
      </w:r>
    </w:p>
    <w:p w:rsidR="0010250E" w:rsidRDefault="0010250E" w:rsidP="0010250E">
      <w:pPr>
        <w:numPr>
          <w:ilvl w:val="0"/>
          <w:numId w:val="25"/>
        </w:numPr>
      </w:pPr>
      <w:r>
        <w:t>SFG appears to suggest that the sensitivity arising from the Sharpe-Lintner CAPM is due to the market factor. We have no reason to expect that adding arguably more sensitive factors (the size and value factors) would produce a model with a comparable level of sensitivity. We consider our empirical analysis of equity beta shows that businesses in our comparator set generate a consistent pattern of empirical estimates that is robust across different sample periods and econometric techniques.</w:t>
      </w:r>
      <w:r>
        <w:rPr>
          <w:rStyle w:val="FootnoteReference"/>
        </w:rPr>
        <w:footnoteReference w:id="725"/>
      </w:r>
      <w:r>
        <w:t xml:space="preserve"> We have confidence in our proxy for the risk free rate, which would be the same if we were to apply the Fama-French model.</w:t>
      </w:r>
    </w:p>
    <w:p w:rsidR="0010250E" w:rsidRDefault="0010250E" w:rsidP="0010250E">
      <w:r>
        <w:t>Partington did not agree with SFG's submission that all models are sensitive to different estimation periods and methodologies. He advised:</w:t>
      </w:r>
      <w:r>
        <w:rPr>
          <w:rStyle w:val="FootnoteReference"/>
        </w:rPr>
        <w:footnoteReference w:id="726"/>
      </w:r>
    </w:p>
    <w:p w:rsidR="0010250E" w:rsidRDefault="0010250E" w:rsidP="0010250E">
      <w:pPr>
        <w:pStyle w:val="AERquote"/>
      </w:pPr>
      <w:r w:rsidRPr="00E311F4">
        <w:t>We do not agree with SFG however, that “this applies to all models”</w:t>
      </w:r>
      <w:r>
        <w:t>. We agree that estimated values may vary over data sets, the question is do they vary moderately or do they vary so much as to be considered unstable and/or unreliable? In this context we</w:t>
      </w:r>
      <w:r w:rsidRPr="00E311F4">
        <w:t xml:space="preserve"> note that Henry (2008, 2009, </w:t>
      </w:r>
      <w:proofErr w:type="gramStart"/>
      <w:r w:rsidRPr="00E311F4">
        <w:t>2014</w:t>
      </w:r>
      <w:proofErr w:type="gramEnd"/>
      <w:r w:rsidRPr="00E311F4">
        <w:t xml:space="preserve">) tests for, and finds no evidence of, structural instability in the estimates of the equity beta in the SL-CAPM.  </w:t>
      </w:r>
    </w:p>
    <w:p w:rsidR="0010250E" w:rsidRDefault="0010250E" w:rsidP="0010250E">
      <w:pPr>
        <w:pStyle w:val="AERbulletlistfirststyle"/>
        <w:numPr>
          <w:ilvl w:val="0"/>
          <w:numId w:val="25"/>
        </w:numPr>
      </w:pPr>
      <w:r>
        <w:t xml:space="preserve">NERA submitted that </w:t>
      </w:r>
      <w:r w:rsidRPr="006C4D93">
        <w:t xml:space="preserve">the </w:t>
      </w:r>
      <w:r>
        <w:t>Fama-French model</w:t>
      </w:r>
      <w:r w:rsidRPr="006C4D93">
        <w:t xml:space="preserve"> produces a less precise estimate than the S</w:t>
      </w:r>
      <w:r>
        <w:t>harpe-</w:t>
      </w:r>
      <w:r w:rsidRPr="006C4D93">
        <w:t>L</w:t>
      </w:r>
      <w:r>
        <w:t xml:space="preserve">intner </w:t>
      </w:r>
      <w:r w:rsidRPr="006C4D93">
        <w:t>CAPM, ‘because it requires beta estimates relative to, not one, but three factors’. However, there may be a trade-off between precision (low standard deviation) and bias</w:t>
      </w:r>
      <w:r>
        <w:t xml:space="preserve"> </w:t>
      </w:r>
      <w:r w:rsidRPr="00F025A9">
        <w:t>—</w:t>
      </w:r>
      <w:r>
        <w:t xml:space="preserve"> the Fama-French model should be considered given its relative lack of</w:t>
      </w:r>
      <w:r w:rsidRPr="006C4D93">
        <w:t xml:space="preserve"> </w:t>
      </w:r>
      <w:r>
        <w:t>bias</w:t>
      </w:r>
      <w:r w:rsidRPr="006C4D93">
        <w:t>.</w:t>
      </w:r>
      <w:r>
        <w:rPr>
          <w:rStyle w:val="FootnoteReference"/>
        </w:rPr>
        <w:footnoteReference w:id="727"/>
      </w:r>
      <w:r>
        <w:t xml:space="preserve"> </w:t>
      </w:r>
      <w:r w:rsidRPr="001562D4">
        <w:t>We accept that a more complex model may be preferred over a less complex model where it offers a better estimate. However, w</w:t>
      </w:r>
      <w:r>
        <w:t xml:space="preserve">e do not consider the Fama-French model </w:t>
      </w:r>
      <w:r w:rsidRPr="001562D4">
        <w:t xml:space="preserve">provides a better estimate </w:t>
      </w:r>
      <w:r>
        <w:t>than</w:t>
      </w:r>
      <w:r w:rsidRPr="001562D4">
        <w:t xml:space="preserve"> the S</w:t>
      </w:r>
      <w:r>
        <w:t>harpe-</w:t>
      </w:r>
      <w:r w:rsidRPr="001562D4">
        <w:t>L</w:t>
      </w:r>
      <w:r>
        <w:t xml:space="preserve">intner </w:t>
      </w:r>
      <w:r w:rsidRPr="001562D4">
        <w:t xml:space="preserve">CAPM. </w:t>
      </w:r>
      <w:r>
        <w:t>As noted above, we do not consider that the Fama-French model provides compelling evidence that a book-to-market bias exists in the Sharpe-Lintner CAPM.</w:t>
      </w:r>
      <w:r w:rsidRPr="001562D4">
        <w:t xml:space="preserve"> </w:t>
      </w:r>
    </w:p>
    <w:p w:rsidR="0010250E" w:rsidRPr="006C4D93" w:rsidRDefault="0010250E" w:rsidP="0010250E">
      <w:pPr>
        <w:numPr>
          <w:ilvl w:val="0"/>
          <w:numId w:val="25"/>
        </w:numPr>
      </w:pPr>
      <w:r>
        <w:t>SFG submitted t</w:t>
      </w:r>
      <w:r w:rsidRPr="006C4D93">
        <w:t xml:space="preserve">he variation between </w:t>
      </w:r>
      <w:r>
        <w:t>Fama-French</w:t>
      </w:r>
      <w:r w:rsidRPr="006C4D93">
        <w:t xml:space="preserve"> </w:t>
      </w:r>
      <w:r>
        <w:t xml:space="preserve">model </w:t>
      </w:r>
      <w:r w:rsidRPr="006C4D93">
        <w:t>estimates arises because the studies that produce them are of different quality. We should only consider estimates from the best studies.</w:t>
      </w:r>
      <w:r w:rsidRPr="006C4D93">
        <w:rPr>
          <w:rStyle w:val="FootnoteReference"/>
        </w:rPr>
        <w:footnoteReference w:id="728"/>
      </w:r>
      <w:r>
        <w:t xml:space="preserve"> Further, NERA previously submitted:</w:t>
      </w:r>
      <w:r w:rsidRPr="006C4D93">
        <w:rPr>
          <w:rStyle w:val="FootnoteReference"/>
        </w:rPr>
        <w:footnoteReference w:id="729"/>
      </w:r>
    </w:p>
    <w:p w:rsidR="0010250E" w:rsidRPr="001562D4" w:rsidRDefault="0010250E" w:rsidP="0010250E">
      <w:pPr>
        <w:pStyle w:val="AERquote"/>
      </w:pPr>
      <w:r>
        <w:t>[t]h</w:t>
      </w:r>
      <w:r w:rsidRPr="001562D4">
        <w:t xml:space="preserve">is criticism is puzzling because tests of the null that an unconditional risk premium is constant through time </w:t>
      </w:r>
      <w:r>
        <w:t>typically</w:t>
      </w:r>
      <w:r w:rsidRPr="001562D4">
        <w:t xml:space="preserve"> lack power. In other words, uncovering evidence of instability in risk premiums is generally difficult. This is because re</w:t>
      </w:r>
      <w:r>
        <w:t>alised risk premiums are noisy.</w:t>
      </w:r>
    </w:p>
    <w:p w:rsidR="0010250E" w:rsidRDefault="0010250E" w:rsidP="0010250E">
      <w:r>
        <w:t>We do not consider there are clear objective grounds to distinguish the 'best' studies. McKenzie and Partington supported this view.</w:t>
      </w:r>
      <w:r>
        <w:rPr>
          <w:rStyle w:val="FootnoteReference"/>
        </w:rPr>
        <w:footnoteReference w:id="730"/>
      </w:r>
      <w:r>
        <w:t xml:space="preserve"> </w:t>
      </w:r>
      <w:r w:rsidRPr="001562D4">
        <w:t>While SFG argue</w:t>
      </w:r>
      <w:r>
        <w:t>d</w:t>
      </w:r>
      <w:r w:rsidRPr="001562D4">
        <w:t xml:space="preserve"> </w:t>
      </w:r>
      <w:r>
        <w:t>that one methodology to estimating the Fama-French model i</w:t>
      </w:r>
      <w:r w:rsidRPr="001562D4">
        <w:t xml:space="preserve">s superior to </w:t>
      </w:r>
      <w:r>
        <w:t>other methodologies</w:t>
      </w:r>
      <w:r w:rsidRPr="001562D4">
        <w:t>, we disagree.</w:t>
      </w:r>
      <w:r w:rsidRPr="001562D4">
        <w:rPr>
          <w:rStyle w:val="FootnoteReference"/>
        </w:rPr>
        <w:footnoteReference w:id="731"/>
      </w:r>
      <w:r w:rsidRPr="001562D4">
        <w:t xml:space="preserve"> We consider there is no agreed best methodology. McKenzie and Partington </w:t>
      </w:r>
      <w:r>
        <w:t>supported o</w:t>
      </w:r>
      <w:r w:rsidRPr="001562D4">
        <w:t xml:space="preserve">ur position </w:t>
      </w:r>
      <w:r>
        <w:t>by questioning</w:t>
      </w:r>
      <w:r w:rsidRPr="001562D4">
        <w:t xml:space="preserve"> what the objective criteria to determine the best studies are.</w:t>
      </w:r>
      <w:r w:rsidRPr="001562D4">
        <w:rPr>
          <w:rStyle w:val="FootnoteReference"/>
        </w:rPr>
        <w:footnoteReference w:id="732"/>
      </w:r>
    </w:p>
    <w:p w:rsidR="0010250E" w:rsidRPr="00B4711B" w:rsidRDefault="0010250E" w:rsidP="0010250E">
      <w:pPr>
        <w:pStyle w:val="Heading9"/>
      </w:pPr>
      <w:bookmarkStart w:id="168" w:name="_Ref449010281"/>
      <w:bookmarkStart w:id="169" w:name="_Toc456686720"/>
      <w:r>
        <w:t>Fama-French factors may not reflect ex ante priced risk</w:t>
      </w:r>
      <w:bookmarkEnd w:id="168"/>
      <w:bookmarkEnd w:id="169"/>
    </w:p>
    <w:p w:rsidR="0010250E" w:rsidRDefault="0010250E" w:rsidP="0010250E">
      <w:pPr>
        <w:numPr>
          <w:ilvl w:val="0"/>
          <w:numId w:val="25"/>
        </w:numPr>
      </w:pPr>
      <w:r>
        <w:t>The Fama-French model</w:t>
      </w:r>
      <w:r w:rsidRPr="001562D4">
        <w:t xml:space="preserve"> estimate</w:t>
      </w:r>
      <w:r>
        <w:t>s average returns in the cross-</w:t>
      </w:r>
      <w:r w:rsidRPr="001562D4">
        <w:t>section</w:t>
      </w:r>
      <w:r>
        <w:t xml:space="preserve">. </w:t>
      </w:r>
      <w:r w:rsidRPr="001562D4">
        <w:t xml:space="preserve">McKenzie and Partington </w:t>
      </w:r>
      <w:r>
        <w:t>made</w:t>
      </w:r>
      <w:r w:rsidRPr="001562D4">
        <w:t xml:space="preserve"> the important point that</w:t>
      </w:r>
      <w:r>
        <w:t>,</w:t>
      </w:r>
      <w:r w:rsidRPr="001562D4">
        <w:t xml:space="preserve"> </w:t>
      </w:r>
      <w:r>
        <w:t>"</w:t>
      </w:r>
      <w:r w:rsidRPr="001562D4">
        <w:t xml:space="preserve">the FFM is used to estimate </w:t>
      </w:r>
      <w:r>
        <w:t xml:space="preserve">the </w:t>
      </w:r>
      <w:r w:rsidRPr="001562D4">
        <w:t xml:space="preserve">average return in the cross section </w:t>
      </w:r>
      <w:r>
        <w:t>and</w:t>
      </w:r>
      <w:r w:rsidRPr="001562D4">
        <w:t xml:space="preserve"> the benchmark regulated network service provider is not average given its relatively low economic risk</w:t>
      </w:r>
      <w:r>
        <w:t>"</w:t>
      </w:r>
      <w:r w:rsidRPr="001562D4">
        <w:t>.</w:t>
      </w:r>
      <w:r w:rsidRPr="001562D4">
        <w:rPr>
          <w:rStyle w:val="FootnoteReference"/>
        </w:rPr>
        <w:footnoteReference w:id="733"/>
      </w:r>
    </w:p>
    <w:p w:rsidR="0010250E" w:rsidRDefault="0010250E" w:rsidP="0010250E">
      <w:pPr>
        <w:numPr>
          <w:ilvl w:val="0"/>
          <w:numId w:val="25"/>
        </w:numPr>
      </w:pPr>
      <w:r>
        <w:t>We are not satisfied the Fama-French model is helpful for our regulatory task because:</w:t>
      </w:r>
    </w:p>
    <w:p w:rsidR="0010250E" w:rsidRPr="0010250E" w:rsidRDefault="0010250E" w:rsidP="0010250E">
      <w:pPr>
        <w:pStyle w:val="AERbulletlistfirststyle"/>
      </w:pPr>
      <w:r>
        <w:t xml:space="preserve">We consider that whether </w:t>
      </w:r>
      <w:r w:rsidRPr="0010250E">
        <w:t>factors are priced in the cross-section is unresolved. SFG referred to a number of possible explanations for why the value factor could be genuinely priced in average returns in the cross section.</w:t>
      </w:r>
      <w:r w:rsidRPr="0010250E">
        <w:rPr>
          <w:rStyle w:val="FootnoteReference"/>
        </w:rPr>
        <w:footnoteReference w:id="734"/>
      </w:r>
      <w:r w:rsidRPr="0010250E">
        <w:t xml:space="preserve"> However, none of the possible reasons is commonly accepted.</w:t>
      </w:r>
      <w:r w:rsidRPr="0010250E">
        <w:rPr>
          <w:rStyle w:val="FootnoteReference"/>
        </w:rPr>
        <w:footnoteReference w:id="735"/>
      </w:r>
    </w:p>
    <w:p w:rsidR="0010250E" w:rsidRPr="0010250E" w:rsidRDefault="0010250E" w:rsidP="0010250E">
      <w:pPr>
        <w:pStyle w:val="AERbulletlistfirststyle"/>
      </w:pPr>
      <w:r>
        <w:t>E</w:t>
      </w:r>
      <w:r w:rsidRPr="0010250E">
        <w:t>ven if we accepted that the factors were priced in the cross-section, McKenzie and Partington question the appropriateness of applying average returns in the cross-section to the benchmark efficient entity. Even if factors are priced in the cross-section, this does not necessarily imply that the benchmark efficient entity requires compensation above the level provided for under the Sharpe-Lintner CAPM.</w:t>
      </w:r>
    </w:p>
    <w:p w:rsidR="0010250E" w:rsidRDefault="0010250E" w:rsidP="0010250E">
      <w:r>
        <w:t>Service providers noted our concern</w:t>
      </w:r>
      <w:r w:rsidRPr="00127ECB">
        <w:t xml:space="preserve"> that the </w:t>
      </w:r>
      <w:r>
        <w:t xml:space="preserve">Fama-French model </w:t>
      </w:r>
      <w:r w:rsidRPr="00127ECB">
        <w:t>is not clearly estimating ex ante required</w:t>
      </w:r>
      <w:r>
        <w:t xml:space="preserve"> </w:t>
      </w:r>
      <w:r w:rsidRPr="00127ECB">
        <w:t>returns</w:t>
      </w:r>
      <w:r>
        <w:t xml:space="preserve"> is 'curious'.</w:t>
      </w:r>
      <w:r>
        <w:rPr>
          <w:rStyle w:val="FootnoteReference"/>
        </w:rPr>
        <w:footnoteReference w:id="736"/>
      </w:r>
      <w:r w:rsidRPr="00127ECB">
        <w:t xml:space="preserve"> </w:t>
      </w:r>
      <w:r>
        <w:t xml:space="preserve">Frontier added that </w:t>
      </w:r>
      <w:r w:rsidRPr="00127ECB">
        <w:t xml:space="preserve">the rationale for using the </w:t>
      </w:r>
      <w:r>
        <w:t>Fama-French model</w:t>
      </w:r>
      <w:r w:rsidRPr="00127ECB">
        <w:t xml:space="preserve"> is no</w:t>
      </w:r>
      <w:r>
        <w:t xml:space="preserve"> </w:t>
      </w:r>
      <w:r w:rsidRPr="00127ECB">
        <w:t>different to the rationale for using the S</w:t>
      </w:r>
      <w:r>
        <w:t xml:space="preserve">harpe-Lintner </w:t>
      </w:r>
      <w:r w:rsidRPr="00127ECB">
        <w:t>CAPM or Black CAPM</w:t>
      </w:r>
      <w:r>
        <w:t xml:space="preserve"> - that is, </w:t>
      </w:r>
      <w:r w:rsidRPr="00127ECB">
        <w:t>to explain the cross</w:t>
      </w:r>
      <w:r>
        <w:t>-</w:t>
      </w:r>
      <w:r w:rsidRPr="00127ECB">
        <w:t>section of stock returns, based on explanatory factors</w:t>
      </w:r>
      <w:r>
        <w:t xml:space="preserve"> </w:t>
      </w:r>
      <w:r w:rsidRPr="00127ECB">
        <w:t>that have been observed to correlate with stock returns in the past.</w:t>
      </w:r>
      <w:r>
        <w:t xml:space="preserve"> HoustonKemp also noted that t</w:t>
      </w:r>
      <w:r w:rsidRPr="00291ED2">
        <w:rPr>
          <w:rStyle w:val="AERbody"/>
        </w:rPr>
        <w:t xml:space="preserve">he </w:t>
      </w:r>
      <w:r>
        <w:rPr>
          <w:rStyle w:val="AERbody"/>
        </w:rPr>
        <w:t>Fama-French model</w:t>
      </w:r>
      <w:r w:rsidRPr="00291ED2">
        <w:rPr>
          <w:rStyle w:val="AERbody"/>
        </w:rPr>
        <w:t xml:space="preserve"> was developed to address mis-pricing on low-cap and value stocks.</w:t>
      </w:r>
      <w:r w:rsidRPr="004212BE">
        <w:rPr>
          <w:rStyle w:val="FootnoteReference"/>
        </w:rPr>
        <w:footnoteReference w:id="737"/>
      </w:r>
    </w:p>
    <w:p w:rsidR="0010250E" w:rsidRDefault="0010250E" w:rsidP="0010250E">
      <w:pPr>
        <w:pStyle w:val="ListParagraph"/>
        <w:numPr>
          <w:ilvl w:val="0"/>
          <w:numId w:val="25"/>
        </w:numPr>
      </w:pPr>
      <w:r>
        <w:t xml:space="preserve">We note that service providers and their consultants' </w:t>
      </w:r>
      <w:r w:rsidRPr="00615EDE">
        <w:t xml:space="preserve">criterion for selecting an asset pricing model </w:t>
      </w:r>
      <w:r>
        <w:t xml:space="preserve">appears to be </w:t>
      </w:r>
      <w:r w:rsidRPr="00615EDE">
        <w:t>how well it forecasts subsequent realised returns</w:t>
      </w:r>
      <w:r>
        <w:t xml:space="preserve"> using asset pricing tests</w:t>
      </w:r>
      <w:r w:rsidRPr="00615EDE">
        <w:t>.</w:t>
      </w:r>
      <w:r>
        <w:rPr>
          <w:rStyle w:val="FootnoteReference"/>
        </w:rPr>
        <w:footnoteReference w:id="738"/>
      </w:r>
      <w:r w:rsidRPr="00615EDE">
        <w:t xml:space="preserve"> </w:t>
      </w:r>
      <w:r>
        <w:t>However, Partington and Satchell advised that it is t</w:t>
      </w:r>
      <w:r w:rsidRPr="00265E75">
        <w:t xml:space="preserve">he </w:t>
      </w:r>
      <w:r>
        <w:t>e</w:t>
      </w:r>
      <w:r w:rsidRPr="00265E75">
        <w:t xml:space="preserve">quilibrium expected returns </w:t>
      </w:r>
      <w:r>
        <w:t>that</w:t>
      </w:r>
      <w:r w:rsidRPr="00265E75">
        <w:t xml:space="preserve"> we want to measure when determining the cost of capital.</w:t>
      </w:r>
      <w:r>
        <w:rPr>
          <w:rStyle w:val="FootnoteReference"/>
        </w:rPr>
        <w:footnoteReference w:id="739"/>
      </w:r>
      <w:r>
        <w:t xml:space="preserve"> They added that f</w:t>
      </w:r>
      <w:r w:rsidRPr="00615EDE">
        <w:t>orecasting stock returns and determining equilibrium expected returns (asset pricing) are two different tasks.</w:t>
      </w:r>
      <w:r>
        <w:rPr>
          <w:rStyle w:val="FootnoteReference"/>
        </w:rPr>
        <w:footnoteReference w:id="740"/>
      </w:r>
      <w:r w:rsidRPr="00615EDE">
        <w:t xml:space="preserve"> </w:t>
      </w:r>
    </w:p>
    <w:p w:rsidR="0010250E" w:rsidRDefault="0010250E" w:rsidP="0010250E">
      <w:pPr>
        <w:pStyle w:val="ListParagraph"/>
        <w:numPr>
          <w:ilvl w:val="0"/>
          <w:numId w:val="25"/>
        </w:numPr>
      </w:pPr>
      <w:r>
        <w:t xml:space="preserve">We also note that the results of asset pricing tests such as those by Kan, Robotti and Shanken </w:t>
      </w:r>
      <w:r w:rsidRPr="00615EDE">
        <w:t>depend upon the characteristics used in sorting stocks into portfolios</w:t>
      </w:r>
      <w:r>
        <w:t xml:space="preserve"> when undertaking asset pricing tests</w:t>
      </w:r>
      <w:r w:rsidRPr="00615EDE">
        <w:t>.</w:t>
      </w:r>
      <w:r>
        <w:rPr>
          <w:rStyle w:val="FootnoteReference"/>
        </w:rPr>
        <w:footnoteReference w:id="741"/>
      </w:r>
      <w:r w:rsidRPr="00615EDE">
        <w:t xml:space="preserve"> </w:t>
      </w:r>
      <w:r>
        <w:t>Partington and Satchell</w:t>
      </w:r>
      <w:r w:rsidRPr="00615EDE">
        <w:t xml:space="preserve"> </w:t>
      </w:r>
      <w:r>
        <w:t xml:space="preserve">noted that in </w:t>
      </w:r>
      <w:r w:rsidRPr="00615EDE">
        <w:t>multiple model comparisons</w:t>
      </w:r>
      <w:r>
        <w:t>,</w:t>
      </w:r>
      <w:r w:rsidRPr="00615EDE">
        <w:t xml:space="preserve"> the </w:t>
      </w:r>
      <w:r>
        <w:t>Fama-French</w:t>
      </w:r>
      <w:r w:rsidRPr="00615EDE">
        <w:t xml:space="preserve"> model is rejected in tests using portfolios sorted </w:t>
      </w:r>
      <w:r>
        <w:t xml:space="preserve">by </w:t>
      </w:r>
      <w:r w:rsidRPr="00615EDE">
        <w:t xml:space="preserve">size and beta. </w:t>
      </w:r>
    </w:p>
    <w:p w:rsidR="0010250E" w:rsidRDefault="0010250E" w:rsidP="0010250E">
      <w:pPr>
        <w:pStyle w:val="Heading8"/>
      </w:pPr>
      <w:bookmarkStart w:id="170" w:name="_Ref449007421"/>
      <w:bookmarkStart w:id="171" w:name="_Toc451943789"/>
      <w:bookmarkStart w:id="172" w:name="_Toc456686721"/>
      <w:r>
        <w:t>Dividend growth model</w:t>
      </w:r>
      <w:bookmarkEnd w:id="170"/>
      <w:bookmarkEnd w:id="171"/>
      <w:bookmarkEnd w:id="172"/>
    </w:p>
    <w:p w:rsidR="0010250E" w:rsidRDefault="0010250E" w:rsidP="0010250E">
      <w:pPr>
        <w:numPr>
          <w:ilvl w:val="0"/>
          <w:numId w:val="25"/>
        </w:numPr>
      </w:pPr>
      <w:r>
        <w:t xml:space="preserve">Dividend growth models </w:t>
      </w:r>
      <w:r w:rsidRPr="00C8159B">
        <w:t>use forecast</w:t>
      </w:r>
      <w:r>
        <w:t>s of a business'</w:t>
      </w:r>
      <w:r w:rsidRPr="00C8159B">
        <w:t xml:space="preserve"> dividends to derive the return on equity by making the assumption that the present value of these dividends is equal to the business' market value of equity. </w:t>
      </w:r>
      <w:r>
        <w:t xml:space="preserve">Dividend growth models may come in many different forms. Our preferred construction of the dividend growth model is set out in section </w:t>
      </w:r>
      <w:r>
        <w:fldChar w:fldCharType="begin"/>
      </w:r>
      <w:r>
        <w:instrText xml:space="preserve"> REF _Ref448787515 \r \h </w:instrText>
      </w:r>
      <w:r>
        <w:fldChar w:fldCharType="separate"/>
      </w:r>
      <w:r w:rsidR="003F1AAB">
        <w:t>D.3</w:t>
      </w:r>
      <w:r>
        <w:fldChar w:fldCharType="end"/>
      </w:r>
      <w:r>
        <w:t xml:space="preserve">. Dividend growth models typically require forecasts of dividends for a defined future period, and a rate at which dividends are forecast to grow in the long-term after the forecast period has ended. </w:t>
      </w:r>
    </w:p>
    <w:p w:rsidR="0010250E" w:rsidRPr="00957F0D" w:rsidRDefault="0010250E" w:rsidP="0010250E">
      <w:pPr>
        <w:numPr>
          <w:ilvl w:val="0"/>
          <w:numId w:val="25"/>
        </w:numPr>
      </w:pPr>
      <w:r w:rsidRPr="00957F0D">
        <w:t xml:space="preserve">We consider the point estimates of the </w:t>
      </w:r>
      <w:r>
        <w:t>return on equity</w:t>
      </w:r>
      <w:r w:rsidRPr="00957F0D">
        <w:t xml:space="preserve"> from </w:t>
      </w:r>
      <w:r>
        <w:t>dividend growth models</w:t>
      </w:r>
      <w:r w:rsidRPr="00957F0D">
        <w:t xml:space="preserve"> are currently </w:t>
      </w:r>
      <w:r>
        <w:t>unsuitable for:</w:t>
      </w:r>
    </w:p>
    <w:p w:rsidR="0010250E" w:rsidRPr="0010250E" w:rsidRDefault="0010250E" w:rsidP="0010250E">
      <w:pPr>
        <w:pStyle w:val="AERbulletlistfirststyle"/>
      </w:pPr>
      <w:r>
        <w:t>e</w:t>
      </w:r>
      <w:r w:rsidRPr="0010250E">
        <w:t>stimating the return on equity for the benchmark efficient entity</w:t>
      </w:r>
    </w:p>
    <w:p w:rsidR="0010250E" w:rsidRPr="0010250E" w:rsidRDefault="0010250E" w:rsidP="0010250E">
      <w:pPr>
        <w:pStyle w:val="AERbulletlistfirststyle"/>
      </w:pPr>
      <w:proofErr w:type="gramStart"/>
      <w:r>
        <w:t>p</w:t>
      </w:r>
      <w:r w:rsidRPr="0010250E">
        <w:t>erforming</w:t>
      </w:r>
      <w:proofErr w:type="gramEnd"/>
      <w:r w:rsidRPr="0010250E">
        <w:t xml:space="preserve"> a cross check on whether other models (including the Sharpe-Lintner CAPM) are producing reasonable estimates of the return on equity.</w:t>
      </w:r>
    </w:p>
    <w:p w:rsidR="0010250E" w:rsidRPr="00957F0D" w:rsidRDefault="0010250E" w:rsidP="0010250E">
      <w:pPr>
        <w:numPr>
          <w:ilvl w:val="0"/>
          <w:numId w:val="25"/>
        </w:numPr>
      </w:pPr>
      <w:r>
        <w:t>Our</w:t>
      </w:r>
      <w:r w:rsidRPr="00957F0D">
        <w:t xml:space="preserve"> reasons for </w:t>
      </w:r>
      <w:r>
        <w:t>this position</w:t>
      </w:r>
      <w:r w:rsidRPr="00957F0D">
        <w:t xml:space="preserve"> are:</w:t>
      </w:r>
    </w:p>
    <w:p w:rsidR="0010250E" w:rsidRPr="0010250E" w:rsidRDefault="0010250E" w:rsidP="0010250E">
      <w:pPr>
        <w:pStyle w:val="AERbulletlistfirststyle"/>
      </w:pPr>
      <w:r>
        <w:t>T</w:t>
      </w:r>
      <w:r w:rsidRPr="0010250E">
        <w:t>here is insufficient data on dividend forecasts to form robust estimates of the required return on equity for Australian energy network service providers.</w:t>
      </w:r>
      <w:r w:rsidRPr="0010250E">
        <w:rPr>
          <w:rStyle w:val="FootnoteReference"/>
        </w:rPr>
        <w:footnoteReference w:id="742"/>
      </w:r>
      <w:r w:rsidRPr="0010250E">
        <w:t xml:space="preserve"> As such, there are practical difficulties in constructing credible datasets for implementing industry specific dividend growth models.</w:t>
      </w:r>
      <w:r w:rsidRPr="0010250E">
        <w:rPr>
          <w:rStyle w:val="FootnoteReference"/>
        </w:rPr>
        <w:footnoteReference w:id="743"/>
      </w:r>
      <w:r w:rsidRPr="0010250E">
        <w:t xml:space="preserve"> Also, there are too few Australian businesses to estimate dividend growth models on an individual business level.</w:t>
      </w:r>
      <w:r w:rsidRPr="0010250E">
        <w:rPr>
          <w:rStyle w:val="FootnoteReference"/>
        </w:rPr>
        <w:footnoteReference w:id="744"/>
      </w:r>
      <w:r w:rsidRPr="0010250E">
        <w:t xml:space="preserve"> However, a sufficiently robust data series exists for dividend yields for the Australian market as a whole.</w:t>
      </w:r>
    </w:p>
    <w:p w:rsidR="0010250E" w:rsidRPr="0010250E" w:rsidRDefault="0010250E" w:rsidP="0010250E">
      <w:pPr>
        <w:pStyle w:val="AERbulletlistfirststyle"/>
      </w:pPr>
      <w:r>
        <w:t>We do not consider that</w:t>
      </w:r>
      <w:r w:rsidRPr="0010250E">
        <w:t xml:space="preserve"> there is a sufficiently robust method for estimating the long-term dividend growth rate</w:t>
      </w:r>
      <w:r w:rsidRPr="0010250E">
        <w:rPr>
          <w:rStyle w:val="CommentReference"/>
        </w:rPr>
        <w:t xml:space="preserve"> </w:t>
      </w:r>
      <w:r w:rsidRPr="0010250E">
        <w:t>for Australian energy network service providers.</w:t>
      </w:r>
      <w:r w:rsidRPr="0010250E">
        <w:rPr>
          <w:rStyle w:val="FootnoteReference"/>
        </w:rPr>
        <w:footnoteReference w:id="745"/>
      </w:r>
      <w:r w:rsidRPr="0010250E">
        <w:t xml:space="preserve"> However, there are developed methods for estimating the long-term growth rate of dividends for the Australian market as a whole.</w:t>
      </w:r>
      <w:r w:rsidRPr="0010250E">
        <w:rPr>
          <w:rStyle w:val="FootnoteReference"/>
        </w:rPr>
        <w:footnoteReference w:id="746"/>
      </w:r>
      <w:r w:rsidRPr="0010250E">
        <w:t xml:space="preserve"> </w:t>
      </w:r>
    </w:p>
    <w:p w:rsidR="0010250E" w:rsidRPr="0010250E" w:rsidRDefault="0010250E" w:rsidP="0010250E">
      <w:pPr>
        <w:pStyle w:val="AERbulletlistfirststyle"/>
      </w:pPr>
      <w:r>
        <w:t>Dividend growth models</w:t>
      </w:r>
      <w:r w:rsidRPr="0010250E">
        <w:t xml:space="preserve"> can have limited robustness given they are highly sensitive to input assumptions regarding short and long-term dividend growth rates. This makes the models highly sensitive to potential errors in inputs. Further, dividend growth models may generate counter-intuitive results. For example, we have observed that, over</w:t>
      </w:r>
      <w:r w:rsidRPr="0010250E">
        <w:rPr>
          <w:rStyle w:val="CommentReference"/>
        </w:rPr>
        <w:t xml:space="preserve"> </w:t>
      </w:r>
      <w:r w:rsidRPr="0010250E">
        <w:t>extended periods of time, dividend growth models generated significantly higher average returns on equity for Australian energy network businesses than for the Australian market as a whole. We consider this fails a sanity test as the systematic risk of network businesses is likely less than the overall market.</w:t>
      </w:r>
      <w:r w:rsidRPr="0010250E">
        <w:rPr>
          <w:rStyle w:val="FootnoteReference"/>
        </w:rPr>
        <w:footnoteReference w:id="747"/>
      </w:r>
    </w:p>
    <w:p w:rsidR="0010250E" w:rsidRPr="0010250E" w:rsidRDefault="0010250E" w:rsidP="0010250E">
      <w:pPr>
        <w:pStyle w:val="AERbulletlistfirststyle"/>
      </w:pPr>
      <w:r>
        <w:t>Dividend growth model estimates may be upwardly biased due to:</w:t>
      </w:r>
    </w:p>
    <w:p w:rsidR="0010250E" w:rsidRDefault="0010250E" w:rsidP="0010250E">
      <w:pPr>
        <w:pStyle w:val="AERbulletlistsecondstyle"/>
      </w:pPr>
      <w:r>
        <w:t>The well-understood upwards bias in a</w:t>
      </w:r>
      <w:r w:rsidRPr="00B4711B">
        <w:t>nalyst forecasts</w:t>
      </w:r>
      <w:r>
        <w:t>.</w:t>
      </w:r>
      <w:r w:rsidRPr="00B4711B">
        <w:rPr>
          <w:rStyle w:val="FootnoteReference"/>
        </w:rPr>
        <w:footnoteReference w:id="748"/>
      </w:r>
    </w:p>
    <w:p w:rsidR="0010250E" w:rsidRDefault="0010250E" w:rsidP="0010250E">
      <w:pPr>
        <w:pStyle w:val="AERbulletlistsecondstyle"/>
      </w:pPr>
      <w:r>
        <w:t>Slow-changing dividends, which is</w:t>
      </w:r>
      <w:r w:rsidRPr="0065391F">
        <w:t xml:space="preserve"> </w:t>
      </w:r>
      <w:r>
        <w:t xml:space="preserve">a </w:t>
      </w:r>
      <w:r w:rsidRPr="0065391F">
        <w:t>well-understood phenomenon in financial theory and empirical</w:t>
      </w:r>
      <w:r>
        <w:t>ly supported by survey evidence</w:t>
      </w:r>
      <w:r w:rsidRPr="0065391F">
        <w:t>.</w:t>
      </w:r>
      <w:r w:rsidRPr="0065391F">
        <w:rPr>
          <w:rStyle w:val="FootnoteReference"/>
        </w:rPr>
        <w:footnoteReference w:id="749"/>
      </w:r>
      <w:r w:rsidRPr="00832CA6">
        <w:t xml:space="preserve"> </w:t>
      </w:r>
      <w:r>
        <w:t>T</w:t>
      </w:r>
      <w:r w:rsidRPr="0065391F">
        <w:t>here is likely to be an asymmetry in the effects because of a greater reluctance to cut dividends than increase dividends.</w:t>
      </w:r>
      <w:r w:rsidRPr="0065391F">
        <w:rPr>
          <w:rStyle w:val="FootnoteReference"/>
        </w:rPr>
        <w:footnoteReference w:id="750"/>
      </w:r>
    </w:p>
    <w:p w:rsidR="0010250E" w:rsidRDefault="0010250E" w:rsidP="0010250E">
      <w:pPr>
        <w:pStyle w:val="AERbulletlistsecondstyle"/>
      </w:pPr>
      <w:r w:rsidRPr="0065391F">
        <w:rPr>
          <w:rStyle w:val="AERbody"/>
        </w:rPr>
        <w:t xml:space="preserve">The currently relatively low </w:t>
      </w:r>
      <w:r>
        <w:rPr>
          <w:rStyle w:val="AERbody"/>
        </w:rPr>
        <w:t>risk free rate</w:t>
      </w:r>
      <w:r w:rsidRPr="0065391F">
        <w:rPr>
          <w:rStyle w:val="AERbody"/>
        </w:rPr>
        <w:t>.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751"/>
      </w:r>
      <w:r w:rsidRPr="0065391F">
        <w:rPr>
          <w:rStyle w:val="AERbody"/>
        </w:rPr>
        <w:t xml:space="preserve"> </w:t>
      </w:r>
    </w:p>
    <w:p w:rsidR="0010250E" w:rsidRPr="00B4711B" w:rsidRDefault="0010250E" w:rsidP="0010250E">
      <w:pPr>
        <w:pStyle w:val="AERbulletlistsecondstyle"/>
      </w:pPr>
      <w:r>
        <w:t xml:space="preserve">Financing arrangements. </w:t>
      </w:r>
      <w:r w:rsidRPr="0065391F">
        <w:rPr>
          <w:rStyle w:val="AERbody"/>
        </w:rPr>
        <w:t>Where there is significant financing of dividends and/or where substantial investment demand for funds is anticipated, there is a risk that dividend growth will slow or even turn negative for a period. This is likely to result in the model produc</w:t>
      </w:r>
      <w:r>
        <w:rPr>
          <w:rStyle w:val="AERbody"/>
        </w:rPr>
        <w:t>ing upwardly biased estimates</w:t>
      </w:r>
      <w:r w:rsidRPr="0065391F">
        <w:rPr>
          <w:rStyle w:val="AERbody"/>
        </w:rPr>
        <w:t>.</w:t>
      </w:r>
      <w:r>
        <w:rPr>
          <w:rStyle w:val="FootnoteReference"/>
        </w:rPr>
        <w:footnoteReference w:id="752"/>
      </w:r>
    </w:p>
    <w:p w:rsidR="0010250E" w:rsidRPr="002F6B48" w:rsidRDefault="0010250E" w:rsidP="0010250E">
      <w:pPr>
        <w:rPr>
          <w:rStyle w:val="AERbody"/>
        </w:rPr>
      </w:pPr>
      <w:r w:rsidRPr="002F6B48">
        <w:rPr>
          <w:rStyle w:val="AERbody"/>
        </w:rPr>
        <w:t xml:space="preserve">The first two concerns </w:t>
      </w:r>
      <w:r>
        <w:rPr>
          <w:rStyle w:val="AERbody"/>
        </w:rPr>
        <w:t xml:space="preserve">listed above </w:t>
      </w:r>
      <w:r w:rsidRPr="002F6B48">
        <w:rPr>
          <w:rStyle w:val="AERbody"/>
        </w:rPr>
        <w:t xml:space="preserve">are not relevant when using the dividend growth model to estimate the market risk premium. </w:t>
      </w:r>
      <w:r>
        <w:rPr>
          <w:rStyle w:val="AERbody"/>
        </w:rPr>
        <w:t>We therefore consider that dividend growth model estimates may be more useful for informing our estimate of the market risk premium. However,</w:t>
      </w:r>
      <w:r w:rsidRPr="002F6B48">
        <w:rPr>
          <w:rStyle w:val="AERbody"/>
        </w:rPr>
        <w:t xml:space="preserve"> </w:t>
      </w:r>
      <w:r>
        <w:rPr>
          <w:rStyle w:val="AERbody"/>
        </w:rPr>
        <w:t xml:space="preserve">in doing so, we note that </w:t>
      </w:r>
      <w:r w:rsidRPr="002F6B48">
        <w:rPr>
          <w:rStyle w:val="AERbody"/>
        </w:rPr>
        <w:t xml:space="preserve">the other limitations </w:t>
      </w:r>
      <w:r>
        <w:rPr>
          <w:rStyle w:val="AERbody"/>
        </w:rPr>
        <w:t xml:space="preserve">set out above </w:t>
      </w:r>
      <w:r w:rsidRPr="002F6B48">
        <w:rPr>
          <w:rStyle w:val="AERbody"/>
        </w:rPr>
        <w:t xml:space="preserve">are likely to </w:t>
      </w:r>
      <w:r>
        <w:rPr>
          <w:rStyle w:val="AERbody"/>
        </w:rPr>
        <w:t>remain relevant</w:t>
      </w:r>
      <w:r w:rsidRPr="002F6B48">
        <w:rPr>
          <w:rStyle w:val="AERbody"/>
        </w:rPr>
        <w:t>. For these reasons, we place only limited reliance on dividend growth model estimates of market risk premium.</w:t>
      </w:r>
    </w:p>
    <w:p w:rsidR="0010250E" w:rsidRDefault="0010250E" w:rsidP="0010250E">
      <w:r w:rsidRPr="00767D37">
        <w:t xml:space="preserve">We note much of the material provided by service providers was considered in </w:t>
      </w:r>
      <w:r>
        <w:t>our</w:t>
      </w:r>
      <w:r w:rsidRPr="00690E38">
        <w:t xml:space="preserve"> April and June 2015 decisions and reviewed by McKenzie, Partington, and Satchell</w:t>
      </w:r>
      <w:r>
        <w:t xml:space="preserve"> (Partington and Satchell maintained the positions set out by McKenzie and Partington)</w:t>
      </w:r>
      <w:r w:rsidRPr="00690E38">
        <w:t>.</w:t>
      </w:r>
      <w:r w:rsidRPr="00690E38">
        <w:rPr>
          <w:rStyle w:val="FootnoteReference"/>
        </w:rPr>
        <w:footnoteReference w:id="753"/>
      </w:r>
      <w:r w:rsidRPr="00690E38">
        <w:t xml:space="preserve"> Having reviewed all this material, McKenzie and Partington supported our decision to not use the dividend growth model to directly estimate the return on equity on the benchmark efficient entity. They also supported limiting the use of the dividend growth model to informing the estimate of the market risk premium.</w:t>
      </w:r>
      <w:r w:rsidRPr="00690E38">
        <w:rPr>
          <w:rStyle w:val="FootnoteReference"/>
        </w:rPr>
        <w:footnoteReference w:id="754"/>
      </w:r>
      <w:r w:rsidRPr="00690E38">
        <w:t xml:space="preserve"> However, they raised </w:t>
      </w:r>
      <w:r>
        <w:t xml:space="preserve">the </w:t>
      </w:r>
      <w:r w:rsidRPr="00690E38">
        <w:t>concerns around the reliability of dividend growth model</w:t>
      </w:r>
      <w:r>
        <w:t xml:space="preserve"> that we have outlined above</w:t>
      </w:r>
      <w:r w:rsidRPr="00690E38">
        <w:t>.</w:t>
      </w:r>
      <w:r w:rsidRPr="00690E38">
        <w:rPr>
          <w:rStyle w:val="FootnoteReference"/>
        </w:rPr>
        <w:footnoteReference w:id="755"/>
      </w:r>
      <w:r w:rsidRPr="00690E38">
        <w:t xml:space="preserve"> While we use the dividend growth model to inform the estimate of the market risk premium, we also take these concerns into account.</w:t>
      </w:r>
    </w:p>
    <w:p w:rsidR="0010250E" w:rsidRPr="00957F0D" w:rsidRDefault="0010250E" w:rsidP="0010250E">
      <w:pPr>
        <w:numPr>
          <w:ilvl w:val="0"/>
          <w:numId w:val="25"/>
        </w:numPr>
      </w:pPr>
      <w:r>
        <w:t>Handley also reviewed</w:t>
      </w:r>
      <w:r w:rsidRPr="00957F0D">
        <w:t xml:space="preserve"> sub</w:t>
      </w:r>
      <w:r>
        <w:t>missions on the dividend growth model and stated that</w:t>
      </w:r>
      <w:r w:rsidRPr="00957F0D">
        <w:t xml:space="preserve"> </w:t>
      </w:r>
      <w:r>
        <w:t>the model</w:t>
      </w:r>
      <w:r w:rsidRPr="00957F0D">
        <w:t xml:space="preserve"> </w:t>
      </w:r>
      <w:r>
        <w:t xml:space="preserve">involves estimating an unobservable expected </w:t>
      </w:r>
      <w:r w:rsidRPr="00957F0D">
        <w:t>growth rate:</w:t>
      </w:r>
      <w:r w:rsidRPr="00957F0D">
        <w:rPr>
          <w:rStyle w:val="FootnoteReference"/>
        </w:rPr>
        <w:footnoteReference w:id="756"/>
      </w:r>
    </w:p>
    <w:p w:rsidR="0010250E" w:rsidRPr="00957F0D" w:rsidRDefault="0010250E" w:rsidP="0010250E">
      <w:pPr>
        <w:pStyle w:val="AERquote"/>
      </w:pPr>
      <w:r w:rsidRPr="00957F0D">
        <w:t xml:space="preserve">Notwithstanding the solid DCF [discounted cash flow] foundation upon which it is based, DGMs are not a panacea for the challenges associated with using an asset pricing model to estimate the return on equity. Arguably DGMs simply transfer the uncertainty and difficulties in estimating the parameters in an asset pricing model to uncertainty and difficulties in estimating the expected future dividend stream and in particular in estimating </w:t>
      </w:r>
      <w:r>
        <w:t>the expected</w:t>
      </w:r>
      <w:r w:rsidRPr="00957F0D">
        <w:t xml:space="preserve"> growth rate in dividends</w:t>
      </w:r>
    </w:p>
    <w:p w:rsidR="0010250E" w:rsidRPr="00957F0D" w:rsidRDefault="0010250E" w:rsidP="0010250E">
      <w:pPr>
        <w:numPr>
          <w:ilvl w:val="0"/>
          <w:numId w:val="25"/>
        </w:numPr>
      </w:pPr>
      <w:r>
        <w:t>Handley showed that the</w:t>
      </w:r>
      <w:r w:rsidRPr="00957F0D">
        <w:t xml:space="preserve"> </w:t>
      </w:r>
      <w:r>
        <w:t>return on equity estimated using a constant-</w:t>
      </w:r>
      <w:r w:rsidRPr="00957F0D">
        <w:t>growth</w:t>
      </w:r>
      <w:r>
        <w:t xml:space="preserve"> version of the dividend growth model</w:t>
      </w:r>
      <w:r w:rsidRPr="00957F0D">
        <w:t xml:space="preserve"> </w:t>
      </w:r>
      <w:r>
        <w:t>simply equalled</w:t>
      </w:r>
      <w:r w:rsidRPr="00957F0D">
        <w:t xml:space="preserve"> the expected dividend yield next period plus the growth rate.</w:t>
      </w:r>
      <w:r>
        <w:rPr>
          <w:rStyle w:val="FootnoteReference"/>
        </w:rPr>
        <w:footnoteReference w:id="757"/>
      </w:r>
      <w:r>
        <w:t xml:space="preserve"> Handley then stated that he considered</w:t>
      </w:r>
      <w:r w:rsidRPr="00957F0D">
        <w:t xml:space="preserve"> it unclear</w:t>
      </w:r>
      <w:r>
        <w:t xml:space="preserve"> whether</w:t>
      </w:r>
      <w:r w:rsidRPr="00957F0D">
        <w:t xml:space="preserve"> the </w:t>
      </w:r>
      <w:r>
        <w:t>return on equity</w:t>
      </w:r>
      <w:r w:rsidRPr="00957F0D">
        <w:t xml:space="preserve"> estimates from two and three stage models </w:t>
      </w:r>
      <w:r>
        <w:t>would be</w:t>
      </w:r>
      <w:r w:rsidRPr="00957F0D">
        <w:t xml:space="preserve"> any more meaningful.</w:t>
      </w:r>
      <w:r w:rsidRPr="00957F0D">
        <w:rPr>
          <w:rStyle w:val="FootnoteReference"/>
        </w:rPr>
        <w:footnoteReference w:id="758"/>
      </w:r>
    </w:p>
    <w:p w:rsidR="0010250E" w:rsidRPr="00045ECA" w:rsidRDefault="0010250E" w:rsidP="0010250E">
      <w:pPr>
        <w:pStyle w:val="ListParagraph"/>
        <w:numPr>
          <w:ilvl w:val="0"/>
          <w:numId w:val="25"/>
        </w:numPr>
      </w:pPr>
      <w:r w:rsidRPr="00045ECA">
        <w:t>Malko submitted that the wide acceptance of dividend growth models in the US demonstrates that this model is sufficiently robust to be useful in economic regulatory decision making.</w:t>
      </w:r>
      <w:r w:rsidRPr="00045ECA">
        <w:rPr>
          <w:rStyle w:val="FootnoteReference"/>
        </w:rPr>
        <w:footnoteReference w:id="759"/>
      </w:r>
      <w:r w:rsidRPr="00045ECA">
        <w:t xml:space="preserve"> However, we note Malko's admission that current corporate and academic practices are less supportive of the use of dividend growth models alone in estimating a rate of return and consider that other information should also inform the decision'.</w:t>
      </w:r>
      <w:r w:rsidRPr="00045ECA">
        <w:rPr>
          <w:rStyle w:val="FootnoteReference"/>
        </w:rPr>
        <w:footnoteReference w:id="760"/>
      </w:r>
      <w:r w:rsidRPr="00045ECA">
        <w:t xml:space="preserve"> </w:t>
      </w:r>
    </w:p>
    <w:p w:rsidR="0010250E" w:rsidRDefault="0010250E" w:rsidP="0010250E">
      <w:pPr>
        <w:numPr>
          <w:ilvl w:val="0"/>
          <w:numId w:val="25"/>
        </w:numPr>
      </w:pPr>
      <w:r>
        <w:t>Service providers have not provided any substantively new evidence to alleviate our concerns that the dividend growth model cannot reliably estimate return on equity for individual firms or sectors.</w:t>
      </w:r>
      <w:r>
        <w:rPr>
          <w:rStyle w:val="FootnoteReference"/>
        </w:rPr>
        <w:footnoteReference w:id="761"/>
      </w:r>
      <w:r>
        <w:t xml:space="preserve"> Services providers have also not provided compelling evidence that dividend growth model estimates of market risk premium are not upwardly biased. </w:t>
      </w:r>
    </w:p>
    <w:p w:rsidR="0010250E" w:rsidRPr="004D7F0F" w:rsidRDefault="0010250E" w:rsidP="0010250E">
      <w:pPr>
        <w:pStyle w:val="ListParagraph"/>
        <w:numPr>
          <w:ilvl w:val="0"/>
          <w:numId w:val="25"/>
        </w:numPr>
      </w:pPr>
      <w:r w:rsidRPr="004D7F0F">
        <w:t xml:space="preserve">We consider that dividend growth models are likely to be biased in the current market, due to concerns about slow-changing dividend forecasts, bias in analysts' forecasts, and to the extent that there is a term structure for the return on equity. Our consultant, Partington and Satchell, also share </w:t>
      </w:r>
      <w:r>
        <w:t>our</w:t>
      </w:r>
      <w:r w:rsidRPr="004D7F0F">
        <w:t xml:space="preserve"> concerns on these issues.</w:t>
      </w:r>
      <w:r w:rsidRPr="004D7F0F">
        <w:rPr>
          <w:rStyle w:val="FootnoteReference"/>
        </w:rPr>
        <w:footnoteReference w:id="762"/>
      </w:r>
    </w:p>
    <w:p w:rsidR="0010250E" w:rsidRDefault="0010250E" w:rsidP="0010250E">
      <w:pPr>
        <w:numPr>
          <w:ilvl w:val="0"/>
          <w:numId w:val="25"/>
        </w:numPr>
      </w:pPr>
      <w:r>
        <w:t xml:space="preserve">Our response to submissions on bias in the dividend growth model is set out in section </w:t>
      </w:r>
      <w:r>
        <w:fldChar w:fldCharType="begin"/>
      </w:r>
      <w:r>
        <w:instrText xml:space="preserve"> REF _Ref446260197 \r \h </w:instrText>
      </w:r>
      <w:r>
        <w:fldChar w:fldCharType="separate"/>
      </w:r>
      <w:r w:rsidR="003F1AAB">
        <w:t>D.4</w:t>
      </w:r>
      <w:r>
        <w:fldChar w:fldCharType="end"/>
      </w:r>
      <w:r>
        <w:t>.</w:t>
      </w:r>
    </w:p>
    <w:p w:rsidR="0010250E" w:rsidRPr="00C61D42" w:rsidRDefault="0010250E" w:rsidP="0010250E">
      <w:r>
        <w:t>Service providers also supported SFG's construction of the dividend growth model and approach to using the model to estimate return on equity.</w:t>
      </w:r>
      <w:r w:rsidRPr="001C657E">
        <w:rPr>
          <w:rStyle w:val="FootnoteReference"/>
        </w:rPr>
        <w:t xml:space="preserve"> </w:t>
      </w:r>
      <w:r>
        <w:rPr>
          <w:rStyle w:val="FootnoteReference"/>
        </w:rPr>
        <w:footnoteReference w:id="763"/>
      </w:r>
      <w:r>
        <w:t xml:space="preserve"> We consider that SFG's dividend growth model approach is unlikely to provide reliable estimates of the return on equity or market risk premium. Our concerns are detailed in section </w:t>
      </w:r>
      <w:r>
        <w:fldChar w:fldCharType="begin"/>
      </w:r>
      <w:r>
        <w:instrText xml:space="preserve"> REF _Ref449021062 \r \h </w:instrText>
      </w:r>
      <w:r>
        <w:fldChar w:fldCharType="separate"/>
      </w:r>
      <w:r w:rsidR="003F1AAB">
        <w:t>B.4.1</w:t>
      </w:r>
      <w:r>
        <w:fldChar w:fldCharType="end"/>
      </w:r>
      <w:r>
        <w:t xml:space="preserve"> below.</w:t>
      </w:r>
    </w:p>
    <w:p w:rsidR="0010250E" w:rsidRPr="00B4711B" w:rsidRDefault="0010250E" w:rsidP="0010250E">
      <w:pPr>
        <w:pStyle w:val="Heading9"/>
      </w:pPr>
      <w:bookmarkStart w:id="173" w:name="_Ref449021062"/>
      <w:bookmarkStart w:id="174" w:name="_Toc456686722"/>
      <w:r w:rsidRPr="00B4711B">
        <w:t>SFG</w:t>
      </w:r>
      <w:r>
        <w:t>'s construction of the dividend growth model</w:t>
      </w:r>
      <w:bookmarkEnd w:id="173"/>
      <w:bookmarkEnd w:id="174"/>
    </w:p>
    <w:p w:rsidR="0010250E" w:rsidRDefault="0010250E" w:rsidP="0010250E">
      <w:pPr>
        <w:numPr>
          <w:ilvl w:val="0"/>
          <w:numId w:val="25"/>
        </w:numPr>
      </w:pPr>
      <w:r>
        <w:t xml:space="preserve">SFG and several service providers criticised our position in the Guideline and our April and June 2015 decisions to </w:t>
      </w:r>
      <w:r w:rsidRPr="001562D4">
        <w:t xml:space="preserve">limit the role of the </w:t>
      </w:r>
      <w:r>
        <w:t>dividend growth model</w:t>
      </w:r>
      <w:r w:rsidRPr="001562D4">
        <w:t xml:space="preserve"> to informing the </w:t>
      </w:r>
      <w:r>
        <w:t xml:space="preserve">market risk premium, rather than also considering dividend growth model to inform </w:t>
      </w:r>
      <w:r w:rsidRPr="001562D4">
        <w:t>the overall return on equity.</w:t>
      </w:r>
      <w:r w:rsidRPr="001562D4">
        <w:rPr>
          <w:rStyle w:val="FootnoteReference"/>
        </w:rPr>
        <w:footnoteReference w:id="764"/>
      </w:r>
      <w:r w:rsidRPr="001562D4">
        <w:t xml:space="preserve"> </w:t>
      </w:r>
      <w:r w:rsidRPr="00B4711B">
        <w:t xml:space="preserve">SFG submitted its construction of the </w:t>
      </w:r>
      <w:r>
        <w:t>dividend growth model</w:t>
      </w:r>
      <w:r w:rsidRPr="00B4711B">
        <w:t xml:space="preserve"> could produce estimates that we could use for the Australian market as a whole, and at the industry level.</w:t>
      </w:r>
      <w:r w:rsidRPr="00B4711B">
        <w:rPr>
          <w:rStyle w:val="FootnoteReference"/>
        </w:rPr>
        <w:footnoteReference w:id="765"/>
      </w:r>
      <w:r w:rsidRPr="00B4711B">
        <w:t xml:space="preserve"> However, we consider SFG has overstated the ability of its </w:t>
      </w:r>
      <w:r>
        <w:t>dividend growth model</w:t>
      </w:r>
      <w:r w:rsidRPr="00B4711B">
        <w:t xml:space="preserve"> to provide robust return on equity estimates at the industry level.</w:t>
      </w:r>
    </w:p>
    <w:p w:rsidR="0010250E" w:rsidRDefault="0010250E" w:rsidP="0010250E">
      <w:pPr>
        <w:numPr>
          <w:ilvl w:val="0"/>
          <w:numId w:val="25"/>
        </w:numPr>
      </w:pPr>
      <w:r w:rsidRPr="00B4711B">
        <w:t>In SFG's 2014 analysis, there are 99 return on equity estimates using analyst forecasts for the network businesses over the period 2002 to 2014, based on a six month averaging period.</w:t>
      </w:r>
      <w:r w:rsidRPr="00B4711B">
        <w:rPr>
          <w:rStyle w:val="FootnoteReference"/>
        </w:rPr>
        <w:footnoteReference w:id="766"/>
      </w:r>
      <w:r w:rsidRPr="00B4711B">
        <w:t xml:space="preserve"> This is a small sample size, relative to the sample size for estimating the return on equity for the market as a whole. There are few analyst data because there are few network businesses listed on the Australian stock exchange. There is also limited analyst coverage of Australian network businesses. Given the relatively small sample of analyst forecasts available on Australian network </w:t>
      </w:r>
      <w:proofErr w:type="gramStart"/>
      <w:r w:rsidRPr="00B4711B">
        <w:t>businesses,</w:t>
      </w:r>
      <w:proofErr w:type="gramEnd"/>
      <w:r w:rsidRPr="00B4711B">
        <w:t xml:space="preserve"> we consider it is difficult to derive a sound return on equity estimate for these businesses using </w:t>
      </w:r>
      <w:r>
        <w:t>dividend growth models</w:t>
      </w:r>
      <w:r w:rsidRPr="00B4711B">
        <w:t>.</w:t>
      </w:r>
    </w:p>
    <w:p w:rsidR="0010250E" w:rsidRPr="00941168" w:rsidRDefault="0010250E" w:rsidP="0010250E">
      <w:pPr>
        <w:pStyle w:val="ListParagraph"/>
        <w:numPr>
          <w:ilvl w:val="0"/>
          <w:numId w:val="25"/>
        </w:numPr>
      </w:pPr>
      <w:r w:rsidRPr="00941168">
        <w:t xml:space="preserve">In SFG's 2015 report, it changed its approach to use a two month averaging period. In SFG's 2015 analysis, there are 235 </w:t>
      </w:r>
      <w:proofErr w:type="gramStart"/>
      <w:r w:rsidRPr="00941168">
        <w:t>return</w:t>
      </w:r>
      <w:proofErr w:type="gramEnd"/>
      <w:r w:rsidRPr="00941168">
        <w:t xml:space="preserve"> on equity estimates using analyst forecasts for the network businesses over the period 2002 to 2014.</w:t>
      </w:r>
      <w:r w:rsidRPr="00941168">
        <w:rPr>
          <w:rStyle w:val="FootnoteReference"/>
        </w:rPr>
        <w:footnoteReference w:id="767"/>
      </w:r>
      <w:r w:rsidRPr="00941168">
        <w:t xml:space="preserve"> This is a larger sample size than that used in its 2014 analysis. However, we consider it is still a small sample size relative to the sample size for estimating the return on equity for the market as a whole. We also maintain our above considerations on SFG's average risk premium ratio (or effective equity beta). Moreover, we consider SFG's new approach of using a two month averaging period may introduce errors because of a lack of data. For example, in SFG's sample, there are six two month periods where there were no analyst forecasts for energy network businesses.</w:t>
      </w:r>
      <w:r w:rsidRPr="00941168">
        <w:rPr>
          <w:rStyle w:val="FootnoteReference"/>
        </w:rPr>
        <w:footnoteReference w:id="768"/>
      </w:r>
      <w:r w:rsidRPr="00941168">
        <w:t xml:space="preserve"> </w:t>
      </w:r>
    </w:p>
    <w:p w:rsidR="0010250E" w:rsidRPr="00941168" w:rsidRDefault="0010250E" w:rsidP="0010250E">
      <w:pPr>
        <w:pStyle w:val="ListParagraph"/>
        <w:numPr>
          <w:ilvl w:val="0"/>
          <w:numId w:val="25"/>
        </w:numPr>
      </w:pPr>
      <w:r w:rsidRPr="00941168">
        <w:t xml:space="preserve">SFG estimates the return on equity for an energy network firm in a given two month period by averaging over all the return on equity estimates implied by all analyst forecasts for that firm over the two month period. If a particular analyst made more than one forecast for that firm in the two month period, then the use of a simple average means that analyst will be given more weight in the return on equity estimate compared to an analyst that makes only one forecast on that stock in a two month period. Further, firms that have more analyst coverage will have more two–monthly return on equity estimates and hence will receive more weight than firms that have less analyst coverage. Therefore, we consider that SFG's </w:t>
      </w:r>
      <w:r>
        <w:t>dividend growth model</w:t>
      </w:r>
      <w:r w:rsidRPr="00941168">
        <w:t xml:space="preserve"> gives energy network firms with more analyst coverage greater weight.</w:t>
      </w:r>
    </w:p>
    <w:p w:rsidR="0010250E" w:rsidRDefault="0010250E" w:rsidP="0010250E">
      <w:r>
        <w:t xml:space="preserve">We also note that SFG's approach does not entail directly estimating the return on equity for the using the dividend growth model. Rather, SFG applies its dividend growth model to produce a market risk premium estimate and a ratio of energy networks' risk premiums relative to the market risk premium (an indirect equity beta estimate). </w:t>
      </w:r>
      <w:r w:rsidRPr="00B4711B">
        <w:t>The method used to estimate</w:t>
      </w:r>
      <w:r>
        <w:t xml:space="preserve"> the average risk premium ratio</w:t>
      </w:r>
      <w:r w:rsidRPr="00B4711B">
        <w:t xml:space="preserve"> is not aligned with the definition of equity beta. The equity beta is the covariance between the return on the market and the return on a business divided by the variance of the market. </w:t>
      </w:r>
      <w:r>
        <w:t>We consider that, in doing so, SFG has overstated the ability of its dividend growth model to reliably estimate the return on equity directly</w:t>
      </w:r>
      <w:r w:rsidRPr="006C4D93">
        <w:t>.</w:t>
      </w:r>
      <w:r>
        <w:t xml:space="preserve">  SFG is effectively using its dividend growth model to estimate the market risk premium to incorporate into a Sharpe-Lintner CAPM. </w:t>
      </w:r>
    </w:p>
    <w:p w:rsidR="0010250E" w:rsidRPr="001562D4" w:rsidRDefault="0010250E" w:rsidP="0010250E">
      <w:pPr>
        <w:numPr>
          <w:ilvl w:val="0"/>
          <w:numId w:val="25"/>
        </w:numPr>
      </w:pPr>
      <w:r w:rsidRPr="001562D4">
        <w:t xml:space="preserve">McKenzie and Partington </w:t>
      </w:r>
      <w:r>
        <w:t xml:space="preserve">also </w:t>
      </w:r>
      <w:r w:rsidRPr="001562D4">
        <w:t>raise</w:t>
      </w:r>
      <w:r>
        <w:t>d</w:t>
      </w:r>
      <w:r w:rsidRPr="001562D4">
        <w:t xml:space="preserve"> specific concerns about the simultaneous estimation approach applied by SFG for the </w:t>
      </w:r>
      <w:r>
        <w:t>service providers. They indicated that this application of a dividend growth model could generate</w:t>
      </w:r>
      <w:r w:rsidRPr="001562D4">
        <w:t xml:space="preserve"> virtually any </w:t>
      </w:r>
      <w:r>
        <w:t xml:space="preserve">return on equity </w:t>
      </w:r>
      <w:r w:rsidRPr="001562D4">
        <w:t>estimate through model specification choices.</w:t>
      </w:r>
      <w:r w:rsidRPr="001562D4">
        <w:rPr>
          <w:rStyle w:val="FootnoteReference"/>
        </w:rPr>
        <w:footnoteReference w:id="769"/>
      </w:r>
    </w:p>
    <w:p w:rsidR="0010250E" w:rsidRPr="00B4711B" w:rsidRDefault="0010250E" w:rsidP="0010250E">
      <w:r>
        <w:t>SFG</w:t>
      </w:r>
      <w:r w:rsidRPr="00B4711B">
        <w:t xml:space="preserve"> submitted its </w:t>
      </w:r>
      <w:r>
        <w:t>dividend growth model</w:t>
      </w:r>
      <w:r w:rsidRPr="00B4711B">
        <w:t xml:space="preserve"> is more reliable and less volatile than our </w:t>
      </w:r>
      <w:r>
        <w:t>model</w:t>
      </w:r>
      <w:r w:rsidRPr="00B4711B">
        <w:t>.</w:t>
      </w:r>
      <w:r w:rsidRPr="00B4711B">
        <w:rPr>
          <w:rStyle w:val="FootnoteReference"/>
        </w:rPr>
        <w:footnoteReference w:id="770"/>
      </w:r>
      <w:r w:rsidRPr="00B4711B">
        <w:t xml:space="preserve"> However, this perception of stability is subjective and we do not agree with it. </w:t>
      </w:r>
      <w:r>
        <w:fldChar w:fldCharType="begin"/>
      </w:r>
      <w:r>
        <w:instrText xml:space="preserve"> REF _Ref451895691 \h </w:instrText>
      </w:r>
      <w:r>
        <w:fldChar w:fldCharType="separate"/>
      </w:r>
      <w:r w:rsidR="003F1AAB">
        <w:t xml:space="preserve">Figure </w:t>
      </w:r>
      <w:r w:rsidR="003F1AAB">
        <w:rPr>
          <w:noProof/>
        </w:rPr>
        <w:t>3</w:t>
      </w:r>
      <w:r w:rsidR="003F1AAB">
        <w:noBreakHyphen/>
      </w:r>
      <w:r w:rsidR="003F1AAB">
        <w:rPr>
          <w:noProof/>
        </w:rPr>
        <w:t>6</w:t>
      </w:r>
      <w:r>
        <w:fldChar w:fldCharType="end"/>
      </w:r>
      <w:r>
        <w:t xml:space="preserve"> </w:t>
      </w:r>
      <w:r w:rsidRPr="00B4711B">
        <w:t>illustrates this point by showing three time series:</w:t>
      </w:r>
      <w:r w:rsidRPr="00B4711B">
        <w:rPr>
          <w:rStyle w:val="FootnoteReference"/>
        </w:rPr>
        <w:footnoteReference w:id="771"/>
      </w:r>
    </w:p>
    <w:p w:rsidR="0010250E" w:rsidRPr="0010250E" w:rsidRDefault="0010250E" w:rsidP="0010250E">
      <w:pPr>
        <w:pStyle w:val="AERbulletlistfirststyle"/>
      </w:pPr>
      <w:r w:rsidRPr="00B4711B">
        <w:t xml:space="preserve">the return on equity for the market determined by SFG's </w:t>
      </w:r>
      <w:r w:rsidRPr="0010250E">
        <w:t>model (blue line)</w:t>
      </w:r>
    </w:p>
    <w:p w:rsidR="0010250E" w:rsidRPr="0010250E" w:rsidRDefault="0010250E" w:rsidP="0010250E">
      <w:pPr>
        <w:pStyle w:val="AERbulletlistfirststyle"/>
      </w:pPr>
      <w:r w:rsidRPr="00B4711B">
        <w:t xml:space="preserve">the return on equity for network businesses determined by multiplying the </w:t>
      </w:r>
      <w:r w:rsidRPr="0010250E">
        <w:t>market risk premium from SFG's model by 0.94 then adding the prevailing risk free rate (green line)</w:t>
      </w:r>
    </w:p>
    <w:p w:rsidR="0010250E" w:rsidRPr="0010250E" w:rsidRDefault="0010250E" w:rsidP="0010250E">
      <w:pPr>
        <w:pStyle w:val="AERbulletlistfirststyle"/>
      </w:pPr>
      <w:proofErr w:type="gramStart"/>
      <w:r w:rsidRPr="00B4711B">
        <w:t>the</w:t>
      </w:r>
      <w:proofErr w:type="gramEnd"/>
      <w:r w:rsidRPr="00B4711B">
        <w:t xml:space="preserve"> return on equity for network businesses determined by directly applying SFG's </w:t>
      </w:r>
      <w:r w:rsidRPr="0010250E">
        <w:t>model (red line).</w:t>
      </w:r>
    </w:p>
    <w:p w:rsidR="0010250E" w:rsidRDefault="0010250E" w:rsidP="0010250E">
      <w:pPr>
        <w:pStyle w:val="Caption"/>
      </w:pPr>
      <w:bookmarkStart w:id="175" w:name="_Ref451895691"/>
      <w:r>
        <w:t xml:space="preserve">Figure </w:t>
      </w:r>
      <w:fldSimple w:instr=" STYLEREF 1 \s ">
        <w:r w:rsidR="003F1AAB">
          <w:rPr>
            <w:noProof/>
          </w:rPr>
          <w:t>3</w:t>
        </w:r>
      </w:fldSimple>
      <w:r w:rsidR="00E4520A">
        <w:noBreakHyphen/>
      </w:r>
      <w:fldSimple w:instr=" SEQ Figure \* ARABIC \s 1 ">
        <w:r w:rsidR="003F1AAB">
          <w:rPr>
            <w:noProof/>
          </w:rPr>
          <w:t>6</w:t>
        </w:r>
      </w:fldSimple>
      <w:bookmarkEnd w:id="175"/>
      <w:r>
        <w:tab/>
      </w:r>
      <w:r w:rsidRPr="00B4711B">
        <w:t>Movements in SFG's dividend growth model</w:t>
      </w:r>
    </w:p>
    <w:p w:rsidR="0010250E" w:rsidRPr="00B4711B" w:rsidRDefault="0010250E" w:rsidP="0010250E">
      <w:pPr>
        <w:numPr>
          <w:ilvl w:val="0"/>
          <w:numId w:val="25"/>
        </w:numPr>
      </w:pPr>
      <w:r w:rsidRPr="0010250E">
        <w:rPr>
          <w:noProof/>
          <w:lang w:eastAsia="en-AU"/>
        </w:rPr>
        <w:drawing>
          <wp:inline distT="0" distB="0" distL="0" distR="0" wp14:anchorId="7A854A9D" wp14:editId="668C6C15">
            <wp:extent cx="5382895" cy="322365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2895" cy="3223655"/>
                    </a:xfrm>
                    <a:prstGeom prst="rect">
                      <a:avLst/>
                    </a:prstGeom>
                    <a:noFill/>
                    <a:ln>
                      <a:noFill/>
                    </a:ln>
                  </pic:spPr>
                </pic:pic>
              </a:graphicData>
            </a:graphic>
          </wp:inline>
        </w:drawing>
      </w:r>
    </w:p>
    <w:p w:rsidR="0010250E" w:rsidRPr="00B4711B" w:rsidRDefault="0010250E" w:rsidP="0010250E">
      <w:pPr>
        <w:pStyle w:val="AERtablesource"/>
      </w:pPr>
      <w:r w:rsidRPr="00B4711B">
        <w:t xml:space="preserve">Source: </w:t>
      </w:r>
      <w:r w:rsidRPr="00B4711B">
        <w:tab/>
        <w:t xml:space="preserve">SFG, </w:t>
      </w:r>
      <w:r w:rsidRPr="00B4711B">
        <w:rPr>
          <w:rStyle w:val="AERtextitalic"/>
        </w:rPr>
        <w:t>Share prices, the dividend discount model and the cost of equity for the market and a benchmark energy network</w:t>
      </w:r>
      <w:r w:rsidRPr="00B4711B">
        <w:t>, 13 February 2015, pp. 40–41; AER analysis.</w:t>
      </w:r>
      <w:r w:rsidRPr="00B4711B">
        <w:rPr>
          <w:rStyle w:val="FootnoteReference"/>
        </w:rPr>
        <w:footnoteReference w:id="772"/>
      </w:r>
    </w:p>
    <w:p w:rsidR="0010250E" w:rsidRPr="00B4711B" w:rsidRDefault="0010250E" w:rsidP="0010250E">
      <w:pPr>
        <w:pStyle w:val="AERtablesource"/>
      </w:pPr>
      <w:r w:rsidRPr="00B4711B">
        <w:t>Note:</w:t>
      </w:r>
      <w:r w:rsidRPr="00B4711B">
        <w:tab/>
        <w:t>SFG calls the market value return on equity, the 'cost of equity'. This is the concept we refer to throughout this decision as the 'return on equity'.</w:t>
      </w:r>
    </w:p>
    <w:p w:rsidR="0010250E" w:rsidRPr="00B4711B" w:rsidRDefault="0010250E" w:rsidP="0010250E">
      <w:pPr>
        <w:pStyle w:val="AERtablesource"/>
      </w:pPr>
      <w:r w:rsidRPr="00B4711B">
        <w:tab/>
        <w:t>The gaps in the red line are the result of periods where there were no analyst forecasts for energy network businesses. Therefore, the return on equity for network businesses could not be estimated for these periods.</w:t>
      </w:r>
    </w:p>
    <w:p w:rsidR="0010250E" w:rsidRPr="00B4711B" w:rsidRDefault="0010250E" w:rsidP="0010250E">
      <w:pPr>
        <w:numPr>
          <w:ilvl w:val="0"/>
          <w:numId w:val="25"/>
        </w:numPr>
      </w:pPr>
      <w:r>
        <w:fldChar w:fldCharType="begin"/>
      </w:r>
      <w:r>
        <w:instrText xml:space="preserve"> REF _Ref451895691 \h </w:instrText>
      </w:r>
      <w:r>
        <w:fldChar w:fldCharType="separate"/>
      </w:r>
      <w:r w:rsidR="003F1AAB">
        <w:t xml:space="preserve">Figure </w:t>
      </w:r>
      <w:r w:rsidR="003F1AAB">
        <w:rPr>
          <w:noProof/>
        </w:rPr>
        <w:t>3</w:t>
      </w:r>
      <w:r w:rsidR="003F1AAB">
        <w:noBreakHyphen/>
      </w:r>
      <w:r w:rsidR="003F1AAB">
        <w:rPr>
          <w:noProof/>
        </w:rPr>
        <w:t>6</w:t>
      </w:r>
      <w:r>
        <w:fldChar w:fldCharType="end"/>
      </w:r>
      <w:r>
        <w:t xml:space="preserve"> </w:t>
      </w:r>
      <w:r w:rsidRPr="00B4711B">
        <w:t xml:space="preserve">illustrates that direct estimates of the return on equity for network businesses using SFG's </w:t>
      </w:r>
      <w:r>
        <w:t>dividend growth model</w:t>
      </w:r>
      <w:r w:rsidRPr="00B4711B">
        <w:t xml:space="preserve"> (red line) are volatile. Whereas, by construction, SFG's indirect estimates of the return on equity for network businesses using a hybrid CAPM</w:t>
      </w:r>
      <w:r>
        <w:t xml:space="preserve"> </w:t>
      </w:r>
      <w:r w:rsidRPr="00B4711B">
        <w:t>/</w:t>
      </w:r>
      <w:r>
        <w:t xml:space="preserve"> dividend growth model</w:t>
      </w:r>
      <w:r w:rsidRPr="00B4711B">
        <w:t xml:space="preserve"> are more stable (green line). SFG and service providers only proposed indirect estimates. SFG's indirect approach results in a return for the industry that precisely mirrors movements in the market. SFG's indirect approach is predisposed to this outcome because of its construction. It is not clear to us that this outcome is a reasonable reflection of expected returns for the industry.</w:t>
      </w:r>
    </w:p>
    <w:p w:rsidR="0010250E" w:rsidRPr="0010250E" w:rsidRDefault="0010250E" w:rsidP="0010250E">
      <w:pPr>
        <w:pStyle w:val="Heading8"/>
      </w:pPr>
      <w:bookmarkStart w:id="176" w:name="_Ref449018117"/>
      <w:bookmarkStart w:id="177" w:name="_Toc451943790"/>
      <w:bookmarkStart w:id="178" w:name="_Toc456686723"/>
      <w:r>
        <w:t>Wright CAPM and historical CAPM</w:t>
      </w:r>
      <w:bookmarkEnd w:id="176"/>
      <w:bookmarkEnd w:id="177"/>
      <w:bookmarkEnd w:id="178"/>
    </w:p>
    <w:p w:rsidR="0010250E" w:rsidRDefault="0010250E" w:rsidP="00376690">
      <w:pPr>
        <w:numPr>
          <w:ilvl w:val="0"/>
          <w:numId w:val="25"/>
        </w:numPr>
      </w:pPr>
      <w:r>
        <w:t>The Wright CAPM is an alternative implementation of the Sharpe-Lintner CAPM. This is where the return on the market portfolio and the risk free rate are estimated as separate components of the market risk premium. The following equation represents this relationship:</w:t>
      </w:r>
    </w:p>
    <w:p w:rsidR="0010250E" w:rsidRDefault="0010250E" w:rsidP="0010250E">
      <w:pPr>
        <w:numPr>
          <w:ilvl w:val="0"/>
          <w:numId w:val="25"/>
        </w:numPr>
      </w:pPr>
      <m:oMath>
        <m:r>
          <w:rPr>
            <w:rFonts w:ascii="Cambria Math" w:hAnsi="Cambria Math"/>
          </w:rPr>
          <m:t>ke=rf+βe×(rm-rf)</m:t>
        </m:r>
      </m:oMath>
    </w:p>
    <w:p w:rsidR="0010250E" w:rsidRPr="0082305A" w:rsidRDefault="0010250E" w:rsidP="0010250E">
      <w:pPr>
        <w:pStyle w:val="AERtablesource"/>
      </w:pPr>
      <w:r>
        <w:t>W</w:t>
      </w:r>
      <w:r w:rsidRPr="0082305A">
        <w:t>here</w:t>
      </w:r>
      <w:r>
        <w:t>:</w:t>
      </w:r>
      <w:r>
        <w:tab/>
      </w:r>
      <m:oMath>
        <m:r>
          <w:rPr>
            <w:rFonts w:ascii="Cambria Math" w:hAnsi="Cambria Math"/>
          </w:rPr>
          <m:t>ke</m:t>
        </m:r>
      </m:oMath>
      <w:r w:rsidRPr="0082305A">
        <w:t xml:space="preserve"> is the expected return on </w:t>
      </w:r>
      <w:proofErr w:type="gramStart"/>
      <w:r w:rsidRPr="0082305A">
        <w:t>equity</w:t>
      </w:r>
      <w:proofErr w:type="gramEnd"/>
    </w:p>
    <w:p w:rsidR="0010250E" w:rsidRPr="0082305A" w:rsidRDefault="0010250E" w:rsidP="0010250E">
      <w:pPr>
        <w:pStyle w:val="AERtablesource"/>
      </w:pPr>
      <w:r>
        <w:tab/>
      </w:r>
      <m:oMath>
        <m:r>
          <w:rPr>
            <w:rFonts w:ascii="Cambria Math" w:hAnsi="Cambria Math"/>
          </w:rPr>
          <m:t>rf</m:t>
        </m:r>
      </m:oMath>
      <w:r w:rsidRPr="0082305A">
        <w:t xml:space="preserve"> </w:t>
      </w:r>
      <w:proofErr w:type="gramStart"/>
      <w:r w:rsidRPr="0082305A">
        <w:t>is</w:t>
      </w:r>
      <w:proofErr w:type="gramEnd"/>
      <w:r w:rsidRPr="0082305A">
        <w:t xml:space="preserve"> the risk free rate</w:t>
      </w:r>
    </w:p>
    <w:p w:rsidR="0010250E" w:rsidRPr="0082305A" w:rsidRDefault="0010250E" w:rsidP="0010250E">
      <w:pPr>
        <w:pStyle w:val="AERtablesource"/>
      </w:pPr>
      <w:r>
        <w:tab/>
      </w:r>
      <m:oMath>
        <m:r>
          <w:rPr>
            <w:rFonts w:ascii="Cambria Math" w:hAnsi="Cambria Math"/>
          </w:rPr>
          <m:t>βe</m:t>
        </m:r>
      </m:oMath>
      <w:r w:rsidRPr="0082305A">
        <w:t xml:space="preserve"> </w:t>
      </w:r>
      <w:proofErr w:type="gramStart"/>
      <w:r w:rsidRPr="0082305A">
        <w:t>is</w:t>
      </w:r>
      <w:proofErr w:type="gramEnd"/>
      <w:r w:rsidRPr="0082305A">
        <w:t xml:space="preserve"> the equity beta</w:t>
      </w:r>
    </w:p>
    <w:p w:rsidR="0010250E" w:rsidRDefault="0010250E" w:rsidP="0010250E">
      <w:pPr>
        <w:pStyle w:val="AERtablesource"/>
      </w:pPr>
      <w:r>
        <w:tab/>
      </w:r>
      <m:oMath>
        <m:r>
          <w:rPr>
            <w:rFonts w:ascii="Cambria Math" w:hAnsi="Cambria Math"/>
          </w:rPr>
          <m:t>rm</m:t>
        </m:r>
      </m:oMath>
      <w:r w:rsidRPr="0082305A">
        <w:t xml:space="preserve"> </w:t>
      </w:r>
      <w:proofErr w:type="gramStart"/>
      <w:r w:rsidRPr="0082305A">
        <w:t>is</w:t>
      </w:r>
      <w:proofErr w:type="gramEnd"/>
      <w:r w:rsidRPr="0082305A">
        <w:t xml:space="preserve"> the expected return on the market</w:t>
      </w:r>
    </w:p>
    <w:p w:rsidR="0010250E" w:rsidRDefault="0010250E" w:rsidP="0010250E">
      <w:pPr>
        <w:numPr>
          <w:ilvl w:val="0"/>
          <w:numId w:val="25"/>
        </w:numPr>
      </w:pPr>
      <w:r>
        <w:t>Typically, under the Wright approach the return on the market is estimated using historical data, while a prevailing risk free rate is estimated. Under an historical specification of the CAPM, both the return on the market (or market risk premium) and the risk free rate is estimated by reference to long-run historical data.</w:t>
      </w:r>
      <w:r>
        <w:rPr>
          <w:rStyle w:val="FootnoteReference"/>
        </w:rPr>
        <w:footnoteReference w:id="773"/>
      </w:r>
      <w:r>
        <w:t xml:space="preserve"> </w:t>
      </w:r>
    </w:p>
    <w:p w:rsidR="0010250E" w:rsidRDefault="0010250E" w:rsidP="0010250E">
      <w:pPr>
        <w:numPr>
          <w:ilvl w:val="0"/>
          <w:numId w:val="25"/>
        </w:numPr>
      </w:pPr>
      <w:r>
        <w:t>In its access arrangement proposal, APTNT</w:t>
      </w:r>
      <w:r w:rsidRPr="001562D4">
        <w:t xml:space="preserve"> </w:t>
      </w:r>
      <w:r>
        <w:t>proposed</w:t>
      </w:r>
      <w:r w:rsidRPr="001562D4">
        <w:t xml:space="preserve"> a 'Wright' specific</w:t>
      </w:r>
      <w:r>
        <w:t>ation of the Sharpe-Lintner CAPM.</w:t>
      </w:r>
      <w:r>
        <w:rPr>
          <w:rStyle w:val="FootnoteReference"/>
        </w:rPr>
        <w:footnoteReference w:id="774"/>
      </w:r>
      <w:r>
        <w:t xml:space="preserve"> Many other service providers proposed using the underlying premise of the Wright CAPM – that the market return is relatively constant – when estimating market risk premium.</w:t>
      </w:r>
      <w:r w:rsidRPr="007472EA">
        <w:rPr>
          <w:rStyle w:val="FootnoteReference"/>
        </w:rPr>
        <w:footnoteReference w:id="775"/>
      </w:r>
    </w:p>
    <w:p w:rsidR="0010250E" w:rsidRPr="00957F0D" w:rsidRDefault="0010250E" w:rsidP="0010250E">
      <w:pPr>
        <w:numPr>
          <w:ilvl w:val="0"/>
          <w:numId w:val="25"/>
        </w:numPr>
      </w:pPr>
      <w:r w:rsidRPr="00957F0D">
        <w:t xml:space="preserve">We consider the point estimates of the </w:t>
      </w:r>
      <w:r>
        <w:t>return on equity</w:t>
      </w:r>
      <w:r w:rsidRPr="00957F0D">
        <w:t xml:space="preserve"> from these non-standard specifications of the S</w:t>
      </w:r>
      <w:r>
        <w:t>harpe-</w:t>
      </w:r>
      <w:r w:rsidRPr="00957F0D">
        <w:t>L</w:t>
      </w:r>
      <w:r>
        <w:t xml:space="preserve">intner </w:t>
      </w:r>
      <w:r w:rsidRPr="00957F0D">
        <w:t xml:space="preserve">CAPM are currently </w:t>
      </w:r>
      <w:r>
        <w:t>unsuitable for:</w:t>
      </w:r>
    </w:p>
    <w:p w:rsidR="0010250E" w:rsidRPr="0010250E" w:rsidRDefault="0010250E" w:rsidP="0010250E">
      <w:pPr>
        <w:pStyle w:val="AERbulletlistfirststyle"/>
      </w:pPr>
      <w:r>
        <w:t>e</w:t>
      </w:r>
      <w:r w:rsidRPr="0010250E">
        <w:t>stimating the return on equity for the benchmark efficient entity</w:t>
      </w:r>
    </w:p>
    <w:p w:rsidR="0010250E" w:rsidRPr="0010250E" w:rsidRDefault="0010250E" w:rsidP="0010250E">
      <w:pPr>
        <w:pStyle w:val="AERbulletlistfirststyle"/>
      </w:pPr>
      <w:proofErr w:type="gramStart"/>
      <w:r>
        <w:t>p</w:t>
      </w:r>
      <w:r w:rsidRPr="0010250E">
        <w:t>erforming</w:t>
      </w:r>
      <w:proofErr w:type="gramEnd"/>
      <w:r w:rsidRPr="0010250E">
        <w:t xml:space="preserve"> a cross check on whether other models (including the Sharpe-Lintner CAPM) are producing reasonable estimates of the return on equity.</w:t>
      </w:r>
    </w:p>
    <w:p w:rsidR="0010250E" w:rsidRPr="00957F0D" w:rsidRDefault="0010250E" w:rsidP="0010250E">
      <w:pPr>
        <w:numPr>
          <w:ilvl w:val="0"/>
          <w:numId w:val="25"/>
        </w:numPr>
      </w:pPr>
      <w:r>
        <w:t>Our</w:t>
      </w:r>
      <w:r w:rsidRPr="00957F0D">
        <w:t xml:space="preserve"> reasons for </w:t>
      </w:r>
      <w:r>
        <w:t>this position</w:t>
      </w:r>
      <w:r w:rsidRPr="00957F0D">
        <w:t xml:space="preserve"> are:</w:t>
      </w:r>
    </w:p>
    <w:p w:rsidR="0010250E" w:rsidRPr="0010250E" w:rsidRDefault="0010250E" w:rsidP="0010250E">
      <w:pPr>
        <w:pStyle w:val="AERbulletlistfirststyle"/>
      </w:pPr>
      <w:r w:rsidRPr="00957F0D">
        <w:t>The models are not theoretically justified. The S</w:t>
      </w:r>
      <w:r w:rsidRPr="0010250E">
        <w:t>harpe-Lintner CAPM is a forward-looking equilibrium asset pricing model and therefore requires forward looking input parameters.</w:t>
      </w:r>
      <w:r w:rsidRPr="0010250E">
        <w:rPr>
          <w:rStyle w:val="FootnoteReference"/>
        </w:rPr>
        <w:footnoteReference w:id="776"/>
      </w:r>
    </w:p>
    <w:p w:rsidR="0010250E" w:rsidRPr="0010250E" w:rsidRDefault="0010250E" w:rsidP="0010250E">
      <w:pPr>
        <w:pStyle w:val="AERbulletlistfirststyle"/>
      </w:pPr>
      <w:r w:rsidRPr="00957F0D">
        <w:t>The models do not take into acc</w:t>
      </w:r>
      <w:r w:rsidRPr="0010250E">
        <w:t>ount changing market conditions. Therefore, they are unlikely to (at a given point in time) estimate an unbiased forward-looking estimate of the required return on equity. Historical data may be used as a basis for estimates of the model’s parameters where they are good evidence of forward-looking parameters. However, we do not consider using historically based estimates that are clearly not representative of the forward looking rate will result in an unbiased estimate of the return on equity.</w:t>
      </w:r>
      <w:r w:rsidRPr="0010250E">
        <w:rPr>
          <w:rStyle w:val="FootnoteReference"/>
        </w:rPr>
        <w:footnoteReference w:id="777"/>
      </w:r>
    </w:p>
    <w:p w:rsidR="0010250E" w:rsidRPr="0010250E" w:rsidRDefault="0010250E" w:rsidP="0010250E">
      <w:pPr>
        <w:pStyle w:val="AERbulletlistfirststyle"/>
      </w:pPr>
      <w:r>
        <w:t>We consider that no</w:t>
      </w:r>
      <w:r w:rsidRPr="0010250E">
        <w:t xml:space="preserve"> compelling empirical evidence is before us to support the use of the models. We do not agree with the underlying premise of the Wright CAPM that there is a clear inverse relationship between movements in the risk free rate and market risk premium. Frontier submitted that empirical evidence from Wright &amp; Smithers indicates that the return on the market using U.S. data has been relatively stable over time.</w:t>
      </w:r>
      <w:r w:rsidRPr="0010250E">
        <w:rPr>
          <w:rStyle w:val="FootnoteReference"/>
        </w:rPr>
        <w:footnoteReference w:id="778"/>
      </w:r>
      <w:r w:rsidRPr="0010250E">
        <w:t xml:space="preserve"> However, applying Wright’s approach to Australian data, Lally found the estimated market risk premium series is more stable than the average real market return series.</w:t>
      </w:r>
      <w:r w:rsidRPr="0010250E">
        <w:rPr>
          <w:rStyle w:val="FootnoteReference"/>
        </w:rPr>
        <w:footnoteReference w:id="779"/>
      </w:r>
    </w:p>
    <w:p w:rsidR="0010250E" w:rsidRPr="0010250E" w:rsidRDefault="0010250E" w:rsidP="0010250E">
      <w:pPr>
        <w:pStyle w:val="AERbulletlistfirststyle"/>
      </w:pPr>
      <w:r>
        <w:t>M</w:t>
      </w:r>
      <w:r w:rsidRPr="0010250E">
        <w:t>arket practitioners, academics or regulators do not generally accept these models.</w:t>
      </w:r>
      <w:r w:rsidRPr="0010250E">
        <w:rPr>
          <w:rStyle w:val="FootnoteReference"/>
        </w:rPr>
        <w:footnoteReference w:id="780"/>
      </w:r>
      <w:r w:rsidRPr="0010250E">
        <w:t xml:space="preserve"> For example, an analysis of 78 suitable independent valuation reports over May 2013 to January 2016 indicates there are no reports that appear to use the Wright CAPM.</w:t>
      </w:r>
    </w:p>
    <w:p w:rsidR="0010250E" w:rsidRPr="00957F0D" w:rsidRDefault="0010250E" w:rsidP="0010250E">
      <w:r w:rsidRPr="00957F0D">
        <w:t xml:space="preserve">Handley considered the Wright </w:t>
      </w:r>
      <w:r>
        <w:t>CAPM</w:t>
      </w:r>
      <w:r w:rsidRPr="00957F0D">
        <w:t xml:space="preserve"> </w:t>
      </w:r>
      <w:r>
        <w:t>and</w:t>
      </w:r>
      <w:r w:rsidRPr="00957F0D">
        <w:t xml:space="preserve"> stated:</w:t>
      </w:r>
      <w:r>
        <w:rPr>
          <w:rStyle w:val="FootnoteReference"/>
        </w:rPr>
        <w:footnoteReference w:id="781"/>
      </w:r>
    </w:p>
    <w:p w:rsidR="0010250E" w:rsidRPr="00957F0D" w:rsidRDefault="0010250E" w:rsidP="0010250E">
      <w:pPr>
        <w:pStyle w:val="AERquote"/>
      </w:pPr>
      <w:r w:rsidRPr="00957F0D">
        <w:t>It appears to be based on two main ideas. First, a claim that the standard approach is internally inconsistent as it purportedly uses a different estimate of the risk free rate for the purposes of estimating the MRP.</w:t>
      </w:r>
      <w:r>
        <w:rPr>
          <w:rStyle w:val="FootnoteReference"/>
        </w:rPr>
        <w:footnoteReference w:id="782"/>
      </w:r>
      <w:r w:rsidRPr="00957F0D">
        <w:t xml:space="preserve"> But this is not correct. As discussed above, the item being estimated under the standard approach and the item being substituted into (6) is the MRP. It is a single estimate of a single item. It is not an estimate of the expected return on the market and an estimate of the risk free rate. Second, Wright draws on</w:t>
      </w:r>
      <w:r>
        <w:t xml:space="preserve"> </w:t>
      </w:r>
      <w:r w:rsidRPr="00957F0D">
        <w:t>previous work by Wright, Mason and Miles (2003) which in turn draws on work by</w:t>
      </w:r>
      <w:r>
        <w:t xml:space="preserve"> </w:t>
      </w:r>
      <w:r w:rsidRPr="00957F0D">
        <w:t>Siegel (1998) to conclude that:</w:t>
      </w:r>
    </w:p>
    <w:p w:rsidR="0010250E" w:rsidRPr="00957F0D" w:rsidRDefault="0010250E" w:rsidP="0010250E">
      <w:pPr>
        <w:pStyle w:val="AERquoteindent2"/>
      </w:pPr>
      <w:r w:rsidRPr="00957F0D">
        <w:t>“</w:t>
      </w:r>
      <w:proofErr w:type="gramStart"/>
      <w:r w:rsidRPr="00957F0D">
        <w:t>regulators</w:t>
      </w:r>
      <w:proofErr w:type="gramEnd"/>
      <w:r w:rsidRPr="00957F0D">
        <w:t xml:space="preserve"> should work on the assumption that the real market cost of equity is constant … as a direct consequence, whatever assumption is made on the risk</w:t>
      </w:r>
      <w:r>
        <w:t xml:space="preserve"> </w:t>
      </w:r>
      <w:r w:rsidRPr="00957F0D">
        <w:t>free rate, the implied equity premium must move point by point in the opposite direction.</w:t>
      </w:r>
      <w:r>
        <w:rPr>
          <w:rStyle w:val="FootnoteReference"/>
        </w:rPr>
        <w:footnoteReference w:id="783"/>
      </w:r>
    </w:p>
    <w:p w:rsidR="0010250E" w:rsidRPr="00957F0D" w:rsidRDefault="0010250E" w:rsidP="0010250E">
      <w:pPr>
        <w:pStyle w:val="AERquote"/>
      </w:pPr>
      <w:r w:rsidRPr="00957F0D">
        <w:t>The theoretical justification for such an assumption is far from clear whilst the empirical evidence that is presented is not compelling. More importantly, this is a proposition whose widespread use and acceptance is yet to be established. Until then (if at all), there is no compelling reason to move from the standard approach to estimation.</w:t>
      </w:r>
    </w:p>
    <w:p w:rsidR="0010250E" w:rsidRDefault="0010250E" w:rsidP="0010250E">
      <w:pPr>
        <w:numPr>
          <w:ilvl w:val="0"/>
          <w:numId w:val="25"/>
        </w:numPr>
      </w:pPr>
      <w:r w:rsidRPr="00957F0D">
        <w:t>We note</w:t>
      </w:r>
      <w:r>
        <w:t xml:space="preserve"> that</w:t>
      </w:r>
      <w:r w:rsidRPr="00957F0D">
        <w:t xml:space="preserve"> Handley's comments appear equally applicable to the 'long term' </w:t>
      </w:r>
      <w:r>
        <w:t xml:space="preserve">Sharpe-Lintner </w:t>
      </w:r>
      <w:r w:rsidRPr="00957F0D">
        <w:t xml:space="preserve">CAPM specification proposed by a number of </w:t>
      </w:r>
      <w:r>
        <w:t>service providers.</w:t>
      </w:r>
    </w:p>
    <w:p w:rsidR="0010250E" w:rsidRDefault="0010250E" w:rsidP="0010250E">
      <w:pPr>
        <w:numPr>
          <w:ilvl w:val="0"/>
          <w:numId w:val="25"/>
        </w:numPr>
      </w:pPr>
      <w:r>
        <w:t>While</w:t>
      </w:r>
      <w:r w:rsidRPr="00957F0D">
        <w:t xml:space="preserve"> we have used a range from the Wright CAPM to inform the overall </w:t>
      </w:r>
      <w:r>
        <w:t>return on equity, we have placed little reliance on this information given our concerns outlined above</w:t>
      </w:r>
      <w:r w:rsidRPr="00957F0D">
        <w:t>.</w:t>
      </w:r>
      <w:r>
        <w:rPr>
          <w:rStyle w:val="FootnoteReference"/>
        </w:rPr>
        <w:footnoteReference w:id="784"/>
      </w:r>
    </w:p>
    <w:p w:rsidR="0010250E" w:rsidRDefault="0010250E" w:rsidP="0010250E">
      <w:pPr>
        <w:numPr>
          <w:ilvl w:val="0"/>
          <w:numId w:val="25"/>
        </w:numPr>
      </w:pPr>
      <w:r>
        <w:t>Service providers submitted that the Wright CAPM is relevant to the estimation of the market risk premium, rather than the overall return on equity.</w:t>
      </w:r>
      <w:r>
        <w:rPr>
          <w:rStyle w:val="FootnoteReference"/>
        </w:rPr>
        <w:footnoteReference w:id="785"/>
      </w:r>
      <w:r w:rsidRPr="00E364BB">
        <w:t xml:space="preserve"> </w:t>
      </w:r>
      <w:r>
        <w:t>We compare our foundation model equity risk premium to the Wright CAPM equity risk premium. This provides for consideration of both market risk premium and equity beta estimates, as the equity risk premium is the product of both estimates. We do not consider the Wright CAPM when estimating market risk premium. We consider that doing so would be unnecessary, and may place too much weight on the Wright CAPM given our concerns with it as set out above.</w:t>
      </w:r>
    </w:p>
    <w:p w:rsidR="0010250E" w:rsidRPr="0010250E" w:rsidRDefault="0010250E" w:rsidP="0010250E">
      <w:r>
        <w:t>Partington and Satchell advised that they are '</w:t>
      </w:r>
      <w:r w:rsidRPr="00042AEC">
        <w:t>unconvinced by the Wright approach</w:t>
      </w:r>
      <w:r>
        <w:t xml:space="preserve">' for estimating the market risk premium and </w:t>
      </w:r>
      <w:r w:rsidRPr="00042AEC">
        <w:t xml:space="preserve">recommend that </w:t>
      </w:r>
      <w:r>
        <w:t>we give</w:t>
      </w:r>
      <w:r w:rsidRPr="00042AEC">
        <w:t xml:space="preserve"> it little weight</w:t>
      </w:r>
      <w:r>
        <w:t>.</w:t>
      </w:r>
      <w:r>
        <w:rPr>
          <w:rStyle w:val="FootnoteReference"/>
        </w:rPr>
        <w:footnoteReference w:id="786"/>
      </w:r>
      <w:r>
        <w:t xml:space="preserve"> The noted that the Wright CAPM is</w:t>
      </w:r>
      <w:r w:rsidRPr="00042AEC">
        <w:t xml:space="preserve"> </w:t>
      </w:r>
      <w:r>
        <w:t>has no 'well accepted theoretical support',</w:t>
      </w:r>
      <w:r w:rsidRPr="00042AEC">
        <w:t xml:space="preserve"> </w:t>
      </w:r>
      <w:r>
        <w:t>'</w:t>
      </w:r>
      <w:r w:rsidRPr="00042AEC">
        <w:t>does not seem to be much used, if at all, in practice</w:t>
      </w:r>
      <w:r>
        <w:t>' and '</w:t>
      </w:r>
      <w:r w:rsidRPr="00042AEC">
        <w:t>runs contrary to the well accepted view that asset prices are inversely related to interest rates</w:t>
      </w:r>
      <w:r>
        <w:t>'.</w:t>
      </w:r>
    </w:p>
    <w:p w:rsidR="0010250E" w:rsidRPr="0010250E" w:rsidRDefault="0010250E" w:rsidP="0010250E"/>
    <w:p w:rsidR="00312F8A" w:rsidRDefault="00312F8A" w:rsidP="00312F8A">
      <w:pPr>
        <w:pStyle w:val="Heading7"/>
      </w:pPr>
      <w:bookmarkStart w:id="179" w:name="_Toc443923196"/>
      <w:bookmarkStart w:id="180" w:name="_Toc452629085"/>
      <w:bookmarkStart w:id="181" w:name="_Toc456686724"/>
      <w:bookmarkEnd w:id="130"/>
      <w:bookmarkEnd w:id="131"/>
      <w:bookmarkEnd w:id="132"/>
      <w:bookmarkEnd w:id="133"/>
      <w:bookmarkEnd w:id="134"/>
      <w:bookmarkEnd w:id="135"/>
      <w:bookmarkEnd w:id="136"/>
      <w:bookmarkEnd w:id="137"/>
      <w:bookmarkEnd w:id="138"/>
      <w:bookmarkEnd w:id="139"/>
      <w:bookmarkEnd w:id="140"/>
      <w:bookmarkEnd w:id="141"/>
      <w:r>
        <w:t>Historical stock returns</w:t>
      </w:r>
      <w:bookmarkEnd w:id="179"/>
      <w:bookmarkEnd w:id="180"/>
      <w:bookmarkEnd w:id="181"/>
    </w:p>
    <w:p w:rsidR="00A71C54" w:rsidRDefault="00A71C54" w:rsidP="00A71C54">
      <w:r>
        <w:t>This appendix examines realised returns to Australian listed equity (stocks) as a proxy for the historical return on the portfolio of all equity in the market. We examine both total returns and excess returns. E</w:t>
      </w:r>
      <w:r w:rsidRPr="009F06D7">
        <w:t xml:space="preserve">xcess returns </w:t>
      </w:r>
      <w:r>
        <w:t>are the realised returns</w:t>
      </w:r>
      <w:r>
        <w:rPr>
          <w:rStyle w:val="FootnoteReference"/>
        </w:rPr>
        <w:footnoteReference w:id="787"/>
      </w:r>
      <w:r w:rsidRPr="009F06D7">
        <w:t xml:space="preserve"> </w:t>
      </w:r>
      <w:r>
        <w:t xml:space="preserve">that </w:t>
      </w:r>
      <w:r w:rsidRPr="009F06D7">
        <w:t>stocks have earned in excess of the</w:t>
      </w:r>
      <w:r>
        <w:t xml:space="preserve"> returns on government bonds with a ten-year term-to-maturity.</w:t>
      </w:r>
    </w:p>
    <w:p w:rsidR="00A71C54" w:rsidRPr="00DC72A3" w:rsidRDefault="00A71C54" w:rsidP="00A71C54">
      <w:pPr>
        <w:rPr>
          <w:rStyle w:val="AERbody"/>
        </w:rPr>
      </w:pPr>
      <w:r w:rsidRPr="00DC72A3">
        <w:rPr>
          <w:rStyle w:val="AERbody"/>
        </w:rPr>
        <w:t>Our dataset and methodology is based on Brailsford, Handley, and Maheswaran</w:t>
      </w:r>
      <w:r>
        <w:rPr>
          <w:rStyle w:val="AERbody"/>
        </w:rPr>
        <w:t xml:space="preserve"> (Brailsford et al)</w:t>
      </w:r>
      <w:r w:rsidRPr="00DC72A3">
        <w:rPr>
          <w:rStyle w:val="AERbody"/>
        </w:rPr>
        <w:t>.</w:t>
      </w:r>
      <w:r w:rsidRPr="00DC72A3">
        <w:rPr>
          <w:rStyle w:val="AERsuperscript"/>
        </w:rPr>
        <w:footnoteReference w:id="788"/>
      </w:r>
      <w:r w:rsidRPr="00DC72A3">
        <w:rPr>
          <w:rStyle w:val="AERbody"/>
        </w:rPr>
        <w:t xml:space="preserve"> </w:t>
      </w:r>
      <w:r>
        <w:rPr>
          <w:rStyle w:val="AERbody"/>
        </w:rPr>
        <w:t>A</w:t>
      </w:r>
      <w:r w:rsidRPr="00DC72A3">
        <w:rPr>
          <w:rStyle w:val="AERbody"/>
        </w:rPr>
        <w:t xml:space="preserve"> detailed discussion on data and methodology</w:t>
      </w:r>
      <w:r>
        <w:rPr>
          <w:rStyle w:val="AERbody"/>
        </w:rPr>
        <w:t xml:space="preserve"> </w:t>
      </w:r>
      <w:r w:rsidRPr="00DC72A3">
        <w:rPr>
          <w:rStyle w:val="AERbody"/>
        </w:rPr>
        <w:t xml:space="preserve">can be found </w:t>
      </w:r>
      <w:r>
        <w:rPr>
          <w:rStyle w:val="AERbody"/>
        </w:rPr>
        <w:t>in</w:t>
      </w:r>
      <w:r w:rsidRPr="00DC72A3">
        <w:rPr>
          <w:rStyle w:val="AERbody"/>
        </w:rPr>
        <w:t xml:space="preserve"> </w:t>
      </w:r>
      <w:r>
        <w:rPr>
          <w:rStyle w:val="AERbody"/>
        </w:rPr>
        <w:t>Brailsford et al</w:t>
      </w:r>
      <w:r w:rsidRPr="00DC72A3">
        <w:rPr>
          <w:rStyle w:val="AERbody"/>
        </w:rPr>
        <w:t xml:space="preserve">, our Guideline, and </w:t>
      </w:r>
      <w:r>
        <w:rPr>
          <w:rStyle w:val="AERbody"/>
        </w:rPr>
        <w:t xml:space="preserve">attachment 3 to our </w:t>
      </w:r>
      <w:r w:rsidR="008262CF">
        <w:rPr>
          <w:rStyle w:val="AERbody"/>
        </w:rPr>
        <w:t xml:space="preserve">preliminary </w:t>
      </w:r>
      <w:r>
        <w:rPr>
          <w:rStyle w:val="AERbody"/>
        </w:rPr>
        <w:t>decision for AusNet Services</w:t>
      </w:r>
      <w:r w:rsidR="008262CF">
        <w:rPr>
          <w:rStyle w:val="AERbody"/>
        </w:rPr>
        <w:t>' 2016-20 distribution determination</w:t>
      </w:r>
      <w:r w:rsidRPr="00DC72A3">
        <w:rPr>
          <w:rStyle w:val="AERbody"/>
        </w:rPr>
        <w:t xml:space="preserve">. </w:t>
      </w:r>
    </w:p>
    <w:p w:rsidR="00A71C54" w:rsidRDefault="00A71C54" w:rsidP="00A71C54">
      <w:r>
        <w:t>In the remainder of this section we examine:</w:t>
      </w:r>
    </w:p>
    <w:p w:rsidR="00A71C54" w:rsidRDefault="00A71C54" w:rsidP="00A71C54">
      <w:pPr>
        <w:pStyle w:val="AERbulletlistfirststyle"/>
      </w:pPr>
      <w:r>
        <w:t>Prevailing estimates for both excess returns and total returns</w:t>
      </w:r>
      <w:r w:rsidR="00234AE3">
        <w:t>.</w:t>
      </w:r>
    </w:p>
    <w:p w:rsidR="00A71C54" w:rsidRDefault="00A71C54" w:rsidP="00A71C54">
      <w:pPr>
        <w:pStyle w:val="AERbulletlistfirststyle"/>
      </w:pPr>
      <w:r>
        <w:t>The relative merits of arithmetic and geometric averages of historical returns</w:t>
      </w:r>
      <w:r w:rsidR="00234AE3">
        <w:t>.</w:t>
      </w:r>
    </w:p>
    <w:p w:rsidR="00A71C54" w:rsidRDefault="00A71C54" w:rsidP="00A71C54">
      <w:pPr>
        <w:pStyle w:val="AERbulletlistfirststyle"/>
      </w:pPr>
      <w:r>
        <w:t>The relative merits of the ASX's adjustment and NERA's adjustment to historical stock returns data</w:t>
      </w:r>
      <w:r w:rsidR="00DE5579">
        <w:t xml:space="preserve">. </w:t>
      </w:r>
    </w:p>
    <w:p w:rsidR="00A71C54" w:rsidRPr="00A71C54" w:rsidRDefault="00A71C54" w:rsidP="00376690">
      <w:pPr>
        <w:pStyle w:val="Heading8"/>
        <w:numPr>
          <w:ilvl w:val="1"/>
          <w:numId w:val="59"/>
        </w:numPr>
      </w:pPr>
      <w:bookmarkStart w:id="182" w:name="_Toc443923197"/>
      <w:bookmarkStart w:id="183" w:name="_Ref444735329"/>
      <w:bookmarkStart w:id="184" w:name="_Toc451938977"/>
      <w:bookmarkStart w:id="185" w:name="_Toc456686725"/>
      <w:r>
        <w:t>Prevailing estimates: excess returns</w:t>
      </w:r>
      <w:bookmarkEnd w:id="182"/>
      <w:bookmarkEnd w:id="183"/>
      <w:bookmarkEnd w:id="184"/>
      <w:bookmarkEnd w:id="185"/>
    </w:p>
    <w:p w:rsidR="00A71C54" w:rsidRDefault="00A71C54" w:rsidP="00A71C54">
      <w:r>
        <w:fldChar w:fldCharType="begin"/>
      </w:r>
      <w:r>
        <w:instrText xml:space="preserve"> REF _Ref432619921 \h </w:instrText>
      </w:r>
      <w:r>
        <w:fldChar w:fldCharType="separate"/>
      </w:r>
      <w:r w:rsidR="003F1AAB">
        <w:t xml:space="preserve">Table </w:t>
      </w:r>
      <w:r w:rsidR="003F1AAB">
        <w:rPr>
          <w:noProof/>
        </w:rPr>
        <w:t>3</w:t>
      </w:r>
      <w:r w:rsidR="003F1AAB">
        <w:noBreakHyphen/>
      </w:r>
      <w:r w:rsidR="003F1AAB">
        <w:rPr>
          <w:noProof/>
        </w:rPr>
        <w:t>22</w:t>
      </w:r>
      <w:r>
        <w:fldChar w:fldCharType="end"/>
      </w:r>
      <w:r w:rsidRPr="00DD37EB">
        <w:t xml:space="preserve"> sets out </w:t>
      </w:r>
      <w:r>
        <w:t xml:space="preserve">our estimates of </w:t>
      </w:r>
      <w:r w:rsidRPr="00DD37EB">
        <w:t>historical excess returns</w:t>
      </w:r>
      <w:r>
        <w:t xml:space="preserve">, measured using both </w:t>
      </w:r>
      <w:r w:rsidRPr="00DD37EB">
        <w:t>arithmetic and geometric average</w:t>
      </w:r>
      <w:r>
        <w:t>s, and</w:t>
      </w:r>
      <w:r w:rsidRPr="00DD37EB">
        <w:t xml:space="preserve"> estimated over different </w:t>
      </w:r>
      <w:r>
        <w:t>sample periods up until the 2015</w:t>
      </w:r>
      <w:r w:rsidRPr="00DD37EB">
        <w:t xml:space="preserve"> calendar year end.</w:t>
      </w:r>
      <w:r w:rsidRPr="00DD37EB">
        <w:rPr>
          <w:rStyle w:val="FootnoteReference"/>
        </w:rPr>
        <w:footnoteReference w:id="789"/>
      </w:r>
      <w:r w:rsidRPr="00DD37EB">
        <w:t xml:space="preserve"> </w:t>
      </w:r>
      <w:r>
        <w:t>Arithmetic average measures</w:t>
      </w:r>
      <w:r w:rsidRPr="00DD37EB">
        <w:t xml:space="preserve"> range between </w:t>
      </w:r>
      <w:r>
        <w:t>5.2</w:t>
      </w:r>
      <w:r w:rsidRPr="00DD37EB">
        <w:t xml:space="preserve"> and </w:t>
      </w:r>
      <w:r>
        <w:t>6.2</w:t>
      </w:r>
      <w:r w:rsidRPr="00DD37EB">
        <w:t xml:space="preserve"> per cent and geometric average</w:t>
      </w:r>
      <w:r>
        <w:t xml:space="preserve"> measures</w:t>
      </w:r>
      <w:r w:rsidRPr="00DD37EB">
        <w:t xml:space="preserve"> range between </w:t>
      </w:r>
      <w:r>
        <w:t>3.5</w:t>
      </w:r>
      <w:r w:rsidRPr="00DD37EB">
        <w:t xml:space="preserve"> and </w:t>
      </w:r>
      <w:r>
        <w:t>4.8</w:t>
      </w:r>
      <w:r w:rsidRPr="00DD37EB">
        <w:t xml:space="preserve"> per cent.</w:t>
      </w:r>
      <w:r>
        <w:t xml:space="preserve">  </w:t>
      </w:r>
    </w:p>
    <w:p w:rsidR="00A71C54" w:rsidRPr="007B58A9" w:rsidRDefault="00A71C54" w:rsidP="00A71C54">
      <w:pPr>
        <w:pStyle w:val="Caption"/>
        <w:rPr>
          <w:rStyle w:val="Strong"/>
        </w:rPr>
      </w:pPr>
      <w:bookmarkStart w:id="186" w:name="_Ref432619921"/>
      <w:r>
        <w:t xml:space="preserve">Table </w:t>
      </w:r>
      <w:fldSimple w:instr=" STYLEREF 1 \s ">
        <w:r w:rsidR="003F1AAB">
          <w:rPr>
            <w:noProof/>
          </w:rPr>
          <w:t>3</w:t>
        </w:r>
      </w:fldSimple>
      <w:r>
        <w:noBreakHyphen/>
      </w:r>
      <w:fldSimple w:instr=" SEQ Table \* ARABIC \s 1 ">
        <w:r w:rsidR="003F1AAB">
          <w:rPr>
            <w:noProof/>
          </w:rPr>
          <w:t>22</w:t>
        </w:r>
      </w:fldSimple>
      <w:bookmarkEnd w:id="186"/>
      <w:r>
        <w:tab/>
      </w:r>
      <w:r w:rsidRPr="005F2D3F">
        <w:t>Historical excess returns (per cent)</w:t>
      </w:r>
    </w:p>
    <w:tbl>
      <w:tblPr>
        <w:tblStyle w:val="AERtable-numbers"/>
        <w:tblW w:w="5000" w:type="pct"/>
        <w:tblLook w:val="01E0" w:firstRow="1" w:lastRow="1" w:firstColumn="1" w:lastColumn="1" w:noHBand="0" w:noVBand="0"/>
      </w:tblPr>
      <w:tblGrid>
        <w:gridCol w:w="2897"/>
        <w:gridCol w:w="2898"/>
        <w:gridCol w:w="2898"/>
      </w:tblGrid>
      <w:tr w:rsidR="00A71C54" w:rsidRPr="00F7507F" w:rsidTr="00A71C5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A71C54" w:rsidRPr="00A71C54" w:rsidRDefault="00A71C54" w:rsidP="00A71C54">
            <w:pPr>
              <w:rPr>
                <w:rStyle w:val="Strong"/>
              </w:rPr>
            </w:pPr>
            <w:r w:rsidRPr="00DD37EB">
              <w:rPr>
                <w:rStyle w:val="Strong"/>
              </w:rPr>
              <w:t>Sampling period</w:t>
            </w:r>
          </w:p>
        </w:tc>
        <w:tc>
          <w:tcPr>
            <w:tcW w:w="1667" w:type="pct"/>
            <w:noWrap/>
          </w:tcPr>
          <w:p w:rsidR="00A71C54" w:rsidRPr="00A71C54" w:rsidRDefault="00A71C54" w:rsidP="00A71C54">
            <w:pPr>
              <w:cnfStyle w:val="100000000000" w:firstRow="1" w:lastRow="0" w:firstColumn="0" w:lastColumn="0" w:oddVBand="0" w:evenVBand="0" w:oddHBand="0" w:evenHBand="0" w:firstRowFirstColumn="0" w:firstRowLastColumn="0" w:lastRowFirstColumn="0" w:lastRowLastColumn="0"/>
              <w:rPr>
                <w:rStyle w:val="Strong"/>
              </w:rPr>
            </w:pPr>
            <w:r w:rsidRPr="00DD37EB">
              <w:rPr>
                <w:rStyle w:val="Strong"/>
              </w:rPr>
              <w:t xml:space="preserve">Arithmetic </w:t>
            </w:r>
            <w:r w:rsidRPr="00A71C54">
              <w:rPr>
                <w:rStyle w:val="Strong"/>
              </w:rPr>
              <w:t>average</w:t>
            </w:r>
          </w:p>
        </w:tc>
        <w:tc>
          <w:tcPr>
            <w:tcW w:w="1667" w:type="pct"/>
            <w:noWrap/>
          </w:tcPr>
          <w:p w:rsidR="00A71C54" w:rsidRPr="00A71C54" w:rsidRDefault="00A71C54" w:rsidP="00A71C54">
            <w:pPr>
              <w:cnfStyle w:val="100000000000" w:firstRow="1" w:lastRow="0" w:firstColumn="0" w:lastColumn="0" w:oddVBand="0" w:evenVBand="0" w:oddHBand="0" w:evenHBand="0" w:firstRowFirstColumn="0" w:firstRowLastColumn="0" w:lastRowFirstColumn="0" w:lastRowLastColumn="0"/>
              <w:rPr>
                <w:rStyle w:val="Strong"/>
              </w:rPr>
            </w:pPr>
            <w:r w:rsidRPr="00DD37EB">
              <w:rPr>
                <w:rStyle w:val="Strong"/>
              </w:rPr>
              <w:t xml:space="preserve">Geometric </w:t>
            </w:r>
            <w:r w:rsidRPr="00A71C54">
              <w:rPr>
                <w:rStyle w:val="Strong"/>
              </w:rPr>
              <w:t>average</w:t>
            </w:r>
          </w:p>
        </w:tc>
      </w:tr>
      <w:tr w:rsidR="00A71C54" w:rsidRPr="00F7507F" w:rsidTr="00A71C54">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A71C54" w:rsidRPr="00A71C54" w:rsidRDefault="00A71C54" w:rsidP="00A71C54">
            <w:r w:rsidRPr="00F7507F">
              <w:t>1883–</w:t>
            </w:r>
            <w:r w:rsidRPr="00A71C54">
              <w:t>2015</w:t>
            </w:r>
          </w:p>
        </w:tc>
        <w:tc>
          <w:tcPr>
            <w:tcW w:w="1667" w:type="pct"/>
            <w:noWrap/>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6.1</w:t>
            </w:r>
          </w:p>
        </w:tc>
        <w:tc>
          <w:tcPr>
            <w:tcW w:w="1667" w:type="pct"/>
            <w:noWrap/>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4.</w:t>
            </w:r>
            <w:r w:rsidRPr="00A71C54">
              <w:t>8</w:t>
            </w:r>
          </w:p>
        </w:tc>
      </w:tr>
      <w:tr w:rsidR="00A71C54" w:rsidRPr="00F7507F" w:rsidTr="00A71C5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A71C54" w:rsidRPr="00A71C54" w:rsidRDefault="00A71C54" w:rsidP="00A71C54">
            <w:r w:rsidRPr="00F7507F">
              <w:t>1937–</w:t>
            </w:r>
            <w:r w:rsidRPr="00A71C54">
              <w:t>2015</w:t>
            </w:r>
          </w:p>
        </w:tc>
        <w:tc>
          <w:tcPr>
            <w:tcW w:w="1667" w:type="pct"/>
            <w:noWrap/>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5.</w:t>
            </w:r>
            <w:r w:rsidRPr="00A71C54">
              <w:t>7</w:t>
            </w:r>
          </w:p>
        </w:tc>
        <w:tc>
          <w:tcPr>
            <w:tcW w:w="1667" w:type="pct"/>
            <w:noWrap/>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3.</w:t>
            </w:r>
            <w:r w:rsidRPr="00A71C54">
              <w:t>9</w:t>
            </w:r>
          </w:p>
        </w:tc>
      </w:tr>
      <w:tr w:rsidR="00A71C54" w:rsidRPr="00F7507F" w:rsidTr="00A71C54">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A71C54" w:rsidRPr="00A71C54" w:rsidRDefault="00A71C54" w:rsidP="00A71C54">
            <w:r>
              <w:t>1958–</w:t>
            </w:r>
            <w:r w:rsidRPr="00A71C54">
              <w:t>2015</w:t>
            </w:r>
          </w:p>
        </w:tc>
        <w:tc>
          <w:tcPr>
            <w:tcW w:w="1667" w:type="pct"/>
            <w:noWrap/>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6</w:t>
            </w:r>
            <w:r w:rsidRPr="00A71C54">
              <w:t>.2</w:t>
            </w:r>
          </w:p>
        </w:tc>
        <w:tc>
          <w:tcPr>
            <w:tcW w:w="1667" w:type="pct"/>
            <w:noWrap/>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3.8</w:t>
            </w:r>
          </w:p>
        </w:tc>
      </w:tr>
      <w:tr w:rsidR="00A71C54" w:rsidRPr="00F7507F" w:rsidTr="00A71C5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A71C54" w:rsidRPr="00A71C54" w:rsidRDefault="00A71C54" w:rsidP="00A71C54">
            <w:r w:rsidRPr="00F7507F">
              <w:t>1980–</w:t>
            </w:r>
            <w:r w:rsidRPr="00A71C54">
              <w:t>2015</w:t>
            </w:r>
          </w:p>
        </w:tc>
        <w:tc>
          <w:tcPr>
            <w:tcW w:w="1667" w:type="pct"/>
            <w:noWrap/>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5.</w:t>
            </w:r>
            <w:r w:rsidRPr="00A71C54">
              <w:t>9</w:t>
            </w:r>
          </w:p>
        </w:tc>
        <w:tc>
          <w:tcPr>
            <w:tcW w:w="1667" w:type="pct"/>
            <w:noWrap/>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3.5</w:t>
            </w:r>
          </w:p>
        </w:tc>
      </w:tr>
      <w:tr w:rsidR="00A71C54" w:rsidRPr="00F7507F" w:rsidTr="00A71C54">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A71C54" w:rsidRPr="00A71C54" w:rsidRDefault="00A71C54" w:rsidP="00A71C54">
            <w:r w:rsidRPr="00F7507F">
              <w:t>1988–</w:t>
            </w:r>
            <w:r w:rsidRPr="00A71C54">
              <w:t>2015</w:t>
            </w:r>
          </w:p>
        </w:tc>
        <w:tc>
          <w:tcPr>
            <w:tcW w:w="1667" w:type="pct"/>
            <w:noWrap/>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5.</w:t>
            </w:r>
            <w:r w:rsidRPr="00A71C54">
              <w:t>2</w:t>
            </w:r>
          </w:p>
        </w:tc>
        <w:tc>
          <w:tcPr>
            <w:tcW w:w="1667" w:type="pct"/>
            <w:noWrap/>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3.</w:t>
            </w:r>
            <w:r w:rsidRPr="00A71C54">
              <w:t>6</w:t>
            </w:r>
          </w:p>
        </w:tc>
      </w:tr>
    </w:tbl>
    <w:p w:rsidR="00A71C54" w:rsidRPr="00A71C54" w:rsidRDefault="00A71C54" w:rsidP="00A71C54">
      <w:pPr>
        <w:pStyle w:val="AERtablesource"/>
      </w:pPr>
      <w:r w:rsidRPr="00823B7B">
        <w:t>Source:</w:t>
      </w:r>
      <w:r w:rsidRPr="00823B7B">
        <w:tab/>
        <w:t xml:space="preserve">Handley, </w:t>
      </w:r>
      <w:r w:rsidRPr="00A71C54">
        <w:rPr>
          <w:rStyle w:val="AERtextitalic"/>
        </w:rPr>
        <w:t>An estimate of the historical equity risk premium for the period 1883 to 2011</w:t>
      </w:r>
      <w:r w:rsidRPr="00A71C54">
        <w:t>, April 2012, p. 6. AER update for 2012–2015 market data.</w:t>
      </w:r>
    </w:p>
    <w:p w:rsidR="00A71C54" w:rsidRPr="00DE1A32" w:rsidRDefault="00A71C54" w:rsidP="00A71C54">
      <w:pPr>
        <w:pStyle w:val="AERtablesource"/>
      </w:pPr>
      <w:r>
        <w:t>Notes</w:t>
      </w:r>
      <w:r w:rsidRPr="00DE1A32">
        <w:t xml:space="preserve">: </w:t>
      </w:r>
      <w:r w:rsidRPr="00DE1A32">
        <w:tab/>
      </w:r>
      <w:r>
        <w:t>Based on a theta of 0.6.</w:t>
      </w:r>
    </w:p>
    <w:p w:rsidR="00A71C54" w:rsidRPr="006705B3" w:rsidRDefault="00A71C54" w:rsidP="00A71C54">
      <w:pPr>
        <w:pStyle w:val="Heading8"/>
      </w:pPr>
      <w:bookmarkStart w:id="187" w:name="_Toc443923198"/>
      <w:bookmarkStart w:id="188" w:name="_Ref444735331"/>
      <w:bookmarkStart w:id="189" w:name="_Ref445926700"/>
      <w:bookmarkStart w:id="190" w:name="_Ref449053064"/>
      <w:bookmarkStart w:id="191" w:name="_Toc451938978"/>
      <w:bookmarkStart w:id="192" w:name="_Toc456686726"/>
      <w:r>
        <w:t>P</w:t>
      </w:r>
      <w:r w:rsidRPr="006705B3">
        <w:t xml:space="preserve">revailing estimates: </w:t>
      </w:r>
      <w:r>
        <w:t>total</w:t>
      </w:r>
      <w:r w:rsidRPr="006705B3">
        <w:t xml:space="preserve"> returns</w:t>
      </w:r>
      <w:bookmarkEnd w:id="187"/>
      <w:bookmarkEnd w:id="188"/>
      <w:bookmarkEnd w:id="189"/>
      <w:bookmarkEnd w:id="190"/>
      <w:bookmarkEnd w:id="191"/>
      <w:bookmarkEnd w:id="192"/>
    </w:p>
    <w:p w:rsidR="00A71C54" w:rsidRDefault="00A71C54" w:rsidP="00A71C54">
      <w:r>
        <w:fldChar w:fldCharType="begin"/>
      </w:r>
      <w:r>
        <w:instrText xml:space="preserve"> REF _Ref417570520 \h </w:instrText>
      </w:r>
      <w:r>
        <w:fldChar w:fldCharType="separate"/>
      </w:r>
      <w:r w:rsidR="003F1AAB">
        <w:t xml:space="preserve">Table </w:t>
      </w:r>
      <w:r w:rsidR="003F1AAB">
        <w:rPr>
          <w:noProof/>
        </w:rPr>
        <w:t>3</w:t>
      </w:r>
      <w:r w:rsidR="003F1AAB">
        <w:noBreakHyphen/>
      </w:r>
      <w:r w:rsidR="003F1AAB">
        <w:rPr>
          <w:noProof/>
        </w:rPr>
        <w:t>23</w:t>
      </w:r>
      <w:r>
        <w:fldChar w:fldCharType="end"/>
      </w:r>
      <w:r w:rsidRPr="00760BFA">
        <w:t xml:space="preserve"> sets out our estimates of historical returns on the market portfolio.</w:t>
      </w:r>
      <w:r w:rsidRPr="00F57E56">
        <w:t xml:space="preserve"> </w:t>
      </w:r>
      <w:r>
        <w:t>The nominal return ranges from 10.0 to 12.7. We use a range because the estimated return on the market will vary depending on the time period used.</w:t>
      </w:r>
      <w:r>
        <w:rPr>
          <w:rStyle w:val="FootnoteReference"/>
        </w:rPr>
        <w:footnoteReference w:id="790"/>
      </w:r>
    </w:p>
    <w:p w:rsidR="00A71C54" w:rsidRPr="00276FAF" w:rsidRDefault="00A71C54" w:rsidP="00A71C54">
      <w:pPr>
        <w:pStyle w:val="Caption"/>
        <w:rPr>
          <w:rStyle w:val="Strong"/>
        </w:rPr>
      </w:pPr>
      <w:bookmarkStart w:id="193" w:name="_Ref417570520"/>
      <w:r>
        <w:t xml:space="preserve">Table </w:t>
      </w:r>
      <w:fldSimple w:instr=" STYLEREF 1 \s ">
        <w:r w:rsidR="003F1AAB">
          <w:rPr>
            <w:noProof/>
          </w:rPr>
          <w:t>3</w:t>
        </w:r>
      </w:fldSimple>
      <w:r>
        <w:noBreakHyphen/>
      </w:r>
      <w:fldSimple w:instr=" SEQ Table \* ARABIC \s 1 ">
        <w:r w:rsidR="003F1AAB">
          <w:rPr>
            <w:noProof/>
          </w:rPr>
          <w:t>23</w:t>
        </w:r>
      </w:fldSimple>
      <w:bookmarkEnd w:id="193"/>
      <w:r>
        <w:tab/>
      </w:r>
      <w:r w:rsidRPr="005F2D3F">
        <w:t xml:space="preserve">Historical returns on the market portfolio </w:t>
      </w:r>
      <w:r>
        <w:t>(per cent)</w:t>
      </w:r>
    </w:p>
    <w:tbl>
      <w:tblPr>
        <w:tblStyle w:val="AERtable-numbers"/>
        <w:tblW w:w="8755" w:type="dxa"/>
        <w:tblLook w:val="04A0" w:firstRow="1" w:lastRow="0" w:firstColumn="1" w:lastColumn="0" w:noHBand="0" w:noVBand="1"/>
      </w:tblPr>
      <w:tblGrid>
        <w:gridCol w:w="1909"/>
        <w:gridCol w:w="3423"/>
        <w:gridCol w:w="3423"/>
      </w:tblGrid>
      <w:tr w:rsidR="00A71C54" w:rsidRPr="00B9584E" w:rsidTr="00A71C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rsidRPr="00B9584E">
              <w:t>Sampling period</w:t>
            </w:r>
          </w:p>
        </w:tc>
        <w:tc>
          <w:tcPr>
            <w:tcW w:w="3423" w:type="dxa"/>
          </w:tcPr>
          <w:p w:rsidR="00A71C54" w:rsidRPr="00A71C54" w:rsidRDefault="00A71C54" w:rsidP="00A71C54">
            <w:pPr>
              <w:cnfStyle w:val="100000000000" w:firstRow="1" w:lastRow="0" w:firstColumn="0" w:lastColumn="0" w:oddVBand="0" w:evenVBand="0" w:oddHBand="0" w:evenHBand="0" w:firstRowFirstColumn="0" w:firstRowLastColumn="0" w:lastRowFirstColumn="0" w:lastRowLastColumn="0"/>
            </w:pPr>
            <w:r w:rsidRPr="009E266F">
              <w:t>Market return (real)</w:t>
            </w:r>
          </w:p>
        </w:tc>
        <w:tc>
          <w:tcPr>
            <w:tcW w:w="3423" w:type="dxa"/>
          </w:tcPr>
          <w:p w:rsidR="00A71C54" w:rsidRPr="00A71C54" w:rsidRDefault="00A71C54" w:rsidP="00A71C54">
            <w:pPr>
              <w:cnfStyle w:val="100000000000" w:firstRow="1" w:lastRow="0" w:firstColumn="0" w:lastColumn="0" w:oddVBand="0" w:evenVBand="0" w:oddHBand="0" w:evenHBand="0" w:firstRowFirstColumn="0" w:firstRowLastColumn="0" w:lastRowFirstColumn="0" w:lastRowLastColumn="0"/>
            </w:pPr>
            <w:r w:rsidRPr="009E266F">
              <w:t>Market return (nominal)</w:t>
            </w:r>
          </w:p>
        </w:tc>
      </w:tr>
      <w:tr w:rsidR="00A71C54" w:rsidRPr="00B9584E" w:rsidTr="00A71C54">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t>1883</w:t>
            </w:r>
            <w:r w:rsidRPr="00A71C54">
              <w:t>–2015</w:t>
            </w:r>
          </w:p>
        </w:tc>
        <w:tc>
          <w:tcPr>
            <w:tcW w:w="3423" w:type="dxa"/>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8.</w:t>
            </w:r>
            <w:r w:rsidRPr="00A71C54">
              <w:t>6</w:t>
            </w:r>
          </w:p>
        </w:tc>
        <w:tc>
          <w:tcPr>
            <w:tcW w:w="3423" w:type="dxa"/>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11.</w:t>
            </w:r>
            <w:r w:rsidRPr="00A71C54">
              <w:t>3</w:t>
            </w:r>
          </w:p>
        </w:tc>
      </w:tr>
      <w:tr w:rsidR="00A71C54" w:rsidRPr="00B9584E" w:rsidTr="00A71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t>1937–201</w:t>
            </w:r>
            <w:r w:rsidRPr="00A71C54">
              <w:t>5</w:t>
            </w:r>
          </w:p>
        </w:tc>
        <w:tc>
          <w:tcPr>
            <w:tcW w:w="3423" w:type="dxa"/>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7.</w:t>
            </w:r>
            <w:r w:rsidRPr="00A71C54">
              <w:t>3</w:t>
            </w:r>
          </w:p>
        </w:tc>
        <w:tc>
          <w:tcPr>
            <w:tcW w:w="3423" w:type="dxa"/>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10.</w:t>
            </w:r>
            <w:r w:rsidRPr="00A71C54">
              <w:t>0</w:t>
            </w:r>
          </w:p>
        </w:tc>
      </w:tr>
      <w:tr w:rsidR="00A71C54" w:rsidRPr="00B9584E" w:rsidTr="00A71C54">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t>1958–201</w:t>
            </w:r>
            <w:r w:rsidRPr="00A71C54">
              <w:t>5</w:t>
            </w:r>
          </w:p>
        </w:tc>
        <w:tc>
          <w:tcPr>
            <w:tcW w:w="3423" w:type="dxa"/>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8.9</w:t>
            </w:r>
          </w:p>
        </w:tc>
        <w:tc>
          <w:tcPr>
            <w:tcW w:w="3423" w:type="dxa"/>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11.</w:t>
            </w:r>
            <w:r w:rsidRPr="00A71C54">
              <w:t>6</w:t>
            </w:r>
          </w:p>
        </w:tc>
      </w:tr>
      <w:tr w:rsidR="00A71C54" w:rsidRPr="00B9584E" w:rsidTr="00A71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t>1980–201</w:t>
            </w:r>
            <w:r w:rsidRPr="00A71C54">
              <w:t>5</w:t>
            </w:r>
          </w:p>
        </w:tc>
        <w:tc>
          <w:tcPr>
            <w:tcW w:w="3423" w:type="dxa"/>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9.9</w:t>
            </w:r>
          </w:p>
        </w:tc>
        <w:tc>
          <w:tcPr>
            <w:tcW w:w="3423" w:type="dxa"/>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1</w:t>
            </w:r>
            <w:r w:rsidRPr="00A71C54">
              <w:t>2.7</w:t>
            </w:r>
          </w:p>
        </w:tc>
      </w:tr>
      <w:tr w:rsidR="00A71C54" w:rsidRPr="00B9584E" w:rsidTr="00A71C54">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t>1988–201</w:t>
            </w:r>
            <w:r w:rsidRPr="00A71C54">
              <w:t>5</w:t>
            </w:r>
          </w:p>
        </w:tc>
        <w:tc>
          <w:tcPr>
            <w:tcW w:w="3423" w:type="dxa"/>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9.</w:t>
            </w:r>
            <w:r w:rsidRPr="00A71C54">
              <w:t>3</w:t>
            </w:r>
          </w:p>
        </w:tc>
        <w:tc>
          <w:tcPr>
            <w:tcW w:w="3423" w:type="dxa"/>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12.</w:t>
            </w:r>
            <w:r w:rsidRPr="00A71C54">
              <w:t>0</w:t>
            </w:r>
          </w:p>
        </w:tc>
      </w:tr>
    </w:tbl>
    <w:p w:rsidR="00A71C54" w:rsidRPr="00BA0AFD" w:rsidRDefault="00A71C54" w:rsidP="00A71C54">
      <w:pPr>
        <w:pStyle w:val="AERtablesource"/>
      </w:pPr>
      <w:r w:rsidRPr="00823B7B">
        <w:t>Source:</w:t>
      </w:r>
      <w:r w:rsidRPr="00823B7B">
        <w:tab/>
        <w:t xml:space="preserve">Handley, </w:t>
      </w:r>
      <w:r w:rsidRPr="00BA0AFD">
        <w:rPr>
          <w:rStyle w:val="AERtextitalic"/>
        </w:rPr>
        <w:t>An estimate of the historical equity risk premium for the period 1883 to 2011</w:t>
      </w:r>
      <w:r w:rsidRPr="00BA0AFD">
        <w:t>, April 2012, p. 6. AER update for 2012–201</w:t>
      </w:r>
      <w:r>
        <w:t>5</w:t>
      </w:r>
      <w:r w:rsidRPr="00BA0AFD">
        <w:t xml:space="preserve"> market data.</w:t>
      </w:r>
    </w:p>
    <w:p w:rsidR="00A71C54" w:rsidRPr="00BA0AFD" w:rsidRDefault="00A71C54" w:rsidP="00A71C54">
      <w:pPr>
        <w:pStyle w:val="AERtablesource"/>
      </w:pPr>
      <w:r>
        <w:t>Notes</w:t>
      </w:r>
      <w:r>
        <w:tab/>
        <w:t>Historical market returns are estimated using arithmetic averages, a</w:t>
      </w:r>
      <w:r w:rsidRPr="00BA0AFD">
        <w:t xml:space="preserve">ssuming </w:t>
      </w:r>
      <w:r>
        <w:t xml:space="preserve">a theta value of 0.6, and assuming </w:t>
      </w:r>
      <w:r w:rsidRPr="00BA0AFD">
        <w:t xml:space="preserve">an inflation rate of 2.5 per cent. Nominal figures calculated by the AER using the Fisher equation: </w:t>
      </w:r>
    </w:p>
    <w:p w:rsidR="00A71C54" w:rsidRPr="00BA0AFD" w:rsidRDefault="00A71C54" w:rsidP="00A71C54">
      <w:pPr>
        <w:pStyle w:val="AERtablesource"/>
      </w:pPr>
      <w:r w:rsidRPr="00823B7B">
        <w:tab/>
        <w:t>1+i</w:t>
      </w:r>
      <w:proofErr w:type="gramStart"/>
      <w:r w:rsidRPr="00823B7B">
        <w:t>=(</w:t>
      </w:r>
      <w:proofErr w:type="gramEnd"/>
      <w:r w:rsidRPr="00823B7B">
        <w:t>1+r)×(1+</w:t>
      </w:r>
      <w:r w:rsidRPr="00BA0AFD">
        <w:rPr>
          <w:rFonts w:hint="eastAsia"/>
        </w:rPr>
        <w:t>π</w:t>
      </w:r>
      <w:r w:rsidRPr="00BA0AFD">
        <w:t xml:space="preserve">) where r denotes the real return, i denotes the nominal return and </w:t>
      </w:r>
      <w:r w:rsidRPr="00BA0AFD">
        <w:rPr>
          <w:rFonts w:hint="eastAsia"/>
        </w:rPr>
        <w:t>π</w:t>
      </w:r>
      <w:r w:rsidRPr="00BA0AFD">
        <w:t xml:space="preserve"> denotes the inflation rate</w:t>
      </w:r>
      <w:r>
        <w:t>.</w:t>
      </w:r>
    </w:p>
    <w:p w:rsidR="00A71C54" w:rsidRDefault="00A71C54" w:rsidP="00A71C54">
      <w:r>
        <w:t>We estimate a return on equity under the Wright CAPM</w:t>
      </w:r>
      <w:r>
        <w:rPr>
          <w:rStyle w:val="FootnoteReference"/>
        </w:rPr>
        <w:footnoteReference w:id="791"/>
      </w:r>
      <w:r>
        <w:t xml:space="preserve"> by combining the historical nominal market return with our prevailing risk free rate estimate</w:t>
      </w:r>
      <w:r>
        <w:rPr>
          <w:rStyle w:val="FootnoteReference"/>
        </w:rPr>
        <w:footnoteReference w:id="792"/>
      </w:r>
      <w:r>
        <w:t xml:space="preserve"> and equity beta estimates.</w:t>
      </w:r>
      <w:r>
        <w:rPr>
          <w:rStyle w:val="FootnoteReference"/>
        </w:rPr>
        <w:footnoteReference w:id="793"/>
      </w:r>
      <w:r>
        <w:t xml:space="preserve"> As shown in </w:t>
      </w:r>
      <w:r>
        <w:fldChar w:fldCharType="begin"/>
      </w:r>
      <w:r>
        <w:instrText xml:space="preserve"> REF _Ref443916669 \h </w:instrText>
      </w:r>
      <w:r>
        <w:fldChar w:fldCharType="separate"/>
      </w:r>
      <w:r w:rsidR="003F1AAB">
        <w:t xml:space="preserve">Table </w:t>
      </w:r>
      <w:r w:rsidR="003F1AAB">
        <w:rPr>
          <w:noProof/>
        </w:rPr>
        <w:t>3</w:t>
      </w:r>
      <w:r w:rsidR="003F1AAB">
        <w:noBreakHyphen/>
      </w:r>
      <w:r w:rsidR="003F1AAB">
        <w:rPr>
          <w:noProof/>
        </w:rPr>
        <w:t>24</w:t>
      </w:r>
      <w:r>
        <w:fldChar w:fldCharType="end"/>
      </w:r>
      <w:r>
        <w:t>, our estimated range for equity beta and market return results in Wright CAPM return on equity estimates ranging from 5.5 to 9.7.</w:t>
      </w:r>
    </w:p>
    <w:p w:rsidR="00A71C54" w:rsidRPr="00276FAF" w:rsidRDefault="00A71C54" w:rsidP="00A71C54">
      <w:pPr>
        <w:pStyle w:val="Caption"/>
        <w:rPr>
          <w:rStyle w:val="Strong"/>
        </w:rPr>
      </w:pPr>
      <w:bookmarkStart w:id="194" w:name="_Ref443916669"/>
      <w:r>
        <w:t xml:space="preserve">Table </w:t>
      </w:r>
      <w:fldSimple w:instr=" STYLEREF 1 \s ">
        <w:r w:rsidR="003F1AAB">
          <w:rPr>
            <w:noProof/>
          </w:rPr>
          <w:t>3</w:t>
        </w:r>
      </w:fldSimple>
      <w:r>
        <w:noBreakHyphen/>
      </w:r>
      <w:fldSimple w:instr=" SEQ Table \* ARABIC \s 1 ">
        <w:r w:rsidR="003F1AAB">
          <w:rPr>
            <w:noProof/>
          </w:rPr>
          <w:t>24</w:t>
        </w:r>
      </w:fldSimple>
      <w:bookmarkEnd w:id="194"/>
      <w:r>
        <w:tab/>
        <w:t>Wright CAPM return on equity</w:t>
      </w:r>
      <w:r w:rsidRPr="005F2D3F">
        <w:t xml:space="preserve"> </w:t>
      </w:r>
      <w:r>
        <w:t>(per cent)</w:t>
      </w:r>
    </w:p>
    <w:tbl>
      <w:tblPr>
        <w:tblStyle w:val="AERtable-numbers"/>
        <w:tblW w:w="8755" w:type="dxa"/>
        <w:tblLook w:val="04A0" w:firstRow="1" w:lastRow="0" w:firstColumn="1" w:lastColumn="0" w:noHBand="0" w:noVBand="1"/>
      </w:tblPr>
      <w:tblGrid>
        <w:gridCol w:w="1909"/>
        <w:gridCol w:w="3423"/>
        <w:gridCol w:w="3423"/>
      </w:tblGrid>
      <w:tr w:rsidR="00A71C54" w:rsidRPr="00B9584E" w:rsidTr="00A71C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t>AER equity beta estimate</w:t>
            </w:r>
          </w:p>
        </w:tc>
        <w:tc>
          <w:tcPr>
            <w:tcW w:w="3423" w:type="dxa"/>
          </w:tcPr>
          <w:p w:rsidR="00A71C54" w:rsidRPr="00A71C54" w:rsidRDefault="00A71C54" w:rsidP="00A71C54">
            <w:pPr>
              <w:cnfStyle w:val="100000000000" w:firstRow="1" w:lastRow="0" w:firstColumn="0" w:lastColumn="0" w:oddVBand="0" w:evenVBand="0" w:oddHBand="0" w:evenHBand="0" w:firstRowFirstColumn="0" w:firstRowLastColumn="0" w:lastRowFirstColumn="0" w:lastRowLastColumn="0"/>
            </w:pPr>
            <w:r>
              <w:t>Wright CAPM return on equity based on 10.0 market return</w:t>
            </w:r>
          </w:p>
        </w:tc>
        <w:tc>
          <w:tcPr>
            <w:tcW w:w="3423" w:type="dxa"/>
          </w:tcPr>
          <w:p w:rsidR="00A71C54" w:rsidRPr="00A71C54" w:rsidRDefault="00A71C54" w:rsidP="00A71C54">
            <w:pPr>
              <w:cnfStyle w:val="100000000000" w:firstRow="1" w:lastRow="0" w:firstColumn="0" w:lastColumn="0" w:oddVBand="0" w:evenVBand="0" w:oddHBand="0" w:evenHBand="0" w:firstRowFirstColumn="0" w:firstRowLastColumn="0" w:lastRowFirstColumn="0" w:lastRowLastColumn="0"/>
            </w:pPr>
            <w:r>
              <w:t>Wright CAPM return on equity based on 12.7 market return</w:t>
            </w:r>
          </w:p>
        </w:tc>
      </w:tr>
      <w:tr w:rsidR="00A71C54" w:rsidRPr="00B9584E" w:rsidTr="00A71C54">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t>0.4</w:t>
            </w:r>
          </w:p>
        </w:tc>
        <w:tc>
          <w:tcPr>
            <w:tcW w:w="3423" w:type="dxa"/>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5.</w:t>
            </w:r>
            <w:r w:rsidRPr="00A71C54">
              <w:t>5</w:t>
            </w:r>
          </w:p>
        </w:tc>
        <w:tc>
          <w:tcPr>
            <w:tcW w:w="3423" w:type="dxa"/>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6.</w:t>
            </w:r>
            <w:r w:rsidRPr="00A71C54">
              <w:t>6</w:t>
            </w:r>
          </w:p>
        </w:tc>
      </w:tr>
      <w:tr w:rsidR="00A71C54" w:rsidRPr="00B9584E" w:rsidTr="00A71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t>0.7</w:t>
            </w:r>
          </w:p>
        </w:tc>
        <w:tc>
          <w:tcPr>
            <w:tcW w:w="3423" w:type="dxa"/>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7.8</w:t>
            </w:r>
          </w:p>
        </w:tc>
        <w:tc>
          <w:tcPr>
            <w:tcW w:w="3423" w:type="dxa"/>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9.7</w:t>
            </w:r>
          </w:p>
        </w:tc>
      </w:tr>
    </w:tbl>
    <w:p w:rsidR="00A71C54" w:rsidRPr="00BA0AFD" w:rsidRDefault="00A71C54" w:rsidP="00A71C54">
      <w:pPr>
        <w:pStyle w:val="AERtablesource"/>
      </w:pPr>
      <w:bookmarkStart w:id="195" w:name="_Toc443923200"/>
      <w:bookmarkStart w:id="196" w:name="_Ref448320174"/>
      <w:bookmarkStart w:id="197" w:name="_Toc451938979"/>
      <w:r w:rsidRPr="00823B7B">
        <w:t>Source:</w:t>
      </w:r>
      <w:r w:rsidRPr="00823B7B">
        <w:tab/>
      </w:r>
      <w:r>
        <w:t>AER analysis</w:t>
      </w:r>
      <w:r w:rsidRPr="00BA0AFD">
        <w:t>.</w:t>
      </w:r>
    </w:p>
    <w:p w:rsidR="00A71C54" w:rsidRPr="00BA0AFD" w:rsidRDefault="00A71C54" w:rsidP="00A71C54">
      <w:pPr>
        <w:pStyle w:val="AERtablesource"/>
      </w:pPr>
      <w:r>
        <w:t>Notes</w:t>
      </w:r>
      <w:r w:rsidRPr="00823B7B">
        <w:t>:</w:t>
      </w:r>
      <w:r w:rsidRPr="00823B7B">
        <w:tab/>
      </w:r>
      <w:r>
        <w:t xml:space="preserve">Based on a </w:t>
      </w:r>
      <w:r w:rsidR="00651424">
        <w:t xml:space="preserve">placeholder </w:t>
      </w:r>
      <w:r>
        <w:t>risk free rate estimate of 2.57 per cent.</w:t>
      </w:r>
    </w:p>
    <w:p w:rsidR="00A71C54" w:rsidRDefault="00A71C54" w:rsidP="00A71C54">
      <w:pPr>
        <w:pStyle w:val="Heading8"/>
      </w:pPr>
      <w:bookmarkStart w:id="198" w:name="_Toc456686727"/>
      <w:r>
        <w:t>Arithmetic and geometric averages</w:t>
      </w:r>
      <w:bookmarkEnd w:id="195"/>
      <w:bookmarkEnd w:id="196"/>
      <w:bookmarkEnd w:id="197"/>
      <w:bookmarkEnd w:id="198"/>
    </w:p>
    <w:p w:rsidR="00A71C54" w:rsidRDefault="00A71C54" w:rsidP="00A71C54">
      <w:r w:rsidRPr="008323D2">
        <w:t xml:space="preserve">Historical excess market returns are sensitive to the method of averaging returns over multiple periods. The arithmetic average return </w:t>
      </w:r>
      <w:r>
        <w:t>is</w:t>
      </w:r>
      <w:r w:rsidRPr="008323D2">
        <w:t xml:space="preserve"> the </w:t>
      </w:r>
      <w:r>
        <w:t xml:space="preserve">simple </w:t>
      </w:r>
      <w:r w:rsidRPr="008323D2">
        <w:t xml:space="preserve">average </w:t>
      </w:r>
      <w:r>
        <w:t>annual return</w:t>
      </w:r>
      <w:r w:rsidRPr="008323D2">
        <w:t xml:space="preserve">. </w:t>
      </w:r>
      <w:r>
        <w:t xml:space="preserve">The </w:t>
      </w:r>
      <w:r w:rsidRPr="008323D2">
        <w:t>geometric average return</w:t>
      </w:r>
      <w:r>
        <w:t xml:space="preserve"> is the average compounded annual return</w:t>
      </w:r>
      <w:r w:rsidRPr="008323D2">
        <w:t>.</w:t>
      </w:r>
      <w:r>
        <w:rPr>
          <w:rStyle w:val="FootnoteReference"/>
        </w:rPr>
        <w:footnoteReference w:id="794"/>
      </w:r>
    </w:p>
    <w:p w:rsidR="00A71C54" w:rsidRDefault="00A71C54" w:rsidP="00A71C54">
      <w:r>
        <w:t xml:space="preserve">In estimating the market risk premium, we have regard to both </w:t>
      </w:r>
      <w:r w:rsidRPr="00002A2E">
        <w:t>a</w:t>
      </w:r>
      <w:r>
        <w:t>rithmetic and geometric average historical excess returns. We set out our reasoning in our final decision for Jemena Gas Networks (JGN), and this material remains relevant.</w:t>
      </w:r>
      <w:r>
        <w:rPr>
          <w:rStyle w:val="FootnoteReference"/>
        </w:rPr>
        <w:footnoteReference w:id="795"/>
      </w:r>
      <w:r>
        <w:t xml:space="preserve"> We also note that </w:t>
      </w:r>
      <w:r w:rsidRPr="00F4301A">
        <w:t>Partington and Satchell</w:t>
      </w:r>
      <w:r>
        <w:t xml:space="preserve"> support our position to have regard to both types of average historical excess returns.</w:t>
      </w:r>
      <w:r>
        <w:rPr>
          <w:rStyle w:val="FootnoteReference"/>
        </w:rPr>
        <w:footnoteReference w:id="796"/>
      </w:r>
      <w:r>
        <w:t xml:space="preserve"> Overall, our decision is informed by the following considerations:</w:t>
      </w:r>
    </w:p>
    <w:p w:rsidR="00A71C54" w:rsidRPr="00DD37EB" w:rsidRDefault="00A71C54" w:rsidP="00A71C54">
      <w:pPr>
        <w:pStyle w:val="AERbulletlistfirststyle"/>
      </w:pPr>
      <w:r w:rsidRPr="00E816D0">
        <w:t>We consider the arithmetic average of 10</w:t>
      </w:r>
      <w:r>
        <w:t>-</w:t>
      </w:r>
      <w:r w:rsidRPr="00E816D0">
        <w:t>year</w:t>
      </w:r>
      <w:r>
        <w:t>ly</w:t>
      </w:r>
      <w:r w:rsidRPr="00E816D0">
        <w:t xml:space="preserve"> historical excess returns </w:t>
      </w:r>
      <w:r>
        <w:t>could</w:t>
      </w:r>
      <w:r w:rsidRPr="00E816D0">
        <w:t xml:space="preserve"> be an unbiased estimator of a forward looking 10 year return. However, </w:t>
      </w:r>
      <w:r>
        <w:t>to obtain a sufficiently large dataset, historical excess returns are estimated as the arithmetic or geometric average of annual returns</w:t>
      </w:r>
      <w:r w:rsidRPr="00DD37EB">
        <w:t xml:space="preserve">. Since </w:t>
      </w:r>
      <w:r>
        <w:t>annual</w:t>
      </w:r>
      <w:r w:rsidRPr="00DD37EB">
        <w:t xml:space="preserve"> historical excess returns are variable, their arithmetic average will overstate the arithmetic average of 10 year historical excess return</w:t>
      </w:r>
      <w:r>
        <w:t>s</w:t>
      </w:r>
      <w:r w:rsidRPr="00DD37EB">
        <w:t xml:space="preserve">. Similarly, the geometric average of </w:t>
      </w:r>
      <w:r>
        <w:t>annual</w:t>
      </w:r>
      <w:r w:rsidRPr="00DD37EB">
        <w:t xml:space="preserve"> historical excess returns will understate the arithmetic average of 10 year historical excess returns.</w:t>
      </w:r>
      <w:r w:rsidRPr="00DD37EB">
        <w:rPr>
          <w:rStyle w:val="FootnoteReference"/>
        </w:rPr>
        <w:footnoteReference w:id="797"/>
      </w:r>
    </w:p>
    <w:p w:rsidR="00A71C54" w:rsidRPr="00DD37EB" w:rsidRDefault="00A71C54" w:rsidP="00A71C54">
      <w:pPr>
        <w:pStyle w:val="AERbulletlistfirststyle"/>
      </w:pPr>
      <w:r>
        <w:t>We have previously considered</w:t>
      </w:r>
      <w:r w:rsidRPr="00DD37EB">
        <w:t xml:space="preserve"> arithmetic and geometric averages relevant when estimating a 10 year forward looking </w:t>
      </w:r>
      <w:r>
        <w:t>market risk premium</w:t>
      </w:r>
      <w:r w:rsidRPr="00DD37EB">
        <w:t xml:space="preserve"> using historical annual excess returns.</w:t>
      </w:r>
      <w:r w:rsidRPr="00DD37EB">
        <w:rPr>
          <w:rStyle w:val="FootnoteReference"/>
        </w:rPr>
        <w:footnoteReference w:id="798"/>
      </w:r>
      <w:r w:rsidRPr="00DD37EB">
        <w:t xml:space="preserve"> The Tribunal found no error with this approach.</w:t>
      </w:r>
      <w:r w:rsidRPr="00DD37EB">
        <w:rPr>
          <w:rStyle w:val="FootnoteReference"/>
        </w:rPr>
        <w:footnoteReference w:id="799"/>
      </w:r>
    </w:p>
    <w:p w:rsidR="00A71C54" w:rsidRPr="00DD37EB" w:rsidRDefault="00A71C54" w:rsidP="00A71C54">
      <w:pPr>
        <w:pStyle w:val="AERbulletlistfirststyle"/>
      </w:pPr>
      <w:r>
        <w:t xml:space="preserve">In their recent review for the Office of Gas and Electricity Markets (Ofgem), Wright and Smithers advocated using geometric average returns, adjusted </w:t>
      </w:r>
      <w:r w:rsidRPr="00DD37EB">
        <w:t>for return volatility on the arithmetic average. Wright and Smithers based their reasoning on the distortions introduced by direct arithmetic averaging.</w:t>
      </w:r>
      <w:r w:rsidRPr="00DD37EB">
        <w:rPr>
          <w:rStyle w:val="FootnoteReference"/>
        </w:rPr>
        <w:footnoteReference w:id="800"/>
      </w:r>
      <w:r w:rsidRPr="00DD37EB">
        <w:t xml:space="preserve"> While we do not adopt this approach, this indicates that experts and other regulators consider geometric averages valuable.</w:t>
      </w:r>
    </w:p>
    <w:p w:rsidR="00A71C54" w:rsidRPr="00DD37EB" w:rsidRDefault="00A71C54" w:rsidP="00A71C54">
      <w:pPr>
        <w:pStyle w:val="AERbulletlistfirststyle"/>
      </w:pPr>
      <w:r w:rsidRPr="00002A2E">
        <w:t>McKenzie</w:t>
      </w:r>
      <w:r>
        <w:t>,</w:t>
      </w:r>
      <w:r w:rsidRPr="00002A2E">
        <w:t xml:space="preserve"> Partington</w:t>
      </w:r>
      <w:r>
        <w:t xml:space="preserve">, and Satchell recommended the consideration of both arithmetic and geometric averages, </w:t>
      </w:r>
      <w:r w:rsidRPr="00265CC3">
        <w:t>tempered by an understanding of their inherent biases</w:t>
      </w:r>
      <w:r w:rsidRPr="00DD37EB">
        <w:t>.</w:t>
      </w:r>
      <w:r w:rsidRPr="00DD37EB">
        <w:rPr>
          <w:rStyle w:val="FootnoteReference"/>
        </w:rPr>
        <w:footnoteReference w:id="801"/>
      </w:r>
    </w:p>
    <w:p w:rsidR="00A71C54" w:rsidRDefault="00A71C54" w:rsidP="00A71C54">
      <w:r>
        <w:t>In a series of reports, NERA recommended we give no weight to geometric average historical excess returns.</w:t>
      </w:r>
      <w:r>
        <w:rPr>
          <w:rStyle w:val="FootnoteReference"/>
        </w:rPr>
        <w:footnoteReference w:id="802"/>
      </w:r>
      <w:r>
        <w:t xml:space="preserve"> In June 2015, NERA submitted a further report on this issue.</w:t>
      </w:r>
      <w:r>
        <w:rPr>
          <w:rStyle w:val="FootnoteReference"/>
        </w:rPr>
        <w:footnoteReference w:id="803"/>
      </w:r>
      <w:r>
        <w:t xml:space="preserve"> In January 2016, HoustonKemp submitted a similar report to NERA that also recommended that no weight be given to geometric average historical excess returns.</w:t>
      </w:r>
      <w:r>
        <w:rPr>
          <w:rStyle w:val="FootnoteReference"/>
        </w:rPr>
        <w:footnoteReference w:id="804"/>
      </w:r>
      <w:r>
        <w:t xml:space="preserve"> </w:t>
      </w:r>
    </w:p>
    <w:p w:rsidR="00A71C54" w:rsidRDefault="00A71C54" w:rsidP="00A71C54">
      <w:r>
        <w:t xml:space="preserve">We consider NERA and </w:t>
      </w:r>
      <w:r w:rsidRPr="00447587">
        <w:t>HoustonKemp</w:t>
      </w:r>
      <w:r>
        <w:t>'s submissions take a narrow view of the issue. As Partington and Satchell stated in their October 2015 report:</w:t>
      </w:r>
      <w:r>
        <w:rPr>
          <w:rStyle w:val="FootnoteReference"/>
        </w:rPr>
        <w:footnoteReference w:id="805"/>
      </w:r>
    </w:p>
    <w:p w:rsidR="00A71C54" w:rsidRDefault="00A71C54" w:rsidP="00A71C54">
      <w:pPr>
        <w:pStyle w:val="AERquote"/>
      </w:pPr>
      <w:r w:rsidRPr="00EA060E">
        <w:t>NERA (2015, History) makes a repeated case that if we are estimating the mean for one period using data over a number of past periods (denoted by T) then they are unaware of any work that suggests the superiority of geometric returns or combinations of geometric or arithmetic returns in situations when the data are iid or correlated. We see no compelling reason why the situation described above is the only one that the AER should consider.</w:t>
      </w:r>
    </w:p>
    <w:p w:rsidR="00A71C54" w:rsidRDefault="00A71C54" w:rsidP="00A71C54">
      <w:r>
        <w:t>T</w:t>
      </w:r>
      <w:r w:rsidRPr="00EA060E">
        <w:t>here remains uncertainty over whether an arithmetic or geometric average (or some combination of the two) of historical excess returns provides a better estimate of expected excess returns.</w:t>
      </w:r>
      <w:r>
        <w:t xml:space="preserve"> The answer to NERA's concern whether geometric or arithmetic averages are better is unclear and not settled amongst academics. Both methods have limitations. This is well summarised by Partington and Satchell:</w:t>
      </w:r>
      <w:r>
        <w:rPr>
          <w:rStyle w:val="FootnoteReference"/>
        </w:rPr>
        <w:footnoteReference w:id="806"/>
      </w:r>
    </w:p>
    <w:p w:rsidR="00A71C54" w:rsidRDefault="00A71C54" w:rsidP="00A71C54">
      <w:pPr>
        <w:pStyle w:val="AERquote"/>
      </w:pPr>
      <w:r w:rsidRPr="00FD1D73">
        <w:t>So which of these estimates is a better measure of expected returns? Jacquier, Kane and Marcus (2003) claim that academics tend to use the arithmetic return and that practitioners tend to use the geometric return. A more rigorous answer is that the choice depends upon what is assumed to be the distribution of returns through time. Assuming returns over time follow independent identical distributions with a finite variance, then it is widely accepted that the arithmetic average is the appropriate estimator of expected returns. Otherwise, the geometric average has a role to play. It has long been well understood that returns do not conform to the assumption of independent identical distributions, see for example Akgiray (1989). The literature has therefore suggested a weighted sum of the arithmetic and geometric averages be used in estimating the expected return. Unfortunately, there is no generally accepted optimal weighting scheme. In our opinion the use of arithmetic averages alone is likely to result in an upward biased estimate of expected returns and the use of geometric averages alone is likely to result in a downward biased estimate.</w:t>
      </w:r>
      <w:r>
        <w:t xml:space="preserve"> </w:t>
      </w:r>
    </w:p>
    <w:p w:rsidR="00A71C54" w:rsidRDefault="00A71C54" w:rsidP="00A71C54">
      <w:r>
        <w:t>In their 2012 report, McKenzie and Partington provided numerous references to academic studies that support this view.</w:t>
      </w:r>
      <w:r>
        <w:rPr>
          <w:rStyle w:val="FootnoteReference"/>
        </w:rPr>
        <w:footnoteReference w:id="807"/>
      </w:r>
      <w:r>
        <w:t xml:space="preserve"> They considered that unbiasedness is only one desirable property of an estimator. Another consideration is efficiency, and 'the question then becomes one of trading off bias and efficiency'.</w:t>
      </w:r>
      <w:r>
        <w:rPr>
          <w:rStyle w:val="FootnoteReference"/>
        </w:rPr>
        <w:footnoteReference w:id="808"/>
      </w:r>
      <w:r>
        <w:t xml:space="preserve"> We agree with this view. </w:t>
      </w:r>
    </w:p>
    <w:p w:rsidR="00A71C54" w:rsidRDefault="00A71C54" w:rsidP="00A71C54">
      <w:r>
        <w:t>Moreover, in their October 2015 report, Partington and Satchell demonstrate that, even in the restricted case that NERA presents, the geometric average can be a superior estimator.</w:t>
      </w:r>
      <w:r>
        <w:rPr>
          <w:rStyle w:val="FootnoteReference"/>
        </w:rPr>
        <w:footnoteReference w:id="809"/>
      </w:r>
      <w:r>
        <w:t xml:space="preserve"> </w:t>
      </w:r>
    </w:p>
    <w:p w:rsidR="00A71C54" w:rsidRDefault="00A71C54" w:rsidP="00A71C54">
      <w:r w:rsidRPr="00447587">
        <w:t xml:space="preserve">HoustonKemp </w:t>
      </w:r>
      <w:r>
        <w:t>submitted</w:t>
      </w:r>
      <w:r w:rsidRPr="00447587">
        <w:t xml:space="preserve"> that Partington and Satchell, in their October 2015 report, made an incorrect claim that if the gross return to an asset is lognormally and independently and identically distributed through time, then the arithmetic mean of a sample of gross returns to the asset will provide an upwardly biased estimator of the expected gross return to the asset over a single period while the geometric mean will, for </w:t>
      </w:r>
      <w:r>
        <w:t xml:space="preserve">a </w:t>
      </w:r>
      <w:r w:rsidRPr="00447587">
        <w:t xml:space="preserve">large </w:t>
      </w:r>
      <w:r>
        <w:t>gross return</w:t>
      </w:r>
      <w:r w:rsidRPr="00447587">
        <w:t>, provide an unbiased estimator.</w:t>
      </w:r>
      <w:r w:rsidRPr="00447587">
        <w:rPr>
          <w:rStyle w:val="FootnoteReference"/>
        </w:rPr>
        <w:footnoteReference w:id="810"/>
      </w:r>
      <w:r w:rsidRPr="00447587">
        <w:t xml:space="preserve"> </w:t>
      </w:r>
    </w:p>
    <w:p w:rsidR="00A71C54" w:rsidRDefault="00A71C54" w:rsidP="00A71C54">
      <w:r>
        <w:t>We consider that HouseKemp's 2016 report has incorrectly considered Partington and Satchell's results on geometric and arithmetic mean returns.  This is well summarised by Partington and Satchell:</w:t>
      </w:r>
      <w:r>
        <w:rPr>
          <w:rStyle w:val="FootnoteReference"/>
        </w:rPr>
        <w:footnoteReference w:id="811"/>
      </w:r>
    </w:p>
    <w:p w:rsidR="00A71C54" w:rsidRPr="000D44B5" w:rsidRDefault="00A71C54" w:rsidP="00A71C54">
      <w:pPr>
        <w:pStyle w:val="AERquote"/>
      </w:pPr>
      <w:r>
        <w:t>"</w:t>
      </w:r>
      <w:r w:rsidRPr="000D44B5">
        <w:t xml:space="preserve">We are interested in the term </w:t>
      </w:r>
      <w:proofErr w:type="gramStart"/>
      <w:r w:rsidRPr="000D44B5">
        <w:t>exp(</w:t>
      </w:r>
      <w:proofErr w:type="gramEnd"/>
      <m:oMath>
        <m:r>
          <w:rPr>
            <w:rFonts w:ascii="Cambria Math" w:hAnsi="Cambria Math"/>
          </w:rPr>
          <m:t>μ)-1</m:t>
        </m:r>
      </m:oMath>
      <w:r w:rsidRPr="000D44B5">
        <w:t xml:space="preserve">; which we call the implied arithmetic rate of return. If we knew that the true geometric rate of return is </w:t>
      </w:r>
      <m:oMath>
        <m:r>
          <w:rPr>
            <w:rFonts w:ascii="Cambria Math" w:hAnsi="Cambria Math"/>
          </w:rPr>
          <m:t>μ</m:t>
        </m:r>
      </m:oMath>
      <w:r w:rsidRPr="000D44B5">
        <w:t xml:space="preserve"> then the true arithmetic rate of return is </w:t>
      </w:r>
      <w:proofErr w:type="gramStart"/>
      <w:r w:rsidRPr="000D44B5">
        <w:t>exp(</w:t>
      </w:r>
      <w:proofErr w:type="gramEnd"/>
      <m:oMath>
        <m:r>
          <w:rPr>
            <w:rFonts w:ascii="Cambria Math" w:hAnsi="Cambria Math"/>
          </w:rPr>
          <m:t>μ)-1</m:t>
        </m:r>
      </m:oMath>
      <w:r w:rsidRPr="000D44B5">
        <w:t>. This is a property of the parameters of our model and, as yet, involves no notion of expectation</w:t>
      </w:r>
      <w:r>
        <w:t>s</w:t>
      </w:r>
      <w:r w:rsidRPr="000D44B5">
        <w:t xml:space="preserve"> of estimators, contrary to any assertions by </w:t>
      </w:r>
      <w:r>
        <w:t>HoustonKemp</w:t>
      </w:r>
      <w:r w:rsidRPr="000D44B5">
        <w:t xml:space="preserve">. We then consider the extent to which estimators, based on the arithmetic mean and the geometric mean over or under estimate </w:t>
      </w:r>
      <w:proofErr w:type="gramStart"/>
      <w:r w:rsidRPr="000D44B5">
        <w:t>exp(</w:t>
      </w:r>
      <w:proofErr w:type="gramEnd"/>
      <m:oMath>
        <m:r>
          <w:rPr>
            <w:rFonts w:ascii="Cambria Math" w:hAnsi="Cambria Math"/>
          </w:rPr>
          <m:t>μ)-1</m:t>
        </m:r>
      </m:oMath>
      <w:r w:rsidRPr="000D44B5">
        <w:t>.</w:t>
      </w:r>
      <w:r>
        <w:t xml:space="preserve"> </w:t>
      </w:r>
      <w:r w:rsidRPr="000D44B5">
        <w:t>We show</w:t>
      </w:r>
      <w:r>
        <w:t>ed</w:t>
      </w:r>
      <w:r w:rsidRPr="000D44B5">
        <w:t xml:space="preserve"> that the expected value of the arithmetic mean is </w:t>
      </w:r>
      <w:proofErr w:type="gramStart"/>
      <w:r w:rsidRPr="000D44B5">
        <w:t>exp(</w:t>
      </w:r>
      <w:proofErr w:type="gramEnd"/>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0D44B5">
        <w:t>; independent of the sample size so it is always biased upwards relative to exp(</w:t>
      </w:r>
      <m:oMath>
        <m:r>
          <w:rPr>
            <w:rFonts w:ascii="Cambria Math" w:hAnsi="Cambria Math"/>
          </w:rPr>
          <m:t>μ)-1</m:t>
        </m:r>
      </m:oMath>
      <w:r w:rsidRPr="000D44B5">
        <w:t>.</w:t>
      </w:r>
      <w:r>
        <w:t xml:space="preserve"> </w:t>
      </w:r>
      <w:r w:rsidRPr="000D44B5">
        <w:t xml:space="preserve">We also show that the expected value of the geometric mean= </w:t>
      </w:r>
      <w:proofErr w:type="gramStart"/>
      <w:r w:rsidRPr="000D44B5">
        <w:t>exp(</w:t>
      </w:r>
      <w:proofErr w:type="gramEnd"/>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2T</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0D44B5">
        <w:t xml:space="preserve">, where T is the size of the sample. This is biased upwards relative to </w:t>
      </w:r>
      <w:proofErr w:type="gramStart"/>
      <w:r w:rsidRPr="000D44B5">
        <w:t>exp(</w:t>
      </w:r>
      <w:proofErr w:type="gramEnd"/>
      <m:oMath>
        <m:r>
          <w:rPr>
            <w:rFonts w:ascii="Cambria Math" w:hAnsi="Cambria Math"/>
          </w:rPr>
          <m:t>μ)-1</m:t>
        </m:r>
      </m:oMath>
      <w:r w:rsidRPr="000D44B5">
        <w:t xml:space="preserve">; but the bias disappears as T gets large. </w:t>
      </w:r>
      <w:r>
        <w:t xml:space="preserve">HoustonKemp arrive at the same formula, </w:t>
      </w:r>
      <w:r w:rsidRPr="000D44B5">
        <w:t>see equation (23), page 36</w:t>
      </w:r>
      <w:r>
        <w:t xml:space="preserve">, but </w:t>
      </w:r>
      <w:proofErr w:type="gramStart"/>
      <w:r>
        <w:t xml:space="preserve">then </w:t>
      </w:r>
      <w:r w:rsidRPr="000D44B5">
        <w:t xml:space="preserve"> wrongly</w:t>
      </w:r>
      <w:proofErr w:type="gramEnd"/>
      <w:r w:rsidRPr="000D44B5">
        <w:t xml:space="preserve"> assume that the parameter function of interest is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0D44B5">
        <w:t xml:space="preserve">. </w:t>
      </w:r>
      <w:r>
        <w:t>The report</w:t>
      </w:r>
      <w:r w:rsidRPr="000D44B5">
        <w:t xml:space="preserve"> then asserts that the bias, relative to </w:t>
      </w:r>
      <w:r>
        <w:t>the</w:t>
      </w:r>
      <w:r w:rsidRPr="000D44B5">
        <w:t xml:space="preserve"> wrongly assumed parameter </w:t>
      </w:r>
      <w:proofErr w:type="gramStart"/>
      <w:r w:rsidRPr="000D44B5">
        <w:t>exp(</w:t>
      </w:r>
      <w:proofErr w:type="gramEnd"/>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0D44B5">
        <w:t xml:space="preserve">, is increasing in T. </w:t>
      </w:r>
      <w:r>
        <w:t>The HoustonKemp</w:t>
      </w:r>
      <w:r w:rsidRPr="000D44B5">
        <w:t xml:space="preserve"> analysis is simply irrelevant.</w:t>
      </w:r>
      <w:r>
        <w:t>"</w:t>
      </w:r>
    </w:p>
    <w:p w:rsidR="00A71C54" w:rsidRDefault="00A71C54" w:rsidP="00A71C54">
      <w:r>
        <w:t>NERA has questioned the relevance of the Akgiray (1989) and the Jacquier, Kane and Marcus (2003) articles referenced by Partington and Satchell.</w:t>
      </w:r>
      <w:r>
        <w:rPr>
          <w:rStyle w:val="FootnoteReference"/>
        </w:rPr>
        <w:footnoteReference w:id="812"/>
      </w:r>
      <w:r>
        <w:t xml:space="preserve"> It considered these articles do not match how we use historical excess returns data. We consider it is the key messages of the articles that are relevant to our analysis and these are more broadly applicable than NERA suggests. If the key messages of an academic article were only relevant to those undertaking precisely the same task, their usefulness would be exceedingly limited. For example, Akgiray's use of daily stock returns does not necessarily limit the relevance of his key message about the temporal behaviour of stock returns.</w:t>
      </w:r>
    </w:p>
    <w:p w:rsidR="00A71C54" w:rsidRDefault="00A71C54" w:rsidP="00A71C54">
      <w:r>
        <w:t>SFG and Frontier Economics have also recommended</w:t>
      </w:r>
      <w:r w:rsidRPr="0014735D">
        <w:t xml:space="preserve"> </w:t>
      </w:r>
      <w:r>
        <w:t>we give no weight to geometric average historical excess returns.</w:t>
      </w:r>
      <w:r>
        <w:rPr>
          <w:rStyle w:val="FootnoteReference"/>
        </w:rPr>
        <w:footnoteReference w:id="813"/>
      </w:r>
      <w:r>
        <w:t xml:space="preserve"> This is a reiteration of its views from previous reports, and is based primarily on SFG's submission that arithmetic averages are more representative of future expectations.</w:t>
      </w:r>
      <w:r>
        <w:rPr>
          <w:rStyle w:val="FootnoteReference"/>
        </w:rPr>
        <w:footnoteReference w:id="814"/>
      </w:r>
      <w:r>
        <w:t xml:space="preserve"> We have responded to SFG's views in previous decisions</w:t>
      </w:r>
      <w:r w:rsidRPr="003F6527">
        <w:t xml:space="preserve"> </w:t>
      </w:r>
      <w:r>
        <w:t>and this material remains relevant.</w:t>
      </w:r>
      <w:r>
        <w:rPr>
          <w:rStyle w:val="FootnoteReference"/>
        </w:rPr>
        <w:footnoteReference w:id="815"/>
      </w:r>
    </w:p>
    <w:p w:rsidR="00A71C54" w:rsidRDefault="00A71C54" w:rsidP="00A71C54">
      <w:r>
        <w:t>Ultimately, we consider there are strengths and weaknesses associated with using arithmetic or geometric averages of historical excess returns to estimate the 10 year forward looking (or expected) market risk premium. We are not satisfied that NERA, HoustonKemp, SFG, or Frontier have provided sufficient evidence to support the conclusion that using arithmetic averages of historical excess returns provides a 'materially better estimate' of the market risk premium than an estimate based (solely or in part) on geometric averages.</w:t>
      </w:r>
      <w:r>
        <w:rPr>
          <w:rStyle w:val="FootnoteReference"/>
        </w:rPr>
        <w:footnoteReference w:id="816"/>
      </w:r>
      <w:r>
        <w:t xml:space="preserve"> We agree with Partington and Satchell's conclusion (a reiteration of McKenzie and Partington's 2012 conclusion) that:</w:t>
      </w:r>
      <w:r>
        <w:rPr>
          <w:rStyle w:val="FootnoteReference"/>
        </w:rPr>
        <w:footnoteReference w:id="817"/>
      </w:r>
    </w:p>
    <w:p w:rsidR="00A71C54" w:rsidRDefault="00A71C54" w:rsidP="00A71C54">
      <w:pPr>
        <w:pStyle w:val="AERquote"/>
      </w:pPr>
      <w:r w:rsidRPr="00A110CC">
        <w:t>The widespread current practice is to use unadjusted geometric and arithmetic averages. Given the current state of knowledge, we see no strong case to depart from this common practice and recommend the use of both of these metrics, tempered by an understanding of their inherent biases.</w:t>
      </w:r>
    </w:p>
    <w:p w:rsidR="00A71C54" w:rsidRDefault="00A71C54" w:rsidP="00A71C54">
      <w:pPr>
        <w:pStyle w:val="Heading8"/>
      </w:pPr>
      <w:bookmarkStart w:id="199" w:name="_Toc443923201"/>
      <w:bookmarkStart w:id="200" w:name="_Toc451938980"/>
      <w:bookmarkStart w:id="201" w:name="_Toc456686728"/>
      <w:r>
        <w:t>ASX adjustment to historical data</w:t>
      </w:r>
      <w:bookmarkEnd w:id="199"/>
      <w:bookmarkEnd w:id="200"/>
      <w:bookmarkEnd w:id="201"/>
    </w:p>
    <w:p w:rsidR="00A71C54" w:rsidRDefault="00A71C54" w:rsidP="00A71C54">
      <w:pPr>
        <w:numPr>
          <w:ilvl w:val="0"/>
          <w:numId w:val="25"/>
        </w:numPr>
      </w:pPr>
      <w:r>
        <w:t>Our analysis of</w:t>
      </w:r>
      <w:r w:rsidRPr="00C2709F">
        <w:t xml:space="preserve"> historical </w:t>
      </w:r>
      <w:r>
        <w:t>stock</w:t>
      </w:r>
      <w:r w:rsidRPr="00C2709F">
        <w:t xml:space="preserve"> returns </w:t>
      </w:r>
      <w:r>
        <w:t>has to date used data and methods developed by</w:t>
      </w:r>
      <w:r w:rsidRPr="00C2709F">
        <w:t xml:space="preserve"> Brailsford et al. and updated from time to time by Handley</w:t>
      </w:r>
      <w:r>
        <w:t xml:space="preserve"> and the AER</w:t>
      </w:r>
      <w:r w:rsidRPr="00C2709F">
        <w:t>.</w:t>
      </w:r>
      <w:r w:rsidRPr="00C2709F">
        <w:rPr>
          <w:rStyle w:val="FootnoteReference"/>
        </w:rPr>
        <w:footnoteReference w:id="818"/>
      </w:r>
      <w:r w:rsidRPr="00C2709F">
        <w:t xml:space="preserve"> </w:t>
      </w:r>
      <w:r>
        <w:t>The data used by Brailsford et al. was provided to them by the ASX.</w:t>
      </w:r>
      <w:r w:rsidRPr="00D60892">
        <w:rPr>
          <w:rStyle w:val="FootnoteReference"/>
        </w:rPr>
        <w:t xml:space="preserve"> </w:t>
      </w:r>
      <w:r>
        <w:rPr>
          <w:rStyle w:val="FootnoteReference"/>
        </w:rPr>
        <w:footnoteReference w:id="819"/>
      </w:r>
      <w:r>
        <w:t xml:space="preserve"> Service providers submitted that the data set from Brailsford et al. could be improved upon by substituting an adjustment made by the ASX and embedded in the data with an alternate adjustment proposed by NERA.</w:t>
      </w:r>
      <w:r w:rsidRPr="00D60892">
        <w:rPr>
          <w:rStyle w:val="FootnoteReference"/>
        </w:rPr>
        <w:t xml:space="preserve"> </w:t>
      </w:r>
      <w:r>
        <w:rPr>
          <w:rStyle w:val="FootnoteReference"/>
        </w:rPr>
        <w:footnoteReference w:id="820"/>
      </w:r>
      <w:r>
        <w:t xml:space="preserve"> </w:t>
      </w:r>
    </w:p>
    <w:p w:rsidR="00A71C54" w:rsidRPr="0000506E" w:rsidRDefault="00A71C54" w:rsidP="00A71C54">
      <w:pPr>
        <w:numPr>
          <w:ilvl w:val="0"/>
          <w:numId w:val="25"/>
        </w:numPr>
      </w:pPr>
      <w:r>
        <w:t>This issue has been raised numerous times since our</w:t>
      </w:r>
      <w:r w:rsidRPr="0000506E">
        <w:t xml:space="preserve"> Guideline development process,</w:t>
      </w:r>
      <w:r w:rsidRPr="0000506E">
        <w:rPr>
          <w:rStyle w:val="FootnoteReference"/>
        </w:rPr>
        <w:footnoteReference w:id="821"/>
      </w:r>
      <w:r w:rsidRPr="0000506E">
        <w:t xml:space="preserve"> </w:t>
      </w:r>
      <w:r>
        <w:t xml:space="preserve">and this history </w:t>
      </w:r>
      <w:r w:rsidRPr="0000506E">
        <w:t xml:space="preserve">is set out </w:t>
      </w:r>
      <w:r>
        <w:t>in our previous decisions.</w:t>
      </w:r>
      <w:r>
        <w:rPr>
          <w:rStyle w:val="FootnoteReference"/>
        </w:rPr>
        <w:footnoteReference w:id="822"/>
      </w:r>
      <w:r>
        <w:t xml:space="preserve"> </w:t>
      </w:r>
    </w:p>
    <w:p w:rsidR="00A71C54" w:rsidRPr="00C2709F" w:rsidRDefault="00A71C54" w:rsidP="00A71C54">
      <w:pPr>
        <w:numPr>
          <w:ilvl w:val="0"/>
          <w:numId w:val="25"/>
        </w:numPr>
      </w:pPr>
      <w:r>
        <w:t>Firstly</w:t>
      </w:r>
      <w:r w:rsidRPr="00C2709F">
        <w:t xml:space="preserve">, our consideration of different time (or sampling) periods, and averaging methods, in estimating the </w:t>
      </w:r>
      <w:r>
        <w:t>market risk premium</w:t>
      </w:r>
      <w:r w:rsidRPr="00C2709F">
        <w:t xml:space="preserve"> from historical excess returns reduces the materiality of NERA's submission.</w:t>
      </w:r>
      <w:r w:rsidRPr="00C2709F">
        <w:rPr>
          <w:rStyle w:val="FootnoteReference"/>
        </w:rPr>
        <w:footnoteReference w:id="823"/>
      </w:r>
      <w:r w:rsidRPr="00C2709F">
        <w:t xml:space="preserve"> </w:t>
      </w:r>
      <w:r w:rsidRPr="00C2709F">
        <w:fldChar w:fldCharType="begin"/>
      </w:r>
      <w:r w:rsidRPr="00C2709F">
        <w:instrText xml:space="preserve"> REF _Ref432620022 \h </w:instrText>
      </w:r>
      <w:r w:rsidRPr="00C2709F">
        <w:fldChar w:fldCharType="separate"/>
      </w:r>
      <w:r w:rsidR="003F1AAB" w:rsidRPr="00C2709F">
        <w:t xml:space="preserve">Table </w:t>
      </w:r>
      <w:r w:rsidR="003F1AAB">
        <w:rPr>
          <w:noProof/>
        </w:rPr>
        <w:t>3</w:t>
      </w:r>
      <w:r w:rsidR="003F1AAB">
        <w:noBreakHyphen/>
      </w:r>
      <w:r w:rsidR="003F1AAB">
        <w:rPr>
          <w:noProof/>
        </w:rPr>
        <w:t>25</w:t>
      </w:r>
      <w:r w:rsidRPr="00C2709F">
        <w:fldChar w:fldCharType="end"/>
      </w:r>
      <w:r w:rsidRPr="00C2709F">
        <w:t xml:space="preserve"> shows NERA's adjustment would only affect one of these time periods. When implemented, NERA's adjustment does not materially alter the estimates obtained from the full suite of estimation techniques. </w:t>
      </w:r>
    </w:p>
    <w:p w:rsidR="00A71C54" w:rsidRPr="00C2709F" w:rsidRDefault="00A71C54" w:rsidP="00A71C54">
      <w:pPr>
        <w:pStyle w:val="Caption"/>
        <w:rPr>
          <w:rStyle w:val="Strong"/>
        </w:rPr>
      </w:pPr>
      <w:bookmarkStart w:id="202" w:name="_Ref432620022"/>
      <w:r w:rsidRPr="00C2709F">
        <w:t xml:space="preserve">Table </w:t>
      </w:r>
      <w:fldSimple w:instr=" STYLEREF 1 \s ">
        <w:r w:rsidR="003F1AAB">
          <w:rPr>
            <w:noProof/>
          </w:rPr>
          <w:t>3</w:t>
        </w:r>
      </w:fldSimple>
      <w:r>
        <w:noBreakHyphen/>
      </w:r>
      <w:fldSimple w:instr=" SEQ Table \* ARABIC \s 1 ">
        <w:r w:rsidR="003F1AAB">
          <w:rPr>
            <w:noProof/>
          </w:rPr>
          <w:t>25</w:t>
        </w:r>
      </w:fldSimple>
      <w:bookmarkEnd w:id="202"/>
      <w:r w:rsidRPr="00C2709F">
        <w:t xml:space="preserve"> </w:t>
      </w:r>
      <w:r w:rsidRPr="00C2709F">
        <w:tab/>
        <w:t>Historical excess returns using NERA's adjustment (per cent)</w:t>
      </w:r>
      <w:r w:rsidRPr="00C2709F" w:rsidDel="00184676">
        <w:t xml:space="preserve"> </w:t>
      </w:r>
    </w:p>
    <w:tbl>
      <w:tblPr>
        <w:tblStyle w:val="AERtable-numbers"/>
        <w:tblW w:w="5000" w:type="pct"/>
        <w:tblLayout w:type="fixed"/>
        <w:tblLook w:val="01E0" w:firstRow="1" w:lastRow="1" w:firstColumn="1" w:lastColumn="1" w:noHBand="0" w:noVBand="0"/>
      </w:tblPr>
      <w:tblGrid>
        <w:gridCol w:w="1242"/>
        <w:gridCol w:w="3828"/>
        <w:gridCol w:w="3623"/>
      </w:tblGrid>
      <w:tr w:rsidR="00A71C54" w:rsidRPr="003663F4" w:rsidTr="00A71C5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714" w:type="pct"/>
            <w:noWrap/>
          </w:tcPr>
          <w:p w:rsidR="00A71C54" w:rsidRPr="00A71C54" w:rsidRDefault="00A71C54" w:rsidP="00A71C54">
            <w:pPr>
              <w:rPr>
                <w:rStyle w:val="Strong"/>
              </w:rPr>
            </w:pPr>
            <w:r w:rsidRPr="00C2709F">
              <w:rPr>
                <w:rStyle w:val="Strong"/>
              </w:rPr>
              <w:t>Sampling period</w:t>
            </w:r>
          </w:p>
        </w:tc>
        <w:tc>
          <w:tcPr>
            <w:tcW w:w="2202" w:type="pct"/>
            <w:noWrap/>
          </w:tcPr>
          <w:p w:rsidR="00A71C54" w:rsidRPr="00A71C54" w:rsidRDefault="00A71C54" w:rsidP="00A71C54">
            <w:pPr>
              <w:cnfStyle w:val="100000000000" w:firstRow="1" w:lastRow="0" w:firstColumn="0" w:lastColumn="0" w:oddVBand="0" w:evenVBand="0" w:oddHBand="0" w:evenHBand="0" w:firstRowFirstColumn="0" w:firstRowLastColumn="0" w:lastRowFirstColumn="0" w:lastRowLastColumn="0"/>
              <w:rPr>
                <w:rStyle w:val="Strong"/>
              </w:rPr>
            </w:pPr>
            <w:r>
              <w:rPr>
                <w:rStyle w:val="Strong"/>
              </w:rPr>
              <w:t xml:space="preserve">Excess returns </w:t>
            </w:r>
            <w:r w:rsidRPr="00A71C54">
              <w:rPr>
                <w:rStyle w:val="Strong"/>
              </w:rPr>
              <w:t>with ASX adjustment</w:t>
            </w:r>
          </w:p>
        </w:tc>
        <w:tc>
          <w:tcPr>
            <w:tcW w:w="2084" w:type="pct"/>
            <w:noWrap/>
          </w:tcPr>
          <w:p w:rsidR="00A71C54" w:rsidRPr="00A71C54" w:rsidRDefault="00A71C54" w:rsidP="00A71C54">
            <w:pPr>
              <w:cnfStyle w:val="100000000000" w:firstRow="1" w:lastRow="0" w:firstColumn="0" w:lastColumn="0" w:oddVBand="0" w:evenVBand="0" w:oddHBand="0" w:evenHBand="0" w:firstRowFirstColumn="0" w:firstRowLastColumn="0" w:lastRowFirstColumn="0" w:lastRowLastColumn="0"/>
              <w:rPr>
                <w:rStyle w:val="Strong"/>
              </w:rPr>
            </w:pPr>
            <w:r>
              <w:rPr>
                <w:rStyle w:val="Strong"/>
              </w:rPr>
              <w:t xml:space="preserve">Excess returns </w:t>
            </w:r>
            <w:r w:rsidRPr="00A71C54">
              <w:rPr>
                <w:rStyle w:val="Strong"/>
              </w:rPr>
              <w:t>with NERA adjustment</w:t>
            </w:r>
          </w:p>
        </w:tc>
      </w:tr>
      <w:tr w:rsidR="00A71C54" w:rsidRPr="003663F4" w:rsidTr="00A71C54">
        <w:trPr>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A71C54" w:rsidRPr="00A71C54" w:rsidRDefault="00A71C54" w:rsidP="00A71C54">
            <w:r w:rsidRPr="00C2709F">
              <w:t>1883–</w:t>
            </w:r>
            <w:r w:rsidRPr="00A71C54">
              <w:t>2015</w:t>
            </w:r>
          </w:p>
        </w:tc>
        <w:tc>
          <w:tcPr>
            <w:tcW w:w="2202" w:type="pct"/>
            <w:noWrap/>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6.1</w:t>
            </w:r>
          </w:p>
        </w:tc>
        <w:tc>
          <w:tcPr>
            <w:tcW w:w="2084" w:type="pct"/>
            <w:noWrap/>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6.5</w:t>
            </w:r>
          </w:p>
        </w:tc>
      </w:tr>
      <w:tr w:rsidR="00A71C54" w:rsidRPr="003663F4" w:rsidTr="00A71C5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A71C54" w:rsidRPr="00A71C54" w:rsidRDefault="00A71C54" w:rsidP="00A71C54">
            <w:r w:rsidRPr="00C2709F">
              <w:t>1937–</w:t>
            </w:r>
            <w:r w:rsidRPr="00A71C54">
              <w:t>2015</w:t>
            </w:r>
          </w:p>
        </w:tc>
        <w:tc>
          <w:tcPr>
            <w:tcW w:w="2202" w:type="pct"/>
            <w:noWrap/>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5.7</w:t>
            </w:r>
          </w:p>
        </w:tc>
        <w:tc>
          <w:tcPr>
            <w:tcW w:w="2084" w:type="pct"/>
            <w:noWrap/>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5.</w:t>
            </w:r>
            <w:r w:rsidRPr="00A71C54">
              <w:t>7</w:t>
            </w:r>
          </w:p>
        </w:tc>
      </w:tr>
      <w:tr w:rsidR="00A71C54" w:rsidRPr="003663F4" w:rsidTr="00A71C54">
        <w:trPr>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A71C54" w:rsidRPr="00A71C54" w:rsidRDefault="00A71C54" w:rsidP="00A71C54">
            <w:r w:rsidRPr="00C2709F">
              <w:t>1958–</w:t>
            </w:r>
            <w:r w:rsidRPr="00A71C54">
              <w:t>2015</w:t>
            </w:r>
          </w:p>
        </w:tc>
        <w:tc>
          <w:tcPr>
            <w:tcW w:w="2202" w:type="pct"/>
            <w:noWrap/>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6.2</w:t>
            </w:r>
          </w:p>
        </w:tc>
        <w:tc>
          <w:tcPr>
            <w:tcW w:w="2084" w:type="pct"/>
            <w:noWrap/>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6.2</w:t>
            </w:r>
          </w:p>
        </w:tc>
      </w:tr>
      <w:tr w:rsidR="00A71C54" w:rsidRPr="003663F4" w:rsidTr="00A71C5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A71C54" w:rsidRPr="00A71C54" w:rsidRDefault="00A71C54" w:rsidP="00A71C54">
            <w:r w:rsidRPr="00C2709F">
              <w:t>1980–</w:t>
            </w:r>
            <w:r w:rsidRPr="00A71C54">
              <w:t>2015</w:t>
            </w:r>
          </w:p>
        </w:tc>
        <w:tc>
          <w:tcPr>
            <w:tcW w:w="2202" w:type="pct"/>
            <w:noWrap/>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5.9</w:t>
            </w:r>
          </w:p>
        </w:tc>
        <w:tc>
          <w:tcPr>
            <w:tcW w:w="2084" w:type="pct"/>
            <w:noWrap/>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5.9</w:t>
            </w:r>
          </w:p>
        </w:tc>
      </w:tr>
      <w:tr w:rsidR="00A71C54" w:rsidRPr="003663F4" w:rsidTr="00A71C54">
        <w:trPr>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A71C54" w:rsidRPr="00A71C54" w:rsidRDefault="00A71C54" w:rsidP="00A71C54">
            <w:r w:rsidRPr="00C2709F">
              <w:t>1988–</w:t>
            </w:r>
            <w:r w:rsidRPr="00A71C54">
              <w:t>2015</w:t>
            </w:r>
          </w:p>
        </w:tc>
        <w:tc>
          <w:tcPr>
            <w:tcW w:w="2202" w:type="pct"/>
            <w:noWrap/>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5.2</w:t>
            </w:r>
          </w:p>
        </w:tc>
        <w:tc>
          <w:tcPr>
            <w:tcW w:w="2084" w:type="pct"/>
            <w:noWrap/>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5.2</w:t>
            </w:r>
          </w:p>
        </w:tc>
      </w:tr>
    </w:tbl>
    <w:p w:rsidR="00A71C54" w:rsidRPr="00C2709F" w:rsidRDefault="00A71C54" w:rsidP="00A71C54">
      <w:pPr>
        <w:pStyle w:val="AERtablesource"/>
      </w:pPr>
      <w:r w:rsidRPr="00C2709F">
        <w:t xml:space="preserve">Source: </w:t>
      </w:r>
      <w:r w:rsidRPr="00C2709F">
        <w:tab/>
        <w:t xml:space="preserve">AER, </w:t>
      </w:r>
      <w:r w:rsidRPr="00C2709F">
        <w:rPr>
          <w:rStyle w:val="AERtextitalic"/>
        </w:rPr>
        <w:t>Explanatory statement: Rate of return guideline (appendices)</w:t>
      </w:r>
      <w:r w:rsidRPr="00C2709F">
        <w:t>, 17 December 2013, p. 83; AER updates</w:t>
      </w:r>
    </w:p>
    <w:p w:rsidR="00A71C54" w:rsidRPr="001562D4" w:rsidRDefault="00A71C54" w:rsidP="00A71C54">
      <w:pPr>
        <w:pStyle w:val="AERtablesource"/>
      </w:pPr>
      <w:r>
        <w:t>Notes</w:t>
      </w:r>
      <w:r w:rsidRPr="00C2709F">
        <w:t xml:space="preserve">: </w:t>
      </w:r>
      <w:r w:rsidRPr="00C2709F">
        <w:tab/>
      </w:r>
      <w:r>
        <w:t>Based on arithmetic averages of historical stock returns, and a theta value of 0.6.</w:t>
      </w:r>
    </w:p>
    <w:p w:rsidR="00A71C54" w:rsidRPr="00C2709F" w:rsidRDefault="00A71C54" w:rsidP="00A71C54">
      <w:pPr>
        <w:numPr>
          <w:ilvl w:val="0"/>
          <w:numId w:val="25"/>
        </w:numPr>
      </w:pPr>
      <w:r>
        <w:t>Secondly, we consider that</w:t>
      </w:r>
      <w:r w:rsidRPr="00C2709F">
        <w:t xml:space="preserve"> NERA's</w:t>
      </w:r>
      <w:r>
        <w:t xml:space="preserve"> proposed</w:t>
      </w:r>
      <w:r w:rsidRPr="00C2709F">
        <w:t xml:space="preserve"> adjustment </w:t>
      </w:r>
      <w:r>
        <w:t>is not warranted and it is</w:t>
      </w:r>
      <w:r w:rsidRPr="00C2709F">
        <w:t xml:space="preserve"> not</w:t>
      </w:r>
      <w:r>
        <w:t xml:space="preserve"> clear that it would</w:t>
      </w:r>
      <w:r w:rsidRPr="00C2709F">
        <w:t xml:space="preserve"> lead to a material improvement in the quality of our data.</w:t>
      </w:r>
      <w:r w:rsidRPr="006C1BAA">
        <w:t xml:space="preserve"> </w:t>
      </w:r>
      <w:r w:rsidRPr="00C2709F">
        <w:t>As Handley stated:</w:t>
      </w:r>
      <w:r w:rsidRPr="00C2709F">
        <w:rPr>
          <w:rStyle w:val="FootnoteReference"/>
        </w:rPr>
        <w:footnoteReference w:id="824"/>
      </w:r>
    </w:p>
    <w:p w:rsidR="00A71C54" w:rsidRPr="00C2709F" w:rsidRDefault="00A71C54" w:rsidP="00A71C54">
      <w:pPr>
        <w:pStyle w:val="AERquote"/>
      </w:pPr>
      <w:r w:rsidRPr="00C2709F">
        <w:t xml:space="preserve">There are two main problems with the NERA analysis. First, it is unreasonable to draw a conclusion about three-hundred data points from a sample of only seven of those data points. Second and more fundamentally, NERA has not reconciled their data back to the Lamberton </w:t>
      </w:r>
      <w:r>
        <w:t xml:space="preserve">[ASX] </w:t>
      </w:r>
      <w:r w:rsidRPr="00C2709F">
        <w:t>data as illustrated below</w:t>
      </w:r>
    </w:p>
    <w:p w:rsidR="00A71C54" w:rsidRPr="00C2709F" w:rsidRDefault="00A71C54" w:rsidP="00A71C54">
      <w:pPr>
        <w:numPr>
          <w:ilvl w:val="0"/>
          <w:numId w:val="25"/>
        </w:numPr>
      </w:pPr>
      <w:r w:rsidRPr="00C2709F">
        <w:t xml:space="preserve">In their </w:t>
      </w:r>
      <w:r>
        <w:t xml:space="preserve">published </w:t>
      </w:r>
      <w:r w:rsidRPr="00C2709F">
        <w:t xml:space="preserve">study, </w:t>
      </w:r>
      <w:r>
        <w:t>Brailsford et al. found that data for the period 1882 to 1964 originally represented the unweighted average yield rather than a weighted average yield, and reflected the average yield on dividend-paying stocks only rather than all stocks.</w:t>
      </w:r>
      <w:r w:rsidRPr="00C2709F">
        <w:rPr>
          <w:rStyle w:val="FootnoteReference"/>
        </w:rPr>
        <w:footnoteReference w:id="825"/>
      </w:r>
      <w:r>
        <w:t xml:space="preserve"> </w:t>
      </w:r>
      <w:r w:rsidRPr="00C2709F">
        <w:t xml:space="preserve">Brailsford et al. extensively considered issues concerning </w:t>
      </w:r>
      <w:r>
        <w:t xml:space="preserve">the </w:t>
      </w:r>
      <w:r w:rsidRPr="00C2709F">
        <w:t>data</w:t>
      </w:r>
      <w:r>
        <w:t>, and found that the ASX had made an adjustment to account for these data issues</w:t>
      </w:r>
      <w:r w:rsidRPr="00C2709F">
        <w:t>.</w:t>
      </w:r>
      <w:r w:rsidRPr="00C2709F">
        <w:rPr>
          <w:rStyle w:val="FootnoteReference"/>
        </w:rPr>
        <w:footnoteReference w:id="826"/>
      </w:r>
      <w:r w:rsidRPr="00C2709F">
        <w:t xml:space="preserve"> </w:t>
      </w:r>
      <w:r>
        <w:t>Brailsford et al. concluded that the ASX's adjustment was reasonable after considering</w:t>
      </w:r>
      <w:r w:rsidRPr="00C2709F">
        <w:t>:</w:t>
      </w:r>
      <w:r>
        <w:t xml:space="preserve"> </w:t>
      </w:r>
    </w:p>
    <w:p w:rsidR="00A71C54" w:rsidRPr="00C2709F" w:rsidRDefault="00A71C54" w:rsidP="00A71C54">
      <w:pPr>
        <w:pStyle w:val="AERbulletlistfirststyle"/>
      </w:pPr>
      <w:r w:rsidRPr="00C2709F">
        <w:t>the views of the stock exchange itself (a credible source), as its staff determined and applied the adjustment factor to the dividend yield series</w:t>
      </w:r>
    </w:p>
    <w:p w:rsidR="00A71C54" w:rsidRPr="00C2709F" w:rsidRDefault="00A71C54" w:rsidP="00A71C54">
      <w:pPr>
        <w:pStyle w:val="AERbulletlistfirststyle"/>
      </w:pPr>
      <w:r w:rsidRPr="00C2709F">
        <w:t>US studies, which have attempted to formulate dividend yield series over roughly comparable time periods</w:t>
      </w:r>
    </w:p>
    <w:p w:rsidR="00A71C54" w:rsidRPr="00C2709F" w:rsidRDefault="00A71C54" w:rsidP="00A71C54">
      <w:pPr>
        <w:pStyle w:val="AERbulletlistfirststyle"/>
      </w:pPr>
      <w:r w:rsidRPr="00C2709F">
        <w:t>estimates of unweighted and weighted dividend yields for the UK stock market over the period 1872 to 1913</w:t>
      </w:r>
    </w:p>
    <w:p w:rsidR="00A71C54" w:rsidRDefault="00A71C54" w:rsidP="00A71C54">
      <w:pPr>
        <w:pStyle w:val="AERbulletlistfirststyle"/>
      </w:pPr>
      <w:r w:rsidRPr="00C2709F">
        <w:t>a more direct test by estimating the weighted dividend yield across all stocks listed on the S</w:t>
      </w:r>
      <w:r>
        <w:t xml:space="preserve">ydney </w:t>
      </w:r>
      <w:r w:rsidRPr="00C2709F">
        <w:t>S</w:t>
      </w:r>
      <w:r>
        <w:t xml:space="preserve">tock </w:t>
      </w:r>
      <w:r w:rsidRPr="00C2709F">
        <w:t>E</w:t>
      </w:r>
      <w:r>
        <w:t>xchange</w:t>
      </w:r>
      <w:r w:rsidRPr="00C2709F">
        <w:t xml:space="preserve"> for February 1966 (the first month of decimal currency)</w:t>
      </w:r>
    </w:p>
    <w:p w:rsidR="00A71C54" w:rsidRPr="00856B86" w:rsidRDefault="00A71C54" w:rsidP="00A71C54">
      <w:pPr>
        <w:pStyle w:val="ListParagraph"/>
        <w:numPr>
          <w:ilvl w:val="0"/>
          <w:numId w:val="25"/>
        </w:numPr>
      </w:pPr>
      <w:r>
        <w:t>We consider that</w:t>
      </w:r>
      <w:r w:rsidRPr="00C2709F">
        <w:t xml:space="preserve"> NERA's submission that its adjustment is more accurate because it uses more than one data point is </w:t>
      </w:r>
      <w:r>
        <w:t>misinforming</w:t>
      </w:r>
      <w:r w:rsidRPr="00C2709F">
        <w:t>.</w:t>
      </w:r>
      <w:r w:rsidRPr="00C2709F">
        <w:rPr>
          <w:rStyle w:val="FootnoteReference"/>
        </w:rPr>
        <w:footnoteReference w:id="827"/>
      </w:r>
      <w:r w:rsidRPr="00C2709F">
        <w:t xml:space="preserve"> Brailsford et al. uses one data point as one method (of several) to check the reasonableness of the ASX adjustment. This does not mean the ASX adjustment itself is based on one data point.</w:t>
      </w:r>
      <w:r>
        <w:t xml:space="preserve"> </w:t>
      </w:r>
      <w:r w:rsidRPr="00856B86">
        <w:t xml:space="preserve">Handley responded to this misconception multiple times. For example: </w:t>
      </w:r>
    </w:p>
    <w:p w:rsidR="00A71C54" w:rsidRPr="00856B86" w:rsidRDefault="00A71C54" w:rsidP="00A71C54">
      <w:pPr>
        <w:pStyle w:val="AERbulletlistfirststyle"/>
      </w:pPr>
      <w:r w:rsidRPr="00856B86">
        <w:t>In his October 2014 report, Handley stated:</w:t>
      </w:r>
      <w:r w:rsidRPr="00856B86">
        <w:rPr>
          <w:rStyle w:val="FootnoteReference"/>
        </w:rPr>
        <w:footnoteReference w:id="828"/>
      </w:r>
    </w:p>
    <w:p w:rsidR="00A71C54" w:rsidRPr="00856B86" w:rsidRDefault="00A71C54" w:rsidP="00A71C54">
      <w:pPr>
        <w:pStyle w:val="AERquote"/>
      </w:pPr>
      <w:r w:rsidRPr="00856B86">
        <w:t xml:space="preserve">Before addressing NERA’s analysis, it is appropriate to clarify a very important misconception concerning the adjustment. Contrary to the claim by SFG – and it is not clear whether this view is also shared by NERA – the adjustment was not something which BHM took upon </w:t>
      </w:r>
      <w:proofErr w:type="gramStart"/>
      <w:r w:rsidRPr="00856B86">
        <w:t>themselves</w:t>
      </w:r>
      <w:proofErr w:type="gramEnd"/>
      <w:r w:rsidRPr="00856B86">
        <w:t xml:space="preserve"> to apply to the Lamberton data. Rather, the data that the ASX provided to BHM had already had been adjusted by the ASX. In other words, the ASX had many years earlier decided in their knowledge and wisdom that some adjustment was necessary and it was the ASX who determined the amount and adjusted the data accordingly. BHM simply sought to confirm their understanding of the data series provided by the ASX by reconciling it back to original sources.</w:t>
      </w:r>
    </w:p>
    <w:p w:rsidR="00A71C54" w:rsidRPr="00856B86" w:rsidRDefault="00A71C54" w:rsidP="00A71C54">
      <w:pPr>
        <w:pStyle w:val="AERbulletlistfirststyle"/>
      </w:pPr>
      <w:r w:rsidRPr="00856B86">
        <w:t>In his May 2015 report, Handley stated:</w:t>
      </w:r>
      <w:r w:rsidRPr="00856B86">
        <w:rPr>
          <w:rStyle w:val="FootnoteReference"/>
        </w:rPr>
        <w:footnoteReference w:id="829"/>
      </w:r>
    </w:p>
    <w:p w:rsidR="00A71C54" w:rsidRPr="00856B86" w:rsidRDefault="00A71C54" w:rsidP="00A71C54">
      <w:pPr>
        <w:pStyle w:val="AERquote"/>
      </w:pPr>
      <w:r w:rsidRPr="00856B86">
        <w:t>The inference in the first statement that the stock and dividend data underlying the Brailsford, Handley and Maheswaran (2008) – BHM – dataset is not genuine is incorrect and troubling. The claim (by NERA) in the second statement that BHM, rather than the ASX, made the adjustment to the dividend data is incorrect.</w:t>
      </w:r>
    </w:p>
    <w:p w:rsidR="00A71C54" w:rsidRDefault="00A71C54" w:rsidP="00A71C54">
      <w:r w:rsidRPr="00C540E2">
        <w:t xml:space="preserve">HoustonKemp raise again the issues that no ASX publication uses the ASX adjustment and </w:t>
      </w:r>
      <w:r>
        <w:t xml:space="preserve">that </w:t>
      </w:r>
      <w:r w:rsidRPr="00C540E2">
        <w:t xml:space="preserve">the ASX </w:t>
      </w:r>
      <w:r>
        <w:t>has stated</w:t>
      </w:r>
      <w:r w:rsidRPr="00C540E2">
        <w:t xml:space="preserve"> that it has no opinion</w:t>
      </w:r>
      <w:r>
        <w:t xml:space="preserve"> on the adjustment</w:t>
      </w:r>
      <w:r w:rsidRPr="00C540E2">
        <w:t>. We remain satisfied that the</w:t>
      </w:r>
      <w:r>
        <w:t xml:space="preserve"> adjustment originated with the ASX, irrespective of the existence of any ASX publication using the data, and that</w:t>
      </w:r>
      <w:r w:rsidRPr="00C540E2">
        <w:t xml:space="preserve"> ASX provided the adjusted data </w:t>
      </w:r>
      <w:r>
        <w:t>to</w:t>
      </w:r>
      <w:r w:rsidRPr="00585C0A">
        <w:t xml:space="preserve"> Brailsford et al</w:t>
      </w:r>
      <w:r w:rsidRPr="00C540E2">
        <w:t>. </w:t>
      </w:r>
    </w:p>
    <w:p w:rsidR="00A71C54" w:rsidRPr="00C2709F" w:rsidRDefault="00A71C54" w:rsidP="00A71C54">
      <w:r>
        <w:t>W</w:t>
      </w:r>
      <w:r w:rsidRPr="00D02E71">
        <w:t xml:space="preserve">e also consider that NERA has not established that the overall level of its adjustment is superior to the ASX adjustment. </w:t>
      </w:r>
      <w:r>
        <w:t xml:space="preserve">In addition to examining the ASX adjustment to account for simple, unweighted yields, Brailsford et al. examined other </w:t>
      </w:r>
      <w:r w:rsidRPr="00C2709F">
        <w:t>concerns over data quality and the imprecision of the underlying series'</w:t>
      </w:r>
      <w:r>
        <w:t>,</w:t>
      </w:r>
      <w:r w:rsidRPr="00C2709F">
        <w:rPr>
          <w:rStyle w:val="FootnoteReference"/>
        </w:rPr>
        <w:footnoteReference w:id="830"/>
      </w:r>
      <w:r w:rsidRPr="00C2709F">
        <w:t xml:space="preserve"> specifically:</w:t>
      </w:r>
      <w:r w:rsidRPr="00C2709F">
        <w:rPr>
          <w:rStyle w:val="FootnoteReference"/>
        </w:rPr>
        <w:footnoteReference w:id="831"/>
      </w:r>
    </w:p>
    <w:p w:rsidR="00A71C54" w:rsidRPr="00C2709F" w:rsidRDefault="00A71C54" w:rsidP="00A71C54">
      <w:pPr>
        <w:pStyle w:val="AERbulletlistfirststyle"/>
      </w:pPr>
      <w:r w:rsidRPr="00C2709F">
        <w:t xml:space="preserve">employing hindsight in sample selection commonly imparts an upward (survivorship) bias </w:t>
      </w:r>
    </w:p>
    <w:p w:rsidR="00A71C54" w:rsidRPr="00C2709F" w:rsidRDefault="00A71C54" w:rsidP="00A71C54">
      <w:pPr>
        <w:pStyle w:val="AERbulletlistfirststyle"/>
      </w:pPr>
      <w:r w:rsidRPr="00C2709F">
        <w:t>the Commercial and Industrial price index from 1875 to 1936 does not include the financial sector and, therefore, is not strictly comparable to the All Ordinary Shares price index that followed from 1936 to 1957</w:t>
      </w:r>
    </w:p>
    <w:p w:rsidR="00A71C54" w:rsidRPr="00C2709F" w:rsidRDefault="00A71C54" w:rsidP="00A71C54">
      <w:pPr>
        <w:pStyle w:val="AERbulletlistfirststyle"/>
      </w:pPr>
      <w:r w:rsidRPr="00C2709F">
        <w:t>the Commercial and Industrial price index from 1875 to 1936 suffers from narrow coverage—there are only five stocks in the index in 1875, 12 in 1905 and 47 in 1935</w:t>
      </w:r>
    </w:p>
    <w:p w:rsidR="00A71C54" w:rsidRPr="00C2709F" w:rsidRDefault="00A71C54" w:rsidP="00A71C54">
      <w:pPr>
        <w:pStyle w:val="AERbulletlistfirststyle"/>
      </w:pPr>
      <w:r w:rsidRPr="00C2709F">
        <w:t>Australian government stock price controls were in operation from November 1941 to February 1947 and, therefore, prices over this period were not fully market determined</w:t>
      </w:r>
    </w:p>
    <w:p w:rsidR="00A71C54" w:rsidRPr="00C2709F" w:rsidRDefault="00A71C54" w:rsidP="00A71C54">
      <w:pPr>
        <w:pStyle w:val="AERbulletlistfirststyle"/>
      </w:pPr>
      <w:r w:rsidRPr="00C2709F">
        <w:t xml:space="preserve">each of Lamberton’s (1958) industry indices are value-weighted, but in forming the All Ordinary Shares index and the All Ordinary Shares (excluding Financial) index, the relevant component industry indices have been weighted according to their aggregate amount of paid up capital.. </w:t>
      </w:r>
    </w:p>
    <w:p w:rsidR="00A71C54" w:rsidRPr="00C2709F" w:rsidRDefault="00A71C54" w:rsidP="00A71C54">
      <w:r w:rsidRPr="00C2709F">
        <w:t>Brailsford et al. subsequently considered that:</w:t>
      </w:r>
      <w:r w:rsidRPr="00C2709F">
        <w:rPr>
          <w:rStyle w:val="FootnoteReference"/>
        </w:rPr>
        <w:footnoteReference w:id="832"/>
      </w:r>
    </w:p>
    <w:p w:rsidR="00A71C54" w:rsidRPr="00C2709F" w:rsidRDefault="00A71C54" w:rsidP="00A71C54">
      <w:pPr>
        <w:pStyle w:val="AERquote"/>
      </w:pPr>
      <w:r w:rsidRPr="00C2709F">
        <w:t>Although it is difficult to draw a conclusion on the extent to which the above issues impact on the observed rates of return on the equity index relative to the unobserved ‘true’ rates of return, a consequent bias leading to an overstatement of equity performance up to the mid-1950s is probable.</w:t>
      </w:r>
    </w:p>
    <w:p w:rsidR="00A71C54" w:rsidRDefault="00A71C54" w:rsidP="00A71C54">
      <w:pPr>
        <w:numPr>
          <w:ilvl w:val="0"/>
          <w:numId w:val="25"/>
        </w:numPr>
      </w:pPr>
      <w:r>
        <w:t xml:space="preserve">Given this probability of overstatement considered by Brailsford et al., it is not clear that a smaller downward adjustment to the original data would reduce bias. </w:t>
      </w:r>
    </w:p>
    <w:p w:rsidR="00A71C54" w:rsidRPr="00A71C54" w:rsidRDefault="00A71C54" w:rsidP="00A71C54"/>
    <w:p w:rsidR="00312F8A" w:rsidRDefault="00312F8A" w:rsidP="00312F8A">
      <w:pPr>
        <w:pStyle w:val="Heading7"/>
      </w:pPr>
      <w:bookmarkStart w:id="203" w:name="_Toc443923203"/>
      <w:bookmarkStart w:id="204" w:name="_Ref451685164"/>
      <w:bookmarkStart w:id="205" w:name="_Toc452629086"/>
      <w:bookmarkStart w:id="206" w:name="_Toc456686729"/>
      <w:r>
        <w:t>AER's dividend growth model</w:t>
      </w:r>
      <w:bookmarkEnd w:id="203"/>
      <w:bookmarkEnd w:id="204"/>
      <w:bookmarkEnd w:id="205"/>
      <w:bookmarkEnd w:id="206"/>
    </w:p>
    <w:p w:rsidR="00A71C54" w:rsidRPr="00B4711B" w:rsidRDefault="00A71C54" w:rsidP="00A71C54">
      <w:pPr>
        <w:numPr>
          <w:ilvl w:val="0"/>
          <w:numId w:val="25"/>
        </w:numPr>
      </w:pPr>
      <w:r w:rsidRPr="00B4711B">
        <w:rPr>
          <w:rStyle w:val="AERbody"/>
        </w:rPr>
        <w:t xml:space="preserve">Dividend growth models </w:t>
      </w:r>
      <w:r w:rsidRPr="00B4711B">
        <w:t xml:space="preserve">use forecast dividends of businesses to derive the return on equity by </w:t>
      </w:r>
      <w:r>
        <w:t>assuming</w:t>
      </w:r>
      <w:r w:rsidRPr="00B4711B">
        <w:t xml:space="preserve"> that the present value of these dividends is equal to the business' market value of equity.</w:t>
      </w:r>
      <w:r w:rsidRPr="00B4711B">
        <w:rPr>
          <w:rStyle w:val="FootnoteReference"/>
        </w:rPr>
        <w:footnoteReference w:id="833"/>
      </w:r>
      <w:r w:rsidRPr="00B4711B">
        <w:t xml:space="preserve"> Consistent with the rate of return guideline (Guideline), we use </w:t>
      </w:r>
      <w:r>
        <w:t>dividend growth models</w:t>
      </w:r>
      <w:r w:rsidRPr="00B4711B">
        <w:t xml:space="preserve"> to inform our estimate of the market risk premium.</w:t>
      </w:r>
      <w:r w:rsidRPr="00B4711B">
        <w:rPr>
          <w:rStyle w:val="FootnoteReference"/>
        </w:rPr>
        <w:footnoteReference w:id="834"/>
      </w:r>
      <w:r>
        <w:t xml:space="preserve"> However, we consider that limited reliance should be placed on estimates from dividend growth models. </w:t>
      </w:r>
    </w:p>
    <w:p w:rsidR="00A71C54" w:rsidRPr="00B4711B" w:rsidRDefault="00A71C54" w:rsidP="00A71C54">
      <w:pPr>
        <w:numPr>
          <w:ilvl w:val="0"/>
          <w:numId w:val="25"/>
        </w:numPr>
      </w:pPr>
      <w:r w:rsidRPr="00B4711B">
        <w:t>In this appendix we set out:</w:t>
      </w:r>
    </w:p>
    <w:p w:rsidR="00A71C54" w:rsidRPr="00B4711B" w:rsidRDefault="00A71C54" w:rsidP="00A71C54">
      <w:pPr>
        <w:pStyle w:val="AERbulletlistfirststyle"/>
      </w:pPr>
      <w:r w:rsidRPr="00B4711B">
        <w:t xml:space="preserve">Prevailing estimates of the </w:t>
      </w:r>
      <w:r>
        <w:t>market risk premium</w:t>
      </w:r>
      <w:r w:rsidRPr="00B4711B">
        <w:t xml:space="preserve"> using our preferred construction of the </w:t>
      </w:r>
      <w:r>
        <w:t>dividend growth model.</w:t>
      </w:r>
    </w:p>
    <w:p w:rsidR="00A71C54" w:rsidRPr="00B4711B" w:rsidRDefault="00A71C54" w:rsidP="00A71C54">
      <w:pPr>
        <w:pStyle w:val="AERbulletlistfirststyle"/>
      </w:pPr>
      <w:r w:rsidRPr="00B4711B">
        <w:t>Sensitivity analysis surrounding our prevailing estimates.</w:t>
      </w:r>
    </w:p>
    <w:p w:rsidR="00A71C54" w:rsidRPr="00B4711B" w:rsidRDefault="00A71C54" w:rsidP="00A71C54">
      <w:pPr>
        <w:pStyle w:val="AERbulletlistfirststyle"/>
      </w:pPr>
      <w:r w:rsidRPr="00B4711B">
        <w:t xml:space="preserve">Our preferred construction of the </w:t>
      </w:r>
      <w:r>
        <w:t>dividend growth model</w:t>
      </w:r>
      <w:r w:rsidRPr="00B4711B">
        <w:t>.</w:t>
      </w:r>
    </w:p>
    <w:p w:rsidR="00A71C54" w:rsidRPr="00B4711B" w:rsidRDefault="00A71C54" w:rsidP="00A71C54">
      <w:pPr>
        <w:pStyle w:val="AERbulletlistfirststyle"/>
      </w:pPr>
      <w:r>
        <w:t>Limitations with the use of dividend growth models due to potential upward bias</w:t>
      </w:r>
      <w:r w:rsidRPr="00B4711B">
        <w:t xml:space="preserve">. </w:t>
      </w:r>
    </w:p>
    <w:p w:rsidR="00A71C54" w:rsidRPr="00A71C54" w:rsidRDefault="00A71C54" w:rsidP="00376690">
      <w:pPr>
        <w:pStyle w:val="Heading8"/>
        <w:numPr>
          <w:ilvl w:val="1"/>
          <w:numId w:val="60"/>
        </w:numPr>
      </w:pPr>
      <w:r w:rsidRPr="00B4711B">
        <w:t xml:space="preserve"> </w:t>
      </w:r>
      <w:bookmarkStart w:id="207" w:name="_Toc443923204"/>
      <w:bookmarkStart w:id="208" w:name="_Toc451938982"/>
      <w:bookmarkStart w:id="209" w:name="_Toc456686730"/>
      <w:r w:rsidRPr="00B4711B">
        <w:t>Prevailing estimates</w:t>
      </w:r>
      <w:bookmarkEnd w:id="207"/>
      <w:bookmarkEnd w:id="208"/>
      <w:bookmarkEnd w:id="209"/>
      <w:r w:rsidRPr="00B4711B">
        <w:t xml:space="preserve"> </w:t>
      </w:r>
    </w:p>
    <w:p w:rsidR="00A71C54" w:rsidRPr="00B4711B" w:rsidRDefault="00A71C54" w:rsidP="00A71C54">
      <w:r w:rsidRPr="00B4711B">
        <w:t xml:space="preserve">Results in </w:t>
      </w:r>
      <w:r>
        <w:fldChar w:fldCharType="begin"/>
      </w:r>
      <w:r>
        <w:instrText xml:space="preserve"> REF _Ref445384078 \h </w:instrText>
      </w:r>
      <w:r>
        <w:fldChar w:fldCharType="separate"/>
      </w:r>
      <w:r w:rsidR="003F1AAB" w:rsidRPr="00C2709F">
        <w:t xml:space="preserve">Table </w:t>
      </w:r>
      <w:r w:rsidR="003F1AAB">
        <w:rPr>
          <w:noProof/>
        </w:rPr>
        <w:t>3</w:t>
      </w:r>
      <w:r w:rsidR="003F1AAB">
        <w:noBreakHyphen/>
      </w:r>
      <w:r w:rsidR="003F1AAB">
        <w:rPr>
          <w:noProof/>
        </w:rPr>
        <w:t>26</w:t>
      </w:r>
      <w:r>
        <w:fldChar w:fldCharType="end"/>
      </w:r>
      <w:r>
        <w:t xml:space="preserve"> </w:t>
      </w:r>
      <w:r w:rsidRPr="00B4711B">
        <w:t xml:space="preserve">show </w:t>
      </w:r>
      <w:r>
        <w:t xml:space="preserve">that, </w:t>
      </w:r>
      <w:r w:rsidRPr="00B4711B">
        <w:t xml:space="preserve">for the two month period up to </w:t>
      </w:r>
      <w:r w:rsidRPr="00B4711B">
        <w:rPr>
          <w:rStyle w:val="AERbody"/>
        </w:rPr>
        <w:t>end–</w:t>
      </w:r>
      <w:r w:rsidR="008262CF">
        <w:t>March</w:t>
      </w:r>
      <w:r w:rsidR="008262CF" w:rsidRPr="00B4711B">
        <w:t xml:space="preserve"> </w:t>
      </w:r>
      <w:r w:rsidRPr="00B4711B">
        <w:t>201</w:t>
      </w:r>
      <w:r w:rsidR="008262CF">
        <w:t>6</w:t>
      </w:r>
      <w:r w:rsidRPr="00B4711B">
        <w:t>, the</w:t>
      </w:r>
      <w:r w:rsidRPr="00B4711B">
        <w:rPr>
          <w:rStyle w:val="AERbody"/>
        </w:rPr>
        <w:t xml:space="preserve"> </w:t>
      </w:r>
      <w:r>
        <w:rPr>
          <w:rStyle w:val="AERbody"/>
        </w:rPr>
        <w:t>dividend growth models</w:t>
      </w:r>
      <w:r w:rsidRPr="00B4711B">
        <w:rPr>
          <w:rStyle w:val="AERbody"/>
        </w:rPr>
        <w:t xml:space="preserve"> produce </w:t>
      </w:r>
      <w:r>
        <w:rPr>
          <w:rStyle w:val="AERbody"/>
        </w:rPr>
        <w:t>a range of market risk premium</w:t>
      </w:r>
      <w:r w:rsidRPr="00B4711B">
        <w:rPr>
          <w:rStyle w:val="AERbody"/>
        </w:rPr>
        <w:t xml:space="preserve"> </w:t>
      </w:r>
      <w:r>
        <w:rPr>
          <w:rStyle w:val="AERbody"/>
        </w:rPr>
        <w:t xml:space="preserve">estimates between </w:t>
      </w:r>
      <w:r w:rsidRPr="00B4711B">
        <w:rPr>
          <w:rStyle w:val="AERbody"/>
        </w:rPr>
        <w:t>7.</w:t>
      </w:r>
      <w:r w:rsidR="008262CF">
        <w:rPr>
          <w:rStyle w:val="AERbody"/>
        </w:rPr>
        <w:t>48</w:t>
      </w:r>
      <w:r w:rsidRPr="00B4711B">
        <w:rPr>
          <w:rStyle w:val="AERbody"/>
        </w:rPr>
        <w:t xml:space="preserve"> to </w:t>
      </w:r>
      <w:r>
        <w:rPr>
          <w:rStyle w:val="AERbody"/>
        </w:rPr>
        <w:t>8.</w:t>
      </w:r>
      <w:r w:rsidR="008262CF">
        <w:rPr>
          <w:rStyle w:val="AERbody"/>
        </w:rPr>
        <w:t>7</w:t>
      </w:r>
      <w:r>
        <w:rPr>
          <w:rStyle w:val="AERbody"/>
        </w:rPr>
        <w:t>4</w:t>
      </w:r>
      <w:r w:rsidRPr="00B4711B">
        <w:rPr>
          <w:rStyle w:val="AERbody"/>
        </w:rPr>
        <w:t xml:space="preserve"> per </w:t>
      </w:r>
      <w:r w:rsidRPr="00B4711B">
        <w:t>cent.</w:t>
      </w:r>
      <w:r w:rsidRPr="00890846">
        <w:t xml:space="preserve"> </w:t>
      </w:r>
    </w:p>
    <w:p w:rsidR="00A71C54" w:rsidRDefault="00A71C54" w:rsidP="00A71C54">
      <w:pPr>
        <w:pStyle w:val="Caption"/>
      </w:pPr>
      <w:bookmarkStart w:id="210" w:name="_Ref445384078"/>
      <w:bookmarkStart w:id="211" w:name="_Ref443651296"/>
      <w:r w:rsidRPr="00C2709F">
        <w:t xml:space="preserve">Table </w:t>
      </w:r>
      <w:fldSimple w:instr=" STYLEREF 1 \s ">
        <w:r w:rsidR="003F1AAB">
          <w:rPr>
            <w:noProof/>
          </w:rPr>
          <w:t>3</w:t>
        </w:r>
      </w:fldSimple>
      <w:r>
        <w:noBreakHyphen/>
      </w:r>
      <w:fldSimple w:instr=" SEQ Table \* ARABIC \s 1 ">
        <w:r w:rsidR="003F1AAB">
          <w:rPr>
            <w:noProof/>
          </w:rPr>
          <w:t>26</w:t>
        </w:r>
      </w:fldSimple>
      <w:bookmarkEnd w:id="210"/>
      <w:r w:rsidRPr="00C2709F">
        <w:t xml:space="preserve"> </w:t>
      </w:r>
      <w:r w:rsidRPr="00C2709F">
        <w:tab/>
      </w:r>
      <w:r>
        <w:t>Market risk premium estimates under dividend growth models</w:t>
      </w:r>
      <w:r w:rsidRPr="00C2709F">
        <w:t xml:space="preserve"> (per cent)</w:t>
      </w:r>
      <w:r w:rsidRPr="00C2709F" w:rsidDel="00184676">
        <w:t xml:space="preserve"> </w:t>
      </w:r>
      <w:bookmarkEnd w:id="211"/>
    </w:p>
    <w:tbl>
      <w:tblPr>
        <w:tblStyle w:val="AERtable-text0"/>
        <w:tblW w:w="0" w:type="auto"/>
        <w:tblLook w:val="04A0" w:firstRow="1" w:lastRow="0" w:firstColumn="1" w:lastColumn="0" w:noHBand="0" w:noVBand="1"/>
      </w:tblPr>
      <w:tblGrid>
        <w:gridCol w:w="2897"/>
        <w:gridCol w:w="2898"/>
        <w:gridCol w:w="2898"/>
      </w:tblGrid>
      <w:tr w:rsidR="00A71C54" w:rsidTr="00A71C54">
        <w:trPr>
          <w:cnfStyle w:val="100000000000" w:firstRow="1" w:lastRow="0" w:firstColumn="0" w:lastColumn="0" w:oddVBand="0" w:evenVBand="0" w:oddHBand="0" w:evenHBand="0" w:firstRowFirstColumn="0" w:firstRowLastColumn="0" w:lastRowFirstColumn="0" w:lastRowLastColumn="0"/>
        </w:trPr>
        <w:tc>
          <w:tcPr>
            <w:tcW w:w="2897" w:type="dxa"/>
          </w:tcPr>
          <w:p w:rsidR="00A71C54" w:rsidRPr="00A71C54" w:rsidRDefault="00A71C54" w:rsidP="00A71C54">
            <w:r w:rsidRPr="00B4711B">
              <w:t xml:space="preserve">Growth rate </w:t>
            </w:r>
          </w:p>
        </w:tc>
        <w:tc>
          <w:tcPr>
            <w:tcW w:w="2898" w:type="dxa"/>
          </w:tcPr>
          <w:p w:rsidR="00A71C54" w:rsidRPr="00A71C54" w:rsidRDefault="00A71C54" w:rsidP="00A71C54">
            <w:r w:rsidRPr="00B4711B">
              <w:t>Two stage model</w:t>
            </w:r>
          </w:p>
        </w:tc>
        <w:tc>
          <w:tcPr>
            <w:tcW w:w="2898" w:type="dxa"/>
          </w:tcPr>
          <w:p w:rsidR="00A71C54" w:rsidRPr="00A71C54" w:rsidRDefault="00A71C54" w:rsidP="00A71C54">
            <w:r w:rsidRPr="00B4711B">
              <w:t>Three stage model</w:t>
            </w:r>
          </w:p>
        </w:tc>
      </w:tr>
      <w:tr w:rsidR="00A71C54" w:rsidTr="00A71C54">
        <w:tc>
          <w:tcPr>
            <w:tcW w:w="2897" w:type="dxa"/>
          </w:tcPr>
          <w:p w:rsidR="00A71C54" w:rsidRPr="00A71C54" w:rsidRDefault="00A71C54" w:rsidP="00A71C54">
            <w:r w:rsidRPr="001F22B0">
              <w:t>3.8</w:t>
            </w:r>
          </w:p>
        </w:tc>
        <w:tc>
          <w:tcPr>
            <w:tcW w:w="2898" w:type="dxa"/>
          </w:tcPr>
          <w:p w:rsidR="00A71C54" w:rsidRPr="00A71C54" w:rsidRDefault="00A71C54" w:rsidP="00A71C54">
            <w:r>
              <w:t>7.48</w:t>
            </w:r>
          </w:p>
        </w:tc>
        <w:tc>
          <w:tcPr>
            <w:tcW w:w="2898" w:type="dxa"/>
          </w:tcPr>
          <w:p w:rsidR="00A71C54" w:rsidRPr="00A71C54" w:rsidRDefault="00A71C54" w:rsidP="00A71C54">
            <w:r>
              <w:t>7.74</w:t>
            </w:r>
          </w:p>
        </w:tc>
      </w:tr>
      <w:tr w:rsidR="00A71C54" w:rsidTr="00A71C54">
        <w:trPr>
          <w:cnfStyle w:val="000000010000" w:firstRow="0" w:lastRow="0" w:firstColumn="0" w:lastColumn="0" w:oddVBand="0" w:evenVBand="0" w:oddHBand="0" w:evenHBand="1" w:firstRowFirstColumn="0" w:firstRowLastColumn="0" w:lastRowFirstColumn="0" w:lastRowLastColumn="0"/>
        </w:trPr>
        <w:tc>
          <w:tcPr>
            <w:tcW w:w="2897" w:type="dxa"/>
          </w:tcPr>
          <w:p w:rsidR="00A71C54" w:rsidRPr="00A71C54" w:rsidRDefault="00A71C54" w:rsidP="00A71C54">
            <w:r w:rsidRPr="001F22B0">
              <w:t>4.6</w:t>
            </w:r>
          </w:p>
        </w:tc>
        <w:tc>
          <w:tcPr>
            <w:tcW w:w="2898" w:type="dxa"/>
          </w:tcPr>
          <w:p w:rsidR="00A71C54" w:rsidRPr="00A71C54" w:rsidRDefault="00A71C54" w:rsidP="00A71C54">
            <w:r>
              <w:t>8.24</w:t>
            </w:r>
          </w:p>
        </w:tc>
        <w:tc>
          <w:tcPr>
            <w:tcW w:w="2898" w:type="dxa"/>
          </w:tcPr>
          <w:p w:rsidR="00A71C54" w:rsidRPr="00A71C54" w:rsidRDefault="00A71C54" w:rsidP="00A71C54">
            <w:r>
              <w:t>8.36</w:t>
            </w:r>
          </w:p>
        </w:tc>
      </w:tr>
      <w:tr w:rsidR="00A71C54" w:rsidTr="00A71C54">
        <w:tc>
          <w:tcPr>
            <w:tcW w:w="2897" w:type="dxa"/>
          </w:tcPr>
          <w:p w:rsidR="00A71C54" w:rsidRPr="00A71C54" w:rsidRDefault="00A71C54" w:rsidP="00A71C54">
            <w:r w:rsidRPr="001F22B0">
              <w:t>5.1</w:t>
            </w:r>
          </w:p>
        </w:tc>
        <w:tc>
          <w:tcPr>
            <w:tcW w:w="2898" w:type="dxa"/>
          </w:tcPr>
          <w:p w:rsidR="00A71C54" w:rsidRPr="00A71C54" w:rsidRDefault="00A71C54" w:rsidP="00A71C54">
            <w:r>
              <w:t>8.70</w:t>
            </w:r>
          </w:p>
        </w:tc>
        <w:tc>
          <w:tcPr>
            <w:tcW w:w="2898" w:type="dxa"/>
          </w:tcPr>
          <w:p w:rsidR="00A71C54" w:rsidRPr="00A71C54" w:rsidRDefault="00A71C54" w:rsidP="00A71C54">
            <w:r>
              <w:t>8.74</w:t>
            </w:r>
          </w:p>
        </w:tc>
      </w:tr>
    </w:tbl>
    <w:p w:rsidR="00A71C54" w:rsidRPr="00B4711B" w:rsidRDefault="00A71C54" w:rsidP="00A71C54">
      <w:pPr>
        <w:pStyle w:val="AERtablesource"/>
      </w:pPr>
      <w:r w:rsidRPr="00B4711B">
        <w:t xml:space="preserve">Source: </w:t>
      </w:r>
      <w:r w:rsidRPr="00B4711B">
        <w:tab/>
        <w:t>Bloomberg, AER analysis.</w:t>
      </w:r>
      <w:r w:rsidRPr="00B4711B">
        <w:tab/>
      </w:r>
    </w:p>
    <w:p w:rsidR="00A71C54" w:rsidRPr="00B4711B" w:rsidRDefault="00A71C54" w:rsidP="00A71C54">
      <w:pPr>
        <w:pStyle w:val="AERtablesource"/>
      </w:pPr>
      <w:r w:rsidRPr="00B4711B">
        <w:t>Notes:</w:t>
      </w:r>
      <w:r w:rsidRPr="00B4711B">
        <w:tab/>
        <w:t xml:space="preserve">Growth rate is nominal, </w:t>
      </w:r>
      <w:r>
        <w:t>for</w:t>
      </w:r>
      <w:r w:rsidRPr="00B4711B">
        <w:t xml:space="preserve"> </w:t>
      </w:r>
      <w:r>
        <w:t xml:space="preserve">more detail on </w:t>
      </w:r>
      <w:r w:rsidRPr="00B4711B">
        <w:t>derivation of these long term dividend growth rate estimates</w:t>
      </w:r>
      <w:r>
        <w:t xml:space="preserve"> see section B.2.1 of Attachment 3 to our </w:t>
      </w:r>
      <w:r w:rsidR="008262CF">
        <w:t xml:space="preserve">preliminary </w:t>
      </w:r>
      <w:r>
        <w:t xml:space="preserve">decision for </w:t>
      </w:r>
      <w:r w:rsidR="008262CF">
        <w:t>AusNet Services' 2016-20 distribution determination</w:t>
      </w:r>
      <w:r w:rsidRPr="00B4711B">
        <w:t>. Market risk premium estimates are based on an assumed theta of 0.6, and a 2 month average (</w:t>
      </w:r>
      <w:r>
        <w:t>Feb</w:t>
      </w:r>
      <w:r w:rsidRPr="00B4711B">
        <w:t>-</w:t>
      </w:r>
      <w:r>
        <w:t>Mar</w:t>
      </w:r>
      <w:r w:rsidRPr="00B4711B">
        <w:t xml:space="preserve"> 2016) of analysts' dividend forecasts.</w:t>
      </w:r>
    </w:p>
    <w:p w:rsidR="00A71C54" w:rsidRPr="00A71C54" w:rsidRDefault="00A71C54" w:rsidP="00A71C54">
      <w:pPr>
        <w:pStyle w:val="Heading8"/>
      </w:pPr>
      <w:bookmarkStart w:id="212" w:name="_Ref443651537"/>
      <w:bookmarkStart w:id="213" w:name="_Toc443923205"/>
      <w:bookmarkStart w:id="214" w:name="_Toc451938983"/>
      <w:bookmarkStart w:id="215" w:name="_Toc456686731"/>
      <w:r w:rsidRPr="00B4711B">
        <w:t>Sensitivity analysis</w:t>
      </w:r>
      <w:bookmarkEnd w:id="212"/>
      <w:bookmarkEnd w:id="213"/>
      <w:bookmarkEnd w:id="214"/>
      <w:bookmarkEnd w:id="215"/>
    </w:p>
    <w:p w:rsidR="00A71C54" w:rsidRPr="00B4711B" w:rsidRDefault="00A71C54" w:rsidP="00A71C54">
      <w:pPr>
        <w:numPr>
          <w:ilvl w:val="0"/>
          <w:numId w:val="25"/>
        </w:numPr>
      </w:pPr>
      <w:r w:rsidRPr="00B4711B">
        <w:t>We consider</w:t>
      </w:r>
      <w:r>
        <w:t xml:space="preserve"> that</w:t>
      </w:r>
      <w:r w:rsidRPr="00B4711B">
        <w:t xml:space="preserve"> </w:t>
      </w:r>
      <w:r>
        <w:t>market risk premium</w:t>
      </w:r>
      <w:r w:rsidRPr="00B4711B">
        <w:t xml:space="preserve"> </w:t>
      </w:r>
      <w:r>
        <w:t>estimates</w:t>
      </w:r>
      <w:r w:rsidRPr="00B4711B">
        <w:t xml:space="preserve"> from </w:t>
      </w:r>
      <w:r>
        <w:t>dividend growth models</w:t>
      </w:r>
      <w:r w:rsidRPr="00B4711B">
        <w:t xml:space="preserve"> </w:t>
      </w:r>
      <w:r>
        <w:t>are</w:t>
      </w:r>
      <w:r w:rsidRPr="00B4711B">
        <w:t xml:space="preserve"> very sensitive to input assumptions such as</w:t>
      </w:r>
      <w:r>
        <w:t xml:space="preserve"> the</w:t>
      </w:r>
      <w:r w:rsidRPr="00B4711B">
        <w:t>:</w:t>
      </w:r>
    </w:p>
    <w:p w:rsidR="00A71C54" w:rsidRPr="00B4711B" w:rsidRDefault="00A71C54" w:rsidP="00A71C54">
      <w:pPr>
        <w:pStyle w:val="AERbulletlistfirststyle"/>
      </w:pPr>
      <w:r>
        <w:t>L</w:t>
      </w:r>
      <w:r w:rsidRPr="00B4711B">
        <w:t>ong term dividend growth rate</w:t>
      </w:r>
      <w:r>
        <w:t>.</w:t>
      </w:r>
      <w:r w:rsidRPr="00B4711B">
        <w:t xml:space="preserve"> </w:t>
      </w:r>
    </w:p>
    <w:p w:rsidR="00A71C54" w:rsidRPr="00B4711B" w:rsidRDefault="00A71C54" w:rsidP="00A71C54">
      <w:pPr>
        <w:pStyle w:val="AERbulletlistfirststyle"/>
      </w:pPr>
      <w:r>
        <w:t>P</w:t>
      </w:r>
      <w:r w:rsidRPr="00B4711B">
        <w:t>eriod estimates are averaged over</w:t>
      </w:r>
      <w:r>
        <w:t>.</w:t>
      </w:r>
    </w:p>
    <w:p w:rsidR="00A71C54" w:rsidRPr="00B4711B" w:rsidRDefault="00A71C54" w:rsidP="00A71C54">
      <w:pPr>
        <w:pStyle w:val="AERbulletlistfirststyle"/>
      </w:pPr>
      <w:r>
        <w:t>U</w:t>
      </w:r>
      <w:r w:rsidRPr="00B4711B">
        <w:t>se of analyst forecasts, which are likely to be biased.</w:t>
      </w:r>
    </w:p>
    <w:p w:rsidR="00A71C54" w:rsidRPr="00B4711B" w:rsidRDefault="0058001B" w:rsidP="00A71C54">
      <w:r>
        <w:t>For further discussion of these issues see se</w:t>
      </w:r>
      <w:r w:rsidR="00A71C54" w:rsidRPr="00B4711B">
        <w:t>ction</w:t>
      </w:r>
      <w:r w:rsidR="00A71C54">
        <w:t xml:space="preserve"> </w:t>
      </w:r>
      <w:r w:rsidR="00A71C54">
        <w:fldChar w:fldCharType="begin"/>
      </w:r>
      <w:r w:rsidR="00A71C54">
        <w:instrText xml:space="preserve"> REF _Ref446260197 \r \h </w:instrText>
      </w:r>
      <w:r w:rsidR="00A71C54">
        <w:fldChar w:fldCharType="separate"/>
      </w:r>
      <w:r w:rsidR="003F1AAB">
        <w:t>D.4</w:t>
      </w:r>
      <w:r w:rsidR="00A71C54">
        <w:fldChar w:fldCharType="end"/>
      </w:r>
      <w:r w:rsidR="00A71C54" w:rsidRPr="00B4711B">
        <w:t>. In</w:t>
      </w:r>
      <w:r w:rsidR="00A71C54">
        <w:t xml:space="preserve"> the remainder of</w:t>
      </w:r>
      <w:r w:rsidR="00A71C54" w:rsidRPr="00B4711B">
        <w:t xml:space="preserve"> this section, we show </w:t>
      </w:r>
      <w:r w:rsidR="00A71C54">
        <w:t>how sensitive</w:t>
      </w:r>
      <w:r w:rsidR="00A71C54" w:rsidRPr="00B4711B">
        <w:t xml:space="preserve"> our </w:t>
      </w:r>
      <w:r w:rsidR="00A71C54">
        <w:t>dividend growth model is</w:t>
      </w:r>
      <w:r w:rsidR="00A71C54" w:rsidRPr="00B4711B">
        <w:t xml:space="preserve"> to these factors</w:t>
      </w:r>
      <w:r w:rsidR="00A71C54">
        <w:t xml:space="preserve">. This is summarised </w:t>
      </w:r>
      <w:r w:rsidR="00A71C54" w:rsidRPr="00B4711B">
        <w:t>in</w:t>
      </w:r>
      <w:r w:rsidR="00A71C54">
        <w:t xml:space="preserve"> </w:t>
      </w:r>
      <w:r w:rsidR="00A71C54">
        <w:fldChar w:fldCharType="begin"/>
      </w:r>
      <w:r w:rsidR="00A71C54">
        <w:instrText xml:space="preserve"> REF _Ref445384013 \h </w:instrText>
      </w:r>
      <w:r w:rsidR="00A71C54">
        <w:fldChar w:fldCharType="separate"/>
      </w:r>
      <w:r w:rsidR="003F1AAB" w:rsidRPr="00C2709F">
        <w:t xml:space="preserve">Table </w:t>
      </w:r>
      <w:r w:rsidR="003F1AAB">
        <w:rPr>
          <w:noProof/>
        </w:rPr>
        <w:t>3</w:t>
      </w:r>
      <w:r w:rsidR="003F1AAB">
        <w:noBreakHyphen/>
      </w:r>
      <w:r w:rsidR="003F1AAB">
        <w:rPr>
          <w:noProof/>
        </w:rPr>
        <w:t>27</w:t>
      </w:r>
      <w:r w:rsidR="00A71C54">
        <w:fldChar w:fldCharType="end"/>
      </w:r>
      <w:r w:rsidR="00A71C54" w:rsidRPr="00B4711B">
        <w:t xml:space="preserve">. </w:t>
      </w:r>
    </w:p>
    <w:p w:rsidR="00A71C54" w:rsidRPr="00DB0499" w:rsidRDefault="00A71C54" w:rsidP="00A71C54">
      <w:pPr>
        <w:pStyle w:val="Caption"/>
      </w:pPr>
      <w:bookmarkStart w:id="216" w:name="_Ref445384013"/>
      <w:bookmarkStart w:id="217" w:name="_Ref443651335"/>
      <w:r w:rsidRPr="00C2709F">
        <w:t xml:space="preserve">Table </w:t>
      </w:r>
      <w:fldSimple w:instr=" STYLEREF 1 \s ">
        <w:r w:rsidR="003F1AAB">
          <w:rPr>
            <w:noProof/>
          </w:rPr>
          <w:t>3</w:t>
        </w:r>
      </w:fldSimple>
      <w:r>
        <w:noBreakHyphen/>
      </w:r>
      <w:fldSimple w:instr=" SEQ Table \* ARABIC \s 1 ">
        <w:r w:rsidR="003F1AAB">
          <w:rPr>
            <w:noProof/>
          </w:rPr>
          <w:t>27</w:t>
        </w:r>
      </w:fldSimple>
      <w:bookmarkEnd w:id="216"/>
      <w:r w:rsidRPr="00C2709F">
        <w:t xml:space="preserve"> </w:t>
      </w:r>
      <w:r w:rsidRPr="00C2709F">
        <w:tab/>
      </w:r>
      <w:r>
        <w:t>Sensitivities in the dividend growth model</w:t>
      </w:r>
      <w:r w:rsidRPr="00C2709F">
        <w:t xml:space="preserve"> (per cent)</w:t>
      </w:r>
      <w:r w:rsidRPr="00C2709F" w:rsidDel="00184676">
        <w:t xml:space="preserve"> </w:t>
      </w:r>
      <w:bookmarkEnd w:id="217"/>
    </w:p>
    <w:tbl>
      <w:tblPr>
        <w:tblStyle w:val="AERtable-numbers"/>
        <w:tblW w:w="5000" w:type="pct"/>
        <w:tblLook w:val="04A0" w:firstRow="1" w:lastRow="0" w:firstColumn="1" w:lastColumn="0" w:noHBand="0" w:noVBand="1"/>
      </w:tblPr>
      <w:tblGrid>
        <w:gridCol w:w="4236"/>
        <w:gridCol w:w="1866"/>
        <w:gridCol w:w="2591"/>
      </w:tblGrid>
      <w:tr w:rsidR="00A71C54" w:rsidTr="00A71C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A71C54" w:rsidRPr="00A71C54" w:rsidRDefault="00A71C54" w:rsidP="00A71C54">
            <w:r w:rsidRPr="00B4711B">
              <w:t>Sensitivity</w:t>
            </w:r>
          </w:p>
        </w:tc>
        <w:tc>
          <w:tcPr>
            <w:tcW w:w="1073" w:type="pct"/>
            <w:tcBorders>
              <w:top w:val="nil"/>
              <w:left w:val="nil"/>
              <w:bottom w:val="nil"/>
              <w:right w:val="nil"/>
            </w:tcBorders>
            <w:hideMark/>
          </w:tcPr>
          <w:p w:rsidR="00A71C54" w:rsidRPr="00A71C54" w:rsidRDefault="00A71C54" w:rsidP="00A71C54">
            <w:pPr>
              <w:cnfStyle w:val="100000000000" w:firstRow="1" w:lastRow="0" w:firstColumn="0" w:lastColumn="0" w:oddVBand="0" w:evenVBand="0" w:oddHBand="0" w:evenHBand="0" w:firstRowFirstColumn="0" w:firstRowLastColumn="0" w:lastRowFirstColumn="0" w:lastRowLastColumn="0"/>
            </w:pPr>
            <w:r w:rsidRPr="00B4711B">
              <w:t>Two stage model</w:t>
            </w:r>
          </w:p>
        </w:tc>
        <w:tc>
          <w:tcPr>
            <w:tcW w:w="1490" w:type="pct"/>
            <w:tcBorders>
              <w:top w:val="nil"/>
              <w:left w:val="nil"/>
              <w:bottom w:val="nil"/>
              <w:right w:val="nil"/>
            </w:tcBorders>
            <w:hideMark/>
          </w:tcPr>
          <w:p w:rsidR="00A71C54" w:rsidRPr="00A71C54" w:rsidRDefault="00A71C54" w:rsidP="00A71C54">
            <w:pPr>
              <w:cnfStyle w:val="100000000000" w:firstRow="1" w:lastRow="0" w:firstColumn="0" w:lastColumn="0" w:oddVBand="0" w:evenVBand="0" w:oddHBand="0" w:evenHBand="0" w:firstRowFirstColumn="0" w:firstRowLastColumn="0" w:lastRowFirstColumn="0" w:lastRowLastColumn="0"/>
            </w:pPr>
            <w:r w:rsidRPr="00B4711B">
              <w:t>Three stage model</w:t>
            </w:r>
          </w:p>
        </w:tc>
      </w:tr>
      <w:tr w:rsidR="00A71C54" w:rsidTr="00A71C54">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tcPr>
          <w:p w:rsidR="00A71C54" w:rsidRPr="00A71C54" w:rsidRDefault="00A71C54" w:rsidP="00A71C54">
            <w:r w:rsidRPr="00B4711B">
              <w:t>Baseline</w:t>
            </w:r>
          </w:p>
          <w:p w:rsidR="00A71C54" w:rsidRPr="00A71C54" w:rsidRDefault="00A71C54" w:rsidP="00A71C54">
            <w:r w:rsidRPr="00B4711B">
              <w:tab/>
              <w:t xml:space="preserve">4.6% long-term growth rate </w:t>
            </w:r>
          </w:p>
          <w:p w:rsidR="00A71C54" w:rsidRPr="00A71C54" w:rsidRDefault="00A71C54" w:rsidP="00A71C54">
            <w:r w:rsidRPr="00B4711B">
              <w:tab/>
            </w:r>
            <w:r w:rsidRPr="00A71C54">
              <w:t>2 month average to end December 2015</w:t>
            </w:r>
          </w:p>
          <w:p w:rsidR="00A71C54" w:rsidRPr="00A71C54" w:rsidRDefault="00A71C54" w:rsidP="00A71C54">
            <w:r w:rsidRPr="00B4711B">
              <w:tab/>
              <w:t>unadjusted analysts' forecasts</w:t>
            </w:r>
          </w:p>
        </w:tc>
        <w:tc>
          <w:tcPr>
            <w:tcW w:w="1073" w:type="pct"/>
            <w:tcBorders>
              <w:top w:val="nil"/>
              <w:left w:val="nil"/>
              <w:bottom w:val="single" w:sz="4" w:space="0" w:color="365F91"/>
              <w:right w:val="nil"/>
            </w:tcBorders>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rsidRPr="001F22B0">
              <w:t>8.24</w:t>
            </w:r>
          </w:p>
        </w:tc>
        <w:tc>
          <w:tcPr>
            <w:tcW w:w="1490" w:type="pct"/>
            <w:tcBorders>
              <w:top w:val="nil"/>
              <w:left w:val="nil"/>
              <w:bottom w:val="single" w:sz="4" w:space="0" w:color="365F91"/>
              <w:right w:val="nil"/>
            </w:tcBorders>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rsidRPr="001F22B0">
              <w:t>8.36</w:t>
            </w:r>
          </w:p>
        </w:tc>
      </w:tr>
      <w:tr w:rsidR="00A71C54" w:rsidTr="00A71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tcPr>
          <w:p w:rsidR="00A71C54" w:rsidRPr="00A71C54" w:rsidRDefault="00A71C54" w:rsidP="00A71C54">
            <w:r w:rsidRPr="00B4711B">
              <w:t xml:space="preserve">5.1% long-term growth </w:t>
            </w:r>
            <w:r w:rsidRPr="00A71C54">
              <w:t>rate</w:t>
            </w:r>
          </w:p>
        </w:tc>
        <w:tc>
          <w:tcPr>
            <w:tcW w:w="1073" w:type="pct"/>
            <w:tcBorders>
              <w:top w:val="nil"/>
              <w:left w:val="nil"/>
              <w:bottom w:val="nil"/>
              <w:right w:val="nil"/>
            </w:tcBorders>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rsidRPr="001F22B0">
              <w:t>8.70</w:t>
            </w:r>
          </w:p>
        </w:tc>
        <w:tc>
          <w:tcPr>
            <w:tcW w:w="1490" w:type="pct"/>
            <w:tcBorders>
              <w:top w:val="nil"/>
              <w:left w:val="nil"/>
              <w:bottom w:val="nil"/>
              <w:right w:val="nil"/>
            </w:tcBorders>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rsidRPr="001F22B0">
              <w:t>8.74</w:t>
            </w:r>
          </w:p>
        </w:tc>
      </w:tr>
      <w:tr w:rsidR="00A71C54" w:rsidTr="00A71C54">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A71C54" w:rsidRPr="00A71C54" w:rsidRDefault="00A71C54" w:rsidP="00A71C54">
            <w:r w:rsidRPr="00B4711B">
              <w:t>3.78% long-term growth rate</w:t>
            </w:r>
          </w:p>
        </w:tc>
        <w:tc>
          <w:tcPr>
            <w:tcW w:w="1073" w:type="pct"/>
            <w:tcBorders>
              <w:top w:val="nil"/>
              <w:left w:val="nil"/>
              <w:bottom w:val="single" w:sz="4" w:space="0" w:color="365F91"/>
              <w:right w:val="nil"/>
            </w:tcBorders>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rsidRPr="001F22B0">
              <w:t>7.48</w:t>
            </w:r>
          </w:p>
        </w:tc>
        <w:tc>
          <w:tcPr>
            <w:tcW w:w="1490" w:type="pct"/>
            <w:tcBorders>
              <w:top w:val="nil"/>
              <w:left w:val="nil"/>
              <w:bottom w:val="single" w:sz="4" w:space="0" w:color="365F91"/>
              <w:right w:val="nil"/>
            </w:tcBorders>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rsidRPr="001F22B0">
              <w:t>7.74</w:t>
            </w:r>
          </w:p>
        </w:tc>
      </w:tr>
      <w:tr w:rsidR="00A71C54" w:rsidTr="00A71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Pr>
          <w:p w:rsidR="00A71C54" w:rsidRPr="00A71C54" w:rsidRDefault="00A71C54" w:rsidP="00A71C54">
            <w:r w:rsidRPr="00B4711B">
              <w:t xml:space="preserve">6 months to end </w:t>
            </w:r>
            <w:r w:rsidRPr="00A71C54">
              <w:t>December 2015</w:t>
            </w:r>
          </w:p>
        </w:tc>
        <w:tc>
          <w:tcPr>
            <w:tcW w:w="1073" w:type="pct"/>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rsidRPr="001F22B0">
              <w:t>8.36</w:t>
            </w:r>
          </w:p>
        </w:tc>
        <w:tc>
          <w:tcPr>
            <w:tcW w:w="1490" w:type="pct"/>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rsidRPr="001F22B0">
              <w:t>8.45</w:t>
            </w:r>
          </w:p>
        </w:tc>
      </w:tr>
      <w:tr w:rsidR="00A71C54" w:rsidTr="00A71C54">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tcPr>
          <w:p w:rsidR="00A71C54" w:rsidRPr="00A71C54" w:rsidRDefault="00A71C54" w:rsidP="00A71C54">
            <w:r w:rsidRPr="00B4711B">
              <w:t xml:space="preserve">12 months to end </w:t>
            </w:r>
            <w:r w:rsidRPr="00A71C54">
              <w:t>December 2015</w:t>
            </w:r>
          </w:p>
        </w:tc>
        <w:tc>
          <w:tcPr>
            <w:tcW w:w="1073" w:type="pct"/>
            <w:tcBorders>
              <w:top w:val="nil"/>
              <w:left w:val="nil"/>
              <w:bottom w:val="single" w:sz="4" w:space="0" w:color="365F91"/>
              <w:right w:val="nil"/>
            </w:tcBorders>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rsidRPr="001F22B0">
              <w:t>8.17</w:t>
            </w:r>
          </w:p>
        </w:tc>
        <w:tc>
          <w:tcPr>
            <w:tcW w:w="1490" w:type="pct"/>
            <w:tcBorders>
              <w:top w:val="nil"/>
              <w:left w:val="nil"/>
              <w:bottom w:val="single" w:sz="4" w:space="0" w:color="365F91"/>
              <w:right w:val="nil"/>
            </w:tcBorders>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rsidRPr="001F22B0">
              <w:t>8.24</w:t>
            </w:r>
          </w:p>
        </w:tc>
      </w:tr>
      <w:tr w:rsidR="00A71C54" w:rsidTr="00A71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hideMark/>
          </w:tcPr>
          <w:p w:rsidR="00A71C54" w:rsidRPr="00A71C54" w:rsidRDefault="00A71C54" w:rsidP="00A71C54">
            <w:r w:rsidRPr="00B4711B">
              <w:t xml:space="preserve">Analysts' </w:t>
            </w:r>
            <w:r w:rsidRPr="00A71C54">
              <w:t>forecast  + 10%</w:t>
            </w:r>
          </w:p>
        </w:tc>
        <w:tc>
          <w:tcPr>
            <w:tcW w:w="1073" w:type="pct"/>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rsidRPr="001F22B0">
              <w:t>8.87</w:t>
            </w:r>
          </w:p>
        </w:tc>
        <w:tc>
          <w:tcPr>
            <w:tcW w:w="1490" w:type="pct"/>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rsidRPr="001F22B0">
              <w:t>9.00</w:t>
            </w:r>
          </w:p>
        </w:tc>
      </w:tr>
      <w:tr w:rsidR="00A71C54" w:rsidTr="00A71C54">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tcPr>
          <w:p w:rsidR="00A71C54" w:rsidRPr="00A71C54" w:rsidRDefault="00A71C54" w:rsidP="00A71C54">
            <w:r w:rsidRPr="00B4711B">
              <w:t>Analysts' forecast  - 10%</w:t>
            </w:r>
          </w:p>
        </w:tc>
        <w:tc>
          <w:tcPr>
            <w:tcW w:w="1073" w:type="pct"/>
            <w:tcBorders>
              <w:top w:val="nil"/>
              <w:left w:val="nil"/>
              <w:bottom w:val="single" w:sz="4" w:space="0" w:color="365F91"/>
              <w:right w:val="nil"/>
            </w:tcBorders>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rsidRPr="001F22B0">
              <w:t>7.61</w:t>
            </w:r>
          </w:p>
        </w:tc>
        <w:tc>
          <w:tcPr>
            <w:tcW w:w="1490" w:type="pct"/>
            <w:tcBorders>
              <w:top w:val="nil"/>
              <w:left w:val="nil"/>
              <w:bottom w:val="single" w:sz="4" w:space="0" w:color="365F91"/>
              <w:right w:val="nil"/>
            </w:tcBorders>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rsidRPr="001F22B0">
              <w:t>7.72</w:t>
            </w:r>
          </w:p>
        </w:tc>
      </w:tr>
      <w:tr w:rsidR="00A71C54" w:rsidTr="00A71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hideMark/>
          </w:tcPr>
          <w:p w:rsidR="00A71C54" w:rsidRPr="00A71C54" w:rsidRDefault="00A71C54" w:rsidP="00A71C54">
            <w:r w:rsidRPr="00B4711B">
              <w:t xml:space="preserve">Combined - </w:t>
            </w:r>
            <w:r w:rsidRPr="00A71C54">
              <w:t>low</w:t>
            </w:r>
          </w:p>
        </w:tc>
        <w:tc>
          <w:tcPr>
            <w:tcW w:w="1073" w:type="pct"/>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6.77</w:t>
            </w:r>
          </w:p>
        </w:tc>
        <w:tc>
          <w:tcPr>
            <w:tcW w:w="1490" w:type="pct"/>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6.95</w:t>
            </w:r>
          </w:p>
        </w:tc>
      </w:tr>
      <w:tr w:rsidR="00A71C54" w:rsidTr="00A71C54">
        <w:tc>
          <w:tcPr>
            <w:cnfStyle w:val="001000000000" w:firstRow="0" w:lastRow="0" w:firstColumn="1" w:lastColumn="0" w:oddVBand="0" w:evenVBand="0" w:oddHBand="0" w:evenHBand="0" w:firstRowFirstColumn="0" w:firstRowLastColumn="0" w:lastRowFirstColumn="0" w:lastRowLastColumn="0"/>
            <w:tcW w:w="2437" w:type="pct"/>
            <w:hideMark/>
          </w:tcPr>
          <w:p w:rsidR="00A71C54" w:rsidRPr="00A71C54" w:rsidRDefault="00A71C54" w:rsidP="00A71C54">
            <w:r w:rsidRPr="00B4711B">
              <w:t>Combined - high</w:t>
            </w:r>
          </w:p>
        </w:tc>
        <w:tc>
          <w:tcPr>
            <w:tcW w:w="1073" w:type="pct"/>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9.49</w:t>
            </w:r>
          </w:p>
        </w:tc>
        <w:tc>
          <w:tcPr>
            <w:tcW w:w="1490" w:type="pct"/>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9.49</w:t>
            </w:r>
          </w:p>
        </w:tc>
      </w:tr>
    </w:tbl>
    <w:p w:rsidR="00A71C54" w:rsidRPr="00B4711B" w:rsidRDefault="00A71C54" w:rsidP="00A71C54">
      <w:pPr>
        <w:pStyle w:val="AERtablesource"/>
      </w:pPr>
      <w:r w:rsidRPr="00B4711B">
        <w:t xml:space="preserve">Source: </w:t>
      </w:r>
      <w:r w:rsidRPr="00B4711B">
        <w:tab/>
        <w:t>Bloomberg, AER analysis.</w:t>
      </w:r>
    </w:p>
    <w:p w:rsidR="00A71C54" w:rsidRPr="00B4711B" w:rsidRDefault="00A71C54" w:rsidP="00A71C54">
      <w:pPr>
        <w:pStyle w:val="AERtablesource"/>
      </w:pPr>
      <w:r w:rsidRPr="00B4711B">
        <w:t>Notes:</w:t>
      </w:r>
      <w:r w:rsidRPr="00B4711B">
        <w:tab/>
        <w:t>All market risk premium estimates are based on an assumed theta of 0.6.</w:t>
      </w:r>
    </w:p>
    <w:p w:rsidR="00A71C54" w:rsidRPr="00B4711B" w:rsidRDefault="00A71C54" w:rsidP="00A71C54">
      <w:pPr>
        <w:pStyle w:val="AERtablesource"/>
      </w:pPr>
      <w:r w:rsidRPr="00B4711B">
        <w:tab/>
        <w:t xml:space="preserve">Combined - low is based on 3.78% growth, 12 month averaging, </w:t>
      </w:r>
      <w:proofErr w:type="gramStart"/>
      <w:r w:rsidRPr="00B4711B">
        <w:t>analysts'</w:t>
      </w:r>
      <w:proofErr w:type="gramEnd"/>
      <w:r w:rsidRPr="00B4711B">
        <w:t xml:space="preserve"> forecasts - 10%.</w:t>
      </w:r>
    </w:p>
    <w:p w:rsidR="00A71C54" w:rsidRPr="00B4711B" w:rsidRDefault="00A71C54" w:rsidP="00A71C54">
      <w:pPr>
        <w:pStyle w:val="AERtablesource"/>
      </w:pPr>
      <w:r w:rsidRPr="00B4711B">
        <w:tab/>
        <w:t>Combined - high is based on 5.1% growth, 2 month averaging, analysts' forecasts + 10%.</w:t>
      </w:r>
    </w:p>
    <w:p w:rsidR="00A71C54" w:rsidRPr="0046661C" w:rsidRDefault="00A71C54" w:rsidP="00A71C54">
      <w:pPr>
        <w:pStyle w:val="TOC1"/>
      </w:pPr>
      <w:bookmarkStart w:id="218" w:name="_Toc443923209"/>
      <w:r>
        <w:t>Long-term</w:t>
      </w:r>
      <w:r w:rsidRPr="0046661C">
        <w:t xml:space="preserve"> dividend</w:t>
      </w:r>
      <w:r>
        <w:t xml:space="preserve"> growth rate</w:t>
      </w:r>
      <w:r w:rsidRPr="0046661C">
        <w:t xml:space="preserve">  </w:t>
      </w:r>
    </w:p>
    <w:p w:rsidR="00A71C54" w:rsidRDefault="00A71C54" w:rsidP="00A71C54">
      <w:r w:rsidRPr="00B4711B">
        <w:t xml:space="preserve">We </w:t>
      </w:r>
      <w:r w:rsidR="00B46746">
        <w:t>use</w:t>
      </w:r>
      <w:r w:rsidRPr="00B4711B">
        <w:t xml:space="preserve"> our point estimate growth rate (4.6 per cent) as a baseline. </w:t>
      </w:r>
      <w:r>
        <w:t>T</w:t>
      </w:r>
      <w:r w:rsidRPr="00B4711B">
        <w:t xml:space="preserve">his </w:t>
      </w:r>
      <w:r>
        <w:t xml:space="preserve">is based </w:t>
      </w:r>
      <w:r w:rsidRPr="00B4711B">
        <w:t>on the mid-point of Dr Martin Lally's (Lally's) estimates.</w:t>
      </w:r>
      <w:r>
        <w:rPr>
          <w:rStyle w:val="FootnoteReference"/>
        </w:rPr>
        <w:footnoteReference w:id="835"/>
      </w:r>
      <w:r w:rsidRPr="00B4711B">
        <w:t xml:space="preserve"> </w:t>
      </w:r>
      <w:r>
        <w:t xml:space="preserve">While </w:t>
      </w:r>
      <w:r w:rsidRPr="00B4711B">
        <w:t xml:space="preserve">the top of Lally's range </w:t>
      </w:r>
      <w:r>
        <w:t xml:space="preserve">is </w:t>
      </w:r>
      <w:r w:rsidRPr="00B4711B">
        <w:t>5.1</w:t>
      </w:r>
      <w:r w:rsidR="007309F8">
        <w:t xml:space="preserve"> </w:t>
      </w:r>
      <w:r w:rsidRPr="00B4711B">
        <w:t>per cent</w:t>
      </w:r>
      <w:r>
        <w:t>,</w:t>
      </w:r>
      <w:r w:rsidRPr="00B4711B">
        <w:t xml:space="preserve"> McKenzie and Partington </w:t>
      </w:r>
      <w:r>
        <w:t xml:space="preserve">have </w:t>
      </w:r>
      <w:r w:rsidRPr="00B4711B">
        <w:t>advised that a long term dividend growth rate of 4.6 per cent is on the high side.</w:t>
      </w:r>
      <w:r>
        <w:rPr>
          <w:rStyle w:val="FootnoteReference"/>
        </w:rPr>
        <w:footnoteReference w:id="836"/>
      </w:r>
      <w:r w:rsidRPr="00B4711B">
        <w:t xml:space="preserve"> McKenzie and Partington considered</w:t>
      </w:r>
      <w:r>
        <w:t xml:space="preserve"> that</w:t>
      </w:r>
      <w:r w:rsidRPr="00B4711B">
        <w:t xml:space="preserve"> the long term dividend growth rate should be 3.73 per cent—or 3.78 per cent, excluding the most extreme values.</w:t>
      </w:r>
      <w:r>
        <w:rPr>
          <w:rStyle w:val="FootnoteReference"/>
        </w:rPr>
        <w:footnoteReference w:id="837"/>
      </w:r>
    </w:p>
    <w:p w:rsidR="00A71C54" w:rsidRPr="00B4711B" w:rsidRDefault="00A71C54" w:rsidP="00A71C54">
      <w:r w:rsidRPr="00B4711B">
        <w:t xml:space="preserve">We have not changed our approach set out in the Guideline. We do not adopt a lower long term dividend growth rate. </w:t>
      </w:r>
    </w:p>
    <w:p w:rsidR="00A71C54" w:rsidRPr="0046661C" w:rsidRDefault="00A71C54" w:rsidP="00A71C54">
      <w:pPr>
        <w:pStyle w:val="TOC1"/>
        <w:numPr>
          <w:ilvl w:val="0"/>
          <w:numId w:val="25"/>
        </w:numPr>
      </w:pPr>
      <w:r>
        <w:t>Averaging period</w:t>
      </w:r>
    </w:p>
    <w:p w:rsidR="00A71C54" w:rsidRPr="00B4711B" w:rsidRDefault="00A71C54" w:rsidP="00A71C54">
      <w:pPr>
        <w:numPr>
          <w:ilvl w:val="0"/>
          <w:numId w:val="25"/>
        </w:numPr>
      </w:pPr>
      <w:r w:rsidRPr="00B4711B">
        <w:t xml:space="preserve">We based our </w:t>
      </w:r>
      <w:r>
        <w:t>dividend growth model</w:t>
      </w:r>
      <w:r w:rsidRPr="00B4711B">
        <w:t xml:space="preserve"> estimate on data over </w:t>
      </w:r>
      <w:r>
        <w:t xml:space="preserve">the </w:t>
      </w:r>
      <w:r w:rsidRPr="00B4711B">
        <w:t xml:space="preserve">February </w:t>
      </w:r>
      <w:r>
        <w:t xml:space="preserve">and March </w:t>
      </w:r>
      <w:r w:rsidRPr="00B4711B">
        <w:t>2016</w:t>
      </w:r>
      <w:r>
        <w:t xml:space="preserve"> period</w:t>
      </w:r>
      <w:r w:rsidRPr="00B4711B">
        <w:t>. Our approach is consistent with the Guideline</w:t>
      </w:r>
      <w:r>
        <w:t xml:space="preserve"> method</w:t>
      </w:r>
      <w:r w:rsidRPr="00B4711B">
        <w:t xml:space="preserve">. We do not average over several years because this would reduce the tracking ability of our </w:t>
      </w:r>
      <w:r>
        <w:t>dividend growth model</w:t>
      </w:r>
      <w:r w:rsidRPr="00B4711B">
        <w:t xml:space="preserve">. </w:t>
      </w:r>
    </w:p>
    <w:p w:rsidR="00A71C54" w:rsidRPr="00B4711B" w:rsidRDefault="00A71C54" w:rsidP="00A71C54">
      <w:pPr>
        <w:numPr>
          <w:ilvl w:val="0"/>
          <w:numId w:val="25"/>
        </w:numPr>
      </w:pPr>
      <w:r w:rsidRPr="00B4711B">
        <w:t>As seen in</w:t>
      </w:r>
      <w:r>
        <w:t xml:space="preserve"> </w:t>
      </w:r>
      <w:r>
        <w:fldChar w:fldCharType="begin"/>
      </w:r>
      <w:r>
        <w:instrText xml:space="preserve"> REF _Ref445384013 \h </w:instrText>
      </w:r>
      <w:r>
        <w:fldChar w:fldCharType="separate"/>
      </w:r>
      <w:r w:rsidR="003F1AAB" w:rsidRPr="00C2709F">
        <w:t xml:space="preserve">Table </w:t>
      </w:r>
      <w:r w:rsidR="003F1AAB">
        <w:rPr>
          <w:noProof/>
        </w:rPr>
        <w:t>3</w:t>
      </w:r>
      <w:r w:rsidR="003F1AAB">
        <w:noBreakHyphen/>
      </w:r>
      <w:r w:rsidR="003F1AAB">
        <w:rPr>
          <w:noProof/>
        </w:rPr>
        <w:t>27</w:t>
      </w:r>
      <w:r>
        <w:fldChar w:fldCharType="end"/>
      </w:r>
      <w:r w:rsidRPr="00B4711B">
        <w:t xml:space="preserve">, we use a two month averaging period as a baseline. We also consider a six month averaging period, which is consistent with SFG's </w:t>
      </w:r>
      <w:r>
        <w:t>dividend growth model</w:t>
      </w:r>
      <w:r w:rsidRPr="00B4711B">
        <w:t>.</w:t>
      </w:r>
      <w:r>
        <w:rPr>
          <w:rStyle w:val="FootnoteReference"/>
        </w:rPr>
        <w:footnoteReference w:id="838"/>
      </w:r>
      <w:r w:rsidRPr="00B4711B">
        <w:t xml:space="preserve"> Having regard to McKenzie and Partington's advice, we also consider a 12 month averaging period.</w:t>
      </w:r>
      <w:r>
        <w:rPr>
          <w:rStyle w:val="FootnoteReference"/>
        </w:rPr>
        <w:footnoteReference w:id="839"/>
      </w:r>
    </w:p>
    <w:p w:rsidR="00A71C54" w:rsidRPr="0046661C" w:rsidRDefault="00A71C54" w:rsidP="00A71C54">
      <w:pPr>
        <w:pStyle w:val="TOC1"/>
        <w:numPr>
          <w:ilvl w:val="0"/>
          <w:numId w:val="25"/>
        </w:numPr>
      </w:pPr>
      <w:r>
        <w:t>Biases in analyst forecasts</w:t>
      </w:r>
    </w:p>
    <w:p w:rsidR="00A71C54" w:rsidRPr="00B4711B" w:rsidRDefault="00A71C54" w:rsidP="00A71C54">
      <w:pPr>
        <w:numPr>
          <w:ilvl w:val="0"/>
          <w:numId w:val="25"/>
        </w:numPr>
      </w:pPr>
      <w:r w:rsidRPr="00B4711B">
        <w:t xml:space="preserve">McKenzie and Partington advised that </w:t>
      </w:r>
      <w:r>
        <w:t>dividend growth models</w:t>
      </w:r>
      <w:r w:rsidRPr="00B4711B">
        <w:t xml:space="preserve"> are often biased upwards because analysts tend to overestimate dividends in their forecasts.</w:t>
      </w:r>
      <w:r w:rsidRPr="00B4711B">
        <w:rPr>
          <w:rStyle w:val="FootnoteReference"/>
        </w:rPr>
        <w:footnoteReference w:id="840"/>
      </w:r>
      <w:r w:rsidRPr="00B4711B">
        <w:t xml:space="preserve"> To </w:t>
      </w:r>
      <w:r>
        <w:t>demonstrate the potential</w:t>
      </w:r>
      <w:r w:rsidRPr="00B4711B">
        <w:t xml:space="preserve"> impact, we adjusted forecast dividends per share </w:t>
      </w:r>
      <w:r>
        <w:t xml:space="preserve">by </w:t>
      </w:r>
      <w:r w:rsidRPr="00B4711B">
        <w:t>10 per cent downwards</w:t>
      </w:r>
      <w:r>
        <w:t xml:space="preserve"> and </w:t>
      </w:r>
      <w:r w:rsidRPr="00B4711B">
        <w:t xml:space="preserve">upwards. </w:t>
      </w:r>
    </w:p>
    <w:p w:rsidR="00A71C54" w:rsidRPr="00B4711B" w:rsidRDefault="00A71C54" w:rsidP="00A71C54">
      <w:pPr>
        <w:pStyle w:val="Heading8"/>
      </w:pPr>
      <w:bookmarkStart w:id="219" w:name="_Ref448787515"/>
      <w:bookmarkStart w:id="220" w:name="_Toc451938984"/>
      <w:bookmarkStart w:id="221" w:name="_Toc456686732"/>
      <w:r w:rsidRPr="00B4711B">
        <w:t>Preferred construction of the dividend growth model</w:t>
      </w:r>
      <w:bookmarkEnd w:id="218"/>
      <w:bookmarkEnd w:id="219"/>
      <w:bookmarkEnd w:id="220"/>
      <w:bookmarkEnd w:id="221"/>
    </w:p>
    <w:p w:rsidR="00A71C54" w:rsidRPr="00B4711B" w:rsidRDefault="00A71C54" w:rsidP="00A71C54">
      <w:r w:rsidRPr="00B4711B">
        <w:t xml:space="preserve">Our preferred construction of the </w:t>
      </w:r>
      <w:r>
        <w:t>dividend growth model</w:t>
      </w:r>
      <w:r w:rsidRPr="00B4711B">
        <w:t xml:space="preserve"> is consistent with that set out in the Guideline.</w:t>
      </w:r>
      <w:r w:rsidRPr="00B4711B">
        <w:rPr>
          <w:rStyle w:val="FootnoteReference"/>
        </w:rPr>
        <w:footnoteReference w:id="841"/>
      </w:r>
      <w:r w:rsidRPr="00B4711B">
        <w:t xml:space="preserve"> The following equation depicts this </w:t>
      </w:r>
      <w:r>
        <w:t>dividend growth</w:t>
      </w:r>
      <w:r w:rsidRPr="00B4711B">
        <w:t xml:space="preserve">, which we apply to estimate </w:t>
      </w:r>
      <w:r w:rsidRPr="00B4711B">
        <w:rPr>
          <w:rStyle w:val="AERtextitalic"/>
        </w:rPr>
        <w:t>k</w:t>
      </w:r>
      <w:r w:rsidRPr="00B4711B">
        <w:t>, the expected return on equity for the market portfolio:</w:t>
      </w:r>
    </w:p>
    <w:p w:rsidR="00A71C54" w:rsidRPr="00B4711B" w:rsidRDefault="003F1AAB" w:rsidP="00A71C54">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A71C54" w:rsidRPr="00B4711B" w:rsidRDefault="00A71C54" w:rsidP="00A71C54">
      <w:pPr>
        <w:pStyle w:val="AERtablesource"/>
      </w:pPr>
      <w:r w:rsidRPr="00B4711B">
        <w:t>Where:</w:t>
      </w:r>
      <w:r w:rsidRPr="00B4711B">
        <w:tab/>
        <w:t>Pc is the current price of equity, for which we use the S&amp;P/ASX 200 index as the proxy</w:t>
      </w:r>
    </w:p>
    <w:p w:rsidR="00A71C54" w:rsidRPr="00B4711B" w:rsidRDefault="00A71C54" w:rsidP="00A71C54">
      <w:pPr>
        <w:pStyle w:val="AERtablesource"/>
      </w:pPr>
      <w:r w:rsidRPr="00B4711B">
        <w:tab/>
      </w:r>
      <w:proofErr w:type="gramStart"/>
      <w:r w:rsidRPr="00B4711B">
        <w:t>E(</w:t>
      </w:r>
      <w:proofErr w:type="gramEnd"/>
      <w:r w:rsidRPr="00B4711B">
        <w:t>Dc) is expected dividends per share for the current financial year</w:t>
      </w:r>
      <w:r w:rsidRPr="00B4711B">
        <w:rPr>
          <w:rStyle w:val="FootnoteReference"/>
        </w:rPr>
        <w:footnoteReference w:id="842"/>
      </w:r>
    </w:p>
    <w:p w:rsidR="00A71C54" w:rsidRPr="00B4711B" w:rsidRDefault="00A71C54" w:rsidP="00A71C54">
      <w:pPr>
        <w:pStyle w:val="AERtablesource"/>
      </w:pPr>
      <w:r w:rsidRPr="00B4711B">
        <w:tab/>
      </w:r>
      <w:proofErr w:type="gramStart"/>
      <w:r w:rsidRPr="00B4711B">
        <w:t>E(</w:t>
      </w:r>
      <w:proofErr w:type="gramEnd"/>
      <w:r w:rsidRPr="00B4711B">
        <w:t>Dt) is expected dividends per share for the financial year t years after the current financial year</w:t>
      </w:r>
    </w:p>
    <w:p w:rsidR="00A71C54" w:rsidRPr="00B4711B" w:rsidRDefault="00A71C54" w:rsidP="00A71C54">
      <w:pPr>
        <w:pStyle w:val="AERtablesource"/>
      </w:pPr>
      <w:r w:rsidRPr="00B4711B">
        <w:tab/>
      </w:r>
      <w:proofErr w:type="gramStart"/>
      <w:r w:rsidRPr="00B4711B">
        <w:t>m</w:t>
      </w:r>
      <w:proofErr w:type="gramEnd"/>
      <w:r w:rsidRPr="00B4711B">
        <w:t xml:space="preserve"> is the fraction of the current financial year remaining, expressed as a decimal point</w:t>
      </w:r>
    </w:p>
    <w:p w:rsidR="00A71C54" w:rsidRPr="00B4711B" w:rsidRDefault="00A71C54" w:rsidP="00A71C54">
      <w:pPr>
        <w:pStyle w:val="AERtablesource"/>
      </w:pPr>
      <w:r w:rsidRPr="00B4711B">
        <w:tab/>
        <w:t>N is the time period after which dividend growth reverts to its long-term rate (for the two stage model, N = 2, for the three stage model N = 9)</w:t>
      </w:r>
    </w:p>
    <w:p w:rsidR="00A71C54" w:rsidRPr="00B4711B" w:rsidRDefault="00A71C54" w:rsidP="00A71C54">
      <w:pPr>
        <w:pStyle w:val="AERtablesource"/>
      </w:pPr>
      <w:r w:rsidRPr="00B4711B">
        <w:tab/>
      </w:r>
      <w:proofErr w:type="gramStart"/>
      <w:r w:rsidRPr="00B4711B">
        <w:t>g</w:t>
      </w:r>
      <w:proofErr w:type="gramEnd"/>
      <w:r w:rsidRPr="00B4711B">
        <w:t xml:space="preserve"> is the expected long term growth rate in nominal dividends per share. For this parameter, we use a range of 4.0 to 5.1 per cent, with a point estimate of 4.6 per cent. </w:t>
      </w:r>
    </w:p>
    <w:p w:rsidR="00A71C54" w:rsidRPr="00B4711B" w:rsidRDefault="00A71C54" w:rsidP="00A71C54">
      <w:pPr>
        <w:numPr>
          <w:ilvl w:val="0"/>
          <w:numId w:val="25"/>
        </w:numPr>
      </w:pPr>
      <w:r w:rsidRPr="00B4711B">
        <w:t xml:space="preserve">We adopt two versions of a simple standard </w:t>
      </w:r>
      <w:r>
        <w:t>dividend growth model</w:t>
      </w:r>
      <w:r w:rsidRPr="00B4711B">
        <w:t>:</w:t>
      </w:r>
    </w:p>
    <w:p w:rsidR="00A71C54" w:rsidRPr="00B4711B" w:rsidRDefault="00A71C54" w:rsidP="00A71C54">
      <w:pPr>
        <w:pStyle w:val="AERbulletlistfirststyle"/>
      </w:pPr>
      <w:r w:rsidRPr="00B4711B">
        <w:t xml:space="preserve">A two stage </w:t>
      </w:r>
      <w:r>
        <w:t>model</w:t>
      </w:r>
      <w:r w:rsidRPr="00B4711B">
        <w:t>, which assumes that dividends grow at the long term growth rate following the dividend forecast period.</w:t>
      </w:r>
    </w:p>
    <w:p w:rsidR="00A71C54" w:rsidRPr="00B4711B" w:rsidRDefault="00A71C54" w:rsidP="00A71C54">
      <w:pPr>
        <w:pStyle w:val="AERbulletlistfirststyle"/>
      </w:pPr>
      <w:r w:rsidRPr="00B4711B">
        <w:t xml:space="preserve">A three stage </w:t>
      </w:r>
      <w:r>
        <w:t>model</w:t>
      </w:r>
      <w:r w:rsidRPr="00B4711B">
        <w:t>, which assumes that dividend growth transitions linearly over eight years from the short term growth rate implied in the dividend forecast period to the long term growth rate.</w:t>
      </w:r>
    </w:p>
    <w:p w:rsidR="00A71C54" w:rsidRPr="00B4711B" w:rsidRDefault="00A71C54" w:rsidP="00A71C54">
      <w:r w:rsidRPr="00B4711B">
        <w:t xml:space="preserve">Our </w:t>
      </w:r>
      <w:r>
        <w:t>dividend growth models</w:t>
      </w:r>
      <w:r w:rsidRPr="00B4711B">
        <w:t xml:space="preserve"> also display the following characteristics:</w:t>
      </w:r>
    </w:p>
    <w:p w:rsidR="00A71C54" w:rsidRPr="00B4711B" w:rsidRDefault="00A71C54" w:rsidP="00A71C54">
      <w:pPr>
        <w:pStyle w:val="AERbulletlistfirststyle"/>
      </w:pPr>
      <w:r w:rsidRPr="00B4711B">
        <w:t xml:space="preserve">They use </w:t>
      </w:r>
      <w:r w:rsidRPr="00BC2FED">
        <w:t>daily</w:t>
      </w:r>
      <w:r>
        <w:t xml:space="preserve"> data of</w:t>
      </w:r>
      <w:r w:rsidRPr="00BC2FED">
        <w:t xml:space="preserve"> </w:t>
      </w:r>
      <w:r w:rsidRPr="00B4711B">
        <w:t xml:space="preserve">analysts’ </w:t>
      </w:r>
      <w:r w:rsidRPr="00BC2FED">
        <w:t>consensus dividend forecasts for the ASX 200 index</w:t>
      </w:r>
      <w:r w:rsidRPr="00B4711B">
        <w:t xml:space="preserve"> from the Bloomberg Professional Services (Bloomberg).</w:t>
      </w:r>
      <w:r>
        <w:t xml:space="preserve"> Analyst' dividend forecasts are for the current and following two financial years. </w:t>
      </w:r>
      <w:r w:rsidRPr="00BC2FED">
        <w:t xml:space="preserve">We </w:t>
      </w:r>
      <w:r>
        <w:t>take monthly averages</w:t>
      </w:r>
      <w:r w:rsidR="008262CF">
        <w:t xml:space="preserve"> of</w:t>
      </w:r>
      <w:r>
        <w:t xml:space="preserve"> the daily data.</w:t>
      </w:r>
    </w:p>
    <w:p w:rsidR="00A71C54" w:rsidRPr="00B4711B" w:rsidRDefault="00A71C54" w:rsidP="00A71C54">
      <w:pPr>
        <w:pStyle w:val="AERbulletlistfirststyle"/>
      </w:pPr>
      <w:r w:rsidRPr="00B4711B">
        <w:t xml:space="preserve">They </w:t>
      </w:r>
      <w:r>
        <w:t>use market prices for the ASX 200</w:t>
      </w:r>
      <w:r>
        <w:rPr>
          <w:rStyle w:val="FootnoteReference"/>
        </w:rPr>
        <w:footnoteReference w:id="843"/>
      </w:r>
      <w:r w:rsidRPr="00B4711B">
        <w:t>.</w:t>
      </w:r>
    </w:p>
    <w:p w:rsidR="00A71C54" w:rsidRPr="00B4711B" w:rsidRDefault="00A71C54" w:rsidP="00A71C54">
      <w:pPr>
        <w:pStyle w:val="AERbulletlistfirststyle"/>
      </w:pPr>
      <w:r w:rsidRPr="00B4711B">
        <w:t xml:space="preserve">They estimate a long term growth rate in dividends per share. We determine this by adjusting the long term growth rate in </w:t>
      </w:r>
      <w:r>
        <w:t xml:space="preserve">real </w:t>
      </w:r>
      <w:r w:rsidRPr="00B4711B">
        <w:t>gross domestic product (GDP) for the net creation of shares</w:t>
      </w:r>
      <w:r>
        <w:t xml:space="preserve"> and expected inflation</w:t>
      </w:r>
      <w:r w:rsidRPr="00B4711B">
        <w:t>.</w:t>
      </w:r>
      <w:r>
        <w:rPr>
          <w:rStyle w:val="FootnoteReference"/>
        </w:rPr>
        <w:footnoteReference w:id="844"/>
      </w:r>
    </w:p>
    <w:p w:rsidR="00A71C54" w:rsidRPr="00B4711B" w:rsidRDefault="00A71C54" w:rsidP="00A71C54">
      <w:r>
        <w:t>We</w:t>
      </w:r>
      <w:r w:rsidRPr="00B4711B">
        <w:t xml:space="preserve"> consider our preferred construction of the </w:t>
      </w:r>
      <w:r>
        <w:t>dividend growth model to be</w:t>
      </w:r>
      <w:r w:rsidRPr="00B4711B">
        <w:t xml:space="preserve"> reasonable. </w:t>
      </w:r>
      <w:r>
        <w:t>W</w:t>
      </w:r>
      <w:r w:rsidRPr="00B4711B">
        <w:t xml:space="preserve">e developed our preferred construction of the </w:t>
      </w:r>
      <w:r>
        <w:t>model</w:t>
      </w:r>
      <w:r w:rsidRPr="00B4711B">
        <w:t xml:space="preserve"> in close consultation with stakeholders when developing the Guideline.</w:t>
      </w:r>
      <w:r w:rsidRPr="00B4711B">
        <w:rPr>
          <w:rStyle w:val="FootnoteReference"/>
        </w:rPr>
        <w:footnoteReference w:id="845"/>
      </w:r>
      <w:r w:rsidRPr="00B4711B">
        <w:t xml:space="preserve"> We have </w:t>
      </w:r>
      <w:r>
        <w:t>analysed</w:t>
      </w:r>
      <w:r w:rsidRPr="00B4711B">
        <w:t xml:space="preserve"> a variety of submissions on our construction of the </w:t>
      </w:r>
      <w:r>
        <w:t>model</w:t>
      </w:r>
      <w:r w:rsidRPr="00B4711B">
        <w:t>,</w:t>
      </w:r>
      <w:r w:rsidRPr="00B4711B">
        <w:rPr>
          <w:rStyle w:val="FootnoteReference"/>
        </w:rPr>
        <w:footnoteReference w:id="846"/>
      </w:r>
      <w:r w:rsidRPr="00B4711B">
        <w:t xml:space="preserve"> which have not persuaded us to depart.</w:t>
      </w:r>
      <w:r w:rsidRPr="00B4711B">
        <w:rPr>
          <w:rStyle w:val="FootnoteReference"/>
        </w:rPr>
        <w:footnoteReference w:id="847"/>
      </w:r>
      <w:r w:rsidRPr="00B4711B">
        <w:t xml:space="preserve"> Further, experts have critically reviewed</w:t>
      </w:r>
      <w:r w:rsidRPr="00B4711B">
        <w:rPr>
          <w:rStyle w:val="FootnoteReference"/>
        </w:rPr>
        <w:footnoteReference w:id="848"/>
      </w:r>
      <w:r>
        <w:t xml:space="preserve"> </w:t>
      </w:r>
      <w:r w:rsidRPr="00B4711B">
        <w:t xml:space="preserve">our construction of the </w:t>
      </w:r>
      <w:r>
        <w:t>dividend growth model</w:t>
      </w:r>
      <w:r w:rsidRPr="00B4711B">
        <w:t xml:space="preserve"> </w:t>
      </w:r>
      <w:r>
        <w:t xml:space="preserve">and </w:t>
      </w:r>
      <w:r w:rsidRPr="00B4711B">
        <w:t xml:space="preserve">consider </w:t>
      </w:r>
      <w:r>
        <w:t xml:space="preserve">that, </w:t>
      </w:r>
      <w:proofErr w:type="gramStart"/>
      <w:r>
        <w:t>overall,</w:t>
      </w:r>
      <w:proofErr w:type="gramEnd"/>
      <w:r>
        <w:t xml:space="preserve"> </w:t>
      </w:r>
      <w:r w:rsidRPr="00B4711B">
        <w:t xml:space="preserve">this advice suggests our </w:t>
      </w:r>
      <w:r>
        <w:t xml:space="preserve">model </w:t>
      </w:r>
      <w:r w:rsidRPr="00B4711B">
        <w:t>construction is reasonable.</w:t>
      </w:r>
      <w:r w:rsidRPr="00B4711B">
        <w:rPr>
          <w:rStyle w:val="FootnoteReference"/>
        </w:rPr>
        <w:footnoteReference w:id="849"/>
      </w:r>
      <w:r w:rsidRPr="00B4711B">
        <w:t xml:space="preserve"> We also have sound reasons for adopting the technical specifications of our preferred construction of the </w:t>
      </w:r>
      <w:r>
        <w:t>model</w:t>
      </w:r>
      <w:r w:rsidRPr="00B4711B">
        <w:t xml:space="preserve">. </w:t>
      </w:r>
      <w:r>
        <w:t xml:space="preserve"> A detailed discussion of the reasons for our preferred construction of the dividend growth model can be found in Appendix B to Attachment 3 of </w:t>
      </w:r>
      <w:r w:rsidR="00B20C82">
        <w:t xml:space="preserve">our preliminary decision on </w:t>
      </w:r>
      <w:r>
        <w:t>AusNet Services'</w:t>
      </w:r>
      <w:r w:rsidR="00B20C82">
        <w:t xml:space="preserve"> 2016-20 distribution determination</w:t>
      </w:r>
      <w:r>
        <w:t>.</w:t>
      </w:r>
    </w:p>
    <w:p w:rsidR="00A71C54" w:rsidRDefault="00A71C54" w:rsidP="00A71C54">
      <w:r>
        <w:t>We note that AusNet Services' uses the AER's construction of the dividend growth model</w:t>
      </w:r>
      <w:r>
        <w:rPr>
          <w:rStyle w:val="FootnoteReference"/>
        </w:rPr>
        <w:footnoteReference w:id="850"/>
      </w:r>
      <w:r>
        <w:t xml:space="preserve"> in its multi-model approach to estimating its proposed market risk premium.</w:t>
      </w:r>
      <w:r>
        <w:rPr>
          <w:rStyle w:val="FootnoteReference"/>
        </w:rPr>
        <w:footnoteReference w:id="851"/>
      </w:r>
      <w:r>
        <w:t xml:space="preserve"> Service providers have in the past proposed the use of SFG's dividend growth model. </w:t>
      </w:r>
    </w:p>
    <w:p w:rsidR="00A71C54" w:rsidRPr="00B4711B" w:rsidRDefault="00A71C54" w:rsidP="00A71C54">
      <w:pPr>
        <w:pStyle w:val="Heading8"/>
      </w:pPr>
      <w:bookmarkStart w:id="222" w:name="_Ref446260197"/>
      <w:bookmarkStart w:id="223" w:name="_Toc451938985"/>
      <w:bookmarkStart w:id="224" w:name="_Toc456686733"/>
      <w:r>
        <w:t>Sources of potential upward bias</w:t>
      </w:r>
      <w:bookmarkEnd w:id="222"/>
      <w:bookmarkEnd w:id="223"/>
      <w:bookmarkEnd w:id="224"/>
    </w:p>
    <w:p w:rsidR="00A71C54" w:rsidRPr="00B4711B" w:rsidRDefault="00A71C54" w:rsidP="00A71C54">
      <w:r w:rsidRPr="00B4711B">
        <w:t xml:space="preserve">Evidence we have reviewed indicates that the </w:t>
      </w:r>
      <w:r>
        <w:t>market risk premium estimates from dividend growth models are</w:t>
      </w:r>
      <w:r w:rsidRPr="00B4711B">
        <w:t xml:space="preserve"> very sensitive to input assumptions and likely to show an upward bias in current market conditions.</w:t>
      </w:r>
      <w:r w:rsidRPr="00B4711B">
        <w:rPr>
          <w:rStyle w:val="FootnoteReference"/>
        </w:rPr>
        <w:footnoteReference w:id="852"/>
      </w:r>
      <w:r w:rsidRPr="00B4711B">
        <w:t xml:space="preserve"> While we still propose to use our construction of the </w:t>
      </w:r>
      <w:r>
        <w:t>dividend growth model</w:t>
      </w:r>
      <w:r w:rsidRPr="00B4711B">
        <w:t xml:space="preserve"> to inform our </w:t>
      </w:r>
      <w:r>
        <w:t>market risk premium</w:t>
      </w:r>
      <w:r w:rsidRPr="00B4711B">
        <w:t xml:space="preserve"> estimate, we consider it important to have regard to the existence of this potential bias. We discuss below </w:t>
      </w:r>
      <w:r>
        <w:t xml:space="preserve">the </w:t>
      </w:r>
      <w:r w:rsidRPr="00B4711B">
        <w:t xml:space="preserve">factors </w:t>
      </w:r>
      <w:r>
        <w:t xml:space="preserve">that </w:t>
      </w:r>
      <w:r w:rsidRPr="00B4711B">
        <w:t xml:space="preserve">we have considered. </w:t>
      </w:r>
    </w:p>
    <w:p w:rsidR="00A71C54" w:rsidRPr="0046661C" w:rsidRDefault="00A71C54" w:rsidP="00A71C54">
      <w:pPr>
        <w:pStyle w:val="TOC1"/>
      </w:pPr>
      <w:bookmarkStart w:id="225" w:name="_Toc443923219"/>
      <w:r w:rsidRPr="0046661C">
        <w:t>Slow-changing dividends</w:t>
      </w:r>
      <w:bookmarkEnd w:id="225"/>
      <w:r w:rsidRPr="0046661C">
        <w:t xml:space="preserve">  </w:t>
      </w:r>
    </w:p>
    <w:p w:rsidR="00A71C54" w:rsidRPr="0065391F" w:rsidRDefault="00A71C54" w:rsidP="00A71C54">
      <w:r w:rsidRPr="00B4711B">
        <w:t>Dividends are a smoothed version of both free cash flow to equity and profits.</w:t>
      </w:r>
      <w:r w:rsidRPr="00B4711B">
        <w:rPr>
          <w:rStyle w:val="FootnoteReference"/>
        </w:rPr>
        <w:footnoteReference w:id="853"/>
      </w:r>
      <w:r w:rsidRPr="00B4711B">
        <w:t xml:space="preserve"> Slow-changing (or 'sticky') dividends </w:t>
      </w:r>
      <w:r w:rsidRPr="0065391F">
        <w:t>are a well-understood phenomenon in financial theory and empirically supported by survey evidence, which suggests that companies are reluctant to cut dividends and increase dividends only when maintainable high earnings per share are expected.</w:t>
      </w:r>
      <w:r w:rsidRPr="0065391F">
        <w:rPr>
          <w:rStyle w:val="FootnoteReference"/>
        </w:rPr>
        <w:footnoteReference w:id="854"/>
      </w:r>
      <w:r w:rsidRPr="0065391F">
        <w:rPr>
          <w:rStyle w:val="FootnoteReference"/>
        </w:rPr>
        <w:t xml:space="preserve"> </w:t>
      </w:r>
      <w:r w:rsidRPr="0065391F">
        <w:t>McKenzie and Partington consider that there is likely to be an asymmetry in the effects because of a greater reluctance to cut dividends than increase dividends.</w:t>
      </w:r>
      <w:r w:rsidRPr="0065391F">
        <w:rPr>
          <w:rStyle w:val="FootnoteReference"/>
        </w:rPr>
        <w:footnoteReference w:id="855"/>
      </w:r>
      <w:r w:rsidRPr="0065391F">
        <w:t xml:space="preserve"> </w:t>
      </w:r>
    </w:p>
    <w:p w:rsidR="00A71C54" w:rsidRDefault="00A71C54" w:rsidP="00A71C54">
      <w:r>
        <w:t xml:space="preserve">If investors revise downwards their earnings expectations for a firm, the share price may drop significantly with the 'sticky' dividend unchanging. Together, this will cause a higher dividend yield, giving an upwardly-biased estimate of the return on equity. The reverse occurs if expectations are for profits and free cash flow to equity to rise. </w:t>
      </w:r>
    </w:p>
    <w:p w:rsidR="00A71C54" w:rsidRDefault="00A71C54" w:rsidP="00A71C54">
      <w:r>
        <w:t>Frontier submitted that this theoretical possibility is not material in current circumstances. Frontier submitted that:</w:t>
      </w:r>
      <w:r>
        <w:rPr>
          <w:rStyle w:val="FootnoteReference"/>
        </w:rPr>
        <w:footnoteReference w:id="856"/>
      </w:r>
    </w:p>
    <w:p w:rsidR="00A71C54" w:rsidRDefault="00A71C54" w:rsidP="00A71C54">
      <w:pPr>
        <w:pStyle w:val="AERquote"/>
      </w:pPr>
      <w:r>
        <w:t xml:space="preserve">An examination of the top 20 </w:t>
      </w:r>
      <w:r w:rsidRPr="00706095">
        <w:t>firms (which collectively account for approximately half of the total</w:t>
      </w:r>
      <w:r>
        <w:t xml:space="preserve"> </w:t>
      </w:r>
      <w:r w:rsidRPr="00706095">
        <w:t>ASX market capitalisation) indicates that analysts are anticipating</w:t>
      </w:r>
      <w:r>
        <w:t xml:space="preserve"> </w:t>
      </w:r>
      <w:r w:rsidRPr="00706095">
        <w:t>increasing dividends and earnings. The market capitalisation</w:t>
      </w:r>
      <w:r>
        <w:t xml:space="preserve"> </w:t>
      </w:r>
      <w:r w:rsidRPr="00706095">
        <w:t>weighted average increase in forecasted earnings per share from</w:t>
      </w:r>
      <w:r>
        <w:t xml:space="preserve"> </w:t>
      </w:r>
      <w:r w:rsidRPr="00706095">
        <w:t>2015 to 2017 is 19%.</w:t>
      </w:r>
    </w:p>
    <w:p w:rsidR="00A71C54" w:rsidRDefault="00A71C54" w:rsidP="00A71C54">
      <w:r>
        <w:t>We note that Frontier's forecast is only to 2017, and we are not satisfied that such short-term forecasts invalidate our concerns as market prices likely reflect expectations over a longer period. We note that the</w:t>
      </w:r>
      <w:r w:rsidRPr="00B4711B">
        <w:rPr>
          <w:rStyle w:val="AERbody"/>
        </w:rPr>
        <w:t xml:space="preserve"> RBA</w:t>
      </w:r>
      <w:r>
        <w:rPr>
          <w:rStyle w:val="AERbody"/>
        </w:rPr>
        <w:t xml:space="preserve"> forecast</w:t>
      </w:r>
      <w:r w:rsidRPr="00B4711B">
        <w:rPr>
          <w:rStyle w:val="AERbody"/>
        </w:rPr>
        <w:t>s growth in earnings per share to fall in the 2015</w:t>
      </w:r>
      <w:r>
        <w:t>–</w:t>
      </w:r>
      <w:r w:rsidRPr="00B4711B">
        <w:rPr>
          <w:rStyle w:val="AERbody"/>
        </w:rPr>
        <w:t>16 and 2016</w:t>
      </w:r>
      <w:r>
        <w:t>–</w:t>
      </w:r>
      <w:r w:rsidRPr="00B4711B">
        <w:rPr>
          <w:rStyle w:val="AERbody"/>
        </w:rPr>
        <w:t>17 financial years</w:t>
      </w:r>
      <w:r>
        <w:rPr>
          <w:rStyle w:val="AERbody"/>
        </w:rPr>
        <w:t>, and we do not consider it is certain that investors expect positive growth in dividends per share post-2017</w:t>
      </w:r>
      <w:r w:rsidRPr="00B4711B">
        <w:rPr>
          <w:rStyle w:val="AERbody"/>
        </w:rPr>
        <w:t>.</w:t>
      </w:r>
      <w:r w:rsidRPr="00B4711B">
        <w:rPr>
          <w:rStyle w:val="FootnoteReference"/>
        </w:rPr>
        <w:footnoteReference w:id="857"/>
      </w:r>
      <w:r>
        <w:rPr>
          <w:rStyle w:val="AERbody"/>
        </w:rPr>
        <w:t xml:space="preserve"> </w:t>
      </w:r>
    </w:p>
    <w:p w:rsidR="00A71C54" w:rsidRPr="0046661C" w:rsidRDefault="00A71C54" w:rsidP="00A71C54">
      <w:pPr>
        <w:pStyle w:val="TOC1"/>
        <w:numPr>
          <w:ilvl w:val="0"/>
          <w:numId w:val="25"/>
        </w:numPr>
      </w:pPr>
      <w:r>
        <w:t>Biases in analyst forecasts</w:t>
      </w:r>
    </w:p>
    <w:p w:rsidR="00A71C54" w:rsidRDefault="00A71C54" w:rsidP="00A71C54">
      <w:pPr>
        <w:numPr>
          <w:ilvl w:val="0"/>
          <w:numId w:val="25"/>
        </w:numPr>
      </w:pPr>
      <w:r w:rsidRPr="00B4711B">
        <w:t>Analyst forecasts are well understood to be upward</w:t>
      </w:r>
      <w:r>
        <w:t>ly</w:t>
      </w:r>
      <w:r w:rsidRPr="00B4711B">
        <w:t xml:space="preserve"> biased.</w:t>
      </w:r>
      <w:r w:rsidRPr="00B4711B">
        <w:rPr>
          <w:rStyle w:val="FootnoteReference"/>
        </w:rPr>
        <w:footnoteReference w:id="858"/>
      </w:r>
      <w:r w:rsidRPr="00B4711B">
        <w:t xml:space="preserve"> McKenzie and Partington also consider that analysts’ forecasts are slow to adjust to changing information.</w:t>
      </w:r>
      <w:r w:rsidRPr="00B4711B">
        <w:rPr>
          <w:rStyle w:val="FootnoteReference"/>
        </w:rPr>
        <w:footnoteReference w:id="859"/>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p w:rsidR="00A71C54" w:rsidRDefault="00A71C54" w:rsidP="00A71C54">
      <w:pPr>
        <w:numPr>
          <w:ilvl w:val="0"/>
          <w:numId w:val="25"/>
        </w:numPr>
      </w:pPr>
      <w:r>
        <w:t>We note that Frontier has not provided any evidence that bias has not increased. Frontier submitted that:</w:t>
      </w:r>
      <w:r>
        <w:rPr>
          <w:rStyle w:val="FootnoteReference"/>
        </w:rPr>
        <w:footnoteReference w:id="860"/>
      </w:r>
      <w:r>
        <w:t xml:space="preserve"> </w:t>
      </w:r>
    </w:p>
    <w:p w:rsidR="00A71C54" w:rsidRPr="00C06A8A" w:rsidRDefault="00A71C54" w:rsidP="00A71C54">
      <w:pPr>
        <w:pStyle w:val="AERquote"/>
      </w:pPr>
      <w:r w:rsidRPr="00C06A8A">
        <w:t>No reason has been presented for why this effect would be</w:t>
      </w:r>
      <w:r>
        <w:t xml:space="preserve"> </w:t>
      </w:r>
      <w:r w:rsidRPr="00C06A8A">
        <w:t>stronger in the current market conditions than it was at the</w:t>
      </w:r>
      <w:r>
        <w:t xml:space="preserve"> </w:t>
      </w:r>
      <w:r w:rsidRPr="00C06A8A">
        <w:t>time of the Guideline. Thus, it does not explain why the</w:t>
      </w:r>
      <w:r>
        <w:t xml:space="preserve"> </w:t>
      </w:r>
      <w:r w:rsidRPr="00C06A8A">
        <w:t>AER has apparently reduced the weight it applies to its</w:t>
      </w:r>
      <w:r>
        <w:t xml:space="preserve"> DGM estimates over time.</w:t>
      </w:r>
    </w:p>
    <w:p w:rsidR="00A71C54" w:rsidRDefault="00A71C54" w:rsidP="00A71C54">
      <w:r>
        <w:t>We have no</w:t>
      </w:r>
      <w:r w:rsidRPr="00DE2857">
        <w:t>t changed</w:t>
      </w:r>
      <w:r>
        <w:t xml:space="preserve"> the weight we apply to the dividend growth model. Our</w:t>
      </w:r>
      <w:r w:rsidRPr="00DE2857">
        <w:t xml:space="preserve"> approach requires the application of judgment and our </w:t>
      </w:r>
      <w:r>
        <w:t>market risk premium</w:t>
      </w:r>
      <w:r w:rsidRPr="00DE2857">
        <w:t xml:space="preserve"> estimate does not mechanically update with changes to </w:t>
      </w:r>
      <w:r>
        <w:t>dividend growth model</w:t>
      </w:r>
      <w:r w:rsidRPr="00DE2857">
        <w:t xml:space="preserve"> estimates</w:t>
      </w:r>
      <w:r>
        <w:t xml:space="preserve">. </w:t>
      </w:r>
    </w:p>
    <w:p w:rsidR="00A71C54" w:rsidRPr="00B4711B" w:rsidRDefault="00A71C54" w:rsidP="00A71C54">
      <w:r>
        <w:t>Further, we do not hold a view either way about whether bias has increased or not. However, Frontier refers to a report by JP Morgan that notes that current price-to-earnings ratios</w:t>
      </w:r>
      <w:r>
        <w:rPr>
          <w:rStyle w:val="FootnoteReference"/>
        </w:rPr>
        <w:footnoteReference w:id="861"/>
      </w:r>
      <w:r>
        <w:t xml:space="preserve"> could be evidence that the prevailing </w:t>
      </w:r>
      <w:r w:rsidRPr="00C365B3">
        <w:t>market is now more sceptical of analysts’ forecasts than they have been in the past</w:t>
      </w:r>
      <w:r>
        <w:t>.</w:t>
      </w:r>
      <w:r>
        <w:rPr>
          <w:rStyle w:val="FootnoteReference"/>
        </w:rPr>
        <w:footnoteReference w:id="862"/>
      </w:r>
      <w:r w:rsidRPr="00D03E8B">
        <w:t xml:space="preserve"> </w:t>
      </w:r>
      <w:r>
        <w:t xml:space="preserve">That is, </w:t>
      </w:r>
      <w:r w:rsidRPr="00C365B3">
        <w:t>bias (or at least the market’s perception of bias) may have increased</w:t>
      </w:r>
      <w:r>
        <w:t xml:space="preserve">. </w:t>
      </w:r>
    </w:p>
    <w:p w:rsidR="00A71C54" w:rsidRPr="0046661C" w:rsidRDefault="00A71C54" w:rsidP="00A71C54">
      <w:pPr>
        <w:pStyle w:val="TOC1"/>
        <w:numPr>
          <w:ilvl w:val="0"/>
          <w:numId w:val="25"/>
        </w:numPr>
      </w:pPr>
      <w:r>
        <w:t>Dividends as a proxy for free cash flow to equity</w:t>
      </w:r>
    </w:p>
    <w:p w:rsidR="00A71C54" w:rsidRPr="0065391F" w:rsidRDefault="00A71C54" w:rsidP="00A71C54">
      <w:pPr>
        <w:rPr>
          <w:rStyle w:val="AERbody"/>
        </w:rPr>
      </w:pPr>
      <w:r w:rsidRPr="0065391F">
        <w:rPr>
          <w:rStyle w:val="AERbody"/>
        </w:rPr>
        <w:t>In a particular period, differences between the free cash flow to equity and the dividend may arise as a consequence of financing transactions (that is, borrowing or issuing new shares). Where there is significant financing of dividends and/or where substantial investment demand for funds is anticipated, there is a risk that dividend growth will slow or even turn negative for a period. This is likely to result in the dividend growth model producing upwardly biased estimates of the return of equity.</w:t>
      </w:r>
      <w:r>
        <w:rPr>
          <w:rStyle w:val="FootnoteReference"/>
        </w:rPr>
        <w:footnoteReference w:id="863"/>
      </w:r>
    </w:p>
    <w:p w:rsidR="00A71C54" w:rsidRPr="0046661C" w:rsidRDefault="00A71C54" w:rsidP="00A71C54">
      <w:pPr>
        <w:pStyle w:val="TOC1"/>
      </w:pPr>
      <w:r>
        <w:t>Low risk free rate and term structure for equity</w:t>
      </w:r>
    </w:p>
    <w:p w:rsidR="00A71C54" w:rsidRPr="0065391F" w:rsidRDefault="00A71C54" w:rsidP="00A71C54">
      <w:pPr>
        <w:rPr>
          <w:rStyle w:val="AERbody"/>
        </w:rPr>
      </w:pPr>
      <w:r w:rsidRPr="0065391F">
        <w:rPr>
          <w:rStyle w:val="AERbody"/>
        </w:rPr>
        <w:t>The risk free rate is currently relatively low.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864"/>
      </w:r>
      <w:r w:rsidRPr="0065391F">
        <w:rPr>
          <w:rStyle w:val="AERbody"/>
        </w:rPr>
        <w:t xml:space="preserve"> We consider it useful to be aware of this potential bias. This is consistent with McKenzie and Partington’s advice:</w:t>
      </w:r>
      <w:r w:rsidRPr="00F37CD8">
        <w:rPr>
          <w:rStyle w:val="FootnoteReference"/>
        </w:rPr>
        <w:footnoteReference w:id="865"/>
      </w:r>
    </w:p>
    <w:p w:rsidR="00A71C54" w:rsidRPr="00B4711B" w:rsidRDefault="00A71C54" w:rsidP="00A71C54">
      <w:pPr>
        <w:pStyle w:val="AERquote"/>
      </w:pPr>
      <w:proofErr w:type="gramStart"/>
      <w:r w:rsidRPr="00B4711B">
        <w:t>we</w:t>
      </w:r>
      <w:proofErr w:type="gramEnd"/>
      <w:r w:rsidRPr="00B4711B">
        <w:t xml:space="preserve"> do recommend that it be borne in mind that the existence of a term structure could materially change cost of equity estimates from the DGM.</w:t>
      </w:r>
    </w:p>
    <w:p w:rsidR="00A71C54" w:rsidRPr="00A71C54" w:rsidRDefault="00A71C54" w:rsidP="00A71C54"/>
    <w:p w:rsidR="00312F8A" w:rsidRDefault="00312F8A" w:rsidP="00312F8A">
      <w:pPr>
        <w:pStyle w:val="Heading7"/>
      </w:pPr>
      <w:bookmarkStart w:id="226" w:name="_Ref451685221"/>
      <w:bookmarkStart w:id="227" w:name="_Ref451685409"/>
      <w:bookmarkStart w:id="228" w:name="_Toc452629087"/>
      <w:bookmarkStart w:id="229" w:name="_Toc456686734"/>
      <w:r>
        <w:t>Return on equity conditioning variables</w:t>
      </w:r>
      <w:bookmarkEnd w:id="226"/>
      <w:bookmarkEnd w:id="227"/>
      <w:bookmarkEnd w:id="228"/>
      <w:bookmarkEnd w:id="229"/>
    </w:p>
    <w:p w:rsidR="00A71C54" w:rsidRPr="00D7763D" w:rsidRDefault="00A71C54" w:rsidP="00A71C54">
      <w:pPr>
        <w:numPr>
          <w:ilvl w:val="0"/>
          <w:numId w:val="25"/>
        </w:numPr>
      </w:pPr>
      <w:r w:rsidRPr="00D7763D">
        <w:t xml:space="preserve">Conditioning variables are </w:t>
      </w:r>
      <w:r>
        <w:t>market data</w:t>
      </w:r>
      <w:r w:rsidRPr="00D7763D">
        <w:t xml:space="preserve"> that can be used to </w:t>
      </w:r>
      <w:r>
        <w:t>inform (or 'condition') an initial estimate</w:t>
      </w:r>
      <w:r w:rsidRPr="00D7763D">
        <w:t>. We do not consider conditioning variables provide reliable estimates on their own.</w:t>
      </w:r>
      <w:r>
        <w:rPr>
          <w:rStyle w:val="FootnoteReference"/>
        </w:rPr>
        <w:footnoteReference w:id="866"/>
      </w:r>
      <w:r w:rsidRPr="00D7763D">
        <w:t xml:space="preserve"> However, this information is relevant and may be useful for indicating changes in </w:t>
      </w:r>
      <w:r>
        <w:t>prevailing</w:t>
      </w:r>
      <w:r w:rsidRPr="00D7763D">
        <w:t xml:space="preserve"> market conditions. </w:t>
      </w:r>
    </w:p>
    <w:p w:rsidR="00A71C54" w:rsidRPr="00C4668D" w:rsidRDefault="00A71C54" w:rsidP="00A71C54">
      <w:pPr>
        <w:pStyle w:val="ListParagraph"/>
        <w:numPr>
          <w:ilvl w:val="0"/>
          <w:numId w:val="25"/>
        </w:numPr>
      </w:pPr>
      <w:r w:rsidRPr="00C4668D">
        <w:t>In the Guideline we stated that we would consider three types of conditioning variables</w:t>
      </w:r>
      <w:r>
        <w:t xml:space="preserve"> to inform our estimate of the market risk premium</w:t>
      </w:r>
      <w:r w:rsidRPr="00C4668D">
        <w:t xml:space="preserve">: dividend yields, </w:t>
      </w:r>
      <w:r>
        <w:t>yield</w:t>
      </w:r>
      <w:r w:rsidRPr="00C4668D">
        <w:t xml:space="preserve"> spreads and implied volatility. Service providers have also proposed the use of price</w:t>
      </w:r>
      <w:r>
        <w:t>-to-</w:t>
      </w:r>
      <w:r w:rsidRPr="00C4668D">
        <w:t>earnings ratios, and we consider</w:t>
      </w:r>
      <w:r w:rsidR="00A31B4E">
        <w:t>ed</w:t>
      </w:r>
      <w:r w:rsidRPr="00C4668D">
        <w:t xml:space="preserve"> these </w:t>
      </w:r>
      <w:r w:rsidR="00A31B4E">
        <w:t xml:space="preserve">in </w:t>
      </w:r>
      <w:r w:rsidR="00A31B4E">
        <w:fldChar w:fldCharType="begin"/>
      </w:r>
      <w:r w:rsidR="00A31B4E">
        <w:instrText xml:space="preserve"> REF _Ref445927856 \h </w:instrText>
      </w:r>
      <w:r w:rsidR="00A31B4E">
        <w:fldChar w:fldCharType="separate"/>
      </w:r>
      <w:r w:rsidR="003F1AAB">
        <w:t xml:space="preserve">Table </w:t>
      </w:r>
      <w:r w:rsidR="003F1AAB">
        <w:rPr>
          <w:noProof/>
        </w:rPr>
        <w:t>3</w:t>
      </w:r>
      <w:r w:rsidR="003F1AAB">
        <w:noBreakHyphen/>
      </w:r>
      <w:r w:rsidR="003F1AAB">
        <w:rPr>
          <w:noProof/>
        </w:rPr>
        <w:t>7</w:t>
      </w:r>
      <w:r w:rsidR="00A31B4E">
        <w:fldChar w:fldCharType="end"/>
      </w:r>
      <w:r w:rsidR="00A31B4E">
        <w:t xml:space="preserve"> above</w:t>
      </w:r>
      <w:r w:rsidRPr="00C4668D">
        <w:t>.</w:t>
      </w:r>
      <w:r>
        <w:t xml:space="preserve"> In the Guideline we also stated that we would use yield spreads to inform our overall return on equity estimate.</w:t>
      </w:r>
    </w:p>
    <w:p w:rsidR="00A71C54" w:rsidRPr="00D7763D" w:rsidRDefault="00A71C54" w:rsidP="00A71C54">
      <w:r>
        <w:t>C</w:t>
      </w:r>
      <w:r w:rsidRPr="00D7763D">
        <w:t xml:space="preserve">onditioning variables </w:t>
      </w:r>
      <w:r>
        <w:t xml:space="preserve">should be considered </w:t>
      </w:r>
      <w:r w:rsidRPr="00D7763D">
        <w:t xml:space="preserve">symmetrically through time </w:t>
      </w:r>
      <w:r>
        <w:t>to</w:t>
      </w:r>
      <w:r w:rsidRPr="00D7763D">
        <w:t xml:space="preserve"> avoid bias. </w:t>
      </w:r>
      <w:r>
        <w:t>S</w:t>
      </w:r>
      <w:r w:rsidRPr="00D7763D">
        <w:t xml:space="preserve">ince the weighted average cost of capital (WACC) review in 2009, various service providers have presented this information asymmetrically. For example, in periods where the implied volatility suggested the </w:t>
      </w:r>
      <w:r>
        <w:t>market risk premium</w:t>
      </w:r>
      <w:r w:rsidRPr="00D7763D">
        <w:t xml:space="preserve"> </w:t>
      </w:r>
      <w:r>
        <w:t>may</w:t>
      </w:r>
      <w:r w:rsidRPr="00D7763D">
        <w:t xml:space="preserve"> be significantly above the long term average, service providers relied upon this evidence.</w:t>
      </w:r>
      <w:r w:rsidRPr="00D7763D">
        <w:rPr>
          <w:rStyle w:val="FootnoteReference"/>
        </w:rPr>
        <w:footnoteReference w:id="867"/>
      </w:r>
      <w:r w:rsidRPr="00D7763D">
        <w:t xml:space="preserve"> However, when implied volatility estimates fell in 2013, service providers did not propose we consider this evidence.</w:t>
      </w:r>
      <w:r w:rsidRPr="00D7763D">
        <w:rPr>
          <w:rStyle w:val="FootnoteReference"/>
        </w:rPr>
        <w:footnoteReference w:id="868"/>
      </w:r>
      <w:r w:rsidRPr="00D7763D">
        <w:t xml:space="preserve"> </w:t>
      </w:r>
    </w:p>
    <w:p w:rsidR="00A71C54" w:rsidRDefault="00A71C54" w:rsidP="00A71C54">
      <w:r w:rsidRPr="00D7763D">
        <w:t xml:space="preserve">For the reasons set out below, we consider that, overall, the conditioning variables </w:t>
      </w:r>
      <w:r>
        <w:t>appear to have experienced moderate short term movement. Consideration of the implied volatility approach, dividend yields and corporate bond spreads show slight increases.</w:t>
      </w:r>
      <w:r>
        <w:rPr>
          <w:rStyle w:val="FootnoteReference"/>
        </w:rPr>
        <w:footnoteReference w:id="869"/>
      </w:r>
      <w:r>
        <w:t xml:space="preserve"> T</w:t>
      </w:r>
      <w:r w:rsidRPr="00866A7A">
        <w:t>he</w:t>
      </w:r>
      <w:r>
        <w:t xml:space="preserve"> state government bond spreads and the comparison between equity and debt premiums provide no clear indication that there have been any changes to conditioning variables.</w:t>
      </w:r>
      <w:r>
        <w:rPr>
          <w:rStyle w:val="FootnoteReference"/>
        </w:rPr>
        <w:footnoteReference w:id="870"/>
      </w:r>
      <w:r>
        <w:t xml:space="preserve"> Taken together, we see no significant trend to </w:t>
      </w:r>
      <w:r w:rsidRPr="00D51EE9">
        <w:t>support any further change</w:t>
      </w:r>
      <w:r>
        <w:t xml:space="preserve">s to our approach. </w:t>
      </w:r>
    </w:p>
    <w:p w:rsidR="00A71C54" w:rsidRPr="00D7763D" w:rsidRDefault="00A71C54" w:rsidP="00A71C54">
      <w:r>
        <w:t xml:space="preserve">Moreover, it appears that </w:t>
      </w:r>
      <w:r w:rsidRPr="00D7763D">
        <w:t xml:space="preserve">conditioning variables </w:t>
      </w:r>
      <w:r>
        <w:t xml:space="preserve">are </w:t>
      </w:r>
      <w:r w:rsidRPr="00D7763D">
        <w:t>close to their long term averages. This is particularly apparent when compared with the sharp increases in these variables seen between 2008</w:t>
      </w:r>
      <w:r w:rsidRPr="00D7763D">
        <w:softHyphen/>
        <w:t xml:space="preserve">–13, which were likely associated with the height of the Global Financial Crisis and European debt crisis. We acknowledge that </w:t>
      </w:r>
      <w:r>
        <w:t>implied volatility and dividend yields</w:t>
      </w:r>
      <w:r w:rsidRPr="00D7763D">
        <w:t xml:space="preserve"> increased above their long term averages towards the end of </w:t>
      </w:r>
      <w:r>
        <w:t>2015</w:t>
      </w:r>
      <w:r w:rsidRPr="00D7763D">
        <w:t xml:space="preserve">. However, we consider there is </w:t>
      </w:r>
      <w:r>
        <w:t>in</w:t>
      </w:r>
      <w:r w:rsidRPr="00D7763D">
        <w:t xml:space="preserve">sufficient evidence of a sustained trend away from their long term averages. </w:t>
      </w:r>
    </w:p>
    <w:p w:rsidR="00A71C54" w:rsidRPr="00D7763D" w:rsidRDefault="00A71C54" w:rsidP="00A71C54">
      <w:r w:rsidRPr="00D7763D">
        <w:t>It is important to n</w:t>
      </w:r>
      <w:r>
        <w:t>ote that we are estimating a 10-year forward-</w:t>
      </w:r>
      <w:r w:rsidRPr="00D7763D">
        <w:t xml:space="preserve">looking </w:t>
      </w:r>
      <w:r>
        <w:t>market risk premium</w:t>
      </w:r>
      <w:r w:rsidRPr="00D7763D">
        <w:t xml:space="preserve"> with regard to prevailing conditions in the market for equity funds. In this context, prevailing conditions can be considered ‘prevailing expectations’ over the relevant forward looking timeframe, which is 10 years. Therefore, we consider short term fluctuations in conditioning variables should be treated with caution. </w:t>
      </w:r>
    </w:p>
    <w:p w:rsidR="00A71C54" w:rsidRPr="00A71C54" w:rsidRDefault="00A71C54" w:rsidP="003957BF">
      <w:pPr>
        <w:pStyle w:val="Heading8"/>
        <w:numPr>
          <w:ilvl w:val="1"/>
          <w:numId w:val="61"/>
        </w:numPr>
      </w:pPr>
      <w:bookmarkStart w:id="230" w:name="_Toc443923225"/>
      <w:bookmarkStart w:id="231" w:name="_Toc451938987"/>
      <w:bookmarkStart w:id="232" w:name="_Toc456686735"/>
      <w:r>
        <w:t>Implied volatility</w:t>
      </w:r>
      <w:bookmarkEnd w:id="230"/>
      <w:bookmarkEnd w:id="231"/>
      <w:bookmarkEnd w:id="232"/>
    </w:p>
    <w:p w:rsidR="00A71C54" w:rsidRPr="00866A7A" w:rsidRDefault="00A71C54" w:rsidP="00A71C54">
      <w:pPr>
        <w:numPr>
          <w:ilvl w:val="0"/>
          <w:numId w:val="25"/>
        </w:numPr>
      </w:pPr>
      <w:bookmarkStart w:id="233" w:name="_Ref433023909"/>
      <w:r w:rsidRPr="00866A7A">
        <w:t xml:space="preserve">The implied volatility approach </w:t>
      </w:r>
      <w:r w:rsidR="00367881">
        <w:t>assumes</w:t>
      </w:r>
      <w:r w:rsidRPr="00866A7A">
        <w:t xml:space="preserve"> that the </w:t>
      </w:r>
      <w:r>
        <w:t>market risk premium</w:t>
      </w:r>
      <w:r w:rsidRPr="00866A7A">
        <w:t xml:space="preserve"> is the price of risk multiplied by the volume of risk (volatility).</w:t>
      </w:r>
      <w:r w:rsidRPr="00866A7A">
        <w:rPr>
          <w:rStyle w:val="FootnoteReference"/>
        </w:rPr>
        <w:footnoteReference w:id="871"/>
      </w:r>
      <w:r w:rsidRPr="00866A7A">
        <w:t xml:space="preserve"> </w:t>
      </w:r>
      <w:r w:rsidR="006A0187">
        <w:fldChar w:fldCharType="begin"/>
      </w:r>
      <w:r w:rsidR="006A0187">
        <w:instrText xml:space="preserve"> REF _Ref456703448 \h </w:instrText>
      </w:r>
      <w:r w:rsidR="006A0187">
        <w:fldChar w:fldCharType="separate"/>
      </w:r>
      <w:r w:rsidR="006A0187" w:rsidRPr="00866A7A">
        <w:t xml:space="preserve">Figure </w:t>
      </w:r>
      <w:r w:rsidR="006A0187">
        <w:rPr>
          <w:noProof/>
        </w:rPr>
        <w:t>3</w:t>
      </w:r>
      <w:r w:rsidR="006A0187">
        <w:noBreakHyphen/>
      </w:r>
      <w:r w:rsidR="006A0187">
        <w:rPr>
          <w:noProof/>
        </w:rPr>
        <w:t>7</w:t>
      </w:r>
      <w:r w:rsidR="006A0187">
        <w:fldChar w:fldCharType="end"/>
      </w:r>
      <w:r w:rsidR="006A0187">
        <w:t xml:space="preserve"> s</w:t>
      </w:r>
      <w:r>
        <w:t>hows volume of risk in the market portfolio estimated using the implied volatility index.</w:t>
      </w:r>
    </w:p>
    <w:p w:rsidR="00A71C54" w:rsidRDefault="00A71C54" w:rsidP="00A71C54">
      <w:r w:rsidRPr="00866A7A">
        <w:t xml:space="preserve">Implied volatility was high during the global financial crisis and the height of the European debt crisis. However, recent implied volatility levels have </w:t>
      </w:r>
      <w:r>
        <w:t xml:space="preserve">generally </w:t>
      </w:r>
      <w:r w:rsidRPr="00866A7A">
        <w:t>been below</w:t>
      </w:r>
      <w:r>
        <w:t xml:space="preserve"> or close to</w:t>
      </w:r>
      <w:r w:rsidRPr="00866A7A">
        <w:t xml:space="preserve"> the long run average of 18.2 per cent (measured from the start of the data series in 1997).</w:t>
      </w:r>
      <w:r>
        <w:t xml:space="preserve"> We note that implied volatility levels increased</w:t>
      </w:r>
      <w:r w:rsidRPr="00026A6C">
        <w:t xml:space="preserve"> above the long run average </w:t>
      </w:r>
      <w:r>
        <w:t>in</w:t>
      </w:r>
      <w:r w:rsidRPr="00026A6C">
        <w:t xml:space="preserve"> August 2015</w:t>
      </w:r>
      <w:r>
        <w:t>, but consider it is unclear whether this is evidence of a sharp and sustained move away from the long run average.</w:t>
      </w:r>
      <w:r w:rsidRPr="00866A7A">
        <w:t xml:space="preserve"> </w:t>
      </w:r>
    </w:p>
    <w:p w:rsidR="00A71C54" w:rsidRPr="00866A7A" w:rsidRDefault="006A0187" w:rsidP="00A71C54">
      <w:r>
        <w:fldChar w:fldCharType="begin"/>
      </w:r>
      <w:r>
        <w:instrText xml:space="preserve"> REF _Ref456703448 \h </w:instrText>
      </w:r>
      <w:r>
        <w:fldChar w:fldCharType="separate"/>
      </w:r>
      <w:r w:rsidRPr="00866A7A">
        <w:t xml:space="preserve">Figure </w:t>
      </w:r>
      <w:r>
        <w:rPr>
          <w:noProof/>
        </w:rPr>
        <w:t>3</w:t>
      </w:r>
      <w:r>
        <w:noBreakHyphen/>
      </w:r>
      <w:r>
        <w:rPr>
          <w:noProof/>
        </w:rPr>
        <w:t>7</w:t>
      </w:r>
      <w:r>
        <w:fldChar w:fldCharType="end"/>
      </w:r>
      <w:r>
        <w:t xml:space="preserve"> </w:t>
      </w:r>
      <w:r w:rsidR="00A71C54" w:rsidRPr="00866A7A">
        <w:t>shows the value of this measure of implied volatility relative to its long run average level since the start of the data series in 1997</w:t>
      </w:r>
      <w:r w:rsidR="00A71C54">
        <w:t xml:space="preserve"> to 24 March 2016</w:t>
      </w:r>
      <w:r w:rsidR="00A71C54" w:rsidRPr="00866A7A">
        <w:rPr>
          <w:rStyle w:val="AERbody"/>
        </w:rPr>
        <w:t>.</w:t>
      </w:r>
      <w:r w:rsidR="00A71C54">
        <w:rPr>
          <w:rStyle w:val="AERbody"/>
        </w:rPr>
        <w:t xml:space="preserve"> </w:t>
      </w:r>
      <w:r w:rsidR="00A71C54" w:rsidRPr="00866A7A">
        <w:t xml:space="preserve">On </w:t>
      </w:r>
      <w:r w:rsidR="00A71C54">
        <w:t>24 March 2016</w:t>
      </w:r>
      <w:r w:rsidR="00A71C54" w:rsidRPr="00866A7A">
        <w:t xml:space="preserve">, the ASX200 implied volatility index was </w:t>
      </w:r>
      <w:r w:rsidR="00A71C54">
        <w:t>15.4</w:t>
      </w:r>
      <w:r w:rsidR="00A71C54" w:rsidRPr="00866A7A">
        <w:t xml:space="preserve"> per cent. Using the same averaging period as the risk free rate, the </w:t>
      </w:r>
      <w:r w:rsidR="00A71C54">
        <w:t>volatility index</w:t>
      </w:r>
      <w:r w:rsidR="00A71C54" w:rsidRPr="00866A7A">
        <w:t xml:space="preserve"> was</w:t>
      </w:r>
      <w:r w:rsidR="00A71C54">
        <w:t xml:space="preserve"> 17.6</w:t>
      </w:r>
      <w:r w:rsidR="00A71C54" w:rsidRPr="00866A7A">
        <w:t xml:space="preserve"> per cent.</w:t>
      </w:r>
      <w:r w:rsidR="00A71C54" w:rsidRPr="00866A7A">
        <w:rPr>
          <w:rStyle w:val="FootnoteReference"/>
        </w:rPr>
        <w:footnoteReference w:id="872"/>
      </w:r>
      <w:r w:rsidR="00A71C54" w:rsidRPr="00866A7A">
        <w:t xml:space="preserve"> Over the year ending </w:t>
      </w:r>
      <w:r w:rsidR="00A71C54">
        <w:t>24 March 2016</w:t>
      </w:r>
      <w:r w:rsidR="00A71C54" w:rsidRPr="00866A7A">
        <w:t xml:space="preserve">, the </w:t>
      </w:r>
      <w:r w:rsidR="00A71C54">
        <w:t>volatility index</w:t>
      </w:r>
      <w:r w:rsidR="00A71C54" w:rsidRPr="00866A7A">
        <w:t xml:space="preserve"> was </w:t>
      </w:r>
      <w:r w:rsidR="00A71C54">
        <w:t>19</w:t>
      </w:r>
      <w:r w:rsidR="00A71C54" w:rsidRPr="00866A7A">
        <w:t>.</w:t>
      </w:r>
      <w:r w:rsidR="00A71C54">
        <w:t>3</w:t>
      </w:r>
      <w:r w:rsidR="00A71C54" w:rsidRPr="00866A7A">
        <w:t xml:space="preserve"> per cent.</w:t>
      </w:r>
      <w:r w:rsidR="00A71C54">
        <w:t xml:space="preserve"> </w:t>
      </w:r>
      <w:r w:rsidR="00A71C54">
        <w:rPr>
          <w:rStyle w:val="AERbody"/>
        </w:rPr>
        <w:t xml:space="preserve">Overall, we consider that </w:t>
      </w:r>
      <w:r>
        <w:rPr>
          <w:rStyle w:val="AERbody"/>
        </w:rPr>
        <w:fldChar w:fldCharType="begin"/>
      </w:r>
      <w:r>
        <w:rPr>
          <w:rStyle w:val="AERbody"/>
        </w:rPr>
        <w:instrText xml:space="preserve"> REF _Ref456703448 \h </w:instrText>
      </w:r>
      <w:r>
        <w:rPr>
          <w:rStyle w:val="AERbody"/>
        </w:rPr>
      </w:r>
      <w:r>
        <w:rPr>
          <w:rStyle w:val="AERbody"/>
        </w:rPr>
        <w:fldChar w:fldCharType="separate"/>
      </w:r>
      <w:r w:rsidRPr="00866A7A">
        <w:t xml:space="preserve">Figure </w:t>
      </w:r>
      <w:r>
        <w:rPr>
          <w:noProof/>
        </w:rPr>
        <w:t>3</w:t>
      </w:r>
      <w:r>
        <w:noBreakHyphen/>
      </w:r>
      <w:r>
        <w:rPr>
          <w:noProof/>
        </w:rPr>
        <w:t>7</w:t>
      </w:r>
      <w:r>
        <w:rPr>
          <w:rStyle w:val="AERbody"/>
        </w:rPr>
        <w:fldChar w:fldCharType="end"/>
      </w:r>
      <w:r>
        <w:rPr>
          <w:rStyle w:val="AERbody"/>
        </w:rPr>
        <w:t xml:space="preserve"> </w:t>
      </w:r>
      <w:r w:rsidR="00A71C54">
        <w:t>shows implied volatility is around its long run average.</w:t>
      </w:r>
      <w:r w:rsidR="00A71C54" w:rsidDel="00C41D65">
        <w:rPr>
          <w:rStyle w:val="AERbody"/>
        </w:rPr>
        <w:t xml:space="preserve"> </w:t>
      </w:r>
    </w:p>
    <w:p w:rsidR="00A71C54" w:rsidRPr="00866A7A" w:rsidRDefault="00A71C54" w:rsidP="00A71C54">
      <w:pPr>
        <w:pStyle w:val="Caption"/>
      </w:pPr>
      <w:bookmarkStart w:id="234" w:name="_Ref456703448"/>
      <w:r w:rsidRPr="00866A7A">
        <w:t xml:space="preserve">Figure </w:t>
      </w:r>
      <w:fldSimple w:instr=" STYLEREF 1 \s ">
        <w:r w:rsidR="003F1AAB">
          <w:rPr>
            <w:noProof/>
          </w:rPr>
          <w:t>3</w:t>
        </w:r>
      </w:fldSimple>
      <w:r w:rsidR="00E4520A">
        <w:noBreakHyphen/>
      </w:r>
      <w:fldSimple w:instr=" SEQ Figure \* ARABIC \s 1 ">
        <w:r w:rsidR="003F1AAB">
          <w:rPr>
            <w:noProof/>
          </w:rPr>
          <w:t>7</w:t>
        </w:r>
      </w:fldSimple>
      <w:bookmarkEnd w:id="233"/>
      <w:bookmarkEnd w:id="234"/>
      <w:r w:rsidRPr="00866A7A">
        <w:tab/>
        <w:t>Implied volatility (VIX) over time</w:t>
      </w:r>
    </w:p>
    <w:p w:rsidR="00A71C54" w:rsidRPr="00866A7A" w:rsidRDefault="00A71C54" w:rsidP="00A71C54">
      <w:pPr>
        <w:numPr>
          <w:ilvl w:val="0"/>
          <w:numId w:val="25"/>
        </w:numPr>
      </w:pPr>
      <w:r w:rsidRPr="00A71C54">
        <w:rPr>
          <w:noProof/>
          <w:lang w:eastAsia="en-AU"/>
        </w:rPr>
        <w:drawing>
          <wp:inline distT="0" distB="0" distL="0" distR="0" wp14:anchorId="341B55FE" wp14:editId="17BECE7D">
            <wp:extent cx="5369560" cy="307276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9560" cy="3072765"/>
                    </a:xfrm>
                    <a:prstGeom prst="rect">
                      <a:avLst/>
                    </a:prstGeom>
                    <a:noFill/>
                    <a:ln>
                      <a:noFill/>
                    </a:ln>
                  </pic:spPr>
                </pic:pic>
              </a:graphicData>
            </a:graphic>
          </wp:inline>
        </w:drawing>
      </w:r>
    </w:p>
    <w:p w:rsidR="00A71C54" w:rsidRDefault="00A71C54" w:rsidP="00A71C54">
      <w:pPr>
        <w:pStyle w:val="AERtablesource"/>
      </w:pPr>
      <w:r w:rsidRPr="00866A7A">
        <w:t xml:space="preserve">Source: </w:t>
      </w:r>
      <w:r w:rsidRPr="00866A7A">
        <w:tab/>
        <w:t xml:space="preserve">ASX200 VIX volatility </w:t>
      </w:r>
      <w:proofErr w:type="gramStart"/>
      <w:r w:rsidRPr="00866A7A">
        <w:t>index,</w:t>
      </w:r>
      <w:proofErr w:type="gramEnd"/>
      <w:r w:rsidRPr="00866A7A">
        <w:t xml:space="preserve"> sourced via Bloomberg co</w:t>
      </w:r>
      <w:r>
        <w:t>de</w:t>
      </w:r>
      <w:r w:rsidRPr="00866A7A">
        <w:t xml:space="preserve"> AS51VIX from 2/1/2008 and </w:t>
      </w:r>
      <w:r>
        <w:t xml:space="preserve">code </w:t>
      </w:r>
      <w:r w:rsidRPr="00866A7A">
        <w:t>CITJAVIX prior to 2/1/2008.</w:t>
      </w:r>
      <w:r>
        <w:t xml:space="preserve"> </w:t>
      </w:r>
    </w:p>
    <w:p w:rsidR="00A71C54" w:rsidRDefault="00A71C54" w:rsidP="00A71C54">
      <w:pPr>
        <w:pStyle w:val="Heading8"/>
      </w:pPr>
      <w:bookmarkStart w:id="235" w:name="_Toc443923226"/>
      <w:bookmarkStart w:id="236" w:name="_Toc451938988"/>
      <w:bookmarkStart w:id="237" w:name="_Toc456686736"/>
      <w:r>
        <w:t>Dividend yields</w:t>
      </w:r>
      <w:bookmarkEnd w:id="235"/>
      <w:bookmarkEnd w:id="236"/>
      <w:bookmarkEnd w:id="237"/>
    </w:p>
    <w:p w:rsidR="00A71C54" w:rsidRPr="00866A7A" w:rsidRDefault="00A71C54" w:rsidP="00A71C54">
      <w:pPr>
        <w:numPr>
          <w:ilvl w:val="0"/>
          <w:numId w:val="25"/>
        </w:numPr>
      </w:pPr>
      <w:bookmarkStart w:id="238" w:name="_Ref400009547"/>
      <w:bookmarkStart w:id="239" w:name="_Ref417224600"/>
      <w:bookmarkStart w:id="240" w:name="_Ref433023708"/>
      <w:r w:rsidRPr="00866A7A">
        <w:t xml:space="preserve">We use dividend yields as a directional indicator of the </w:t>
      </w:r>
      <w:r>
        <w:t>market risk premium</w:t>
      </w:r>
      <w:r w:rsidRPr="00866A7A">
        <w:t>.</w:t>
      </w:r>
      <w:r w:rsidRPr="00866A7A">
        <w:rPr>
          <w:rStyle w:val="FootnoteReference"/>
        </w:rPr>
        <w:footnoteReference w:id="873"/>
      </w:r>
      <w:r w:rsidRPr="00866A7A">
        <w:t xml:space="preserve"> We consider this information by comparing current dividend yields with the average dividend yield through time.</w:t>
      </w:r>
      <w:r w:rsidRPr="00866A7A">
        <w:rPr>
          <w:rStyle w:val="FootnoteReference"/>
        </w:rPr>
        <w:footnoteReference w:id="874"/>
      </w:r>
      <w:r w:rsidRPr="00866A7A">
        <w:t xml:space="preserve"> </w:t>
      </w:r>
      <w:r w:rsidR="003F1AAB">
        <w:fldChar w:fldCharType="begin"/>
      </w:r>
      <w:r w:rsidR="003F1AAB">
        <w:instrText xml:space="preserve"> REF _Ref456702693 \h </w:instrText>
      </w:r>
      <w:r w:rsidR="003F1AAB">
        <w:fldChar w:fldCharType="separate"/>
      </w:r>
      <w:r w:rsidR="003F1AAB" w:rsidRPr="00866A7A">
        <w:t xml:space="preserve">Figure </w:t>
      </w:r>
      <w:r w:rsidR="003F1AAB">
        <w:rPr>
          <w:noProof/>
        </w:rPr>
        <w:t>3</w:t>
      </w:r>
      <w:r w:rsidR="003F1AAB">
        <w:noBreakHyphen/>
      </w:r>
      <w:r w:rsidR="003F1AAB">
        <w:rPr>
          <w:noProof/>
        </w:rPr>
        <w:t>8</w:t>
      </w:r>
      <w:r w:rsidR="003F1AAB">
        <w:fldChar w:fldCharType="end"/>
      </w:r>
      <w:r w:rsidR="003F1AAB">
        <w:t xml:space="preserve"> </w:t>
      </w:r>
      <w:r w:rsidRPr="00866A7A">
        <w:t>shows dividend yields against their historical average</w:t>
      </w:r>
      <w:r>
        <w:t xml:space="preserve"> up to 24 March 2016.</w:t>
      </w:r>
    </w:p>
    <w:p w:rsidR="00A71C54" w:rsidRPr="00866A7A" w:rsidRDefault="003F1AAB" w:rsidP="00A71C54">
      <w:r>
        <w:fldChar w:fldCharType="begin"/>
      </w:r>
      <w:r>
        <w:instrText xml:space="preserve"> REF _Ref456702693 \h </w:instrText>
      </w:r>
      <w:r>
        <w:fldChar w:fldCharType="separate"/>
      </w:r>
      <w:r w:rsidRPr="00866A7A">
        <w:t xml:space="preserve">Figure </w:t>
      </w:r>
      <w:r>
        <w:rPr>
          <w:noProof/>
        </w:rPr>
        <w:t>3</w:t>
      </w:r>
      <w:r>
        <w:noBreakHyphen/>
      </w:r>
      <w:r>
        <w:rPr>
          <w:noProof/>
        </w:rPr>
        <w:t>8</w:t>
      </w:r>
      <w:r>
        <w:fldChar w:fldCharType="end"/>
      </w:r>
      <w:r>
        <w:t xml:space="preserve"> </w:t>
      </w:r>
      <w:r w:rsidR="00A71C54" w:rsidRPr="00866A7A">
        <w:t xml:space="preserve">shows dividend yields are </w:t>
      </w:r>
      <w:r w:rsidR="00A71C54">
        <w:t>higher than</w:t>
      </w:r>
      <w:r w:rsidR="00A71C54" w:rsidRPr="00866A7A">
        <w:t xml:space="preserve"> their long term average. </w:t>
      </w:r>
      <w:r w:rsidR="00A71C54">
        <w:t>However, prior to this increase, dividend yields were close to their long term average and have been</w:t>
      </w:r>
      <w:r w:rsidR="00A71C54" w:rsidRPr="00866A7A">
        <w:t xml:space="preserve"> relatively steady over the last </w:t>
      </w:r>
      <w:r w:rsidR="00A71C54">
        <w:t>two years (approximately)</w:t>
      </w:r>
      <w:r w:rsidR="00A71C54" w:rsidRPr="00866A7A">
        <w:t>.</w:t>
      </w:r>
      <w:r w:rsidR="00A71C54">
        <w:t xml:space="preserve"> It is unclear whether the recent increase in dividend yields is evidence of a sharp and sustained move away from their long term average. </w:t>
      </w:r>
    </w:p>
    <w:p w:rsidR="00A71C54" w:rsidRPr="00866A7A" w:rsidRDefault="00A71C54" w:rsidP="00A71C54">
      <w:pPr>
        <w:pStyle w:val="Caption"/>
      </w:pPr>
      <w:bookmarkStart w:id="241" w:name="_Ref456702693"/>
      <w:bookmarkEnd w:id="238"/>
      <w:bookmarkEnd w:id="239"/>
      <w:r w:rsidRPr="00866A7A">
        <w:t xml:space="preserve">Figure </w:t>
      </w:r>
      <w:fldSimple w:instr=" STYLEREF 1 \s ">
        <w:r w:rsidR="003F1AAB">
          <w:rPr>
            <w:noProof/>
          </w:rPr>
          <w:t>3</w:t>
        </w:r>
      </w:fldSimple>
      <w:r w:rsidR="00E4520A">
        <w:noBreakHyphen/>
      </w:r>
      <w:fldSimple w:instr=" SEQ Figure \* ARABIC \s 1 ">
        <w:r w:rsidR="003F1AAB">
          <w:rPr>
            <w:noProof/>
          </w:rPr>
          <w:t>8</w:t>
        </w:r>
      </w:fldSimple>
      <w:bookmarkEnd w:id="240"/>
      <w:bookmarkEnd w:id="241"/>
      <w:r w:rsidRPr="00866A7A">
        <w:tab/>
        <w:t>Dividend yields</w:t>
      </w:r>
    </w:p>
    <w:p w:rsidR="00A71C54" w:rsidRPr="00866A7A" w:rsidRDefault="00A71C54" w:rsidP="00A71C54">
      <w:pPr>
        <w:numPr>
          <w:ilvl w:val="0"/>
          <w:numId w:val="25"/>
        </w:numPr>
      </w:pPr>
      <w:r w:rsidRPr="00A71C54">
        <w:rPr>
          <w:noProof/>
          <w:lang w:eastAsia="en-AU"/>
        </w:rPr>
        <w:drawing>
          <wp:inline distT="0" distB="0" distL="0" distR="0" wp14:anchorId="0E044364" wp14:editId="549A0CB9">
            <wp:extent cx="5380355" cy="322135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0355" cy="3221355"/>
                    </a:xfrm>
                    <a:prstGeom prst="rect">
                      <a:avLst/>
                    </a:prstGeom>
                    <a:noFill/>
                    <a:ln>
                      <a:noFill/>
                    </a:ln>
                  </pic:spPr>
                </pic:pic>
              </a:graphicData>
            </a:graphic>
          </wp:inline>
        </w:drawing>
      </w:r>
    </w:p>
    <w:p w:rsidR="00A71C54" w:rsidRDefault="00A71C54" w:rsidP="00A71C54">
      <w:pPr>
        <w:pStyle w:val="AERtablesource"/>
      </w:pPr>
      <w:r w:rsidRPr="00866A7A">
        <w:t>Source:</w:t>
      </w:r>
      <w:r w:rsidRPr="00866A7A">
        <w:tab/>
        <w:t>Bloomberg</w:t>
      </w:r>
      <w:r>
        <w:t xml:space="preserve"> AS51 Index</w:t>
      </w:r>
      <w:r w:rsidRPr="00866A7A">
        <w:t>, AER analysis.</w:t>
      </w:r>
    </w:p>
    <w:p w:rsidR="00A71C54" w:rsidRDefault="00A71C54" w:rsidP="00A71C54">
      <w:pPr>
        <w:pStyle w:val="Heading8"/>
      </w:pPr>
      <w:bookmarkStart w:id="242" w:name="_Toc443923227"/>
      <w:bookmarkStart w:id="243" w:name="_Ref449052987"/>
      <w:r>
        <w:t xml:space="preserve"> </w:t>
      </w:r>
      <w:bookmarkStart w:id="244" w:name="_Ref451685642"/>
      <w:bookmarkStart w:id="245" w:name="_Toc451938989"/>
      <w:bookmarkStart w:id="246" w:name="_Toc456686737"/>
      <w:r>
        <w:t>Yield spreads</w:t>
      </w:r>
      <w:bookmarkEnd w:id="242"/>
      <w:bookmarkEnd w:id="243"/>
      <w:bookmarkEnd w:id="244"/>
      <w:bookmarkEnd w:id="245"/>
      <w:bookmarkEnd w:id="246"/>
    </w:p>
    <w:p w:rsidR="00A71C54" w:rsidRPr="00033144" w:rsidRDefault="00A71C54" w:rsidP="00A71C54">
      <w:pPr>
        <w:numPr>
          <w:ilvl w:val="0"/>
          <w:numId w:val="25"/>
        </w:numPr>
      </w:pPr>
      <w:bookmarkStart w:id="247" w:name="_Ref433023841"/>
      <w:r w:rsidRPr="00033144">
        <w:t>Yield spreads are the difference between the yields on different assets, typically debt instruments. We examine two categories of yield spreads:</w:t>
      </w:r>
    </w:p>
    <w:p w:rsidR="00A71C54" w:rsidRPr="00A71C54" w:rsidRDefault="00A71C54" w:rsidP="00A71C54">
      <w:pPr>
        <w:pStyle w:val="AERbulletlistfirststyle"/>
      </w:pPr>
      <w:r w:rsidRPr="00033144">
        <w:t>Credit spreads, used to inform our market risk premium estimate.</w:t>
      </w:r>
    </w:p>
    <w:p w:rsidR="00A71C54" w:rsidRPr="00A71C54" w:rsidRDefault="00A71C54" w:rsidP="00A71C54">
      <w:pPr>
        <w:pStyle w:val="AERbulletlistfirststyle"/>
      </w:pPr>
      <w:r w:rsidRPr="00033144">
        <w:t>The spread between our equity risk premium and debt risk premium, used to inform our overall return on equity estimate.</w:t>
      </w:r>
    </w:p>
    <w:p w:rsidR="00A71C54" w:rsidRPr="00033144" w:rsidRDefault="00A71C54" w:rsidP="00A71C54">
      <w:pPr>
        <w:numPr>
          <w:ilvl w:val="0"/>
          <w:numId w:val="25"/>
        </w:numPr>
      </w:pPr>
      <w:r w:rsidRPr="00033144">
        <w:t>Credit spreads are the spreads between the risk free rate (the yield on Australian government securities) and the return on debt for different debt instruments. We use credit spreads as a directional indicator of the market risk premium.</w:t>
      </w:r>
      <w:r w:rsidRPr="00033144">
        <w:rPr>
          <w:rStyle w:val="FootnoteReference"/>
        </w:rPr>
        <w:footnoteReference w:id="875"/>
      </w:r>
      <w:r w:rsidRPr="00033144">
        <w:t xml:space="preserve"> We consider this information can be used to indicate changes in market conditions. That is, to indicate whether spreads are widening, stabilising or narrowing.</w:t>
      </w:r>
    </w:p>
    <w:p w:rsidR="00A71C54" w:rsidRPr="00033144" w:rsidRDefault="00A71C54" w:rsidP="00A71C54">
      <w:pPr>
        <w:numPr>
          <w:ilvl w:val="0"/>
          <w:numId w:val="25"/>
        </w:numPr>
      </w:pPr>
      <w:r w:rsidRPr="00033144">
        <w:fldChar w:fldCharType="begin"/>
      </w:r>
      <w:r w:rsidRPr="00033144">
        <w:instrText xml:space="preserve"> REF _Ref433023804 \h </w:instrText>
      </w:r>
      <w:r w:rsidRPr="00033144">
        <w:fldChar w:fldCharType="separate"/>
      </w:r>
      <w:r w:rsidR="003F1AAB" w:rsidRPr="00033144">
        <w:t xml:space="preserve">Figure </w:t>
      </w:r>
      <w:r w:rsidR="003F1AAB">
        <w:rPr>
          <w:noProof/>
        </w:rPr>
        <w:t>3</w:t>
      </w:r>
      <w:r w:rsidR="003F1AAB">
        <w:noBreakHyphen/>
      </w:r>
      <w:r w:rsidR="003F1AAB">
        <w:rPr>
          <w:noProof/>
        </w:rPr>
        <w:t>9</w:t>
      </w:r>
      <w:r w:rsidRPr="00033144">
        <w:fldChar w:fldCharType="end"/>
      </w:r>
      <w:r w:rsidRPr="00033144">
        <w:t xml:space="preserve"> shows credit spreads for A-rated, AA-rated, and BBB-rated corporate debt instruments over yields on Australian government securities. These credit spreads were showing a clear downward trend from approximately 2012 before widening slightly in recent times. </w:t>
      </w:r>
    </w:p>
    <w:p w:rsidR="00A71C54" w:rsidRPr="00033144" w:rsidRDefault="00A71C54" w:rsidP="00A71C54">
      <w:pPr>
        <w:numPr>
          <w:ilvl w:val="0"/>
          <w:numId w:val="25"/>
        </w:numPr>
      </w:pPr>
      <w:r w:rsidRPr="00033144">
        <w:t>Most credit spreads are also above their pre-2007 levels, while the swap rate spread is at or below its pre-2007 levels. In essence, lower quality debt is further from pre-2007 levels than higher quality debt. However, the credit spreads are all substantially lower than they were between 2008 and 2013.</w:t>
      </w:r>
    </w:p>
    <w:p w:rsidR="00A71C54" w:rsidRPr="00033144" w:rsidRDefault="00A71C54" w:rsidP="00A71C54">
      <w:pPr>
        <w:pStyle w:val="Caption"/>
        <w:rPr>
          <w:rStyle w:val="Strong"/>
        </w:rPr>
      </w:pPr>
      <w:bookmarkStart w:id="248" w:name="_Ref433023804"/>
      <w:r w:rsidRPr="00033144">
        <w:t xml:space="preserve">Figure </w:t>
      </w:r>
      <w:fldSimple w:instr=" STYLEREF 1 \s ">
        <w:r w:rsidR="003F1AAB">
          <w:rPr>
            <w:noProof/>
          </w:rPr>
          <w:t>3</w:t>
        </w:r>
      </w:fldSimple>
      <w:r w:rsidR="00E4520A">
        <w:noBreakHyphen/>
      </w:r>
      <w:fldSimple w:instr=" SEQ Figure \* ARABIC \s 1 ">
        <w:r w:rsidR="003F1AAB">
          <w:rPr>
            <w:noProof/>
          </w:rPr>
          <w:t>9</w:t>
        </w:r>
      </w:fldSimple>
      <w:bookmarkEnd w:id="248"/>
      <w:r w:rsidRPr="00033144">
        <w:tab/>
        <w:t>Australian bond spreads over government yields</w:t>
      </w:r>
    </w:p>
    <w:p w:rsidR="00A71C54" w:rsidRPr="00033144" w:rsidRDefault="00A71C54" w:rsidP="00A71C54">
      <w:pPr>
        <w:numPr>
          <w:ilvl w:val="0"/>
          <w:numId w:val="25"/>
        </w:numPr>
      </w:pPr>
      <w:r w:rsidRPr="00A71C54">
        <w:rPr>
          <w:noProof/>
          <w:lang w:eastAsia="en-AU"/>
        </w:rPr>
        <w:drawing>
          <wp:inline distT="0" distB="0" distL="0" distR="0" wp14:anchorId="34E6F44B" wp14:editId="1B36A7FB">
            <wp:extent cx="3876675" cy="34870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 Government Bonds.PNG"/>
                    <pic:cNvPicPr/>
                  </pic:nvPicPr>
                  <pic:blipFill>
                    <a:blip r:embed="rId23">
                      <a:extLst>
                        <a:ext uri="{28A0092B-C50C-407E-A947-70E740481C1C}">
                          <a14:useLocalDpi xmlns:a14="http://schemas.microsoft.com/office/drawing/2010/main" val="0"/>
                        </a:ext>
                      </a:extLst>
                    </a:blip>
                    <a:stretch>
                      <a:fillRect/>
                    </a:stretch>
                  </pic:blipFill>
                  <pic:spPr>
                    <a:xfrm>
                      <a:off x="0" y="0"/>
                      <a:ext cx="3877216" cy="3487546"/>
                    </a:xfrm>
                    <a:prstGeom prst="rect">
                      <a:avLst/>
                    </a:prstGeom>
                  </pic:spPr>
                </pic:pic>
              </a:graphicData>
            </a:graphic>
          </wp:inline>
        </w:drawing>
      </w:r>
    </w:p>
    <w:p w:rsidR="00A71C54" w:rsidRPr="00033144" w:rsidRDefault="00A71C54" w:rsidP="00A71C54">
      <w:pPr>
        <w:pStyle w:val="AERtablesource"/>
        <w:rPr>
          <w:rStyle w:val="AERtexthighlight"/>
        </w:rPr>
      </w:pPr>
      <w:r w:rsidRPr="00033144">
        <w:t xml:space="preserve">Source: </w:t>
      </w:r>
      <w:r w:rsidRPr="00033144">
        <w:tab/>
      </w:r>
      <w:r>
        <w:t>RBA, Chart Pack, February 2016</w:t>
      </w:r>
      <w:r w:rsidRPr="00033144">
        <w:t xml:space="preserve">. </w:t>
      </w:r>
    </w:p>
    <w:p w:rsidR="00A71C54" w:rsidRPr="00033144" w:rsidRDefault="00A71C54" w:rsidP="00A71C54">
      <w:pPr>
        <w:pStyle w:val="AERtablesource"/>
      </w:pPr>
      <w:r w:rsidRPr="00033144">
        <w:t>Note:</w:t>
      </w:r>
      <w:r w:rsidRPr="00033144">
        <w:tab/>
        <w:t>Swap spreads are for a 3 year maturity. Corporate bonds are a weighted average of senior bonds with remaining maturities of 1 to 5 years and include financial and non-financial corporates.</w:t>
      </w:r>
    </w:p>
    <w:p w:rsidR="00A71C54" w:rsidRPr="00033144" w:rsidRDefault="003F1AAB" w:rsidP="00A71C54">
      <w:r>
        <w:fldChar w:fldCharType="begin"/>
      </w:r>
      <w:r>
        <w:instrText xml:space="preserve"> REF _Ref456702743 \h </w:instrText>
      </w:r>
      <w:r>
        <w:fldChar w:fldCharType="separate"/>
      </w:r>
      <w:r w:rsidRPr="00FA1E95">
        <w:t xml:space="preserve">Figure </w:t>
      </w:r>
      <w:r>
        <w:rPr>
          <w:noProof/>
        </w:rPr>
        <w:t>3</w:t>
      </w:r>
      <w:r>
        <w:noBreakHyphen/>
      </w:r>
      <w:r>
        <w:rPr>
          <w:noProof/>
        </w:rPr>
        <w:t>10</w:t>
      </w:r>
      <w:r>
        <w:fldChar w:fldCharType="end"/>
      </w:r>
      <w:r>
        <w:t xml:space="preserve"> </w:t>
      </w:r>
      <w:r w:rsidR="00A71C54" w:rsidRPr="00033144">
        <w:t xml:space="preserve">shows the spread between state government debt and Australian government debt up to </w:t>
      </w:r>
      <w:r w:rsidR="00A71C54">
        <w:t>27 March</w:t>
      </w:r>
      <w:r w:rsidR="00A71C54" w:rsidRPr="00033144">
        <w:t xml:space="preserve"> 2016. This uses maturities of three years as more data are available. </w:t>
      </w:r>
      <w:r>
        <w:fldChar w:fldCharType="begin"/>
      </w:r>
      <w:r>
        <w:instrText xml:space="preserve"> REF _Ref456702743 \h </w:instrText>
      </w:r>
      <w:r>
        <w:fldChar w:fldCharType="separate"/>
      </w:r>
      <w:r w:rsidRPr="00FA1E95">
        <w:t xml:space="preserve">Figure </w:t>
      </w:r>
      <w:r>
        <w:rPr>
          <w:noProof/>
        </w:rPr>
        <w:t>3</w:t>
      </w:r>
      <w:r>
        <w:noBreakHyphen/>
      </w:r>
      <w:r>
        <w:rPr>
          <w:noProof/>
        </w:rPr>
        <w:t>10</w:t>
      </w:r>
      <w:r>
        <w:fldChar w:fldCharType="end"/>
      </w:r>
      <w:r>
        <w:t xml:space="preserve"> </w:t>
      </w:r>
      <w:r w:rsidR="00A71C54" w:rsidRPr="00033144">
        <w:t xml:space="preserve">shows that credit spreads were falling since late 2012, and are now around their pre-2007 levels with no discernible trend. </w:t>
      </w:r>
    </w:p>
    <w:p w:rsidR="00A71C54" w:rsidRPr="00FA1E95" w:rsidRDefault="00A71C54" w:rsidP="00A71C54">
      <w:pPr>
        <w:pStyle w:val="Caption"/>
      </w:pPr>
      <w:bookmarkStart w:id="249" w:name="_Ref456702743"/>
      <w:r w:rsidRPr="00FA1E95">
        <w:t xml:space="preserve">Figure </w:t>
      </w:r>
      <w:fldSimple w:instr=" STYLEREF 1 \s ">
        <w:r w:rsidR="003F1AAB">
          <w:rPr>
            <w:noProof/>
          </w:rPr>
          <w:t>3</w:t>
        </w:r>
      </w:fldSimple>
      <w:r w:rsidR="00E4520A">
        <w:noBreakHyphen/>
      </w:r>
      <w:fldSimple w:instr=" SEQ Figure \* ARABIC \s 1 ">
        <w:r w:rsidR="003F1AAB">
          <w:rPr>
            <w:noProof/>
          </w:rPr>
          <w:t>10</w:t>
        </w:r>
      </w:fldSimple>
      <w:bookmarkEnd w:id="247"/>
      <w:bookmarkEnd w:id="249"/>
      <w:r w:rsidRPr="00FA1E95">
        <w:tab/>
        <w:t>State government bond spreads over government yields</w:t>
      </w:r>
    </w:p>
    <w:p w:rsidR="00A71C54" w:rsidRPr="00FA1E95" w:rsidRDefault="00A71C54" w:rsidP="00A71C54">
      <w:pPr>
        <w:numPr>
          <w:ilvl w:val="0"/>
          <w:numId w:val="25"/>
        </w:numPr>
      </w:pPr>
      <w:r w:rsidRPr="00A71C54">
        <w:rPr>
          <w:noProof/>
          <w:lang w:eastAsia="en-AU"/>
        </w:rPr>
        <w:drawing>
          <wp:inline distT="0" distB="0" distL="0" distR="0" wp14:anchorId="1AD70DA5" wp14:editId="47333507">
            <wp:extent cx="5369560" cy="306197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9560" cy="3061970"/>
                    </a:xfrm>
                    <a:prstGeom prst="rect">
                      <a:avLst/>
                    </a:prstGeom>
                    <a:noFill/>
                    <a:ln>
                      <a:noFill/>
                    </a:ln>
                  </pic:spPr>
                </pic:pic>
              </a:graphicData>
            </a:graphic>
          </wp:inline>
        </w:drawing>
      </w:r>
    </w:p>
    <w:p w:rsidR="00A71C54" w:rsidRPr="00FA1E95" w:rsidRDefault="00A71C54" w:rsidP="00A71C54">
      <w:pPr>
        <w:pStyle w:val="AERtablesource"/>
      </w:pPr>
      <w:r w:rsidRPr="00FA1E95">
        <w:t xml:space="preserve">Source: </w:t>
      </w:r>
      <w:r w:rsidRPr="00FA1E95">
        <w:tab/>
        <w:t xml:space="preserve">AER analysis, RBA F.2 interest rate statistics. </w:t>
      </w:r>
    </w:p>
    <w:p w:rsidR="00A71C54" w:rsidRPr="00033144" w:rsidRDefault="00A71C54" w:rsidP="00A71C54">
      <w:pPr>
        <w:rPr>
          <w:rStyle w:val="AERbody"/>
        </w:rPr>
      </w:pPr>
      <w:bookmarkStart w:id="250" w:name="_Ref417589908"/>
      <w:r w:rsidRPr="00033144">
        <w:rPr>
          <w:rStyle w:val="AERbody"/>
        </w:rPr>
        <w:t>On the comparison between the return on equity and return on debt, we consider that prevailing debt market conditions provide support for the view that:</w:t>
      </w:r>
    </w:p>
    <w:p w:rsidR="00A71C54" w:rsidRPr="00A71C54" w:rsidRDefault="00A71C54" w:rsidP="00A71C54">
      <w:pPr>
        <w:pStyle w:val="AERbulletlistfirststyle"/>
      </w:pPr>
      <w:r w:rsidRPr="00033144">
        <w:t>our estimated return on equity is not below efficient financing costs</w:t>
      </w:r>
      <w:r w:rsidRPr="00A71C54">
        <w:rPr>
          <w:rStyle w:val="FootnoteReference"/>
        </w:rPr>
        <w:footnoteReference w:id="876"/>
      </w:r>
    </w:p>
    <w:p w:rsidR="00A71C54" w:rsidRPr="00A71C54" w:rsidRDefault="00E35FF7" w:rsidP="00A71C54">
      <w:pPr>
        <w:pStyle w:val="AERbulletlistfirststyle"/>
      </w:pPr>
      <w:r>
        <w:t>AusNet Services</w:t>
      </w:r>
      <w:r w:rsidR="00224858">
        <w:t>'</w:t>
      </w:r>
      <w:r w:rsidRPr="00A71C54">
        <w:t xml:space="preserve"> </w:t>
      </w:r>
      <w:r w:rsidR="00A71C54" w:rsidRPr="00A71C54">
        <w:t>proposed return on equity is likely to exceed efficient financing costs.</w:t>
      </w:r>
    </w:p>
    <w:p w:rsidR="00A71C54" w:rsidRPr="00033144" w:rsidRDefault="00A71C54" w:rsidP="00A71C54">
      <w:pPr>
        <w:numPr>
          <w:ilvl w:val="0"/>
          <w:numId w:val="25"/>
        </w:numPr>
      </w:pPr>
      <w:r w:rsidRPr="00033144">
        <w:t xml:space="preserve">The current debt market is indicating a premium over the risk free rate of about </w:t>
      </w:r>
      <w:r>
        <w:t>2.92</w:t>
      </w:r>
      <w:r w:rsidRPr="00033144">
        <w:t xml:space="preserve"> per cent.</w:t>
      </w:r>
      <w:r w:rsidRPr="00033144">
        <w:rPr>
          <w:rStyle w:val="FootnoteReference"/>
        </w:rPr>
        <w:footnoteReference w:id="877"/>
      </w:r>
      <w:r w:rsidRPr="00033144">
        <w:t xml:space="preserve"> This compares to our foundation model equity premium over the risk free rate of 4.55 per cent (given a market risk premium of 6.5 per cent and a beta of 0.7). </w:t>
      </w:r>
      <w:r w:rsidR="003F1AAB">
        <w:fldChar w:fldCharType="begin"/>
      </w:r>
      <w:r w:rsidR="003F1AAB">
        <w:instrText xml:space="preserve"> REF _Ref456700933 \h </w:instrText>
      </w:r>
      <w:r w:rsidR="003F1AAB">
        <w:fldChar w:fldCharType="separate"/>
      </w:r>
      <w:r w:rsidR="003F1AAB">
        <w:t xml:space="preserve">Figure </w:t>
      </w:r>
      <w:r w:rsidR="003F1AAB">
        <w:rPr>
          <w:noProof/>
        </w:rPr>
        <w:t>3</w:t>
      </w:r>
      <w:r w:rsidR="003F1AAB">
        <w:noBreakHyphen/>
      </w:r>
      <w:r w:rsidR="003F1AAB">
        <w:rPr>
          <w:noProof/>
        </w:rPr>
        <w:t>11</w:t>
      </w:r>
      <w:r w:rsidR="003F1AAB">
        <w:fldChar w:fldCharType="end"/>
      </w:r>
      <w:r w:rsidR="003F1AAB">
        <w:t xml:space="preserve"> </w:t>
      </w:r>
      <w:r w:rsidRPr="00033144">
        <w:t xml:space="preserve">shows the current and historical debt risk premium and our foundation model equity risk premium. </w:t>
      </w:r>
      <w:r w:rsidR="00517384">
        <w:t xml:space="preserve">AusNet Services </w:t>
      </w:r>
      <w:r w:rsidRPr="00033144">
        <w:t xml:space="preserve">proposed an equity risk premium of </w:t>
      </w:r>
      <w:r w:rsidR="00517384">
        <w:t>7.01</w:t>
      </w:r>
      <w:r w:rsidRPr="00033144">
        <w:t xml:space="preserve"> per cent.</w:t>
      </w:r>
      <w:r w:rsidRPr="00033144">
        <w:rPr>
          <w:rStyle w:val="FootnoteReference"/>
        </w:rPr>
        <w:footnoteReference w:id="878"/>
      </w:r>
    </w:p>
    <w:p w:rsidR="00A71C54" w:rsidRDefault="00E4520A" w:rsidP="00E4520A">
      <w:pPr>
        <w:pStyle w:val="Caption"/>
      </w:pPr>
      <w:bookmarkStart w:id="251" w:name="_Ref456700933"/>
      <w:bookmarkEnd w:id="250"/>
      <w:r>
        <w:t xml:space="preserve">Figure </w:t>
      </w:r>
      <w:fldSimple w:instr=" STYLEREF 1 \s ">
        <w:r w:rsidR="003F1AAB">
          <w:rPr>
            <w:noProof/>
          </w:rPr>
          <w:t>3</w:t>
        </w:r>
      </w:fldSimple>
      <w:r>
        <w:noBreakHyphen/>
      </w:r>
      <w:fldSimple w:instr=" SEQ Figure \* ARABIC \s 1 ">
        <w:r w:rsidR="003F1AAB">
          <w:rPr>
            <w:noProof/>
          </w:rPr>
          <w:t>11</w:t>
        </w:r>
      </w:fldSimple>
      <w:bookmarkEnd w:id="251"/>
      <w:r>
        <w:t xml:space="preserve"> </w:t>
      </w:r>
      <w:r w:rsidRPr="00E4520A">
        <w:t>Comparison of equity risk premium and indicative debt risk premiums</w:t>
      </w:r>
    </w:p>
    <w:p w:rsidR="00A71C54" w:rsidRPr="003C3515" w:rsidRDefault="00A71C54" w:rsidP="00A71C54">
      <w:r w:rsidRPr="00A71C54">
        <w:rPr>
          <w:noProof/>
          <w:lang w:eastAsia="en-AU"/>
        </w:rPr>
        <w:drawing>
          <wp:inline distT="0" distB="0" distL="0" distR="0" wp14:anchorId="12862F54" wp14:editId="40D25E91">
            <wp:extent cx="5382895" cy="4578903"/>
            <wp:effectExtent l="0" t="0" r="825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2895" cy="4578903"/>
                    </a:xfrm>
                    <a:prstGeom prst="rect">
                      <a:avLst/>
                    </a:prstGeom>
                    <a:noFill/>
                    <a:ln>
                      <a:noFill/>
                    </a:ln>
                  </pic:spPr>
                </pic:pic>
              </a:graphicData>
            </a:graphic>
          </wp:inline>
        </w:drawing>
      </w:r>
    </w:p>
    <w:p w:rsidR="00A71C54" w:rsidRPr="00033144" w:rsidRDefault="00A71C54" w:rsidP="00A71C54">
      <w:pPr>
        <w:pStyle w:val="AERtablesource"/>
      </w:pPr>
      <w:r w:rsidRPr="00033144">
        <w:t>Source:</w:t>
      </w:r>
      <w:r w:rsidRPr="00033144">
        <w:tab/>
        <w:t>AER analysis, RBA interest rates statistics, Bloomberg data.</w:t>
      </w:r>
    </w:p>
    <w:p w:rsidR="00A71C54" w:rsidRPr="00033144" w:rsidRDefault="00A71C54" w:rsidP="00A71C54">
      <w:pPr>
        <w:numPr>
          <w:ilvl w:val="0"/>
          <w:numId w:val="25"/>
        </w:numPr>
      </w:pPr>
      <w:r w:rsidRPr="00033144">
        <w:t xml:space="preserve">We do not consider that the current </w:t>
      </w:r>
      <w:r>
        <w:t>163</w:t>
      </w:r>
      <w:r w:rsidRPr="00033144">
        <w:t xml:space="preserve"> basis points difference between the equity risk premium allowed in this decision and debt risk premiums</w:t>
      </w:r>
      <w:r w:rsidRPr="00033144">
        <w:rPr>
          <w:rStyle w:val="FootnoteReference"/>
        </w:rPr>
        <w:footnoteReference w:id="879"/>
      </w:r>
      <w:r w:rsidRPr="00033144">
        <w:t xml:space="preserve"> to be too low, on the basis of:</w:t>
      </w:r>
    </w:p>
    <w:p w:rsidR="00A71C54" w:rsidRPr="00A71C54" w:rsidRDefault="00A71C54" w:rsidP="00A71C54">
      <w:pPr>
        <w:pStyle w:val="AERbulletlistfirststyle"/>
      </w:pPr>
      <w:r w:rsidRPr="00033144">
        <w:t>the low risk nature of a benchmark efficient entity as outlined above</w:t>
      </w:r>
    </w:p>
    <w:p w:rsidR="00A71C54" w:rsidRPr="00A71C54" w:rsidRDefault="00A71C54" w:rsidP="00A71C54">
      <w:pPr>
        <w:pStyle w:val="AERbulletlistfirststyle"/>
      </w:pPr>
      <w:proofErr w:type="gramStart"/>
      <w:r w:rsidRPr="00033144">
        <w:t>the</w:t>
      </w:r>
      <w:proofErr w:type="gramEnd"/>
      <w:r w:rsidRPr="00033144">
        <w:t xml:space="preserve"> gap between the equity risk premium and debt risk premium is likely to be wider than stated above, since it compares a promised, pre-tax return on debt to an expected, post-tax return on equity.</w:t>
      </w:r>
      <w:r w:rsidRPr="00A71C54">
        <w:rPr>
          <w:rStyle w:val="FootnoteReference"/>
        </w:rPr>
        <w:footnoteReference w:id="880"/>
      </w:r>
    </w:p>
    <w:p w:rsidR="00A71C54" w:rsidRPr="00033144" w:rsidRDefault="00A71C54" w:rsidP="00A71C54">
      <w:pPr>
        <w:rPr>
          <w:rStyle w:val="AERbody"/>
        </w:rPr>
      </w:pPr>
      <w:r w:rsidRPr="00033144">
        <w:rPr>
          <w:rStyle w:val="AERbody"/>
        </w:rPr>
        <w:t>In relation to our review of debt risk premiums relative to equity premiums in our April 2015 decisions, ActewAGL submitted:</w:t>
      </w:r>
      <w:r w:rsidRPr="00033144">
        <w:rPr>
          <w:rStyle w:val="FootnoteReference"/>
        </w:rPr>
        <w:footnoteReference w:id="881"/>
      </w:r>
    </w:p>
    <w:p w:rsidR="00A71C54" w:rsidRPr="00033144" w:rsidRDefault="00A71C54" w:rsidP="00A71C54">
      <w:pPr>
        <w:pStyle w:val="AERquote"/>
      </w:pPr>
      <w:r w:rsidRPr="00033144">
        <w:t xml:space="preserve">In relation to more stable market conditions, ActewAGL Distribution does not consider that the AER provides any supporting evidence that 260 basis points is a sufficient margin. Noting that the debt risk premium for a long time has been between 2 and 4 per cent indicates that the ERP of 4.55 per cent is low when compared with the last 8 years. ActewAGL Distribution also considers that the ‘flight to safety’ in relation to the decreasing CGS values </w:t>
      </w:r>
      <w:proofErr w:type="gramStart"/>
      <w:r w:rsidRPr="00033144">
        <w:t>are</w:t>
      </w:r>
      <w:proofErr w:type="gramEnd"/>
      <w:r w:rsidRPr="00033144">
        <w:t xml:space="preserve"> very likely to have influenced the return on debt</w:t>
      </w:r>
    </w:p>
    <w:p w:rsidR="00A71C54" w:rsidRPr="00033144" w:rsidRDefault="00A71C54" w:rsidP="00A71C54">
      <w:r w:rsidRPr="00033144">
        <w:t>We agree that it is difficult to derive definitive conclusions about equity premiums from data on debt premiums, which is one of the reasons why we give this material a directional role.</w:t>
      </w:r>
      <w:r w:rsidRPr="00033144">
        <w:rPr>
          <w:rStyle w:val="FootnoteReference"/>
        </w:rPr>
        <w:footnoteReference w:id="882"/>
      </w:r>
      <w:r w:rsidRPr="00033144">
        <w:t xml:space="preserve"> It is therefore unclear how ActewAGL reconciles this difficulty in extracting precision from this material with its statement that an equity risk premium of 4.55 per cent is too low. We consider that it is far from clear that a 'flight to safety' has impacted recent risk premiums. As noted by Partington, an alternative and equally plausible view is that low yields on Australian government securities may have driven investors to 'search for yield' with the result of decreasing risk premiums.</w:t>
      </w:r>
      <w:r w:rsidRPr="00033144">
        <w:rPr>
          <w:rStyle w:val="FootnoteReference"/>
        </w:rPr>
        <w:footnoteReference w:id="883"/>
      </w:r>
    </w:p>
    <w:p w:rsidR="00A71C54" w:rsidRPr="00033144" w:rsidRDefault="00A71C54" w:rsidP="00A71C54">
      <w:r w:rsidRPr="00033144">
        <w:t>We note that the overall directional evidence shows that debt risk premiums have increased since around mid-2015, but remain below the levels in December 2013 (when our Rate of Return Guideline was published), as shown in</w:t>
      </w:r>
      <w:r w:rsidR="003F1AAB">
        <w:t xml:space="preserve"> </w:t>
      </w:r>
      <w:r w:rsidR="003F1AAB">
        <w:fldChar w:fldCharType="begin"/>
      </w:r>
      <w:r w:rsidR="003F1AAB">
        <w:instrText xml:space="preserve"> REF _Ref456700933 \h </w:instrText>
      </w:r>
      <w:r w:rsidR="003F1AAB">
        <w:fldChar w:fldCharType="separate"/>
      </w:r>
      <w:r w:rsidR="003F1AAB">
        <w:t xml:space="preserve">Figure </w:t>
      </w:r>
      <w:r w:rsidR="003F1AAB">
        <w:rPr>
          <w:noProof/>
        </w:rPr>
        <w:t>3</w:t>
      </w:r>
      <w:r w:rsidR="003F1AAB">
        <w:noBreakHyphen/>
      </w:r>
      <w:r w:rsidR="003F1AAB">
        <w:rPr>
          <w:noProof/>
        </w:rPr>
        <w:t>11</w:t>
      </w:r>
      <w:r w:rsidR="003F1AAB">
        <w:fldChar w:fldCharType="end"/>
      </w:r>
      <w:r w:rsidR="003F1AAB">
        <w:t xml:space="preserve">. </w:t>
      </w:r>
    </w:p>
    <w:p w:rsidR="00A71C54" w:rsidRPr="00033144" w:rsidRDefault="00A71C54" w:rsidP="00A71C54">
      <w:r w:rsidRPr="00033144">
        <w:t xml:space="preserve">We have also examined estimates from broker reports of the spread between debt and equity risk premiums for comparable businesses (see </w:t>
      </w:r>
      <w:r w:rsidRPr="00033144">
        <w:fldChar w:fldCharType="begin"/>
      </w:r>
      <w:r w:rsidRPr="00033144">
        <w:instrText xml:space="preserve"> REF _Ref444730279 \h </w:instrText>
      </w:r>
      <w:r w:rsidRPr="00033144">
        <w:fldChar w:fldCharType="separate"/>
      </w:r>
      <w:r w:rsidR="003F1AAB" w:rsidRPr="00033144">
        <w:t xml:space="preserve">Figure </w:t>
      </w:r>
      <w:r w:rsidR="003F1AAB">
        <w:rPr>
          <w:noProof/>
        </w:rPr>
        <w:t>3</w:t>
      </w:r>
      <w:r w:rsidR="003F1AAB">
        <w:noBreakHyphen/>
      </w:r>
      <w:r w:rsidR="003F1AAB">
        <w:rPr>
          <w:noProof/>
        </w:rPr>
        <w:t>12</w:t>
      </w:r>
      <w:r w:rsidRPr="00033144">
        <w:fldChar w:fldCharType="end"/>
      </w:r>
      <w:r w:rsidRPr="00033144">
        <w:t>). However, we note that the variance</w:t>
      </w:r>
      <w:r w:rsidRPr="00033144" w:rsidDel="002521C4">
        <w:t xml:space="preserve"> </w:t>
      </w:r>
      <w:r w:rsidRPr="00033144">
        <w:t>in the most recent broker estimates has increased. We consider that this data does not provide a clear indication of brokers' views on recent movements in risk premiums.</w:t>
      </w:r>
    </w:p>
    <w:p w:rsidR="00A71C54" w:rsidRDefault="00A71C54" w:rsidP="00A71C54">
      <w:pPr>
        <w:pStyle w:val="Caption"/>
      </w:pPr>
      <w:bookmarkStart w:id="252" w:name="_Ref444730279"/>
      <w:r w:rsidRPr="00033144">
        <w:t xml:space="preserve">Figure </w:t>
      </w:r>
      <w:fldSimple w:instr=" STYLEREF 1 \s ">
        <w:r w:rsidR="003F1AAB">
          <w:rPr>
            <w:noProof/>
          </w:rPr>
          <w:t>3</w:t>
        </w:r>
      </w:fldSimple>
      <w:r w:rsidR="00E4520A">
        <w:noBreakHyphen/>
      </w:r>
      <w:fldSimple w:instr=" SEQ Figure \* ARABIC \s 1 ">
        <w:r w:rsidR="003F1AAB">
          <w:rPr>
            <w:noProof/>
          </w:rPr>
          <w:t>12</w:t>
        </w:r>
      </w:fldSimple>
      <w:bookmarkEnd w:id="252"/>
      <w:r w:rsidRPr="00033144">
        <w:tab/>
        <w:t>Difference between equity and debt premiums in broker reports</w:t>
      </w:r>
    </w:p>
    <w:p w:rsidR="00A71C54" w:rsidRPr="00033144" w:rsidRDefault="00A71C54" w:rsidP="00A71C54">
      <w:r w:rsidRPr="00A71C54">
        <w:rPr>
          <w:noProof/>
          <w:lang w:eastAsia="en-AU"/>
        </w:rPr>
        <w:drawing>
          <wp:inline distT="0" distB="0" distL="0" distR="0" wp14:anchorId="6182AB3A" wp14:editId="6CEFC601">
            <wp:extent cx="5369560" cy="428498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9560" cy="4284980"/>
                    </a:xfrm>
                    <a:prstGeom prst="rect">
                      <a:avLst/>
                    </a:prstGeom>
                    <a:noFill/>
                    <a:ln>
                      <a:noFill/>
                    </a:ln>
                  </pic:spPr>
                </pic:pic>
              </a:graphicData>
            </a:graphic>
          </wp:inline>
        </w:drawing>
      </w:r>
    </w:p>
    <w:p w:rsidR="00A71C54" w:rsidRPr="00033144" w:rsidRDefault="00A71C54" w:rsidP="00A71C54">
      <w:pPr>
        <w:pStyle w:val="AERtablesource"/>
      </w:pPr>
      <w:r w:rsidRPr="00033144">
        <w:t>Source:</w:t>
      </w:r>
      <w:r w:rsidRPr="00033144">
        <w:tab/>
        <w:t>AER analysis of various relevant broker reports, RBA and Bloomberg data.</w:t>
      </w:r>
    </w:p>
    <w:p w:rsidR="00A71C54" w:rsidRPr="00033144" w:rsidRDefault="00A71C54" w:rsidP="00A71C54">
      <w:pPr>
        <w:pStyle w:val="AERtablesource"/>
      </w:pPr>
      <w:r w:rsidRPr="00033144">
        <w:t xml:space="preserve">Notes: </w:t>
      </w:r>
      <w:r w:rsidRPr="00033144">
        <w:tab/>
        <w:t xml:space="preserve">The broker estimate of the difference between equity and debt risk premium is calculated by deducting brokers' debt risk premium from their equity risk premium. </w:t>
      </w:r>
    </w:p>
    <w:p w:rsidR="00A71C54" w:rsidRPr="00033144" w:rsidRDefault="00A71C54" w:rsidP="00A71C54">
      <w:pPr>
        <w:pStyle w:val="AERtablesource"/>
      </w:pPr>
      <w:r w:rsidRPr="00033144">
        <w:tab/>
        <w:t xml:space="preserve">The indicative estimate is calculated by deducting an estimate of the indicative debt risk premium from the equity risk premium for this decision. The indicative debt risk premium is estimated as the yield on BBB-rated corporate bonds (a simple average of the RBA corporate bond data and Bloomberg BVAL curve) less the yield on 10-year CGS. </w:t>
      </w:r>
    </w:p>
    <w:p w:rsidR="00A71C54" w:rsidRPr="00F409A8" w:rsidRDefault="00A71C54" w:rsidP="00A71C54">
      <w:pPr>
        <w:pStyle w:val="Caption"/>
      </w:pPr>
    </w:p>
    <w:p w:rsidR="00312F8A" w:rsidRDefault="00312F8A" w:rsidP="00312F8A"/>
    <w:p w:rsidR="00312F8A" w:rsidRDefault="00312F8A" w:rsidP="00312F8A"/>
    <w:p w:rsidR="00312F8A" w:rsidRDefault="00312F8A" w:rsidP="00312F8A">
      <w:pPr>
        <w:pStyle w:val="Heading7"/>
      </w:pPr>
      <w:bookmarkStart w:id="253" w:name="_Toc452629088"/>
      <w:bookmarkStart w:id="254" w:name="_Toc456686738"/>
      <w:r>
        <w:t>Other practitioner's return on equity estimates</w:t>
      </w:r>
      <w:bookmarkEnd w:id="253"/>
      <w:bookmarkEnd w:id="254"/>
    </w:p>
    <w:p w:rsidR="006C49DC" w:rsidRPr="008F4F73" w:rsidRDefault="006C49DC" w:rsidP="006C49DC">
      <w:pPr>
        <w:numPr>
          <w:ilvl w:val="0"/>
          <w:numId w:val="25"/>
        </w:numPr>
      </w:pPr>
      <w:r w:rsidRPr="008F4F73">
        <w:t xml:space="preserve">Other market practitioners may, in the course of their operations, produce return on equity estimates for entities with a similar degree of risk as </w:t>
      </w:r>
      <w:r w:rsidR="005B1E4E">
        <w:t>AusNet Services</w:t>
      </w:r>
      <w:r w:rsidRPr="008F4F73">
        <w:t xml:space="preserve">. Other practitioners may also produce estimates of input parameters required in the Sharpe-Lintner CAPM (our foundation model). These estimates may be relevant material that can inform our return on equity estimation. </w:t>
      </w:r>
    </w:p>
    <w:p w:rsidR="006C49DC" w:rsidRPr="008F4F73" w:rsidRDefault="006C49DC" w:rsidP="006C49DC">
      <w:pPr>
        <w:numPr>
          <w:ilvl w:val="0"/>
          <w:numId w:val="25"/>
        </w:numPr>
      </w:pPr>
      <w:r w:rsidRPr="008F4F73">
        <w:t>Relevant estimates of other market practitioners are typically sourced from surveys, broker reports, valuation reports, and other regulators' decisions. Such estimates are discussed further in the subsections below.</w:t>
      </w:r>
    </w:p>
    <w:p w:rsidR="006C49DC" w:rsidRPr="008F4F73" w:rsidRDefault="006C49DC" w:rsidP="006C49DC">
      <w:r w:rsidRPr="008F4F73">
        <w:t xml:space="preserve">We have focused on return on equity estimates for companies with a similar degree of non-diversifiable risks as </w:t>
      </w:r>
      <w:r w:rsidR="005B1E4E">
        <w:t>AusNet Services</w:t>
      </w:r>
      <w:r w:rsidRPr="008F4F73">
        <w:t xml:space="preserve"> in providing regulated (</w:t>
      </w:r>
      <w:r w:rsidR="005B1E4E">
        <w:t>prescribed transmission</w:t>
      </w:r>
      <w:r w:rsidRPr="008F4F73">
        <w:t xml:space="preserve">) services. This means that greater reliance is placed on electricity and gas network service providers over other types of businesses. Greater reliance is also placed on businesses with revenues that are substantially regulated over businesses with less regulated revenue. We take this approach as it better reflects the degree of risk of </w:t>
      </w:r>
      <w:r w:rsidR="005B1E4E">
        <w:t>AusNet Services</w:t>
      </w:r>
      <w:r w:rsidRPr="00D33284" w:rsidDel="003203B3">
        <w:t xml:space="preserve"> </w:t>
      </w:r>
      <w:r w:rsidRPr="008F4F73">
        <w:t>in relation to the provision of regulated services.</w:t>
      </w:r>
    </w:p>
    <w:p w:rsidR="006C49DC" w:rsidRDefault="006C49DC" w:rsidP="006C49DC">
      <w:pPr>
        <w:rPr>
          <w:rStyle w:val="AERtextblue"/>
        </w:rPr>
      </w:pPr>
      <w:r w:rsidRPr="008F4F73">
        <w:t>We have also focused on the equity risk premium rather than the overall return on equity to isolate the business-specific risk premium from movements in the risk free rate</w:t>
      </w:r>
      <w:r w:rsidRPr="008F4F73">
        <w:rPr>
          <w:rStyle w:val="AERtextblue"/>
        </w:rPr>
        <w:t>.</w:t>
      </w:r>
      <w:r w:rsidRPr="008F4F73">
        <w:rPr>
          <w:rStyle w:val="FootnoteReference"/>
        </w:rPr>
        <w:footnoteReference w:id="884"/>
      </w:r>
    </w:p>
    <w:p w:rsidR="006C49DC" w:rsidRDefault="006C49DC" w:rsidP="006C49DC">
      <w:r>
        <w:t>Service providers</w:t>
      </w:r>
      <w:r w:rsidRPr="008F4F73">
        <w:t xml:space="preserve"> stated that past decisions of other regulators should not be used as direct evidence of the required return on equity, as they are, 'at best, secondary evidence of the prevailing return on equity at previous points in time' and 'use of such decisions will be circular and self-perpetuating'.</w:t>
      </w:r>
      <w:r w:rsidRPr="008F4F73">
        <w:rPr>
          <w:rStyle w:val="FootnoteReference"/>
        </w:rPr>
        <w:footnoteReference w:id="885"/>
      </w:r>
      <w:r w:rsidRPr="008F4F73">
        <w:t xml:space="preserve"> We note that some estimates from other market practitioners—including from survey respondents, brokers and valuers—may be affected to some extent by 'herding' behaviour.</w:t>
      </w:r>
      <w:r w:rsidRPr="008F4F73">
        <w:rPr>
          <w:rStyle w:val="FootnoteReference"/>
        </w:rPr>
        <w:footnoteReference w:id="886"/>
      </w:r>
      <w:r w:rsidRPr="008F4F73">
        <w:t xml:space="preserve"> We continue to consider that it is relevant for us to have some regard to these estimates, as long as we remain aware of their limitations.</w:t>
      </w:r>
    </w:p>
    <w:p w:rsidR="006C49DC" w:rsidRPr="006C49DC" w:rsidRDefault="006C49DC" w:rsidP="003957BF">
      <w:pPr>
        <w:pStyle w:val="Heading8"/>
        <w:numPr>
          <w:ilvl w:val="1"/>
          <w:numId w:val="62"/>
        </w:numPr>
      </w:pPr>
      <w:bookmarkStart w:id="255" w:name="_Toc443923230"/>
      <w:bookmarkStart w:id="256" w:name="_Ref446272549"/>
      <w:bookmarkStart w:id="257" w:name="_Toc451943806"/>
      <w:bookmarkStart w:id="258" w:name="_Toc456686739"/>
      <w:r>
        <w:t>Prevailing estimates: surveys</w:t>
      </w:r>
      <w:bookmarkEnd w:id="255"/>
      <w:bookmarkEnd w:id="256"/>
      <w:bookmarkEnd w:id="257"/>
      <w:bookmarkEnd w:id="258"/>
    </w:p>
    <w:p w:rsidR="006C49DC" w:rsidRPr="00954DE4" w:rsidRDefault="006C49DC" w:rsidP="006C49DC">
      <w:r w:rsidRPr="00C90454">
        <w:t xml:space="preserve">Survey estimates explore investor expectations about the </w:t>
      </w:r>
      <w:r>
        <w:t>market risk premium</w:t>
      </w:r>
      <w:r w:rsidRPr="00954DE4">
        <w:t>. They achieve this by directly asking investors and market practitioners what their expectations are</w:t>
      </w:r>
      <w:r>
        <w:t xml:space="preserve"> and/or what they apply in practice</w:t>
      </w:r>
      <w:r w:rsidRPr="00954DE4">
        <w:t xml:space="preserve">. We </w:t>
      </w:r>
      <w:r>
        <w:t>place</w:t>
      </w:r>
      <w:r w:rsidRPr="00954DE4">
        <w:t xml:space="preserve"> some reliance on survey estimates in estimating the </w:t>
      </w:r>
      <w:r>
        <w:t>market risk premium</w:t>
      </w:r>
      <w:r w:rsidRPr="00954DE4">
        <w:t xml:space="preserve">. </w:t>
      </w:r>
    </w:p>
    <w:p w:rsidR="006C49DC" w:rsidRPr="00954DE4" w:rsidRDefault="006C49DC" w:rsidP="006C49DC">
      <w:r>
        <w:fldChar w:fldCharType="begin"/>
      </w:r>
      <w:r>
        <w:instrText xml:space="preserve"> REF _Ref432620068 \h </w:instrText>
      </w:r>
      <w:r>
        <w:fldChar w:fldCharType="separate"/>
      </w:r>
      <w:r w:rsidR="003F1AAB">
        <w:t xml:space="preserve">Table </w:t>
      </w:r>
      <w:r w:rsidR="003F1AAB">
        <w:rPr>
          <w:noProof/>
        </w:rPr>
        <w:t>3</w:t>
      </w:r>
      <w:r w:rsidR="003F1AAB">
        <w:noBreakHyphen/>
      </w:r>
      <w:r w:rsidR="003F1AAB">
        <w:rPr>
          <w:noProof/>
        </w:rPr>
        <w:t>28</w:t>
      </w:r>
      <w:r>
        <w:fldChar w:fldCharType="end"/>
      </w:r>
      <w:r>
        <w:t xml:space="preserve"> shows that market risk premium estimates,</w:t>
      </w:r>
      <w:r w:rsidRPr="00954DE4">
        <w:t xml:space="preserve"> from surveys published since </w:t>
      </w:r>
      <w:proofErr w:type="gramStart"/>
      <w:r w:rsidRPr="00954DE4">
        <w:t>2013</w:t>
      </w:r>
      <w:r>
        <w:t>,</w:t>
      </w:r>
      <w:proofErr w:type="gramEnd"/>
      <w:r w:rsidRPr="00954DE4">
        <w:t xml:space="preserve"> cluster around 6.0 per cent.</w:t>
      </w:r>
      <w:r>
        <w:t xml:space="preserve"> The 2015 survey estimates are generally equal to or lower than their 2013 and 2014 counterparts. This provides some evidence to suggest that investor expectations of the market risk premium have not increased, and may have eased.</w:t>
      </w:r>
    </w:p>
    <w:p w:rsidR="006C49DC" w:rsidRPr="006F371E" w:rsidRDefault="006C49DC" w:rsidP="006C49DC">
      <w:pPr>
        <w:pStyle w:val="Caption"/>
      </w:pPr>
      <w:bookmarkStart w:id="259" w:name="_Ref432620068"/>
      <w:r>
        <w:t xml:space="preserve">Table </w:t>
      </w:r>
      <w:r w:rsidRPr="009C3D39">
        <w:fldChar w:fldCharType="begin"/>
      </w:r>
      <w:r>
        <w:instrText xml:space="preserve"> STYLEREF 1 \s </w:instrText>
      </w:r>
      <w:r w:rsidRPr="009C3D39">
        <w:fldChar w:fldCharType="separate"/>
      </w:r>
      <w:r w:rsidR="003F1AAB">
        <w:rPr>
          <w:noProof/>
        </w:rPr>
        <w:t>3</w:t>
      </w:r>
      <w:r w:rsidRPr="009C3D39">
        <w:fldChar w:fldCharType="end"/>
      </w:r>
      <w:r>
        <w:noBreakHyphen/>
      </w:r>
      <w:r w:rsidRPr="009C3D39">
        <w:fldChar w:fldCharType="begin"/>
      </w:r>
      <w:r>
        <w:instrText xml:space="preserve"> SEQ Table \* ARABIC \s 1 </w:instrText>
      </w:r>
      <w:r w:rsidRPr="009C3D39">
        <w:fldChar w:fldCharType="separate"/>
      </w:r>
      <w:r w:rsidR="003F1AAB">
        <w:rPr>
          <w:noProof/>
        </w:rPr>
        <w:t>28</w:t>
      </w:r>
      <w:r w:rsidRPr="009C3D39">
        <w:fldChar w:fldCharType="end"/>
      </w:r>
      <w:bookmarkEnd w:id="259"/>
      <w:r>
        <w:tab/>
      </w:r>
      <w:r w:rsidRPr="005F2D3F">
        <w:t xml:space="preserve">Key findings </w:t>
      </w:r>
      <w:r>
        <w:t>on market risk premium</w:t>
      </w:r>
      <w:r w:rsidRPr="005F2D3F">
        <w:t xml:space="preserve"> from recent surveys</w:t>
      </w:r>
    </w:p>
    <w:tbl>
      <w:tblPr>
        <w:tblStyle w:val="AERtable-numbers"/>
        <w:tblW w:w="0" w:type="auto"/>
        <w:tblLook w:val="04A0" w:firstRow="1" w:lastRow="0" w:firstColumn="1" w:lastColumn="0" w:noHBand="0" w:noVBand="1"/>
      </w:tblPr>
      <w:tblGrid>
        <w:gridCol w:w="2603"/>
        <w:gridCol w:w="1890"/>
        <w:gridCol w:w="1457"/>
        <w:gridCol w:w="1355"/>
        <w:gridCol w:w="1388"/>
      </w:tblGrid>
      <w:tr w:rsidR="006C49DC" w:rsidRPr="00EF7FC8" w:rsidTr="006C49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6C49DC" w:rsidRPr="006C49DC" w:rsidRDefault="006C49DC" w:rsidP="006C49DC">
            <w:r>
              <w:t>Survey</w:t>
            </w:r>
          </w:p>
        </w:tc>
        <w:tc>
          <w:tcPr>
            <w:tcW w:w="1890" w:type="dxa"/>
          </w:tcPr>
          <w:p w:rsidR="006C49DC" w:rsidRPr="006C49DC" w:rsidRDefault="006C49DC" w:rsidP="006C49DC">
            <w:pPr>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1457" w:type="dxa"/>
          </w:tcPr>
          <w:p w:rsidR="006C49DC" w:rsidRPr="006C49DC" w:rsidRDefault="006C49DC" w:rsidP="006C49DC">
            <w:pPr>
              <w:cnfStyle w:val="100000000000" w:firstRow="1" w:lastRow="0" w:firstColumn="0" w:lastColumn="0" w:oddVBand="0" w:evenVBand="0" w:oddHBand="0" w:evenHBand="0" w:firstRowFirstColumn="0" w:firstRowLastColumn="0" w:lastRowFirstColumn="0" w:lastRowLastColumn="0"/>
            </w:pPr>
            <w:r w:rsidRPr="00EF7FC8">
              <w:t>Mean</w:t>
            </w:r>
            <w:r w:rsidRPr="006C49DC">
              <w:t xml:space="preserve"> (%)</w:t>
            </w:r>
          </w:p>
        </w:tc>
        <w:tc>
          <w:tcPr>
            <w:tcW w:w="1355" w:type="dxa"/>
          </w:tcPr>
          <w:p w:rsidR="006C49DC" w:rsidRPr="006C49DC" w:rsidRDefault="006C49DC" w:rsidP="006C49DC">
            <w:pPr>
              <w:cnfStyle w:val="100000000000" w:firstRow="1" w:lastRow="0" w:firstColumn="0" w:lastColumn="0" w:oddVBand="0" w:evenVBand="0" w:oddHBand="0" w:evenHBand="0" w:firstRowFirstColumn="0" w:firstRowLastColumn="0" w:lastRowFirstColumn="0" w:lastRowLastColumn="0"/>
            </w:pPr>
            <w:r w:rsidRPr="00EF7FC8">
              <w:t>Median</w:t>
            </w:r>
            <w:r w:rsidRPr="006C49DC">
              <w:t xml:space="preserve"> (%)</w:t>
            </w:r>
          </w:p>
        </w:tc>
        <w:tc>
          <w:tcPr>
            <w:tcW w:w="1388" w:type="dxa"/>
          </w:tcPr>
          <w:p w:rsidR="006C49DC" w:rsidRPr="006C49DC" w:rsidRDefault="006C49DC" w:rsidP="006C49DC">
            <w:pPr>
              <w:cnfStyle w:val="100000000000" w:firstRow="1" w:lastRow="0" w:firstColumn="0" w:lastColumn="0" w:oddVBand="0" w:evenVBand="0" w:oddHBand="0" w:evenHBand="0" w:firstRowFirstColumn="0" w:firstRowLastColumn="0" w:lastRowFirstColumn="0" w:lastRowLastColumn="0"/>
            </w:pPr>
            <w:r w:rsidRPr="00EF7FC8">
              <w:t>Mode</w:t>
            </w:r>
            <w:r w:rsidRPr="006C49DC">
              <w:t xml:space="preserve"> (%)</w:t>
            </w:r>
          </w:p>
        </w:tc>
      </w:tr>
      <w:tr w:rsidR="006C49DC" w:rsidRPr="00EF7FC8" w:rsidTr="006C49DC">
        <w:tc>
          <w:tcPr>
            <w:cnfStyle w:val="001000000000" w:firstRow="0" w:lastRow="0" w:firstColumn="1" w:lastColumn="0" w:oddVBand="0" w:evenVBand="0" w:oddHBand="0" w:evenHBand="0" w:firstRowFirstColumn="0" w:firstRowLastColumn="0" w:lastRowFirstColumn="0" w:lastRowLastColumn="0"/>
            <w:tcW w:w="2603" w:type="dxa"/>
          </w:tcPr>
          <w:p w:rsidR="006C49DC" w:rsidRPr="006C49DC" w:rsidRDefault="006C49DC" w:rsidP="006C49DC">
            <w:r w:rsidRPr="00EF7FC8">
              <w:t>Fernandez</w:t>
            </w:r>
            <w:r w:rsidRPr="006C49DC">
              <w:t xml:space="preserve"> et al (2013)</w:t>
            </w:r>
          </w:p>
        </w:tc>
        <w:tc>
          <w:tcPr>
            <w:tcW w:w="1890"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EF7FC8">
              <w:t>73</w:t>
            </w:r>
          </w:p>
        </w:tc>
        <w:tc>
          <w:tcPr>
            <w:tcW w:w="1457"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EF7FC8">
              <w:t>5.9</w:t>
            </w:r>
          </w:p>
        </w:tc>
        <w:tc>
          <w:tcPr>
            <w:tcW w:w="1355"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EF7FC8">
              <w:t>6.0</w:t>
            </w:r>
          </w:p>
        </w:tc>
        <w:tc>
          <w:tcPr>
            <w:tcW w:w="1388"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EF7FC8">
              <w:t>N/A</w:t>
            </w:r>
          </w:p>
        </w:tc>
      </w:tr>
      <w:tr w:rsidR="006C49DC" w:rsidRPr="00EF7FC8" w:rsidTr="006C49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6C49DC" w:rsidRPr="006C49DC" w:rsidRDefault="006C49DC" w:rsidP="006C49DC">
            <w:r w:rsidRPr="00EF7FC8">
              <w:t>KPMG (2013)</w:t>
            </w:r>
            <w:r w:rsidRPr="006C49DC">
              <w:rPr>
                <w:rStyle w:val="AERsuperscript"/>
              </w:rPr>
              <w:t>a</w:t>
            </w:r>
          </w:p>
        </w:tc>
        <w:tc>
          <w:tcPr>
            <w:tcW w:w="1890"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19</w:t>
            </w:r>
          </w:p>
        </w:tc>
        <w:tc>
          <w:tcPr>
            <w:tcW w:w="1457"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rsidRPr="00EF7FC8">
              <w:t>N/A</w:t>
            </w:r>
          </w:p>
        </w:tc>
        <w:tc>
          <w:tcPr>
            <w:tcW w:w="1355"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rsidRPr="00EF7FC8">
              <w:t>6.0</w:t>
            </w:r>
          </w:p>
        </w:tc>
        <w:tc>
          <w:tcPr>
            <w:tcW w:w="1388"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6.0</w:t>
            </w:r>
          </w:p>
        </w:tc>
      </w:tr>
      <w:tr w:rsidR="006C49DC" w:rsidRPr="00EF7FC8" w:rsidTr="006C49DC">
        <w:tc>
          <w:tcPr>
            <w:cnfStyle w:val="001000000000" w:firstRow="0" w:lastRow="0" w:firstColumn="1" w:lastColumn="0" w:oddVBand="0" w:evenVBand="0" w:oddHBand="0" w:evenHBand="0" w:firstRowFirstColumn="0" w:firstRowLastColumn="0" w:lastRowFirstColumn="0" w:lastRowLastColumn="0"/>
            <w:tcW w:w="2603" w:type="dxa"/>
          </w:tcPr>
          <w:p w:rsidR="006C49DC" w:rsidRPr="006C49DC" w:rsidRDefault="006C49DC" w:rsidP="006C49DC">
            <w:r w:rsidRPr="00EF7FC8">
              <w:t>Fernandez et al (2013)</w:t>
            </w:r>
          </w:p>
        </w:tc>
        <w:tc>
          <w:tcPr>
            <w:tcW w:w="1890"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EF7FC8">
              <w:t>17</w:t>
            </w:r>
          </w:p>
        </w:tc>
        <w:tc>
          <w:tcPr>
            <w:tcW w:w="1457"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EF7FC8">
              <w:t>6.8</w:t>
            </w:r>
          </w:p>
        </w:tc>
        <w:tc>
          <w:tcPr>
            <w:tcW w:w="1355"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EF7FC8">
              <w:t>5.8</w:t>
            </w:r>
          </w:p>
        </w:tc>
        <w:tc>
          <w:tcPr>
            <w:tcW w:w="1388"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EF7FC8">
              <w:t>N/A</w:t>
            </w:r>
          </w:p>
        </w:tc>
      </w:tr>
      <w:tr w:rsidR="006C49DC" w:rsidRPr="00EF7FC8" w:rsidTr="006C49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6C49DC" w:rsidRPr="006C49DC" w:rsidRDefault="006C49DC" w:rsidP="006C49DC">
            <w:r>
              <w:t>Asher and Hickling (2013)</w:t>
            </w:r>
          </w:p>
        </w:tc>
        <w:tc>
          <w:tcPr>
            <w:tcW w:w="1890"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46</w:t>
            </w:r>
          </w:p>
        </w:tc>
        <w:tc>
          <w:tcPr>
            <w:tcW w:w="1457"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4.8</w:t>
            </w:r>
          </w:p>
        </w:tc>
        <w:tc>
          <w:tcPr>
            <w:tcW w:w="1355"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5.0</w:t>
            </w:r>
          </w:p>
        </w:tc>
        <w:tc>
          <w:tcPr>
            <w:tcW w:w="1388"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6.0</w:t>
            </w:r>
          </w:p>
        </w:tc>
      </w:tr>
      <w:tr w:rsidR="006C49DC" w:rsidRPr="00EF7FC8" w:rsidTr="006C49DC">
        <w:tc>
          <w:tcPr>
            <w:cnfStyle w:val="001000000000" w:firstRow="0" w:lastRow="0" w:firstColumn="1" w:lastColumn="0" w:oddVBand="0" w:evenVBand="0" w:oddHBand="0" w:evenHBand="0" w:firstRowFirstColumn="0" w:firstRowLastColumn="0" w:lastRowFirstColumn="0" w:lastRowLastColumn="0"/>
            <w:tcW w:w="2603" w:type="dxa"/>
          </w:tcPr>
          <w:p w:rsidR="006C49DC" w:rsidRPr="006C49DC" w:rsidRDefault="006C49DC" w:rsidP="006C49DC">
            <w:r>
              <w:t xml:space="preserve">Fernandez </w:t>
            </w:r>
            <w:r w:rsidRPr="006C49DC">
              <w:t>et al (2014)</w:t>
            </w:r>
            <w:r w:rsidRPr="006C49DC">
              <w:rPr>
                <w:rStyle w:val="AERsuperscript"/>
              </w:rPr>
              <w:t xml:space="preserve"> b</w:t>
            </w:r>
          </w:p>
        </w:tc>
        <w:tc>
          <w:tcPr>
            <w:tcW w:w="1890"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t>93</w:t>
            </w:r>
          </w:p>
        </w:tc>
        <w:tc>
          <w:tcPr>
            <w:tcW w:w="1457"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t>5.9</w:t>
            </w:r>
          </w:p>
        </w:tc>
        <w:tc>
          <w:tcPr>
            <w:tcW w:w="1355"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t>6.0</w:t>
            </w:r>
          </w:p>
        </w:tc>
        <w:tc>
          <w:tcPr>
            <w:tcW w:w="1388"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t>N/A</w:t>
            </w:r>
          </w:p>
        </w:tc>
      </w:tr>
      <w:tr w:rsidR="006C49DC" w:rsidRPr="00EF7FC8" w:rsidTr="006C49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6C49DC" w:rsidRPr="006C49DC" w:rsidRDefault="006C49DC" w:rsidP="006C49DC">
            <w:r>
              <w:t>Asher</w:t>
            </w:r>
            <w:r w:rsidRPr="006C49DC">
              <w:t xml:space="preserve"> and Hickling (2015)</w:t>
            </w:r>
            <w:r w:rsidRPr="006C49DC">
              <w:rPr>
                <w:rStyle w:val="AERsuperscript"/>
              </w:rPr>
              <w:t xml:space="preserve"> c</w:t>
            </w:r>
          </w:p>
        </w:tc>
        <w:tc>
          <w:tcPr>
            <w:tcW w:w="1890"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27</w:t>
            </w:r>
          </w:p>
        </w:tc>
        <w:tc>
          <w:tcPr>
            <w:tcW w:w="1457"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4.4</w:t>
            </w:r>
          </w:p>
        </w:tc>
        <w:tc>
          <w:tcPr>
            <w:tcW w:w="1355"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4.6</w:t>
            </w:r>
          </w:p>
        </w:tc>
        <w:tc>
          <w:tcPr>
            <w:tcW w:w="1388"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6.0</w:t>
            </w:r>
          </w:p>
        </w:tc>
      </w:tr>
      <w:tr w:rsidR="006C49DC" w:rsidRPr="00EF7FC8" w:rsidTr="006C49DC">
        <w:tc>
          <w:tcPr>
            <w:cnfStyle w:val="001000000000" w:firstRow="0" w:lastRow="0" w:firstColumn="1" w:lastColumn="0" w:oddVBand="0" w:evenVBand="0" w:oddHBand="0" w:evenHBand="0" w:firstRowFirstColumn="0" w:firstRowLastColumn="0" w:lastRowFirstColumn="0" w:lastRowLastColumn="0"/>
            <w:tcW w:w="2603" w:type="dxa"/>
          </w:tcPr>
          <w:p w:rsidR="006C49DC" w:rsidRPr="006C49DC" w:rsidRDefault="006C49DC" w:rsidP="006C49DC">
            <w:r>
              <w:t>Fernandez et al (2015</w:t>
            </w:r>
            <w:r w:rsidRPr="006C49DC">
              <w:t>)</w:t>
            </w:r>
          </w:p>
        </w:tc>
        <w:tc>
          <w:tcPr>
            <w:tcW w:w="1890"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t>40</w:t>
            </w:r>
          </w:p>
        </w:tc>
        <w:tc>
          <w:tcPr>
            <w:tcW w:w="1457"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t>6.0</w:t>
            </w:r>
          </w:p>
        </w:tc>
        <w:tc>
          <w:tcPr>
            <w:tcW w:w="1355"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t>5.1</w:t>
            </w:r>
          </w:p>
        </w:tc>
        <w:tc>
          <w:tcPr>
            <w:tcW w:w="1388"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t>N/A</w:t>
            </w:r>
          </w:p>
        </w:tc>
      </w:tr>
      <w:tr w:rsidR="006C49DC" w:rsidRPr="00EF7FC8" w:rsidTr="006C49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6C49DC" w:rsidRPr="006C49DC" w:rsidRDefault="006C49DC" w:rsidP="006C49DC">
            <w:r>
              <w:t>KPMG (2015)</w:t>
            </w:r>
            <w:r w:rsidRPr="006C49DC">
              <w:rPr>
                <w:rStyle w:val="AERsuperscript"/>
              </w:rPr>
              <w:t xml:space="preserve"> d</w:t>
            </w:r>
          </w:p>
        </w:tc>
        <w:tc>
          <w:tcPr>
            <w:tcW w:w="1890"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~27</w:t>
            </w:r>
          </w:p>
        </w:tc>
        <w:tc>
          <w:tcPr>
            <w:tcW w:w="1457"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N/A</w:t>
            </w:r>
          </w:p>
        </w:tc>
        <w:tc>
          <w:tcPr>
            <w:tcW w:w="1355"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6.0</w:t>
            </w:r>
          </w:p>
        </w:tc>
        <w:tc>
          <w:tcPr>
            <w:tcW w:w="1388"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6.0</w:t>
            </w:r>
          </w:p>
        </w:tc>
      </w:tr>
    </w:tbl>
    <w:p w:rsidR="006C49DC" w:rsidRDefault="006C49DC" w:rsidP="006C49DC">
      <w:pPr>
        <w:pStyle w:val="AERtablesource"/>
      </w:pPr>
      <w:r>
        <w:t>Sources:  Several survey reports.</w:t>
      </w:r>
      <w:r>
        <w:rPr>
          <w:rStyle w:val="FootnoteReference"/>
        </w:rPr>
        <w:footnoteReference w:id="887"/>
      </w:r>
    </w:p>
    <w:p w:rsidR="006C49DC" w:rsidRDefault="006C49DC" w:rsidP="006C49DC">
      <w:pPr>
        <w:pStyle w:val="AERtablesource"/>
      </w:pPr>
      <w:r w:rsidRPr="003723C8">
        <w:t xml:space="preserve">Notes: </w:t>
      </w:r>
      <w:r w:rsidRPr="003723C8">
        <w:tab/>
      </w:r>
      <w:r>
        <w:t>a) While this survey had 23 market participants, 19 specified what market risk premium they used.</w:t>
      </w:r>
    </w:p>
    <w:p w:rsidR="006C49DC" w:rsidRDefault="006C49DC" w:rsidP="006C49DC">
      <w:pPr>
        <w:pStyle w:val="AERtablesource"/>
      </w:pPr>
      <w:r>
        <w:tab/>
        <w:t>b</w:t>
      </w:r>
      <w:r w:rsidRPr="003723C8">
        <w:t xml:space="preserve">) The 2014 survey did not report the response rate. AER staff obtained this information from Professor Fernandez via email </w:t>
      </w:r>
      <w:r>
        <w:t xml:space="preserve">correspondence on 22 July 2014. </w:t>
      </w:r>
    </w:p>
    <w:p w:rsidR="006C49DC" w:rsidRDefault="006C49DC" w:rsidP="006C49DC">
      <w:pPr>
        <w:pStyle w:val="AERtablesource"/>
      </w:pPr>
      <w:r>
        <w:tab/>
        <w:t xml:space="preserve">c) The response rate for this survey is lower than the response rate in previous Asher and Hickling surveys because the survey took place from 5 December 2014 to 14 December 2014, which was very close to Christmas. </w:t>
      </w:r>
      <w:r w:rsidRPr="003723C8">
        <w:t xml:space="preserve">AER staff obtained </w:t>
      </w:r>
      <w:r>
        <w:t>the mode</w:t>
      </w:r>
      <w:r w:rsidRPr="003723C8">
        <w:t xml:space="preserve"> from </w:t>
      </w:r>
      <w:r>
        <w:t xml:space="preserve">Associate </w:t>
      </w:r>
      <w:r w:rsidRPr="003723C8">
        <w:t xml:space="preserve">Professor </w:t>
      </w:r>
      <w:r>
        <w:t xml:space="preserve">Anthony Asher </w:t>
      </w:r>
      <w:r w:rsidRPr="003723C8">
        <w:t xml:space="preserve">via email </w:t>
      </w:r>
      <w:r>
        <w:t>correspondence on 17 September 2015.</w:t>
      </w:r>
    </w:p>
    <w:p w:rsidR="006C49DC" w:rsidRPr="00B74249" w:rsidRDefault="006C49DC" w:rsidP="006C49DC">
      <w:pPr>
        <w:pStyle w:val="AERtablesource"/>
      </w:pPr>
      <w:r>
        <w:tab/>
        <w:t>d) The KPMG (2015) survey had 29 market participants, but figure 24 indicates that not all the market participants gave a response for the market risk premium. However, visual inspection indicates that the response rate was approximately 27.</w:t>
      </w:r>
    </w:p>
    <w:p w:rsidR="006C49DC" w:rsidRDefault="006C49DC" w:rsidP="006C49DC">
      <w:pPr>
        <w:rPr>
          <w:rStyle w:val="AERbody"/>
        </w:rPr>
      </w:pPr>
      <w:r>
        <w:rPr>
          <w:rStyle w:val="AERbody"/>
        </w:rPr>
        <w:t>Several factors should be considered when examining survey evidence:</w:t>
      </w:r>
      <w:r>
        <w:rPr>
          <w:rStyle w:val="FootnoteReference"/>
        </w:rPr>
        <w:footnoteReference w:id="888"/>
      </w:r>
    </w:p>
    <w:p w:rsidR="006C49DC" w:rsidRPr="006C49DC" w:rsidRDefault="006C49DC" w:rsidP="006C49DC">
      <w:pPr>
        <w:pStyle w:val="AERbulletlistfirststyle"/>
      </w:pPr>
      <w:r>
        <w:t>Timing of the survey—we consider the timing of each survey is clear in all but two surveys we consider. The earliest survey we consider was published in January 2013 but its questionnaires were sent out in May and June 2012.</w:t>
      </w:r>
      <w:r w:rsidRPr="006C49DC">
        <w:rPr>
          <w:rStyle w:val="FootnoteReference"/>
        </w:rPr>
        <w:footnoteReference w:id="889"/>
      </w:r>
      <w:r w:rsidRPr="006C49DC">
        <w:t xml:space="preserve">  </w:t>
      </w:r>
    </w:p>
    <w:p w:rsidR="006C49DC" w:rsidRPr="006C49DC" w:rsidRDefault="006C49DC" w:rsidP="006C49DC">
      <w:pPr>
        <w:pStyle w:val="AERbulletlistfirststyle"/>
      </w:pPr>
      <w:r>
        <w:t>Sample of respondents—f</w:t>
      </w:r>
      <w:r w:rsidRPr="006C49DC">
        <w:t>inancial managers and analysts, expert valuers, actuaries, finance academics, investment banks, professional services firms and infrastructure funds were among the target respondents of surveys. These professionals apply the market risk premium, so we consider the surveys' target populations can make informed judgments about the market risk premium. Each survey also sets out the selection of the sample surveyed (or respondents).</w:t>
      </w:r>
      <w:r w:rsidRPr="006C49DC">
        <w:rPr>
          <w:rStyle w:val="FootnoteReference"/>
        </w:rPr>
        <w:footnoteReference w:id="890"/>
      </w:r>
    </w:p>
    <w:p w:rsidR="006C49DC" w:rsidRPr="006C49DC" w:rsidRDefault="006C49DC" w:rsidP="006C49DC">
      <w:pPr>
        <w:pStyle w:val="AERbulletlistfirststyle"/>
      </w:pPr>
      <w:r>
        <w:t xml:space="preserve">Wording of survey questionnaires—we consider the </w:t>
      </w:r>
      <w:r w:rsidRPr="006C49DC">
        <w:t>adequacy of survey wording can be subjective to judge and often relies on the quality of the authors. However, we also consider confidence in this area can be enhanced when the work is published in a refereed academic journal, or when the survey is repeated. In our sample, only the KPMG survey has not been repeated at least three times.</w:t>
      </w:r>
    </w:p>
    <w:p w:rsidR="006C49DC" w:rsidRPr="006C49DC" w:rsidRDefault="006C49DC" w:rsidP="006C49DC">
      <w:pPr>
        <w:pStyle w:val="AERbulletlistfirststyle"/>
      </w:pPr>
      <w:r>
        <w:t>Survey response rate and non-response bias—</w:t>
      </w:r>
      <w:r w:rsidRPr="006C49DC">
        <w:t>McKenzie and Partington suggested a sample size of more than 30 is sufficiently large statistically so a representative sample of 30 respondents is expected to be adequate.</w:t>
      </w:r>
      <w:r w:rsidRPr="006C49DC">
        <w:rPr>
          <w:rStyle w:val="FootnoteReference"/>
        </w:rPr>
        <w:footnoteReference w:id="891"/>
      </w:r>
      <w:r w:rsidRPr="006C49DC">
        <w:t xml:space="preserve"> </w:t>
      </w:r>
    </w:p>
    <w:p w:rsidR="006C49DC" w:rsidRDefault="006C49DC" w:rsidP="006C49DC">
      <w:r w:rsidRPr="00C563D0">
        <w:rPr>
          <w:rStyle w:val="AERbody"/>
        </w:rPr>
        <w:t xml:space="preserve">After having regard to the above factors, we consider that the survey estimates in </w:t>
      </w:r>
      <w:r>
        <w:rPr>
          <w:rStyle w:val="AERbody"/>
        </w:rPr>
        <w:fldChar w:fldCharType="begin"/>
      </w:r>
      <w:r>
        <w:rPr>
          <w:rStyle w:val="AERbody"/>
        </w:rPr>
        <w:instrText xml:space="preserve"> REF _Ref432620068 \h </w:instrText>
      </w:r>
      <w:r>
        <w:rPr>
          <w:rStyle w:val="AERbody"/>
        </w:rPr>
      </w:r>
      <w:r>
        <w:rPr>
          <w:rStyle w:val="AERbody"/>
        </w:rPr>
        <w:fldChar w:fldCharType="separate"/>
      </w:r>
      <w:r w:rsidR="003F1AAB">
        <w:t xml:space="preserve">Table </w:t>
      </w:r>
      <w:r w:rsidR="003F1AAB">
        <w:rPr>
          <w:noProof/>
        </w:rPr>
        <w:t>3</w:t>
      </w:r>
      <w:r w:rsidR="003F1AAB">
        <w:noBreakHyphen/>
      </w:r>
      <w:r w:rsidR="003F1AAB">
        <w:rPr>
          <w:noProof/>
        </w:rPr>
        <w:t>28</w:t>
      </w:r>
      <w:r>
        <w:rPr>
          <w:rStyle w:val="AERbody"/>
        </w:rPr>
        <w:fldChar w:fldCharType="end"/>
      </w:r>
      <w:r w:rsidRPr="00C563D0">
        <w:rPr>
          <w:rStyle w:val="AERbody"/>
        </w:rPr>
        <w:t xml:space="preserve"> are useful for informing our </w:t>
      </w:r>
      <w:r>
        <w:rPr>
          <w:rStyle w:val="AERbody"/>
        </w:rPr>
        <w:t>market risk premium</w:t>
      </w:r>
      <w:r w:rsidRPr="00C563D0">
        <w:rPr>
          <w:rStyle w:val="AERbody"/>
        </w:rPr>
        <w:t xml:space="preserve"> estimate.</w:t>
      </w:r>
      <w:r>
        <w:t xml:space="preserve"> We note that triangulation across surveys can reduce the limitations associated with particular survey evidence.</w:t>
      </w:r>
      <w:r>
        <w:rPr>
          <w:rStyle w:val="FootnoteReference"/>
        </w:rPr>
        <w:footnoteReference w:id="892"/>
      </w:r>
      <w:r>
        <w:t xml:space="preserve"> </w:t>
      </w:r>
    </w:p>
    <w:p w:rsidR="006C49DC" w:rsidRPr="00C852A1" w:rsidRDefault="006C49DC" w:rsidP="006C49DC">
      <w:r w:rsidRPr="00C852A1">
        <w:t xml:space="preserve">SFG submitted that survey evidence does not </w:t>
      </w:r>
      <w:r>
        <w:t>reflect expected market risk premium</w:t>
      </w:r>
      <w:r w:rsidRPr="00C852A1">
        <w:t xml:space="preserve"> because the </w:t>
      </w:r>
      <w:r>
        <w:t>respondents</w:t>
      </w:r>
      <w:r w:rsidRPr="00C852A1">
        <w:t xml:space="preserve"> are simply regurgitating historical excess returns.</w:t>
      </w:r>
      <w:r w:rsidRPr="00C852A1">
        <w:rPr>
          <w:rStyle w:val="FootnoteReference"/>
        </w:rPr>
        <w:footnoteReference w:id="893"/>
      </w:r>
      <w:r w:rsidRPr="00C852A1">
        <w:t xml:space="preserve"> We do not agree. We consider </w:t>
      </w:r>
      <w:r>
        <w:t xml:space="preserve">that the </w:t>
      </w:r>
      <w:r w:rsidRPr="00C852A1">
        <w:t xml:space="preserve">survey </w:t>
      </w:r>
      <w:r>
        <w:t xml:space="preserve">questions and responses indicate that the </w:t>
      </w:r>
      <w:r w:rsidRPr="00C852A1">
        <w:t xml:space="preserve">estimates reflect investors' expectations of the </w:t>
      </w:r>
      <w:r>
        <w:t>market risk premium</w:t>
      </w:r>
      <w:r w:rsidRPr="00C852A1">
        <w:t>. What evidence investors use to form their expectations is their choice and, in our view, does not deem these estimates irrelevant.</w:t>
      </w:r>
    </w:p>
    <w:p w:rsidR="006C49DC" w:rsidRDefault="006C49DC" w:rsidP="006C49DC">
      <w:r w:rsidRPr="00C852A1">
        <w:t xml:space="preserve">Several service providers also submitted that the surveys we use do not appear to </w:t>
      </w:r>
      <w:r>
        <w:t>comply</w:t>
      </w:r>
      <w:r w:rsidRPr="00C852A1">
        <w:t xml:space="preserve"> with the Federal Court guidelines for conducting surveys.</w:t>
      </w:r>
      <w:r w:rsidRPr="00C852A1">
        <w:rPr>
          <w:rStyle w:val="FootnoteReference"/>
        </w:rPr>
        <w:footnoteReference w:id="894"/>
      </w:r>
      <w:r w:rsidRPr="00C852A1">
        <w:t xml:space="preserve"> Market participants prepare </w:t>
      </w:r>
      <w:r>
        <w:t>survey</w:t>
      </w:r>
      <w:r w:rsidRPr="00C852A1">
        <w:t xml:space="preserve"> material for practical purposes and it would be unreasonable to expect that all material we consider would be prepared in compliance with the Federal Court guidelines. We carefully consider the merits of all of the material available to us.</w:t>
      </w:r>
    </w:p>
    <w:p w:rsidR="006C49DC" w:rsidRPr="008F4F73" w:rsidRDefault="006C49DC" w:rsidP="006C49DC">
      <w:pPr>
        <w:pStyle w:val="Heading8"/>
      </w:pPr>
      <w:bookmarkStart w:id="260" w:name="_Ref445898024"/>
      <w:bookmarkStart w:id="261" w:name="_Toc451943807"/>
      <w:bookmarkStart w:id="262" w:name="_Toc456686740"/>
      <w:r w:rsidRPr="008F4F73">
        <w:t>Prevailing estimates: broker reports</w:t>
      </w:r>
      <w:bookmarkEnd w:id="260"/>
      <w:bookmarkEnd w:id="261"/>
      <w:bookmarkEnd w:id="262"/>
    </w:p>
    <w:p w:rsidR="006C49DC" w:rsidRPr="008F4F73" w:rsidRDefault="006C49DC" w:rsidP="006C49DC">
      <w:pPr>
        <w:numPr>
          <w:ilvl w:val="0"/>
          <w:numId w:val="25"/>
        </w:numPr>
        <w:rPr>
          <w:rStyle w:val="AERtextblue"/>
        </w:rPr>
      </w:pPr>
      <w:r w:rsidRPr="008F4F73">
        <w:fldChar w:fldCharType="begin"/>
      </w:r>
      <w:r w:rsidRPr="008F4F73">
        <w:instrText xml:space="preserve"> REF _Ref443644282 \h </w:instrText>
      </w:r>
      <w:r w:rsidRPr="008F4F73">
        <w:fldChar w:fldCharType="separate"/>
      </w:r>
      <w:r w:rsidR="003F1AAB" w:rsidRPr="008F4F73">
        <w:t xml:space="preserve">Table </w:t>
      </w:r>
      <w:r w:rsidR="003F1AAB">
        <w:rPr>
          <w:noProof/>
        </w:rPr>
        <w:t>3</w:t>
      </w:r>
      <w:r w:rsidR="003F1AAB" w:rsidRPr="008F4F73">
        <w:noBreakHyphen/>
      </w:r>
      <w:r w:rsidR="003F1AAB">
        <w:rPr>
          <w:noProof/>
        </w:rPr>
        <w:t>29</w:t>
      </w:r>
      <w:r w:rsidRPr="008F4F73">
        <w:fldChar w:fldCharType="end"/>
      </w:r>
      <w:r w:rsidRPr="008F4F73">
        <w:t xml:space="preserve"> shows the estimates of return on equity and premium above the risk free rate contained in broker reports which we have examined since our </w:t>
      </w:r>
      <w:r>
        <w:t>draft</w:t>
      </w:r>
      <w:r w:rsidRPr="008F4F73">
        <w:t xml:space="preserve"> decision.</w:t>
      </w:r>
      <w:r w:rsidRPr="008F4F73">
        <w:rPr>
          <w:rStyle w:val="FootnoteReference"/>
        </w:rPr>
        <w:footnoteReference w:id="895"/>
      </w:r>
      <w:r w:rsidRPr="008F4F73">
        <w:t xml:space="preserve"> </w:t>
      </w:r>
    </w:p>
    <w:p w:rsidR="006C49DC" w:rsidRPr="008F4F73" w:rsidRDefault="006C49DC" w:rsidP="006C49DC">
      <w:pPr>
        <w:pStyle w:val="Caption"/>
        <w:numPr>
          <w:ilvl w:val="0"/>
          <w:numId w:val="25"/>
        </w:numPr>
      </w:pPr>
      <w:bookmarkStart w:id="263" w:name="_Ref443644282"/>
      <w:r w:rsidRPr="008F4F73">
        <w:t xml:space="preserve">Table </w:t>
      </w:r>
      <w:fldSimple w:instr=" STYLEREF 1 \s ">
        <w:r w:rsidR="003F1AAB">
          <w:rPr>
            <w:noProof/>
          </w:rPr>
          <w:t>3</w:t>
        </w:r>
      </w:fldSimple>
      <w:r w:rsidRPr="008F4F73">
        <w:noBreakHyphen/>
      </w:r>
      <w:fldSimple w:instr=" SEQ Table \* ARABIC \s 1 ">
        <w:r w:rsidR="003F1AAB">
          <w:rPr>
            <w:noProof/>
          </w:rPr>
          <w:t>29</w:t>
        </w:r>
      </w:fldSimple>
      <w:bookmarkEnd w:id="263"/>
      <w:r w:rsidRPr="008F4F73">
        <w:tab/>
        <w:t>Recent broker reports</w:t>
      </w:r>
    </w:p>
    <w:tbl>
      <w:tblPr>
        <w:tblStyle w:val="AERtable-numbers"/>
        <w:tblW w:w="0" w:type="auto"/>
        <w:tblLook w:val="04A0" w:firstRow="1" w:lastRow="0" w:firstColumn="1" w:lastColumn="0" w:noHBand="0" w:noVBand="1"/>
      </w:tblPr>
      <w:tblGrid>
        <w:gridCol w:w="4503"/>
        <w:gridCol w:w="1275"/>
        <w:gridCol w:w="1418"/>
        <w:gridCol w:w="1497"/>
      </w:tblGrid>
      <w:tr w:rsidR="006C49DC" w:rsidTr="006C49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6C49DC" w:rsidRPr="008F4F73" w:rsidRDefault="006C49DC" w:rsidP="006C49DC"/>
        </w:tc>
        <w:tc>
          <w:tcPr>
            <w:tcW w:w="1275" w:type="dxa"/>
          </w:tcPr>
          <w:p w:rsidR="006C49DC" w:rsidRPr="008F4F73" w:rsidRDefault="006C49DC" w:rsidP="006C49DC">
            <w:pPr>
              <w:cnfStyle w:val="100000000000" w:firstRow="1" w:lastRow="0" w:firstColumn="0" w:lastColumn="0" w:oddVBand="0" w:evenVBand="0" w:oddHBand="0" w:evenHBand="0" w:firstRowFirstColumn="0" w:firstRowLastColumn="0" w:lastRowFirstColumn="0" w:lastRowLastColumn="0"/>
            </w:pPr>
          </w:p>
        </w:tc>
        <w:tc>
          <w:tcPr>
            <w:tcW w:w="1418" w:type="dxa"/>
          </w:tcPr>
          <w:p w:rsidR="006C49DC" w:rsidRPr="006C49DC" w:rsidRDefault="006C49DC" w:rsidP="006C49DC">
            <w:pPr>
              <w:cnfStyle w:val="100000000000" w:firstRow="1" w:lastRow="0" w:firstColumn="0" w:lastColumn="0" w:oddVBand="0" w:evenVBand="0" w:oddHBand="0" w:evenHBand="0" w:firstRowFirstColumn="0" w:firstRowLastColumn="0" w:lastRowFirstColumn="0" w:lastRowLastColumn="0"/>
            </w:pPr>
            <w:r w:rsidRPr="008F4F73">
              <w:t>Return on equity</w:t>
            </w:r>
          </w:p>
        </w:tc>
        <w:tc>
          <w:tcPr>
            <w:tcW w:w="1497" w:type="dxa"/>
          </w:tcPr>
          <w:p w:rsidR="006C49DC" w:rsidRPr="006C49DC" w:rsidRDefault="006C49DC" w:rsidP="006C49DC">
            <w:pPr>
              <w:cnfStyle w:val="100000000000" w:firstRow="1" w:lastRow="0" w:firstColumn="0" w:lastColumn="0" w:oddVBand="0" w:evenVBand="0" w:oddHBand="0" w:evenHBand="0" w:firstRowFirstColumn="0" w:firstRowLastColumn="0" w:lastRowFirstColumn="0" w:lastRowLastColumn="0"/>
            </w:pPr>
            <w:r w:rsidRPr="008F4F73">
              <w:t>Equity risk premium</w:t>
            </w:r>
          </w:p>
        </w:tc>
      </w:tr>
      <w:tr w:rsidR="006C49DC" w:rsidTr="006C49DC">
        <w:tc>
          <w:tcPr>
            <w:cnfStyle w:val="001000000000" w:firstRow="0" w:lastRow="0" w:firstColumn="1" w:lastColumn="0" w:oddVBand="0" w:evenVBand="0" w:oddHBand="0" w:evenHBand="0" w:firstRowFirstColumn="0" w:firstRowLastColumn="0" w:lastRowFirstColumn="0" w:lastRowLastColumn="0"/>
            <w:tcW w:w="4503" w:type="dxa"/>
          </w:tcPr>
          <w:p w:rsidR="006C49DC" w:rsidRPr="006C49DC" w:rsidRDefault="006C49DC" w:rsidP="006C49DC">
            <w:r w:rsidRPr="008F4F73">
              <w:t>Broker estimate—no imputation adjustment</w:t>
            </w:r>
          </w:p>
        </w:tc>
        <w:tc>
          <w:tcPr>
            <w:tcW w:w="1275"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8F4F73">
              <w:t>Minimum</w:t>
            </w:r>
          </w:p>
        </w:tc>
        <w:tc>
          <w:tcPr>
            <w:tcW w:w="1418"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8F4F73">
              <w:t>6.4</w:t>
            </w:r>
          </w:p>
        </w:tc>
        <w:tc>
          <w:tcPr>
            <w:tcW w:w="1497"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8F4F73">
              <w:t>3.7</w:t>
            </w:r>
          </w:p>
        </w:tc>
      </w:tr>
      <w:tr w:rsidR="006C49DC" w:rsidTr="006C49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6C49DC" w:rsidRPr="006C49DC" w:rsidRDefault="006C49DC" w:rsidP="006C49DC">
            <w:r w:rsidRPr="008F4F73">
              <w:t>Broker estimate—no imputation adjustment</w:t>
            </w:r>
          </w:p>
        </w:tc>
        <w:tc>
          <w:tcPr>
            <w:tcW w:w="1275"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rsidRPr="008F4F73">
              <w:t>Maximum</w:t>
            </w:r>
          </w:p>
        </w:tc>
        <w:tc>
          <w:tcPr>
            <w:tcW w:w="1418"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11.3</w:t>
            </w:r>
          </w:p>
        </w:tc>
        <w:tc>
          <w:tcPr>
            <w:tcW w:w="1497"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rsidRPr="008F4F73">
              <w:t>6.5</w:t>
            </w:r>
          </w:p>
        </w:tc>
      </w:tr>
      <w:tr w:rsidR="006C49DC" w:rsidTr="006C49DC">
        <w:tc>
          <w:tcPr>
            <w:cnfStyle w:val="001000000000" w:firstRow="0" w:lastRow="0" w:firstColumn="1" w:lastColumn="0" w:oddVBand="0" w:evenVBand="0" w:oddHBand="0" w:evenHBand="0" w:firstRowFirstColumn="0" w:firstRowLastColumn="0" w:lastRowFirstColumn="0" w:lastRowLastColumn="0"/>
            <w:tcW w:w="4503" w:type="dxa"/>
          </w:tcPr>
          <w:p w:rsidR="006C49DC" w:rsidRPr="006C49DC" w:rsidRDefault="006C49DC" w:rsidP="006C49DC">
            <w:r w:rsidRPr="008F4F73">
              <w:t>Broker estimate—adjusted for imputation</w:t>
            </w:r>
          </w:p>
        </w:tc>
        <w:tc>
          <w:tcPr>
            <w:tcW w:w="1275"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8F4F73">
              <w:t>Minimum</w:t>
            </w:r>
          </w:p>
        </w:tc>
        <w:tc>
          <w:tcPr>
            <w:tcW w:w="1418"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8F4F73">
              <w:t>6.9</w:t>
            </w:r>
          </w:p>
        </w:tc>
        <w:tc>
          <w:tcPr>
            <w:tcW w:w="1497"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8F4F73">
              <w:t>4.2</w:t>
            </w:r>
          </w:p>
        </w:tc>
      </w:tr>
      <w:tr w:rsidR="006C49DC" w:rsidTr="006C49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6C49DC" w:rsidRPr="006C49DC" w:rsidRDefault="006C49DC" w:rsidP="006C49DC">
            <w:r w:rsidRPr="008F4F73">
              <w:t>Broker estimate—adjusted for imputation</w:t>
            </w:r>
          </w:p>
        </w:tc>
        <w:tc>
          <w:tcPr>
            <w:tcW w:w="1275"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rsidRPr="008F4F73">
              <w:t>Maximum</w:t>
            </w:r>
          </w:p>
        </w:tc>
        <w:tc>
          <w:tcPr>
            <w:tcW w:w="1418"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12.1</w:t>
            </w:r>
          </w:p>
        </w:tc>
        <w:tc>
          <w:tcPr>
            <w:tcW w:w="1497"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rsidRPr="008F4F73">
              <w:t>7.</w:t>
            </w:r>
            <w:r w:rsidRPr="006C49DC">
              <w:t>1</w:t>
            </w:r>
          </w:p>
        </w:tc>
      </w:tr>
    </w:tbl>
    <w:p w:rsidR="006C49DC" w:rsidRPr="008F4F73" w:rsidRDefault="006C49DC" w:rsidP="006C49DC">
      <w:pPr>
        <w:pStyle w:val="AERtablesource"/>
        <w:numPr>
          <w:ilvl w:val="0"/>
          <w:numId w:val="25"/>
        </w:numPr>
      </w:pPr>
      <w:r w:rsidRPr="008F4F73">
        <w:t>Source:</w:t>
      </w:r>
      <w:r w:rsidRPr="008F4F73">
        <w:tab/>
        <w:t xml:space="preserve">AER analysis of broker reports, dated 7 September 2015 to </w:t>
      </w:r>
      <w:r w:rsidR="00A31B4E">
        <w:t xml:space="preserve">24 </w:t>
      </w:r>
      <w:r w:rsidRPr="008F4F73">
        <w:t>March 2016 by Credit Suisse, JP Morgan, Morgan Stanley, and Macquarie Bank that include a valuation for AusNet Services, Spark Infrastructure, APA Group, and/or DUET Group.</w:t>
      </w:r>
    </w:p>
    <w:p w:rsidR="006C49DC" w:rsidRPr="008F4F73" w:rsidRDefault="006C49DC" w:rsidP="006C49DC">
      <w:r w:rsidRPr="008F4F73">
        <w:t xml:space="preserve">The equity risk premium from the AER's foundation model of 4.55 per cent is within the range of premiums recently estimated by brokers, even when these estimates are adjusted for imputation.  </w:t>
      </w:r>
      <w:r w:rsidR="005B1E4E">
        <w:t>AusNet Service</w:t>
      </w:r>
      <w:r w:rsidRPr="008F4F73">
        <w:t>s</w:t>
      </w:r>
      <w:r w:rsidR="005B1E4E">
        <w:t>'</w:t>
      </w:r>
      <w:r w:rsidRPr="008F4F73">
        <w:t xml:space="preserve"> proposed equity risk premium of </w:t>
      </w:r>
      <w:r w:rsidR="00BC57AE">
        <w:t>7.01</w:t>
      </w:r>
      <w:r w:rsidRPr="008F4F73">
        <w:t xml:space="preserve"> per cent is </w:t>
      </w:r>
      <w:r>
        <w:t>at the upper bound of</w:t>
      </w:r>
      <w:r w:rsidRPr="008F4F73">
        <w:t xml:space="preserve"> the range of premiums recently estimated by brokers. </w:t>
      </w:r>
    </w:p>
    <w:p w:rsidR="006C49DC" w:rsidRPr="008F4F73" w:rsidRDefault="006C49DC" w:rsidP="006C49DC">
      <w:r w:rsidRPr="008F4F73">
        <w:t xml:space="preserve">Directionally, as shown in </w:t>
      </w:r>
      <w:r w:rsidRPr="008F4F73">
        <w:fldChar w:fldCharType="begin"/>
      </w:r>
      <w:r w:rsidRPr="008F4F73">
        <w:instrText xml:space="preserve"> REF _Ref444708458 \h </w:instrText>
      </w:r>
      <w:r w:rsidRPr="008F4F73">
        <w:fldChar w:fldCharType="separate"/>
      </w:r>
      <w:r w:rsidR="003F1AAB" w:rsidRPr="008F4F73">
        <w:t xml:space="preserve">Figure </w:t>
      </w:r>
      <w:r w:rsidR="003F1AAB">
        <w:rPr>
          <w:noProof/>
        </w:rPr>
        <w:t>3</w:t>
      </w:r>
      <w:r w:rsidR="003F1AAB">
        <w:noBreakHyphen/>
      </w:r>
      <w:r w:rsidR="003F1AAB">
        <w:rPr>
          <w:noProof/>
        </w:rPr>
        <w:t>13</w:t>
      </w:r>
      <w:r w:rsidRPr="008F4F73">
        <w:fldChar w:fldCharType="end"/>
      </w:r>
      <w:r w:rsidRPr="008F4F73">
        <w:t xml:space="preserve">, it appears that both the lower and upper bounds of equity risk premium estimates from broker reports have </w:t>
      </w:r>
      <w:proofErr w:type="gramStart"/>
      <w:r w:rsidRPr="008F4F73">
        <w:t>risen</w:t>
      </w:r>
      <w:proofErr w:type="gramEnd"/>
      <w:r w:rsidRPr="008F4F73">
        <w:t xml:space="preserve"> since our review in our </w:t>
      </w:r>
      <w:r>
        <w:t>November</w:t>
      </w:r>
      <w:r w:rsidRPr="008F4F73">
        <w:t xml:space="preserve"> 2015 decision</w:t>
      </w:r>
      <w:r w:rsidR="003B7E97">
        <w:t>s</w:t>
      </w:r>
      <w:r w:rsidRPr="008F4F73">
        <w:t>. Our equity risk premium estimate remains, in general, below the imputation-adjusted broker estimates and above the unadjusted broker estimates. We do not consider that the directional evidence currently supports a move away from the return on equity resulting from our Guideline approach.</w:t>
      </w:r>
    </w:p>
    <w:p w:rsidR="006C49DC" w:rsidRPr="008F4F73" w:rsidRDefault="006C49DC" w:rsidP="006C49DC">
      <w:pPr>
        <w:pStyle w:val="Caption"/>
        <w:numPr>
          <w:ilvl w:val="0"/>
          <w:numId w:val="25"/>
        </w:numPr>
      </w:pPr>
      <w:bookmarkStart w:id="264" w:name="_Ref444708458"/>
      <w:r w:rsidRPr="008F4F73">
        <w:t xml:space="preserve">Figure </w:t>
      </w:r>
      <w:fldSimple w:instr=" STYLEREF 1 \s ">
        <w:r w:rsidR="003F1AAB">
          <w:rPr>
            <w:noProof/>
          </w:rPr>
          <w:t>3</w:t>
        </w:r>
      </w:fldSimple>
      <w:r w:rsidR="00E4520A">
        <w:noBreakHyphen/>
      </w:r>
      <w:fldSimple w:instr=" SEQ Figure \* ARABIC \s 1 ">
        <w:r w:rsidR="003F1AAB">
          <w:rPr>
            <w:noProof/>
          </w:rPr>
          <w:t>13</w:t>
        </w:r>
      </w:fldSimple>
      <w:bookmarkEnd w:id="264"/>
      <w:r w:rsidRPr="008F4F73">
        <w:tab/>
        <w:t>Equity risk premium estimates from broker reports</w:t>
      </w:r>
    </w:p>
    <w:p w:rsidR="006C49DC" w:rsidRPr="008F4F73" w:rsidRDefault="006C49DC" w:rsidP="006C49DC">
      <w:pPr>
        <w:rPr>
          <w:rStyle w:val="AERtextblue"/>
        </w:rPr>
      </w:pPr>
      <w:r w:rsidRPr="006C49DC">
        <w:rPr>
          <w:noProof/>
          <w:lang w:eastAsia="en-AU"/>
        </w:rPr>
        <w:drawing>
          <wp:inline distT="0" distB="0" distL="0" distR="0" wp14:anchorId="458C10D2" wp14:editId="296E16E4">
            <wp:extent cx="5369560" cy="432752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9560" cy="4327525"/>
                    </a:xfrm>
                    <a:prstGeom prst="rect">
                      <a:avLst/>
                    </a:prstGeom>
                    <a:noFill/>
                    <a:ln>
                      <a:noFill/>
                    </a:ln>
                  </pic:spPr>
                </pic:pic>
              </a:graphicData>
            </a:graphic>
          </wp:inline>
        </w:drawing>
      </w:r>
    </w:p>
    <w:p w:rsidR="006C49DC" w:rsidRPr="008F4F73" w:rsidRDefault="006C49DC" w:rsidP="006C49DC">
      <w:pPr>
        <w:pStyle w:val="AERtablesource"/>
      </w:pPr>
      <w:r w:rsidRPr="008F4F73">
        <w:t>Source:</w:t>
      </w:r>
      <w:r w:rsidRPr="008F4F73">
        <w:tab/>
        <w:t>AER analysis of broker reports by Credit Suisse, JP Morgan, Morgan Stanley, and Macquarie Bank that include a valuation for AusNet Services, Spark Infrastructure, APA Group, and/or DUET Group.</w:t>
      </w:r>
    </w:p>
    <w:p w:rsidR="006C49DC" w:rsidRPr="008F4F73" w:rsidRDefault="006C49DC" w:rsidP="006C49DC">
      <w:pPr>
        <w:pStyle w:val="AERtablesource"/>
      </w:pPr>
      <w:bookmarkStart w:id="265" w:name="_Ref445926689"/>
      <w:r w:rsidRPr="008F4F73">
        <w:t>Notes:</w:t>
      </w:r>
      <w:r w:rsidRPr="008F4F73">
        <w:tab/>
        <w:t>Average broker ERP is the mean of estimates from all brokers and for all busin</w:t>
      </w:r>
      <w:r>
        <w:t>esses available at the time.</w:t>
      </w:r>
      <w:r w:rsidRPr="008F4F73">
        <w:t xml:space="preserve"> </w:t>
      </w:r>
    </w:p>
    <w:p w:rsidR="006C49DC" w:rsidRPr="008F4F73" w:rsidRDefault="006C49DC" w:rsidP="006C49DC">
      <w:pPr>
        <w:pStyle w:val="Heading8"/>
      </w:pPr>
      <w:bookmarkStart w:id="266" w:name="_Ref451416171"/>
      <w:bookmarkStart w:id="267" w:name="_Toc451943808"/>
      <w:bookmarkStart w:id="268" w:name="_Toc456686741"/>
      <w:r w:rsidRPr="008F4F73">
        <w:t>Prevailing estimates: valuation reports</w:t>
      </w:r>
      <w:bookmarkEnd w:id="265"/>
      <w:bookmarkEnd w:id="266"/>
      <w:bookmarkEnd w:id="267"/>
      <w:bookmarkEnd w:id="268"/>
    </w:p>
    <w:p w:rsidR="006C49DC" w:rsidRPr="008F4F73" w:rsidRDefault="006C49DC" w:rsidP="006C49DC">
      <w:pPr>
        <w:numPr>
          <w:ilvl w:val="0"/>
          <w:numId w:val="25"/>
        </w:numPr>
      </w:pPr>
      <w:r w:rsidRPr="008F4F73">
        <w:rPr>
          <w:rStyle w:val="AERtextblue"/>
        </w:rPr>
        <w:fldChar w:fldCharType="begin"/>
      </w:r>
      <w:r w:rsidRPr="008F4F73">
        <w:rPr>
          <w:rStyle w:val="AERtextblue"/>
        </w:rPr>
        <w:instrText xml:space="preserve"> REF _Ref448176907 \h </w:instrText>
      </w:r>
      <w:r w:rsidRPr="008F4F73">
        <w:rPr>
          <w:rStyle w:val="AERtextblue"/>
        </w:rPr>
      </w:r>
      <w:r w:rsidRPr="008F4F73">
        <w:rPr>
          <w:rStyle w:val="AERtextblue"/>
        </w:rPr>
        <w:fldChar w:fldCharType="separate"/>
      </w:r>
      <w:r w:rsidR="003F1AAB" w:rsidRPr="008F4F73">
        <w:t xml:space="preserve">Figure </w:t>
      </w:r>
      <w:r w:rsidR="003F1AAB">
        <w:rPr>
          <w:noProof/>
        </w:rPr>
        <w:t>3</w:t>
      </w:r>
      <w:r w:rsidR="003F1AAB">
        <w:noBreakHyphen/>
      </w:r>
      <w:r w:rsidR="003F1AAB">
        <w:rPr>
          <w:noProof/>
        </w:rPr>
        <w:t>14</w:t>
      </w:r>
      <w:r w:rsidRPr="008F4F73">
        <w:rPr>
          <w:rStyle w:val="AERtextblue"/>
        </w:rPr>
        <w:fldChar w:fldCharType="end"/>
      </w:r>
      <w:r w:rsidRPr="008F4F73">
        <w:rPr>
          <w:rStyle w:val="AERtextblue"/>
        </w:rPr>
        <w:t xml:space="preserve"> </w:t>
      </w:r>
      <w:r w:rsidRPr="008F4F73">
        <w:t xml:space="preserve">outlines the range of return on equity and equity risk premium estimates from relevant independent valuation reports. </w:t>
      </w:r>
      <w:bookmarkStart w:id="269" w:name="_Ref417589947"/>
      <w:r w:rsidRPr="008F4F73">
        <w:t>We consider that the number of reports is too low and the concentration of reports among only a few valuers is too high to be able to place significant reliance on the evidence from valuation reports.</w:t>
      </w:r>
      <w:r w:rsidRPr="008F4F73">
        <w:rPr>
          <w:rStyle w:val="FootnoteReference"/>
        </w:rPr>
        <w:footnoteReference w:id="896"/>
      </w:r>
    </w:p>
    <w:p w:rsidR="006C49DC" w:rsidRPr="008F4F73" w:rsidRDefault="006C49DC" w:rsidP="006C49DC">
      <w:pPr>
        <w:pStyle w:val="Caption"/>
      </w:pPr>
      <w:bookmarkStart w:id="270" w:name="_Ref448176907"/>
      <w:r w:rsidRPr="008F4F73">
        <w:t xml:space="preserve">Figure </w:t>
      </w:r>
      <w:fldSimple w:instr=" STYLEREF 1 \s ">
        <w:r w:rsidR="003F1AAB">
          <w:rPr>
            <w:noProof/>
          </w:rPr>
          <w:t>3</w:t>
        </w:r>
      </w:fldSimple>
      <w:r w:rsidR="00E4520A">
        <w:noBreakHyphen/>
      </w:r>
      <w:fldSimple w:instr=" SEQ Figure \* ARABIC \s 1 ">
        <w:r w:rsidR="003F1AAB">
          <w:rPr>
            <w:noProof/>
          </w:rPr>
          <w:t>14</w:t>
        </w:r>
      </w:fldSimple>
      <w:bookmarkEnd w:id="269"/>
      <w:bookmarkEnd w:id="270"/>
      <w:r w:rsidRPr="008F4F73">
        <w:tab/>
        <w:t xml:space="preserve">Equity risk premium from relevant </w:t>
      </w:r>
      <w:r>
        <w:t>valuation</w:t>
      </w:r>
      <w:r w:rsidRPr="008F4F73">
        <w:t xml:space="preserve"> reports over time</w:t>
      </w:r>
    </w:p>
    <w:p w:rsidR="006C49DC" w:rsidRPr="008F4F73" w:rsidRDefault="006C49DC" w:rsidP="006C49DC">
      <w:pPr>
        <w:pStyle w:val="AERtablesource"/>
      </w:pPr>
      <w:r w:rsidRPr="006C49DC">
        <w:rPr>
          <w:noProof/>
          <w:lang w:eastAsia="en-AU"/>
        </w:rPr>
        <w:drawing>
          <wp:inline distT="0" distB="0" distL="0" distR="0" wp14:anchorId="7F70F10E" wp14:editId="2ADCAA30">
            <wp:extent cx="5369560" cy="380619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9560" cy="3806190"/>
                    </a:xfrm>
                    <a:prstGeom prst="rect">
                      <a:avLst/>
                    </a:prstGeom>
                    <a:noFill/>
                    <a:ln>
                      <a:noFill/>
                    </a:ln>
                  </pic:spPr>
                </pic:pic>
              </a:graphicData>
            </a:graphic>
          </wp:inline>
        </w:drawing>
      </w:r>
    </w:p>
    <w:p w:rsidR="006C49DC" w:rsidRPr="008F4F73" w:rsidRDefault="006C49DC" w:rsidP="006C49DC">
      <w:pPr>
        <w:pStyle w:val="AERtablesource"/>
      </w:pPr>
      <w:r w:rsidRPr="008F4F73">
        <w:t>Source:</w:t>
      </w:r>
      <w:r w:rsidRPr="008F4F73">
        <w:tab/>
        <w:t xml:space="preserve">AER analysis of reports from the Thomson Reuters Connect4 database </w:t>
      </w:r>
    </w:p>
    <w:p w:rsidR="006C49DC" w:rsidRPr="008F4F73" w:rsidRDefault="006C49DC" w:rsidP="006C49DC">
      <w:pPr>
        <w:pStyle w:val="AERtablesource"/>
      </w:pPr>
      <w:r w:rsidRPr="008F4F73">
        <w:t>Notes:</w:t>
      </w:r>
      <w:r w:rsidRPr="008F4F73">
        <w:tab/>
        <w:t>We have shown the equity risk premium based on a nominal vanilla WACC, expert reports using a different WACC form have been adjusted accordingly. This equity risk premium ('Valuers estimate-high') also reflects the impact of any discretionary uplifts applied by the independent valuer.</w:t>
      </w:r>
    </w:p>
    <w:p w:rsidR="006C49DC" w:rsidRPr="008F4F73" w:rsidRDefault="006C49DC" w:rsidP="006C49DC">
      <w:pPr>
        <w:pStyle w:val="ListParagraph"/>
        <w:numPr>
          <w:ilvl w:val="0"/>
          <w:numId w:val="25"/>
        </w:numPr>
      </w:pPr>
      <w:r w:rsidRPr="008F4F73">
        <w:t>There have been only 18 relevant independent valuation reports spanning a period going back to 1991.</w:t>
      </w:r>
      <w:r w:rsidRPr="008F4F73">
        <w:rPr>
          <w:rStyle w:val="AERsuperscript"/>
        </w:rPr>
        <w:footnoteReference w:id="897"/>
      </w:r>
      <w:r w:rsidRPr="008F4F73">
        <w:t xml:space="preserve"> Only 12 reports included a discounted cash flow analysis with information on a return on equity estimate. These 12 reports were provided by only three independent valuation firms, with 9 of the 12 reports being provided by Grant Samuel &amp; Associates.</w:t>
      </w:r>
    </w:p>
    <w:p w:rsidR="006C49DC" w:rsidRPr="008F4F73" w:rsidRDefault="006C49DC" w:rsidP="006C49DC">
      <w:pPr>
        <w:numPr>
          <w:ilvl w:val="0"/>
          <w:numId w:val="25"/>
        </w:numPr>
      </w:pPr>
      <w:r w:rsidRPr="008F4F73">
        <w:t xml:space="preserve">We note that the ranges for return on equity and equity risk premium estimates contained in </w:t>
      </w:r>
      <w:r>
        <w:fldChar w:fldCharType="begin"/>
      </w:r>
      <w:r>
        <w:instrText xml:space="preserve"> REF _Ref448176907 \h </w:instrText>
      </w:r>
      <w:r>
        <w:fldChar w:fldCharType="separate"/>
      </w:r>
      <w:r w:rsidR="003F1AAB" w:rsidRPr="008F4F73">
        <w:t xml:space="preserve">Figure </w:t>
      </w:r>
      <w:r w:rsidR="003F1AAB">
        <w:rPr>
          <w:noProof/>
        </w:rPr>
        <w:t>3</w:t>
      </w:r>
      <w:r w:rsidR="003F1AAB">
        <w:noBreakHyphen/>
      </w:r>
      <w:r w:rsidR="003F1AAB">
        <w:rPr>
          <w:noProof/>
        </w:rPr>
        <w:t>14</w:t>
      </w:r>
      <w:r>
        <w:fldChar w:fldCharType="end"/>
      </w:r>
      <w:r w:rsidRPr="008F4F73">
        <w:t xml:space="preserve"> include the final values used in the independent valuation reports and reflect any uplifts applied. However, as noted in </w:t>
      </w:r>
      <w:r w:rsidRPr="008F4F73">
        <w:fldChar w:fldCharType="begin"/>
      </w:r>
      <w:r w:rsidRPr="008F4F73">
        <w:instrText xml:space="preserve"> REF _Ref445927856 \h </w:instrText>
      </w:r>
      <w:r w:rsidRPr="008F4F73">
        <w:fldChar w:fldCharType="separate"/>
      </w:r>
      <w:r w:rsidR="003F1AAB">
        <w:t xml:space="preserve">Table </w:t>
      </w:r>
      <w:r w:rsidR="003F1AAB">
        <w:rPr>
          <w:noProof/>
        </w:rPr>
        <w:t>3</w:t>
      </w:r>
      <w:r w:rsidR="003F1AAB">
        <w:noBreakHyphen/>
      </w:r>
      <w:r w:rsidR="003F1AAB">
        <w:rPr>
          <w:noProof/>
        </w:rPr>
        <w:t>7</w:t>
      </w:r>
      <w:r w:rsidRPr="008F4F73">
        <w:fldChar w:fldCharType="end"/>
      </w:r>
      <w:r w:rsidRPr="008F4F73">
        <w:t>, we have concerns about the applicability of these uplifts to the allowed rate of return objective.</w:t>
      </w:r>
      <w:r w:rsidRPr="008F4F73">
        <w:rPr>
          <w:rStyle w:val="FootnoteReference"/>
        </w:rPr>
        <w:footnoteReference w:id="898"/>
      </w:r>
      <w:r w:rsidRPr="008F4F73">
        <w:t xml:space="preserve"> We also have concerns that the adjustment for dividend imputation may not be appropriate (see </w:t>
      </w:r>
      <w:r w:rsidRPr="008F4F73">
        <w:fldChar w:fldCharType="begin"/>
      </w:r>
      <w:r w:rsidRPr="008F4F73">
        <w:instrText xml:space="preserve"> REF _Ref445927856 \h </w:instrText>
      </w:r>
      <w:r w:rsidRPr="008F4F73">
        <w:fldChar w:fldCharType="separate"/>
      </w:r>
      <w:r w:rsidR="003F1AAB">
        <w:t xml:space="preserve">Table </w:t>
      </w:r>
      <w:r w:rsidR="003F1AAB">
        <w:rPr>
          <w:noProof/>
        </w:rPr>
        <w:t>3</w:t>
      </w:r>
      <w:r w:rsidR="003F1AAB">
        <w:noBreakHyphen/>
      </w:r>
      <w:r w:rsidR="003F1AAB">
        <w:rPr>
          <w:noProof/>
        </w:rPr>
        <w:t>7</w:t>
      </w:r>
      <w:r w:rsidRPr="008F4F73">
        <w:fldChar w:fldCharType="end"/>
      </w:r>
      <w:r w:rsidRPr="008F4F73">
        <w:t>). The risk premium appropriately reflecting dividend imputation is likely somewhere between the adjusted and unadjusted premiums, but we are unable to distil a precise estimate due to a lack of transparency in valuation reports.</w:t>
      </w:r>
    </w:p>
    <w:p w:rsidR="006C49DC" w:rsidRPr="008F4F73" w:rsidRDefault="006C49DC" w:rsidP="006C49DC">
      <w:pPr>
        <w:numPr>
          <w:ilvl w:val="0"/>
          <w:numId w:val="25"/>
        </w:numPr>
      </w:pPr>
      <w:r w:rsidRPr="008F4F73">
        <w:t>The most recent report for a regulated energy network business is Grant Samuel’s report for Envestra on 4 March 2014. We find that this evidence does not support a move away from our foundation model estimate of 4.55 per cent. We note that:</w:t>
      </w:r>
    </w:p>
    <w:p w:rsidR="006C49DC" w:rsidRPr="006C49DC" w:rsidRDefault="006C49DC" w:rsidP="006C49DC">
      <w:pPr>
        <w:pStyle w:val="AERbulletlistfirststyle"/>
      </w:pPr>
      <w:r w:rsidRPr="008F4F73">
        <w:t xml:space="preserve">Grant Samuel’s initial Sharpe-Lintner CAPM-based return on equity estimate provides an equity risk premium range of 3.6 to 4.2 per cent (without adjustment for dividend imputation, 4.1 to 4.8 per cent including our estimated adjustment for dividend imputation). </w:t>
      </w:r>
    </w:p>
    <w:p w:rsidR="006C49DC" w:rsidRPr="006C49DC" w:rsidRDefault="006C49DC" w:rsidP="006C49DC">
      <w:pPr>
        <w:pStyle w:val="AERbulletlistfirststyle"/>
      </w:pPr>
      <w:r w:rsidRPr="008F4F73">
        <w:t>Grant Samuel outlined four separate uplift scenarios that supported its discretionary uplift to its rate of return above the initial Sharpe-Lintner CAPM-based estimate.</w:t>
      </w:r>
      <w:r w:rsidRPr="006C49DC">
        <w:rPr>
          <w:rStyle w:val="FootnoteReference"/>
        </w:rPr>
        <w:footnoteReference w:id="899"/>
      </w:r>
      <w:r w:rsidRPr="006C49DC">
        <w:t xml:space="preserve"> Although we have concerns with the applicability of these uplifts to the allowed rate of return objective, our foundation model premium is above or within the equity risk premium range in three of the four scenarios if no adjustments are made for dividend imputation.</w:t>
      </w:r>
      <w:r w:rsidRPr="006C49DC">
        <w:rPr>
          <w:rStyle w:val="FootnoteReference"/>
        </w:rPr>
        <w:footnoteReference w:id="900"/>
      </w:r>
    </w:p>
    <w:p w:rsidR="006C49DC" w:rsidRPr="008F4F73" w:rsidRDefault="006C49DC" w:rsidP="006C49DC">
      <w:pPr>
        <w:pStyle w:val="ListParagraph"/>
        <w:numPr>
          <w:ilvl w:val="0"/>
          <w:numId w:val="25"/>
        </w:numPr>
        <w:rPr>
          <w:rStyle w:val="AERtextblue"/>
        </w:rPr>
      </w:pPr>
      <w:r w:rsidRPr="008F4F73">
        <w:t xml:space="preserve">In </w:t>
      </w:r>
      <w:r>
        <w:t xml:space="preserve">response to our </w:t>
      </w:r>
      <w:r w:rsidR="008D5ADF">
        <w:t xml:space="preserve">previous </w:t>
      </w:r>
      <w:r>
        <w:t>decision</w:t>
      </w:r>
      <w:r w:rsidR="008D5ADF">
        <w:t>s</w:t>
      </w:r>
      <w:r w:rsidRPr="008F4F73">
        <w:t xml:space="preserve">, </w:t>
      </w:r>
      <w:r w:rsidR="008D5ADF">
        <w:t xml:space="preserve">some </w:t>
      </w:r>
      <w:r>
        <w:t>service providers</w:t>
      </w:r>
      <w:r w:rsidRPr="008F4F73">
        <w:t xml:space="preserve"> submitted that it is not clear how we arrived at our imputation-adjusted equity risk premium range.</w:t>
      </w:r>
      <w:r w:rsidRPr="008F4F73">
        <w:rPr>
          <w:rStyle w:val="FootnoteReference"/>
        </w:rPr>
        <w:footnoteReference w:id="901"/>
      </w:r>
      <w:r w:rsidRPr="008F4F73">
        <w:t xml:space="preserve"> This range was calculated using the premiums implied by the low (high) equity beta estimate given by the independent valuer for the bottom (top) of the range for each independent valuation report. </w:t>
      </w:r>
    </w:p>
    <w:p w:rsidR="006C49DC" w:rsidRPr="008F4F73" w:rsidRDefault="006C49DC" w:rsidP="006C49DC">
      <w:pPr>
        <w:pStyle w:val="Heading8"/>
      </w:pPr>
      <w:bookmarkStart w:id="271" w:name="_Ref451416189"/>
      <w:bookmarkStart w:id="272" w:name="_Toc451943809"/>
      <w:bookmarkStart w:id="273" w:name="_Toc456686742"/>
      <w:bookmarkStart w:id="274" w:name="_Toc443923234"/>
      <w:r w:rsidRPr="008F4F73">
        <w:t>Prevailing estimates: other regulators</w:t>
      </w:r>
      <w:bookmarkEnd w:id="271"/>
      <w:bookmarkEnd w:id="272"/>
      <w:bookmarkEnd w:id="273"/>
    </w:p>
    <w:p w:rsidR="006C49DC" w:rsidRPr="008F4F73" w:rsidRDefault="006C49DC" w:rsidP="006C49DC">
      <w:pPr>
        <w:numPr>
          <w:ilvl w:val="0"/>
          <w:numId w:val="25"/>
        </w:numPr>
      </w:pPr>
      <w:r w:rsidRPr="008F4F73">
        <w:t xml:space="preserve">The estimates of return on equity from other regulators' decisions (dated between August 2015 and March 2016) range from 6.81 to 12.55 per cent. The </w:t>
      </w:r>
      <w:proofErr w:type="gramStart"/>
      <w:r w:rsidRPr="008F4F73">
        <w:t>premium above the risk free rate from these return</w:t>
      </w:r>
      <w:proofErr w:type="gramEnd"/>
      <w:r w:rsidRPr="008F4F73">
        <w:t xml:space="preserve"> on equity estimates decisions ranges from 3.9 to 9.</w:t>
      </w:r>
      <w:r>
        <w:t>4</w:t>
      </w:r>
      <w:r w:rsidRPr="008F4F73">
        <w:t>9 per cent.</w:t>
      </w:r>
      <w:r w:rsidRPr="008F4F73">
        <w:rPr>
          <w:rStyle w:val="FootnoteReference"/>
        </w:rPr>
        <w:footnoteReference w:id="902"/>
      </w:r>
      <w:r w:rsidRPr="008F4F73">
        <w:t xml:space="preserve"> </w:t>
      </w:r>
    </w:p>
    <w:p w:rsidR="006C49DC" w:rsidRPr="008F4F73" w:rsidRDefault="006C49DC" w:rsidP="006C49DC">
      <w:pPr>
        <w:numPr>
          <w:ilvl w:val="0"/>
          <w:numId w:val="25"/>
        </w:numPr>
      </w:pPr>
      <w:r w:rsidRPr="008F4F73">
        <w:t>The equity risk premium from our foundation model of 4.55 per cent is within the range of premiums recently estimated by other regulators. Directionally, the range of equity risk premium estimates appears broadly consistent with those examined in our previous decisions</w:t>
      </w:r>
      <w:r w:rsidRPr="008F4F73">
        <w:rPr>
          <w:rStyle w:val="FootnoteReference"/>
        </w:rPr>
        <w:footnoteReference w:id="903"/>
      </w:r>
      <w:r w:rsidRPr="008F4F73">
        <w:t xml:space="preserve"> as shown in </w:t>
      </w:r>
      <w:r w:rsidRPr="008F4F73">
        <w:fldChar w:fldCharType="begin"/>
      </w:r>
      <w:r w:rsidRPr="008F4F73">
        <w:instrText xml:space="preserve"> REF _Ref444707385 \h </w:instrText>
      </w:r>
      <w:r w:rsidRPr="008F4F73">
        <w:fldChar w:fldCharType="separate"/>
      </w:r>
      <w:r w:rsidR="003F1AAB" w:rsidRPr="008F4F73">
        <w:t xml:space="preserve">Figure </w:t>
      </w:r>
      <w:r w:rsidR="003F1AAB">
        <w:rPr>
          <w:noProof/>
        </w:rPr>
        <w:t>3</w:t>
      </w:r>
      <w:r w:rsidR="003F1AAB">
        <w:noBreakHyphen/>
      </w:r>
      <w:r w:rsidR="003F1AAB">
        <w:rPr>
          <w:noProof/>
        </w:rPr>
        <w:t>15</w:t>
      </w:r>
      <w:r w:rsidRPr="008F4F73">
        <w:fldChar w:fldCharType="end"/>
      </w:r>
      <w:r w:rsidRPr="008F4F73">
        <w:t>.</w:t>
      </w:r>
      <w:r w:rsidRPr="008F4F73">
        <w:rPr>
          <w:rStyle w:val="FootnoteReference"/>
        </w:rPr>
        <w:footnoteReference w:id="904"/>
      </w:r>
      <w:r w:rsidRPr="008F4F73">
        <w:t xml:space="preserve"> </w:t>
      </w:r>
    </w:p>
    <w:p w:rsidR="006C49DC" w:rsidRPr="008F4F73" w:rsidRDefault="006C49DC" w:rsidP="006C49DC">
      <w:pPr>
        <w:pStyle w:val="Caption"/>
        <w:numPr>
          <w:ilvl w:val="0"/>
          <w:numId w:val="25"/>
        </w:numPr>
      </w:pPr>
      <w:bookmarkStart w:id="275" w:name="_Ref444707385"/>
      <w:r w:rsidRPr="008F4F73">
        <w:t xml:space="preserve">Figure </w:t>
      </w:r>
      <w:fldSimple w:instr=" STYLEREF 1 \s ">
        <w:r w:rsidR="003F1AAB">
          <w:rPr>
            <w:noProof/>
          </w:rPr>
          <w:t>3</w:t>
        </w:r>
      </w:fldSimple>
      <w:r w:rsidR="00E4520A">
        <w:noBreakHyphen/>
      </w:r>
      <w:fldSimple w:instr=" SEQ Figure \* ARABIC \s 1 ">
        <w:r w:rsidR="003F1AAB">
          <w:rPr>
            <w:noProof/>
          </w:rPr>
          <w:t>15</w:t>
        </w:r>
      </w:fldSimple>
      <w:bookmarkEnd w:id="275"/>
      <w:r w:rsidRPr="008F4F73">
        <w:tab/>
        <w:t>Equity risk premium estimates from other regulators' decisions</w:t>
      </w:r>
    </w:p>
    <w:p w:rsidR="006C49DC" w:rsidRPr="008F4F73" w:rsidRDefault="006C49DC" w:rsidP="006C49DC">
      <w:r w:rsidRPr="006C49DC">
        <w:rPr>
          <w:noProof/>
          <w:lang w:eastAsia="en-AU"/>
        </w:rPr>
        <mc:AlternateContent>
          <mc:Choice Requires="wps">
            <w:drawing>
              <wp:anchor distT="0" distB="0" distL="114300" distR="114300" simplePos="0" relativeHeight="251661312" behindDoc="0" locked="0" layoutInCell="1" allowOverlap="1" wp14:anchorId="6E79AFE7" wp14:editId="4D5E2129">
                <wp:simplePos x="0" y="0"/>
                <wp:positionH relativeFrom="column">
                  <wp:posOffset>4374515</wp:posOffset>
                </wp:positionH>
                <wp:positionV relativeFrom="paragraph">
                  <wp:posOffset>1754799</wp:posOffset>
                </wp:positionV>
                <wp:extent cx="1045845" cy="42418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424180"/>
                        </a:xfrm>
                        <a:prstGeom prst="rect">
                          <a:avLst/>
                        </a:prstGeom>
                        <a:noFill/>
                        <a:ln w="9525">
                          <a:noFill/>
                          <a:miter lim="800000"/>
                          <a:headEnd/>
                          <a:tailEnd/>
                        </a:ln>
                      </wps:spPr>
                      <wps:txbx>
                        <w:txbxContent>
                          <w:p w:rsidR="003F1AAB" w:rsidRDefault="003F1AAB" w:rsidP="006C49DC">
                            <w:pPr>
                              <w:pStyle w:val="Header"/>
                            </w:pPr>
                            <w:r>
                              <w:rPr>
                                <w:rStyle w:val="AERsubscript"/>
                              </w:rPr>
                              <w:t xml:space="preserve">IPART </w:t>
                            </w:r>
                            <w:r w:rsidRPr="00DE62A7">
                              <w:rPr>
                                <w:rStyle w:val="AERsubscript"/>
                              </w:rPr>
                              <w:t>Retail</w:t>
                            </w:r>
                            <w:r>
                              <w:t xml:space="preserve"> </w:t>
                            </w:r>
                            <w:r w:rsidRPr="00DE62A7">
                              <w:rPr>
                                <w:rStyle w:val="AERsubscript"/>
                              </w:rPr>
                              <w:t>gas</w:t>
                            </w:r>
                            <w:r>
                              <w:t xml:space="preserve"> </w:t>
                            </w:r>
                            <w:r w:rsidRPr="00DE62A7">
                              <w:rPr>
                                <w:rStyle w:val="AERsubscript"/>
                              </w:rPr>
                              <w:t>decision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4.45pt;margin-top:138.15pt;width:82.35pt;height:3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" filled="f" stroked="f">
                <v:textbox>
                  <w:txbxContent>
                    <w:p w:rsidR="003F1AAB" w:rsidRDefault="003F1AAB" w:rsidP="006C49DC">
                      <w:pPr>
                        <w:pStyle w:val="Header"/>
                      </w:pPr>
                      <w:r>
                        <w:rPr>
                          <w:rStyle w:val="AERsubscript"/>
                        </w:rPr>
                        <w:t xml:space="preserve">IPART </w:t>
                      </w:r>
                      <w:r w:rsidRPr="00DE62A7">
                        <w:rPr>
                          <w:rStyle w:val="AERsubscript"/>
                        </w:rPr>
                        <w:t>Retail</w:t>
                      </w:r>
                      <w:r>
                        <w:t xml:space="preserve"> </w:t>
                      </w:r>
                      <w:r w:rsidRPr="00DE62A7">
                        <w:rPr>
                          <w:rStyle w:val="AERsubscript"/>
                        </w:rPr>
                        <w:t>gas</w:t>
                      </w:r>
                      <w:r>
                        <w:t xml:space="preserve"> </w:t>
                      </w:r>
                      <w:r w:rsidRPr="00DE62A7">
                        <w:rPr>
                          <w:rStyle w:val="AERsubscript"/>
                        </w:rPr>
                        <w:t>decision</w:t>
                      </w:r>
                    </w:p>
                  </w:txbxContent>
                </v:textbox>
              </v:shape>
            </w:pict>
          </mc:Fallback>
        </mc:AlternateContent>
      </w:r>
      <w:r w:rsidRPr="0068661A">
        <w:t xml:space="preserve"> </w:t>
      </w:r>
      <w:r w:rsidRPr="006C49DC">
        <w:rPr>
          <w:noProof/>
          <w:lang w:eastAsia="en-AU"/>
        </w:rPr>
        <w:drawing>
          <wp:inline distT="0" distB="0" distL="0" distR="0" wp14:anchorId="2F2AFF7B" wp14:editId="1F97E681">
            <wp:extent cx="5369560" cy="471043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9560" cy="4710430"/>
                    </a:xfrm>
                    <a:prstGeom prst="rect">
                      <a:avLst/>
                    </a:prstGeom>
                    <a:noFill/>
                    <a:ln>
                      <a:noFill/>
                    </a:ln>
                  </pic:spPr>
                </pic:pic>
              </a:graphicData>
            </a:graphic>
          </wp:inline>
        </w:drawing>
      </w:r>
    </w:p>
    <w:p w:rsidR="006C49DC" w:rsidRPr="008F4F73" w:rsidRDefault="006C49DC" w:rsidP="006C49DC">
      <w:r w:rsidRPr="006C49DC">
        <w:rPr>
          <w:noProof/>
          <w:lang w:eastAsia="en-AU"/>
        </w:rPr>
        <w:drawing>
          <wp:inline distT="0" distB="0" distL="0" distR="0" wp14:anchorId="2172AE05" wp14:editId="478AB069">
            <wp:extent cx="5382895" cy="172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82895" cy="172700"/>
                    </a:xfrm>
                    <a:prstGeom prst="rect">
                      <a:avLst/>
                    </a:prstGeom>
                  </pic:spPr>
                </pic:pic>
              </a:graphicData>
            </a:graphic>
          </wp:inline>
        </w:drawing>
      </w:r>
    </w:p>
    <w:p w:rsidR="006C49DC" w:rsidRPr="008F4F73" w:rsidRDefault="006C49DC" w:rsidP="006C49DC">
      <w:r w:rsidRPr="008F4F73">
        <w:t>The estimates of the market risk premium from other regulators' decisions (dated between August 2015 and March 2016) range from 6 to 7.6 per cent.</w:t>
      </w:r>
      <w:r w:rsidRPr="008F4F73">
        <w:rPr>
          <w:rStyle w:val="FootnoteReference"/>
        </w:rPr>
        <w:footnoteReference w:id="905"/>
      </w:r>
      <w:r w:rsidRPr="008F4F73">
        <w:t xml:space="preserve"> </w:t>
      </w:r>
      <w:r w:rsidRPr="008F4F73">
        <w:fldChar w:fldCharType="begin"/>
      </w:r>
      <w:r w:rsidRPr="008F4F73">
        <w:instrText xml:space="preserve"> REF _Ref449019545 \h </w:instrText>
      </w:r>
      <w:r w:rsidRPr="008F4F73">
        <w:fldChar w:fldCharType="separate"/>
      </w:r>
      <w:r w:rsidR="003F1AAB" w:rsidRPr="008F4F73">
        <w:t xml:space="preserve">Figure </w:t>
      </w:r>
      <w:r w:rsidR="003F1AAB">
        <w:rPr>
          <w:noProof/>
        </w:rPr>
        <w:t>3</w:t>
      </w:r>
      <w:r w:rsidR="003F1AAB">
        <w:noBreakHyphen/>
      </w:r>
      <w:r w:rsidR="003F1AAB">
        <w:rPr>
          <w:noProof/>
        </w:rPr>
        <w:t>16</w:t>
      </w:r>
      <w:r w:rsidRPr="008F4F73">
        <w:fldChar w:fldCharType="end"/>
      </w:r>
      <w:r w:rsidRPr="008F4F73">
        <w:t xml:space="preserve"> shows that our estimate (6.5 per cent) of the market risk premium is consistent with the range of estimates from other regulators over time.</w:t>
      </w:r>
    </w:p>
    <w:p w:rsidR="006C49DC" w:rsidRPr="008F4F73" w:rsidRDefault="006C49DC" w:rsidP="006C49DC">
      <w:pPr>
        <w:pStyle w:val="Caption"/>
        <w:numPr>
          <w:ilvl w:val="0"/>
          <w:numId w:val="25"/>
        </w:numPr>
      </w:pPr>
      <w:bookmarkStart w:id="276" w:name="_Ref449019545"/>
      <w:r w:rsidRPr="008F4F73">
        <w:t xml:space="preserve">Figure </w:t>
      </w:r>
      <w:fldSimple w:instr=" STYLEREF 1 \s ">
        <w:r w:rsidR="003F1AAB">
          <w:rPr>
            <w:noProof/>
          </w:rPr>
          <w:t>3</w:t>
        </w:r>
      </w:fldSimple>
      <w:r w:rsidR="00E4520A">
        <w:noBreakHyphen/>
      </w:r>
      <w:fldSimple w:instr=" SEQ Figure \* ARABIC \s 1 ">
        <w:r w:rsidR="003F1AAB">
          <w:rPr>
            <w:noProof/>
          </w:rPr>
          <w:t>16</w:t>
        </w:r>
      </w:fldSimple>
      <w:bookmarkEnd w:id="276"/>
      <w:r w:rsidRPr="008F4F73">
        <w:tab/>
        <w:t>Market risk premium estimates from other regulators' decisions</w:t>
      </w:r>
    </w:p>
    <w:p w:rsidR="006C49DC" w:rsidRPr="008F4F73" w:rsidRDefault="006C49DC" w:rsidP="006C49DC">
      <w:r w:rsidRPr="006C49DC">
        <w:rPr>
          <w:noProof/>
          <w:lang w:eastAsia="en-AU"/>
        </w:rPr>
        <w:drawing>
          <wp:inline distT="0" distB="0" distL="0" distR="0" wp14:anchorId="2E9E87A2" wp14:editId="12C62360">
            <wp:extent cx="5369560" cy="477393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9560" cy="4773930"/>
                    </a:xfrm>
                    <a:prstGeom prst="rect">
                      <a:avLst/>
                    </a:prstGeom>
                    <a:noFill/>
                    <a:ln>
                      <a:noFill/>
                    </a:ln>
                  </pic:spPr>
                </pic:pic>
              </a:graphicData>
            </a:graphic>
          </wp:inline>
        </w:drawing>
      </w:r>
      <w:r w:rsidRPr="008F4F73">
        <w:tab/>
      </w:r>
    </w:p>
    <w:p w:rsidR="006C49DC" w:rsidRPr="006C49DC" w:rsidRDefault="006C49DC" w:rsidP="006C49DC">
      <w:pPr>
        <w:pStyle w:val="Heading8"/>
      </w:pPr>
      <w:bookmarkStart w:id="277" w:name="_Toc443923237"/>
      <w:bookmarkStart w:id="278" w:name="_Ref445933050"/>
      <w:bookmarkStart w:id="279" w:name="_Ref446278671"/>
      <w:bookmarkStart w:id="280" w:name="_Ref446280177"/>
      <w:bookmarkStart w:id="281" w:name="_Ref449020986"/>
      <w:bookmarkStart w:id="282" w:name="_Toc451333507"/>
      <w:bookmarkStart w:id="283" w:name="_Toc451943810"/>
      <w:bookmarkStart w:id="284" w:name="_Toc456686743"/>
      <w:bookmarkEnd w:id="274"/>
      <w:r w:rsidRPr="008F4F73">
        <w:t xml:space="preserve">Relationship between risk free rate and market risk premium in </w:t>
      </w:r>
      <w:r w:rsidRPr="006C49DC">
        <w:t>valuation reports</w:t>
      </w:r>
      <w:bookmarkEnd w:id="277"/>
      <w:bookmarkEnd w:id="278"/>
      <w:bookmarkEnd w:id="279"/>
      <w:bookmarkEnd w:id="280"/>
      <w:bookmarkEnd w:id="281"/>
      <w:bookmarkEnd w:id="282"/>
      <w:bookmarkEnd w:id="283"/>
      <w:bookmarkEnd w:id="284"/>
    </w:p>
    <w:p w:rsidR="00DC7F8C" w:rsidRDefault="00DC7F8C" w:rsidP="003957BF">
      <w:pPr>
        <w:numPr>
          <w:ilvl w:val="0"/>
          <w:numId w:val="25"/>
        </w:numPr>
      </w:pPr>
    </w:p>
    <w:p w:rsidR="006C49DC" w:rsidRPr="008F4F73" w:rsidRDefault="004F7E21" w:rsidP="003957BF">
      <w:pPr>
        <w:numPr>
          <w:ilvl w:val="0"/>
          <w:numId w:val="25"/>
        </w:numPr>
      </w:pPr>
      <w:r>
        <w:t>S</w:t>
      </w:r>
      <w:r w:rsidR="00DC7F8C">
        <w:t xml:space="preserve">ervice providers </w:t>
      </w:r>
      <w:r w:rsidR="006C49DC" w:rsidRPr="008F4F73">
        <w:t xml:space="preserve">submitted reports from Incenta Economic Consulting, NERA, and Houston Kemp that claimed that there is evidence of an inverse relationship between the risk free rate and the market risk premium in recent estimates by independent valuers. </w:t>
      </w:r>
      <w:r>
        <w:t xml:space="preserve">AusNet Services also submitted consultant reports that </w:t>
      </w:r>
      <w:r w:rsidR="00784B0F">
        <w:t xml:space="preserve">referred to some of the above reports </w:t>
      </w:r>
      <w:r w:rsidR="00502256">
        <w:t>in arguing</w:t>
      </w:r>
      <w:r w:rsidR="00784B0F">
        <w:t xml:space="preserve"> for </w:t>
      </w:r>
      <w:r w:rsidR="00CE6191">
        <w:t>the same</w:t>
      </w:r>
      <w:r w:rsidR="00784B0F">
        <w:t xml:space="preserve"> inverse relati</w:t>
      </w:r>
      <w:r w:rsidR="00CE6191">
        <w:t>o</w:t>
      </w:r>
      <w:r w:rsidR="00784B0F">
        <w:t>nship</w:t>
      </w:r>
      <w:r>
        <w:t>.</w:t>
      </w:r>
      <w:r>
        <w:rPr>
          <w:rStyle w:val="FootnoteReference"/>
        </w:rPr>
        <w:footnoteReference w:id="906"/>
      </w:r>
    </w:p>
    <w:p w:rsidR="006C49DC" w:rsidRPr="008F4F73" w:rsidRDefault="006C49DC" w:rsidP="006C49DC">
      <w:pPr>
        <w:numPr>
          <w:ilvl w:val="0"/>
          <w:numId w:val="25"/>
        </w:numPr>
      </w:pPr>
      <w:r w:rsidRPr="008F4F73">
        <w:t>We considered the submissions by Incenta and NERA in our draft decision, with our overall assessment being that there is not sufficient evidence to establish the existence of such a relationship in valuers' estimates.</w:t>
      </w:r>
      <w:r w:rsidRPr="008F4F73">
        <w:rPr>
          <w:rStyle w:val="FootnoteReference"/>
        </w:rPr>
        <w:footnoteReference w:id="907"/>
      </w:r>
      <w:r w:rsidRPr="008F4F73">
        <w:t xml:space="preserve"> This is because:</w:t>
      </w:r>
    </w:p>
    <w:p w:rsidR="006C49DC" w:rsidRPr="006C49DC" w:rsidRDefault="006C49DC" w:rsidP="006C49DC">
      <w:pPr>
        <w:pStyle w:val="AERbulletlistfirststyle"/>
      </w:pPr>
      <w:r w:rsidRPr="008F4F73">
        <w:t>Incenta's sample is too small to support a reliable inference.</w:t>
      </w:r>
    </w:p>
    <w:p w:rsidR="006C49DC" w:rsidRPr="006C49DC" w:rsidRDefault="006C49DC" w:rsidP="006C49DC">
      <w:pPr>
        <w:pStyle w:val="AERbulletlistfirststyle"/>
      </w:pPr>
      <w:r w:rsidRPr="008F4F73">
        <w:t>NERA's regression results are driven by its unsupported assumption that any difference between a valuer's stated risk free rate and the prevailing yield on Commonwealth government securities is to be taken as part of their adopted market risk premium.</w:t>
      </w:r>
    </w:p>
    <w:p w:rsidR="006C49DC" w:rsidRDefault="006C49DC" w:rsidP="006C49DC">
      <w:pPr>
        <w:rPr>
          <w:rStyle w:val="AERbody"/>
        </w:rPr>
      </w:pPr>
      <w:r w:rsidRPr="008F4F73">
        <w:t xml:space="preserve">As HoustonKemp's analysis uses the same methods to that of NERA, our criticisms of NERA's analysis in our </w:t>
      </w:r>
      <w:r>
        <w:t>draft</w:t>
      </w:r>
      <w:r w:rsidRPr="008F4F73">
        <w:t xml:space="preserve"> decision are equally applicable to it. </w:t>
      </w:r>
      <w:r w:rsidRPr="008F4F73">
        <w:rPr>
          <w:rStyle w:val="AERbody"/>
        </w:rPr>
        <w:t>These reasons were supported by Partington and Satchell.</w:t>
      </w:r>
      <w:r w:rsidRPr="008F4F73">
        <w:rPr>
          <w:rStyle w:val="FootnoteReference"/>
        </w:rPr>
        <w:footnoteReference w:id="908"/>
      </w:r>
      <w:r w:rsidRPr="008F4F73">
        <w:rPr>
          <w:rStyle w:val="AERbody"/>
        </w:rPr>
        <w:t xml:space="preserve"> We discuss our reasons for not accepting the submissions by Incenta, NERA, and Houston Kemp further in the following sections. We do not consider that there is sufficient evidence before us to depart from our original assessment.</w:t>
      </w:r>
    </w:p>
    <w:p w:rsidR="006C49DC" w:rsidRPr="008F4F73" w:rsidRDefault="006C49DC" w:rsidP="006C49DC">
      <w:pPr>
        <w:pStyle w:val="Heading9"/>
      </w:pPr>
      <w:bookmarkStart w:id="285" w:name="_Toc456686744"/>
      <w:r>
        <w:t>Our assessment of Incenta's submission</w:t>
      </w:r>
      <w:bookmarkEnd w:id="285"/>
    </w:p>
    <w:p w:rsidR="006C49DC" w:rsidRPr="008F4F73" w:rsidRDefault="006C49DC" w:rsidP="006C49DC">
      <w:pPr>
        <w:numPr>
          <w:ilvl w:val="0"/>
          <w:numId w:val="25"/>
        </w:numPr>
      </w:pPr>
      <w:r w:rsidRPr="008F4F73">
        <w:rPr>
          <w:rStyle w:val="AERbody"/>
        </w:rPr>
        <w:t xml:space="preserve">We continue to consider our criticisms of Incenta's submission in our </w:t>
      </w:r>
      <w:r>
        <w:rPr>
          <w:rStyle w:val="AERbody"/>
        </w:rPr>
        <w:t>draft</w:t>
      </w:r>
      <w:r w:rsidRPr="008F4F73">
        <w:rPr>
          <w:rStyle w:val="AERbody"/>
        </w:rPr>
        <w:t xml:space="preserve"> decision to be justified.</w:t>
      </w:r>
      <w:r w:rsidRPr="008F4F73">
        <w:t xml:space="preserve"> Incenta plotted the</w:t>
      </w:r>
      <w:r w:rsidRPr="008F4F73" w:rsidDel="008860FD">
        <w:t xml:space="preserve"> </w:t>
      </w:r>
      <w:r w:rsidRPr="008F4F73">
        <w:t>equity risk premium estimates in 13 independent valuation reports for regulated infrastructure business against the prevailing risk free rate, stating that 'it would be incorrect to assume that the total risk premium is independent of the risk free rate, but rather that there is a clear inverse relationship'.</w:t>
      </w:r>
      <w:r w:rsidRPr="008F4F73">
        <w:rPr>
          <w:rStyle w:val="FootnoteReference"/>
        </w:rPr>
        <w:footnoteReference w:id="909"/>
      </w:r>
    </w:p>
    <w:p w:rsidR="006C49DC" w:rsidRPr="008F4F73" w:rsidRDefault="006C49DC" w:rsidP="006C49DC">
      <w:r w:rsidRPr="008F4F73">
        <w:t>We do not consider that Incenta's evidence supports the view that there is any clear relationship between the risk free rate and risk premiums. This is because:</w:t>
      </w:r>
    </w:p>
    <w:p w:rsidR="006C49DC" w:rsidRPr="006C49DC" w:rsidRDefault="006C49DC" w:rsidP="006C49DC">
      <w:pPr>
        <w:pStyle w:val="AERbulletlistfirststyle"/>
      </w:pPr>
      <w:r w:rsidRPr="008F4F73">
        <w:t>As Partington states with reference to Incenta's plot of equity risk premium estimates, 'making [a] reliable inference in a sample of 13 observations is extremely difficult' and 'the inference in the report is highly speculative at best'.</w:t>
      </w:r>
      <w:r w:rsidRPr="006C49DC">
        <w:rPr>
          <w:rStyle w:val="FootnoteReference"/>
        </w:rPr>
        <w:footnoteReference w:id="910"/>
      </w:r>
    </w:p>
    <w:p w:rsidR="006C49DC" w:rsidRPr="006C49DC" w:rsidRDefault="006C49DC" w:rsidP="006C49DC">
      <w:pPr>
        <w:pStyle w:val="AERbulletlistfirststyle"/>
      </w:pPr>
      <w:r w:rsidRPr="008F4F73">
        <w:t>It is not clear to us that any inverse correlation between the risk free rate and valuers' equity risk premium estimates is not just reflecting a positive correlation between the equity and debt risk premiums.</w:t>
      </w:r>
    </w:p>
    <w:p w:rsidR="006C49DC" w:rsidRPr="006C49DC" w:rsidRDefault="006C49DC" w:rsidP="006C49DC">
      <w:pPr>
        <w:pStyle w:val="AERbulletlistfirststyle"/>
      </w:pPr>
      <w:r w:rsidRPr="008F4F73">
        <w:t>We note each valuation report in Incenta's sample is for a different business. Therefore, differences in the valuers' equity beta estimates could be driving the differences in their equity risk premium estimates, as opposed to movements in the risk free rate as Incenta claims. . We compared the equity risk premium, debt risk premium and risk free rate for comparable firms in the draft decision.</w:t>
      </w:r>
      <w:r w:rsidRPr="006C49DC">
        <w:rPr>
          <w:rStyle w:val="FootnoteReference"/>
        </w:rPr>
        <w:footnoteReference w:id="911"/>
      </w:r>
      <w:r w:rsidRPr="006C49DC">
        <w:t xml:space="preserve"> </w:t>
      </w:r>
      <w:r w:rsidRPr="006C49DC">
        <w:fldChar w:fldCharType="begin"/>
      </w:r>
      <w:r w:rsidRPr="006C49DC">
        <w:instrText xml:space="preserve"> REF _Ref449019854 \h </w:instrText>
      </w:r>
      <w:r w:rsidRPr="006C49DC">
        <w:fldChar w:fldCharType="separate"/>
      </w:r>
      <w:r w:rsidR="003F1AAB" w:rsidRPr="008F4F73">
        <w:t xml:space="preserve">Figure </w:t>
      </w:r>
      <w:r w:rsidR="003F1AAB">
        <w:rPr>
          <w:noProof/>
        </w:rPr>
        <w:t>3</w:t>
      </w:r>
      <w:r w:rsidR="003F1AAB">
        <w:noBreakHyphen/>
      </w:r>
      <w:r w:rsidR="003F1AAB">
        <w:rPr>
          <w:noProof/>
        </w:rPr>
        <w:t>17</w:t>
      </w:r>
      <w:r w:rsidRPr="006C49DC">
        <w:fldChar w:fldCharType="end"/>
      </w:r>
      <w:r w:rsidRPr="006C49DC">
        <w:t xml:space="preserve"> shows that the market risk premium remains relatively stable which indicates that it is the choice of equity beta that is driving movement in the equity risk premium. </w:t>
      </w:r>
    </w:p>
    <w:p w:rsidR="006C49DC" w:rsidRPr="008F4F73" w:rsidRDefault="006C49DC" w:rsidP="006C49DC">
      <w:pPr>
        <w:pStyle w:val="Caption"/>
      </w:pPr>
    </w:p>
    <w:p w:rsidR="006C49DC" w:rsidRPr="008F4F73" w:rsidRDefault="006C49DC" w:rsidP="006C49DC">
      <w:pPr>
        <w:pStyle w:val="Caption"/>
      </w:pPr>
      <w:bookmarkStart w:id="286" w:name="_Ref449019854"/>
      <w:r w:rsidRPr="008F4F73">
        <w:t xml:space="preserve">Figure </w:t>
      </w:r>
      <w:fldSimple w:instr=" STYLEREF 1 \s ">
        <w:r w:rsidR="003F1AAB">
          <w:rPr>
            <w:noProof/>
          </w:rPr>
          <w:t>3</w:t>
        </w:r>
      </w:fldSimple>
      <w:r w:rsidR="00E4520A">
        <w:noBreakHyphen/>
      </w:r>
      <w:fldSimple w:instr=" SEQ Figure \* ARABIC \s 1 ">
        <w:r w:rsidR="003F1AAB">
          <w:rPr>
            <w:noProof/>
          </w:rPr>
          <w:t>17</w:t>
        </w:r>
      </w:fldSimple>
      <w:bookmarkEnd w:id="286"/>
      <w:r w:rsidRPr="008F4F73">
        <w:tab/>
        <w:t xml:space="preserve">Comparison of </w:t>
      </w:r>
      <w:r>
        <w:t>parameter estimates</w:t>
      </w:r>
      <w:r w:rsidRPr="008F4F73">
        <w:t xml:space="preserve"> from relevant valuation reports </w:t>
      </w:r>
    </w:p>
    <w:p w:rsidR="006C49DC" w:rsidRPr="008F4F73" w:rsidRDefault="006C49DC" w:rsidP="006C49DC">
      <w:r w:rsidRPr="006C49DC">
        <w:rPr>
          <w:noProof/>
          <w:lang w:eastAsia="en-AU"/>
        </w:rPr>
        <w:drawing>
          <wp:inline distT="0" distB="0" distL="0" distR="0" wp14:anchorId="5647E554" wp14:editId="1F359DFC">
            <wp:extent cx="5369560" cy="427418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9560" cy="4274185"/>
                    </a:xfrm>
                    <a:prstGeom prst="rect">
                      <a:avLst/>
                    </a:prstGeom>
                    <a:noFill/>
                    <a:ln>
                      <a:noFill/>
                    </a:ln>
                  </pic:spPr>
                </pic:pic>
              </a:graphicData>
            </a:graphic>
          </wp:inline>
        </w:drawing>
      </w:r>
    </w:p>
    <w:p w:rsidR="006C49DC" w:rsidRPr="008F4F73" w:rsidRDefault="006C49DC" w:rsidP="006C49DC">
      <w:pPr>
        <w:pStyle w:val="AERtablesource"/>
      </w:pPr>
      <w:r w:rsidRPr="008F4F73">
        <w:t>Source:</w:t>
      </w:r>
      <w:r w:rsidRPr="008F4F73">
        <w:tab/>
        <w:t xml:space="preserve">AER analysis of reports from the Thomson Reuters Connect4 database </w:t>
      </w:r>
    </w:p>
    <w:p w:rsidR="006C49DC" w:rsidRPr="008F4F73" w:rsidRDefault="006C49DC" w:rsidP="006C49DC">
      <w:r w:rsidRPr="008F4F73">
        <w:t>Incenta also submitted that there is merit in examining directional evidence on the return on the market estimates from valuation reports.</w:t>
      </w:r>
      <w:r w:rsidRPr="008F4F73">
        <w:rPr>
          <w:rStyle w:val="FootnoteReference"/>
        </w:rPr>
        <w:footnoteReference w:id="912"/>
      </w:r>
      <w:r w:rsidRPr="008F4F73">
        <w:t xml:space="preserve"> We consider that examining the market return estimated by independent valuers facilitates the inclusion of all valuation reports (not just those reports for relevant businesses) and removes the influence of business-specific equity beta estimates. However, the market return may be less comparable to our foundation model return on equity as we would need to consider the extent to which the benchmark efficient entity is exposed to the systematic risks of the market. Partington also noted the need for caution in drawing time-trend inferences from valuation reports, stating:</w:t>
      </w:r>
      <w:r w:rsidRPr="008F4F73">
        <w:rPr>
          <w:rStyle w:val="FootnoteReference"/>
        </w:rPr>
        <w:footnoteReference w:id="913"/>
      </w:r>
    </w:p>
    <w:p w:rsidR="006C49DC" w:rsidRPr="008F4F73" w:rsidRDefault="006C49DC" w:rsidP="006C49DC">
      <w:pPr>
        <w:pStyle w:val="AERquote"/>
      </w:pPr>
      <w:r w:rsidRPr="008F4F73">
        <w:t>Variation through time, however, needs to be interpreted with caution given our comments about the size of year by year samples below and possible changes in the representativeness of the sample through time.</w:t>
      </w:r>
    </w:p>
    <w:p w:rsidR="006C49DC" w:rsidRPr="008F4F73" w:rsidRDefault="006C49DC" w:rsidP="006C49DC">
      <w:r w:rsidRPr="008F4F73">
        <w:t>In any case, we consider that the analysis in our draft decision indicated that the market return estimated by the Sharpe-Lintner CAPM using our point estimate of the market risk premium is not inconsistent with the market returns estimated in valuation reports.</w:t>
      </w:r>
      <w:r w:rsidRPr="008F4F73">
        <w:rPr>
          <w:rStyle w:val="FootnoteReference"/>
        </w:rPr>
        <w:footnoteReference w:id="914"/>
      </w:r>
    </w:p>
    <w:p w:rsidR="006C49DC" w:rsidRPr="008F4F73" w:rsidRDefault="006C49DC" w:rsidP="006C49DC">
      <w:pPr>
        <w:pStyle w:val="Heading9"/>
      </w:pPr>
      <w:bookmarkStart w:id="287" w:name="_Toc456686745"/>
      <w:r w:rsidRPr="008F4F73">
        <w:t>Regression analyses by NERA and HoustonKemp</w:t>
      </w:r>
      <w:bookmarkEnd w:id="287"/>
    </w:p>
    <w:p w:rsidR="006C49DC" w:rsidRPr="008F4F73" w:rsidRDefault="006C49DC" w:rsidP="006C49DC">
      <w:r w:rsidRPr="008F4F73">
        <w:t>We do not consider that, on the whole, there is sufficient evidence in the submissions by NERA and HoustonKemp to establish that the return on equity estimates in recent valuation reports support either:</w:t>
      </w:r>
    </w:p>
    <w:p w:rsidR="006C49DC" w:rsidRPr="006C49DC" w:rsidRDefault="006C49DC" w:rsidP="006C49DC">
      <w:pPr>
        <w:pStyle w:val="AERbulletlistfirststyle"/>
      </w:pPr>
      <w:r w:rsidRPr="008F4F73">
        <w:t>the use of a risk free rate in excess of the prevailing yield on Australian government securities; or</w:t>
      </w:r>
    </w:p>
    <w:p w:rsidR="006C49DC" w:rsidRPr="006C49DC" w:rsidRDefault="006C49DC" w:rsidP="006C49DC">
      <w:pPr>
        <w:pStyle w:val="AERbulletlistfirststyle"/>
      </w:pPr>
      <w:proofErr w:type="gramStart"/>
      <w:r w:rsidRPr="008F4F73">
        <w:t>an</w:t>
      </w:r>
      <w:proofErr w:type="gramEnd"/>
      <w:r w:rsidRPr="008F4F73">
        <w:t xml:space="preserve"> increased market risk premium when the yield on Australian government securities is relatively low (that is, an negative relationship between market risk premium and yields on Australian government securities).</w:t>
      </w:r>
    </w:p>
    <w:p w:rsidR="006C49DC" w:rsidRPr="008F4F73" w:rsidRDefault="006C49DC" w:rsidP="006C49DC">
      <w:r w:rsidRPr="008F4F73">
        <w:t>Although we acknowledge that a number of valuation reports have used a risk free rate estimate in excess of the yield on Australian government securities, it is not clear that this is a widespread and persistent practice. As shown in Figure 4.1 of NERA's report and Figure 7 of HoustonKemp's report,</w:t>
      </w:r>
      <w:r w:rsidRPr="008F4F73">
        <w:rPr>
          <w:rStyle w:val="FootnoteReference"/>
        </w:rPr>
        <w:footnoteReference w:id="915"/>
      </w:r>
      <w:r w:rsidRPr="008F4F73">
        <w:t xml:space="preserve"> valuer's estimates of the risk free rate have generally been in line with the yield on Australian government securities up until about late 2011. After this time, a considerable number of valuation reports continued to use risk free rate estimates commensurate with Australian government security yields</w:t>
      </w:r>
      <w:r w:rsidRPr="008F4F73" w:rsidDel="005C404F">
        <w:t xml:space="preserve"> </w:t>
      </w:r>
      <w:r w:rsidRPr="008F4F73">
        <w:t>while some valuation reports used risk free rate estimates materially different from these yields.</w:t>
      </w:r>
      <w:r w:rsidRPr="008F4F73">
        <w:rPr>
          <w:rStyle w:val="FootnoteReference"/>
        </w:rPr>
        <w:footnoteReference w:id="916"/>
      </w:r>
      <w:r w:rsidRPr="008F4F73">
        <w:t xml:space="preserve"> As noted by Partington &amp; Satchell:</w:t>
      </w:r>
      <w:r w:rsidRPr="008F4F73">
        <w:rPr>
          <w:rStyle w:val="FootnoteReference"/>
        </w:rPr>
        <w:footnoteReference w:id="917"/>
      </w:r>
    </w:p>
    <w:p w:rsidR="006C49DC" w:rsidRPr="008F4F73" w:rsidRDefault="006C49DC" w:rsidP="006C49DC">
      <w:pPr>
        <w:pStyle w:val="AERquote"/>
      </w:pPr>
      <w:r w:rsidRPr="008F4F73">
        <w:t>Some of the experts clearly have a view that the risk free rate is substantially above the CGS rate, but on the basis of evidence it cannot be said that this is a consensus view.</w:t>
      </w:r>
    </w:p>
    <w:p w:rsidR="006C49DC" w:rsidRPr="008F4F73" w:rsidRDefault="006C49DC" w:rsidP="006C49DC">
      <w:r w:rsidRPr="008F4F73">
        <w:t>We note that HoustonKemp's observation of an uplifted risk free rate (above the CGS yield) by expert reports is largely driven by the use of a 'substantially increased risk free rate by some experts'.</w:t>
      </w:r>
      <w:r w:rsidRPr="008F4F73">
        <w:rPr>
          <w:rStyle w:val="FootnoteReference"/>
        </w:rPr>
        <w:footnoteReference w:id="918"/>
      </w:r>
      <w:r w:rsidRPr="008F4F73">
        <w:t xml:space="preserve"> </w:t>
      </w:r>
    </w:p>
    <w:p w:rsidR="006C49DC" w:rsidRPr="008F4F73" w:rsidRDefault="006C49DC" w:rsidP="006C49DC">
      <w:r w:rsidRPr="008F4F73">
        <w:t>Partington and Satchell noted that the concern is 'what weighting should be given to each expert firm': based on the number of reports or number of firms.</w:t>
      </w:r>
      <w:r w:rsidRPr="008F4F73">
        <w:rPr>
          <w:rStyle w:val="FootnoteReference"/>
        </w:rPr>
        <w:footnoteReference w:id="919"/>
      </w:r>
      <w:r w:rsidRPr="008F4F73">
        <w:t xml:space="preserve"> For example, if we construct the standard error based on the number of reports rather than two observations we form an erroneous belief in the accuracy of our estimates.</w:t>
      </w:r>
      <w:r w:rsidRPr="008F4F73">
        <w:rPr>
          <w:rStyle w:val="FootnoteReference"/>
        </w:rPr>
        <w:footnoteReference w:id="920"/>
      </w:r>
    </w:p>
    <w:p w:rsidR="006C49DC" w:rsidRPr="008F4F73" w:rsidRDefault="006C49DC" w:rsidP="006C49DC">
      <w:r w:rsidRPr="008F4F73">
        <w:t>Partington and Satchell advised that 'given the split of expert opinions on whether the risk free rate should be increased or not and given uncertainty over the appropriate weighting of observations, we consider that the case for an increase in the risk free rate is quite weak.'</w:t>
      </w:r>
      <w:r w:rsidRPr="008F4F73">
        <w:rPr>
          <w:rStyle w:val="FootnoteReference"/>
        </w:rPr>
        <w:footnoteReference w:id="921"/>
      </w:r>
      <w:r w:rsidRPr="008F4F73">
        <w:t xml:space="preserve"> </w:t>
      </w:r>
    </w:p>
    <w:p w:rsidR="006C49DC" w:rsidRPr="008F4F73" w:rsidRDefault="006C49DC" w:rsidP="006C49DC">
      <w:r w:rsidRPr="008F4F73">
        <w:t>Partington and Satchell has noted that it is the difference between the valuers' risk free rate estimates and prevailing yields on Australian government securities that drive the results of NERA's regressions.</w:t>
      </w:r>
      <w:r w:rsidRPr="008F4F73">
        <w:rPr>
          <w:rStyle w:val="FootnoteReference"/>
        </w:rPr>
        <w:footnoteReference w:id="922"/>
      </w:r>
      <w:r w:rsidRPr="008F4F73">
        <w:t xml:space="preserve"> They noted that HoustonKemp's analysis faces the same issue.</w:t>
      </w:r>
      <w:r w:rsidRPr="008F4F73">
        <w:rPr>
          <w:rStyle w:val="FootnoteReference"/>
        </w:rPr>
        <w:footnoteReference w:id="923"/>
      </w:r>
      <w:r w:rsidRPr="008F4F73">
        <w:t xml:space="preserve"> Partington and Satchell added that HoustonKemp's observation of a negative relationship between the risk free rate and the market risk premium from its regression is 'quite weak' for the following reason:</w:t>
      </w:r>
      <w:r w:rsidRPr="008F4F73">
        <w:rPr>
          <w:rStyle w:val="FootnoteReference"/>
        </w:rPr>
        <w:footnoteReference w:id="924"/>
      </w:r>
    </w:p>
    <w:p w:rsidR="006C49DC" w:rsidRPr="008F4F73" w:rsidRDefault="006C49DC" w:rsidP="006C49DC">
      <w:pPr>
        <w:pStyle w:val="AERquote"/>
      </w:pPr>
      <w:r w:rsidRPr="008F4F73">
        <w:t>…the relation between the government bond yield and the risk premium used in experts reports is significant in some cases, but only when the NERA or Ernst &amp; Young adjusted estimates of the market risk premium are used and the results are not significant even in these cases for the random effects models and the effect where it is significant is small. We conclude that this evidence is quite weak, the more so when the problem of biased parameters introduced by potentially incorrect weighting is considered.</w:t>
      </w:r>
    </w:p>
    <w:p w:rsidR="006C49DC" w:rsidRPr="008F4F73" w:rsidRDefault="006C49DC" w:rsidP="006C49DC">
      <w:r w:rsidRPr="008F4F73">
        <w:t>Partington and Satchell also advised that Houston Kemp's regression actually shows there is:</w:t>
      </w:r>
      <w:r w:rsidRPr="008F4F73">
        <w:rPr>
          <w:rStyle w:val="FootnoteReference"/>
        </w:rPr>
        <w:footnoteReference w:id="925"/>
      </w:r>
      <w:r w:rsidRPr="008F4F73">
        <w:t xml:space="preserve"> </w:t>
      </w:r>
    </w:p>
    <w:p w:rsidR="006C49DC" w:rsidRPr="008F4F73" w:rsidRDefault="006C49DC" w:rsidP="006C49DC">
      <w:pPr>
        <w:pStyle w:val="AERquote"/>
      </w:pPr>
      <w:proofErr w:type="gramStart"/>
      <w:r w:rsidRPr="000667B3">
        <w:t>no</w:t>
      </w:r>
      <w:proofErr w:type="gramEnd"/>
      <w:r w:rsidRPr="000667B3">
        <w:t xml:space="preserve"> relation between the risk premium that experts use and the return on ten year bonds. What the expert reports actually show is that post 2010 about half the expert reports use a rate higher than the government bond rate as their proxy for the risk free rate. This is what drives the result in HoustonKemp's report, rather than an incre</w:t>
      </w:r>
      <w:r>
        <w:t>a</w:t>
      </w:r>
      <w:r w:rsidRPr="000667B3">
        <w:t>se in the risk premium that the experts were using.</w:t>
      </w:r>
    </w:p>
    <w:p w:rsidR="006C49DC" w:rsidRPr="008F4F73" w:rsidRDefault="006C49DC" w:rsidP="006C49DC">
      <w:r w:rsidRPr="008F4F73">
        <w:t xml:space="preserve">We continue to consider, in the first instance, that a valuer's estimate of market risk premium is the valuer's best estimate of the market risk premium. It is not clear that a difference between the valuer's risk free rate estimate and prevailing yields on Australian government securities reflects </w:t>
      </w:r>
      <w:proofErr w:type="gramStart"/>
      <w:r w:rsidRPr="008F4F73">
        <w:t>an uplift</w:t>
      </w:r>
      <w:proofErr w:type="gramEnd"/>
      <w:r w:rsidRPr="008F4F73">
        <w:t xml:space="preserve"> to market risk premium, given that the valuer had the opportunity to directly increase its market risk premium estimate. </w:t>
      </w:r>
    </w:p>
    <w:p w:rsidR="006C49DC" w:rsidRPr="006C49DC" w:rsidRDefault="006C49DC" w:rsidP="006C49DC">
      <w:r w:rsidRPr="008F4F73">
        <w:t>Further, it is not clear that uplifts separately applied to an initial return on equity or rate of return estimate (in contrast to an increased risk free rate estimate) should be attributed to the market risk premium or market return. In Table 4.2 of its report,</w:t>
      </w:r>
      <w:r w:rsidRPr="008F4F73">
        <w:rPr>
          <w:rStyle w:val="FootnoteReference"/>
        </w:rPr>
        <w:footnoteReference w:id="926"/>
      </w:r>
      <w:r w:rsidRPr="008F4F73">
        <w:t xml:space="preserve"> NERA lists the uplifts found in its sample period that it considers are attributable to market-wide factors (rather than firm-specific factors). We note that nine out of the ten uplifts in Table 4.2 are from a single valuer. It is not clear the extent to which these nine uplifts reflect </w:t>
      </w:r>
      <w:proofErr w:type="gramStart"/>
      <w:r w:rsidRPr="008F4F73">
        <w:t>an uplift</w:t>
      </w:r>
      <w:proofErr w:type="gramEnd"/>
      <w:r w:rsidRPr="008F4F73">
        <w:t xml:space="preserve"> to the risk free rate ('low interest rates') or market risk premium. The same issue applies to HoustonKemp's report: 13 of the 14 uplifts it considered to be due to market-wide factors were from the same valuer (Grant Samuel).</w:t>
      </w:r>
      <w:r w:rsidRPr="008F4F73">
        <w:rPr>
          <w:rStyle w:val="FootnoteReference"/>
        </w:rPr>
        <w:footnoteReference w:id="927"/>
      </w:r>
      <w:r w:rsidRPr="008F4F73">
        <w:t xml:space="preserve"> We are not convinced that reliable inferences can be drawn from such highly-concentrated samples. As noted in </w:t>
      </w:r>
      <w:r w:rsidRPr="008F4F73">
        <w:fldChar w:fldCharType="begin"/>
      </w:r>
      <w:r w:rsidRPr="008F4F73">
        <w:instrText xml:space="preserve"> REF _Ref445927856 \h </w:instrText>
      </w:r>
      <w:r w:rsidRPr="008F4F73">
        <w:fldChar w:fldCharType="separate"/>
      </w:r>
      <w:r w:rsidR="003F1AAB">
        <w:t xml:space="preserve">Table </w:t>
      </w:r>
      <w:r w:rsidR="003F1AAB">
        <w:rPr>
          <w:noProof/>
        </w:rPr>
        <w:t>3</w:t>
      </w:r>
      <w:r w:rsidR="003F1AAB">
        <w:noBreakHyphen/>
      </w:r>
      <w:r w:rsidR="003F1AAB">
        <w:rPr>
          <w:noProof/>
        </w:rPr>
        <w:t>7</w:t>
      </w:r>
      <w:r w:rsidRPr="008F4F73">
        <w:fldChar w:fldCharType="end"/>
      </w:r>
      <w:r w:rsidRPr="008F4F73">
        <w:t>, it is not clear that uplifts to the risk free rate reflect efficient financing costs for a benchmark efficient entity.</w:t>
      </w:r>
      <w:r w:rsidRPr="008F4F73">
        <w:rPr>
          <w:rStyle w:val="FootnoteReference"/>
        </w:rPr>
        <w:footnoteReference w:id="928"/>
      </w:r>
    </w:p>
    <w:p w:rsidR="00312F8A" w:rsidRDefault="00312F8A" w:rsidP="00312F8A">
      <w:pPr>
        <w:pStyle w:val="Heading7"/>
      </w:pPr>
      <w:bookmarkStart w:id="288" w:name="_Ref451686470"/>
      <w:bookmarkStart w:id="289" w:name="_Toc452629089"/>
      <w:bookmarkStart w:id="290" w:name="_Toc456686746"/>
      <w:r>
        <w:t>Empirical estimates of equity beta</w:t>
      </w:r>
      <w:bookmarkEnd w:id="288"/>
      <w:bookmarkEnd w:id="289"/>
      <w:bookmarkEnd w:id="290"/>
    </w:p>
    <w:p w:rsidR="00784B0F" w:rsidRDefault="00784B0F">
      <w:pPr>
        <w:numPr>
          <w:ilvl w:val="0"/>
          <w:numId w:val="25"/>
        </w:numPr>
      </w:pPr>
      <w:r w:rsidRPr="003A198B">
        <w:t xml:space="preserve">The equity beta </w:t>
      </w:r>
      <w:r>
        <w:t xml:space="preserve">is a key input parameter in </w:t>
      </w:r>
      <w:r w:rsidRPr="003A198B">
        <w:t>the Sharpe–Lintn</w:t>
      </w:r>
      <w:r>
        <w:t>er capital asset pricing model (</w:t>
      </w:r>
      <w:r w:rsidRPr="003A198B">
        <w:t>CAPM</w:t>
      </w:r>
      <w:r>
        <w:t xml:space="preserve">). Equity beta measures </w:t>
      </w:r>
      <w:r w:rsidRPr="003A198B">
        <w:t>the sensitivity of an asset or business</w:t>
      </w:r>
      <w:r>
        <w:t>'s returns</w:t>
      </w:r>
      <w:r w:rsidRPr="003A198B">
        <w:t xml:space="preserve"> to movements in the </w:t>
      </w:r>
      <w:r>
        <w:t xml:space="preserve">overall </w:t>
      </w:r>
      <w:r w:rsidRPr="003A198B">
        <w:t>market</w:t>
      </w:r>
      <w:r>
        <w:t xml:space="preserve"> returns (systematic or market risk).</w:t>
      </w:r>
      <w:r>
        <w:rPr>
          <w:rStyle w:val="FootnoteReference"/>
        </w:rPr>
        <w:footnoteReference w:id="929"/>
      </w:r>
      <w:r>
        <w:t xml:space="preserve"> This appendix focusses on empirical estimates of equity beta. </w:t>
      </w:r>
      <w:r w:rsidRPr="00D42DD7">
        <w:t>Empirical estimates of equity beta are based on regressions that relate the returns on a set of comparator firms to the return on the market.</w:t>
      </w:r>
    </w:p>
    <w:p w:rsidR="00784B0F" w:rsidRDefault="00784B0F" w:rsidP="00784B0F">
      <w:pPr>
        <w:numPr>
          <w:ilvl w:val="0"/>
          <w:numId w:val="25"/>
        </w:numPr>
      </w:pPr>
      <w:r>
        <w:t>As discussed in section 3.4.1, empirical estimates using a comparator set of listed Australian energy network firms from Henry's 2014 report are the main determinants of our equity beta estimate for a benchmark efficient entity with a similar degree of risk as AusNet Services in providing regulated services. Henry's 2014 report is one of a number of Australian empirical studies showing a consistent pattern of equity beta estimates that is robust to the use of different econometric techniques and time periods. We have regard to these other Australian empirical studies. We consider this information supports an equity beta range of 0.4 to 0.7.</w:t>
      </w:r>
    </w:p>
    <w:p w:rsidR="00784B0F" w:rsidRDefault="00784B0F" w:rsidP="00784B0F">
      <w:pPr>
        <w:numPr>
          <w:ilvl w:val="0"/>
          <w:numId w:val="25"/>
        </w:numPr>
      </w:pPr>
      <w:r>
        <w:t>We also have regard to empirical estimates</w:t>
      </w:r>
      <w:r w:rsidRPr="00345FC0">
        <w:t xml:space="preserve"> </w:t>
      </w:r>
      <w:r>
        <w:t>of equity beta for international energy firms. However, we place only limited reliance on this evidence as we do not consider the international firms are sufficiently comparable to a benchmark efficient entity with a similar degree of risk as AusNet Services in providing regulated services. We consider this information provides some support for an equity beta point estimate towards the upper end of the range.</w:t>
      </w:r>
    </w:p>
    <w:p w:rsidR="00784B0F" w:rsidRDefault="00784B0F" w:rsidP="00784B0F">
      <w:pPr>
        <w:numPr>
          <w:ilvl w:val="0"/>
          <w:numId w:val="25"/>
        </w:numPr>
      </w:pPr>
      <w:r>
        <w:t>This appendix sets out:</w:t>
      </w:r>
    </w:p>
    <w:p w:rsidR="00784B0F" w:rsidRPr="00784B0F" w:rsidRDefault="00784B0F" w:rsidP="00784B0F">
      <w:pPr>
        <w:pStyle w:val="AERbulletlistfirststyle"/>
        <w:rPr>
          <w:rStyle w:val="AERbody"/>
        </w:rPr>
      </w:pPr>
      <w:r>
        <w:rPr>
          <w:rStyle w:val="AERbody"/>
        </w:rPr>
        <w:t>the Australian and international empirical estimates we consider in this decision</w:t>
      </w:r>
    </w:p>
    <w:p w:rsidR="00784B0F" w:rsidRPr="00784B0F" w:rsidRDefault="00784B0F" w:rsidP="00784B0F">
      <w:pPr>
        <w:pStyle w:val="AERbulletlistfirststyle"/>
        <w:rPr>
          <w:rStyle w:val="AERbody"/>
        </w:rPr>
      </w:pPr>
      <w:proofErr w:type="gramStart"/>
      <w:r>
        <w:rPr>
          <w:rStyle w:val="AERbody"/>
        </w:rPr>
        <w:t>the</w:t>
      </w:r>
      <w:proofErr w:type="gramEnd"/>
      <w:r>
        <w:rPr>
          <w:rStyle w:val="AERbody"/>
        </w:rPr>
        <w:t xml:space="preserve"> comparator set we use for our empirical analysis and our reasons for using this comparator set.</w:t>
      </w:r>
    </w:p>
    <w:p w:rsidR="00784B0F" w:rsidRPr="00784B0F" w:rsidRDefault="00784B0F" w:rsidP="00784B0F">
      <w:pPr>
        <w:pStyle w:val="Heading8"/>
        <w:numPr>
          <w:ilvl w:val="1"/>
          <w:numId w:val="63"/>
        </w:numPr>
      </w:pPr>
      <w:bookmarkStart w:id="291" w:name="_Ref446255169"/>
      <w:bookmarkStart w:id="292" w:name="_Toc451943812"/>
      <w:bookmarkStart w:id="293" w:name="_Toc456686747"/>
      <w:r>
        <w:t>Australian e</w:t>
      </w:r>
      <w:r w:rsidRPr="00784B0F">
        <w:t>mpirical estimates from Henry's 2014 report</w:t>
      </w:r>
      <w:bookmarkEnd w:id="291"/>
      <w:bookmarkEnd w:id="292"/>
      <w:bookmarkEnd w:id="293"/>
    </w:p>
    <w:p w:rsidR="00784B0F" w:rsidRDefault="00784B0F" w:rsidP="00784B0F">
      <w:pPr>
        <w:numPr>
          <w:ilvl w:val="0"/>
          <w:numId w:val="25"/>
        </w:numPr>
      </w:pPr>
      <w:r>
        <w:t>For our Australian empirical analysis we commissioned an expert report from Professor Olan Henry (Henry), which provided an update on his 2009 econometric analysis of equity beta.</w:t>
      </w:r>
      <w:r>
        <w:rPr>
          <w:rStyle w:val="FootnoteReference"/>
        </w:rPr>
        <w:footnoteReference w:id="930"/>
      </w:r>
      <w:r>
        <w:t xml:space="preserve">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931"/>
      </w:r>
    </w:p>
    <w:p w:rsidR="00784B0F" w:rsidRPr="00C01E61" w:rsidRDefault="00784B0F" w:rsidP="00784B0F">
      <w:pPr>
        <w:numPr>
          <w:ilvl w:val="0"/>
          <w:numId w:val="25"/>
        </w:numPr>
      </w:pPr>
      <w:r>
        <w:t xml:space="preserve">Henry's 2014 report presented </w:t>
      </w:r>
      <w:r w:rsidRPr="00C01E61">
        <w:t xml:space="preserve">empirical </w:t>
      </w:r>
      <w:r>
        <w:t>estimates of</w:t>
      </w:r>
      <w:r w:rsidRPr="00C01E61">
        <w:t xml:space="preserve"> equity beta for our comparator set of nine Australian energy network firms</w:t>
      </w:r>
      <w:r>
        <w:t xml:space="preserve"> (see section </w:t>
      </w:r>
      <w:r>
        <w:fldChar w:fldCharType="begin"/>
      </w:r>
      <w:r>
        <w:instrText xml:space="preserve"> REF _Ref447740508 \r \h </w:instrText>
      </w:r>
      <w:r>
        <w:fldChar w:fldCharType="separate"/>
      </w:r>
      <w:r w:rsidR="003F1AAB">
        <w:t>G.4.1</w:t>
      </w:r>
      <w:r>
        <w:fldChar w:fldCharType="end"/>
      </w:r>
      <w:r>
        <w:t>)</w:t>
      </w:r>
      <w:r w:rsidRPr="00C01E61">
        <w:t xml:space="preserve">, using </w:t>
      </w:r>
      <w:r>
        <w:t xml:space="preserve">available </w:t>
      </w:r>
      <w:r w:rsidRPr="00C01E61">
        <w:t>data from 29 May 1992 to 28 June 2013.</w:t>
      </w:r>
      <w:r>
        <w:rPr>
          <w:rStyle w:val="FootnoteReference"/>
        </w:rPr>
        <w:footnoteReference w:id="932"/>
      </w:r>
      <w:r w:rsidRPr="00C01E61">
        <w:t xml:space="preserve"> </w:t>
      </w:r>
      <w:r>
        <w:t>Based on our detailed discussion of methodological choices in recent decisions,</w:t>
      </w:r>
      <w:r>
        <w:rPr>
          <w:rStyle w:val="FootnoteReference"/>
        </w:rPr>
        <w:footnoteReference w:id="933"/>
      </w:r>
      <w:r>
        <w:t xml:space="preserve"> w</w:t>
      </w:r>
      <w:r w:rsidRPr="00C01E61">
        <w:t>e consider the most useful empirical estimates:</w:t>
      </w:r>
    </w:p>
    <w:p w:rsidR="00784B0F" w:rsidRPr="00784B0F" w:rsidRDefault="00784B0F" w:rsidP="00784B0F">
      <w:pPr>
        <w:pStyle w:val="AERbulletlistfirststyle"/>
      </w:pPr>
      <w:r>
        <w:t>use the Ordinary Least Squares (OLS)</w:t>
      </w:r>
      <w:r w:rsidRPr="00784B0F">
        <w:t xml:space="preserve"> estimator (with the Least Absolute Deviation (LAD) estimator used as a robustness check for outliers in the underlying data)</w:t>
      </w:r>
    </w:p>
    <w:p w:rsidR="00784B0F" w:rsidRPr="00784B0F" w:rsidRDefault="00784B0F" w:rsidP="00784B0F">
      <w:pPr>
        <w:pStyle w:val="AERbulletlistfirststyle"/>
      </w:pPr>
      <w:r w:rsidRPr="00517D1B">
        <w:t>are measured over multiple estimation periods</w:t>
      </w:r>
      <w:r w:rsidRPr="00784B0F">
        <w:t xml:space="preserve"> </w:t>
      </w:r>
    </w:p>
    <w:p w:rsidR="00784B0F" w:rsidRPr="00784B0F" w:rsidRDefault="00784B0F" w:rsidP="00784B0F">
      <w:pPr>
        <w:pStyle w:val="AERbulletlistfirststyle"/>
      </w:pPr>
      <w:r w:rsidRPr="00517D1B">
        <w:t>use weekly return intervals (with monthly returns used as a robustness check)</w:t>
      </w:r>
    </w:p>
    <w:p w:rsidR="00784B0F" w:rsidRPr="00784B0F" w:rsidRDefault="00784B0F" w:rsidP="00784B0F">
      <w:pPr>
        <w:pStyle w:val="AERbulletlistfirststyle"/>
      </w:pPr>
      <w:r>
        <w:t>use the Brealey–Myers formula</w:t>
      </w:r>
      <w:r w:rsidRPr="00784B0F">
        <w:t xml:space="preserve"> to de- and re-lever raw</w:t>
      </w:r>
      <w:r w:rsidRPr="00784B0F">
        <w:rPr>
          <w:rStyle w:val="FootnoteReference"/>
        </w:rPr>
        <w:footnoteReference w:id="934"/>
      </w:r>
      <w:r w:rsidRPr="00784B0F">
        <w:t xml:space="preserve"> estimates to a benchmark gearing of 60 per cent, although we consider both raw and re-levered estimates </w:t>
      </w:r>
    </w:p>
    <w:p w:rsidR="00784B0F" w:rsidRPr="00784B0F" w:rsidRDefault="00784B0F" w:rsidP="00784B0F">
      <w:pPr>
        <w:pStyle w:val="AERbulletlistfirststyle"/>
      </w:pPr>
      <w:r w:rsidRPr="00517D1B">
        <w:t>are based on averages of individual firm estimates and fixed weight portfolios (equal weighting and value weighting)</w:t>
      </w:r>
    </w:p>
    <w:p w:rsidR="00784B0F" w:rsidRPr="00784B0F" w:rsidRDefault="00784B0F" w:rsidP="00784B0F">
      <w:pPr>
        <w:pStyle w:val="AERbulletlistfirststyle"/>
      </w:pPr>
      <w:proofErr w:type="gramStart"/>
      <w:r w:rsidRPr="00517D1B">
        <w:t>do</w:t>
      </w:r>
      <w:proofErr w:type="gramEnd"/>
      <w:r w:rsidRPr="00517D1B">
        <w:t xml:space="preserve"> not apply a Blume or Vasicek adjustment</w:t>
      </w:r>
      <w:r w:rsidRPr="00784B0F">
        <w:t>.</w:t>
      </w:r>
      <w:r w:rsidRPr="00784B0F">
        <w:rPr>
          <w:rStyle w:val="FootnoteReference"/>
        </w:rPr>
        <w:footnoteReference w:id="935"/>
      </w:r>
    </w:p>
    <w:p w:rsidR="00784B0F" w:rsidRPr="00D70AB3" w:rsidRDefault="00784B0F" w:rsidP="00784B0F">
      <w:pPr>
        <w:numPr>
          <w:ilvl w:val="0"/>
          <w:numId w:val="25"/>
        </w:numPr>
      </w:pPr>
      <w:r>
        <w:t>We consider the equity beta estimates presented in Henry's empirical analysis</w:t>
      </w:r>
      <w:r w:rsidRPr="00137096">
        <w:t xml:space="preserve"> </w:t>
      </w:r>
      <w:r>
        <w:t xml:space="preserve">support a range of 0.4 to 0.7. </w:t>
      </w:r>
      <w:r>
        <w:fldChar w:fldCharType="begin"/>
      </w:r>
      <w:r>
        <w:instrText xml:space="preserve"> REF _Ref446197185 \h </w:instrText>
      </w:r>
      <w:r>
        <w:fldChar w:fldCharType="separate"/>
      </w:r>
      <w:r w:rsidR="003F1AAB">
        <w:t xml:space="preserve">Table </w:t>
      </w:r>
      <w:r w:rsidR="003F1AAB">
        <w:rPr>
          <w:noProof/>
        </w:rPr>
        <w:t>3</w:t>
      </w:r>
      <w:r w:rsidR="003F1AAB">
        <w:noBreakHyphen/>
      </w:r>
      <w:r w:rsidR="003F1AAB">
        <w:rPr>
          <w:noProof/>
        </w:rPr>
        <w:t>30</w:t>
      </w:r>
      <w:r>
        <w:fldChar w:fldCharType="end"/>
      </w:r>
      <w:r>
        <w:t xml:space="preserve"> and </w:t>
      </w:r>
      <w:r>
        <w:fldChar w:fldCharType="begin"/>
      </w:r>
      <w:r>
        <w:instrText xml:space="preserve"> REF  _Ref446197176 \* Lower \h </w:instrText>
      </w:r>
      <w:r>
        <w:fldChar w:fldCharType="separate"/>
      </w:r>
      <w:r w:rsidR="003F1AAB">
        <w:t xml:space="preserve">table </w:t>
      </w:r>
      <w:r w:rsidR="003F1AAB">
        <w:rPr>
          <w:noProof/>
        </w:rPr>
        <w:t>3</w:t>
      </w:r>
      <w:r w:rsidR="003F1AAB">
        <w:noBreakHyphen/>
      </w:r>
      <w:r w:rsidR="003F1AAB">
        <w:rPr>
          <w:noProof/>
        </w:rPr>
        <w:t>31</w:t>
      </w:r>
      <w:r>
        <w:fldChar w:fldCharType="end"/>
      </w:r>
      <w:r>
        <w:t xml:space="preserve"> set out </w:t>
      </w:r>
      <w:r w:rsidRPr="00D70AB3">
        <w:t>Henry's re-levered OLS equity beta estimates for the individual comparator firms (averaged across firms) and fixed weight portfolios respectively. The results show that:</w:t>
      </w:r>
    </w:p>
    <w:p w:rsidR="00784B0F" w:rsidRPr="00784B0F" w:rsidRDefault="00784B0F" w:rsidP="00784B0F">
      <w:pPr>
        <w:pStyle w:val="AERbulletlistfirststyle"/>
      </w:pPr>
      <w:r>
        <w:t>The re-levered individual firm estimates (averaged across firms) range from 0.46 to 0.56. The corresponding raw (that is, observed market gearing level) estimates range from 0.48 to 0.50.</w:t>
      </w:r>
      <w:r w:rsidRPr="00784B0F">
        <w:rPr>
          <w:rStyle w:val="FootnoteReference"/>
        </w:rPr>
        <w:footnoteReference w:id="936"/>
      </w:r>
      <w:r w:rsidRPr="00784B0F">
        <w:t xml:space="preserve"> </w:t>
      </w:r>
    </w:p>
    <w:p w:rsidR="00784B0F" w:rsidRPr="00784B0F" w:rsidRDefault="00784B0F" w:rsidP="00784B0F">
      <w:pPr>
        <w:pStyle w:val="AERbulletlistfirststyle"/>
      </w:pPr>
      <w:r>
        <w:t>The re-levered fixed weight portfolio estimates range from 0.39 to 0.70.</w:t>
      </w:r>
      <w:r w:rsidRPr="00784B0F">
        <w:t xml:space="preserve"> The corresponding raw estimates range from 0.42 to 0.58.</w:t>
      </w:r>
      <w:r w:rsidRPr="00784B0F">
        <w:rPr>
          <w:rStyle w:val="FootnoteReference"/>
        </w:rPr>
        <w:footnoteReference w:id="937"/>
      </w:r>
    </w:p>
    <w:p w:rsidR="00784B0F" w:rsidRDefault="00784B0F" w:rsidP="00784B0F">
      <w:pPr>
        <w:pStyle w:val="Caption"/>
      </w:pPr>
      <w:bookmarkStart w:id="294" w:name="_Ref446197185"/>
      <w:r>
        <w:t xml:space="preserve">Table </w:t>
      </w:r>
      <w:r w:rsidRPr="00AC3F76">
        <w:fldChar w:fldCharType="begin"/>
      </w:r>
      <w:r>
        <w:instrText xml:space="preserve"> STYLEREF 1 \s </w:instrText>
      </w:r>
      <w:r w:rsidRPr="00AC3F76">
        <w:fldChar w:fldCharType="separate"/>
      </w:r>
      <w:r w:rsidR="003F1AAB">
        <w:rPr>
          <w:noProof/>
        </w:rPr>
        <w:t>3</w:t>
      </w:r>
      <w:r w:rsidRPr="00AC3F76">
        <w:fldChar w:fldCharType="end"/>
      </w:r>
      <w:r>
        <w:noBreakHyphen/>
      </w:r>
      <w:r w:rsidRPr="00AC3F76">
        <w:fldChar w:fldCharType="begin"/>
      </w:r>
      <w:r>
        <w:instrText xml:space="preserve"> SEQ Table \* ARABIC \s 1 </w:instrText>
      </w:r>
      <w:r w:rsidRPr="00AC3F76">
        <w:fldChar w:fldCharType="separate"/>
      </w:r>
      <w:r w:rsidR="003F1AAB">
        <w:rPr>
          <w:noProof/>
        </w:rPr>
        <w:t>30</w:t>
      </w:r>
      <w:r w:rsidRPr="00AC3F76">
        <w:fldChar w:fldCharType="end"/>
      </w:r>
      <w:bookmarkEnd w:id="294"/>
      <w:r>
        <w:tab/>
      </w:r>
      <w:r w:rsidRPr="00DD5A6B">
        <w:t xml:space="preserve">Average </w:t>
      </w:r>
      <w:r>
        <w:t xml:space="preserve">of </w:t>
      </w:r>
      <w:r w:rsidRPr="00DD5A6B">
        <w:t>re-levered equity beta estimates</w:t>
      </w:r>
      <w:r>
        <w:t xml:space="preserve"> (individual firm)</w:t>
      </w:r>
      <w:r w:rsidRPr="00DD5A6B">
        <w:t xml:space="preserve"> from Henry's 2014 analysis (OLS, weekly)</w:t>
      </w:r>
    </w:p>
    <w:tbl>
      <w:tblPr>
        <w:tblStyle w:val="AERtable-text0"/>
        <w:tblW w:w="0" w:type="auto"/>
        <w:tblLook w:val="04A0" w:firstRow="1" w:lastRow="0" w:firstColumn="1" w:lastColumn="0" w:noHBand="0" w:noVBand="1"/>
      </w:tblPr>
      <w:tblGrid>
        <w:gridCol w:w="2093"/>
        <w:gridCol w:w="2360"/>
        <w:gridCol w:w="2459"/>
        <w:gridCol w:w="1781"/>
      </w:tblGrid>
      <w:tr w:rsidR="00784B0F" w:rsidTr="0042654C">
        <w:trPr>
          <w:cnfStyle w:val="100000000000" w:firstRow="1" w:lastRow="0" w:firstColumn="0" w:lastColumn="0" w:oddVBand="0" w:evenVBand="0" w:oddHBand="0" w:evenHBand="0" w:firstRowFirstColumn="0" w:firstRowLastColumn="0" w:lastRowFirstColumn="0" w:lastRowLastColumn="0"/>
        </w:trPr>
        <w:tc>
          <w:tcPr>
            <w:tcW w:w="2093" w:type="dxa"/>
          </w:tcPr>
          <w:p w:rsidR="00784B0F" w:rsidRPr="00784B0F" w:rsidRDefault="00784B0F" w:rsidP="00784B0F">
            <w:r>
              <w:t>Issue</w:t>
            </w:r>
          </w:p>
        </w:tc>
        <w:tc>
          <w:tcPr>
            <w:tcW w:w="2360" w:type="dxa"/>
          </w:tcPr>
          <w:p w:rsidR="00784B0F" w:rsidRPr="00784B0F" w:rsidRDefault="00784B0F" w:rsidP="00C65DA1">
            <w:r>
              <w:t>Longest available period</w:t>
            </w:r>
          </w:p>
        </w:tc>
        <w:tc>
          <w:tcPr>
            <w:tcW w:w="2459" w:type="dxa"/>
          </w:tcPr>
          <w:p w:rsidR="00784B0F" w:rsidRPr="00784B0F" w:rsidRDefault="00784B0F" w:rsidP="00C42CB5">
            <w:r>
              <w:t>2002 to 2013 (excluding GFC)</w:t>
            </w:r>
          </w:p>
        </w:tc>
        <w:tc>
          <w:tcPr>
            <w:tcW w:w="1781" w:type="dxa"/>
          </w:tcPr>
          <w:p w:rsidR="00784B0F" w:rsidRPr="00784B0F" w:rsidRDefault="00784B0F">
            <w:r>
              <w:t xml:space="preserve">Last five years </w:t>
            </w:r>
            <w:r w:rsidRPr="00784B0F">
              <w:rPr>
                <w:rStyle w:val="FootnoteReference"/>
              </w:rPr>
              <w:t>(a)</w:t>
            </w:r>
          </w:p>
        </w:tc>
      </w:tr>
      <w:tr w:rsidR="00784B0F" w:rsidTr="0042654C">
        <w:tc>
          <w:tcPr>
            <w:tcW w:w="2093" w:type="dxa"/>
          </w:tcPr>
          <w:p w:rsidR="00784B0F" w:rsidRPr="00784B0F" w:rsidRDefault="00784B0F" w:rsidP="00784B0F">
            <w:r>
              <w:t>Re-levered OLS estimates</w:t>
            </w:r>
          </w:p>
        </w:tc>
        <w:tc>
          <w:tcPr>
            <w:tcW w:w="2360" w:type="dxa"/>
          </w:tcPr>
          <w:p w:rsidR="00784B0F" w:rsidRPr="00784B0F" w:rsidRDefault="00784B0F" w:rsidP="00C65DA1">
            <w:r>
              <w:t>0.52</w:t>
            </w:r>
          </w:p>
        </w:tc>
        <w:tc>
          <w:tcPr>
            <w:tcW w:w="2459" w:type="dxa"/>
          </w:tcPr>
          <w:p w:rsidR="00784B0F" w:rsidRPr="00784B0F" w:rsidRDefault="00784B0F" w:rsidP="00C42CB5">
            <w:r>
              <w:t>0.56</w:t>
            </w:r>
          </w:p>
        </w:tc>
        <w:tc>
          <w:tcPr>
            <w:tcW w:w="1781" w:type="dxa"/>
          </w:tcPr>
          <w:p w:rsidR="00784B0F" w:rsidRPr="00784B0F" w:rsidRDefault="00784B0F">
            <w:r>
              <w:t>0.46</w:t>
            </w:r>
          </w:p>
        </w:tc>
      </w:tr>
    </w:tbl>
    <w:p w:rsidR="00784B0F" w:rsidRPr="00784B0F" w:rsidRDefault="00784B0F" w:rsidP="00784B0F">
      <w:pPr>
        <w:pStyle w:val="AERtablesource"/>
      </w:pPr>
      <w:r w:rsidRPr="00C01E61">
        <w:t>Source:</w:t>
      </w:r>
      <w:r w:rsidRPr="00C01E61">
        <w:tab/>
      </w:r>
      <w:r w:rsidRPr="00784B0F">
        <w:t xml:space="preserve">AER analysis; Henry, </w:t>
      </w:r>
      <w:r w:rsidRPr="00784B0F">
        <w:rPr>
          <w:rStyle w:val="AERtextitalic"/>
        </w:rPr>
        <w:t>Estimating β: An update</w:t>
      </w:r>
      <w:r w:rsidRPr="00784B0F">
        <w:t>, April 2014.</w:t>
      </w:r>
    </w:p>
    <w:p w:rsidR="00784B0F" w:rsidRPr="00784B0F" w:rsidRDefault="00784B0F" w:rsidP="00784B0F">
      <w:pPr>
        <w:pStyle w:val="AERtablesource"/>
      </w:pPr>
      <w:r w:rsidRPr="00C01E61">
        <w:t>(</w:t>
      </w:r>
      <w:r w:rsidRPr="00784B0F">
        <w:t>a)</w:t>
      </w:r>
      <w:r w:rsidRPr="00784B0F">
        <w:tab/>
        <w:t xml:space="preserve">AAN, AGL and GAS were not used for this estimation period because Henry only uses data up to 2006 or 2007 for these firms. See: Henry, </w:t>
      </w:r>
      <w:r w:rsidRPr="00784B0F">
        <w:rPr>
          <w:rStyle w:val="AERtextitalic"/>
        </w:rPr>
        <w:t>Estimating β: An update</w:t>
      </w:r>
      <w:r w:rsidRPr="00784B0F">
        <w:t>, April 2014, p. 17.</w:t>
      </w:r>
    </w:p>
    <w:p w:rsidR="00784B0F" w:rsidRDefault="00784B0F" w:rsidP="00784B0F">
      <w:pPr>
        <w:pStyle w:val="Caption"/>
      </w:pPr>
      <w:bookmarkStart w:id="295" w:name="_Ref446197176"/>
      <w:r>
        <w:t xml:space="preserve">Table </w:t>
      </w:r>
      <w:r w:rsidRPr="00AC3F76">
        <w:fldChar w:fldCharType="begin"/>
      </w:r>
      <w:r>
        <w:instrText xml:space="preserve"> STYLEREF 1 \s </w:instrText>
      </w:r>
      <w:r w:rsidRPr="00AC3F76">
        <w:fldChar w:fldCharType="separate"/>
      </w:r>
      <w:r w:rsidR="003F1AAB">
        <w:rPr>
          <w:noProof/>
        </w:rPr>
        <w:t>3</w:t>
      </w:r>
      <w:r w:rsidRPr="00AC3F76">
        <w:fldChar w:fldCharType="end"/>
      </w:r>
      <w:r>
        <w:noBreakHyphen/>
      </w:r>
      <w:r w:rsidRPr="00AC3F76">
        <w:fldChar w:fldCharType="begin"/>
      </w:r>
      <w:r>
        <w:instrText xml:space="preserve"> SEQ Table \* ARABIC \s 1 </w:instrText>
      </w:r>
      <w:r w:rsidRPr="00AC3F76">
        <w:fldChar w:fldCharType="separate"/>
      </w:r>
      <w:r w:rsidR="003F1AAB">
        <w:rPr>
          <w:noProof/>
        </w:rPr>
        <w:t>31</w:t>
      </w:r>
      <w:r w:rsidRPr="00AC3F76">
        <w:fldChar w:fldCharType="end"/>
      </w:r>
      <w:bookmarkEnd w:id="295"/>
      <w:r>
        <w:tab/>
        <w:t>Re-levered fixed weight portfolio equity beta estimates from Henry's 2014 analysis (OLS, weekly)</w:t>
      </w:r>
    </w:p>
    <w:tbl>
      <w:tblPr>
        <w:tblStyle w:val="AERtable-numbers"/>
        <w:tblW w:w="0" w:type="auto"/>
        <w:tblLook w:val="04A0" w:firstRow="1" w:lastRow="0" w:firstColumn="1" w:lastColumn="0" w:noHBand="0" w:noVBand="1"/>
      </w:tblPr>
      <w:tblGrid>
        <w:gridCol w:w="2093"/>
        <w:gridCol w:w="1320"/>
        <w:gridCol w:w="1320"/>
        <w:gridCol w:w="1320"/>
        <w:gridCol w:w="1320"/>
        <w:gridCol w:w="1320"/>
      </w:tblGrid>
      <w:tr w:rsidR="00784B0F" w:rsidTr="004265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84B0F" w:rsidRPr="009279A1" w:rsidRDefault="00784B0F" w:rsidP="00784B0F"/>
        </w:tc>
        <w:tc>
          <w:tcPr>
            <w:tcW w:w="1320" w:type="dxa"/>
          </w:tcPr>
          <w:p w:rsidR="00784B0F" w:rsidRPr="00784B0F" w:rsidRDefault="00784B0F" w:rsidP="00784B0F">
            <w:pPr>
              <w:cnfStyle w:val="100000000000" w:firstRow="1" w:lastRow="0" w:firstColumn="0" w:lastColumn="0" w:oddVBand="0" w:evenVBand="0" w:oddHBand="0" w:evenHBand="0" w:firstRowFirstColumn="0" w:firstRowLastColumn="0" w:lastRowFirstColumn="0" w:lastRowLastColumn="0"/>
            </w:pPr>
            <w:r>
              <w:t>P1</w:t>
            </w:r>
          </w:p>
        </w:tc>
        <w:tc>
          <w:tcPr>
            <w:tcW w:w="1320" w:type="dxa"/>
          </w:tcPr>
          <w:p w:rsidR="00784B0F" w:rsidRPr="00784B0F" w:rsidRDefault="00784B0F" w:rsidP="00784B0F">
            <w:pPr>
              <w:cnfStyle w:val="100000000000" w:firstRow="1" w:lastRow="0" w:firstColumn="0" w:lastColumn="0" w:oddVBand="0" w:evenVBand="0" w:oddHBand="0" w:evenHBand="0" w:firstRowFirstColumn="0" w:firstRowLastColumn="0" w:lastRowFirstColumn="0" w:lastRowLastColumn="0"/>
            </w:pPr>
            <w:r>
              <w:t>P2</w:t>
            </w:r>
          </w:p>
        </w:tc>
        <w:tc>
          <w:tcPr>
            <w:tcW w:w="1320" w:type="dxa"/>
          </w:tcPr>
          <w:p w:rsidR="00784B0F" w:rsidRPr="00784B0F" w:rsidRDefault="00784B0F" w:rsidP="00784B0F">
            <w:pPr>
              <w:cnfStyle w:val="100000000000" w:firstRow="1" w:lastRow="0" w:firstColumn="0" w:lastColumn="0" w:oddVBand="0" w:evenVBand="0" w:oddHBand="0" w:evenHBand="0" w:firstRowFirstColumn="0" w:firstRowLastColumn="0" w:lastRowFirstColumn="0" w:lastRowLastColumn="0"/>
            </w:pPr>
            <w:r>
              <w:t>P3</w:t>
            </w:r>
          </w:p>
        </w:tc>
        <w:tc>
          <w:tcPr>
            <w:tcW w:w="1320" w:type="dxa"/>
          </w:tcPr>
          <w:p w:rsidR="00784B0F" w:rsidRPr="00784B0F" w:rsidRDefault="00784B0F" w:rsidP="00784B0F">
            <w:pPr>
              <w:cnfStyle w:val="100000000000" w:firstRow="1" w:lastRow="0" w:firstColumn="0" w:lastColumn="0" w:oddVBand="0" w:evenVBand="0" w:oddHBand="0" w:evenHBand="0" w:firstRowFirstColumn="0" w:firstRowLastColumn="0" w:lastRowFirstColumn="0" w:lastRowLastColumn="0"/>
            </w:pPr>
            <w:r>
              <w:t>P4</w:t>
            </w:r>
          </w:p>
        </w:tc>
        <w:tc>
          <w:tcPr>
            <w:tcW w:w="1320" w:type="dxa"/>
          </w:tcPr>
          <w:p w:rsidR="00784B0F" w:rsidRPr="00784B0F" w:rsidRDefault="00784B0F" w:rsidP="00784B0F">
            <w:pPr>
              <w:cnfStyle w:val="100000000000" w:firstRow="1" w:lastRow="0" w:firstColumn="0" w:lastColumn="0" w:oddVBand="0" w:evenVBand="0" w:oddHBand="0" w:evenHBand="0" w:firstRowFirstColumn="0" w:firstRowLastColumn="0" w:lastRowFirstColumn="0" w:lastRowLastColumn="0"/>
            </w:pPr>
            <w:r>
              <w:t>P5</w:t>
            </w:r>
          </w:p>
        </w:tc>
      </w:tr>
      <w:tr w:rsidR="00784B0F" w:rsidTr="0042654C">
        <w:tc>
          <w:tcPr>
            <w:cnfStyle w:val="001000000000" w:firstRow="0" w:lastRow="0" w:firstColumn="1" w:lastColumn="0" w:oddVBand="0" w:evenVBand="0" w:oddHBand="0" w:evenHBand="0" w:firstRowFirstColumn="0" w:firstRowLastColumn="0" w:lastRowFirstColumn="0" w:lastRowLastColumn="0"/>
            <w:tcW w:w="2093" w:type="dxa"/>
          </w:tcPr>
          <w:p w:rsidR="00784B0F" w:rsidRPr="00784B0F" w:rsidRDefault="00784B0F" w:rsidP="00784B0F">
            <w:r>
              <w:t>Firms</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APA, ENV</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AAN, AGL, APA, ENV, GAS</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APA, DUE, ENV, HDF, SPN</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APA, DUE, ENV, HDF, SKI, SPN</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APA, DUE, ENV, SKI, SPN</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84B0F" w:rsidRPr="00784B0F" w:rsidRDefault="00784B0F" w:rsidP="00784B0F">
            <w:pPr>
              <w:rPr>
                <w:rStyle w:val="AERtextitalic"/>
              </w:rPr>
            </w:pPr>
            <w:r w:rsidRPr="00514842">
              <w:rPr>
                <w:rStyle w:val="AERtextitalic"/>
              </w:rPr>
              <w:t>Equal weighted</w:t>
            </w:r>
          </w:p>
        </w:tc>
        <w:tc>
          <w:tcPr>
            <w:tcW w:w="1320" w:type="dxa"/>
          </w:tcPr>
          <w:p w:rsidR="00784B0F" w:rsidRPr="009279A1" w:rsidRDefault="00784B0F" w:rsidP="00784B0F">
            <w:pPr>
              <w:cnfStyle w:val="000000010000" w:firstRow="0" w:lastRow="0" w:firstColumn="0" w:lastColumn="0" w:oddVBand="0" w:evenVBand="0" w:oddHBand="0" w:evenHBand="1" w:firstRowFirstColumn="0" w:firstRowLastColumn="0" w:lastRowFirstColumn="0" w:lastRowLastColumn="0"/>
            </w:pPr>
          </w:p>
        </w:tc>
        <w:tc>
          <w:tcPr>
            <w:tcW w:w="1320" w:type="dxa"/>
          </w:tcPr>
          <w:p w:rsidR="00784B0F" w:rsidRPr="009279A1" w:rsidRDefault="00784B0F" w:rsidP="00784B0F">
            <w:pPr>
              <w:cnfStyle w:val="000000010000" w:firstRow="0" w:lastRow="0" w:firstColumn="0" w:lastColumn="0" w:oddVBand="0" w:evenVBand="0" w:oddHBand="0" w:evenHBand="1" w:firstRowFirstColumn="0" w:firstRowLastColumn="0" w:lastRowFirstColumn="0" w:lastRowLastColumn="0"/>
            </w:pPr>
          </w:p>
        </w:tc>
        <w:tc>
          <w:tcPr>
            <w:tcW w:w="1320" w:type="dxa"/>
          </w:tcPr>
          <w:p w:rsidR="00784B0F" w:rsidRPr="009279A1" w:rsidRDefault="00784B0F" w:rsidP="00784B0F">
            <w:pPr>
              <w:cnfStyle w:val="000000010000" w:firstRow="0" w:lastRow="0" w:firstColumn="0" w:lastColumn="0" w:oddVBand="0" w:evenVBand="0" w:oddHBand="0" w:evenHBand="1" w:firstRowFirstColumn="0" w:firstRowLastColumn="0" w:lastRowFirstColumn="0" w:lastRowLastColumn="0"/>
            </w:pPr>
          </w:p>
        </w:tc>
        <w:tc>
          <w:tcPr>
            <w:tcW w:w="1320" w:type="dxa"/>
          </w:tcPr>
          <w:p w:rsidR="00784B0F" w:rsidRPr="009279A1" w:rsidRDefault="00784B0F" w:rsidP="00784B0F">
            <w:pPr>
              <w:cnfStyle w:val="000000010000" w:firstRow="0" w:lastRow="0" w:firstColumn="0" w:lastColumn="0" w:oddVBand="0" w:evenVBand="0" w:oddHBand="0" w:evenHBand="1" w:firstRowFirstColumn="0" w:firstRowLastColumn="0" w:lastRowFirstColumn="0" w:lastRowLastColumn="0"/>
            </w:pPr>
          </w:p>
        </w:tc>
        <w:tc>
          <w:tcPr>
            <w:tcW w:w="1320" w:type="dxa"/>
          </w:tcPr>
          <w:p w:rsidR="00784B0F" w:rsidRPr="009279A1" w:rsidRDefault="00784B0F" w:rsidP="00784B0F">
            <w:pPr>
              <w:cnfStyle w:val="000000010000" w:firstRow="0" w:lastRow="0" w:firstColumn="0" w:lastColumn="0" w:oddVBand="0" w:evenVBand="0" w:oddHBand="0" w:evenHBand="1" w:firstRowFirstColumn="0" w:firstRowLastColumn="0" w:lastRowFirstColumn="0" w:lastRowLastColumn="0"/>
            </w:pPr>
          </w:p>
        </w:tc>
      </w:tr>
      <w:tr w:rsidR="00784B0F" w:rsidTr="0042654C">
        <w:tc>
          <w:tcPr>
            <w:cnfStyle w:val="001000000000" w:firstRow="0" w:lastRow="0" w:firstColumn="1" w:lastColumn="0" w:oddVBand="0" w:evenVBand="0" w:oddHBand="0" w:evenHBand="0" w:firstRowFirstColumn="0" w:firstRowLastColumn="0" w:lastRowFirstColumn="0" w:lastRowLastColumn="0"/>
            <w:tcW w:w="2093" w:type="dxa"/>
          </w:tcPr>
          <w:p w:rsidR="00784B0F" w:rsidRPr="00784B0F" w:rsidRDefault="00784B0F" w:rsidP="00784B0F">
            <w:r w:rsidRPr="00D20501">
              <w:t xml:space="preserve">Longest available </w:t>
            </w:r>
            <w:r w:rsidRPr="00784B0F">
              <w:t>period</w:t>
            </w:r>
            <w:r w:rsidRPr="00784B0F">
              <w:rPr>
                <w:rStyle w:val="AERsuperscript"/>
              </w:rPr>
              <w:t>(a)</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0.46</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0.48</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0.39</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84B0F" w:rsidRPr="00784B0F" w:rsidRDefault="00784B0F" w:rsidP="00784B0F">
            <w:r>
              <w:t>Longest peri</w:t>
            </w:r>
            <w:r w:rsidRPr="00784B0F">
              <w:t>od available (excl. tech boom &amp; GFC)</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0.49</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0.52</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0.5</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0.53</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0.45</w:t>
            </w:r>
          </w:p>
        </w:tc>
      </w:tr>
      <w:tr w:rsidR="00784B0F" w:rsidTr="0042654C">
        <w:tc>
          <w:tcPr>
            <w:cnfStyle w:val="001000000000" w:firstRow="0" w:lastRow="0" w:firstColumn="1" w:lastColumn="0" w:oddVBand="0" w:evenVBand="0" w:oddHBand="0" w:evenHBand="0" w:firstRowFirstColumn="0" w:firstRowLastColumn="0" w:lastRowFirstColumn="0" w:lastRowLastColumn="0"/>
            <w:tcW w:w="2093" w:type="dxa"/>
          </w:tcPr>
          <w:p w:rsidR="00784B0F" w:rsidRPr="00784B0F" w:rsidRDefault="00784B0F" w:rsidP="00784B0F">
            <w:pPr>
              <w:rPr>
                <w:rStyle w:val="AERtextitalic"/>
              </w:rPr>
            </w:pPr>
            <w:r w:rsidRPr="00514842">
              <w:rPr>
                <w:rStyle w:val="AERtextitalic"/>
              </w:rPr>
              <w:t>Value weighted</w:t>
            </w:r>
          </w:p>
        </w:tc>
        <w:tc>
          <w:tcPr>
            <w:tcW w:w="1320" w:type="dxa"/>
          </w:tcPr>
          <w:p w:rsidR="00784B0F" w:rsidRPr="009279A1" w:rsidRDefault="00784B0F" w:rsidP="00784B0F">
            <w:pPr>
              <w:cnfStyle w:val="000000000000" w:firstRow="0" w:lastRow="0" w:firstColumn="0" w:lastColumn="0" w:oddVBand="0" w:evenVBand="0" w:oddHBand="0" w:evenHBand="0" w:firstRowFirstColumn="0" w:firstRowLastColumn="0" w:lastRowFirstColumn="0" w:lastRowLastColumn="0"/>
            </w:pPr>
          </w:p>
        </w:tc>
        <w:tc>
          <w:tcPr>
            <w:tcW w:w="1320" w:type="dxa"/>
          </w:tcPr>
          <w:p w:rsidR="00784B0F" w:rsidRPr="009279A1" w:rsidRDefault="00784B0F" w:rsidP="00784B0F">
            <w:pPr>
              <w:cnfStyle w:val="000000000000" w:firstRow="0" w:lastRow="0" w:firstColumn="0" w:lastColumn="0" w:oddVBand="0" w:evenVBand="0" w:oddHBand="0" w:evenHBand="0" w:firstRowFirstColumn="0" w:firstRowLastColumn="0" w:lastRowFirstColumn="0" w:lastRowLastColumn="0"/>
            </w:pPr>
          </w:p>
        </w:tc>
        <w:tc>
          <w:tcPr>
            <w:tcW w:w="1320" w:type="dxa"/>
          </w:tcPr>
          <w:p w:rsidR="00784B0F" w:rsidRPr="009279A1" w:rsidRDefault="00784B0F" w:rsidP="00784B0F">
            <w:pPr>
              <w:cnfStyle w:val="000000000000" w:firstRow="0" w:lastRow="0" w:firstColumn="0" w:lastColumn="0" w:oddVBand="0" w:evenVBand="0" w:oddHBand="0" w:evenHBand="0" w:firstRowFirstColumn="0" w:firstRowLastColumn="0" w:lastRowFirstColumn="0" w:lastRowLastColumn="0"/>
            </w:pPr>
          </w:p>
        </w:tc>
        <w:tc>
          <w:tcPr>
            <w:tcW w:w="1320" w:type="dxa"/>
          </w:tcPr>
          <w:p w:rsidR="00784B0F" w:rsidRPr="009279A1" w:rsidRDefault="00784B0F" w:rsidP="00784B0F">
            <w:pPr>
              <w:cnfStyle w:val="000000000000" w:firstRow="0" w:lastRow="0" w:firstColumn="0" w:lastColumn="0" w:oddVBand="0" w:evenVBand="0" w:oddHBand="0" w:evenHBand="0" w:firstRowFirstColumn="0" w:firstRowLastColumn="0" w:lastRowFirstColumn="0" w:lastRowLastColumn="0"/>
            </w:pPr>
          </w:p>
        </w:tc>
        <w:tc>
          <w:tcPr>
            <w:tcW w:w="1320" w:type="dxa"/>
          </w:tcPr>
          <w:p w:rsidR="00784B0F" w:rsidRPr="009279A1" w:rsidRDefault="00784B0F" w:rsidP="00784B0F">
            <w:pPr>
              <w:cnfStyle w:val="000000000000" w:firstRow="0" w:lastRow="0" w:firstColumn="0" w:lastColumn="0" w:oddVBand="0" w:evenVBand="0" w:oddHBand="0" w:evenHBand="0" w:firstRowFirstColumn="0" w:firstRowLastColumn="0" w:lastRowFirstColumn="0" w:lastRowLastColumn="0"/>
            </w:pPr>
          </w:p>
        </w:tc>
      </w:tr>
      <w:tr w:rsidR="00784B0F" w:rsidTr="004265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84B0F" w:rsidRPr="00784B0F" w:rsidRDefault="00784B0F" w:rsidP="00784B0F">
            <w:r w:rsidRPr="00D20501">
              <w:t>Longest available period</w:t>
            </w:r>
            <w:r w:rsidRPr="00784B0F">
              <w:rPr>
                <w:rStyle w:val="AERsuperscript"/>
              </w:rPr>
              <w:t>(a)</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0.50</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0.70</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0.44</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0.42</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0.39</w:t>
            </w:r>
          </w:p>
        </w:tc>
      </w:tr>
      <w:tr w:rsidR="00784B0F" w:rsidTr="0042654C">
        <w:tc>
          <w:tcPr>
            <w:cnfStyle w:val="001000000000" w:firstRow="0" w:lastRow="0" w:firstColumn="1" w:lastColumn="0" w:oddVBand="0" w:evenVBand="0" w:oddHBand="0" w:evenHBand="0" w:firstRowFirstColumn="0" w:firstRowLastColumn="0" w:lastRowFirstColumn="0" w:lastRowLastColumn="0"/>
            <w:tcW w:w="2093" w:type="dxa"/>
          </w:tcPr>
          <w:p w:rsidR="00784B0F" w:rsidRPr="00784B0F" w:rsidRDefault="00784B0F" w:rsidP="00784B0F">
            <w:r>
              <w:t>Longest peri</w:t>
            </w:r>
            <w:r w:rsidRPr="00784B0F">
              <w:t>od available (excl. tech boom &amp; GFC)</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0.54</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0.70</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0.48</w:t>
            </w:r>
          </w:p>
        </w:tc>
      </w:tr>
    </w:tbl>
    <w:p w:rsidR="00784B0F" w:rsidRPr="00C01E61" w:rsidRDefault="00784B0F" w:rsidP="00784B0F">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784B0F" w:rsidRPr="006460A6" w:rsidRDefault="00784B0F" w:rsidP="00784B0F">
      <w:pPr>
        <w:pStyle w:val="AERtablesource"/>
      </w:pPr>
      <w:r w:rsidRPr="006460A6">
        <w:t>Note:</w:t>
      </w:r>
      <w:r w:rsidRPr="006460A6">
        <w:tab/>
        <w:t>Henry's 2014 report also presented time varying portfolio estimates of equity beta</w:t>
      </w:r>
      <w:r>
        <w:t xml:space="preserve"> (which range from 0.39 to 0.53, see </w:t>
      </w:r>
      <w:r w:rsidRPr="006460A6">
        <w:t xml:space="preserve">Henry, </w:t>
      </w:r>
      <w:r w:rsidRPr="006460A6">
        <w:rPr>
          <w:rStyle w:val="AERtextitalic"/>
        </w:rPr>
        <w:t>Estimating β: An update</w:t>
      </w:r>
      <w:r w:rsidRPr="006460A6">
        <w:t>, April 2014, p. 56</w:t>
      </w:r>
      <w:r>
        <w:t>)</w:t>
      </w:r>
      <w:r w:rsidRPr="006460A6">
        <w:t xml:space="preserve">. We </w:t>
      </w:r>
      <w:r>
        <w:t xml:space="preserve">do not place any material </w:t>
      </w:r>
      <w:r w:rsidRPr="006460A6">
        <w:t xml:space="preserve">reliance on these estimates for reasons discussed </w:t>
      </w:r>
      <w:r>
        <w:t>in</w:t>
      </w:r>
      <w:r w:rsidRPr="006460A6">
        <w:t xml:space="preserve"> section</w:t>
      </w:r>
      <w:r>
        <w:t xml:space="preserve"> D.2.2 of Attachment 3 to our draft and final decisions in October and November 2015</w:t>
      </w:r>
      <w:r w:rsidRPr="006460A6">
        <w:t>.</w:t>
      </w:r>
    </w:p>
    <w:p w:rsidR="00784B0F" w:rsidRPr="006460A6" w:rsidRDefault="00784B0F" w:rsidP="00784B0F">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784B0F" w:rsidRDefault="00784B0F" w:rsidP="00784B0F">
      <w:pPr>
        <w:numPr>
          <w:ilvl w:val="0"/>
          <w:numId w:val="25"/>
        </w:numPr>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938"/>
      </w:r>
      <w:r>
        <w:t xml:space="preserve"> The results are as follows:</w:t>
      </w:r>
      <w:r>
        <w:rPr>
          <w:rStyle w:val="FootnoteReference"/>
        </w:rPr>
        <w:footnoteReference w:id="939"/>
      </w:r>
    </w:p>
    <w:p w:rsidR="00784B0F" w:rsidRPr="00784B0F" w:rsidRDefault="00784B0F" w:rsidP="00784B0F">
      <w:pPr>
        <w:pStyle w:val="AERbulletlistfirststyle"/>
      </w:pPr>
      <w:proofErr w:type="gramStart"/>
      <w:r w:rsidRPr="00CA72A5">
        <w:t>the</w:t>
      </w:r>
      <w:proofErr w:type="gramEnd"/>
      <w:r w:rsidRPr="00CA72A5">
        <w:t xml:space="preserve"> re-levered LAD estimates range from 0.38 to 0.58 and the raw LAD estimates range from 0.31 to 0.60.</w:t>
      </w:r>
      <w:r w:rsidRPr="00784B0F">
        <w:rPr>
          <w:rStyle w:val="FootnoteReference"/>
        </w:rPr>
        <w:footnoteReference w:id="940"/>
      </w:r>
    </w:p>
    <w:p w:rsidR="00784B0F" w:rsidRPr="00784B0F" w:rsidRDefault="00784B0F" w:rsidP="00784B0F">
      <w:pPr>
        <w:pStyle w:val="AERbulletlistfirststyle"/>
      </w:pPr>
      <w:proofErr w:type="gramStart"/>
      <w:r w:rsidRPr="00CA72A5">
        <w:t>the</w:t>
      </w:r>
      <w:proofErr w:type="gramEnd"/>
      <w:r w:rsidRPr="00CA72A5">
        <w:t xml:space="preserve"> OLS estimates using monthly return intervals range from 0.37 to 0.58.</w:t>
      </w:r>
      <w:r w:rsidRPr="00784B0F">
        <w:rPr>
          <w:rStyle w:val="FootnoteReference"/>
        </w:rPr>
        <w:footnoteReference w:id="941"/>
      </w:r>
      <w:r w:rsidRPr="00784B0F">
        <w:t xml:space="preserve"> </w:t>
      </w:r>
    </w:p>
    <w:p w:rsidR="00784B0F" w:rsidRDefault="00784B0F" w:rsidP="00784B0F">
      <w:pPr>
        <w:numPr>
          <w:ilvl w:val="0"/>
          <w:numId w:val="25"/>
        </w:numPr>
      </w:pPr>
      <w:r>
        <w:t xml:space="preserve">Henry also performed </w:t>
      </w:r>
      <w:r w:rsidRPr="00CA72A5">
        <w:t xml:space="preserve">various robustness and sensitivity tests on the equity beta estimates. These included the Dimson adjustment for thin trading, as well as recursive 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942"/>
      </w:r>
      <w:r w:rsidRPr="00CA72A5">
        <w:t xml:space="preserve"> Therefore, we are satisfied the estimates presented in Henry's </w:t>
      </w:r>
      <w:r>
        <w:t xml:space="preserve">2014 </w:t>
      </w:r>
      <w:r w:rsidRPr="00CA72A5">
        <w:t xml:space="preserve">report are reasonably stable and not significantly affected by thin trading. </w:t>
      </w:r>
      <w:r>
        <w:t>We also note Associate Professor Graham Partington stated that:</w:t>
      </w:r>
      <w:r>
        <w:rPr>
          <w:rStyle w:val="FootnoteReference"/>
        </w:rPr>
        <w:footnoteReference w:id="943"/>
      </w:r>
    </w:p>
    <w:p w:rsidR="00784B0F" w:rsidRDefault="00784B0F" w:rsidP="00784B0F">
      <w:pPr>
        <w:pStyle w:val="AERquote"/>
      </w:pPr>
      <w:r w:rsidRPr="00FC3F67">
        <w:t xml:space="preserve">A final comment may be made with reference to a number of the reports that allege instability in the estimates of </w:t>
      </w:r>
      <w:r w:rsidRPr="00597424">
        <w:t>β</w:t>
      </w:r>
      <w:r w:rsidRPr="00FC3F67">
        <w:t xml:space="preserve">. Henry (2008, 2009, </w:t>
      </w:r>
      <w:proofErr w:type="gramStart"/>
      <w:r w:rsidRPr="00FC3F67">
        <w:t>2014</w:t>
      </w:r>
      <w:proofErr w:type="gramEnd"/>
      <w:r w:rsidRPr="00FC3F67">
        <w:t xml:space="preserve">) provides a range of evidence demonstrating the stability of the estimates. </w:t>
      </w:r>
    </w:p>
    <w:p w:rsidR="00784B0F" w:rsidRDefault="00784B0F" w:rsidP="00784B0F">
      <w:pPr>
        <w:numPr>
          <w:ilvl w:val="0"/>
          <w:numId w:val="25"/>
        </w:numPr>
      </w:pPr>
      <w:r>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a benchmark efficient entity. This is because most of the estimates</w:t>
      </w:r>
      <w:r w:rsidRPr="009E6804">
        <w:t xml:space="preserve"> </w:t>
      </w:r>
      <w:r>
        <w:t xml:space="preserve">are clustered around 0.5, as shown in </w:t>
      </w:r>
      <w:r>
        <w:fldChar w:fldCharType="begin"/>
      </w:r>
      <w:r>
        <w:instrText xml:space="preserve"> REF  _Ref446243940 \* Lower \h </w:instrText>
      </w:r>
      <w:r>
        <w:fldChar w:fldCharType="separate"/>
      </w:r>
      <w:r w:rsidR="003F1AAB">
        <w:t xml:space="preserve">figure </w:t>
      </w:r>
      <w:r w:rsidR="003F1AAB">
        <w:rPr>
          <w:noProof/>
        </w:rPr>
        <w:t>3</w:t>
      </w:r>
      <w:r w:rsidR="003F1AAB">
        <w:noBreakHyphen/>
      </w:r>
      <w:r w:rsidR="003F1AAB">
        <w:rPr>
          <w:noProof/>
        </w:rPr>
        <w:t>18</w:t>
      </w:r>
      <w:r>
        <w:fldChar w:fldCharType="end"/>
      </w:r>
      <w:r>
        <w:t>.</w:t>
      </w:r>
    </w:p>
    <w:p w:rsidR="00784B0F" w:rsidRDefault="00784B0F" w:rsidP="00784B0F">
      <w:pPr>
        <w:pStyle w:val="Caption"/>
      </w:pPr>
      <w:bookmarkStart w:id="296" w:name="_Ref446243940"/>
      <w:r>
        <w:t xml:space="preserve">Figure </w:t>
      </w:r>
      <w:fldSimple w:instr=" STYLEREF 1 \s ">
        <w:r w:rsidR="003F1AAB">
          <w:rPr>
            <w:noProof/>
          </w:rPr>
          <w:t>3</w:t>
        </w:r>
      </w:fldSimple>
      <w:r w:rsidR="00E4520A">
        <w:noBreakHyphen/>
      </w:r>
      <w:fldSimple w:instr=" SEQ Figure \* ARABIC \s 1 ">
        <w:r w:rsidR="003F1AAB">
          <w:rPr>
            <w:noProof/>
          </w:rPr>
          <w:t>18</w:t>
        </w:r>
      </w:fldSimple>
      <w:bookmarkEnd w:id="296"/>
      <w:r>
        <w:tab/>
        <w:t>Equity beta estimates from Henry's 2014 report (average of individual firm estimates and fixed weight portfolio estimates)</w:t>
      </w:r>
    </w:p>
    <w:p w:rsidR="00784B0F" w:rsidRDefault="00784B0F" w:rsidP="00784B0F">
      <w:pPr>
        <w:numPr>
          <w:ilvl w:val="0"/>
          <w:numId w:val="25"/>
        </w:numPr>
      </w:pPr>
      <w:r w:rsidRPr="00784B0F">
        <w:rPr>
          <w:noProof/>
          <w:lang w:eastAsia="en-AU"/>
        </w:rPr>
        <w:drawing>
          <wp:inline distT="0" distB="0" distL="0" distR="0" wp14:anchorId="66FA978C" wp14:editId="3694CF3E">
            <wp:extent cx="5472000" cy="329052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2000" cy="3290526"/>
                    </a:xfrm>
                    <a:prstGeom prst="rect">
                      <a:avLst/>
                    </a:prstGeom>
                    <a:noFill/>
                    <a:ln>
                      <a:noFill/>
                    </a:ln>
                  </pic:spPr>
                </pic:pic>
              </a:graphicData>
            </a:graphic>
          </wp:inline>
        </w:drawing>
      </w:r>
    </w:p>
    <w:p w:rsidR="00784B0F" w:rsidRPr="00812C81" w:rsidRDefault="00784B0F" w:rsidP="00784B0F">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784B0F" w:rsidRDefault="00784B0F" w:rsidP="00784B0F">
      <w:pPr>
        <w:pStyle w:val="AERtablesource"/>
      </w:pPr>
      <w:r w:rsidRPr="00812C81">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784B0F" w:rsidRPr="00345FC0" w:rsidRDefault="00784B0F" w:rsidP="00784B0F">
      <w:pPr>
        <w:pStyle w:val="Heading8"/>
      </w:pPr>
      <w:bookmarkStart w:id="297" w:name="_Ref446255164"/>
      <w:bookmarkStart w:id="298" w:name="_Toc451943813"/>
      <w:bookmarkStart w:id="299" w:name="_Toc456686748"/>
      <w:bookmarkStart w:id="300" w:name="_Ref401311140"/>
      <w:bookmarkStart w:id="301" w:name="_Toc401315943"/>
      <w:bookmarkStart w:id="302" w:name="_Toc403990360"/>
      <w:bookmarkStart w:id="303" w:name="_Toc404643523"/>
      <w:bookmarkStart w:id="304" w:name="_Toc415561729"/>
      <w:bookmarkStart w:id="305" w:name="_Toc417396119"/>
      <w:bookmarkStart w:id="306" w:name="_Toc418006918"/>
      <w:bookmarkStart w:id="307" w:name="_Toc431206901"/>
      <w:bookmarkStart w:id="308" w:name="_Toc443584848"/>
      <w:r>
        <w:t>Australian e</w:t>
      </w:r>
      <w:r w:rsidRPr="00345FC0">
        <w:t>mpirical estimates</w:t>
      </w:r>
      <w:r>
        <w:t xml:space="preserve"> from other studies</w:t>
      </w:r>
      <w:bookmarkEnd w:id="297"/>
      <w:bookmarkEnd w:id="298"/>
      <w:bookmarkEnd w:id="299"/>
    </w:p>
    <w:bookmarkEnd w:id="300"/>
    <w:bookmarkEnd w:id="301"/>
    <w:bookmarkEnd w:id="302"/>
    <w:bookmarkEnd w:id="303"/>
    <w:bookmarkEnd w:id="304"/>
    <w:bookmarkEnd w:id="305"/>
    <w:bookmarkEnd w:id="306"/>
    <w:bookmarkEnd w:id="307"/>
    <w:bookmarkEnd w:id="308"/>
    <w:p w:rsidR="00784B0F" w:rsidRDefault="00784B0F" w:rsidP="00784B0F">
      <w:pPr>
        <w:numPr>
          <w:ilvl w:val="0"/>
          <w:numId w:val="25"/>
        </w:numPr>
      </w:pPr>
      <w:r>
        <w:t xml:space="preserve">We consider the equity beta estimates presented in Henry's 2014 report are generally consistent with other empirical studies based on Australian energy network firms, as set out in </w:t>
      </w:r>
      <w:r>
        <w:fldChar w:fldCharType="begin"/>
      </w:r>
      <w:r>
        <w:instrText xml:space="preserve"> REF  _Ref446197667 \* Lower \h </w:instrText>
      </w:r>
      <w:r>
        <w:fldChar w:fldCharType="separate"/>
      </w:r>
      <w:r w:rsidR="003F1AAB">
        <w:t xml:space="preserve">table </w:t>
      </w:r>
      <w:r w:rsidR="003F1AAB">
        <w:rPr>
          <w:noProof/>
        </w:rPr>
        <w:t>3</w:t>
      </w:r>
      <w:r w:rsidR="003F1AAB">
        <w:noBreakHyphen/>
      </w:r>
      <w:r w:rsidR="003F1AAB">
        <w:rPr>
          <w:noProof/>
        </w:rPr>
        <w:t>32</w:t>
      </w:r>
      <w:r>
        <w:fldChar w:fldCharType="end"/>
      </w:r>
      <w:r>
        <w:t>. These other empirical studies use different econometric techniques and/or comparator sets to our empirical analysis, some of which are not necessarily consistent with our methodological choices.</w:t>
      </w:r>
      <w:r>
        <w:rPr>
          <w:rStyle w:val="FootnoteReference"/>
        </w:rPr>
        <w:footnoteReference w:id="944"/>
      </w:r>
      <w:r>
        <w:t xml:space="preserve"> Nonetheless, the empirical estimates presented give us confidence that there is an extensive pattern of support for an empirical equity beta within a range of 0.4 to 0.7.</w:t>
      </w:r>
    </w:p>
    <w:p w:rsidR="00784B0F" w:rsidRDefault="00784B0F" w:rsidP="003957BF"/>
    <w:p w:rsidR="00784B0F" w:rsidRDefault="00784B0F" w:rsidP="003957BF"/>
    <w:p w:rsidR="00784B0F" w:rsidRDefault="00784B0F" w:rsidP="00784B0F">
      <w:pPr>
        <w:pStyle w:val="Caption"/>
      </w:pPr>
      <w:bookmarkStart w:id="309" w:name="_Ref446197667"/>
      <w:r>
        <w:t xml:space="preserve">Table </w:t>
      </w:r>
      <w:r w:rsidRPr="00AC3F76">
        <w:fldChar w:fldCharType="begin"/>
      </w:r>
      <w:r>
        <w:instrText xml:space="preserve"> STYLEREF 1 \s </w:instrText>
      </w:r>
      <w:r w:rsidRPr="00AC3F76">
        <w:fldChar w:fldCharType="separate"/>
      </w:r>
      <w:r w:rsidR="003F1AAB">
        <w:rPr>
          <w:noProof/>
        </w:rPr>
        <w:t>3</w:t>
      </w:r>
      <w:r w:rsidRPr="00AC3F76">
        <w:fldChar w:fldCharType="end"/>
      </w:r>
      <w:r>
        <w:noBreakHyphen/>
      </w:r>
      <w:r w:rsidRPr="00AC3F76">
        <w:fldChar w:fldCharType="begin"/>
      </w:r>
      <w:r>
        <w:instrText xml:space="preserve"> SEQ Table \* ARABIC \s 1 </w:instrText>
      </w:r>
      <w:r w:rsidRPr="00AC3F76">
        <w:fldChar w:fldCharType="separate"/>
      </w:r>
      <w:r w:rsidR="003F1AAB">
        <w:rPr>
          <w:noProof/>
        </w:rPr>
        <w:t>32</w:t>
      </w:r>
      <w:r w:rsidRPr="00AC3F76">
        <w:fldChar w:fldCharType="end"/>
      </w:r>
      <w:bookmarkEnd w:id="309"/>
      <w:r>
        <w:tab/>
        <w:t>Equity beta estimates for Australian energy network firms</w:t>
      </w:r>
    </w:p>
    <w:tbl>
      <w:tblPr>
        <w:tblStyle w:val="AERtable-text0"/>
        <w:tblW w:w="0" w:type="auto"/>
        <w:tblLook w:val="04A0" w:firstRow="1" w:lastRow="0" w:firstColumn="1" w:lastColumn="0" w:noHBand="0" w:noVBand="1"/>
      </w:tblPr>
      <w:tblGrid>
        <w:gridCol w:w="1101"/>
        <w:gridCol w:w="850"/>
        <w:gridCol w:w="992"/>
        <w:gridCol w:w="993"/>
        <w:gridCol w:w="992"/>
        <w:gridCol w:w="3765"/>
      </w:tblGrid>
      <w:tr w:rsidR="00784B0F" w:rsidTr="0042654C">
        <w:trPr>
          <w:cnfStyle w:val="100000000000" w:firstRow="1" w:lastRow="0" w:firstColumn="0" w:lastColumn="0" w:oddVBand="0" w:evenVBand="0" w:oddHBand="0" w:evenHBand="0" w:firstRowFirstColumn="0" w:firstRowLastColumn="0" w:lastRowFirstColumn="0" w:lastRowLastColumn="0"/>
        </w:trPr>
        <w:tc>
          <w:tcPr>
            <w:tcW w:w="1101" w:type="dxa"/>
          </w:tcPr>
          <w:p w:rsidR="00784B0F" w:rsidRPr="00784B0F" w:rsidRDefault="00784B0F" w:rsidP="00784B0F">
            <w:r>
              <w:t>Source</w:t>
            </w:r>
          </w:p>
        </w:tc>
        <w:tc>
          <w:tcPr>
            <w:tcW w:w="850" w:type="dxa"/>
          </w:tcPr>
          <w:p w:rsidR="00784B0F" w:rsidRPr="00784B0F" w:rsidRDefault="00784B0F" w:rsidP="00784B0F">
            <w:r>
              <w:t xml:space="preserve">Time </w:t>
            </w:r>
            <w:r w:rsidRPr="00784B0F">
              <w:t>period</w:t>
            </w:r>
          </w:p>
        </w:tc>
        <w:tc>
          <w:tcPr>
            <w:tcW w:w="992" w:type="dxa"/>
          </w:tcPr>
          <w:p w:rsidR="00784B0F" w:rsidRPr="00784B0F" w:rsidRDefault="00784B0F" w:rsidP="00784B0F">
            <w:r>
              <w:t>Individual firm averages</w:t>
            </w:r>
          </w:p>
        </w:tc>
        <w:tc>
          <w:tcPr>
            <w:tcW w:w="993" w:type="dxa"/>
          </w:tcPr>
          <w:p w:rsidR="00784B0F" w:rsidRPr="00784B0F" w:rsidRDefault="00784B0F" w:rsidP="00784B0F">
            <w:r>
              <w:t>Fixed portfolios</w:t>
            </w:r>
          </w:p>
        </w:tc>
        <w:tc>
          <w:tcPr>
            <w:tcW w:w="992" w:type="dxa"/>
          </w:tcPr>
          <w:p w:rsidR="00784B0F" w:rsidRPr="00784B0F" w:rsidRDefault="00784B0F" w:rsidP="00784B0F">
            <w:r>
              <w:t>Varying portfolios</w:t>
            </w:r>
          </w:p>
        </w:tc>
        <w:tc>
          <w:tcPr>
            <w:tcW w:w="3765" w:type="dxa"/>
          </w:tcPr>
          <w:p w:rsidR="00784B0F" w:rsidRPr="00784B0F" w:rsidRDefault="00784B0F" w:rsidP="00784B0F">
            <w:r>
              <w:t>Summary of regression permutations</w:t>
            </w:r>
          </w:p>
        </w:tc>
      </w:tr>
      <w:tr w:rsidR="00784B0F" w:rsidTr="0042654C">
        <w:tc>
          <w:tcPr>
            <w:tcW w:w="1101" w:type="dxa"/>
          </w:tcPr>
          <w:p w:rsidR="00784B0F" w:rsidRPr="00784B0F" w:rsidRDefault="00784B0F" w:rsidP="00784B0F">
            <w:r>
              <w:t>Henry 2014</w:t>
            </w:r>
          </w:p>
        </w:tc>
        <w:tc>
          <w:tcPr>
            <w:tcW w:w="850" w:type="dxa"/>
          </w:tcPr>
          <w:p w:rsidR="00784B0F" w:rsidRPr="00784B0F" w:rsidRDefault="00784B0F" w:rsidP="00784B0F">
            <w:r>
              <w:t>1992–2013</w:t>
            </w:r>
          </w:p>
        </w:tc>
        <w:tc>
          <w:tcPr>
            <w:tcW w:w="992" w:type="dxa"/>
          </w:tcPr>
          <w:p w:rsidR="00784B0F" w:rsidRPr="00784B0F" w:rsidRDefault="00784B0F" w:rsidP="00784B0F">
            <w:r>
              <w:t>0.37–0.56</w:t>
            </w:r>
          </w:p>
        </w:tc>
        <w:tc>
          <w:tcPr>
            <w:tcW w:w="993" w:type="dxa"/>
          </w:tcPr>
          <w:p w:rsidR="00784B0F" w:rsidRPr="00784B0F" w:rsidRDefault="00784B0F" w:rsidP="00784B0F">
            <w:r>
              <w:t>0.31–0.70</w:t>
            </w:r>
            <w:r w:rsidRPr="00784B0F">
              <w:rPr>
                <w:rStyle w:val="AERsuperscript"/>
              </w:rPr>
              <w:t>(b)</w:t>
            </w:r>
          </w:p>
        </w:tc>
        <w:tc>
          <w:tcPr>
            <w:tcW w:w="992" w:type="dxa"/>
          </w:tcPr>
          <w:p w:rsidR="00784B0F" w:rsidRPr="00784B0F" w:rsidRDefault="00784B0F" w:rsidP="00784B0F">
            <w:r>
              <w:t>0.39–0.53</w:t>
            </w:r>
          </w:p>
        </w:tc>
        <w:tc>
          <w:tcPr>
            <w:tcW w:w="3765" w:type="dxa"/>
          </w:tcPr>
          <w:p w:rsidR="00784B0F" w:rsidRPr="00784B0F" w:rsidRDefault="00784B0F" w:rsidP="00784B0F">
            <w:r w:rsidRPr="001F00F1">
              <w:t xml:space="preserve">weekly/monthly return intervals, multiple estimation periods, OLS/LAD regressions, value/equal weight fixed portfolios, average/median varying portfolios, </w:t>
            </w:r>
            <w:r w:rsidRPr="00784B0F">
              <w:t>raw/re-levered estimates, 9 comparators</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tcW w:w="1101" w:type="dxa"/>
          </w:tcPr>
          <w:p w:rsidR="00784B0F" w:rsidRPr="00784B0F" w:rsidRDefault="00784B0F" w:rsidP="00784B0F">
            <w:r>
              <w:t>Grant Samuel 2014</w:t>
            </w:r>
          </w:p>
        </w:tc>
        <w:tc>
          <w:tcPr>
            <w:tcW w:w="850" w:type="dxa"/>
          </w:tcPr>
          <w:p w:rsidR="00784B0F" w:rsidRPr="00784B0F" w:rsidRDefault="00784B0F" w:rsidP="00784B0F">
            <w:r>
              <w:t>2009–2014</w:t>
            </w:r>
            <w:r w:rsidRPr="00784B0F">
              <w:rPr>
                <w:rStyle w:val="AERsuperscript"/>
              </w:rPr>
              <w:t>(c)</w:t>
            </w:r>
          </w:p>
        </w:tc>
        <w:tc>
          <w:tcPr>
            <w:tcW w:w="992" w:type="dxa"/>
          </w:tcPr>
          <w:p w:rsidR="00784B0F" w:rsidRPr="00784B0F" w:rsidRDefault="00784B0F" w:rsidP="00784B0F">
            <w:r>
              <w:t>0.42–0.64</w:t>
            </w:r>
          </w:p>
        </w:tc>
        <w:tc>
          <w:tcPr>
            <w:tcW w:w="993" w:type="dxa"/>
          </w:tcPr>
          <w:p w:rsidR="00784B0F" w:rsidRPr="00784B0F" w:rsidRDefault="00784B0F" w:rsidP="00784B0F">
            <w:r>
              <w:t>n/a</w:t>
            </w:r>
          </w:p>
        </w:tc>
        <w:tc>
          <w:tcPr>
            <w:tcW w:w="992" w:type="dxa"/>
          </w:tcPr>
          <w:p w:rsidR="00784B0F" w:rsidRPr="00784B0F" w:rsidRDefault="00784B0F" w:rsidP="00784B0F">
            <w:r>
              <w:t>n/a</w:t>
            </w:r>
          </w:p>
        </w:tc>
        <w:tc>
          <w:tcPr>
            <w:tcW w:w="3765" w:type="dxa"/>
          </w:tcPr>
          <w:p w:rsidR="00784B0F" w:rsidRPr="00784B0F" w:rsidRDefault="00784B0F" w:rsidP="00784B0F">
            <w:r w:rsidRPr="001F00F1">
              <w:t xml:space="preserve">weekly/monthly </w:t>
            </w:r>
            <w:r w:rsidRPr="00784B0F">
              <w:t>return intervals, multiple estimation periods, OLS regressions, Bloomberg adjusted betas, raw estimates, 5 comparators</w:t>
            </w:r>
          </w:p>
        </w:tc>
      </w:tr>
      <w:tr w:rsidR="00784B0F" w:rsidTr="0042654C">
        <w:tc>
          <w:tcPr>
            <w:tcW w:w="1101" w:type="dxa"/>
          </w:tcPr>
          <w:p w:rsidR="00784B0F" w:rsidRPr="00784B0F" w:rsidRDefault="00784B0F" w:rsidP="00784B0F">
            <w:r>
              <w:t>ERA 2013</w:t>
            </w:r>
          </w:p>
        </w:tc>
        <w:tc>
          <w:tcPr>
            <w:tcW w:w="850" w:type="dxa"/>
          </w:tcPr>
          <w:p w:rsidR="00784B0F" w:rsidRPr="00784B0F" w:rsidRDefault="00784B0F" w:rsidP="00784B0F">
            <w:r>
              <w:t>2002–2013</w:t>
            </w:r>
          </w:p>
        </w:tc>
        <w:tc>
          <w:tcPr>
            <w:tcW w:w="992" w:type="dxa"/>
          </w:tcPr>
          <w:p w:rsidR="00784B0F" w:rsidRPr="00784B0F" w:rsidRDefault="00784B0F" w:rsidP="00784B0F">
            <w:r>
              <w:t>0.48–0.52</w:t>
            </w:r>
          </w:p>
        </w:tc>
        <w:tc>
          <w:tcPr>
            <w:tcW w:w="993" w:type="dxa"/>
          </w:tcPr>
          <w:p w:rsidR="00784B0F" w:rsidRPr="00784B0F" w:rsidRDefault="00784B0F" w:rsidP="00784B0F">
            <w:r>
              <w:t>0.39–0.59</w:t>
            </w:r>
          </w:p>
        </w:tc>
        <w:tc>
          <w:tcPr>
            <w:tcW w:w="992" w:type="dxa"/>
          </w:tcPr>
          <w:p w:rsidR="00784B0F" w:rsidRPr="00784B0F" w:rsidRDefault="00784B0F" w:rsidP="00784B0F">
            <w:r>
              <w:t>n/a</w:t>
            </w:r>
          </w:p>
        </w:tc>
        <w:tc>
          <w:tcPr>
            <w:tcW w:w="3765" w:type="dxa"/>
          </w:tcPr>
          <w:p w:rsidR="00784B0F" w:rsidRPr="00784B0F" w:rsidRDefault="00784B0F" w:rsidP="00784B0F">
            <w:r w:rsidRPr="001F00F1">
              <w:t xml:space="preserve">weekly return intervals, OLS/LAD/MM/TS regressions, value/equal weight fixed portfolios, </w:t>
            </w:r>
            <w:r w:rsidRPr="00784B0F">
              <w:t>multiple estimation periods, re-levered estimates, 6 comparators</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tcW w:w="1101" w:type="dxa"/>
          </w:tcPr>
          <w:p w:rsidR="00784B0F" w:rsidRPr="00784B0F" w:rsidRDefault="00784B0F" w:rsidP="00784B0F">
            <w:r>
              <w:t>SFG 2013</w:t>
            </w:r>
          </w:p>
        </w:tc>
        <w:tc>
          <w:tcPr>
            <w:tcW w:w="850" w:type="dxa"/>
          </w:tcPr>
          <w:p w:rsidR="00784B0F" w:rsidRPr="00784B0F" w:rsidRDefault="00784B0F" w:rsidP="00784B0F">
            <w:r>
              <w:t>2002–2013</w:t>
            </w:r>
          </w:p>
        </w:tc>
        <w:tc>
          <w:tcPr>
            <w:tcW w:w="992" w:type="dxa"/>
          </w:tcPr>
          <w:p w:rsidR="00784B0F" w:rsidRPr="00784B0F" w:rsidRDefault="00784B0F" w:rsidP="00784B0F">
            <w:r>
              <w:t>0.60</w:t>
            </w:r>
          </w:p>
        </w:tc>
        <w:tc>
          <w:tcPr>
            <w:tcW w:w="993" w:type="dxa"/>
          </w:tcPr>
          <w:p w:rsidR="00784B0F" w:rsidRPr="00784B0F" w:rsidRDefault="00784B0F" w:rsidP="00784B0F">
            <w:r>
              <w:t>n/a</w:t>
            </w:r>
          </w:p>
        </w:tc>
        <w:tc>
          <w:tcPr>
            <w:tcW w:w="992" w:type="dxa"/>
          </w:tcPr>
          <w:p w:rsidR="00784B0F" w:rsidRPr="00784B0F" w:rsidRDefault="00784B0F" w:rsidP="00784B0F">
            <w:r>
              <w:t>0.55</w:t>
            </w:r>
          </w:p>
        </w:tc>
        <w:tc>
          <w:tcPr>
            <w:tcW w:w="3765" w:type="dxa"/>
          </w:tcPr>
          <w:p w:rsidR="00784B0F" w:rsidRPr="00784B0F" w:rsidRDefault="00784B0F" w:rsidP="00784B0F">
            <w:r w:rsidRPr="001F00F1">
              <w:t>OLS regressions, four weekly repeat sampling, Vasicek</w:t>
            </w:r>
            <w:r w:rsidRPr="00784B0F">
              <w:t xml:space="preserve"> adjustment, re-levered estimates, 9 comparators</w:t>
            </w:r>
          </w:p>
        </w:tc>
      </w:tr>
      <w:tr w:rsidR="00784B0F" w:rsidTr="0042654C">
        <w:tc>
          <w:tcPr>
            <w:tcW w:w="1101" w:type="dxa"/>
          </w:tcPr>
          <w:p w:rsidR="00784B0F" w:rsidRPr="00784B0F" w:rsidRDefault="00784B0F" w:rsidP="00784B0F">
            <w:r>
              <w:t>ERA 2012</w:t>
            </w:r>
          </w:p>
        </w:tc>
        <w:tc>
          <w:tcPr>
            <w:tcW w:w="850" w:type="dxa"/>
          </w:tcPr>
          <w:p w:rsidR="00784B0F" w:rsidRPr="00784B0F" w:rsidRDefault="00784B0F" w:rsidP="00784B0F">
            <w:r>
              <w:t>2002–2011</w:t>
            </w:r>
          </w:p>
        </w:tc>
        <w:tc>
          <w:tcPr>
            <w:tcW w:w="992" w:type="dxa"/>
          </w:tcPr>
          <w:p w:rsidR="00784B0F" w:rsidRPr="00784B0F" w:rsidRDefault="00784B0F" w:rsidP="00784B0F">
            <w:r>
              <w:t>0.44–0.60</w:t>
            </w:r>
          </w:p>
        </w:tc>
        <w:tc>
          <w:tcPr>
            <w:tcW w:w="993" w:type="dxa"/>
          </w:tcPr>
          <w:p w:rsidR="00784B0F" w:rsidRPr="00784B0F" w:rsidRDefault="00784B0F" w:rsidP="00784B0F">
            <w:r>
              <w:t>n/a</w:t>
            </w:r>
          </w:p>
        </w:tc>
        <w:tc>
          <w:tcPr>
            <w:tcW w:w="992" w:type="dxa"/>
          </w:tcPr>
          <w:p w:rsidR="00784B0F" w:rsidRPr="00784B0F" w:rsidRDefault="00784B0F" w:rsidP="00784B0F">
            <w:r>
              <w:t>n/a</w:t>
            </w:r>
          </w:p>
        </w:tc>
        <w:tc>
          <w:tcPr>
            <w:tcW w:w="3765" w:type="dxa"/>
          </w:tcPr>
          <w:p w:rsidR="00784B0F" w:rsidRPr="00784B0F" w:rsidRDefault="00784B0F" w:rsidP="00784B0F">
            <w:r w:rsidRPr="001F00F1">
              <w:t xml:space="preserve">weekly/monthly </w:t>
            </w:r>
            <w:r w:rsidRPr="00784B0F">
              <w:t>return intervals, OLS/LAD regressions, re-levered estimates, 9 comparators</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tcW w:w="1101" w:type="dxa"/>
          </w:tcPr>
          <w:p w:rsidR="00784B0F" w:rsidRPr="00784B0F" w:rsidRDefault="00784B0F" w:rsidP="00784B0F">
            <w:r>
              <w:t>Henry 2009</w:t>
            </w:r>
          </w:p>
        </w:tc>
        <w:tc>
          <w:tcPr>
            <w:tcW w:w="850" w:type="dxa"/>
          </w:tcPr>
          <w:p w:rsidR="00784B0F" w:rsidRPr="00784B0F" w:rsidRDefault="00784B0F" w:rsidP="00784B0F">
            <w:r>
              <w:t>2002–2008</w:t>
            </w:r>
          </w:p>
        </w:tc>
        <w:tc>
          <w:tcPr>
            <w:tcW w:w="992" w:type="dxa"/>
          </w:tcPr>
          <w:p w:rsidR="00784B0F" w:rsidRPr="00784B0F" w:rsidRDefault="00784B0F" w:rsidP="00784B0F">
            <w:r>
              <w:t>0.45–0.71</w:t>
            </w:r>
          </w:p>
        </w:tc>
        <w:tc>
          <w:tcPr>
            <w:tcW w:w="993" w:type="dxa"/>
          </w:tcPr>
          <w:p w:rsidR="00784B0F" w:rsidRPr="00784B0F" w:rsidRDefault="00784B0F" w:rsidP="00784B0F">
            <w:r>
              <w:t>0.35–0.94</w:t>
            </w:r>
            <w:r w:rsidRPr="00784B0F">
              <w:rPr>
                <w:rStyle w:val="AERsuperscript"/>
              </w:rPr>
              <w:t>(d)</w:t>
            </w:r>
          </w:p>
        </w:tc>
        <w:tc>
          <w:tcPr>
            <w:tcW w:w="992" w:type="dxa"/>
          </w:tcPr>
          <w:p w:rsidR="00784B0F" w:rsidRPr="00784B0F" w:rsidRDefault="00784B0F" w:rsidP="00784B0F">
            <w:r>
              <w:t>0.41</w:t>
            </w:r>
            <w:r>
              <w:softHyphen/>
              <w:t>–0.78</w:t>
            </w:r>
          </w:p>
        </w:tc>
        <w:tc>
          <w:tcPr>
            <w:tcW w:w="3765" w:type="dxa"/>
          </w:tcPr>
          <w:p w:rsidR="00784B0F" w:rsidRPr="00784B0F" w:rsidRDefault="00784B0F" w:rsidP="00784B0F">
            <w:r w:rsidRPr="001F00F1">
              <w:t xml:space="preserve">weekly/monthly return </w:t>
            </w:r>
            <w:r w:rsidRPr="00784B0F">
              <w:t>intervals, various estimation periods, OLS/LAD regressions, value/equal weight fixed portfolios, average/median varying portfolios, re-levered estimates, 9 comparators</w:t>
            </w:r>
          </w:p>
        </w:tc>
      </w:tr>
      <w:tr w:rsidR="00784B0F" w:rsidTr="0042654C">
        <w:tc>
          <w:tcPr>
            <w:tcW w:w="1101" w:type="dxa"/>
          </w:tcPr>
          <w:p w:rsidR="00784B0F" w:rsidRPr="00784B0F" w:rsidRDefault="00784B0F" w:rsidP="00784B0F">
            <w:r>
              <w:t>ACG 2009</w:t>
            </w:r>
          </w:p>
        </w:tc>
        <w:tc>
          <w:tcPr>
            <w:tcW w:w="850" w:type="dxa"/>
          </w:tcPr>
          <w:p w:rsidR="00784B0F" w:rsidRPr="00784B0F" w:rsidRDefault="00784B0F" w:rsidP="00784B0F">
            <w:r>
              <w:t>1990–2008</w:t>
            </w:r>
          </w:p>
        </w:tc>
        <w:tc>
          <w:tcPr>
            <w:tcW w:w="992" w:type="dxa"/>
          </w:tcPr>
          <w:p w:rsidR="00784B0F" w:rsidRPr="00784B0F" w:rsidRDefault="00784B0F" w:rsidP="00784B0F">
            <w:r>
              <w:t>0.50–0.58</w:t>
            </w:r>
          </w:p>
        </w:tc>
        <w:tc>
          <w:tcPr>
            <w:tcW w:w="993" w:type="dxa"/>
          </w:tcPr>
          <w:p w:rsidR="00784B0F" w:rsidRPr="00784B0F" w:rsidRDefault="00784B0F" w:rsidP="00784B0F">
            <w:r>
              <w:t>n/a</w:t>
            </w:r>
          </w:p>
        </w:tc>
        <w:tc>
          <w:tcPr>
            <w:tcW w:w="992" w:type="dxa"/>
          </w:tcPr>
          <w:p w:rsidR="00784B0F" w:rsidRPr="00784B0F" w:rsidRDefault="00784B0F" w:rsidP="00784B0F">
            <w:r>
              <w:t>0.69–0.91</w:t>
            </w:r>
          </w:p>
        </w:tc>
        <w:tc>
          <w:tcPr>
            <w:tcW w:w="3765" w:type="dxa"/>
          </w:tcPr>
          <w:p w:rsidR="00784B0F" w:rsidRPr="00784B0F" w:rsidRDefault="00784B0F" w:rsidP="00784B0F">
            <w:r w:rsidRPr="001F00F1">
              <w:t>monthly return intervals, OLS/LAD regressions, multiple</w:t>
            </w:r>
            <w:r w:rsidRPr="00784B0F">
              <w:t xml:space="preserve"> estimation periods, raw/re-levered estimates, average/median varying portfolios, 9 comparators</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tcW w:w="1101" w:type="dxa"/>
          </w:tcPr>
          <w:p w:rsidR="00784B0F" w:rsidRPr="00784B0F" w:rsidRDefault="00784B0F" w:rsidP="00784B0F">
            <w:r>
              <w:t>Henry 2008</w:t>
            </w:r>
          </w:p>
        </w:tc>
        <w:tc>
          <w:tcPr>
            <w:tcW w:w="850" w:type="dxa"/>
          </w:tcPr>
          <w:p w:rsidR="00784B0F" w:rsidRPr="00784B0F" w:rsidRDefault="00784B0F" w:rsidP="00784B0F">
            <w:r>
              <w:t>2002–2008</w:t>
            </w:r>
          </w:p>
        </w:tc>
        <w:tc>
          <w:tcPr>
            <w:tcW w:w="992" w:type="dxa"/>
          </w:tcPr>
          <w:p w:rsidR="00784B0F" w:rsidRPr="00784B0F" w:rsidRDefault="00784B0F" w:rsidP="00784B0F">
            <w:r>
              <w:t>0.35–0.67</w:t>
            </w:r>
          </w:p>
        </w:tc>
        <w:tc>
          <w:tcPr>
            <w:tcW w:w="993" w:type="dxa"/>
          </w:tcPr>
          <w:p w:rsidR="00784B0F" w:rsidRPr="00784B0F" w:rsidRDefault="00784B0F" w:rsidP="00784B0F">
            <w:r>
              <w:t>0.31–0.77</w:t>
            </w:r>
            <w:r w:rsidRPr="00784B0F">
              <w:rPr>
                <w:rStyle w:val="AERsuperscript"/>
              </w:rPr>
              <w:t>(e)</w:t>
            </w:r>
          </w:p>
        </w:tc>
        <w:tc>
          <w:tcPr>
            <w:tcW w:w="992" w:type="dxa"/>
          </w:tcPr>
          <w:p w:rsidR="00784B0F" w:rsidRPr="00784B0F" w:rsidRDefault="00784B0F" w:rsidP="00784B0F">
            <w:r>
              <w:t>n/a</w:t>
            </w:r>
          </w:p>
        </w:tc>
        <w:tc>
          <w:tcPr>
            <w:tcW w:w="3765" w:type="dxa"/>
          </w:tcPr>
          <w:p w:rsidR="00784B0F" w:rsidRPr="00784B0F" w:rsidRDefault="00784B0F" w:rsidP="00784B0F">
            <w:r w:rsidRPr="001F00F1">
              <w:t xml:space="preserve">daily/weekly/monthly return intervals, discrete/continuous returns, various estimation periods, OLS/LAD regressions, value/equal weight portfolios, raw/re-levered estimates, no adjustment/Vasicek/Blume, 10 comparators </w:t>
            </w:r>
          </w:p>
        </w:tc>
      </w:tr>
    </w:tbl>
    <w:p w:rsidR="00784B0F" w:rsidRPr="00EB6387" w:rsidRDefault="00784B0F" w:rsidP="00784B0F">
      <w:pPr>
        <w:pStyle w:val="AERtablesource"/>
      </w:pPr>
      <w:r w:rsidRPr="00660C1E">
        <w:t>Source:</w:t>
      </w:r>
      <w:r w:rsidRPr="00660C1E">
        <w:tab/>
        <w:t>AER analysis</w:t>
      </w:r>
      <w:r w:rsidRPr="00EB6387">
        <w:t>.</w:t>
      </w:r>
      <w:r w:rsidRPr="00EB6387">
        <w:rPr>
          <w:rStyle w:val="FootnoteReference"/>
        </w:rPr>
        <w:footnoteReference w:id="945"/>
      </w:r>
    </w:p>
    <w:p w:rsidR="00784B0F" w:rsidRPr="00EB6387" w:rsidRDefault="00784B0F" w:rsidP="00784B0F">
      <w:pPr>
        <w:pStyle w:val="AERtablesource"/>
      </w:pPr>
      <w:r w:rsidRPr="00660C1E">
        <w:t>(a)</w:t>
      </w:r>
      <w:r w:rsidRPr="00660C1E">
        <w:tab/>
        <w:t xml:space="preserve">We place </w:t>
      </w:r>
      <w:r w:rsidRPr="00EB6387">
        <w:t xml:space="preserve">no material reliance on the estimates from time varying portfolios as they are not grounded in financial theory and are prone to measurement error. See: Henry, </w:t>
      </w:r>
      <w:r w:rsidRPr="00EB6387">
        <w:rPr>
          <w:rStyle w:val="AERtextitalic"/>
        </w:rPr>
        <w:t>Estimating β: An update</w:t>
      </w:r>
      <w:r w:rsidRPr="00EB6387">
        <w:t>, April 2014, p. 52.</w:t>
      </w:r>
    </w:p>
    <w:p w:rsidR="00784B0F" w:rsidRPr="00660C1E" w:rsidRDefault="00784B0F" w:rsidP="00784B0F">
      <w:pPr>
        <w:pStyle w:val="AERtablesource"/>
      </w:pPr>
      <w:r w:rsidRPr="00660C1E">
        <w:t>(b)</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784B0F" w:rsidRPr="00660C1E" w:rsidRDefault="00784B0F" w:rsidP="00784B0F">
      <w:pPr>
        <w:pStyle w:val="AERtablesource"/>
      </w:pPr>
      <w:r w:rsidRPr="00660C1E">
        <w:t>(c)</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784B0F" w:rsidRPr="00660C1E" w:rsidRDefault="00784B0F" w:rsidP="00784B0F">
      <w:pPr>
        <w:pStyle w:val="AERtablesource"/>
      </w:pPr>
      <w:r w:rsidRPr="00660C1E">
        <w:t>(d)</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784B0F" w:rsidRPr="00660C1E" w:rsidRDefault="00784B0F" w:rsidP="00784B0F">
      <w:pPr>
        <w:pStyle w:val="AERtablesource"/>
      </w:pPr>
      <w:r w:rsidRPr="00660C1E">
        <w:t>(e)</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784B0F" w:rsidRDefault="00784B0F" w:rsidP="00784B0F">
      <w:pPr>
        <w:pStyle w:val="AERtablesource"/>
        <w:rPr>
          <w:rStyle w:val="AERbody"/>
        </w:rPr>
      </w:pPr>
      <w:r w:rsidRPr="00660C1E">
        <w:t>(f)</w:t>
      </w:r>
      <w:r w:rsidRPr="00660C1E">
        <w:tab/>
        <w:t>ACG did not make it clear what time period its data covered. However, it noted that equity beta estimates were only used where there were more than 20 observations.</w:t>
      </w:r>
    </w:p>
    <w:p w:rsidR="00784B0F" w:rsidRPr="00345FC0" w:rsidRDefault="00784B0F" w:rsidP="00784B0F">
      <w:pPr>
        <w:pStyle w:val="Heading8"/>
      </w:pPr>
      <w:bookmarkStart w:id="310" w:name="_Toc451943814"/>
      <w:bookmarkStart w:id="311" w:name="_Toc456686749"/>
      <w:r>
        <w:t>International e</w:t>
      </w:r>
      <w:r w:rsidRPr="00345FC0">
        <w:t>mpirical estimates</w:t>
      </w:r>
      <w:bookmarkEnd w:id="310"/>
      <w:bookmarkEnd w:id="311"/>
      <w:r>
        <w:t xml:space="preserve"> </w:t>
      </w:r>
    </w:p>
    <w:p w:rsidR="00784B0F" w:rsidRDefault="00784B0F" w:rsidP="00784B0F">
      <w:r>
        <w:t xml:space="preserve">The international empirical estimates we consider in this decision are set out in </w:t>
      </w:r>
      <w:r>
        <w:fldChar w:fldCharType="begin"/>
      </w:r>
      <w:r>
        <w:instrText xml:space="preserve"> REF  _Ref446238074 \* Lower \h </w:instrText>
      </w:r>
      <w:r>
        <w:fldChar w:fldCharType="separate"/>
      </w:r>
      <w:r w:rsidR="003F1AAB">
        <w:t xml:space="preserve">table </w:t>
      </w:r>
      <w:r w:rsidR="003F1AAB">
        <w:rPr>
          <w:noProof/>
        </w:rPr>
        <w:t>3</w:t>
      </w:r>
      <w:r w:rsidR="003F1AAB">
        <w:noBreakHyphen/>
      </w:r>
      <w:r w:rsidR="003F1AAB">
        <w:rPr>
          <w:noProof/>
        </w:rPr>
        <w:t>33</w:t>
      </w:r>
      <w:r>
        <w:fldChar w:fldCharType="end"/>
      </w:r>
      <w:r>
        <w:t xml:space="preserve"> and range from 0.3 to 1.0.</w:t>
      </w:r>
      <w:r>
        <w:rPr>
          <w:rStyle w:val="FootnoteReference"/>
        </w:rPr>
        <w:footnoteReference w:id="946"/>
      </w:r>
      <w:r>
        <w:t xml:space="preserve"> </w:t>
      </w:r>
      <w:r w:rsidRPr="00CD578C">
        <w:t>We consider this evidence provides some limited support for an equity beta point estimate towards the upper end of our empirical range.</w:t>
      </w:r>
      <w:r w:rsidRPr="003E21FD">
        <w:t xml:space="preserve"> </w:t>
      </w:r>
      <w:r>
        <w:t xml:space="preserve">We do not include these firms in our comparator set (for our primary empirical analysis) because we do not consider they are sufficiently comparable to a benchmark efficient entity with a similar degree of risk as AusNet Services in providing regulated services (see section </w:t>
      </w:r>
      <w:r>
        <w:fldChar w:fldCharType="begin"/>
      </w:r>
      <w:r>
        <w:instrText xml:space="preserve"> REF _Ref446254445 \r \h </w:instrText>
      </w:r>
      <w:r>
        <w:fldChar w:fldCharType="separate"/>
      </w:r>
      <w:r w:rsidR="003F1AAB">
        <w:t>G.4.3</w:t>
      </w:r>
      <w:r>
        <w:fldChar w:fldCharType="end"/>
      </w:r>
      <w:r>
        <w:t>).</w:t>
      </w:r>
    </w:p>
    <w:p w:rsidR="00784B0F" w:rsidRDefault="00784B0F" w:rsidP="00784B0F">
      <w:pPr>
        <w:pStyle w:val="Caption"/>
      </w:pPr>
      <w:bookmarkStart w:id="312" w:name="_Ref446238074"/>
      <w:r>
        <w:t xml:space="preserve">Table </w:t>
      </w:r>
      <w:r w:rsidRPr="00245C96">
        <w:fldChar w:fldCharType="begin"/>
      </w:r>
      <w:r>
        <w:instrText xml:space="preserve"> STYLEREF 1 \s </w:instrText>
      </w:r>
      <w:r w:rsidRPr="00245C96">
        <w:fldChar w:fldCharType="separate"/>
      </w:r>
      <w:r w:rsidR="003F1AAB">
        <w:rPr>
          <w:noProof/>
        </w:rPr>
        <w:t>3</w:t>
      </w:r>
      <w:r w:rsidRPr="00245C96">
        <w:fldChar w:fldCharType="end"/>
      </w:r>
      <w:r>
        <w:noBreakHyphen/>
      </w:r>
      <w:r w:rsidRPr="00245C96">
        <w:fldChar w:fldCharType="begin"/>
      </w:r>
      <w:r>
        <w:instrText xml:space="preserve"> SEQ Table \* ARABIC \s 1 </w:instrText>
      </w:r>
      <w:r w:rsidRPr="00245C96">
        <w:fldChar w:fldCharType="separate"/>
      </w:r>
      <w:r w:rsidR="003F1AAB">
        <w:rPr>
          <w:noProof/>
        </w:rPr>
        <w:t>33</w:t>
      </w:r>
      <w:r w:rsidRPr="00245C96">
        <w:fldChar w:fldCharType="end"/>
      </w:r>
      <w:bookmarkEnd w:id="312"/>
      <w:r>
        <w:tab/>
        <w:t>International empirical estimates of equity beta</w:t>
      </w:r>
    </w:p>
    <w:tbl>
      <w:tblPr>
        <w:tblStyle w:val="AERtable-text0"/>
        <w:tblW w:w="0" w:type="auto"/>
        <w:tblLayout w:type="fixed"/>
        <w:tblLook w:val="04A0" w:firstRow="1" w:lastRow="0" w:firstColumn="1" w:lastColumn="0" w:noHBand="0" w:noVBand="1"/>
      </w:tblPr>
      <w:tblGrid>
        <w:gridCol w:w="1809"/>
        <w:gridCol w:w="3969"/>
        <w:gridCol w:w="1418"/>
        <w:gridCol w:w="1497"/>
      </w:tblGrid>
      <w:tr w:rsidR="00784B0F" w:rsidTr="003957BF">
        <w:trPr>
          <w:cnfStyle w:val="100000000000" w:firstRow="1" w:lastRow="0" w:firstColumn="0" w:lastColumn="0" w:oddVBand="0" w:evenVBand="0" w:oddHBand="0" w:evenHBand="0" w:firstRowFirstColumn="0" w:firstRowLastColumn="0" w:lastRowFirstColumn="0" w:lastRowLastColumn="0"/>
          <w:tblHeader/>
        </w:trPr>
        <w:tc>
          <w:tcPr>
            <w:tcW w:w="1809" w:type="dxa"/>
          </w:tcPr>
          <w:p w:rsidR="00784B0F" w:rsidRPr="00784B0F" w:rsidRDefault="00784B0F" w:rsidP="00784B0F">
            <w:r>
              <w:t>Report</w:t>
            </w:r>
          </w:p>
        </w:tc>
        <w:tc>
          <w:tcPr>
            <w:tcW w:w="3969" w:type="dxa"/>
          </w:tcPr>
          <w:p w:rsidR="00784B0F" w:rsidRPr="00784B0F" w:rsidRDefault="00784B0F" w:rsidP="00784B0F">
            <w:r>
              <w:t>Details</w:t>
            </w:r>
          </w:p>
        </w:tc>
        <w:tc>
          <w:tcPr>
            <w:tcW w:w="1418" w:type="dxa"/>
          </w:tcPr>
          <w:p w:rsidR="00784B0F" w:rsidRPr="00784B0F" w:rsidRDefault="00784B0F" w:rsidP="00784B0F">
            <w:r>
              <w:t>Raw estimate</w:t>
            </w:r>
          </w:p>
        </w:tc>
        <w:tc>
          <w:tcPr>
            <w:tcW w:w="1497" w:type="dxa"/>
          </w:tcPr>
          <w:p w:rsidR="00784B0F" w:rsidRPr="00784B0F" w:rsidRDefault="00784B0F" w:rsidP="00784B0F">
            <w:r>
              <w:t xml:space="preserve">Re-levered estimate (to 60 per </w:t>
            </w:r>
            <w:r w:rsidRPr="00784B0F">
              <w:t>cent gearing)</w:t>
            </w:r>
          </w:p>
        </w:tc>
      </w:tr>
      <w:tr w:rsidR="00784B0F" w:rsidTr="0042654C">
        <w:tc>
          <w:tcPr>
            <w:tcW w:w="1809" w:type="dxa"/>
          </w:tcPr>
          <w:p w:rsidR="00784B0F" w:rsidRPr="00784B0F" w:rsidRDefault="00784B0F" w:rsidP="00784B0F">
            <w:r>
              <w:t xml:space="preserve">SFG, </w:t>
            </w:r>
            <w:r w:rsidRPr="00784B0F">
              <w:rPr>
                <w:rStyle w:val="AERtextitalic"/>
              </w:rPr>
              <w:t>Regression-based estimates of risk parameters</w:t>
            </w:r>
            <w:r w:rsidRPr="00784B0F">
              <w:t>, June 2013, pp. 15, 19</w:t>
            </w:r>
          </w:p>
          <w:p w:rsidR="00784B0F" w:rsidRPr="00784B0F" w:rsidRDefault="00784B0F" w:rsidP="00784B0F">
            <w:pPr>
              <w:rPr>
                <w:rStyle w:val="AERtextsize8"/>
              </w:rPr>
            </w:pPr>
            <w:r w:rsidRPr="00707ABA">
              <w:t xml:space="preserve">CEG, </w:t>
            </w:r>
            <w:r w:rsidRPr="00784B0F">
              <w:rPr>
                <w:rStyle w:val="AERtextitalic"/>
              </w:rPr>
              <w:t>Information on equity beta from US companies</w:t>
            </w:r>
            <w:r w:rsidRPr="00784B0F">
              <w:t>, June 2013</w:t>
            </w:r>
          </w:p>
        </w:tc>
        <w:tc>
          <w:tcPr>
            <w:tcW w:w="3969" w:type="dxa"/>
          </w:tcPr>
          <w:p w:rsidR="00784B0F" w:rsidRPr="00784B0F" w:rsidRDefault="00784B0F" w:rsidP="00784B0F">
            <w:pPr>
              <w:rPr>
                <w:rStyle w:val="AERtextsize8"/>
              </w:rPr>
            </w:pPr>
            <w:r w:rsidRPr="00707ABA">
              <w:t xml:space="preserve">The CEG report prepared as a part of the ENA submission to </w:t>
            </w:r>
            <w:r w:rsidRPr="00784B0F">
              <w:t>the Guideline process suggested a sample of 56 US–listed energy network companies to be included in our comparator set of Australian–listed energy network firms. Based on the comparator sample provided by CEG, SFG computed OLS equity beta estimates over an 11 year period from 2 January 2002 to 19 November 2012. SFG's results incorporate a Vasicek adjustment to its OLS equity beta estimates.</w:t>
            </w:r>
          </w:p>
        </w:tc>
        <w:tc>
          <w:tcPr>
            <w:tcW w:w="1418" w:type="dxa"/>
          </w:tcPr>
          <w:p w:rsidR="00784B0F" w:rsidRPr="00784B0F" w:rsidRDefault="00784B0F" w:rsidP="00784B0F">
            <w:r>
              <w:t>0.68</w:t>
            </w:r>
            <w:r w:rsidRPr="00784B0F">
              <w:t>—average of individual firm estimates (0.67 without a Vasicek adjustment)</w:t>
            </w:r>
          </w:p>
        </w:tc>
        <w:tc>
          <w:tcPr>
            <w:tcW w:w="1497" w:type="dxa"/>
          </w:tcPr>
          <w:p w:rsidR="00784B0F" w:rsidRPr="00784B0F" w:rsidRDefault="00784B0F" w:rsidP="00784B0F">
            <w:r>
              <w:t>0.88</w:t>
            </w:r>
            <w:r w:rsidRPr="00784B0F">
              <w:t>—average of individual firm estimates</w:t>
            </w:r>
          </w:p>
          <w:p w:rsidR="00784B0F" w:rsidRPr="00784B0F" w:rsidRDefault="00784B0F" w:rsidP="00784B0F">
            <w:r>
              <w:t>0.91</w:t>
            </w:r>
            <w:r w:rsidRPr="00784B0F">
              <w:t>—average equity beta of an equal–weighted index of firm returns</w:t>
            </w:r>
            <w:r w:rsidRPr="00784B0F">
              <w:rPr>
                <w:rStyle w:val="FootnoteReference"/>
              </w:rPr>
              <w:footnoteReference w:id="947"/>
            </w:r>
          </w:p>
        </w:tc>
      </w:tr>
      <w:tr w:rsidR="00784B0F" w:rsidTr="0042654C">
        <w:trPr>
          <w:cnfStyle w:val="000000010000" w:firstRow="0" w:lastRow="0" w:firstColumn="0" w:lastColumn="0" w:oddVBand="0" w:evenVBand="0" w:oddHBand="0" w:evenHBand="1" w:firstRowFirstColumn="0" w:firstRowLastColumn="0" w:lastRowFirstColumn="0" w:lastRowLastColumn="0"/>
        </w:trPr>
        <w:tc>
          <w:tcPr>
            <w:tcW w:w="1809" w:type="dxa"/>
          </w:tcPr>
          <w:p w:rsidR="00784B0F" w:rsidRPr="00784B0F" w:rsidRDefault="00784B0F" w:rsidP="00784B0F">
            <w:pPr>
              <w:rPr>
                <w:rStyle w:val="AERtextsize8"/>
              </w:rPr>
            </w:pPr>
            <w:r w:rsidRPr="00E518CC">
              <w:t>Damodaran,</w:t>
            </w:r>
            <w:r w:rsidRPr="00784B0F">
              <w:t xml:space="preserve"> </w:t>
            </w:r>
            <w:r w:rsidRPr="00784B0F">
              <w:rPr>
                <w:rStyle w:val="AERtextitalic"/>
              </w:rPr>
              <w:t>Updated data: The Data page</w:t>
            </w:r>
            <w:r w:rsidRPr="00784B0F">
              <w:t xml:space="preserve">, </w:t>
            </w:r>
            <w:r w:rsidRPr="00784B0F">
              <w:rPr>
                <w:rStyle w:val="AERtextitalic"/>
              </w:rPr>
              <w:t>Levered and Unlevered Betas by Industry: Download detail</w:t>
            </w:r>
            <w:r w:rsidRPr="00784B0F">
              <w:t>, Stern school of Business New York University, last updated 5 January 2016, viewed 18 March 2016</w:t>
            </w:r>
          </w:p>
        </w:tc>
        <w:tc>
          <w:tcPr>
            <w:tcW w:w="3969" w:type="dxa"/>
          </w:tcPr>
          <w:p w:rsidR="00784B0F" w:rsidRPr="00784B0F" w:rsidRDefault="00784B0F" w:rsidP="00784B0F">
            <w:pPr>
              <w:rPr>
                <w:rStyle w:val="AERtextsize8"/>
              </w:rPr>
            </w:pPr>
            <w:r w:rsidRPr="00900624">
              <w:rPr>
                <w:rStyle w:val="AERtextsize8"/>
              </w:rPr>
              <w:t xml:space="preserve">The Damodaran equity beta estimates </w:t>
            </w:r>
            <w:r w:rsidRPr="00784B0F">
              <w:rPr>
                <w:rStyle w:val="AERtextsize8"/>
              </w:rPr>
              <w:t>for US industry groups have been updated for 2015 market data. However, Damodaran has changed his industry classifications since 2013. The only industry that reports energy network firms is 'Utility (general)'. It contains electricity and gas network businesses, as well as vertically integrated businesses. Damodaran uses OLS estimation, weekly return intervals and a five year estimation period (up to 2015 year–end).</w:t>
            </w:r>
          </w:p>
        </w:tc>
        <w:tc>
          <w:tcPr>
            <w:tcW w:w="1418" w:type="dxa"/>
          </w:tcPr>
          <w:p w:rsidR="00784B0F" w:rsidRPr="00784B0F" w:rsidRDefault="00784B0F" w:rsidP="00784B0F">
            <w:pPr>
              <w:rPr>
                <w:rStyle w:val="AERtextsize8"/>
              </w:rPr>
            </w:pPr>
            <w:r>
              <w:rPr>
                <w:rStyle w:val="AERtextsize8"/>
              </w:rPr>
              <w:t>0.55</w:t>
            </w:r>
          </w:p>
        </w:tc>
        <w:tc>
          <w:tcPr>
            <w:tcW w:w="1497" w:type="dxa"/>
          </w:tcPr>
          <w:p w:rsidR="00784B0F" w:rsidRPr="00784B0F" w:rsidRDefault="00784B0F" w:rsidP="00784B0F">
            <w:pPr>
              <w:rPr>
                <w:rStyle w:val="AERtextsize8"/>
              </w:rPr>
            </w:pPr>
            <w:r>
              <w:rPr>
                <w:rStyle w:val="AERtextsize8"/>
              </w:rPr>
              <w:t>0.81</w:t>
            </w:r>
            <w:r w:rsidRPr="00784B0F">
              <w:rPr>
                <w:rStyle w:val="AERtextsize8"/>
              </w:rPr>
              <w:t>*</w:t>
            </w:r>
          </w:p>
        </w:tc>
      </w:tr>
      <w:tr w:rsidR="00784B0F" w:rsidTr="0042654C">
        <w:tc>
          <w:tcPr>
            <w:tcW w:w="1809" w:type="dxa"/>
          </w:tcPr>
          <w:p w:rsidR="00784B0F" w:rsidRPr="00784B0F" w:rsidRDefault="00784B0F" w:rsidP="00784B0F">
            <w:pPr>
              <w:rPr>
                <w:rStyle w:val="AERtextsize8"/>
              </w:rPr>
            </w:pPr>
            <w:r>
              <w:t xml:space="preserve">FTI Consulting, </w:t>
            </w:r>
            <w:r w:rsidRPr="00784B0F">
              <w:rPr>
                <w:rStyle w:val="AERtextitalic"/>
              </w:rPr>
              <w:t>Cost of capital study for the RIIO-T1 and GD1 price controls</w:t>
            </w:r>
            <w:r w:rsidRPr="00784B0F">
              <w:t>, July 2012, p. 42</w:t>
            </w:r>
          </w:p>
        </w:tc>
        <w:tc>
          <w:tcPr>
            <w:tcW w:w="3969" w:type="dxa"/>
          </w:tcPr>
          <w:p w:rsidR="00784B0F" w:rsidRPr="00784B0F" w:rsidRDefault="00784B0F" w:rsidP="00784B0F">
            <w:pPr>
              <w:rPr>
                <w:rStyle w:val="AERtextsize8"/>
              </w:rPr>
            </w:pPr>
            <w:r>
              <w:t xml:space="preserve">This </w:t>
            </w:r>
            <w:r w:rsidRPr="00784B0F">
              <w:t>report for Ofgem provided equity beta estimates for three UK–listed energy network firms. FTI Consulting used OLS estimation, daily return intervals and calculated the average daily returns for the sector as the market–capitalisation weighted average of the returns for National Grid, Scottish and Southern Energy and Scottish Power.</w:t>
            </w:r>
          </w:p>
        </w:tc>
        <w:tc>
          <w:tcPr>
            <w:tcW w:w="1418" w:type="dxa"/>
          </w:tcPr>
          <w:p w:rsidR="00784B0F" w:rsidRPr="00784B0F" w:rsidRDefault="00784B0F" w:rsidP="00784B0F">
            <w:r>
              <w:t>0.45—over 10 May 2011 to 9 May 2012</w:t>
            </w:r>
          </w:p>
          <w:p w:rsidR="00784B0F" w:rsidRPr="00784B0F" w:rsidRDefault="00784B0F" w:rsidP="00784B0F">
            <w:pPr>
              <w:rPr>
                <w:rStyle w:val="AERtextsize8"/>
              </w:rPr>
            </w:pPr>
            <w:r>
              <w:t>0.48—</w:t>
            </w:r>
            <w:r w:rsidRPr="00784B0F">
              <w:t>over 10 May 2010 to 9 May 2012</w:t>
            </w:r>
          </w:p>
        </w:tc>
        <w:tc>
          <w:tcPr>
            <w:tcW w:w="1497" w:type="dxa"/>
          </w:tcPr>
          <w:p w:rsidR="00784B0F" w:rsidRPr="00784B0F" w:rsidRDefault="00784B0F" w:rsidP="00784B0F">
            <w:pPr>
              <w:rPr>
                <w:rStyle w:val="AERtextsize8"/>
              </w:rPr>
            </w:pPr>
            <w:r>
              <w:t xml:space="preserve">We are not able to provide re-levered equity beta estimates because the report does </w:t>
            </w:r>
            <w:r w:rsidRPr="00784B0F">
              <w:t>not provide the appropriate gearing data.</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tcW w:w="1809" w:type="dxa"/>
          </w:tcPr>
          <w:p w:rsidR="00784B0F" w:rsidRPr="00784B0F" w:rsidRDefault="00784B0F" w:rsidP="00784B0F">
            <w:pPr>
              <w:rPr>
                <w:rStyle w:val="AERtextsize8"/>
              </w:rPr>
            </w:pPr>
            <w:r>
              <w:t xml:space="preserve">Alberta Utilities Commission, </w:t>
            </w:r>
            <w:r w:rsidRPr="00784B0F">
              <w:rPr>
                <w:rStyle w:val="AERtextitalic"/>
              </w:rPr>
              <w:t>2013 Generic Cost of Capital</w:t>
            </w:r>
            <w:r w:rsidRPr="00784B0F">
              <w:t>, 23 March 2015, pp. 1, 24–26</w:t>
            </w:r>
          </w:p>
        </w:tc>
        <w:tc>
          <w:tcPr>
            <w:tcW w:w="3969" w:type="dxa"/>
          </w:tcPr>
          <w:p w:rsidR="00784B0F" w:rsidRPr="00784B0F" w:rsidRDefault="00784B0F" w:rsidP="00784B0F">
            <w:r>
              <w:t xml:space="preserve">This </w:t>
            </w:r>
            <w:r w:rsidRPr="00784B0F">
              <w:t>2013 Generic Cost of Capital report sets out the AUC's approved return on equity for several utilities for the years 2013, 2014, and 2015. The AUC considered advice from the following experts on the equity beta based on estimates of Canadian utilities:</w:t>
            </w:r>
          </w:p>
          <w:p w:rsidR="00784B0F" w:rsidRPr="00784B0F" w:rsidRDefault="00784B0F" w:rsidP="00784B0F">
            <w:pPr>
              <w:pStyle w:val="AERbulletlistfirststyle"/>
            </w:pPr>
            <w:r w:rsidRPr="00FF0D9F">
              <w:t xml:space="preserve">Dr Sean Cleary of Queens University recommended an equity beta range of 0.3 to 0.6. He calculated an average beta of 0.29 using monthly returns over the 1988–2012 </w:t>
            </w:r>
            <w:proofErr w:type="gramStart"/>
            <w:r w:rsidRPr="00FF0D9F">
              <w:t>period</w:t>
            </w:r>
            <w:proofErr w:type="gramEnd"/>
            <w:r w:rsidRPr="00FF0D9F">
              <w:t xml:space="preserve">. He also calculated an average beta of 0.25 using 60 months of returns up to 20 December 2013. </w:t>
            </w:r>
          </w:p>
          <w:p w:rsidR="00784B0F" w:rsidRPr="00784B0F" w:rsidRDefault="00784B0F" w:rsidP="00784B0F">
            <w:pPr>
              <w:pStyle w:val="AERbulletlistfirststyle"/>
            </w:pPr>
            <w:r w:rsidRPr="00FF0D9F">
              <w:t xml:space="preserve">Dr Laurence Booth of the University of Toronto recommended an equity beta range of 0.45 to 0.55 for Canadian stand-alone utilities based on long run beta estimates. </w:t>
            </w:r>
          </w:p>
          <w:p w:rsidR="00784B0F" w:rsidRPr="00784B0F" w:rsidRDefault="00784B0F" w:rsidP="00784B0F">
            <w:pPr>
              <w:pStyle w:val="AERbulletlistfirststyle"/>
              <w:rPr>
                <w:rStyle w:val="AERtextsize8"/>
              </w:rPr>
            </w:pPr>
            <w:r w:rsidRPr="00FF0D9F">
              <w:t>Ms Kathleen McShane (president and senior consultant with Foster Associates Inc.) was critical of historical equity betas, but used beta estimates from Bloomberg and Value Line. These betas range from 0.65 to 0.7. These betas also incorporate an adjustment towards 1.0 (Blume or Vasicek).</w:t>
            </w:r>
          </w:p>
        </w:tc>
        <w:tc>
          <w:tcPr>
            <w:tcW w:w="1418" w:type="dxa"/>
          </w:tcPr>
          <w:p w:rsidR="00784B0F" w:rsidRPr="00784B0F" w:rsidRDefault="00784B0F" w:rsidP="00784B0F">
            <w:pPr>
              <w:rPr>
                <w:rStyle w:val="AERtextsize8"/>
              </w:rPr>
            </w:pPr>
            <w:r>
              <w:rPr>
                <w:rStyle w:val="AERtextsize8"/>
              </w:rPr>
              <w:t>0.3</w:t>
            </w:r>
            <w:r w:rsidRPr="00784B0F">
              <w:rPr>
                <w:rStyle w:val="AERtextsize8"/>
              </w:rPr>
              <w:t>–0.7</w:t>
            </w:r>
          </w:p>
        </w:tc>
        <w:tc>
          <w:tcPr>
            <w:tcW w:w="1497" w:type="dxa"/>
          </w:tcPr>
          <w:p w:rsidR="00784B0F" w:rsidRPr="00784B0F" w:rsidRDefault="00784B0F" w:rsidP="00784B0F">
            <w:pPr>
              <w:rPr>
                <w:rStyle w:val="AERtextsize8"/>
              </w:rPr>
            </w:pPr>
            <w:r>
              <w:t>This report did not specify whether the equity betas were raw or re-levered to a benchmark gearing.</w:t>
            </w:r>
          </w:p>
        </w:tc>
      </w:tr>
      <w:tr w:rsidR="00784B0F" w:rsidTr="0042654C">
        <w:tc>
          <w:tcPr>
            <w:tcW w:w="1809" w:type="dxa"/>
          </w:tcPr>
          <w:p w:rsidR="00784B0F" w:rsidRPr="00784B0F" w:rsidRDefault="00784B0F" w:rsidP="00784B0F">
            <w:pPr>
              <w:rPr>
                <w:rStyle w:val="AERtextsize8"/>
              </w:rPr>
            </w:pPr>
            <w:r>
              <w:t xml:space="preserve">PwC, </w:t>
            </w:r>
            <w:r w:rsidRPr="00784B0F">
              <w:rPr>
                <w:rStyle w:val="AERtextitalic"/>
              </w:rPr>
              <w:t>Appreciating Value New Zealand, Edition six</w:t>
            </w:r>
            <w:r w:rsidRPr="00784B0F">
              <w:t>, March 2015, p. 20 (See also: http://www.pwc.co.nz/appreciating-value/pwc-wacc-formula)</w:t>
            </w:r>
            <w:r w:rsidRPr="00784B0F">
              <w:rPr>
                <w:rStyle w:val="AERtextsize8"/>
              </w:rPr>
              <w:t xml:space="preserve"> </w:t>
            </w:r>
          </w:p>
        </w:tc>
        <w:tc>
          <w:tcPr>
            <w:tcW w:w="3969" w:type="dxa"/>
          </w:tcPr>
          <w:p w:rsidR="00784B0F" w:rsidRPr="00784B0F" w:rsidRDefault="00784B0F" w:rsidP="00784B0F">
            <w:pPr>
              <w:rPr>
                <w:rStyle w:val="AERtextsize8"/>
              </w:rPr>
            </w:pPr>
            <w:r w:rsidRPr="001738B6">
              <w:t>An annual report on the cost of capital (and equity beta) for a number of New Zealand companies classified by industry. The equity beta estimates are based on an average of monthly returns over (up to) five years</w:t>
            </w:r>
            <w:r w:rsidRPr="00784B0F">
              <w:t xml:space="preserve"> for two comparable firms (Horizon Energy Distribution Limited and Vector Limited). PwC's March 2015 report presents estimates as at 31 December 2014.</w:t>
            </w:r>
          </w:p>
        </w:tc>
        <w:tc>
          <w:tcPr>
            <w:tcW w:w="1418" w:type="dxa"/>
          </w:tcPr>
          <w:p w:rsidR="00784B0F" w:rsidRPr="00784B0F" w:rsidRDefault="00784B0F" w:rsidP="00784B0F">
            <w:pPr>
              <w:rPr>
                <w:rStyle w:val="AERtextsize8"/>
              </w:rPr>
            </w:pPr>
            <w:r w:rsidRPr="00217E7D">
              <w:t>0.6</w:t>
            </w:r>
            <w:r w:rsidRPr="00784B0F">
              <w:t>—average of individual form estimates</w:t>
            </w:r>
          </w:p>
        </w:tc>
        <w:tc>
          <w:tcPr>
            <w:tcW w:w="1497" w:type="dxa"/>
          </w:tcPr>
          <w:p w:rsidR="00784B0F" w:rsidRPr="00784B0F" w:rsidRDefault="00784B0F" w:rsidP="00784B0F">
            <w:pPr>
              <w:rPr>
                <w:rStyle w:val="AERtextsize8"/>
              </w:rPr>
            </w:pPr>
            <w:r>
              <w:t>0.8</w:t>
            </w:r>
            <w:r w:rsidRPr="00784B0F">
              <w:t>8—average of individual firm estimates*</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tcW w:w="1809" w:type="dxa"/>
          </w:tcPr>
          <w:p w:rsidR="00784B0F" w:rsidRPr="00784B0F" w:rsidRDefault="00784B0F" w:rsidP="00784B0F">
            <w:pPr>
              <w:rPr>
                <w:rStyle w:val="AERtextsize8"/>
              </w:rPr>
            </w:pPr>
            <w:r>
              <w:t xml:space="preserve">The Brattle Group, </w:t>
            </w:r>
            <w:r w:rsidRPr="00784B0F">
              <w:rPr>
                <w:rStyle w:val="AERtextitalic"/>
              </w:rPr>
              <w:t>The WACC for the Dutch TSOs, DSOs, water companies and the Dutch pilotage organisation</w:t>
            </w:r>
            <w:r w:rsidRPr="00784B0F">
              <w:t>, March 2013, pp. 16–18</w:t>
            </w:r>
          </w:p>
        </w:tc>
        <w:tc>
          <w:tcPr>
            <w:tcW w:w="3969" w:type="dxa"/>
          </w:tcPr>
          <w:p w:rsidR="00784B0F" w:rsidRPr="00784B0F" w:rsidRDefault="00784B0F" w:rsidP="00784B0F">
            <w:pPr>
              <w:rPr>
                <w:rStyle w:val="AERtextsize8"/>
              </w:rPr>
            </w:pPr>
            <w:r>
              <w:t xml:space="preserve">This </w:t>
            </w:r>
            <w:r w:rsidRPr="00784B0F">
              <w:t>report for the Netherlands Competition Authority estimated equity beta for a set of seven European and three US energy network firms. It used a three year estimation period and daily return intervals. In response to CEG's concerns, we have used the Dimson beta where the adjustment is significant.</w:t>
            </w:r>
            <w:r w:rsidRPr="00784B0F">
              <w:rPr>
                <w:rStyle w:val="FootnoteReference"/>
              </w:rPr>
              <w:footnoteReference w:id="948"/>
            </w:r>
          </w:p>
        </w:tc>
        <w:tc>
          <w:tcPr>
            <w:tcW w:w="1418" w:type="dxa"/>
          </w:tcPr>
          <w:p w:rsidR="00784B0F" w:rsidRPr="00784B0F" w:rsidRDefault="00784B0F" w:rsidP="00784B0F">
            <w:r>
              <w:t>0.58</w:t>
            </w:r>
            <w:r w:rsidRPr="00784B0F">
              <w:t>—average of European individual firm estimates</w:t>
            </w:r>
          </w:p>
          <w:p w:rsidR="00784B0F" w:rsidRPr="00784B0F" w:rsidRDefault="00784B0F" w:rsidP="00784B0F">
            <w:r>
              <w:t>0.60</w:t>
            </w:r>
            <w:r w:rsidRPr="00784B0F">
              <w:t>—average of US individual firm estimates</w:t>
            </w:r>
          </w:p>
          <w:p w:rsidR="00784B0F" w:rsidRPr="00784B0F" w:rsidRDefault="00784B0F" w:rsidP="00784B0F">
            <w:pPr>
              <w:rPr>
                <w:rStyle w:val="AERtextsize8"/>
              </w:rPr>
            </w:pPr>
            <w:r>
              <w:t>0.5</w:t>
            </w:r>
            <w:r w:rsidRPr="00784B0F">
              <w:t>8—average of European and US individual firm estimates</w:t>
            </w:r>
          </w:p>
        </w:tc>
        <w:tc>
          <w:tcPr>
            <w:tcW w:w="1497" w:type="dxa"/>
          </w:tcPr>
          <w:p w:rsidR="00784B0F" w:rsidRPr="00784B0F" w:rsidRDefault="00784B0F" w:rsidP="00784B0F">
            <w:r>
              <w:t>0.71</w:t>
            </w:r>
            <w:r w:rsidRPr="00784B0F">
              <w:t>—average of European individual firm estimates*</w:t>
            </w:r>
          </w:p>
          <w:p w:rsidR="00784B0F" w:rsidRPr="00784B0F" w:rsidRDefault="00784B0F" w:rsidP="00784B0F">
            <w:r>
              <w:t>1.01</w:t>
            </w:r>
            <w:r w:rsidRPr="00784B0F">
              <w:t>—average of US individual firm estimates*</w:t>
            </w:r>
          </w:p>
          <w:p w:rsidR="00784B0F" w:rsidRPr="00784B0F" w:rsidRDefault="00784B0F" w:rsidP="00784B0F">
            <w:pPr>
              <w:rPr>
                <w:rStyle w:val="AERtextsize8"/>
              </w:rPr>
            </w:pPr>
            <w:r>
              <w:t>0.80</w:t>
            </w:r>
            <w:r w:rsidRPr="00784B0F">
              <w:t>—average of European and US individual firm estimates*</w:t>
            </w:r>
          </w:p>
        </w:tc>
      </w:tr>
      <w:tr w:rsidR="00784B0F" w:rsidTr="0042654C">
        <w:tc>
          <w:tcPr>
            <w:tcW w:w="1809" w:type="dxa"/>
          </w:tcPr>
          <w:p w:rsidR="00784B0F" w:rsidRPr="00900624" w:rsidRDefault="00784B0F" w:rsidP="00784B0F">
            <w:pPr>
              <w:rPr>
                <w:rStyle w:val="AERtextsize8"/>
              </w:rPr>
            </w:pPr>
          </w:p>
        </w:tc>
        <w:tc>
          <w:tcPr>
            <w:tcW w:w="3969" w:type="dxa"/>
          </w:tcPr>
          <w:p w:rsidR="00784B0F" w:rsidRDefault="00784B0F" w:rsidP="00784B0F">
            <w:pPr>
              <w:rPr>
                <w:rStyle w:val="AERtextsize8"/>
              </w:rPr>
            </w:pPr>
          </w:p>
        </w:tc>
        <w:tc>
          <w:tcPr>
            <w:tcW w:w="1418" w:type="dxa"/>
          </w:tcPr>
          <w:p w:rsidR="00784B0F" w:rsidRDefault="00784B0F" w:rsidP="00784B0F">
            <w:pPr>
              <w:rPr>
                <w:rStyle w:val="AERtextsize8"/>
              </w:rPr>
            </w:pPr>
          </w:p>
        </w:tc>
        <w:tc>
          <w:tcPr>
            <w:tcW w:w="1497" w:type="dxa"/>
          </w:tcPr>
          <w:p w:rsidR="00784B0F" w:rsidRDefault="00784B0F" w:rsidP="00784B0F">
            <w:pPr>
              <w:rPr>
                <w:rStyle w:val="AERtextsize8"/>
              </w:rPr>
            </w:pPr>
          </w:p>
        </w:tc>
      </w:tr>
    </w:tbl>
    <w:p w:rsidR="00784B0F" w:rsidRPr="0078508E" w:rsidRDefault="00784B0F" w:rsidP="00784B0F">
      <w:pPr>
        <w:pStyle w:val="AERtablesource"/>
        <w:numPr>
          <w:ilvl w:val="0"/>
          <w:numId w:val="25"/>
        </w:numPr>
      </w:pPr>
      <w:r>
        <w:t>Notes:</w:t>
      </w:r>
      <w:r>
        <w:tab/>
        <w:t>*</w:t>
      </w:r>
      <w:r>
        <w:tab/>
      </w:r>
      <w:r w:rsidRPr="0078508E">
        <w:t>We have de-levered and re-levered the</w:t>
      </w:r>
      <w:r>
        <w:t>se</w:t>
      </w:r>
      <w:r w:rsidRPr="0078508E">
        <w:t xml:space="preserve"> raw equity beta estimates</w:t>
      </w:r>
      <w:r>
        <w:t>.</w:t>
      </w:r>
    </w:p>
    <w:p w:rsidR="00784B0F" w:rsidRPr="00F87EA9" w:rsidRDefault="00784B0F" w:rsidP="00784B0F">
      <w:pPr>
        <w:pStyle w:val="Heading8"/>
      </w:pPr>
      <w:bookmarkStart w:id="313" w:name="_Ref446255536"/>
      <w:bookmarkStart w:id="314" w:name="_Toc451943815"/>
      <w:bookmarkStart w:id="315" w:name="_Toc456686750"/>
      <w:r>
        <w:t>Choice of comparator set</w:t>
      </w:r>
      <w:bookmarkEnd w:id="313"/>
      <w:bookmarkEnd w:id="314"/>
      <w:bookmarkEnd w:id="315"/>
    </w:p>
    <w:p w:rsidR="00784B0F" w:rsidRDefault="00784B0F" w:rsidP="00784B0F">
      <w:pPr>
        <w:numPr>
          <w:ilvl w:val="0"/>
          <w:numId w:val="25"/>
        </w:numPr>
      </w:pPr>
      <w:r>
        <w:t>Since 2014, we have received numerous submissions from service providers (and their consultants) expressing concern over the reliability of Henry's (2014) equity beta estimates.</w:t>
      </w:r>
      <w:r>
        <w:rPr>
          <w:rStyle w:val="FootnoteReference"/>
        </w:rPr>
        <w:footnoteReference w:id="949"/>
      </w:r>
      <w:r>
        <w:t xml:space="preserve"> These concerns flow from their view that our comparator set of Australian energy network firms is too small to produce reliable equity beta estimates. These service providers and their consultants submitted that:</w:t>
      </w:r>
    </w:p>
    <w:p w:rsidR="00784B0F" w:rsidRPr="00784B0F" w:rsidRDefault="00784B0F" w:rsidP="00784B0F">
      <w:pPr>
        <w:pStyle w:val="AERbulletlistfirststyle"/>
      </w:pPr>
      <w:r>
        <w:t>equity beta estimates based on this comparator set are imprecise and unstable</w:t>
      </w:r>
    </w:p>
    <w:p w:rsidR="00784B0F" w:rsidRPr="00784B0F" w:rsidRDefault="00784B0F" w:rsidP="00784B0F">
      <w:pPr>
        <w:pStyle w:val="AERbulletlistfirststyle"/>
      </w:pPr>
      <w:r>
        <w:t>the estimates could be improved by including international energy firms in the comparator set</w:t>
      </w:r>
    </w:p>
    <w:p w:rsidR="00784B0F" w:rsidRPr="00784B0F" w:rsidRDefault="00784B0F" w:rsidP="00784B0F">
      <w:pPr>
        <w:pStyle w:val="AERbulletlistfirststyle"/>
      </w:pPr>
      <w:r>
        <w:t>the estimates could be improved by including</w:t>
      </w:r>
      <w:r w:rsidRPr="00784B0F">
        <w:t xml:space="preserve"> Australian non-energy infrastructure firms in the comparator set—partly because they consider our comparator set should not be restricted to regulated energy network firms.</w:t>
      </w:r>
      <w:r w:rsidRPr="00784B0F">
        <w:rPr>
          <w:rStyle w:val="FootnoteReference"/>
        </w:rPr>
        <w:footnoteReference w:id="950"/>
      </w:r>
    </w:p>
    <w:p w:rsidR="00784B0F" w:rsidRDefault="00784B0F" w:rsidP="00784B0F">
      <w:pPr>
        <w:numPr>
          <w:ilvl w:val="0"/>
          <w:numId w:val="25"/>
        </w:numPr>
      </w:pPr>
      <w:r>
        <w:t xml:space="preserve">We responded </w:t>
      </w:r>
      <w:proofErr w:type="gramStart"/>
      <w:r>
        <w:t>to</w:t>
      </w:r>
      <w:proofErr w:type="gramEnd"/>
      <w:r>
        <w:t xml:space="preserve"> many of these submissions in detail in our recent decisions.</w:t>
      </w:r>
      <w:r>
        <w:rPr>
          <w:rStyle w:val="FootnoteReference"/>
        </w:rPr>
        <w:footnoteReference w:id="951"/>
      </w:r>
      <w:r>
        <w:t xml:space="preserve"> However, we reproduce our key conclusions in sections </w:t>
      </w:r>
      <w:r>
        <w:fldChar w:fldCharType="begin"/>
      </w:r>
      <w:r>
        <w:instrText xml:space="preserve"> REF _Ref446254453 \r \h </w:instrText>
      </w:r>
      <w:r>
        <w:fldChar w:fldCharType="separate"/>
      </w:r>
      <w:r w:rsidR="003F1AAB">
        <w:t>G.4.2</w:t>
      </w:r>
      <w:r>
        <w:fldChar w:fldCharType="end"/>
      </w:r>
      <w:r>
        <w:t xml:space="preserve">, </w:t>
      </w:r>
      <w:r>
        <w:fldChar w:fldCharType="begin"/>
      </w:r>
      <w:r>
        <w:instrText xml:space="preserve"> REF _Ref446254445 \r \h </w:instrText>
      </w:r>
      <w:r>
        <w:fldChar w:fldCharType="separate"/>
      </w:r>
      <w:r w:rsidR="003F1AAB">
        <w:t>G.4.3</w:t>
      </w:r>
      <w:r>
        <w:fldChar w:fldCharType="end"/>
      </w:r>
      <w:r>
        <w:t xml:space="preserve">, and </w:t>
      </w:r>
      <w:r>
        <w:fldChar w:fldCharType="begin"/>
      </w:r>
      <w:r>
        <w:instrText xml:space="preserve"> REF _Ref446254437 \r \h </w:instrText>
      </w:r>
      <w:r>
        <w:fldChar w:fldCharType="separate"/>
      </w:r>
      <w:r w:rsidR="003F1AAB">
        <w:t>G.4.4</w:t>
      </w:r>
      <w:r>
        <w:fldChar w:fldCharType="end"/>
      </w:r>
      <w:r>
        <w:t>, in response to new submissions and analysis.</w:t>
      </w:r>
    </w:p>
    <w:p w:rsidR="00784B0F" w:rsidRDefault="00784B0F" w:rsidP="00784B0F">
      <w:pPr>
        <w:numPr>
          <w:ilvl w:val="0"/>
          <w:numId w:val="25"/>
        </w:numPr>
      </w:pPr>
      <w:r>
        <w:t>Ultimately, we consider there is a trade-off between the increased statistical precision from a larger comparator set and the comparability of the firms in the comparator set to a benchmark efficient entity with a similar degree of risk as AusNet Services in providing regulated services.</w:t>
      </w:r>
      <w:r>
        <w:rPr>
          <w:rStyle w:val="FootnoteReference"/>
        </w:rPr>
        <w:footnoteReference w:id="952"/>
      </w:r>
      <w:r>
        <w:t xml:space="preserve"> This necessarily requires a degree of regulatory judgement in determining a reasonable comparator set. We are satisfied, at this </w:t>
      </w:r>
      <w:proofErr w:type="gramStart"/>
      <w:r>
        <w:t>time, that</w:t>
      </w:r>
      <w:proofErr w:type="gramEnd"/>
      <w:r>
        <w:t xml:space="preserve"> our comparator set is sufficiently reflective of a benchmark efficient entity, given this trade-off. We are also satisfied, at this time, that our comparator set produces reliable equity beta estimates.</w:t>
      </w:r>
    </w:p>
    <w:p w:rsidR="00784B0F" w:rsidRPr="0006373F" w:rsidRDefault="00784B0F" w:rsidP="00784B0F">
      <w:pPr>
        <w:pStyle w:val="Heading9"/>
      </w:pPr>
      <w:bookmarkStart w:id="316" w:name="_Ref447740508"/>
      <w:bookmarkStart w:id="317" w:name="_Toc456686751"/>
      <w:r w:rsidRPr="0006373F">
        <w:t>Comparator set for Australian empirical analysis</w:t>
      </w:r>
      <w:bookmarkEnd w:id="316"/>
      <w:bookmarkEnd w:id="317"/>
    </w:p>
    <w:p w:rsidR="00784B0F" w:rsidRPr="0048317B" w:rsidRDefault="00784B0F" w:rsidP="00784B0F">
      <w:pPr>
        <w:numPr>
          <w:ilvl w:val="0"/>
          <w:numId w:val="25"/>
        </w:numPr>
      </w:pPr>
      <w:r w:rsidRPr="0048317B">
        <w:t xml:space="preserve">We define </w:t>
      </w:r>
      <w:r>
        <w:t>a</w:t>
      </w:r>
      <w:r w:rsidRPr="0048317B">
        <w:t xml:space="preserve"> benchmark efficient entity </w:t>
      </w:r>
      <w:r>
        <w:t>with a similar degree of risk as AusNet Services in providing regulated services</w:t>
      </w:r>
      <w:r w:rsidRPr="0048317B">
        <w:t xml:space="preserve"> as 'a pure play, regulated energy network business operating within Australia'.</w:t>
      </w:r>
      <w:r>
        <w:rPr>
          <w:rStyle w:val="FootnoteReference"/>
        </w:rPr>
        <w:footnoteReference w:id="953"/>
      </w:r>
      <w:r w:rsidRPr="0048317B">
        <w:t xml:space="preserve"> We would, ideally, use firms that share all or most of the key characteristics of th</w:t>
      </w:r>
      <w:r>
        <w:t>is</w:t>
      </w:r>
      <w:r w:rsidRPr="0048317B">
        <w:t xml:space="preserve"> benchmark efficient entity when conducting our regression analysis to estimate the equity beta. In practice, few firms would </w:t>
      </w:r>
      <w:r>
        <w:t xml:space="preserve">fully </w:t>
      </w:r>
      <w:r w:rsidRPr="0048317B">
        <w:t xml:space="preserve">reflect this benchmark. Therefore we use market data for domestic businesses that are considered to be reasonable comparators to the benchmark efficient entity to inform the equity beta estimate. </w:t>
      </w:r>
    </w:p>
    <w:p w:rsidR="00784B0F" w:rsidRDefault="00784B0F" w:rsidP="00784B0F">
      <w:pPr>
        <w:numPr>
          <w:ilvl w:val="0"/>
          <w:numId w:val="25"/>
        </w:numPr>
      </w:pPr>
      <w:r w:rsidRPr="0048317B">
        <w:t xml:space="preserve">In the </w:t>
      </w:r>
      <w:r>
        <w:t>G</w:t>
      </w:r>
      <w:r w:rsidRPr="0048317B">
        <w:t xml:space="preserve">uideline we identified nine firms that may be considered as reasonable comparators to </w:t>
      </w:r>
      <w:r>
        <w:t>a</w:t>
      </w:r>
      <w:r w:rsidRPr="0048317B">
        <w:t xml:space="preserve"> benchmark efficient entity</w:t>
      </w:r>
      <w:r>
        <w:t xml:space="preserve"> (as we have defined it)</w:t>
      </w:r>
      <w:r w:rsidRPr="0048317B">
        <w:t xml:space="preserve">, and these remain relevant. They are ASX listed firms that provide regulated electricity and/or gas network services </w:t>
      </w:r>
      <w:r>
        <w:t xml:space="preserve">and are </w:t>
      </w:r>
      <w:r w:rsidRPr="0048317B">
        <w:t xml:space="preserve">operating within Australia. </w:t>
      </w:r>
      <w:r>
        <w:fldChar w:fldCharType="begin"/>
      </w:r>
      <w:r>
        <w:instrText xml:space="preserve"> REF _Ref446240160 \h </w:instrText>
      </w:r>
      <w:r>
        <w:fldChar w:fldCharType="separate"/>
      </w:r>
      <w:r w:rsidR="003F1AAB">
        <w:t xml:space="preserve">Table </w:t>
      </w:r>
      <w:r w:rsidR="003F1AAB">
        <w:rPr>
          <w:noProof/>
        </w:rPr>
        <w:t>3</w:t>
      </w:r>
      <w:r w:rsidR="003F1AAB">
        <w:noBreakHyphen/>
      </w:r>
      <w:r w:rsidR="003F1AAB">
        <w:rPr>
          <w:noProof/>
        </w:rPr>
        <w:t>34</w:t>
      </w:r>
      <w:r>
        <w:fldChar w:fldCharType="end"/>
      </w:r>
      <w:r>
        <w:t xml:space="preserve"> </w:t>
      </w:r>
      <w:r w:rsidRPr="0048317B">
        <w:t>sets out the details of these nine firms.</w:t>
      </w:r>
      <w:r>
        <w:rPr>
          <w:rStyle w:val="FootnoteReference"/>
        </w:rPr>
        <w:footnoteReference w:id="954"/>
      </w:r>
      <w:r w:rsidRPr="0048317B">
        <w:t xml:space="preserve"> </w:t>
      </w:r>
    </w:p>
    <w:p w:rsidR="00784B0F" w:rsidRDefault="00784B0F" w:rsidP="00784B0F">
      <w:pPr>
        <w:numPr>
          <w:ilvl w:val="0"/>
          <w:numId w:val="25"/>
        </w:numPr>
      </w:pPr>
      <w:r w:rsidRPr="0048317B">
        <w:t xml:space="preserve">It is important to note that three of these firms </w:t>
      </w:r>
      <w:r>
        <w:t>were</w:t>
      </w:r>
      <w:r w:rsidRPr="0048317B">
        <w:t xml:space="preserve"> no longer trading</w:t>
      </w:r>
      <w:r>
        <w:t xml:space="preserve"> by June 2013</w:t>
      </w:r>
      <w:r w:rsidRPr="0048317B">
        <w:t xml:space="preserve">. Another firm, AGL Energy Limited, has changed its operations such that it no longer closely represents </w:t>
      </w:r>
      <w:r>
        <w:t>a benchmark efficient entity</w:t>
      </w:r>
      <w:r w:rsidRPr="0048317B">
        <w:t>.</w:t>
      </w:r>
      <w:r w:rsidRPr="0048317B">
        <w:rPr>
          <w:rStyle w:val="FootnoteReference"/>
        </w:rPr>
        <w:footnoteReference w:id="955"/>
      </w:r>
      <w:r w:rsidRPr="0048317B">
        <w:t xml:space="preserve"> We account for this by only including data over an applicable time period for these four firms. Whereas, for the other five firms, we consider the most recent data</w:t>
      </w:r>
      <w:r>
        <w:t xml:space="preserve"> (up to 28 June 2013)</w:t>
      </w:r>
      <w:r w:rsidRPr="0048317B">
        <w:t>.</w:t>
      </w:r>
      <w:r>
        <w:rPr>
          <w:rStyle w:val="FootnoteReference"/>
        </w:rPr>
        <w:footnoteReference w:id="956"/>
      </w:r>
      <w:r w:rsidRPr="006558B8">
        <w:t xml:space="preserve"> </w:t>
      </w:r>
      <w:r>
        <w:t>We note that Envestra Ltd was delisted on 17 October 2014.</w:t>
      </w:r>
      <w:r>
        <w:rPr>
          <w:rStyle w:val="FootnoteReference"/>
        </w:rPr>
        <w:footnoteReference w:id="957"/>
      </w:r>
      <w:r>
        <w:t xml:space="preserve"> </w:t>
      </w:r>
    </w:p>
    <w:p w:rsidR="00784B0F" w:rsidRDefault="00784B0F" w:rsidP="00784B0F">
      <w:pPr>
        <w:numPr>
          <w:ilvl w:val="0"/>
          <w:numId w:val="25"/>
        </w:numPr>
      </w:pPr>
    </w:p>
    <w:p w:rsidR="00784B0F" w:rsidRDefault="00784B0F" w:rsidP="00784B0F">
      <w:pPr>
        <w:pStyle w:val="Caption"/>
      </w:pPr>
      <w:bookmarkStart w:id="318" w:name="_Ref446240160"/>
      <w:r>
        <w:t xml:space="preserve">Table </w:t>
      </w:r>
      <w:r w:rsidRPr="00245C96">
        <w:fldChar w:fldCharType="begin"/>
      </w:r>
      <w:r>
        <w:instrText xml:space="preserve"> STYLEREF 1 \s </w:instrText>
      </w:r>
      <w:r w:rsidRPr="00245C96">
        <w:fldChar w:fldCharType="separate"/>
      </w:r>
      <w:r w:rsidR="003F1AAB">
        <w:rPr>
          <w:noProof/>
        </w:rPr>
        <w:t>3</w:t>
      </w:r>
      <w:r w:rsidRPr="00245C96">
        <w:fldChar w:fldCharType="end"/>
      </w:r>
      <w:r>
        <w:noBreakHyphen/>
      </w:r>
      <w:r w:rsidRPr="00245C96">
        <w:fldChar w:fldCharType="begin"/>
      </w:r>
      <w:r>
        <w:instrText xml:space="preserve"> SEQ Table \* ARABIC \s 1 </w:instrText>
      </w:r>
      <w:r w:rsidRPr="00245C96">
        <w:fldChar w:fldCharType="separate"/>
      </w:r>
      <w:r w:rsidR="003F1AAB">
        <w:rPr>
          <w:noProof/>
        </w:rPr>
        <w:t>34</w:t>
      </w:r>
      <w:r w:rsidRPr="00245C96">
        <w:fldChar w:fldCharType="end"/>
      </w:r>
      <w:bookmarkEnd w:id="318"/>
      <w:r>
        <w:tab/>
        <w:t>Listed</w:t>
      </w:r>
      <w:r w:rsidRPr="009F0E1B">
        <w:t xml:space="preserve"> entities providing regulated electricity and gas network services operating in Australia</w:t>
      </w:r>
    </w:p>
    <w:tbl>
      <w:tblPr>
        <w:tblStyle w:val="AERtable-text0"/>
        <w:tblW w:w="8613" w:type="dxa"/>
        <w:tblLayout w:type="fixed"/>
        <w:tblLook w:val="04A0" w:firstRow="1" w:lastRow="0" w:firstColumn="1" w:lastColumn="0" w:noHBand="0" w:noVBand="1"/>
      </w:tblPr>
      <w:tblGrid>
        <w:gridCol w:w="4077"/>
        <w:gridCol w:w="2835"/>
        <w:gridCol w:w="1701"/>
      </w:tblGrid>
      <w:tr w:rsidR="00784B0F" w:rsidTr="0042654C">
        <w:trPr>
          <w:cnfStyle w:val="100000000000" w:firstRow="1" w:lastRow="0" w:firstColumn="0" w:lastColumn="0" w:oddVBand="0" w:evenVBand="0" w:oddHBand="0" w:evenHBand="0" w:firstRowFirstColumn="0" w:firstRowLastColumn="0" w:lastRowFirstColumn="0" w:lastRowLastColumn="0"/>
        </w:trPr>
        <w:tc>
          <w:tcPr>
            <w:tcW w:w="4077" w:type="dxa"/>
          </w:tcPr>
          <w:p w:rsidR="00784B0F" w:rsidRPr="00784B0F" w:rsidRDefault="00784B0F" w:rsidP="00784B0F">
            <w:r>
              <w:t>Firm (ASX ticker)</w:t>
            </w:r>
          </w:p>
        </w:tc>
        <w:tc>
          <w:tcPr>
            <w:tcW w:w="2835" w:type="dxa"/>
          </w:tcPr>
          <w:p w:rsidR="00784B0F" w:rsidRPr="00784B0F" w:rsidRDefault="00784B0F" w:rsidP="00784B0F">
            <w:r>
              <w:t>Time / trading period</w:t>
            </w:r>
          </w:p>
        </w:tc>
        <w:tc>
          <w:tcPr>
            <w:tcW w:w="1701" w:type="dxa"/>
          </w:tcPr>
          <w:p w:rsidR="00784B0F" w:rsidRPr="00784B0F" w:rsidRDefault="00784B0F" w:rsidP="00784B0F">
            <w:r>
              <w:t>Sectors</w:t>
            </w:r>
          </w:p>
        </w:tc>
      </w:tr>
      <w:tr w:rsidR="00784B0F" w:rsidTr="0042654C">
        <w:tc>
          <w:tcPr>
            <w:tcW w:w="4077" w:type="dxa"/>
          </w:tcPr>
          <w:p w:rsidR="00784B0F" w:rsidRPr="00784B0F" w:rsidRDefault="00784B0F" w:rsidP="00784B0F">
            <w:pPr>
              <w:rPr>
                <w:rStyle w:val="AERtextsize8"/>
              </w:rPr>
            </w:pPr>
            <w:r w:rsidRPr="0047344A">
              <w:t>AGL</w:t>
            </w:r>
            <w:r w:rsidRPr="00784B0F">
              <w:t xml:space="preserve"> Energy Limited (AGK)</w:t>
            </w:r>
          </w:p>
        </w:tc>
        <w:tc>
          <w:tcPr>
            <w:tcW w:w="2835" w:type="dxa"/>
          </w:tcPr>
          <w:p w:rsidR="00784B0F" w:rsidRPr="00784B0F" w:rsidRDefault="00784B0F" w:rsidP="00784B0F">
            <w:pPr>
              <w:rPr>
                <w:rStyle w:val="AERtextsize8"/>
              </w:rPr>
            </w:pPr>
            <w:r w:rsidRPr="0047344A">
              <w:t xml:space="preserve">January 1990 – October 2006 </w:t>
            </w:r>
          </w:p>
        </w:tc>
        <w:tc>
          <w:tcPr>
            <w:tcW w:w="1701" w:type="dxa"/>
          </w:tcPr>
          <w:p w:rsidR="00784B0F" w:rsidRPr="00784B0F" w:rsidRDefault="00784B0F" w:rsidP="00784B0F">
            <w:r>
              <w:t>Electricity</w:t>
            </w:r>
            <w:r w:rsidRPr="00784B0F">
              <w:t xml:space="preserve">, Gas </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tcW w:w="4077" w:type="dxa"/>
          </w:tcPr>
          <w:p w:rsidR="00784B0F" w:rsidRPr="00784B0F" w:rsidRDefault="00784B0F" w:rsidP="00784B0F">
            <w:pPr>
              <w:rPr>
                <w:rStyle w:val="AERtextsize8"/>
              </w:rPr>
            </w:pPr>
            <w:r w:rsidRPr="0047344A">
              <w:t>Alinta (AAN)</w:t>
            </w:r>
          </w:p>
        </w:tc>
        <w:tc>
          <w:tcPr>
            <w:tcW w:w="2835" w:type="dxa"/>
          </w:tcPr>
          <w:p w:rsidR="00784B0F" w:rsidRPr="00784B0F" w:rsidRDefault="00784B0F" w:rsidP="00784B0F">
            <w:pPr>
              <w:rPr>
                <w:rStyle w:val="AERtextsize8"/>
              </w:rPr>
            </w:pPr>
            <w:r w:rsidRPr="0047344A">
              <w:t xml:space="preserve">October 2000 – </w:t>
            </w:r>
            <w:r w:rsidRPr="00784B0F">
              <w:t>August 2007</w:t>
            </w:r>
          </w:p>
        </w:tc>
        <w:tc>
          <w:tcPr>
            <w:tcW w:w="1701" w:type="dxa"/>
          </w:tcPr>
          <w:p w:rsidR="00784B0F" w:rsidRPr="00784B0F" w:rsidRDefault="00784B0F" w:rsidP="00784B0F">
            <w:r w:rsidRPr="0047344A">
              <w:t xml:space="preserve">Gas </w:t>
            </w:r>
          </w:p>
        </w:tc>
      </w:tr>
      <w:tr w:rsidR="00784B0F" w:rsidTr="0042654C">
        <w:tc>
          <w:tcPr>
            <w:tcW w:w="4077" w:type="dxa"/>
          </w:tcPr>
          <w:p w:rsidR="00784B0F" w:rsidRPr="00784B0F" w:rsidRDefault="00784B0F" w:rsidP="00784B0F">
            <w:pPr>
              <w:rPr>
                <w:rStyle w:val="AERtextsize8"/>
              </w:rPr>
            </w:pPr>
            <w:r>
              <w:t>APA Group</w:t>
            </w:r>
            <w:r w:rsidRPr="00784B0F">
              <w:t xml:space="preserve"> (APA)</w:t>
            </w:r>
          </w:p>
        </w:tc>
        <w:tc>
          <w:tcPr>
            <w:tcW w:w="2835" w:type="dxa"/>
          </w:tcPr>
          <w:p w:rsidR="00784B0F" w:rsidRPr="00784B0F" w:rsidRDefault="00784B0F" w:rsidP="00784B0F">
            <w:pPr>
              <w:rPr>
                <w:rStyle w:val="AERtextsize8"/>
              </w:rPr>
            </w:pPr>
            <w:r w:rsidRPr="0047344A">
              <w:t xml:space="preserve">June </w:t>
            </w:r>
            <w:r w:rsidRPr="00784B0F">
              <w:t>2000 – present</w:t>
            </w:r>
          </w:p>
        </w:tc>
        <w:tc>
          <w:tcPr>
            <w:tcW w:w="1701" w:type="dxa"/>
          </w:tcPr>
          <w:p w:rsidR="00784B0F" w:rsidRPr="00784B0F" w:rsidRDefault="00784B0F" w:rsidP="00784B0F">
            <w:r>
              <w:t>Gas</w:t>
            </w:r>
            <w:r w:rsidRPr="00784B0F">
              <w:t>, Minority interest in other energy infrastructure</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tcW w:w="4077" w:type="dxa"/>
          </w:tcPr>
          <w:p w:rsidR="00784B0F" w:rsidRPr="00784B0F" w:rsidRDefault="00784B0F" w:rsidP="00784B0F">
            <w:pPr>
              <w:rPr>
                <w:rStyle w:val="AERtextsize8"/>
              </w:rPr>
            </w:pPr>
            <w:r w:rsidRPr="0047344A">
              <w:t>DUET Group (DUE)</w:t>
            </w:r>
          </w:p>
        </w:tc>
        <w:tc>
          <w:tcPr>
            <w:tcW w:w="2835" w:type="dxa"/>
          </w:tcPr>
          <w:p w:rsidR="00784B0F" w:rsidRPr="00784B0F" w:rsidRDefault="00784B0F" w:rsidP="00784B0F">
            <w:pPr>
              <w:rPr>
                <w:rStyle w:val="AERtextsize8"/>
              </w:rPr>
            </w:pPr>
            <w:r w:rsidRPr="0047344A">
              <w:t>August 2004</w:t>
            </w:r>
            <w:r w:rsidRPr="00784B0F">
              <w:t xml:space="preserve"> – present</w:t>
            </w:r>
          </w:p>
        </w:tc>
        <w:tc>
          <w:tcPr>
            <w:tcW w:w="1701" w:type="dxa"/>
          </w:tcPr>
          <w:p w:rsidR="00784B0F" w:rsidRPr="00784B0F" w:rsidRDefault="00784B0F" w:rsidP="00784B0F">
            <w:r>
              <w:t>Electricity</w:t>
            </w:r>
            <w:r w:rsidRPr="00784B0F">
              <w:t xml:space="preserve">, Gas </w:t>
            </w:r>
          </w:p>
        </w:tc>
      </w:tr>
      <w:tr w:rsidR="00784B0F" w:rsidTr="0042654C">
        <w:tc>
          <w:tcPr>
            <w:tcW w:w="4077" w:type="dxa"/>
          </w:tcPr>
          <w:p w:rsidR="00784B0F" w:rsidRPr="00784B0F" w:rsidRDefault="00784B0F" w:rsidP="00784B0F">
            <w:pPr>
              <w:rPr>
                <w:rStyle w:val="AERtextsize8"/>
              </w:rPr>
            </w:pPr>
            <w:r w:rsidRPr="0047344A">
              <w:t>Envestra Ltd. (ENV)</w:t>
            </w:r>
          </w:p>
        </w:tc>
        <w:tc>
          <w:tcPr>
            <w:tcW w:w="2835" w:type="dxa"/>
          </w:tcPr>
          <w:p w:rsidR="00784B0F" w:rsidRPr="00784B0F" w:rsidRDefault="00784B0F" w:rsidP="00784B0F">
            <w:pPr>
              <w:rPr>
                <w:rStyle w:val="AERtextsize8"/>
              </w:rPr>
            </w:pPr>
            <w:r w:rsidRPr="0047344A">
              <w:t xml:space="preserve">August 1997 – </w:t>
            </w:r>
            <w:r w:rsidRPr="00784B0F">
              <w:t>October 2014</w:t>
            </w:r>
          </w:p>
        </w:tc>
        <w:tc>
          <w:tcPr>
            <w:tcW w:w="1701" w:type="dxa"/>
          </w:tcPr>
          <w:p w:rsidR="00784B0F" w:rsidRPr="00784B0F" w:rsidRDefault="00784B0F" w:rsidP="00784B0F">
            <w:r w:rsidRPr="0047344A">
              <w:t xml:space="preserve">Gas </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tcW w:w="4077" w:type="dxa"/>
          </w:tcPr>
          <w:p w:rsidR="00784B0F" w:rsidRPr="00784B0F" w:rsidRDefault="00784B0F" w:rsidP="00784B0F">
            <w:pPr>
              <w:rPr>
                <w:rStyle w:val="AERtextsize8"/>
              </w:rPr>
            </w:pPr>
            <w:r w:rsidRPr="0047344A">
              <w:t>GasNet (GAS)</w:t>
            </w:r>
          </w:p>
        </w:tc>
        <w:tc>
          <w:tcPr>
            <w:tcW w:w="2835" w:type="dxa"/>
          </w:tcPr>
          <w:p w:rsidR="00784B0F" w:rsidRPr="00784B0F" w:rsidRDefault="00784B0F" w:rsidP="00784B0F">
            <w:pPr>
              <w:rPr>
                <w:rStyle w:val="AERtextsize8"/>
              </w:rPr>
            </w:pPr>
            <w:r w:rsidRPr="0047344A">
              <w:t xml:space="preserve">December 2001 – November </w:t>
            </w:r>
            <w:r w:rsidRPr="00784B0F">
              <w:t>2006</w:t>
            </w:r>
          </w:p>
        </w:tc>
        <w:tc>
          <w:tcPr>
            <w:tcW w:w="1701" w:type="dxa"/>
          </w:tcPr>
          <w:p w:rsidR="00784B0F" w:rsidRPr="00784B0F" w:rsidRDefault="00784B0F" w:rsidP="00784B0F">
            <w:r w:rsidRPr="0047344A">
              <w:t xml:space="preserve">Gas </w:t>
            </w:r>
          </w:p>
        </w:tc>
      </w:tr>
      <w:tr w:rsidR="00784B0F" w:rsidTr="0042654C">
        <w:tc>
          <w:tcPr>
            <w:tcW w:w="4077" w:type="dxa"/>
          </w:tcPr>
          <w:p w:rsidR="00784B0F" w:rsidRPr="00784B0F" w:rsidRDefault="00784B0F" w:rsidP="00784B0F">
            <w:pPr>
              <w:rPr>
                <w:rStyle w:val="AERtextsize8"/>
              </w:rPr>
            </w:pPr>
            <w:r w:rsidRPr="0047344A">
              <w:t xml:space="preserve">Hastings </w:t>
            </w:r>
            <w:r w:rsidRPr="00784B0F">
              <w:t>Diversified Utilities Fund (HDF)</w:t>
            </w:r>
          </w:p>
        </w:tc>
        <w:tc>
          <w:tcPr>
            <w:tcW w:w="2835" w:type="dxa"/>
          </w:tcPr>
          <w:p w:rsidR="00784B0F" w:rsidRPr="00784B0F" w:rsidRDefault="00784B0F" w:rsidP="00784B0F">
            <w:pPr>
              <w:rPr>
                <w:rStyle w:val="AERtextsize8"/>
              </w:rPr>
            </w:pPr>
            <w:r w:rsidRPr="0047344A">
              <w:t xml:space="preserve">December </w:t>
            </w:r>
            <w:r w:rsidRPr="00784B0F">
              <w:t>2004– November 2012</w:t>
            </w:r>
          </w:p>
        </w:tc>
        <w:tc>
          <w:tcPr>
            <w:tcW w:w="1701" w:type="dxa"/>
          </w:tcPr>
          <w:p w:rsidR="00784B0F" w:rsidRPr="00784B0F" w:rsidRDefault="00784B0F" w:rsidP="00784B0F">
            <w:r w:rsidRPr="0047344A">
              <w:t>Gas</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tcW w:w="4077" w:type="dxa"/>
          </w:tcPr>
          <w:p w:rsidR="00784B0F" w:rsidRPr="00784B0F" w:rsidRDefault="00784B0F" w:rsidP="00784B0F">
            <w:pPr>
              <w:rPr>
                <w:rStyle w:val="AERtextsize8"/>
              </w:rPr>
            </w:pPr>
            <w:r w:rsidRPr="0047344A">
              <w:t>Spark Infrastructure Group (SKI)</w:t>
            </w:r>
          </w:p>
        </w:tc>
        <w:tc>
          <w:tcPr>
            <w:tcW w:w="2835" w:type="dxa"/>
          </w:tcPr>
          <w:p w:rsidR="00784B0F" w:rsidRPr="00784B0F" w:rsidRDefault="00784B0F" w:rsidP="00784B0F">
            <w:pPr>
              <w:rPr>
                <w:rStyle w:val="AERtextsize8"/>
              </w:rPr>
            </w:pPr>
            <w:r w:rsidRPr="0047344A">
              <w:t>March 2007</w:t>
            </w:r>
            <w:r w:rsidRPr="00784B0F">
              <w:rPr>
                <w:rStyle w:val="FootnoteReference"/>
              </w:rPr>
              <w:footnoteReference w:id="958"/>
            </w:r>
            <w:r w:rsidRPr="00784B0F">
              <w:t xml:space="preserve"> – present</w:t>
            </w:r>
          </w:p>
        </w:tc>
        <w:tc>
          <w:tcPr>
            <w:tcW w:w="1701" w:type="dxa"/>
          </w:tcPr>
          <w:p w:rsidR="00784B0F" w:rsidRPr="00784B0F" w:rsidRDefault="00784B0F" w:rsidP="00784B0F">
            <w:r>
              <w:t>Electricity</w:t>
            </w:r>
            <w:r w:rsidRPr="00784B0F">
              <w:t xml:space="preserve">, Gas </w:t>
            </w:r>
          </w:p>
        </w:tc>
      </w:tr>
      <w:tr w:rsidR="00784B0F" w:rsidTr="0042654C">
        <w:tc>
          <w:tcPr>
            <w:tcW w:w="4077" w:type="dxa"/>
          </w:tcPr>
          <w:p w:rsidR="00784B0F" w:rsidRPr="00784B0F" w:rsidRDefault="00784B0F" w:rsidP="00784B0F">
            <w:pPr>
              <w:rPr>
                <w:rStyle w:val="AERtextsize8"/>
              </w:rPr>
            </w:pPr>
            <w:r>
              <w:t xml:space="preserve">AusNet Services (AST), formerly </w:t>
            </w:r>
            <w:r w:rsidRPr="00784B0F">
              <w:t>SP AusNet (SPN)</w:t>
            </w:r>
          </w:p>
        </w:tc>
        <w:tc>
          <w:tcPr>
            <w:tcW w:w="2835" w:type="dxa"/>
          </w:tcPr>
          <w:p w:rsidR="00784B0F" w:rsidRPr="00784B0F" w:rsidRDefault="00784B0F" w:rsidP="00784B0F">
            <w:pPr>
              <w:rPr>
                <w:rStyle w:val="AERtextsize8"/>
              </w:rPr>
            </w:pPr>
            <w:r w:rsidRPr="0047344A">
              <w:t>December 2005 – present</w:t>
            </w:r>
          </w:p>
        </w:tc>
        <w:tc>
          <w:tcPr>
            <w:tcW w:w="1701" w:type="dxa"/>
          </w:tcPr>
          <w:p w:rsidR="00784B0F" w:rsidRPr="00784B0F" w:rsidRDefault="00784B0F" w:rsidP="00784B0F">
            <w:r>
              <w:t>Electricity</w:t>
            </w:r>
            <w:r w:rsidRPr="00784B0F">
              <w:t xml:space="preserve">, Gas </w:t>
            </w:r>
          </w:p>
        </w:tc>
      </w:tr>
    </w:tbl>
    <w:p w:rsidR="00784B0F" w:rsidRPr="0048317B" w:rsidRDefault="00784B0F" w:rsidP="00784B0F">
      <w:pPr>
        <w:pStyle w:val="AERtablesource"/>
      </w:pPr>
      <w:r w:rsidRPr="00D054AD">
        <w:t>Source:</w:t>
      </w:r>
      <w:r w:rsidRPr="00D054AD">
        <w:tab/>
        <w:t xml:space="preserve">AER analysis; Bloomberg; AER, </w:t>
      </w:r>
      <w:r w:rsidRPr="00B4312A">
        <w:rPr>
          <w:rStyle w:val="AERtextitalic"/>
        </w:rPr>
        <w:t>Review of the WACC parameters</w:t>
      </w:r>
      <w:r>
        <w:rPr>
          <w:rStyle w:val="AERtextitalic"/>
        </w:rPr>
        <w:t>: Final decision</w:t>
      </w:r>
      <w:r w:rsidRPr="00D054AD">
        <w:t>, May 2009, p. 255.</w:t>
      </w:r>
    </w:p>
    <w:p w:rsidR="00784B0F" w:rsidRDefault="00784B0F" w:rsidP="00784B0F">
      <w:pPr>
        <w:numPr>
          <w:ilvl w:val="0"/>
          <w:numId w:val="25"/>
        </w:numPr>
      </w:pPr>
      <w:r>
        <w:t xml:space="preserve">While we consider the firms in </w:t>
      </w:r>
      <w:r>
        <w:fldChar w:fldCharType="begin"/>
      </w:r>
      <w:r>
        <w:instrText xml:space="preserve"> REF  _Ref446240160 \* Lower \h </w:instrText>
      </w:r>
      <w:r>
        <w:fldChar w:fldCharType="separate"/>
      </w:r>
      <w:r w:rsidR="003F1AAB">
        <w:t xml:space="preserve">table </w:t>
      </w:r>
      <w:r w:rsidR="003F1AAB">
        <w:rPr>
          <w:noProof/>
        </w:rPr>
        <w:t>3</w:t>
      </w:r>
      <w:r w:rsidR="003F1AAB">
        <w:noBreakHyphen/>
      </w:r>
      <w:r w:rsidR="003F1AAB">
        <w:rPr>
          <w:noProof/>
        </w:rPr>
        <w:t>34</w:t>
      </w:r>
      <w:r>
        <w:fldChar w:fldCharType="end"/>
      </w:r>
      <w:r>
        <w:t xml:space="preserve"> are reasonably comparable to a</w:t>
      </w:r>
      <w:r w:rsidRPr="009E5AA0">
        <w:t xml:space="preserve"> benchmark efficient entity</w:t>
      </w:r>
      <w:r>
        <w:t xml:space="preserve"> with a similar degree of risk as AusNet Services in providing regulated services</w:t>
      </w:r>
      <w:r w:rsidRPr="009E5AA0">
        <w:t xml:space="preserve">, they </w:t>
      </w:r>
      <w:r>
        <w:t xml:space="preserve">differ to some degree as they </w:t>
      </w:r>
      <w:r w:rsidRPr="009E5AA0">
        <w:t>provide</w:t>
      </w:r>
      <w:r>
        <w:t xml:space="preserve"> some</w:t>
      </w:r>
      <w:r w:rsidRPr="009E5AA0">
        <w:t xml:space="preserve"> non</w:t>
      </w:r>
      <w:r>
        <w:t>–</w:t>
      </w:r>
      <w:r w:rsidRPr="009E5AA0">
        <w:t>regulated electricity and/or gas services</w:t>
      </w:r>
      <w:r>
        <w:t xml:space="preserve"> and this may affect their risk profile</w:t>
      </w:r>
      <w:r w:rsidRPr="009E5AA0">
        <w:t xml:space="preserve">. </w:t>
      </w:r>
      <w:r>
        <w:t>Examples of this include:</w:t>
      </w:r>
    </w:p>
    <w:p w:rsidR="00784B0F" w:rsidRPr="00784B0F" w:rsidRDefault="00784B0F" w:rsidP="00784B0F">
      <w:pPr>
        <w:pStyle w:val="AERbulletlistfirststyle"/>
      </w:pPr>
      <w:r>
        <w:t>Approximately 21 per cent of APA Group's revenue in the 2015 financial year (excluding pass–through revenue) was subject to prices determined under full regulation. APA generates a large part of the remaining 79 per cent of its revenue from contracts which have set terms, including negotiated pricing for the life of the contract.</w:t>
      </w:r>
      <w:r w:rsidRPr="00784B0F">
        <w:rPr>
          <w:rStyle w:val="FootnoteReference"/>
        </w:rPr>
        <w:footnoteReference w:id="959"/>
      </w:r>
    </w:p>
    <w:p w:rsidR="00784B0F" w:rsidRPr="00784B0F" w:rsidRDefault="00784B0F" w:rsidP="00784B0F">
      <w:pPr>
        <w:pStyle w:val="AERbulletlistfirststyle"/>
      </w:pPr>
      <w:r>
        <w:t>DUET</w:t>
      </w:r>
      <w:r w:rsidRPr="00784B0F">
        <w:t xml:space="preserve"> Group's assets receive limited unregulated revenue—Dampier Bunbury Pipeline (4 per cent unregulated), United Energy (8 per cent unregulated), Multinet Gas (5 per cent unregulated) in the 2015 financial year.</w:t>
      </w:r>
      <w:r w:rsidRPr="00784B0F">
        <w:rPr>
          <w:rStyle w:val="FootnoteReference"/>
        </w:rPr>
        <w:footnoteReference w:id="960"/>
      </w:r>
    </w:p>
    <w:p w:rsidR="00784B0F" w:rsidRPr="00784B0F" w:rsidRDefault="00784B0F" w:rsidP="00784B0F">
      <w:pPr>
        <w:pStyle w:val="AERbulletlistfirststyle"/>
      </w:pPr>
      <w:r>
        <w:t>Approximately 86 per cent of AusNet Services' revenues are regulated, as at</w:t>
      </w:r>
      <w:r w:rsidRPr="00784B0F">
        <w:t xml:space="preserve"> 29 May 2015.</w:t>
      </w:r>
      <w:r w:rsidRPr="00784B0F">
        <w:rPr>
          <w:rStyle w:val="FootnoteReference"/>
        </w:rPr>
        <w:footnoteReference w:id="961"/>
      </w:r>
    </w:p>
    <w:p w:rsidR="00784B0F" w:rsidRPr="00784B0F" w:rsidRDefault="00784B0F" w:rsidP="00784B0F">
      <w:pPr>
        <w:pStyle w:val="AERbulletlistfirststyle"/>
      </w:pPr>
      <w:r>
        <w:t>Hastings Diversified Utilities Fund (HDF) had investments in three gas pipelines and South East Water, a UK water utility (although it divested its interest in this utility in December 2010). The Pilbara Pipeline System is unregulated. Regulatory coverage of the Moomba to Adelaide pipeline was revoked in September 2007 and ceased to apply for the South West Queensland pipeline in 2008.</w:t>
      </w:r>
      <w:r w:rsidRPr="00784B0F">
        <w:rPr>
          <w:rStyle w:val="FootnoteReference"/>
        </w:rPr>
        <w:footnoteReference w:id="962"/>
      </w:r>
      <w:r w:rsidRPr="00784B0F">
        <w:t xml:space="preserve"> </w:t>
      </w:r>
    </w:p>
    <w:p w:rsidR="00784B0F" w:rsidRPr="00784B0F" w:rsidRDefault="00784B0F" w:rsidP="00784B0F">
      <w:pPr>
        <w:pStyle w:val="AERbulletlistfirststyle"/>
      </w:pPr>
      <w:r>
        <w:t xml:space="preserve">While GasNet earned the majority of its revenue from </w:t>
      </w:r>
      <w:r w:rsidRPr="00784B0F">
        <w:t>tariffs charged on its regulated assets, a contribution to its earnings for the 2005 financial year was also provided by specialised engineering and project management services.</w:t>
      </w:r>
      <w:r w:rsidRPr="00784B0F">
        <w:rPr>
          <w:rStyle w:val="FootnoteReference"/>
        </w:rPr>
        <w:footnoteReference w:id="963"/>
      </w:r>
    </w:p>
    <w:p w:rsidR="00784B0F" w:rsidRDefault="00784B0F" w:rsidP="00784B0F">
      <w:pPr>
        <w:numPr>
          <w:ilvl w:val="0"/>
          <w:numId w:val="25"/>
        </w:numPr>
      </w:pPr>
      <w:r w:rsidRPr="00E6101A">
        <w:t xml:space="preserve">Generally, with the exception of </w:t>
      </w:r>
      <w:r>
        <w:t>APA Group and HDF</w:t>
      </w:r>
      <w:r w:rsidRPr="00E6101A">
        <w:t>, these non</w:t>
      </w:r>
      <w:r>
        <w:t>–</w:t>
      </w:r>
      <w:r w:rsidRPr="00E6101A">
        <w:t>regulated activities only constitute a small portion of the revenue earned by the firms in this comparator set. Therefore, when we consider the impact of these unregulated activities, we expect the net impact would be sufficiently minor such that our equity beta estimates for the comparators are reasonable</w:t>
      </w:r>
      <w:r>
        <w:t xml:space="preserve"> and reflect an entity that has a similar degree of risk in the provision of regulated services as AusNet Services</w:t>
      </w:r>
      <w:r w:rsidRPr="00E6101A">
        <w:t>.</w:t>
      </w:r>
      <w:r>
        <w:rPr>
          <w:rStyle w:val="FootnoteReference"/>
        </w:rPr>
        <w:footnoteReference w:id="964"/>
      </w:r>
      <w:r>
        <w:t xml:space="preserve"> If unregulated activities were to have a non–minor impact on the comparator firms' equity beta estimates, we consider it would</w:t>
      </w:r>
      <w:r w:rsidRPr="00D74EDB">
        <w:t xml:space="preserve"> </w:t>
      </w:r>
      <w:r>
        <w:t>more likely overstate than understate the 'true' equity beta because unregulated activities are likely to result in greater systematic risk for the firm.</w:t>
      </w:r>
      <w:r>
        <w:rPr>
          <w:rStyle w:val="FootnoteReference"/>
        </w:rPr>
        <w:footnoteReference w:id="965"/>
      </w:r>
    </w:p>
    <w:p w:rsidR="00784B0F" w:rsidRPr="00D332F8" w:rsidRDefault="00784B0F" w:rsidP="00784B0F">
      <w:pPr>
        <w:pStyle w:val="Heading9"/>
      </w:pPr>
      <w:bookmarkStart w:id="319" w:name="_Ref446254453"/>
      <w:bookmarkStart w:id="320" w:name="_Toc456686752"/>
      <w:r>
        <w:t>Precision and stability of Australian empirical estimates</w:t>
      </w:r>
      <w:bookmarkEnd w:id="319"/>
      <w:bookmarkEnd w:id="320"/>
    </w:p>
    <w:p w:rsidR="00784B0F" w:rsidRDefault="00784B0F" w:rsidP="00784B0F">
      <w:pPr>
        <w:numPr>
          <w:ilvl w:val="0"/>
          <w:numId w:val="25"/>
        </w:numPr>
      </w:pPr>
      <w:r>
        <w:t>We do not consider our empirical equity beta estimates of listed Australian energy businesses are unreliable. The service providers' consultants appear to have taken a narrow definition of what is reliable in this context. They measure reliability by considering precision and stability of equity beta estimates over time.</w:t>
      </w:r>
      <w:r>
        <w:rPr>
          <w:rStyle w:val="FootnoteReference"/>
        </w:rPr>
        <w:footnoteReference w:id="966"/>
      </w:r>
      <w:r>
        <w:t xml:space="preserve"> They find that these statistical properties improve as the comparator set increases.</w:t>
      </w:r>
      <w:r>
        <w:rPr>
          <w:rStyle w:val="FootnoteReference"/>
        </w:rPr>
        <w:footnoteReference w:id="967"/>
      </w:r>
      <w:r>
        <w:t xml:space="preserve"> However, a larger dataset is not an end in itself. Decreasing the dispersion of estimates by increasing the size of the comparator set may not be helpful if that comparator set is less representative of what we are trying to estimate.</w:t>
      </w:r>
      <w:r w:rsidRPr="00A97AB8">
        <w:t xml:space="preserve"> </w:t>
      </w:r>
      <w:r>
        <w:t>In such cases, t</w:t>
      </w:r>
      <w:r w:rsidRPr="00A97AB8">
        <w:t xml:space="preserve">he mean </w:t>
      </w:r>
      <w:r>
        <w:t xml:space="preserve">that </w:t>
      </w:r>
      <w:r w:rsidRPr="00A97AB8">
        <w:t xml:space="preserve">the estimates </w:t>
      </w:r>
      <w:r>
        <w:t>are clustered around will be less</w:t>
      </w:r>
      <w:r w:rsidRPr="00A97AB8">
        <w:t xml:space="preserve"> representative of the 'true' </w:t>
      </w:r>
      <w:r>
        <w:t xml:space="preserve">equity </w:t>
      </w:r>
      <w:r w:rsidRPr="00A97AB8">
        <w:t xml:space="preserve">beta </w:t>
      </w:r>
      <w:r>
        <w:t>(that is, biased). We do not consider this constitutes reliability. We agree with Associate Professor Graham Partington and Professor Stephen Satchell's (Partington and Satchell's) statement that, '</w:t>
      </w:r>
      <w:proofErr w:type="gramStart"/>
      <w:r w:rsidRPr="00E33D70">
        <w:t>The</w:t>
      </w:r>
      <w:proofErr w:type="gramEnd"/>
      <w:r w:rsidRPr="00E33D70">
        <w:t xml:space="preserve"> critical issue is how appropriate are the additional firms selected as comparators and how much improvement is obtained</w:t>
      </w:r>
      <w:r>
        <w:t>'.</w:t>
      </w:r>
      <w:r>
        <w:rPr>
          <w:rStyle w:val="FootnoteReference"/>
        </w:rPr>
        <w:footnoteReference w:id="968"/>
      </w:r>
    </w:p>
    <w:p w:rsidR="00784B0F" w:rsidRDefault="00784B0F" w:rsidP="00784B0F">
      <w:pPr>
        <w:numPr>
          <w:ilvl w:val="0"/>
          <w:numId w:val="25"/>
        </w:numPr>
      </w:pPr>
      <w:r>
        <w:t>It is also useful to note that Henry performed a separate time series regression for each comparator firm and various portfolios of comparator firms.</w:t>
      </w:r>
      <w:r>
        <w:rPr>
          <w:rStyle w:val="FootnoteReference"/>
        </w:rPr>
        <w:footnoteReference w:id="969"/>
      </w:r>
      <w:r>
        <w:t xml:space="preserve"> The weekly returns for each firm are regressed against the weekly returns on the market over a period of time (the estimation period).</w:t>
      </w:r>
      <w:r>
        <w:rPr>
          <w:rStyle w:val="FootnoteReference"/>
        </w:rPr>
        <w:footnoteReference w:id="970"/>
      </w:r>
      <w:r>
        <w:t xml:space="preserve"> This means that the number of observations, or sample size, relevant to the statistical analysis of the individual equity beta estimates is the number of weekly return intervals in the estimation period. In Henry's 2014 report this sample size ranges from 229 (last five years, HDF) to 826 (longest period available, ENV) observations.</w:t>
      </w:r>
      <w:r>
        <w:rPr>
          <w:rStyle w:val="FootnoteReference"/>
        </w:rPr>
        <w:footnoteReference w:id="971"/>
      </w:r>
      <w:r>
        <w:t xml:space="preserve"> In addition, we place most reliance on averages of individual firm estimates and fixed weight portfolio estimates, which cluster around 0.5 (see </w:t>
      </w:r>
      <w:r>
        <w:fldChar w:fldCharType="begin"/>
      </w:r>
      <w:r>
        <w:instrText xml:space="preserve"> REF  _Ref446243940 \* Lower \h </w:instrText>
      </w:r>
      <w:r>
        <w:fldChar w:fldCharType="separate"/>
      </w:r>
      <w:r w:rsidR="003F1AAB">
        <w:t xml:space="preserve">figure </w:t>
      </w:r>
      <w:r w:rsidR="003F1AAB">
        <w:rPr>
          <w:noProof/>
        </w:rPr>
        <w:t>3</w:t>
      </w:r>
      <w:r w:rsidR="003F1AAB">
        <w:noBreakHyphen/>
      </w:r>
      <w:r w:rsidR="003F1AAB">
        <w:rPr>
          <w:noProof/>
        </w:rPr>
        <w:t>18</w:t>
      </w:r>
      <w:r>
        <w:fldChar w:fldCharType="end"/>
      </w:r>
      <w:r>
        <w:t>). This focus on average and portfolio equity beta estimates further reduces any residual uncertainty associated with individual firm estimates.</w:t>
      </w:r>
    </w:p>
    <w:p w:rsidR="00784B0F" w:rsidRDefault="00784B0F" w:rsidP="00784B0F">
      <w:pPr>
        <w:numPr>
          <w:ilvl w:val="0"/>
          <w:numId w:val="25"/>
        </w:numPr>
      </w:pPr>
      <w:r>
        <w:t xml:space="preserve">Frontier Economics submitted graphs of 10 year rolling beta estimates with confidence interval bands to provide support for its view that </w:t>
      </w:r>
      <w:r w:rsidRPr="00176251">
        <w:t xml:space="preserve">empirical equity beta estimates </w:t>
      </w:r>
      <w:r>
        <w:t>based only on Australian energy network firms are imprecise and unstable.</w:t>
      </w:r>
      <w:r>
        <w:rPr>
          <w:rStyle w:val="FootnoteReference"/>
        </w:rPr>
        <w:footnoteReference w:id="972"/>
      </w:r>
      <w:r>
        <w:t xml:space="preserve"> We have assessed this material and consider it is, in substance, the same evidence that has been previously submitted to us on this issue.</w:t>
      </w:r>
      <w:r>
        <w:rPr>
          <w:rStyle w:val="FootnoteReference"/>
        </w:rPr>
        <w:footnoteReference w:id="973"/>
      </w:r>
      <w:r>
        <w:t xml:space="preserve"> Nevertheless, Partington and Satchell have analysed the graphs of 10 year rolling beta estimates.</w:t>
      </w:r>
      <w:r>
        <w:rPr>
          <w:rStyle w:val="FootnoteReference"/>
        </w:rPr>
        <w:footnoteReference w:id="974"/>
      </w:r>
      <w:r>
        <w:t xml:space="preserve"> They conclude that:</w:t>
      </w:r>
      <w:r>
        <w:rPr>
          <w:rStyle w:val="FootnoteReference"/>
        </w:rPr>
        <w:footnoteReference w:id="975"/>
      </w:r>
    </w:p>
    <w:p w:rsidR="00784B0F" w:rsidRDefault="00784B0F" w:rsidP="00784B0F">
      <w:pPr>
        <w:pStyle w:val="AERquote"/>
      </w:pPr>
      <w:r>
        <w:t>…</w:t>
      </w:r>
      <w:r w:rsidRPr="003B03A8">
        <w:t xml:space="preserve"> </w:t>
      </w:r>
      <w:proofErr w:type="gramStart"/>
      <w:r w:rsidRPr="003B03A8">
        <w:t>for</w:t>
      </w:r>
      <w:proofErr w:type="gramEnd"/>
      <w:r w:rsidRPr="003B03A8">
        <w:t xml:space="preserve"> the portfolio estimates of beta, any improvements in the precision of the estimates appear to be modest as are any improvements in stability</w:t>
      </w:r>
      <w:r>
        <w:t>.</w:t>
      </w:r>
      <w:r w:rsidRPr="002F785B">
        <w:t xml:space="preserve"> Since portfolio estimates would be our preferred way to estimate an industry beta, we conclude that the improved statistical properties are modest and come at the cost of potentially biased estimates from comparators that may be inappropriate.</w:t>
      </w:r>
    </w:p>
    <w:p w:rsidR="00784B0F" w:rsidRDefault="00784B0F" w:rsidP="00784B0F">
      <w:pPr>
        <w:pStyle w:val="AERquote"/>
      </w:pPr>
      <w:r w:rsidRPr="003B03A8">
        <w:t>.</w:t>
      </w:r>
      <w:r>
        <w:t>...</w:t>
      </w:r>
      <w:r w:rsidRPr="003B03A8">
        <w:t xml:space="preserve"> </w:t>
      </w:r>
      <w:proofErr w:type="gramStart"/>
      <w:r w:rsidRPr="003B03A8">
        <w:t>and</w:t>
      </w:r>
      <w:proofErr w:type="gramEnd"/>
      <w:r w:rsidRPr="003B03A8">
        <w:t xml:space="preserve"> in the time series of rolling portfolio beta estimates the US betas appear to be less stable than the Australian betas.</w:t>
      </w:r>
    </w:p>
    <w:p w:rsidR="00784B0F" w:rsidRDefault="00784B0F" w:rsidP="00784B0F">
      <w:pPr>
        <w:numPr>
          <w:ilvl w:val="0"/>
          <w:numId w:val="25"/>
        </w:numPr>
      </w:pPr>
      <w:r>
        <w:t>Frontier Economics also considered it is unsurprising that our estimates tend to cluster together because they are effectively a regurgitation of the same estimate, based on slight variations of the same dataset.</w:t>
      </w:r>
      <w:r>
        <w:rPr>
          <w:rStyle w:val="FootnoteReference"/>
        </w:rPr>
        <w:footnoteReference w:id="976"/>
      </w:r>
      <w:r>
        <w:t xml:space="preserve"> We disagree with this view. Our estimates are based on data from a comparator set of Australian energy network firms because we consider these firms are most reflective of a benchmark efficient entity</w:t>
      </w:r>
      <w:r w:rsidRPr="00001F3E">
        <w:t xml:space="preserve"> </w:t>
      </w:r>
      <w:r>
        <w:t>with a similar degree of risk as AusNet Services in providing regulated services. It is well known that estimates can vary based on changes in the estimation method or period, or variations to the dataset (such as the construction of different portfolios). This is why empirical analyses include sensitivity and/or robustness checks based on such variations.</w:t>
      </w:r>
      <w:r>
        <w:rPr>
          <w:rStyle w:val="FootnoteReference"/>
        </w:rPr>
        <w:footnoteReference w:id="977"/>
      </w:r>
      <w:r>
        <w:t xml:space="preserve"> Even Frontier performs regressions based on a five year estimation period as a robustness check on its estimates from a 10 year estimation period.</w:t>
      </w:r>
      <w:r>
        <w:rPr>
          <w:rStyle w:val="FootnoteReference"/>
        </w:rPr>
        <w:footnoteReference w:id="978"/>
      </w:r>
      <w:r>
        <w:t xml:space="preserve"> We do not consider the robustness of our equity beta estimates to different estimation choices is invalidated by the fact that the estimates are based on the same underlying comparator set of firms (or a subset of these firms).</w:t>
      </w:r>
    </w:p>
    <w:p w:rsidR="00784B0F" w:rsidRDefault="00784B0F" w:rsidP="00784B0F">
      <w:r>
        <w:t xml:space="preserve">Based on the available evidence and submissions, we do not consider our Australian empirical equity beta estimates are unreliable. </w:t>
      </w:r>
      <w:r w:rsidRPr="009C1524">
        <w:t>We consider the data from our comparator set of Australian energy network firms is sufficient for us to form an equity beta estimate that will contribute to the achievement of the allowed rate of return objective.</w:t>
      </w:r>
      <w:r>
        <w:rPr>
          <w:rStyle w:val="FootnoteReference"/>
        </w:rPr>
        <w:footnoteReference w:id="979"/>
      </w:r>
      <w:r w:rsidRPr="009C1524">
        <w:t xml:space="preserve"> This comparator set is reflective of </w:t>
      </w:r>
      <w:r>
        <w:t>a</w:t>
      </w:r>
      <w:r w:rsidRPr="009C1524">
        <w:t xml:space="preserve"> benchmark efficient entity and generates a consistent pattern of empirical equity beta estimates that is robust across econometric techniques, time periods and different combinations of comparator firms. </w:t>
      </w:r>
      <w:r w:rsidRPr="00671960">
        <w:t>This is demonstrated in</w:t>
      </w:r>
      <w:r>
        <w:t xml:space="preserve"> sections </w:t>
      </w:r>
      <w:r>
        <w:fldChar w:fldCharType="begin"/>
      </w:r>
      <w:r>
        <w:instrText xml:space="preserve"> REF _Ref446255169 \r \h </w:instrText>
      </w:r>
      <w:r>
        <w:fldChar w:fldCharType="separate"/>
      </w:r>
      <w:r w:rsidR="003F1AAB">
        <w:t>G.1</w:t>
      </w:r>
      <w:r>
        <w:fldChar w:fldCharType="end"/>
      </w:r>
      <w:r>
        <w:t xml:space="preserve"> and </w:t>
      </w:r>
      <w:r>
        <w:fldChar w:fldCharType="begin"/>
      </w:r>
      <w:r>
        <w:instrText xml:space="preserve"> REF _Ref446255164 \r \h </w:instrText>
      </w:r>
      <w:r>
        <w:fldChar w:fldCharType="separate"/>
      </w:r>
      <w:r w:rsidR="003F1AAB">
        <w:t>G.2</w:t>
      </w:r>
      <w:r>
        <w:fldChar w:fldCharType="end"/>
      </w:r>
      <w:r>
        <w:t>.</w:t>
      </w:r>
    </w:p>
    <w:p w:rsidR="00784B0F" w:rsidRPr="00D332F8" w:rsidRDefault="00784B0F" w:rsidP="00784B0F">
      <w:pPr>
        <w:pStyle w:val="Heading9"/>
      </w:pPr>
      <w:bookmarkStart w:id="321" w:name="_Ref446254445"/>
      <w:bookmarkStart w:id="322" w:name="_Toc456686753"/>
      <w:r>
        <w:t>Use of international energy firms</w:t>
      </w:r>
      <w:bookmarkEnd w:id="321"/>
      <w:bookmarkEnd w:id="322"/>
    </w:p>
    <w:p w:rsidR="00784B0F" w:rsidRDefault="00784B0F" w:rsidP="00784B0F">
      <w:pPr>
        <w:numPr>
          <w:ilvl w:val="0"/>
          <w:numId w:val="25"/>
        </w:numPr>
      </w:pPr>
      <w:r w:rsidRPr="007A3B2B">
        <w:t xml:space="preserve">We </w:t>
      </w:r>
      <w:r>
        <w:t>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AusNet Services in relation to the provision of its regulated services. We do not include international energy network firms in our comparator set for empirical analysis. We consider international energy firms are not suitable comparators in this case, for the following reasons:</w:t>
      </w:r>
    </w:p>
    <w:p w:rsidR="00784B0F" w:rsidRPr="00784B0F" w:rsidRDefault="00784B0F" w:rsidP="00784B0F">
      <w:pPr>
        <w:pStyle w:val="AERbulletlistfirststyle"/>
      </w:pPr>
      <w:r>
        <w:t>They deviate from our definition of a benchmark efficient entity definition because they do not operate within Australia.</w:t>
      </w:r>
      <w:r w:rsidRPr="00784B0F">
        <w:t xml:space="preserve"> Differences in regulation of businesses, the domestic economy, geography, business cycles, weather and a number of different factors are likely to result in differences between equity beta estimates for similar businesses between countries.</w:t>
      </w:r>
      <w:r w:rsidRPr="00784B0F">
        <w:rPr>
          <w:rStyle w:val="FootnoteReference"/>
        </w:rPr>
        <w:footnoteReference w:id="980"/>
      </w:r>
      <w:r w:rsidRPr="00784B0F">
        <w:t xml:space="preserve"> It is difficult to assign quantitative impacts to these qualitative factors.</w:t>
      </w:r>
    </w:p>
    <w:p w:rsidR="00784B0F" w:rsidRPr="00784B0F" w:rsidRDefault="00784B0F" w:rsidP="00784B0F">
      <w:pPr>
        <w:pStyle w:val="AERbulletlistfirststyle"/>
      </w:pPr>
      <w:r>
        <w:t>W</w:t>
      </w:r>
      <w:r w:rsidRPr="00784B0F">
        <w:t>e discuss equity beta estimates in the context of our foundation model, which is the domestic Sharpe-Lintner CAPM.</w:t>
      </w:r>
      <w:r w:rsidRPr="00784B0F">
        <w:rPr>
          <w:rStyle w:val="FootnoteReference"/>
        </w:rPr>
        <w:footnoteReference w:id="981"/>
      </w:r>
      <w:r w:rsidRPr="00784B0F">
        <w:t xml:space="preserve"> This provides a strong rationale for estimating the equity beta using Australian data. If we included international energy firms in our comparator set, it may be more appropriate to use an international or global CAPM.</w:t>
      </w:r>
      <w:r w:rsidRPr="00784B0F">
        <w:rPr>
          <w:rStyle w:val="FootnoteReference"/>
        </w:rPr>
        <w:footnoteReference w:id="982"/>
      </w:r>
      <w:r w:rsidRPr="00784B0F">
        <w:t xml:space="preserve"> </w:t>
      </w:r>
    </w:p>
    <w:p w:rsidR="00784B0F" w:rsidRPr="00784B0F" w:rsidRDefault="00784B0F" w:rsidP="00784B0F">
      <w:pPr>
        <w:pStyle w:val="AERbulletlistfirststyle"/>
      </w:pPr>
      <w:r>
        <w:t>Equity b</w:t>
      </w:r>
      <w:r w:rsidRPr="00784B0F">
        <w:t>eta estimates from international comparators are measured with respect to the market portfolio of their home market.</w:t>
      </w:r>
      <w:r w:rsidRPr="00784B0F">
        <w:rPr>
          <w:rStyle w:val="FootnoteReference"/>
        </w:rPr>
        <w:footnoteReference w:id="983"/>
      </w:r>
      <w:r w:rsidRPr="00784B0F">
        <w:t xml:space="preserve"> This means the equity beta estimates from international comparators are not a measurement of the firm's systematic risk relative to the Australian domestic market portfolio.</w:t>
      </w:r>
      <w:r w:rsidRPr="00784B0F">
        <w:rPr>
          <w:rStyle w:val="FootnoteReference"/>
        </w:rPr>
        <w:footnoteReference w:id="984"/>
      </w:r>
      <w:r w:rsidRPr="00784B0F">
        <w:t xml:space="preserve"> As Associate Professor John Handley (Handley) stated:</w:t>
      </w:r>
      <w:r w:rsidRPr="00784B0F">
        <w:rPr>
          <w:rStyle w:val="FootnoteReference"/>
        </w:rPr>
        <w:footnoteReference w:id="985"/>
      </w:r>
    </w:p>
    <w:p w:rsidR="00784B0F" w:rsidRPr="006048D2" w:rsidRDefault="00784B0F" w:rsidP="00784B0F">
      <w:pPr>
        <w:pStyle w:val="AERquote"/>
      </w:pPr>
      <w:r w:rsidRPr="006C31CF">
        <w:t>In general, domestic betas and international betas measure different things and are not comparable due to potential differences in the covariance structure and level of systematic risk in the respective markets. This is purely a definitional difference.</w:t>
      </w:r>
    </w:p>
    <w:p w:rsidR="00784B0F" w:rsidRPr="00784B0F" w:rsidRDefault="00784B0F" w:rsidP="00784B0F">
      <w:pPr>
        <w:pStyle w:val="AERbulletlistfirststyle"/>
      </w:pPr>
      <w:r>
        <w:t>They may not have the same structure as Australian energy network firms. For example, a</w:t>
      </w:r>
      <w:r w:rsidRPr="00784B0F">
        <w:t xml:space="preserve"> number of US comparator businesses identified by the Competition Economists Group (CEG) are vertically integrated.</w:t>
      </w:r>
      <w:r w:rsidRPr="00784B0F">
        <w:rPr>
          <w:rStyle w:val="FootnoteReference"/>
        </w:rPr>
        <w:footnoteReference w:id="986"/>
      </w:r>
      <w:r w:rsidRPr="00784B0F">
        <w:t xml:space="preserve"> They engage in energy generation, wholesale and retail of energy, as well as other activities distinct from energy distribution and transmission. Some of the firms even engage in telecommunications, real estate development and manufacturing activities.</w:t>
      </w:r>
      <w:r w:rsidRPr="00784B0F">
        <w:rPr>
          <w:rStyle w:val="FootnoteReference"/>
        </w:rPr>
        <w:footnoteReference w:id="987"/>
      </w:r>
      <w:r w:rsidRPr="00784B0F">
        <w:t xml:space="preserve"> These activities are very different from our definition of a benchmark efficient entity, which is a pure play regulated energy network business (operating within Australia). As noted in the Guideline, we consider vertically integrated firms tend to have higher equity beta estimates than pure play energy network firms.</w:t>
      </w:r>
      <w:r w:rsidRPr="00784B0F">
        <w:rPr>
          <w:rStyle w:val="FootnoteReference"/>
        </w:rPr>
        <w:footnoteReference w:id="988"/>
      </w:r>
    </w:p>
    <w:p w:rsidR="00784B0F" w:rsidRPr="00784B0F" w:rsidRDefault="00784B0F" w:rsidP="00784B0F">
      <w:pPr>
        <w:pStyle w:val="AERbulletlistfirststyle"/>
      </w:pPr>
      <w:r>
        <w:t>W</w:t>
      </w:r>
      <w:r w:rsidRPr="00784B0F">
        <w:t>e consider the available Australian data is sufficient for us to form a reasonable equity beta range that is reflective of the equity beta for a benchmark efficient entity.</w:t>
      </w:r>
    </w:p>
    <w:p w:rsidR="00784B0F" w:rsidRDefault="00784B0F" w:rsidP="00784B0F">
      <w:pPr>
        <w:numPr>
          <w:ilvl w:val="0"/>
          <w:numId w:val="25"/>
        </w:numPr>
      </w:pPr>
      <w:r>
        <w:t>These factors are discussed in more detail in the Guideline and 2009 WACC review.</w:t>
      </w:r>
      <w:r>
        <w:rPr>
          <w:rStyle w:val="FootnoteReference"/>
        </w:rPr>
        <w:footnoteReference w:id="989"/>
      </w:r>
      <w:r>
        <w:t xml:space="preserve"> Based on the </w:t>
      </w:r>
      <w:r w:rsidRPr="00965F9D">
        <w:t>above reasoning, we consider it is a suboptimal outcome to use a foreign proxy (or proxies) to estimate the equity beta for a domestic benchmark</w:t>
      </w:r>
      <w:r>
        <w:t xml:space="preserve">. It should only be used </w:t>
      </w:r>
      <w:r w:rsidRPr="00B2164C">
        <w:t xml:space="preserve">where there is evidence that </w:t>
      </w:r>
      <w:r>
        <w:t xml:space="preserve">this will produce more reliable </w:t>
      </w:r>
      <w:r w:rsidRPr="00B2164C">
        <w:t>estimates of the domestic equity beta than the Australian estimates</w:t>
      </w:r>
      <w:r>
        <w:t xml:space="preserve"> themselves</w:t>
      </w:r>
      <w:r w:rsidRPr="00B2164C">
        <w:t>.</w:t>
      </w:r>
      <w:r>
        <w:t xml:space="preserve"> We do not consider the material submitted by the relevant service providers present us with such evidence. </w:t>
      </w:r>
    </w:p>
    <w:p w:rsidR="00784B0F" w:rsidRPr="00F241AB" w:rsidRDefault="00784B0F" w:rsidP="00784B0F">
      <w:pPr>
        <w:numPr>
          <w:ilvl w:val="0"/>
          <w:numId w:val="25"/>
        </w:numPr>
      </w:pPr>
      <w:r>
        <w:t>The service providers' consultants appear to recognise</w:t>
      </w:r>
      <w:r w:rsidRPr="00AA15E3">
        <w:t xml:space="preserve"> </w:t>
      </w:r>
      <w:r>
        <w:t>international energy network firms are less comparable to a benchmark efficient entity than Australian energy network firms. However, they also consider our comparator set of Australian energy network firms is too small and produces unreliable equity beta estimates.</w:t>
      </w:r>
      <w:r>
        <w:rPr>
          <w:rStyle w:val="FootnoteReference"/>
        </w:rPr>
        <w:footnoteReference w:id="990"/>
      </w:r>
      <w:r>
        <w:t xml:space="preserve"> In analysing these competing considerations, the service providers and their consultants concluded that</w:t>
      </w:r>
      <w:r w:rsidRPr="00FE01B4">
        <w:t xml:space="preserve"> </w:t>
      </w:r>
      <w:r>
        <w:t>the 56 US energy firms identified by CEG during the Guideline process are sufficiently comparable to</w:t>
      </w:r>
      <w:r w:rsidRPr="00296D0B">
        <w:t xml:space="preserve"> </w:t>
      </w:r>
      <w:r>
        <w:t>a benchmark efficient entity. Therefore, they should be included in our comparator set for empirical analysis, albeit with less weight than the domestic comparators.</w:t>
      </w:r>
      <w:r w:rsidRPr="00F241AB">
        <w:rPr>
          <w:rStyle w:val="FootnoteReference"/>
        </w:rPr>
        <w:footnoteReference w:id="991"/>
      </w:r>
    </w:p>
    <w:p w:rsidR="00784B0F" w:rsidRDefault="00784B0F" w:rsidP="00784B0F">
      <w:pPr>
        <w:numPr>
          <w:ilvl w:val="0"/>
          <w:numId w:val="25"/>
        </w:numPr>
      </w:pPr>
      <w:r>
        <w:t>W</w:t>
      </w:r>
      <w:r w:rsidRPr="00F241AB">
        <w:t xml:space="preserve">e do not consider </w:t>
      </w:r>
      <w:r>
        <w:t>the service providers currently under assessment have</w:t>
      </w:r>
      <w:r w:rsidRPr="00F241AB">
        <w:t xml:space="preserve"> provided satisfactory evidence that the suggested sample of 56 US energy firms are sufficiently comparable to </w:t>
      </w:r>
      <w:r>
        <w:t>a</w:t>
      </w:r>
      <w:r w:rsidRPr="00F241AB">
        <w:t xml:space="preserve"> benchmark efficient entity</w:t>
      </w:r>
      <w:r w:rsidRPr="00E07D19">
        <w:t xml:space="preserve"> </w:t>
      </w:r>
      <w:r>
        <w:t>with a similar degree of risk as AusNet Services in providing regulated services</w:t>
      </w:r>
      <w:r w:rsidRPr="00F241AB">
        <w:t>.</w:t>
      </w:r>
      <w:r>
        <w:rPr>
          <w:rStyle w:val="FootnoteReference"/>
        </w:rPr>
        <w:footnoteReference w:id="992"/>
      </w:r>
      <w:r w:rsidRPr="00F241AB">
        <w:t xml:space="preserve"> Handley supports this </w:t>
      </w:r>
      <w:r>
        <w:t>view</w:t>
      </w:r>
      <w:r w:rsidRPr="00F241AB">
        <w:t>.</w:t>
      </w:r>
      <w:r w:rsidRPr="00F241AB">
        <w:rPr>
          <w:rStyle w:val="FootnoteReference"/>
        </w:rPr>
        <w:footnoteReference w:id="993"/>
      </w:r>
      <w:r>
        <w:t xml:space="preserve"> We provided detailed reasoning for this view in our recent decisions, which we do not reproduce in this decision but which remains applicable.</w:t>
      </w:r>
      <w:r>
        <w:rPr>
          <w:rStyle w:val="FootnoteReference"/>
        </w:rPr>
        <w:footnoteReference w:id="994"/>
      </w:r>
      <w:r>
        <w:t xml:space="preserve"> However, Partington and Satchell have assessed Frontier Economics' most recent (2016) report on the issue, and conclude that:</w:t>
      </w:r>
      <w:r>
        <w:rPr>
          <w:rStyle w:val="FootnoteReference"/>
        </w:rPr>
        <w:footnoteReference w:id="995"/>
      </w:r>
    </w:p>
    <w:p w:rsidR="00784B0F" w:rsidRDefault="00784B0F" w:rsidP="00784B0F">
      <w:pPr>
        <w:pStyle w:val="AERquote"/>
      </w:pPr>
      <w:r>
        <w:t>…</w:t>
      </w:r>
      <w:r w:rsidRPr="002F785B">
        <w:t xml:space="preserve"> </w:t>
      </w:r>
      <w:proofErr w:type="gramStart"/>
      <w:r w:rsidRPr="002F785B">
        <w:t>the</w:t>
      </w:r>
      <w:proofErr w:type="gramEnd"/>
      <w:r w:rsidRPr="002F785B">
        <w:t xml:space="preserve"> case that the samples ar</w:t>
      </w:r>
      <w:r>
        <w:t>e homogeneous has not been made…</w:t>
      </w:r>
      <w:r w:rsidRPr="002F785B">
        <w:t>Indeed on the basis of Frontier’s analysis of the means for weekly betas the US comparators are inappropriate</w:t>
      </w:r>
    </w:p>
    <w:p w:rsidR="00784B0F" w:rsidRDefault="00784B0F" w:rsidP="00784B0F">
      <w:pPr>
        <w:pStyle w:val="AERquote"/>
      </w:pPr>
      <w:r>
        <w:t>…</w:t>
      </w:r>
      <w:r w:rsidRPr="001233AC">
        <w:t>Furthermore, the use of 24% by weight of Australian data and 76% by weight of US data to compute an Australian beta seems intuitively inappropriate.</w:t>
      </w:r>
    </w:p>
    <w:p w:rsidR="00784B0F" w:rsidRPr="004C2E1A" w:rsidRDefault="00784B0F" w:rsidP="00784B0F">
      <w:pPr>
        <w:pStyle w:val="AERquote"/>
      </w:pPr>
      <w:r>
        <w:t>…</w:t>
      </w:r>
      <w:r w:rsidRPr="002F785B">
        <w:t>The notion that Beta is a measure independent of the index used, and hence can be aggregated across different countries troubles us. The usual way this would be addressed is to build a global CAPM and compute betas with respect to a world portfolio, or regard the USA and Australia as a single region and define a new market portfolio based on the capitalisation weighted aggregate of the two markets.</w:t>
      </w:r>
    </w:p>
    <w:p w:rsidR="00784B0F" w:rsidRDefault="00784B0F" w:rsidP="00784B0F">
      <w:pPr>
        <w:numPr>
          <w:ilvl w:val="0"/>
          <w:numId w:val="25"/>
        </w:numPr>
      </w:pPr>
      <w:r>
        <w:t>We also received submissions in 2015 from other stakeholders that do not support the inclusion of international energy firms in our domestic comparator set. For example, Origin supported our decision to use a comparator set of Australian energy network firms.</w:t>
      </w:r>
      <w:r>
        <w:rPr>
          <w:rStyle w:val="FootnoteReference"/>
        </w:rPr>
        <w:footnoteReference w:id="996"/>
      </w:r>
      <w:r>
        <w:t xml:space="preserve"> It considered </w:t>
      </w:r>
      <w:r w:rsidRPr="005855BA">
        <w:t>international comparators should not be used</w:t>
      </w:r>
      <w:r>
        <w:t xml:space="preserve"> as primary determinants of risk</w:t>
      </w:r>
      <w:r w:rsidRPr="005855BA">
        <w:t xml:space="preserve"> to the extent that the risks faced by these firms are not directly comparable to Australian conditions.</w:t>
      </w:r>
      <w:r>
        <w:t xml:space="preserve"> The Consumer Challenge Panel also disagreed with the inclusion of 56 US energy firms in our Australian comparator set.</w:t>
      </w:r>
      <w:r>
        <w:rPr>
          <w:rStyle w:val="FootnoteReference"/>
        </w:rPr>
        <w:footnoteReference w:id="997"/>
      </w:r>
      <w:r>
        <w:t xml:space="preserve"> </w:t>
      </w:r>
    </w:p>
    <w:p w:rsidR="00784B0F" w:rsidRDefault="00784B0F" w:rsidP="00784B0F">
      <w:pPr>
        <w:numPr>
          <w:ilvl w:val="0"/>
          <w:numId w:val="25"/>
        </w:numPr>
      </w:pPr>
      <w:r w:rsidRPr="009B7E57">
        <w:t xml:space="preserve">This does not imply that the empirical evidence based on </w:t>
      </w:r>
      <w:r>
        <w:t xml:space="preserve">international energy network firms should be discarded </w:t>
      </w:r>
      <w:r w:rsidRPr="009B7E57">
        <w:t xml:space="preserve">completely. Rather, we consider that such evidence </w:t>
      </w:r>
      <w:r>
        <w:t>may have some use</w:t>
      </w:r>
      <w:r w:rsidRPr="009B7E57">
        <w:t xml:space="preserve"> </w:t>
      </w:r>
      <w:r>
        <w:t xml:space="preserve">in informing the equity beta point estimate from within the range derived using Australian empirical estimates. Further, </w:t>
      </w:r>
      <w:r w:rsidRPr="009B7E57">
        <w:t>we c</w:t>
      </w:r>
      <w:r>
        <w:t xml:space="preserve">onsider it useful to examine </w:t>
      </w:r>
      <w:r w:rsidRPr="009B7E57">
        <w:t xml:space="preserve">evidence on </w:t>
      </w:r>
      <w:r>
        <w:t>many</w:t>
      </w:r>
      <w:r w:rsidRPr="009B7E57">
        <w:t xml:space="preserve"> available international </w:t>
      </w:r>
      <w:r>
        <w:t>energy network firms</w:t>
      </w:r>
      <w:r w:rsidRPr="009B7E57">
        <w:t>, rather than only those based in the US.</w:t>
      </w:r>
    </w:p>
    <w:p w:rsidR="00784B0F" w:rsidRPr="00D332F8" w:rsidRDefault="00784B0F" w:rsidP="00784B0F">
      <w:pPr>
        <w:pStyle w:val="Heading9"/>
      </w:pPr>
      <w:bookmarkStart w:id="323" w:name="_Ref446254437"/>
      <w:bookmarkStart w:id="324" w:name="_Toc456686754"/>
      <w:r>
        <w:t>Use of non-energy infrastructure firms</w:t>
      </w:r>
      <w:bookmarkEnd w:id="323"/>
      <w:bookmarkEnd w:id="324"/>
    </w:p>
    <w:p w:rsidR="00784B0F" w:rsidRDefault="00784B0F" w:rsidP="00784B0F">
      <w:pPr>
        <w:numPr>
          <w:ilvl w:val="0"/>
          <w:numId w:val="25"/>
        </w:numPr>
      </w:pPr>
      <w:r>
        <w:t>In its 2016 report, Frontier Economics (previously SFG) submitted that we should include Australian non-energy infrastructure firms in our comparator set in addition to Australian energy firms.</w:t>
      </w:r>
      <w:r>
        <w:rPr>
          <w:rStyle w:val="FootnoteReference"/>
        </w:rPr>
        <w:footnoteReference w:id="998"/>
      </w:r>
      <w:r>
        <w:t xml:space="preserve"> Frontier Economics examined equity beta estimates for nine Australian energy network firms, seven Australian non-energy infrastructure firms</w:t>
      </w:r>
      <w:r>
        <w:rPr>
          <w:rStyle w:val="FootnoteReference"/>
        </w:rPr>
        <w:footnoteReference w:id="999"/>
      </w:r>
      <w:r>
        <w:t xml:space="preserve"> and 56 US energy firms. It concluded that the expanded comparator set has better statistical properties (precision and stability) than our comparator set based on Australian energy network firms.</w:t>
      </w:r>
      <w:r>
        <w:rPr>
          <w:rStyle w:val="FootnoteReference"/>
        </w:rPr>
        <w:footnoteReference w:id="1000"/>
      </w:r>
    </w:p>
    <w:p w:rsidR="00784B0F" w:rsidRDefault="00784B0F" w:rsidP="00784B0F">
      <w:pPr>
        <w:numPr>
          <w:ilvl w:val="0"/>
          <w:numId w:val="25"/>
        </w:numPr>
      </w:pPr>
      <w:r w:rsidRPr="007A3B2B">
        <w:t xml:space="preserve">We </w:t>
      </w:r>
      <w:r>
        <w:t>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AusNet Services in relation to the provision of its regulated services. We do not include non-energy infrastructure firms in our comparator set for empirical analysis. We consider these firms are not suitable comparators in this case, for the following reasons:</w:t>
      </w:r>
    </w:p>
    <w:p w:rsidR="00784B0F" w:rsidRPr="00784B0F" w:rsidRDefault="00784B0F" w:rsidP="00784B0F">
      <w:pPr>
        <w:pStyle w:val="AERbulletlistfirststyle"/>
      </w:pPr>
      <w:r>
        <w:t xml:space="preserve">The allowed rate of return objective requires us to consider the efficient financing costs of a benchmark efficient entity with a similar degree of risk as AusNet Services </w:t>
      </w:r>
      <w:r w:rsidRPr="00784B0F">
        <w:t xml:space="preserve">in the provision of regulated gas network services. These firms do not provide gas pipeline, or more generally energy network, services.  </w:t>
      </w:r>
    </w:p>
    <w:p w:rsidR="00784B0F" w:rsidRPr="00784B0F" w:rsidRDefault="00784B0F" w:rsidP="00784B0F">
      <w:pPr>
        <w:pStyle w:val="AERbulletlistfirststyle"/>
      </w:pPr>
      <w:r>
        <w:t>D</w:t>
      </w:r>
      <w:r w:rsidRPr="00784B0F">
        <w:t>ifferences in regulation (including minimal or no regulation), industry structure and consumer demand for non-energy infrastructure firms are likely to result in different risk profiles relative to energy network firms regulated under the rules and law.</w:t>
      </w:r>
      <w:r w:rsidRPr="00784B0F">
        <w:rPr>
          <w:rStyle w:val="FootnoteReference"/>
        </w:rPr>
        <w:footnoteReference w:id="1001"/>
      </w:r>
      <w:r w:rsidRPr="00784B0F">
        <w:t xml:space="preserve"> For example, a number of Australian non-energy infrastructure firms are unregulated or are partly regulated under different regulatory regimes.</w:t>
      </w:r>
      <w:r w:rsidRPr="00784B0F">
        <w:rPr>
          <w:rStyle w:val="FootnoteReference"/>
        </w:rPr>
        <w:footnoteReference w:id="1002"/>
      </w:r>
      <w:r w:rsidRPr="00784B0F">
        <w:t xml:space="preserve"> We explain why we consider unregulated businesses are likely to have a very different risk profile to regulated firms in section 3.3.3. Also, a number of Australian non-energy infrastructure firms provide a range of different services in addition to management of and access to the monopoly infrastructure,</w:t>
      </w:r>
      <w:r w:rsidRPr="00784B0F">
        <w:rPr>
          <w:rStyle w:val="FootnoteReference"/>
        </w:rPr>
        <w:footnoteReference w:id="1003"/>
      </w:r>
      <w:r w:rsidRPr="00784B0F">
        <w:t xml:space="preserve"> which are likely to influence their overall risk profile. </w:t>
      </w:r>
    </w:p>
    <w:p w:rsidR="00784B0F" w:rsidRPr="00784B0F" w:rsidRDefault="00784B0F" w:rsidP="00784B0F">
      <w:pPr>
        <w:pStyle w:val="AERbulletlistfirststyle"/>
      </w:pPr>
      <w:r>
        <w:t>W</w:t>
      </w:r>
      <w:r w:rsidRPr="00784B0F">
        <w:t>e consider the available data for Australian energy network firms are sufficient for us to form a reasonable equity beta range that is reflective of the equity beta for a benchmark efficient entity.</w:t>
      </w:r>
    </w:p>
    <w:p w:rsidR="00784B0F" w:rsidRDefault="00784B0F" w:rsidP="00784B0F">
      <w:pPr>
        <w:numPr>
          <w:ilvl w:val="0"/>
          <w:numId w:val="25"/>
        </w:numPr>
      </w:pPr>
      <w:r>
        <w:t xml:space="preserve">As discussed at the start of section </w:t>
      </w:r>
      <w:r>
        <w:fldChar w:fldCharType="begin"/>
      </w:r>
      <w:r>
        <w:instrText xml:space="preserve"> REF _Ref446254453 \r \h </w:instrText>
      </w:r>
      <w:r>
        <w:fldChar w:fldCharType="separate"/>
      </w:r>
      <w:r w:rsidR="003F1AAB">
        <w:t>G.4.2</w:t>
      </w:r>
      <w:r>
        <w:fldChar w:fldCharType="end"/>
      </w:r>
      <w:r>
        <w:t xml:space="preserve">, our view is that while increased statistical precision and/or stability is desirable, it is not preferable if the resulting estimates are substantially less reflective of the 'true' equity beta for a benchmark efficient entity with a similar degree of risk as AusNet Services in providing regulated services. </w:t>
      </w:r>
    </w:p>
    <w:p w:rsidR="00784B0F" w:rsidRDefault="00784B0F" w:rsidP="00784B0F">
      <w:pPr>
        <w:numPr>
          <w:ilvl w:val="0"/>
          <w:numId w:val="25"/>
        </w:numPr>
      </w:pPr>
      <w:r>
        <w:t xml:space="preserve">Frontier Economics performed two statistical tests (the </w:t>
      </w:r>
      <w:r w:rsidRPr="00606073">
        <w:t>Kolmogorov-Smirnov</w:t>
      </w:r>
      <w:r>
        <w:t xml:space="preserve"> test and a t-test)</w:t>
      </w:r>
      <w:r>
        <w:rPr>
          <w:rStyle w:val="FootnoteReference"/>
        </w:rPr>
        <w:footnoteReference w:id="1004"/>
      </w:r>
      <w:r>
        <w:t xml:space="preserve"> to infer that the three comparator sets are drawn from the same population.</w:t>
      </w:r>
      <w:r>
        <w:rPr>
          <w:rStyle w:val="FootnoteReference"/>
        </w:rPr>
        <w:footnoteReference w:id="1005"/>
      </w:r>
      <w:r>
        <w:t xml:space="preserve"> However, we do not consider these tests show that the comparator sets are drawn from the same underlying population. Partington and Satchell consider both tests have been incorrectly applied. They advise:</w:t>
      </w:r>
      <w:r>
        <w:rPr>
          <w:rStyle w:val="FootnoteReference"/>
        </w:rPr>
        <w:footnoteReference w:id="1006"/>
      </w:r>
    </w:p>
    <w:p w:rsidR="00784B0F" w:rsidRPr="00D32280" w:rsidRDefault="00784B0F" w:rsidP="00784B0F">
      <w:pPr>
        <w:pStyle w:val="AERquote"/>
      </w:pPr>
      <w:r w:rsidRPr="00D32280">
        <w:t>Frontier(2016a) use the Kolmogorov-Smirnov (KS) test which compares two distribution functions, but Frontier’s analysis is based on estimated parameters being used as the parameters of the distribution functions. It is known that the critical values of the KS test assume no unknown parameters; that is, they are based on the two empirical distribution functions, and will, consequently, be wrong for the problem being considered by Frontier. Generally, Monte Carlo analysis is necessary.</w:t>
      </w:r>
    </w:p>
    <w:p w:rsidR="00784B0F" w:rsidRDefault="00784B0F" w:rsidP="00784B0F">
      <w:pPr>
        <w:numPr>
          <w:ilvl w:val="0"/>
          <w:numId w:val="25"/>
        </w:numPr>
      </w:pPr>
      <w:r>
        <w:t xml:space="preserve">Partington and Satchell also consider there are test specification issues with Frontier Economics' application of the t-test (that is, it may lead to upward bias) and that small sample </w:t>
      </w:r>
      <w:r w:rsidRPr="00146680">
        <w:t>sizes were used for the tests</w:t>
      </w:r>
      <w:r>
        <w:t>. They consider:</w:t>
      </w:r>
      <w:r>
        <w:rPr>
          <w:rStyle w:val="FootnoteReference"/>
        </w:rPr>
        <w:footnoteReference w:id="1007"/>
      </w:r>
    </w:p>
    <w:p w:rsidR="00784B0F" w:rsidRPr="006048D2" w:rsidRDefault="00784B0F" w:rsidP="00784B0F">
      <w:pPr>
        <w:pStyle w:val="AERquote"/>
      </w:pPr>
      <w:r w:rsidRPr="00146680">
        <w:t>Inappropriate application, or low power, of the tests, is likely to explain why despite the appearance of quite different distributions of beta for the AER sample and other listed Australian Infrastructure firms (see Frontier 2016a, Figure 4 reproduced below) the statistical tests fail to reject the null hypothesis of no difference between the beta estimates for the two groups.</w:t>
      </w:r>
    </w:p>
    <w:p w:rsidR="00784B0F" w:rsidRDefault="00784B0F" w:rsidP="00784B0F">
      <w:pPr>
        <w:numPr>
          <w:ilvl w:val="0"/>
          <w:numId w:val="25"/>
        </w:numPr>
      </w:pPr>
      <w:r>
        <w:t xml:space="preserve">Finally, Partington and Satchell show </w:t>
      </w:r>
      <w:r w:rsidRPr="00ED0870">
        <w:t>Frontier</w:t>
      </w:r>
      <w:r>
        <w:t xml:space="preserve"> Economics</w:t>
      </w:r>
      <w:r w:rsidRPr="00ED0870">
        <w:t xml:space="preserve"> misinterpret the results of their own analysis comparing the weekly </w:t>
      </w:r>
      <w:r>
        <w:t xml:space="preserve">equity beta estimates </w:t>
      </w:r>
      <w:r w:rsidRPr="00ED0870">
        <w:t xml:space="preserve">for the US and Australian </w:t>
      </w:r>
      <w:r>
        <w:t>comparator sets</w:t>
      </w:r>
      <w:r w:rsidRPr="00ED0870">
        <w:t>.</w:t>
      </w:r>
      <w:r>
        <w:rPr>
          <w:rStyle w:val="FootnoteReference"/>
        </w:rPr>
        <w:footnoteReference w:id="1008"/>
      </w:r>
      <w:r w:rsidRPr="00ED0870">
        <w:t xml:space="preserve"> Frontier</w:t>
      </w:r>
      <w:r>
        <w:t xml:space="preserve"> Economics</w:t>
      </w:r>
      <w:r w:rsidRPr="00ED0870">
        <w:t xml:space="preserve"> </w:t>
      </w:r>
      <w:r>
        <w:t>conclude</w:t>
      </w:r>
      <w:r w:rsidRPr="00ED0870">
        <w:t xml:space="preserve"> the result is borderline</w:t>
      </w:r>
      <w:r>
        <w:t xml:space="preserve"> when, based on tis reported statistics, the null hypothesis is rejected</w:t>
      </w:r>
      <w:r w:rsidRPr="00ED0870">
        <w:t>.</w:t>
      </w:r>
      <w:r>
        <w:rPr>
          <w:rStyle w:val="FootnoteReference"/>
        </w:rPr>
        <w:footnoteReference w:id="1009"/>
      </w:r>
      <w:r w:rsidRPr="00ED0870">
        <w:t xml:space="preserve"> </w:t>
      </w:r>
    </w:p>
    <w:p w:rsidR="00784B0F" w:rsidRDefault="00784B0F" w:rsidP="00784B0F">
      <w:pPr>
        <w:numPr>
          <w:ilvl w:val="0"/>
          <w:numId w:val="25"/>
        </w:numPr>
      </w:pPr>
      <w:r>
        <w:t xml:space="preserve">Moreover, CEG and SFG provided analysis on the comparability of 56 US energy firms to a (domestic) benchmark efficient entity. We analysed this material and explained in detail why we consider international energy firms are not reasonably comparable to a benchmark efficient entity with a similar degree of risk as AusNet Services in providing regulated services (see section </w:t>
      </w:r>
      <w:r>
        <w:fldChar w:fldCharType="begin"/>
      </w:r>
      <w:r>
        <w:instrText xml:space="preserve"> REF _Ref446254445 \r \h </w:instrText>
      </w:r>
      <w:r>
        <w:fldChar w:fldCharType="separate"/>
      </w:r>
      <w:r w:rsidR="003F1AAB">
        <w:t>G.4.3</w:t>
      </w:r>
      <w:r>
        <w:fldChar w:fldCharType="end"/>
      </w:r>
      <w:r>
        <w:t>). However, we have received little analysis (outside of the above statistical tests) on the comparability of the seven Australian non-energy infrastructure firms used in Frontier Economics' report to a benchmark efficient entity with a similar degree of risk as AusNet Services in providing regulated services. Frontier Economics simply chose the listed firms that were identified as 'infrastructure firms' in the Osiris database, with a sufficient history of available stock returns data and with a majority of operations within Australia.</w:t>
      </w:r>
      <w:r>
        <w:rPr>
          <w:rStyle w:val="FootnoteReference"/>
        </w:rPr>
        <w:footnoteReference w:id="1010"/>
      </w:r>
      <w:r>
        <w:t xml:space="preserve"> </w:t>
      </w:r>
    </w:p>
    <w:p w:rsidR="00784B0F" w:rsidRDefault="00784B0F" w:rsidP="00784B0F">
      <w:pPr>
        <w:numPr>
          <w:ilvl w:val="0"/>
          <w:numId w:val="25"/>
        </w:numPr>
      </w:pPr>
      <w:r>
        <w:t xml:space="preserve">We disagree with the suggestion by several service providers that a benchmark efficient entity should be defined as an unregulated entity operating in a workably competitive market (see </w:t>
      </w:r>
      <w:r>
        <w:fldChar w:fldCharType="begin"/>
      </w:r>
      <w:r>
        <w:instrText xml:space="preserve"> REF  _Ref446189883 \* Lower \h </w:instrText>
      </w:r>
      <w:r>
        <w:fldChar w:fldCharType="separate"/>
      </w:r>
      <w:r w:rsidR="003F1AAB">
        <w:t xml:space="preserve">table </w:t>
      </w:r>
      <w:r w:rsidR="003F1AAB">
        <w:rPr>
          <w:noProof/>
        </w:rPr>
        <w:t>3</w:t>
      </w:r>
      <w:r w:rsidR="003F1AAB">
        <w:noBreakHyphen/>
      </w:r>
      <w:r w:rsidR="003F1AAB">
        <w:rPr>
          <w:noProof/>
        </w:rPr>
        <w:t>6</w:t>
      </w:r>
      <w:r>
        <w:fldChar w:fldCharType="end"/>
      </w:r>
      <w:r>
        <w:t>). However, we note in any case that we do not consider there is persuasive evidence that these entities are reasonable comparators for a benchmark efficient entity with similar degree of risk to AusNet Services in the provision of its regulated services.</w:t>
      </w:r>
    </w:p>
    <w:p w:rsidR="00784B0F" w:rsidRPr="00784B0F" w:rsidRDefault="00784B0F" w:rsidP="00784B0F">
      <w:r>
        <w:t>We note that Frontier Economics, despite recommending the use of non-energy infrastructure comparators, proposed its original equity beta estimate of 0.82, which does not include non-energy infrastructure comparators.</w:t>
      </w:r>
      <w:r>
        <w:rPr>
          <w:rStyle w:val="FootnoteReference"/>
        </w:rPr>
        <w:footnoteReference w:id="1011"/>
      </w:r>
      <w:r>
        <w:t xml:space="preserve"> We also note that, currently, the use of non-energy infrastructure firms in our comparator set may be immaterial. The average equity beta estimates from Frontier Economics' analysis of non-energy infrastructure firms range from 0.58 to 0.91,</w:t>
      </w:r>
      <w:r>
        <w:rPr>
          <w:rStyle w:val="FootnoteReference"/>
        </w:rPr>
        <w:footnoteReference w:id="1012"/>
      </w:r>
      <w:r>
        <w:t xml:space="preserve"> which is consistent with our final equity beta estimate of 0.7.</w:t>
      </w:r>
    </w:p>
    <w:p w:rsidR="00312F8A" w:rsidRDefault="00312F8A" w:rsidP="00312F8A">
      <w:pPr>
        <w:pStyle w:val="Heading7"/>
      </w:pPr>
      <w:bookmarkStart w:id="325" w:name="_Toc456686755"/>
      <w:r>
        <w:t>Return on debt approach</w:t>
      </w:r>
      <w:bookmarkEnd w:id="106"/>
      <w:bookmarkEnd w:id="107"/>
      <w:bookmarkEnd w:id="108"/>
      <w:bookmarkEnd w:id="109"/>
      <w:bookmarkEnd w:id="110"/>
      <w:bookmarkEnd w:id="111"/>
      <w:bookmarkEnd w:id="112"/>
      <w:bookmarkEnd w:id="113"/>
      <w:bookmarkEnd w:id="114"/>
      <w:bookmarkEnd w:id="115"/>
      <w:bookmarkEnd w:id="116"/>
      <w:bookmarkEnd w:id="325"/>
    </w:p>
    <w:p w:rsidR="00312F8A" w:rsidRDefault="00312F8A" w:rsidP="00312F8A">
      <w:r>
        <w:t>We transition all of the return on debt</w:t>
      </w:r>
      <w:r>
        <w:rPr>
          <w:rStyle w:val="FootnoteReference"/>
        </w:rPr>
        <w:footnoteReference w:id="1013"/>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This appendix explains why, if we move to a trailing average approach, doing so requires a full transition to achieve the allowed rate of return objective (ARORO). It also explains why we consider the on-the-day approach should apply if there is no transition between the current approach and the trailing average. In this appendix, a 'regulatory period' means a regulatory control period or an access arrangement period.</w:t>
      </w:r>
    </w:p>
    <w:p w:rsidR="00312F8A" w:rsidRDefault="00312F8A" w:rsidP="00312F8A">
      <w:r>
        <w:t>In setting out our reasons for this view, this appendix is structured as follows:</w:t>
      </w:r>
    </w:p>
    <w:p w:rsidR="00312F8A" w:rsidRPr="00D9597E" w:rsidRDefault="00312F8A" w:rsidP="00312F8A">
      <w:pPr>
        <w:pStyle w:val="AERbulletlistfirststyle"/>
      </w:pPr>
      <w:r>
        <w:t xml:space="preserve">Section </w:t>
      </w:r>
      <w:r w:rsidRPr="00D9597E">
        <w:fldChar w:fldCharType="begin"/>
      </w:r>
      <w:r w:rsidRPr="00D9597E">
        <w:instrText xml:space="preserve"> REF _Ref447803792 \r \h </w:instrText>
      </w:r>
      <w:r w:rsidRPr="00D9597E">
        <w:fldChar w:fldCharType="separate"/>
      </w:r>
      <w:r w:rsidR="003F1AAB">
        <w:t>H.5</w:t>
      </w:r>
      <w:r w:rsidRPr="00D9597E">
        <w:fldChar w:fldCharType="end"/>
      </w:r>
      <w:r w:rsidRPr="00D9597E">
        <w:t xml:space="preserve"> establishes how we interpret the ARORO. This is with a particular focus on defining efficient financing costs (section </w:t>
      </w:r>
      <w:r w:rsidRPr="00D9597E">
        <w:fldChar w:fldCharType="begin"/>
      </w:r>
      <w:r w:rsidRPr="00D9597E">
        <w:instrText xml:space="preserve"> REF _Ref446405872 \r \h </w:instrText>
      </w:r>
      <w:r w:rsidRPr="00D9597E">
        <w:fldChar w:fldCharType="separate"/>
      </w:r>
      <w:r w:rsidR="003F1AAB">
        <w:t>H.5.1</w:t>
      </w:r>
      <w:r w:rsidRPr="00D9597E">
        <w:fldChar w:fldCharType="end"/>
      </w:r>
      <w:r w:rsidRPr="00D9597E">
        <w:t xml:space="preserve">) and how the concept of a benchmark efficient entity interacts with the ARORO (section </w:t>
      </w:r>
      <w:r w:rsidRPr="00D9597E">
        <w:fldChar w:fldCharType="begin"/>
      </w:r>
      <w:r w:rsidRPr="00D9597E">
        <w:instrText xml:space="preserve"> REF _Ref447803806 \r \h </w:instrText>
      </w:r>
      <w:r w:rsidRPr="00D9597E">
        <w:fldChar w:fldCharType="separate"/>
      </w:r>
      <w:r w:rsidR="003F1AAB">
        <w:t>H.5.2</w:t>
      </w:r>
      <w:r w:rsidRPr="00D9597E">
        <w:fldChar w:fldCharType="end"/>
      </w:r>
      <w:r w:rsidRPr="00D9597E">
        <w:t>).</w:t>
      </w:r>
    </w:p>
    <w:p w:rsidR="00312F8A" w:rsidRPr="00D9597E" w:rsidRDefault="00312F8A" w:rsidP="00312F8A">
      <w:pPr>
        <w:pStyle w:val="AERbulletlistfirststyle"/>
      </w:pPr>
      <w:r>
        <w:t>S</w:t>
      </w:r>
      <w:r w:rsidRPr="00D9597E">
        <w:t xml:space="preserve">ection </w:t>
      </w:r>
      <w:r w:rsidRPr="00D9597E">
        <w:fldChar w:fldCharType="begin"/>
      </w:r>
      <w:r w:rsidRPr="00D9597E">
        <w:instrText xml:space="preserve"> REF _Ref444778432 \r \h </w:instrText>
      </w:r>
      <w:r w:rsidRPr="00D9597E">
        <w:fldChar w:fldCharType="separate"/>
      </w:r>
      <w:r w:rsidR="003F1AAB">
        <w:t>H.6</w:t>
      </w:r>
      <w:r w:rsidRPr="00D9597E">
        <w:fldChar w:fldCharType="end"/>
      </w:r>
      <w:r w:rsidRPr="00D9597E">
        <w:t xml:space="preserve"> sets out what is required for us to form an allowed return on debt that contributes to the achievement of the ARORO. This includes: </w:t>
      </w:r>
    </w:p>
    <w:p w:rsidR="00312F8A" w:rsidRDefault="00312F8A" w:rsidP="00312F8A">
      <w:pPr>
        <w:pStyle w:val="AERbulletlistsecondstyle"/>
      </w:pPr>
      <w:r>
        <w:t xml:space="preserve">section </w:t>
      </w:r>
      <w:r>
        <w:fldChar w:fldCharType="begin"/>
      </w:r>
      <w:r>
        <w:instrText xml:space="preserve"> REF _Ref446603900 \r \h  \* MERGEFORMAT </w:instrText>
      </w:r>
      <w:r>
        <w:fldChar w:fldCharType="separate"/>
      </w:r>
      <w:r w:rsidR="003F1AAB">
        <w:t>H.6.1</w:t>
      </w:r>
      <w:r>
        <w:fldChar w:fldCharType="end"/>
      </w:r>
      <w:r>
        <w:t>—the need to provide ex-ante compensation for efficient financing costs (ex-ante efficient compensation) as opposed to providing compensation for historically incurred costs</w:t>
      </w:r>
    </w:p>
    <w:p w:rsidR="00312F8A" w:rsidRDefault="00312F8A" w:rsidP="00312F8A">
      <w:pPr>
        <w:pStyle w:val="AERbulletlistsecondstyle"/>
      </w:pPr>
      <w:r>
        <w:t xml:space="preserve">section </w:t>
      </w:r>
      <w:r>
        <w:fldChar w:fldCharType="begin"/>
      </w:r>
      <w:r>
        <w:instrText xml:space="preserve"> REF _Ref447803918 \r \h </w:instrText>
      </w:r>
      <w:r>
        <w:fldChar w:fldCharType="separate"/>
      </w:r>
      <w:r w:rsidR="003F1AAB">
        <w:t>H.6.2</w:t>
      </w:r>
      <w:r>
        <w:fldChar w:fldCharType="end"/>
      </w:r>
      <w:r>
        <w:t xml:space="preserve">—why we consider our approach is consistent with the </w:t>
      </w:r>
      <w:r w:rsidRPr="000E6F19">
        <w:t>National Electricity Law /National Gas Law</w:t>
      </w:r>
      <w:r>
        <w:t xml:space="preserve"> (NEL/NGL) </w:t>
      </w:r>
    </w:p>
    <w:p w:rsidR="00312F8A" w:rsidRDefault="00312F8A" w:rsidP="00312F8A">
      <w:pPr>
        <w:pStyle w:val="AERbulletlistsecondstyle"/>
      </w:pPr>
      <w:proofErr w:type="gramStart"/>
      <w:r>
        <w:t>section</w:t>
      </w:r>
      <w:proofErr w:type="gramEnd"/>
      <w:r>
        <w:t xml:space="preserve"> </w:t>
      </w:r>
      <w:r>
        <w:fldChar w:fldCharType="begin"/>
      </w:r>
      <w:r>
        <w:instrText xml:space="preserve"> REF _Ref447803924 \r \h </w:instrText>
      </w:r>
      <w:r>
        <w:fldChar w:fldCharType="separate"/>
      </w:r>
      <w:r w:rsidR="003F1AAB">
        <w:t>H.6.3</w:t>
      </w:r>
      <w:r>
        <w:fldChar w:fldCharType="end"/>
      </w:r>
      <w:r>
        <w:t>—why we consider a revenue-neutral transition (in a present value sense) is required if there is a change in the methodology (or approach) for estimating the allowed return on debt (assuming that both methodologies can achieve the ARORO but produce different estimates at a given point in time).</w:t>
      </w:r>
    </w:p>
    <w:p w:rsidR="00312F8A" w:rsidRPr="00D9597E" w:rsidRDefault="00312F8A" w:rsidP="00312F8A">
      <w:pPr>
        <w:pStyle w:val="AERbulletlistfirststyle"/>
      </w:pPr>
      <w:r>
        <w:t xml:space="preserve">Section </w:t>
      </w:r>
      <w:r w:rsidRPr="00D9597E">
        <w:fldChar w:fldCharType="begin"/>
      </w:r>
      <w:r w:rsidRPr="00D9597E">
        <w:instrText xml:space="preserve"> REF _Ref444767739 \r \h </w:instrText>
      </w:r>
      <w:r w:rsidRPr="00D9597E">
        <w:fldChar w:fldCharType="separate"/>
      </w:r>
      <w:r w:rsidR="003F1AAB">
        <w:t>H.7</w:t>
      </w:r>
      <w:r w:rsidRPr="00D9597E">
        <w:fldChar w:fldCharType="end"/>
      </w:r>
      <w:r w:rsidRPr="00D9597E">
        <w:t xml:space="preserve"> analyses the on-the-day and trailing average approaches to establish the extent these approaches can contribute to the achievement of the ARORO.</w:t>
      </w:r>
    </w:p>
    <w:p w:rsidR="00312F8A" w:rsidRPr="00D9597E" w:rsidRDefault="00312F8A" w:rsidP="00312F8A">
      <w:pPr>
        <w:pStyle w:val="AERbulletlistfirststyle"/>
      </w:pPr>
      <w:r>
        <w:t xml:space="preserve">Section </w:t>
      </w:r>
      <w:r w:rsidRPr="00D9597E">
        <w:fldChar w:fldCharType="begin"/>
      </w:r>
      <w:r w:rsidRPr="00D9597E">
        <w:instrText xml:space="preserve"> REF _Ref447538284 \r \h </w:instrText>
      </w:r>
      <w:r w:rsidRPr="00D9597E">
        <w:fldChar w:fldCharType="separate"/>
      </w:r>
      <w:r w:rsidR="003F1AAB">
        <w:t>H.8</w:t>
      </w:r>
      <w:r w:rsidRPr="00D9597E">
        <w:fldChar w:fldCharType="end"/>
      </w:r>
      <w:r w:rsidRPr="00D9597E">
        <w:t xml:space="preserve"> establishes why a full transition can contribute to the achievement of the ARORO when moving from an on-the-day to a trailing average approach.</w:t>
      </w:r>
    </w:p>
    <w:p w:rsidR="00312F8A" w:rsidRDefault="00312F8A" w:rsidP="00312F8A">
      <w:pPr>
        <w:pStyle w:val="AERbulletlistfirststyle"/>
      </w:pPr>
      <w:r>
        <w:t xml:space="preserve">Section </w:t>
      </w:r>
      <w:r w:rsidRPr="00D9597E">
        <w:fldChar w:fldCharType="begin"/>
      </w:r>
      <w:r w:rsidRPr="00D9597E">
        <w:instrText xml:space="preserve"> REF _Ref447266532 \r \h </w:instrText>
      </w:r>
      <w:r w:rsidRPr="00D9597E">
        <w:fldChar w:fldCharType="separate"/>
      </w:r>
      <w:r w:rsidR="003F1AAB">
        <w:t>H.9</w:t>
      </w:r>
      <w:r w:rsidRPr="00D9597E">
        <w:fldChar w:fldCharType="end"/>
      </w:r>
      <w:r w:rsidRPr="00D9597E">
        <w:t xml:space="preserve"> explains why an immediate (or hybrid) transition will not achieve the ARORO given current interest rates relative to historical interest rates. </w:t>
      </w:r>
    </w:p>
    <w:p w:rsidR="00312F8A" w:rsidRDefault="00312F8A" w:rsidP="00312F8A">
      <w:pPr>
        <w:pStyle w:val="AERbulletlistfirststyle"/>
      </w:pPr>
      <w:r>
        <w:t xml:space="preserve">This section also explains why, to achieve the ARORO, the on-the-day approach should continue if there is no revenue-neutral transition from the current on the day approach. </w:t>
      </w:r>
    </w:p>
    <w:p w:rsidR="00312F8A" w:rsidRDefault="00312F8A" w:rsidP="00312F8A">
      <w:pPr>
        <w:pStyle w:val="Heading8"/>
      </w:pPr>
      <w:bookmarkStart w:id="326" w:name="_Ref447803792"/>
      <w:bookmarkStart w:id="327" w:name="_Toc452629091"/>
      <w:bookmarkStart w:id="328" w:name="_Toc456686756"/>
      <w:r>
        <w:t>Interpretation of the ARORO</w:t>
      </w:r>
      <w:bookmarkEnd w:id="326"/>
      <w:bookmarkEnd w:id="327"/>
      <w:bookmarkEnd w:id="328"/>
    </w:p>
    <w:p w:rsidR="00312F8A" w:rsidRDefault="00312F8A" w:rsidP="00312F8A">
      <w:r>
        <w:t xml:space="preserve">The ARORO provides that </w:t>
      </w:r>
      <w:r w:rsidRPr="00580692">
        <w:t xml:space="preserve">the rate of return for a </w:t>
      </w:r>
      <w:r>
        <w:t>service p</w:t>
      </w:r>
      <w:r w:rsidRPr="00580692">
        <w:t xml:space="preserve">rovider is to be commensurate with the efficient financing costs of a benchmark efficient entity with a similar degree of risk as that which applies to the </w:t>
      </w:r>
      <w:r>
        <w:t>service p</w:t>
      </w:r>
      <w:r w:rsidRPr="00580692">
        <w:t>rovider in respect of the provision of standard control</w:t>
      </w:r>
      <w:r>
        <w:t>, prescribed transmission or reference</w:t>
      </w:r>
      <w:r w:rsidRPr="00580692">
        <w:t xml:space="preserve"> services</w:t>
      </w:r>
      <w:r>
        <w:t xml:space="preserve"> (regulated services).</w:t>
      </w:r>
      <w:r>
        <w:rPr>
          <w:rStyle w:val="FootnoteReference"/>
        </w:rPr>
        <w:footnoteReference w:id="1014"/>
      </w:r>
      <w:r>
        <w:t xml:space="preserve"> Given this, applying the ARORO requires an understanding of:</w:t>
      </w:r>
    </w:p>
    <w:p w:rsidR="00312F8A" w:rsidRDefault="00312F8A" w:rsidP="00312F8A">
      <w:pPr>
        <w:pStyle w:val="AERbulletlistfirststyle"/>
      </w:pPr>
      <w:r>
        <w:t>efficient financing costs</w:t>
      </w:r>
    </w:p>
    <w:p w:rsidR="00312F8A" w:rsidRPr="00D9597E" w:rsidRDefault="00312F8A" w:rsidP="00312F8A">
      <w:pPr>
        <w:pStyle w:val="AERbulletlistfirststyle"/>
      </w:pPr>
      <w:proofErr w:type="gramStart"/>
      <w:r>
        <w:t>the</w:t>
      </w:r>
      <w:proofErr w:type="gramEnd"/>
      <w:r w:rsidRPr="00D9597E">
        <w:t xml:space="preserve"> degree of risk that applies to a benchmark efficient service provider in respect of the provision of regulated services.</w:t>
      </w:r>
    </w:p>
    <w:p w:rsidR="00312F8A" w:rsidRDefault="00312F8A" w:rsidP="00312F8A">
      <w:r>
        <w:t>We elaborate on these components of the ARORO in the following sections.</w:t>
      </w:r>
    </w:p>
    <w:p w:rsidR="00312F8A" w:rsidRDefault="00312F8A" w:rsidP="00312F8A">
      <w:pPr>
        <w:pStyle w:val="Heading9"/>
      </w:pPr>
      <w:bookmarkStart w:id="329" w:name="_Ref446405872"/>
      <w:bookmarkStart w:id="330" w:name="_Toc452629092"/>
      <w:bookmarkStart w:id="331" w:name="_Toc456686757"/>
      <w:r>
        <w:t>Efficient financing costs</w:t>
      </w:r>
      <w:bookmarkEnd w:id="329"/>
      <w:bookmarkEnd w:id="330"/>
      <w:bookmarkEnd w:id="331"/>
      <w:r>
        <w:t xml:space="preserve"> </w:t>
      </w:r>
    </w:p>
    <w:p w:rsidR="00312F8A" w:rsidRPr="006757DF" w:rsidRDefault="00312F8A" w:rsidP="00312F8A">
      <w:pPr>
        <w:numPr>
          <w:ilvl w:val="0"/>
          <w:numId w:val="25"/>
        </w:numPr>
      </w:pPr>
      <w:r w:rsidRPr="00362018">
        <w:t xml:space="preserve">The ARORO </w:t>
      </w:r>
      <w:r>
        <w:t>provides for</w:t>
      </w:r>
      <w:r w:rsidRPr="00362018">
        <w:t xml:space="preserve"> a rate of return commensurate with the efficient financing costs of a benchmark efficient entity with a similar degree of risk as that which applies to the service provider in respect of the provision </w:t>
      </w:r>
      <w:r>
        <w:t xml:space="preserve">of </w:t>
      </w:r>
      <w:r w:rsidRPr="00362018">
        <w:t xml:space="preserve">regulated services. </w:t>
      </w:r>
      <w:r>
        <w:t>Given this, it is important to understand efficient financing costs.</w:t>
      </w:r>
      <w:r w:rsidRPr="00C35758">
        <w:rPr>
          <w:rStyle w:val="FootnoteReference"/>
        </w:rPr>
        <w:t xml:space="preserve"> </w:t>
      </w:r>
    </w:p>
    <w:p w:rsidR="00312F8A" w:rsidRDefault="00312F8A" w:rsidP="00312F8A">
      <w:pPr>
        <w:numPr>
          <w:ilvl w:val="0"/>
          <w:numId w:val="25"/>
        </w:numPr>
      </w:pPr>
      <w:r>
        <w:t xml:space="preserve">Economists typically think of efficiency in three dimensions: productive, allocative and dynamic. </w:t>
      </w:r>
      <w:r>
        <w:fldChar w:fldCharType="begin"/>
      </w:r>
      <w:r>
        <w:instrText xml:space="preserve"> REF _Ref447803361 \h </w:instrText>
      </w:r>
      <w:r>
        <w:fldChar w:fldCharType="separate"/>
      </w:r>
      <w:r w:rsidR="003F1AAB">
        <w:t xml:space="preserve">Table </w:t>
      </w:r>
      <w:r w:rsidR="003F1AAB">
        <w:rPr>
          <w:noProof/>
        </w:rPr>
        <w:t>3</w:t>
      </w:r>
      <w:r w:rsidR="003F1AAB">
        <w:noBreakHyphen/>
      </w:r>
      <w:r w:rsidR="003F1AAB">
        <w:rPr>
          <w:noProof/>
        </w:rPr>
        <w:t>35</w:t>
      </w:r>
      <w:r>
        <w:fldChar w:fldCharType="end"/>
      </w:r>
      <w:r>
        <w:t xml:space="preserve"> sets out how this applies in the context of debt financing.</w:t>
      </w:r>
    </w:p>
    <w:p w:rsidR="00312F8A" w:rsidRDefault="00312F8A" w:rsidP="00312F8A">
      <w:pPr>
        <w:pStyle w:val="Caption"/>
      </w:pPr>
      <w:bookmarkStart w:id="332" w:name="_Ref447803361"/>
      <w:r>
        <w:t xml:space="preserve">Table </w:t>
      </w:r>
      <w:fldSimple w:instr=" STYLEREF 1 \s ">
        <w:r w:rsidR="003F1AAB">
          <w:rPr>
            <w:noProof/>
          </w:rPr>
          <w:t>3</w:t>
        </w:r>
      </w:fldSimple>
      <w:r>
        <w:noBreakHyphen/>
      </w:r>
      <w:fldSimple w:instr=" SEQ Table \* ARABIC \s 1 ">
        <w:r w:rsidR="003F1AAB">
          <w:rPr>
            <w:noProof/>
          </w:rPr>
          <w:t>35</w:t>
        </w:r>
      </w:fldSimple>
      <w:bookmarkEnd w:id="332"/>
      <w:r>
        <w:tab/>
        <w:t>Application of economic efficiency to debt financing</w:t>
      </w:r>
    </w:p>
    <w:tbl>
      <w:tblPr>
        <w:tblStyle w:val="AERtable-text0"/>
        <w:tblW w:w="5000" w:type="pct"/>
        <w:tblLook w:val="04A0" w:firstRow="1" w:lastRow="0" w:firstColumn="1" w:lastColumn="0" w:noHBand="0" w:noVBand="1"/>
      </w:tblPr>
      <w:tblGrid>
        <w:gridCol w:w="1382"/>
        <w:gridCol w:w="4114"/>
        <w:gridCol w:w="3197"/>
      </w:tblGrid>
      <w:tr w:rsidR="00312F8A" w:rsidRPr="00B814E2" w:rsidTr="00E42A91">
        <w:trPr>
          <w:cnfStyle w:val="100000000000" w:firstRow="1" w:lastRow="0" w:firstColumn="0" w:lastColumn="0" w:oddVBand="0" w:evenVBand="0" w:oddHBand="0" w:evenHBand="0" w:firstRowFirstColumn="0" w:firstRowLastColumn="0" w:lastRowFirstColumn="0" w:lastRowLastColumn="0"/>
        </w:trPr>
        <w:tc>
          <w:tcPr>
            <w:tcW w:w="795" w:type="pct"/>
          </w:tcPr>
          <w:p w:rsidR="00312F8A" w:rsidRPr="00312F8A" w:rsidRDefault="00312F8A" w:rsidP="00312F8A">
            <w:r w:rsidRPr="00B814E2">
              <w:t>Dimension of efficiency</w:t>
            </w:r>
          </w:p>
        </w:tc>
        <w:tc>
          <w:tcPr>
            <w:tcW w:w="2366" w:type="pct"/>
          </w:tcPr>
          <w:p w:rsidR="00312F8A" w:rsidRPr="00312F8A" w:rsidRDefault="00312F8A" w:rsidP="00312F8A">
            <w:r w:rsidRPr="00B814E2">
              <w:t>Economic meaning</w:t>
            </w:r>
            <w:r w:rsidRPr="00312F8A">
              <w:rPr>
                <w:rStyle w:val="AERsuperscript"/>
              </w:rPr>
              <w:footnoteReference w:id="1015"/>
            </w:r>
          </w:p>
        </w:tc>
        <w:tc>
          <w:tcPr>
            <w:tcW w:w="1839" w:type="pct"/>
          </w:tcPr>
          <w:p w:rsidR="00312F8A" w:rsidRPr="00312F8A" w:rsidRDefault="00312F8A" w:rsidP="00312F8A">
            <w:r w:rsidRPr="00B814E2">
              <w:t>Application to debt financing</w:t>
            </w:r>
            <w:r w:rsidRPr="00312F8A">
              <w:rPr>
                <w:rStyle w:val="AERsuperscript"/>
              </w:rPr>
              <w:footnoteReference w:id="1016"/>
            </w:r>
          </w:p>
        </w:tc>
      </w:tr>
      <w:tr w:rsidR="00312F8A" w:rsidRPr="00B814E2" w:rsidTr="00E42A91">
        <w:tc>
          <w:tcPr>
            <w:tcW w:w="795" w:type="pct"/>
          </w:tcPr>
          <w:p w:rsidR="00312F8A" w:rsidRPr="00D9597E" w:rsidRDefault="00312F8A" w:rsidP="00312F8A">
            <w:r w:rsidRPr="00D9597E">
              <w:t>Productive efficiency</w:t>
            </w:r>
          </w:p>
        </w:tc>
        <w:tc>
          <w:tcPr>
            <w:tcW w:w="2366" w:type="pct"/>
          </w:tcPr>
          <w:p w:rsidR="00312F8A" w:rsidRPr="00D9597E" w:rsidRDefault="00312F8A" w:rsidP="00312F8A">
            <w:r w:rsidRPr="00D9597E">
              <w:t>Achieved when output is produced at minimum cost. This occurs where no more output can be produced given the resources available, that is, the economy is on its production possibility frontier. Productive efficiency incorporates technical efficiency. This refers to the extent that it is technically feasible to reduce any input without decreasing the output or increasing any other input.</w:t>
            </w:r>
          </w:p>
        </w:tc>
        <w:tc>
          <w:tcPr>
            <w:tcW w:w="1839" w:type="pct"/>
          </w:tcPr>
          <w:p w:rsidR="00312F8A" w:rsidRPr="00312F8A" w:rsidRDefault="00312F8A" w:rsidP="00312F8A">
            <w:r w:rsidRPr="00D9597E">
              <w:t>Refers to least cost financing (that is, the lowest required return on debt) subject to any constraints, such as risk</w:t>
            </w:r>
            <w:r w:rsidRPr="00312F8A">
              <w:t>. For our determinations to be productively efficient we need to incentivise service providers to seek the lowest cost financing (all else being equal).</w:t>
            </w:r>
            <w:r w:rsidRPr="00312F8A">
              <w:rPr>
                <w:rStyle w:val="AERbody"/>
              </w:rPr>
              <w:t xml:space="preserve"> </w:t>
            </w:r>
          </w:p>
        </w:tc>
      </w:tr>
      <w:tr w:rsidR="00312F8A" w:rsidRPr="00B814E2" w:rsidTr="00E42A91">
        <w:trPr>
          <w:cnfStyle w:val="000000010000" w:firstRow="0" w:lastRow="0" w:firstColumn="0" w:lastColumn="0" w:oddVBand="0" w:evenVBand="0" w:oddHBand="0" w:evenHBand="1" w:firstRowFirstColumn="0" w:firstRowLastColumn="0" w:lastRowFirstColumn="0" w:lastRowLastColumn="0"/>
        </w:trPr>
        <w:tc>
          <w:tcPr>
            <w:tcW w:w="795" w:type="pct"/>
          </w:tcPr>
          <w:p w:rsidR="00312F8A" w:rsidRPr="00312F8A" w:rsidRDefault="00312F8A" w:rsidP="00312F8A">
            <w:r w:rsidRPr="00D9597E">
              <w:t>Allocative efficiency</w:t>
            </w:r>
          </w:p>
        </w:tc>
        <w:tc>
          <w:tcPr>
            <w:tcW w:w="2366" w:type="pct"/>
          </w:tcPr>
          <w:p w:rsidR="00312F8A" w:rsidRPr="00312F8A" w:rsidRDefault="00312F8A" w:rsidP="00312F8A">
            <w:r w:rsidRPr="00D9597E">
              <w:t>Achieved when the community gets the greatest return (or utility) from its scarce resources.</w:t>
            </w:r>
          </w:p>
        </w:tc>
        <w:tc>
          <w:tcPr>
            <w:tcW w:w="1839" w:type="pct"/>
          </w:tcPr>
          <w:p w:rsidR="00312F8A" w:rsidRPr="00312F8A" w:rsidRDefault="00312F8A" w:rsidP="00312F8A">
            <w:r>
              <w:t xml:space="preserve">Allocative </w:t>
            </w:r>
            <w:r w:rsidRPr="00312F8A">
              <w:t>efficiency can be achieved by setting an allowed return consistent with the expected return in the competitive capital market (determined by demand and supply) for an investment of similar degree of risk as a service provider supplying regulated services.</w:t>
            </w:r>
          </w:p>
        </w:tc>
      </w:tr>
      <w:tr w:rsidR="00312F8A" w:rsidRPr="00B814E2" w:rsidTr="00E42A91">
        <w:tc>
          <w:tcPr>
            <w:tcW w:w="795" w:type="pct"/>
          </w:tcPr>
          <w:p w:rsidR="00312F8A" w:rsidRPr="00312F8A" w:rsidRDefault="00312F8A" w:rsidP="00312F8A">
            <w:r w:rsidRPr="00D9597E">
              <w:t>Dynamic efficiency</w:t>
            </w:r>
          </w:p>
        </w:tc>
        <w:tc>
          <w:tcPr>
            <w:tcW w:w="2366" w:type="pct"/>
          </w:tcPr>
          <w:p w:rsidR="00312F8A" w:rsidRPr="00312F8A" w:rsidRDefault="00312F8A" w:rsidP="00312F8A">
            <w:r w:rsidRPr="00D9597E">
              <w:t>Refers to the allocation of resources over time, including allocations designed to improve economic efficiency and to generate more resources. This can mean finding better products and better ways of producing goods and services.</w:t>
            </w:r>
          </w:p>
        </w:tc>
        <w:tc>
          <w:tcPr>
            <w:tcW w:w="1839" w:type="pct"/>
          </w:tcPr>
          <w:p w:rsidR="00312F8A" w:rsidRPr="00312F8A" w:rsidRDefault="00312F8A" w:rsidP="00312F8A">
            <w:r w:rsidRPr="00D9597E">
              <w:t>Refers to the existence of appropriate investment incentives</w:t>
            </w:r>
            <w:r w:rsidRPr="00312F8A">
              <w:t xml:space="preserve">. We can encourage dynamic efficiency by setting an allowance that does not distort investment decisions. Dynamic efficiency is advanced through incentive regulation rather than cost of service regulation that compensates a service provider for its actual costs no matter how inefficient. </w:t>
            </w:r>
          </w:p>
        </w:tc>
      </w:tr>
    </w:tbl>
    <w:p w:rsidR="00312F8A" w:rsidRDefault="00312F8A" w:rsidP="00312F8A">
      <w:pPr>
        <w:pStyle w:val="AERtablesource"/>
      </w:pPr>
      <w:r>
        <w:t>Source:</w:t>
      </w:r>
      <w:r>
        <w:tab/>
        <w:t xml:space="preserve">AER analysis; Productivity Commission, </w:t>
      </w:r>
      <w:r w:rsidRPr="00B814E2">
        <w:rPr>
          <w:rStyle w:val="AERtextitalic"/>
        </w:rPr>
        <w:t>On efficiency and effectiveness: Some definitions</w:t>
      </w:r>
      <w:r>
        <w:t xml:space="preserve">, May 2013; AER, </w:t>
      </w:r>
      <w:r w:rsidRPr="006757DF">
        <w:rPr>
          <w:rStyle w:val="AERtextitalic"/>
        </w:rPr>
        <w:t>Better regulation: Rate of return guidelines consultation paper</w:t>
      </w:r>
      <w:r>
        <w:t>, May 2013.</w:t>
      </w:r>
    </w:p>
    <w:p w:rsidR="00312F8A" w:rsidRDefault="00312F8A" w:rsidP="00312F8A">
      <w:pPr>
        <w:numPr>
          <w:ilvl w:val="0"/>
          <w:numId w:val="25"/>
        </w:numPr>
      </w:pPr>
      <w:r>
        <w:t xml:space="preserve">Because </w:t>
      </w:r>
      <w:r w:rsidRPr="00EE36F1">
        <w:t xml:space="preserve">the market for capital finance is competitive, </w:t>
      </w:r>
      <w:r>
        <w:t>a</w:t>
      </w:r>
      <w:r w:rsidRPr="00EE36F1">
        <w:t xml:space="preserve"> benchmark efficient entity </w:t>
      </w:r>
      <w:r>
        <w:t xml:space="preserve">is expected to </w:t>
      </w:r>
      <w:r w:rsidRPr="00EE36F1">
        <w:t>face competitive prices in the market for funds.</w:t>
      </w:r>
      <w:r>
        <w:t xml:space="preserve"> Therefore, we consider efficient debt financing costs are reflected in the prevailing cost of debt observed in capital markets</w:t>
      </w:r>
      <w:r w:rsidRPr="00EE36F1">
        <w:t xml:space="preserve"> </w:t>
      </w:r>
      <w:r>
        <w:t>for an investment with a similar degree of risk as that which applies to a service provider in respect of the provision of regulated services.</w:t>
      </w:r>
      <w:r>
        <w:rPr>
          <w:rStyle w:val="FootnoteReference"/>
        </w:rPr>
        <w:footnoteReference w:id="1017"/>
      </w:r>
      <w:r>
        <w:t xml:space="preserve"> </w:t>
      </w:r>
      <w:r w:rsidRPr="00EE36F1">
        <w:t>As Alfred Kahn stated:</w:t>
      </w:r>
      <w:r>
        <w:rPr>
          <w:rStyle w:val="FootnoteReference"/>
        </w:rPr>
        <w:footnoteReference w:id="1018"/>
      </w:r>
    </w:p>
    <w:p w:rsidR="00312F8A" w:rsidRDefault="00312F8A" w:rsidP="00312F8A">
      <w:pPr>
        <w:pStyle w:val="AERquote"/>
      </w:pPr>
      <w:r w:rsidRPr="00EE36F1">
        <w:t>The public utility company competes with all other companies in the economy for the various inputs of its production process—for labour, materials, and capital. To the extent that these are supplied in open markets (instead of, for example, under negotiated bids), in principle there ought to be readily available objective measures of the prices of these inputs that have to be incorporated in the cost of service. This is clearly true of the capital input: 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p>
    <w:p w:rsidR="00312F8A" w:rsidRDefault="00312F8A" w:rsidP="00312F8A">
      <w:pPr>
        <w:numPr>
          <w:ilvl w:val="0"/>
          <w:numId w:val="25"/>
        </w:numPr>
      </w:pPr>
      <w:r>
        <w:t>Similarly, Associate Professor Graham Partington and Professor Stephen Satchell (Partington and Satchell) interpret efficient financing costs as the opportunity cost of capital, which is a market rate of return for assets with a given level of risk.</w:t>
      </w:r>
      <w:r>
        <w:rPr>
          <w:rStyle w:val="FootnoteReference"/>
        </w:rPr>
        <w:footnoteReference w:id="1019"/>
      </w:r>
      <w:r>
        <w:t xml:space="preserve"> They advise the opportunity cost of debt is generally measured using the (appropriately benchmarked) yield to maturity.</w:t>
      </w:r>
      <w:r>
        <w:rPr>
          <w:rStyle w:val="FootnoteReference"/>
        </w:rPr>
        <w:footnoteReference w:id="1020"/>
      </w:r>
      <w:r>
        <w:t xml:space="preserve"> They also consider our use of a benchmark BBB+ credit rating and ten year term is appropriate.</w:t>
      </w:r>
      <w:r>
        <w:rPr>
          <w:rStyle w:val="FootnoteReference"/>
        </w:rPr>
        <w:footnoteReference w:id="1021"/>
      </w:r>
    </w:p>
    <w:p w:rsidR="00312F8A" w:rsidRDefault="00312F8A" w:rsidP="00312F8A">
      <w:pPr>
        <w:numPr>
          <w:ilvl w:val="0"/>
          <w:numId w:val="25"/>
        </w:numPr>
      </w:pPr>
      <w:r>
        <w:t xml:space="preserve">We consider that productive, allocative and dynamic efficiency are advanced by employing a return on debt that reflects prevailing rates in the market for funds. This will also promote the long term interests of consumers in line with the </w:t>
      </w:r>
      <w:r w:rsidRPr="00C917D3">
        <w:t xml:space="preserve">National Electricity Objective / National Gas Objective </w:t>
      </w:r>
      <w:r>
        <w:t>(NEO/NGO).</w:t>
      </w:r>
      <w:r w:rsidRPr="00E64F99">
        <w:rPr>
          <w:rStyle w:val="FootnoteReference"/>
        </w:rPr>
        <w:footnoteReference w:id="1022"/>
      </w:r>
      <w:r>
        <w:t xml:space="preserve"> </w:t>
      </w:r>
    </w:p>
    <w:p w:rsidR="00312F8A" w:rsidRDefault="00312F8A" w:rsidP="00312F8A">
      <w:pPr>
        <w:pStyle w:val="Heading9"/>
      </w:pPr>
      <w:bookmarkStart w:id="333" w:name="_Ref447803806"/>
      <w:bookmarkStart w:id="334" w:name="_Toc452629093"/>
      <w:bookmarkStart w:id="335" w:name="_Toc456686758"/>
      <w:r>
        <w:t>Benchmark efficient entity</w:t>
      </w:r>
      <w:bookmarkEnd w:id="333"/>
      <w:bookmarkEnd w:id="334"/>
      <w:bookmarkEnd w:id="335"/>
    </w:p>
    <w:p w:rsidR="00312F8A" w:rsidRDefault="00312F8A" w:rsidP="00312F8A">
      <w:r w:rsidRPr="004B76DC">
        <w:t xml:space="preserve">We consider a benchmark efficient entity would be 'a pure play, regulated energy network business operating within Australia'. This </w:t>
      </w:r>
      <w:r>
        <w:t>has been adopted in:</w:t>
      </w:r>
    </w:p>
    <w:p w:rsidR="00312F8A" w:rsidRPr="00D9597E" w:rsidRDefault="00312F8A" w:rsidP="00312F8A">
      <w:pPr>
        <w:pStyle w:val="AERbulletlistfirststyle"/>
      </w:pPr>
      <w:r>
        <w:t xml:space="preserve">The </w:t>
      </w:r>
      <w:r w:rsidRPr="00D9597E">
        <w:t>rate of return guidelines published in December 2013 (the Guideline).</w:t>
      </w:r>
      <w:r w:rsidRPr="00D9597E">
        <w:rPr>
          <w:rStyle w:val="FootnoteReference"/>
        </w:rPr>
        <w:footnoteReference w:id="1023"/>
      </w:r>
      <w:r w:rsidRPr="00D9597E">
        <w:t xml:space="preserve"> It is worth noting that while some service providers raised concerns with this during the Guideline development process, none objected to a notion that' a benchmark efficient entity' as referenced in the ARORO, would be an entity providing regulated services.</w:t>
      </w:r>
      <w:r w:rsidRPr="00D9597E">
        <w:rPr>
          <w:rStyle w:val="FootnoteReference"/>
        </w:rPr>
        <w:footnoteReference w:id="1024"/>
      </w:r>
      <w:r w:rsidRPr="00D9597E">
        <w:t xml:space="preserve"> To the contrary, stakeholders recognised that price and revenue caps had particular roles in mitigating risk as well as other features of the regulatory framework such as maintenance of the regulatory asset base.</w:t>
      </w:r>
      <w:r w:rsidRPr="00D9597E">
        <w:rPr>
          <w:rStyle w:val="FootnoteReference"/>
        </w:rPr>
        <w:footnoteReference w:id="1025"/>
      </w:r>
    </w:p>
    <w:p w:rsidR="00312F8A" w:rsidRPr="00D9597E" w:rsidRDefault="00312F8A" w:rsidP="00312F8A">
      <w:pPr>
        <w:pStyle w:val="AERbulletlistfirststyle"/>
      </w:pPr>
      <w:r>
        <w:t xml:space="preserve">Our previous 2009 </w:t>
      </w:r>
      <w:r w:rsidRPr="00D9597E">
        <w:t>weighted average cost of capital (WACC) review.</w:t>
      </w:r>
      <w:r w:rsidRPr="00D9597E">
        <w:rPr>
          <w:rStyle w:val="FootnoteReference"/>
        </w:rPr>
        <w:footnoteReference w:id="1026"/>
      </w:r>
      <w:r w:rsidRPr="00D9597E">
        <w:t xml:space="preserve"> </w:t>
      </w:r>
    </w:p>
    <w:p w:rsidR="00312F8A" w:rsidRPr="00D9597E" w:rsidRDefault="00312F8A" w:rsidP="00312F8A">
      <w:pPr>
        <w:pStyle w:val="AERbulletlistfirststyle"/>
      </w:pPr>
      <w:r>
        <w:t>Our rate of return decisions following the publication of the Guideline.</w:t>
      </w:r>
      <w:r w:rsidRPr="00D9597E">
        <w:rPr>
          <w:rStyle w:val="FootnoteReference"/>
        </w:rPr>
        <w:footnoteReference w:id="1027"/>
      </w:r>
    </w:p>
    <w:p w:rsidR="00312F8A" w:rsidRPr="00D9597E" w:rsidRDefault="00312F8A" w:rsidP="00312F8A">
      <w:r w:rsidRPr="009D1BB8">
        <w:t xml:space="preserve">We have devoted considerable time to </w:t>
      </w:r>
      <w:r w:rsidRPr="00D9597E">
        <w:t xml:space="preserve">considering the characteristics of a benchmark efficient entity in </w:t>
      </w:r>
      <w:r>
        <w:t>the Guideline and this decision.</w:t>
      </w:r>
      <w:r w:rsidRPr="00D9597E">
        <w:t xml:space="preserve"> We consider a 'benchmark' is a reference point or standard against which performance of achievements can be assessed.</w:t>
      </w:r>
      <w:r w:rsidRPr="00D9597E">
        <w:rPr>
          <w:rStyle w:val="FootnoteReference"/>
        </w:rPr>
        <w:footnoteReference w:id="1028"/>
      </w:r>
      <w:r w:rsidRPr="00D9597E">
        <w:t xml:space="preserve"> For a benchmark to be useful, it must 'fairly and accurately represent the key attributes of the market segment or financial instrument in question’.</w:t>
      </w:r>
      <w:r w:rsidRPr="00D9597E">
        <w:rPr>
          <w:rStyle w:val="FootnoteReference"/>
        </w:rPr>
        <w:footnoteReference w:id="1029"/>
      </w:r>
      <w:r w:rsidRPr="00D9597E">
        <w:t xml:space="preserve"> As the AEMC recognised (underline added for emphasis):</w:t>
      </w:r>
      <w:r w:rsidRPr="00D9597E">
        <w:rPr>
          <w:rStyle w:val="FootnoteReference"/>
        </w:rPr>
        <w:footnoteReference w:id="1030"/>
      </w:r>
    </w:p>
    <w:p w:rsidR="00312F8A" w:rsidRDefault="00312F8A" w:rsidP="00312F8A">
      <w:pPr>
        <w:pStyle w:val="AERquote"/>
      </w:pPr>
      <w:r w:rsidRPr="009D1BB8">
        <w:t xml:space="preserve">In order to meet the NEO and the NGO, this [allowed rate of return] objective reflected the need for the rate of return to "correspond to" the efficient financing costs of a benchmark efficient entity, this entity being one </w:t>
      </w:r>
      <w:r w:rsidRPr="009D1BB8">
        <w:rPr>
          <w:rStyle w:val="AERtextunderline"/>
        </w:rPr>
        <w:t>with similar circumstances and degree of risk to the service provider</w:t>
      </w:r>
      <w:r>
        <w:t>.</w:t>
      </w:r>
    </w:p>
    <w:p w:rsidR="00312F8A" w:rsidRDefault="00312F8A" w:rsidP="00312F8A">
      <w:r>
        <w:t xml:space="preserve">It is important to note that a debate has now arisen, since the submission of proposals in the matters under consideration, as to whether </w:t>
      </w:r>
      <w:r w:rsidRPr="00E64F99">
        <w:t>a benchmark efficient entity would</w:t>
      </w:r>
      <w:r>
        <w:t xml:space="preserve"> necessarily</w:t>
      </w:r>
      <w:r w:rsidRPr="00E64F99">
        <w:t xml:space="preserve"> be unregulated</w:t>
      </w:r>
      <w:r>
        <w:t>. In their recent revised proposals, service providers submitted that</w:t>
      </w:r>
      <w:r w:rsidRPr="004B76DC">
        <w:t xml:space="preserve"> a benchmark efficient entity with a similar degree of risk in respect of the provision of regulated services must be an unregulated business.</w:t>
      </w:r>
      <w:r w:rsidRPr="004B76DC">
        <w:rPr>
          <w:rStyle w:val="FootnoteReference"/>
        </w:rPr>
        <w:footnoteReference w:id="1031"/>
      </w:r>
      <w:r w:rsidRPr="004B76DC">
        <w:t xml:space="preserve"> </w:t>
      </w:r>
      <w:r>
        <w:t>This followed the Tribunal hearing in an application for review of revenue determinations by Networks NSW, and ActewAGL which resulted in the Tribunal recently forming the view that a benchmark efficient entity referred to in the ARORO is likely not a regulated entity.</w:t>
      </w:r>
      <w:r>
        <w:rPr>
          <w:rStyle w:val="FootnoteReference"/>
        </w:rPr>
        <w:footnoteReference w:id="1032"/>
      </w:r>
      <w:r w:rsidRPr="00A157BA">
        <w:t xml:space="preserve"> </w:t>
      </w:r>
    </w:p>
    <w:p w:rsidR="00312F8A" w:rsidRDefault="00312F8A" w:rsidP="00312F8A">
      <w:r>
        <w:t>We did not consider this issue prior to the Tribunal's decision because it had not been raised substantively by any service provider.</w:t>
      </w:r>
      <w:r>
        <w:rPr>
          <w:rStyle w:val="FootnoteReference"/>
        </w:rPr>
        <w:footnoteReference w:id="1033"/>
      </w:r>
      <w:r>
        <w:t xml:space="preserve"> Consequently, the Tribunal did not have our fully formed view and reasoning before it when it considered this issue. We consider </w:t>
      </w:r>
      <w:r w:rsidRPr="00A157BA">
        <w:t xml:space="preserve">the </w:t>
      </w:r>
      <w:r>
        <w:t xml:space="preserve">Tribunal may have come to its position because </w:t>
      </w:r>
      <w:r w:rsidRPr="00A157BA">
        <w:t xml:space="preserve">it did not have </w:t>
      </w:r>
      <w:r>
        <w:t>our</w:t>
      </w:r>
      <w:r w:rsidRPr="00A157BA">
        <w:t xml:space="preserve"> fully formed argument</w:t>
      </w:r>
      <w:r>
        <w:t>s</w:t>
      </w:r>
      <w:r w:rsidRPr="00A157BA">
        <w:t xml:space="preserve"> before it. </w:t>
      </w:r>
      <w:r>
        <w:t>We intend to reconsider this issue fully when we undertake the remittal of the ACT and NSW DNSPs and JGN decisions. We base our analysis in this decision on the brief material submitted by ActewAGL and other service providers with coincident decisions.</w:t>
      </w:r>
    </w:p>
    <w:p w:rsidR="00312F8A" w:rsidRDefault="00312F8A" w:rsidP="00312F8A">
      <w:r>
        <w:t>After considering the material submitted in recent revised proposals, we maintain our view that the characteristic 'regulated' should be retained</w:t>
      </w:r>
      <w:r w:rsidRPr="004B76DC">
        <w:t xml:space="preserve"> for a benchmark efficient entity when carrying out our analyses.</w:t>
      </w:r>
      <w:r>
        <w:rPr>
          <w:rStyle w:val="FootnoteReference"/>
        </w:rPr>
        <w:footnoteReference w:id="1034"/>
      </w:r>
      <w:r>
        <w:t xml:space="preserve"> For our analysis, see 'elements of the ARORO' under section 3.3.3 of attachment three. </w:t>
      </w:r>
    </w:p>
    <w:p w:rsidR="00312F8A" w:rsidRDefault="00312F8A" w:rsidP="00312F8A">
      <w:r>
        <w:t>Regulation has a fundamental impact on the risk characteristics of a service provider in the provision of regulated services. Regulation provides a range of risk mitigation treatments that are unavailable to firms in competitive markets such as a revenue cap (or price cap), preservation of capital in a regulated asset base, pass through arrangements and shipwreck clauses.</w:t>
      </w:r>
      <w:r>
        <w:rPr>
          <w:rStyle w:val="FootnoteReference"/>
        </w:rPr>
        <w:footnoteReference w:id="1035"/>
      </w:r>
    </w:p>
    <w:p w:rsidR="00312F8A" w:rsidRDefault="00312F8A" w:rsidP="00312F8A">
      <w:r>
        <w:t xml:space="preserve">Nevertheless, even if a benchmark efficient entity was necessarily unregulated, we do not consider this would affect our conclusions. Our approach to the cost of debt would be applicable to an unregulated firm </w:t>
      </w:r>
      <w:r w:rsidRPr="007C426B">
        <w:t>if it had a similar degree of risk to the service provider in providing regulated services</w:t>
      </w:r>
      <w:r>
        <w:t xml:space="preserve">. Further, irrespective of whether a firm is regulated or not, efficient financing costs reflect the current (or prevailing) forward looking costs observed in capital markets. </w:t>
      </w:r>
    </w:p>
    <w:p w:rsidR="00312F8A" w:rsidRDefault="00312F8A" w:rsidP="00312F8A">
      <w:pPr>
        <w:pStyle w:val="Heading8"/>
      </w:pPr>
      <w:bookmarkStart w:id="336" w:name="_Ref444778432"/>
      <w:bookmarkStart w:id="337" w:name="_Toc452629094"/>
      <w:bookmarkStart w:id="338" w:name="_Toc456686759"/>
      <w:r>
        <w:t>Requirements under the ARORO</w:t>
      </w:r>
      <w:bookmarkEnd w:id="336"/>
      <w:bookmarkEnd w:id="337"/>
      <w:bookmarkEnd w:id="338"/>
    </w:p>
    <w:p w:rsidR="00312F8A" w:rsidRDefault="00312F8A" w:rsidP="00312F8A">
      <w:r>
        <w:t xml:space="preserve">The ARORO provides that </w:t>
      </w:r>
      <w:r w:rsidRPr="00580692">
        <w:t xml:space="preserve">the rate of return for a </w:t>
      </w:r>
      <w:r>
        <w:t>service p</w:t>
      </w:r>
      <w:r w:rsidRPr="00580692">
        <w:t xml:space="preserve">rovider is to be commensurate with the efficient financing costs of a benchmark efficient entity with a similar degree of risk as that which applies to the </w:t>
      </w:r>
      <w:r>
        <w:t>service p</w:t>
      </w:r>
      <w:r w:rsidRPr="00580692">
        <w:t xml:space="preserve">rovider in respect of the provision of </w:t>
      </w:r>
      <w:r>
        <w:t>regulated services.</w:t>
      </w:r>
      <w:r>
        <w:rPr>
          <w:rStyle w:val="FootnoteReference"/>
        </w:rPr>
        <w:footnoteReference w:id="1036"/>
      </w:r>
      <w:r>
        <w:t xml:space="preserve"> We consider this </w:t>
      </w:r>
      <w:r w:rsidRPr="00F21B32">
        <w:t>require</w:t>
      </w:r>
      <w:r>
        <w:t>s</w:t>
      </w:r>
      <w:r w:rsidRPr="00F21B32">
        <w:t xml:space="preserve"> </w:t>
      </w:r>
      <w:r>
        <w:t>us</w:t>
      </w:r>
      <w:r w:rsidRPr="00F21B32">
        <w:t xml:space="preserve"> to set an allowed rate of return that </w:t>
      </w:r>
      <w:r>
        <w:t>appropriately</w:t>
      </w:r>
      <w:r w:rsidRPr="00F21B32">
        <w:t xml:space="preserve"> compensates investors on their capital investments (in an ex-ante sense) and aims to minimise the long run cost of capital (all else </w:t>
      </w:r>
      <w:r>
        <w:t xml:space="preserve">being </w:t>
      </w:r>
      <w:r w:rsidRPr="00F21B32">
        <w:t>equal).</w:t>
      </w:r>
      <w:r w:rsidRPr="00F21B32">
        <w:rPr>
          <w:rStyle w:val="FootnoteReference"/>
        </w:rPr>
        <w:footnoteReference w:id="1037"/>
      </w:r>
      <w:r w:rsidRPr="00F21B32">
        <w:t xml:space="preserve"> By </w:t>
      </w:r>
      <w:r>
        <w:t xml:space="preserve">appropriate </w:t>
      </w:r>
      <w:r w:rsidRPr="00F21B32">
        <w:t xml:space="preserve">compensation we mean that the ex-ante return should be commensurate with the </w:t>
      </w:r>
      <w:r w:rsidRPr="00C917D3">
        <w:rPr>
          <w:rStyle w:val="AERtextunderline"/>
        </w:rPr>
        <w:t>expected</w:t>
      </w:r>
      <w:r w:rsidRPr="00F21B32">
        <w:t xml:space="preserve"> return in the capital market for an investment </w:t>
      </w:r>
      <w:r>
        <w:t>with</w:t>
      </w:r>
      <w:r w:rsidRPr="00F21B32">
        <w:t xml:space="preserve"> a similar degree of risk as that of a benchmark efficient entity in the position of the </w:t>
      </w:r>
      <w:r>
        <w:t>service provider</w:t>
      </w:r>
      <w:r w:rsidRPr="00F21B32">
        <w:t xml:space="preserve"> supplying </w:t>
      </w:r>
      <w:r>
        <w:t>regulated</w:t>
      </w:r>
      <w:r w:rsidRPr="00F21B32">
        <w:t xml:space="preserve"> services.</w:t>
      </w:r>
      <w:r w:rsidRPr="00F21B32">
        <w:rPr>
          <w:rStyle w:val="FootnoteReference"/>
        </w:rPr>
        <w:footnoteReference w:id="1038"/>
      </w:r>
      <w:r w:rsidRPr="00F21B32">
        <w:t xml:space="preserve"> We consider </w:t>
      </w:r>
      <w:r>
        <w:t>this</w:t>
      </w:r>
      <w:r w:rsidRPr="00F21B32">
        <w:t xml:space="preserve"> is the efficient return </w:t>
      </w:r>
      <w:r>
        <w:t>expected</w:t>
      </w:r>
      <w:r w:rsidRPr="00F21B32">
        <w:t xml:space="preserve"> in a competitive capital market</w:t>
      </w:r>
      <w:r>
        <w:t>, consistent with models underpinning financial theory on efficient markets</w:t>
      </w:r>
      <w:r w:rsidRPr="00F21B32">
        <w:t>.</w:t>
      </w:r>
      <w:r w:rsidRPr="00F21B32">
        <w:rPr>
          <w:rStyle w:val="FootnoteReference"/>
        </w:rPr>
        <w:footnoteReference w:id="1039"/>
      </w:r>
    </w:p>
    <w:p w:rsidR="00312F8A" w:rsidRDefault="00312F8A" w:rsidP="00312F8A">
      <w:r>
        <w:t>We elaborate on this in the following sections by setting out why and how a rate of return that meets the ARORO must:</w:t>
      </w:r>
    </w:p>
    <w:p w:rsidR="00312F8A" w:rsidRPr="00D9597E" w:rsidRDefault="00312F8A" w:rsidP="00312F8A">
      <w:pPr>
        <w:pStyle w:val="AERbulletlistfirststyle"/>
      </w:pPr>
      <w:r>
        <w:t>p</w:t>
      </w:r>
      <w:r w:rsidRPr="00D9597E">
        <w:t xml:space="preserve">rovide for ex-ante efficient compensation </w:t>
      </w:r>
    </w:p>
    <w:p w:rsidR="00312F8A" w:rsidRPr="00D9597E" w:rsidRDefault="00312F8A" w:rsidP="00312F8A">
      <w:pPr>
        <w:pStyle w:val="AERbulletlistfirststyle"/>
      </w:pPr>
      <w:r>
        <w:t xml:space="preserve">be </w:t>
      </w:r>
      <w:r w:rsidRPr="00D9597E">
        <w:t>consistent with the NEL/NGL</w:t>
      </w:r>
    </w:p>
    <w:p w:rsidR="00312F8A" w:rsidRPr="00D9597E" w:rsidRDefault="00312F8A" w:rsidP="00312F8A">
      <w:pPr>
        <w:pStyle w:val="AERbulletlistfirststyle"/>
      </w:pPr>
      <w:proofErr w:type="gramStart"/>
      <w:r>
        <w:t>require</w:t>
      </w:r>
      <w:proofErr w:type="gramEnd"/>
      <w:r>
        <w:t xml:space="preserve"> </w:t>
      </w:r>
      <w:r w:rsidRPr="00D9597E">
        <w:t>a revenue-neutral transition if there is a change in the methodology used to estimate the allowed return on debt (assuming that both methodologies can meet the ARORO but produce different estimates across time).</w:t>
      </w:r>
    </w:p>
    <w:p w:rsidR="00312F8A" w:rsidRPr="00F21B32" w:rsidRDefault="00312F8A" w:rsidP="00312F8A">
      <w:pPr>
        <w:pStyle w:val="Heading9"/>
      </w:pPr>
      <w:bookmarkStart w:id="339" w:name="_Ref446603900"/>
      <w:bookmarkStart w:id="340" w:name="_Toc452629095"/>
      <w:bookmarkStart w:id="341" w:name="_Toc456686760"/>
      <w:r>
        <w:t xml:space="preserve">Ex-ante </w:t>
      </w:r>
      <w:r w:rsidRPr="00D25CF7">
        <w:t>efficient</w:t>
      </w:r>
      <w:r>
        <w:t xml:space="preserve"> compensation</w:t>
      </w:r>
      <w:bookmarkEnd w:id="339"/>
      <w:bookmarkEnd w:id="340"/>
      <w:bookmarkEnd w:id="341"/>
    </w:p>
    <w:p w:rsidR="00312F8A" w:rsidRDefault="00312F8A" w:rsidP="00312F8A">
      <w:r>
        <w:t xml:space="preserve">We consider a rate of return that meets the ARORO must provide ex-ante compensation for efficient financing costs (we refer to this as ex-ante efficient compensation). </w:t>
      </w:r>
    </w:p>
    <w:p w:rsidR="00312F8A" w:rsidRDefault="00312F8A" w:rsidP="00312F8A">
      <w:r>
        <w:t>We consider ex-ante efficient compensation should result in the ex-ante allowed return on capital cash flows having a present value equal to the present value of the ex-ante efficient cost of capital cash flows required to finance the regulatory asset base (RAB). This means we must set, ex-ante, an allowed</w:t>
      </w:r>
      <w:r w:rsidRPr="00E2186B">
        <w:t xml:space="preserve"> rate of return for </w:t>
      </w:r>
      <w:r>
        <w:t>a</w:t>
      </w:r>
      <w:r w:rsidRPr="00E2186B">
        <w:t xml:space="preserve"> benchmark efficient entity such that the return on its investment</w:t>
      </w:r>
      <w:r>
        <w:t xml:space="preserve"> (in its RAB) equals its efficient cost.</w:t>
      </w:r>
      <w:r>
        <w:rPr>
          <w:rStyle w:val="FootnoteReference"/>
        </w:rPr>
        <w:footnoteReference w:id="1040"/>
      </w:r>
      <w:r>
        <w:t xml:space="preserve"> This is a zero net present value (NPV) investment condition,</w:t>
      </w:r>
      <w:r>
        <w:rPr>
          <w:rStyle w:val="FootnoteReference"/>
        </w:rPr>
        <w:footnoteReference w:id="1041"/>
      </w:r>
      <w:r>
        <w:t xml:space="preserve"> which is a forward looking concept that shows a benchmark efficient entity</w:t>
      </w:r>
      <w:r w:rsidRPr="00CF4DC4">
        <w:t xml:space="preserve"> </w:t>
      </w:r>
      <w:r>
        <w:t>is provided with a reasonable opportunity to recover at least efficient financing costs over the life of its investment (in its RAB). Partington and Satchell described it as follows:</w:t>
      </w:r>
      <w:r>
        <w:rPr>
          <w:rStyle w:val="FootnoteReference"/>
        </w:rPr>
        <w:footnoteReference w:id="1042"/>
      </w:r>
      <w:r>
        <w:t xml:space="preserve"> </w:t>
      </w:r>
    </w:p>
    <w:p w:rsidR="00312F8A" w:rsidRDefault="00312F8A" w:rsidP="00312F8A">
      <w:pPr>
        <w:pStyle w:val="AERquote"/>
      </w:pPr>
      <w:r w:rsidRPr="00D566FF">
        <w:t xml:space="preserve">The zero NPV investment </w:t>
      </w:r>
      <w:proofErr w:type="gramStart"/>
      <w:r w:rsidRPr="00D566FF">
        <w:t>criterion</w:t>
      </w:r>
      <w:proofErr w:type="gramEnd"/>
      <w:r w:rsidRPr="00D566FF">
        <w:t xml:space="preserve">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312F8A" w:rsidRDefault="00312F8A" w:rsidP="00312F8A">
      <w:r>
        <w:t xml:space="preserve">As discussed in section </w:t>
      </w:r>
      <w:r>
        <w:fldChar w:fldCharType="begin"/>
      </w:r>
      <w:r>
        <w:instrText xml:space="preserve"> REF _Ref451729815 \r \h </w:instrText>
      </w:r>
      <w:r>
        <w:fldChar w:fldCharType="separate"/>
      </w:r>
      <w:r w:rsidR="003F1AAB">
        <w:t>3.3.3</w:t>
      </w:r>
      <w:r>
        <w:fldChar w:fldCharType="end"/>
      </w:r>
      <w:r>
        <w:t xml:space="preserve"> and </w:t>
      </w:r>
      <w:r>
        <w:fldChar w:fldCharType="begin"/>
      </w:r>
      <w:r>
        <w:instrText xml:space="preserve"> REF _Ref446405872 \r \h </w:instrText>
      </w:r>
      <w:r>
        <w:fldChar w:fldCharType="separate"/>
      </w:r>
      <w:r w:rsidR="003F1AAB">
        <w:t>H.5.1</w:t>
      </w:r>
      <w:r>
        <w:fldChar w:fldCharType="end"/>
      </w:r>
      <w:r>
        <w:t xml:space="preserve">, we consider efficient financing costs, for debt and equity, should be based on (appropriately benchmarked) prevailing market rates. This reflects the current opportunity cost of capital for investments of similar risk to </w:t>
      </w:r>
      <w:r w:rsidRPr="00F21B32">
        <w:t xml:space="preserve">a benchmark efficient entity in the position of </w:t>
      </w:r>
      <w:r>
        <w:t>a</w:t>
      </w:r>
      <w:r w:rsidRPr="00F21B32">
        <w:t xml:space="preserve"> </w:t>
      </w:r>
      <w:r>
        <w:t>service provider</w:t>
      </w:r>
      <w:r w:rsidRPr="00F21B32">
        <w:t xml:space="preserve"> supplying </w:t>
      </w:r>
      <w:r>
        <w:t>regulated</w:t>
      </w:r>
      <w:r w:rsidRPr="00F21B32">
        <w:t xml:space="preserve"> services</w:t>
      </w:r>
      <w:r>
        <w:t>.</w:t>
      </w:r>
      <w:r>
        <w:rPr>
          <w:rStyle w:val="FootnoteReference"/>
        </w:rPr>
        <w:footnoteReference w:id="1043"/>
      </w:r>
      <w:r>
        <w:t xml:space="preserve"> The opportunity cost of capital is the rate used to discount firms' expected future cash flows in NPV calculations.</w:t>
      </w:r>
      <w:r>
        <w:rPr>
          <w:rStyle w:val="FootnoteReference"/>
        </w:rPr>
        <w:footnoteReference w:id="1044"/>
      </w:r>
    </w:p>
    <w:p w:rsidR="00312F8A" w:rsidRDefault="00312F8A" w:rsidP="00312F8A">
      <w:r>
        <w:t>Under the ex-ante regulatory regime, we reset the allowed rate of return (through the returns on debt and equity) at the commencement of each regulatory period (or annually for the allowed return on debt if we use a trailing average).</w:t>
      </w:r>
      <w:r w:rsidRPr="007627B2">
        <w:t xml:space="preserve"> </w:t>
      </w:r>
      <w:r>
        <w:t>If the allowed rate of return is reset to reflect the prevailing market cost of capital, it provides ex-ante efficient compensation over each reset period.</w:t>
      </w:r>
      <w:r>
        <w:rPr>
          <w:rStyle w:val="FootnoteReference"/>
        </w:rPr>
        <w:footnoteReference w:id="1045"/>
      </w:r>
      <w:r>
        <w:t xml:space="preserve"> </w:t>
      </w:r>
    </w:p>
    <w:p w:rsidR="00312F8A" w:rsidRDefault="00312F8A" w:rsidP="00312F8A">
      <w:r>
        <w:t xml:space="preserve">As shown in section </w:t>
      </w:r>
      <w:r>
        <w:fldChar w:fldCharType="begin"/>
      </w:r>
      <w:r>
        <w:instrText xml:space="preserve"> REF _Ref444767739 \r \h </w:instrText>
      </w:r>
      <w:r>
        <w:fldChar w:fldCharType="separate"/>
      </w:r>
      <w:r w:rsidR="003F1AAB">
        <w:t>H.7</w:t>
      </w:r>
      <w:r>
        <w:fldChar w:fldCharType="end"/>
      </w:r>
      <w:r>
        <w:t>, the on-the-day approach resets the allowed return on debt to reflect the prevailing market cost of debt at the commencement of each regulatory period. Therefore, it provides ex-ante efficient compensation on debt capital over each regulatory period and over the life of the investment (that is, over the term of the RAB).</w:t>
      </w:r>
      <w:r>
        <w:rPr>
          <w:rStyle w:val="FootnoteReference"/>
        </w:rPr>
        <w:footnoteReference w:id="1046"/>
      </w:r>
      <w:r>
        <w:t xml:space="preserve"> The trailing average approach resets one tenth of the allowed return on debt to reflect the prevailing market cost of debt at the commencement of each regulatory year. As such, it provides ex-ante efficient compensation on debt capital only over the term of the RAB if a full transition is applied.</w:t>
      </w:r>
      <w:r>
        <w:rPr>
          <w:rStyle w:val="FootnoteReference"/>
        </w:rPr>
        <w:footnoteReference w:id="1047"/>
      </w:r>
    </w:p>
    <w:p w:rsidR="00312F8A" w:rsidRDefault="00312F8A" w:rsidP="00312F8A">
      <w:r>
        <w:t xml:space="preserve">The concept of ex-ante efficient compensation can be likened to the valuation of a coupon paying security with interest payments that are either fixed at issuance or reset periodically. Similarly, the regulatory regime allows the regulator to set (ex-ante) a series of fixed cash inflows (revenues) for a service provider that is reset periodically. The basic pricing formula for a debt security (for example, a bond) at time </w:t>
      </w:r>
      <m:oMath>
        <m:r>
          <w:rPr>
            <w:rFonts w:ascii="Cambria Math" w:hAnsi="Cambria Math"/>
          </w:rPr>
          <m:t>t=0</m:t>
        </m:r>
      </m:oMath>
      <w:r>
        <w:t xml:space="preserve"> is as follows:</w:t>
      </w:r>
      <w:r>
        <w:rPr>
          <w:rStyle w:val="FootnoteReference"/>
        </w:rPr>
        <w:footnoteReference w:id="1048"/>
      </w:r>
    </w:p>
    <w:p w:rsidR="00312F8A" w:rsidRDefault="003F1AAB" w:rsidP="00312F8A">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e>
          </m:nary>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num>
            <m:den>
              <m:sSup>
                <m:sSupPr>
                  <m:ctrlPr>
                    <w:rPr>
                      <w:rFonts w:ascii="Cambria Math" w:hAnsi="Cambria Math"/>
                    </w:rPr>
                  </m:ctrlPr>
                </m:sSupPr>
                <m:e>
                  <m:d>
                    <m:dPr>
                      <m:ctrlPr>
                        <w:rPr>
                          <w:rFonts w:ascii="Cambria Math" w:hAnsi="Cambria Math"/>
                          <w:i/>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oMath>
      </m:oMathPara>
    </w:p>
    <w:p w:rsidR="00312F8A" w:rsidRDefault="00312F8A" w:rsidP="00312F8A">
      <w:pPr>
        <w:pStyle w:val="AERbodytextnospace"/>
      </w:pPr>
    </w:p>
    <w:p w:rsidR="00312F8A" w:rsidRDefault="00312F8A" w:rsidP="00312F8A">
      <w:pPr>
        <w:pStyle w:val="AERbodytextnospace"/>
      </w:pPr>
      <w:proofErr w:type="gramStart"/>
      <w:r>
        <w:t>where</w:t>
      </w:r>
      <w:proofErr w:type="gramEnd"/>
      <w:r>
        <w:t xml:space="preserve">: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t xml:space="preserve"> is the price of the bond at time 0 </w:t>
      </w:r>
    </w:p>
    <w:p w:rsidR="00312F8A" w:rsidRDefault="00312F8A" w:rsidP="00312F8A">
      <w:pPr>
        <w:pStyle w:val="AERbodytextnospace"/>
      </w:pPr>
      <w:r>
        <w:tab/>
      </w:r>
      <w:r>
        <w:tab/>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675B9E">
        <w:t xml:space="preserve"> </w:t>
      </w:r>
      <w:proofErr w:type="gramStart"/>
      <w:r w:rsidRPr="00675B9E">
        <w:t>is</w:t>
      </w:r>
      <w:proofErr w:type="gramEnd"/>
      <w:r w:rsidRPr="00675B9E">
        <w:t xml:space="preserve"> the coupon </w:t>
      </w:r>
      <w:r>
        <w:t>(or interest) payment at time t—</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T</m:t>
            </m:r>
          </m:sub>
        </m:sSub>
      </m:oMath>
    </w:p>
    <w:p w:rsidR="00312F8A" w:rsidRPr="00675B9E" w:rsidRDefault="00312F8A" w:rsidP="00312F8A">
      <w:pPr>
        <w:pStyle w:val="AERbodytextnospace"/>
      </w:pPr>
      <w:r>
        <w:tab/>
      </w:r>
      <w:r>
        <w:tab/>
      </w:r>
      <m:oMath>
        <m:r>
          <w:rPr>
            <w:rFonts w:ascii="Cambria Math" w:hAnsi="Cambria Math"/>
          </w:rPr>
          <m:t>c</m:t>
        </m:r>
      </m:oMath>
      <w:r>
        <w:t xml:space="preserve"> </w:t>
      </w:r>
      <w:proofErr w:type="gramStart"/>
      <w:r>
        <w:t>is</w:t>
      </w:r>
      <w:proofErr w:type="gramEnd"/>
      <w:r>
        <w:t xml:space="preserve"> the coupon rate </w:t>
      </w:r>
    </w:p>
    <w:p w:rsidR="00312F8A" w:rsidRPr="00675B9E" w:rsidRDefault="00312F8A" w:rsidP="00312F8A">
      <w:pPr>
        <w:pStyle w:val="AERbodytextnospace"/>
      </w:pPr>
      <w:r>
        <w:tab/>
      </w:r>
      <w:r>
        <w:tab/>
      </w:r>
      <m:oMath>
        <m:sSub>
          <m:sSubPr>
            <m:ctrlPr>
              <w:rPr>
                <w:rFonts w:ascii="Cambria Math" w:hAnsi="Cambria Math"/>
              </w:rPr>
            </m:ctrlPr>
          </m:sSubPr>
          <m:e>
            <m:r>
              <w:rPr>
                <w:rFonts w:ascii="Cambria Math" w:hAnsi="Cambria Math"/>
              </w:rPr>
              <m:t>r</m:t>
            </m:r>
          </m:e>
          <m:sub>
            <m:r>
              <m:rPr>
                <m:sty m:val="p"/>
              </m:rPr>
              <w:rPr>
                <w:rFonts w:ascii="Cambria Math" w:hAnsi="Cambria Math"/>
              </w:rPr>
              <m:t>0</m:t>
            </m:r>
          </m:sub>
        </m:sSub>
      </m:oMath>
      <w:r w:rsidRPr="00675B9E">
        <w:t xml:space="preserve"> </w:t>
      </w:r>
      <w:proofErr w:type="gramStart"/>
      <w:r w:rsidRPr="00675B9E">
        <w:t>is</w:t>
      </w:r>
      <w:proofErr w:type="gramEnd"/>
      <w:r w:rsidRPr="00675B9E">
        <w:t xml:space="preserve"> the required rate of return</w:t>
      </w:r>
      <w:r>
        <w:t xml:space="preserve"> or cost of capital</w:t>
      </w:r>
      <w:r w:rsidRPr="00675B9E">
        <w:t xml:space="preserve"> (based on market rates)</w:t>
      </w:r>
      <w:r>
        <w:t xml:space="preserve"> at time 0</w:t>
      </w:r>
      <w:r w:rsidRPr="00675B9E">
        <w:t xml:space="preserve"> </w:t>
      </w:r>
    </w:p>
    <w:p w:rsidR="00312F8A" w:rsidRPr="00675B9E" w:rsidRDefault="00312F8A" w:rsidP="00312F8A">
      <w:pPr>
        <w:pStyle w:val="AERbodytextnospace"/>
      </w:pPr>
      <w:r>
        <w:tab/>
      </w:r>
      <w:r>
        <w:tab/>
      </w:r>
      <m:oMath>
        <m:sSub>
          <m:sSubPr>
            <m:ctrlPr>
              <w:rPr>
                <w:rFonts w:ascii="Cambria Math" w:hAnsi="Cambria Math"/>
              </w:rPr>
            </m:ctrlPr>
          </m:sSubPr>
          <m:e>
            <m:r>
              <w:rPr>
                <w:rFonts w:ascii="Cambria Math" w:hAnsi="Cambria Math"/>
              </w:rPr>
              <m:t>P</m:t>
            </m:r>
          </m:e>
          <m:sub>
            <m:r>
              <w:rPr>
                <w:rFonts w:ascii="Cambria Math" w:hAnsi="Cambria Math"/>
              </w:rPr>
              <m:t>T</m:t>
            </m:r>
          </m:sub>
        </m:sSub>
      </m:oMath>
      <w:r w:rsidRPr="00675B9E">
        <w:t xml:space="preserve"> </w:t>
      </w:r>
      <w:proofErr w:type="gramStart"/>
      <w:r w:rsidRPr="00675B9E">
        <w:t>is</w:t>
      </w:r>
      <w:proofErr w:type="gramEnd"/>
      <w:r w:rsidRPr="00675B9E">
        <w:t xml:space="preserve"> the face </w:t>
      </w:r>
      <w:r>
        <w:t xml:space="preserve">(or par) </w:t>
      </w:r>
      <w:r w:rsidRPr="00675B9E">
        <w:t>value of the bond (or principal repayment) at maturity.</w:t>
      </w:r>
    </w:p>
    <w:p w:rsidR="00312F8A" w:rsidRDefault="00312F8A" w:rsidP="00312F8A">
      <w:r>
        <w:t xml:space="preserve">The above formula shows that </w:t>
      </w:r>
      <w:r w:rsidRPr="00A104B1">
        <w:t xml:space="preserve">for </w:t>
      </w:r>
      <w:r>
        <w:t>a</w:t>
      </w:r>
      <w:r w:rsidRPr="00A104B1">
        <w:t xml:space="preserve"> bond</w:t>
      </w:r>
      <w:r>
        <w:t>'s price</w:t>
      </w:r>
      <w:r w:rsidRPr="00A104B1">
        <w:t xml:space="preserve"> to equal its face (or par) value</w:t>
      </w:r>
      <w:r>
        <w:t>,</w:t>
      </w:r>
      <w:r w:rsidRPr="00A104B1">
        <w:t xml:space="preserve"> </w:t>
      </w:r>
      <w:r>
        <w:t>at any time 0, the coupon rate (which is akin to the allowed rate of return) must be set (or reset) to equal the prevailing cost of capital.</w:t>
      </w:r>
      <w:r>
        <w:rPr>
          <w:rStyle w:val="FootnoteReference"/>
        </w:rPr>
        <w:footnoteReference w:id="1049"/>
      </w:r>
      <w:r>
        <w:t xml:space="preserve"> If the coupon rate is set (or reset) to a value above (below)</w:t>
      </w:r>
      <w:r w:rsidRPr="00407A1E">
        <w:t xml:space="preserve"> </w:t>
      </w:r>
      <w:r>
        <w:t>the prevailing cost of capital, the price of the bond would trade above (below) its face value. This means the investor that paid the face value would be ex-ante over (under) compensated relative to other investments of similar risk.</w:t>
      </w:r>
    </w:p>
    <w:p w:rsidR="00312F8A" w:rsidRPr="00F243E1" w:rsidRDefault="00312F8A" w:rsidP="00312F8A">
      <w:pPr>
        <w:pStyle w:val="HeadingBoldBlue"/>
      </w:pPr>
      <w:r w:rsidRPr="00F243E1">
        <w:t>Compensation for historically incurred costs</w:t>
      </w:r>
    </w:p>
    <w:p w:rsidR="00312F8A" w:rsidRDefault="00312F8A" w:rsidP="00312F8A">
      <w:r w:rsidRPr="00F21B32">
        <w:t xml:space="preserve">We do not interpret the ARORO to require </w:t>
      </w:r>
      <w:r>
        <w:t>us</w:t>
      </w:r>
      <w:r w:rsidRPr="00F21B32">
        <w:t xml:space="preserve"> to compensate </w:t>
      </w:r>
      <w:r>
        <w:t>a benchmark efficient entity</w:t>
      </w:r>
      <w:r w:rsidRPr="00F21B32">
        <w:t xml:space="preserve"> for historically incurred </w:t>
      </w:r>
      <w:r>
        <w:t xml:space="preserve">financing </w:t>
      </w:r>
      <w:r w:rsidRPr="00F21B32">
        <w:t>costs where this will lead to compensation</w:t>
      </w:r>
      <w:r w:rsidRPr="007E79D1">
        <w:t xml:space="preserve"> </w:t>
      </w:r>
      <w:r>
        <w:t>that would not be ex-ante</w:t>
      </w:r>
      <w:r w:rsidRPr="007E79D1">
        <w:t xml:space="preserve"> </w:t>
      </w:r>
      <w:r>
        <w:t>efficient</w:t>
      </w:r>
      <w:r w:rsidRPr="00F21B32">
        <w:t>.</w:t>
      </w:r>
    </w:p>
    <w:p w:rsidR="00312F8A" w:rsidRDefault="00312F8A" w:rsidP="00312F8A">
      <w:r w:rsidRPr="007E018E">
        <w:t xml:space="preserve">We consider </w:t>
      </w:r>
      <w:r>
        <w:t xml:space="preserve">setting an allowed rate of return that provides </w:t>
      </w:r>
      <w:r w:rsidRPr="007E018E">
        <w:t xml:space="preserve">ex-ante efficient compensation gives </w:t>
      </w:r>
      <w:r>
        <w:t>a benchmark eff</w:t>
      </w:r>
      <w:r w:rsidRPr="007E018E">
        <w:t xml:space="preserve">icient entity a reasonable opportunity to recover </w:t>
      </w:r>
      <w:r>
        <w:t>at least</w:t>
      </w:r>
      <w:r w:rsidRPr="007E018E">
        <w:t xml:space="preserve"> efficient </w:t>
      </w:r>
      <w:r>
        <w:t xml:space="preserve">financing </w:t>
      </w:r>
      <w:r w:rsidRPr="00F243E1">
        <w:t>costs.</w:t>
      </w:r>
      <w:r>
        <w:t xml:space="preserve"> This sets a </w:t>
      </w:r>
      <w:r w:rsidRPr="008D38BD">
        <w:rPr>
          <w:rStyle w:val="AERtextunderline"/>
        </w:rPr>
        <w:t>forward looking</w:t>
      </w:r>
      <w:r>
        <w:t xml:space="preserve"> return on investment based on investor expectations, and does not provide compensation for actual (historical) cost outcomes that can only be identified ex-post. As such, we consider ex-post movement in interest rates (after the allowed rate of return has been set for a regulatory period) do not affect the principle of ex-ante efficient compensation as long as the ex-ante rate of return appropriately reflects the risk of the investment in the RAB.</w:t>
      </w:r>
      <w:r>
        <w:rPr>
          <w:rStyle w:val="FootnoteReference"/>
        </w:rPr>
        <w:footnoteReference w:id="1050"/>
      </w:r>
      <w:r w:rsidRPr="00B73697">
        <w:t xml:space="preserve"> </w:t>
      </w:r>
      <w:r>
        <w:t>Partington and Satchell agree with this view.</w:t>
      </w:r>
      <w:r>
        <w:rPr>
          <w:rStyle w:val="FootnoteReference"/>
        </w:rPr>
        <w:footnoteReference w:id="1051"/>
      </w:r>
      <w:r>
        <w:t xml:space="preserve"> The timeline below shows how we consider ex-post movements in interest rates (and historical costs) relate to ex-ante efficient compensation.</w:t>
      </w:r>
    </w:p>
    <w:p w:rsidR="00312F8A" w:rsidRDefault="00312F8A" w:rsidP="00312F8A">
      <w:r w:rsidRPr="00312F8A">
        <w:rPr>
          <w:noProof/>
          <w:lang w:eastAsia="en-AU"/>
        </w:rPr>
        <mc:AlternateContent>
          <mc:Choice Requires="wpg">
            <w:drawing>
              <wp:inline distT="0" distB="0" distL="0" distR="0" wp14:anchorId="05DF6142" wp14:editId="65A2CB62">
                <wp:extent cx="5086350" cy="2524125"/>
                <wp:effectExtent l="38100" t="0" r="0" b="0"/>
                <wp:docPr id="20" name="Group 20"/>
                <wp:cNvGraphicFramePr/>
                <a:graphic xmlns:a="http://schemas.openxmlformats.org/drawingml/2006/main">
                  <a:graphicData uri="http://schemas.microsoft.com/office/word/2010/wordprocessingGroup">
                    <wpg:wgp>
                      <wpg:cNvGrpSpPr/>
                      <wpg:grpSpPr>
                        <a:xfrm>
                          <a:off x="0" y="0"/>
                          <a:ext cx="5086350" cy="2524125"/>
                          <a:chOff x="0" y="0"/>
                          <a:chExt cx="4411384" cy="2203376"/>
                        </a:xfrm>
                      </wpg:grpSpPr>
                      <wpg:grpSp>
                        <wpg:cNvPr id="288" name="Group 288"/>
                        <wpg:cNvGrpSpPr/>
                        <wpg:grpSpPr>
                          <a:xfrm>
                            <a:off x="0" y="0"/>
                            <a:ext cx="4411384" cy="2203376"/>
                            <a:chOff x="0" y="0"/>
                            <a:chExt cx="4411384" cy="2203376"/>
                          </a:xfrm>
                        </wpg:grpSpPr>
                        <wpg:grpSp>
                          <wpg:cNvPr id="289" name="Group 289"/>
                          <wpg:cNvGrpSpPr/>
                          <wpg:grpSpPr>
                            <a:xfrm>
                              <a:off x="0" y="0"/>
                              <a:ext cx="4411384" cy="2203376"/>
                              <a:chOff x="0" y="1"/>
                              <a:chExt cx="4411384" cy="2203376"/>
                            </a:xfrm>
                          </wpg:grpSpPr>
                          <wps:wsp>
                            <wps:cNvPr id="294" name="Text Box 294"/>
                            <wps:cNvSpPr txBox="1"/>
                            <wps:spPr>
                              <a:xfrm>
                                <a:off x="1524000" y="1"/>
                                <a:ext cx="1209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1AAB" w:rsidRDefault="003F1AAB" w:rsidP="00312F8A">
                                  <w:pPr>
                                    <w:pStyle w:val="AERbodytextnospaceleftalign"/>
                                  </w:pPr>
                                  <w:proofErr w:type="gramStart"/>
                                  <w:r>
                                    <w:t>reset</w:t>
                                  </w:r>
                                  <w:proofErr w:type="gramEnd"/>
                                  <w:r>
                                    <w:t xml:space="preserve"> date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1" name="Group 301"/>
                            <wpg:cNvGrpSpPr/>
                            <wpg:grpSpPr>
                              <a:xfrm>
                                <a:off x="0" y="257175"/>
                                <a:ext cx="4019550" cy="492442"/>
                                <a:chOff x="0" y="0"/>
                                <a:chExt cx="4019550" cy="492442"/>
                              </a:xfrm>
                            </wpg:grpSpPr>
                            <wps:wsp>
                              <wps:cNvPr id="303" name="Straight Arrow Connector 303"/>
                              <wps:cNvCnPr/>
                              <wps:spPr>
                                <a:xfrm>
                                  <a:off x="0" y="66675"/>
                                  <a:ext cx="40195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304" name="Oval 304"/>
                              <wps:cNvSpPr/>
                              <wps:spPr>
                                <a:xfrm>
                                  <a:off x="1847850" y="0"/>
                                  <a:ext cx="104775" cy="13335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ight Brace 305"/>
                              <wps:cNvSpPr/>
                              <wps:spPr>
                                <a:xfrm rot="5400000">
                                  <a:off x="828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ight Brace 306"/>
                              <wps:cNvSpPr/>
                              <wps:spPr>
                                <a:xfrm rot="5400000">
                                  <a:off x="2733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57149" y="733425"/>
                                <a:ext cx="1790701" cy="1229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1AAB" w:rsidRDefault="003F1AAB" w:rsidP="00312F8A">
                                  <w:pPr>
                                    <w:pStyle w:val="AERbodytextnospaceleftalign"/>
                                  </w:pPr>
                                  <w:r>
                                    <w:t>Historically incurred costs:</w:t>
                                  </w:r>
                                </w:p>
                                <w:p w:rsidR="003F1AAB" w:rsidRDefault="003F1AAB" w:rsidP="00312F8A">
                                  <w:pPr>
                                    <w:pStyle w:val="AERbodytextnospaceleftalign"/>
                                  </w:pPr>
                                  <w:r>
                                    <w:t>—incorporating these into the rate of return at date x does not lead to ex-ante efficient compensation for the reset period (x to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2031046" y="742669"/>
                                <a:ext cx="2380338" cy="1460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1AAB" w:rsidRDefault="003F1AAB" w:rsidP="00312F8A">
                                  <w:pPr>
                                    <w:pStyle w:val="AERbodytextnospaceleftalign"/>
                                  </w:pPr>
                                  <w:r>
                                    <w:t>Ex-post movement in interest rates:</w:t>
                                  </w:r>
                                </w:p>
                                <w:p w:rsidR="003F1AAB" w:rsidRDefault="003F1AAB" w:rsidP="00312F8A">
                                  <w:pPr>
                                    <w:pStyle w:val="AERbodytextnospaceleftalign"/>
                                  </w:pPr>
                                  <w:r>
                                    <w:t>—unknown at date x, but the associated risks are priced into the forward looking rate of return at date x</w:t>
                                  </w:r>
                                </w:p>
                                <w:p w:rsidR="003F1AAB" w:rsidRDefault="003F1AAB" w:rsidP="00312F8A">
                                  <w:pPr>
                                    <w:pStyle w:val="AERbodytextnospaceleftalign"/>
                                  </w:pPr>
                                  <w:r>
                                    <w:t>—known at date x+1, but any impact on costs incurred over this period is historical and should not be incorporated into the forward looking rate of return at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9" name="Text Box 309"/>
                          <wps:cNvSpPr txBox="1"/>
                          <wps:spPr>
                            <a:xfrm>
                              <a:off x="3276600" y="0"/>
                              <a:ext cx="100012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1AAB" w:rsidRDefault="003F1AAB" w:rsidP="00312F8A">
                                <w:pPr>
                                  <w:pStyle w:val="AERbodytextnospaceleftalign"/>
                                </w:pPr>
                                <w:proofErr w:type="gramStart"/>
                                <w:r>
                                  <w:t>reset</w:t>
                                </w:r>
                                <w:proofErr w:type="gramEnd"/>
                                <w:r>
                                  <w:t xml:space="preserve">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0" name="Oval 310"/>
                        <wps:cNvSpPr/>
                        <wps:spPr>
                          <a:xfrm>
                            <a:off x="3743325" y="257175"/>
                            <a:ext cx="104775" cy="13271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0" o:spid="_x0000_s1027" style="width:400.5pt;height:198.75pt;mso-position-horizontal-relative:char;mso-position-vertical-relative:line" coordsize="44113,2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">
                <v:group id="Group 288" o:spid="_x0000_s1028" style="position:absolute;width:44113;height:22033"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group id="Group 289" o:spid="_x0000_s1029" style="position:absolute;width:44113;height:22033" coordorigin=""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Text Box 294" o:spid="_x0000_s1030" type="#_x0000_t202" style="position:absolute;left:15240;width:12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rsidR="003F1AAB" w:rsidRDefault="003F1AAB" w:rsidP="00312F8A">
                            <w:pPr>
                              <w:pStyle w:val="AERbodytextnospaceleftalign"/>
                            </w:pPr>
                            <w:proofErr w:type="gramStart"/>
                            <w:r>
                              <w:t>reset</w:t>
                            </w:r>
                            <w:proofErr w:type="gramEnd"/>
                            <w:r>
                              <w:t xml:space="preserve"> date x</w:t>
                            </w:r>
                          </w:p>
                        </w:txbxContent>
                      </v:textbox>
                    </v:shape>
                    <v:group id="Group 301" o:spid="_x0000_s1031" style="position:absolute;top:2571;width:40195;height:4925" coordsize="40195,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303" o:spid="_x0000_s1032" type="#_x0000_t32" style="position:absolute;top:666;width:40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U0MMAAADcAAAADwAAAGRycy9kb3ducmV2LnhtbESPzarCMBSE9xd8h3AEN6JpFS5SjSKC&#10;PyvlqguXh+bYFpuT0qS2vr0RhLscZuYbZrHqTCmeVLvCsoJ4HIEgTq0uOFNwvWxHMxDOI2ssLZOC&#10;FzlYLXs/C0y0bfmPnmefiQBhl6CC3PsqkdKlORl0Y1sRB+9ua4M+yDqTusY2wE0pJ1H0Kw0WHBZy&#10;rGiTU/o4N0aBk/G1bePT7pANj5fG74d0vDVKDfrdeg7CU+f/w9/2QSuYRlP4nAlH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6FNDDAAAA3AAAAA8AAAAAAAAAAAAA&#10;AAAAoQIAAGRycy9kb3ducmV2LnhtbFBLBQYAAAAABAAEAPkAAACRAwAAAAA=&#10;" strokecolor="#06648a [3040]">
                        <v:stroke startarrow="open" endarrow="open"/>
                      </v:shape>
                      <v:oval id="Oval 304" o:spid="_x0000_s1033" style="position:absolute;left:18478;width:104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a7UsUA&#10;AADcAAAADwAAAGRycy9kb3ducmV2LnhtbESPQWvCQBSE70L/w/IKvelGK7WJriJCoS1ekhS8PrPP&#10;JJp9G7JbE/99Vyh4HGbmG2a1GUwjrtS52rKC6SQCQVxYXXOp4Cf/GL+DcB5ZY2OZFNzIwWb9NFph&#10;om3PKV0zX4oAYZeggsr7NpHSFRUZdBPbEgfvZDuDPsiulLrDPsBNI2dR9CYN1hwWKmxpV1FxyX6N&#10;gjK9uO8ZxsX5GC+yr6bO9/EhV+rledguQXga/CP83/7UCl6jOd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rtSxQAAANwAAAAPAAAAAAAAAAAAAAAAAJgCAABkcnMv&#10;ZG93bnJldi54bWxQSwUGAAAAAAQABAD1AAAAigMAAAAA&#10;" fillcolor="white [3201]" strokecolor="#076a92 [3200]" strokeweight="2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05" o:spid="_x0000_s1034" type="#_x0000_t88" style="position:absolute;left:828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cvccA&#10;AADcAAAADwAAAGRycy9kb3ducmV2LnhtbESPQWvCQBSE74X+h+UVvNWNbRWJrtKWVhTxEJOLt0f2&#10;mUSzb0N2jbG/visUehxm5htmvuxNLTpqXWVZwWgYgSDOra64UJCl389TEM4ja6wtk4IbOVguHh/m&#10;GGt75YS6vS9EgLCLUUHpfRNL6fKSDLqhbYiDd7StQR9kW0jd4jXATS1fomgiDVYcFkps6LOk/Ly/&#10;GAXd2+q8O33V6e0jWR9Wmf7ZjjcnpQZP/fsMhKfe/4f/2mut4DUaw/1MO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znL3HAAAA3AAAAA8AAAAAAAAAAAAAAAAAmAIAAGRy&#10;cy9kb3ducmV2LnhtbFBLBQYAAAAABAAEAPUAAACMAwAAAAA=&#10;" adj="269" strokecolor="#06648a [3040]"/>
                      <v:shape id="Right Brace 306" o:spid="_x0000_s1035" type="#_x0000_t88" style="position:absolute;left:2733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CyscA&#10;AADcAAAADwAAAGRycy9kb3ducmV2LnhtbESPT2vCQBTE70K/w/IK3nRjqyLRVdpSRSke/HPx9sg+&#10;k2j2bciuMfrpXUHocZiZ3zCTWWMKUVPlcssKet0IBHFidc6pgv1u3hmBcB5ZY2GZFNzIwWz61ppg&#10;rO2VN1RvfSoChF2MCjLvy1hKl2Rk0HVtSRy8o60M+iCrVOoKrwFuCvkRRUNpMOewkGFJPxkl5+3F&#10;KKj7i/P69Fvsbt+b5WGx1/e/weqkVPu9+RqD8NT4//CrvdQKPqMhPM+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hAsrHAAAA3AAAAA8AAAAAAAAAAAAAAAAAmAIAAGRy&#10;cy9kb3ducmV2LnhtbFBLBQYAAAAABAAEAPUAAACMAwAAAAA=&#10;" adj="269" strokecolor="#06648a [3040]"/>
                    </v:group>
                    <v:shape id="Text Box 307" o:spid="_x0000_s1036" type="#_x0000_t202" style="position:absolute;left:571;top:7334;width:17907;height:1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8lsYA&#10;AADcAAAADwAAAGRycy9kb3ducmV2LnhtbESPT4vCMBTE7wt+h/AEb2uqi6tUo0hBVsQ9+Ofi7dk8&#10;22LzUpuo1U+/WRA8DjPzG2Yya0wpblS7wrKCXjcCQZxaXXCmYL9bfI5AOI+ssbRMCh7kYDZtfUww&#10;1vbOG7ptfSYChF2MCnLvq1hKl+Zk0HVtRRy8k60N+iDrTOoa7wFuStmPom9psOCwkGNFSU7peXs1&#10;ClbJ4hc3x74ZPcvkZ32aV5f9YaBUp93MxyA8Nf4dfrWXWsFXNIT/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n8lsYAAADcAAAADwAAAAAAAAAAAAAAAACYAgAAZHJz&#10;L2Rvd25yZXYueG1sUEsFBgAAAAAEAAQA9QAAAIsDAAAAAA==&#10;" filled="f" stroked="f" strokeweight=".5pt">
                      <v:textbox>
                        <w:txbxContent>
                          <w:p w:rsidR="003F1AAB" w:rsidRDefault="003F1AAB" w:rsidP="00312F8A">
                            <w:pPr>
                              <w:pStyle w:val="AERbodytextnospaceleftalign"/>
                            </w:pPr>
                            <w:r>
                              <w:t>Historically incurred costs:</w:t>
                            </w:r>
                          </w:p>
                          <w:p w:rsidR="003F1AAB" w:rsidRDefault="003F1AAB" w:rsidP="00312F8A">
                            <w:pPr>
                              <w:pStyle w:val="AERbodytextnospaceleftalign"/>
                            </w:pPr>
                            <w:r>
                              <w:t>—incorporating these into the rate of return at date x does not lead to ex-ante efficient compensation for the reset period (x to x+1)</w:t>
                            </w:r>
                          </w:p>
                        </w:txbxContent>
                      </v:textbox>
                    </v:shape>
                    <v:shape id="Text Box 308" o:spid="_x0000_s1037" type="#_x0000_t202" style="position:absolute;left:20310;top:7426;width:23803;height:14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o5MQA&#10;AADcAAAADwAAAGRycy9kb3ducmV2LnhtbERPy2rCQBTdF/yH4Ra6q5NaFIlOQgiIpbQLrZvubjM3&#10;D8zciZkxSf36zkLo8nDe23QyrRiod41lBS/zCARxYXXDlYLT1+55DcJ5ZI2tZVLwSw7SZPawxVjb&#10;kQ80HH0lQgi7GBXU3nexlK6oyaCb2444cKXtDfoA+0rqHscQblq5iKKVNNhwaKixo7ym4ny8GgXv&#10;+e4TDz8Ls761+f6jzLrL6Xup1NPjlG1AeJr8v/juftMKXqO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aOTEAAAA3AAAAA8AAAAAAAAAAAAAAAAAmAIAAGRycy9k&#10;b3ducmV2LnhtbFBLBQYAAAAABAAEAPUAAACJAwAAAAA=&#10;" filled="f" stroked="f" strokeweight=".5pt">
                      <v:textbox>
                        <w:txbxContent>
                          <w:p w:rsidR="003F1AAB" w:rsidRDefault="003F1AAB" w:rsidP="00312F8A">
                            <w:pPr>
                              <w:pStyle w:val="AERbodytextnospaceleftalign"/>
                            </w:pPr>
                            <w:r>
                              <w:t>Ex-post movement in interest rates:</w:t>
                            </w:r>
                          </w:p>
                          <w:p w:rsidR="003F1AAB" w:rsidRDefault="003F1AAB" w:rsidP="00312F8A">
                            <w:pPr>
                              <w:pStyle w:val="AERbodytextnospaceleftalign"/>
                            </w:pPr>
                            <w:r>
                              <w:t>—unknown at date x, but the associated risks are priced into the forward looking rate of return at date x</w:t>
                            </w:r>
                          </w:p>
                          <w:p w:rsidR="003F1AAB" w:rsidRDefault="003F1AAB" w:rsidP="00312F8A">
                            <w:pPr>
                              <w:pStyle w:val="AERbodytextnospaceleftalign"/>
                            </w:pPr>
                            <w:r>
                              <w:t>—known at date x+1, but any impact on costs incurred over this period is historical and should not be incorporated into the forward looking rate of return at date x+1</w:t>
                            </w:r>
                          </w:p>
                        </w:txbxContent>
                      </v:textbox>
                    </v:shape>
                  </v:group>
                  <v:shape id="Text Box 309" o:spid="_x0000_s1038" type="#_x0000_t202" style="position:absolute;left:32766;width:10001;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Nf8cA&#10;AADcAAAADwAAAGRycy9kb3ducmV2LnhtbESPQWvCQBSE74L/YXmF3nTTSMWmriKBYCl6SOqlt9fs&#10;MwnNvo3Zrab+elco9DjMzDfMcj2YVpypd41lBU/TCARxaXXDlYLDRzZZgHAeWWNrmRT8koP1ajxa&#10;YqLthXM6F74SAcIuQQW1910ipStrMuimtiMO3tH2Bn2QfSV1j5cAN62Mo2guDTYcFmrsKK2p/C5+&#10;jIL3NNtj/hWbxbVNt7vjpjsdPp+VenwYNq8gPA3+P/zXftMKZtEL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qzX/HAAAA3AAAAA8AAAAAAAAAAAAAAAAAmAIAAGRy&#10;cy9kb3ducmV2LnhtbFBLBQYAAAAABAAEAPUAAACMAwAAAAA=&#10;" filled="f" stroked="f" strokeweight=".5pt">
                    <v:textbox>
                      <w:txbxContent>
                        <w:p w:rsidR="003F1AAB" w:rsidRDefault="003F1AAB" w:rsidP="00312F8A">
                          <w:pPr>
                            <w:pStyle w:val="AERbodytextnospaceleftalign"/>
                          </w:pPr>
                          <w:proofErr w:type="gramStart"/>
                          <w:r>
                            <w:t>reset</w:t>
                          </w:r>
                          <w:proofErr w:type="gramEnd"/>
                          <w:r>
                            <w:t xml:space="preserve"> date x+1</w:t>
                          </w:r>
                        </w:p>
                      </w:txbxContent>
                    </v:textbox>
                  </v:shape>
                </v:group>
                <v:oval id="Oval 310" o:spid="_x0000_s1039" style="position:absolute;left:37433;top:2571;width:1048;height:1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rjMIA&#10;AADcAAAADwAAAGRycy9kb3ducmV2LnhtbERPTWvCQBC9F/oflil4qxstWJNmIyIIVXoxEbxOs9Mk&#10;NTsbsmsS/717KPT4eN/pZjKtGKh3jWUFi3kEgri0uuFKwbnYv65BOI+ssbVMCu7kYJM9P6WYaDvy&#10;iYbcVyKEsEtQQe19l0jpypoMurntiAP3Y3uDPsC+krrHMYSbVi6jaCUNNhwaauxoV1N5zW9GQXW6&#10;uuMS4/L3O37PD21TfMWXQqnZy7T9AOFp8v/iP/enVvC2CPPDmXAE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CuMwgAAANwAAAAPAAAAAAAAAAAAAAAAAJgCAABkcnMvZG93&#10;bnJldi54bWxQSwUGAAAAAAQABAD1AAAAhwMAAAAA&#10;" fillcolor="white [3201]" strokecolor="#076a92 [3200]" strokeweight="2pt"/>
                <w10:anchorlock/>
              </v:group>
            </w:pict>
          </mc:Fallback>
        </mc:AlternateContent>
      </w:r>
    </w:p>
    <w:p w:rsidR="00312F8A" w:rsidRDefault="00312F8A" w:rsidP="00312F8A">
      <w:r>
        <w:t>If, at reset date x+1, we set an allowed rate of return that provides compensation for a service provider's actual (historical) cost outcomes from the previous period, we would</w:t>
      </w:r>
      <w:r w:rsidRPr="00F82FB2">
        <w:t xml:space="preserve"> </w:t>
      </w:r>
      <w:r>
        <w:t xml:space="preserve">effectively remove realised gains or losses from risk it had previously borne. </w:t>
      </w:r>
      <w:r w:rsidRPr="00F21B32">
        <w:t>The regulatory regime is an ex-ante regime that is not intended to remove all</w:t>
      </w:r>
      <w:r>
        <w:t xml:space="preserve"> </w:t>
      </w:r>
      <w:r w:rsidRPr="00F21B32">
        <w:t xml:space="preserve">risk from </w:t>
      </w:r>
      <w:r>
        <w:t>service providers and their capital investors</w:t>
      </w:r>
      <w:r w:rsidRPr="00F21B32">
        <w:t xml:space="preserve">. </w:t>
      </w:r>
      <w:r>
        <w:t xml:space="preserve">We set a </w:t>
      </w:r>
      <w:r w:rsidRPr="008D38BD">
        <w:t>forward looking</w:t>
      </w:r>
      <w:r>
        <w:t xml:space="preserve"> allowed rate of return that compensates investors with a risk premium over the risk free rate for the compensable risk of their investment. The risk premiums we set (on both debt and equity) are based on appropriate benchmark returns from capital markets. If we removed all risks facing capital investors then the appropriate return would theoretically be the risk free rate. </w:t>
      </w:r>
    </w:p>
    <w:p w:rsidR="00312F8A" w:rsidRDefault="00312F8A" w:rsidP="00312F8A">
      <w:r>
        <w:t>Critically, if an investor, at date x+1, looks back and sees it made a  gain (or loss) in relation to an investment it made at date x, this does not mean the investor is incorrectly over (or under) compensated. The gain (or loss) is due to the realisation of risk that was associated with the investm</w:t>
      </w:r>
      <w:r w:rsidR="00E42A91">
        <w:t xml:space="preserve">ent when it was made at date x. </w:t>
      </w:r>
      <w:r>
        <w:t xml:space="preserve">Likewise, service providers (and their investors) are not incorrectly compensated because they (at date x+1, looking back) have made a loss (or gain) due to ex-post movements in interest rates impacting the value of their liabilities differently to their regulated revenue set at date x. Again, the gain (or loss) is due to an ex-post realisation of risk, risk for which investors received ex-ante compensation for bearing. This is accepted risk, which is a critical part of the choice to make a risky investment. </w:t>
      </w:r>
    </w:p>
    <w:p w:rsidR="00312F8A" w:rsidRDefault="00312F8A" w:rsidP="00312F8A">
      <w:r>
        <w:t>In an investment context there is no need to compensate investors for gains or losses resulting from a realisation of risk for which they have been ex ante efficiently compensated for bearing. In our regulatory context, investors have invested in the service providers we regulate under the knowledge they would bear the interest rate risk associated with the on-the-day methodology. In addition, the way we benchmark the allowed rate of return (in particular, the return on equity) provides compensation for bearing this risk (see below). On this basis, we consider no further compensation for the gains or losses associated with ex-post movements in interest rates is required or appropriate.</w:t>
      </w:r>
      <w:r>
        <w:rPr>
          <w:rStyle w:val="FootnoteReference"/>
        </w:rPr>
        <w:footnoteReference w:id="1052"/>
      </w:r>
      <w:r>
        <w:t xml:space="preserve"> </w:t>
      </w:r>
    </w:p>
    <w:p w:rsidR="00312F8A" w:rsidRDefault="00312F8A" w:rsidP="00312F8A">
      <w:pPr>
        <w:pStyle w:val="HeadingBoldItalic"/>
      </w:pPr>
      <w:r>
        <w:t>Desirability of minimising mismatch</w:t>
      </w:r>
    </w:p>
    <w:p w:rsidR="00312F8A" w:rsidRDefault="00312F8A" w:rsidP="00312F8A">
      <w:r w:rsidRPr="00F21B32">
        <w:t>In determi</w:t>
      </w:r>
      <w:r>
        <w:t xml:space="preserve">ning the allowed return on debt, we are required to </w:t>
      </w:r>
      <w:r w:rsidRPr="00F21B32">
        <w:t>have regard to the</w:t>
      </w:r>
      <w:r>
        <w:t xml:space="preserve"> '</w:t>
      </w:r>
      <w:r w:rsidRPr="00F21B32">
        <w:t>mismatch</w:t>
      </w:r>
      <w:r>
        <w:t>'</w:t>
      </w:r>
      <w:r w:rsidRPr="00F21B32">
        <w:t xml:space="preserve"> between </w:t>
      </w:r>
      <w:r>
        <w:t>a benchmark eff</w:t>
      </w:r>
      <w:r w:rsidRPr="00F21B32">
        <w:t xml:space="preserve">icient </w:t>
      </w:r>
      <w:r>
        <w:t>entity's</w:t>
      </w:r>
      <w:r w:rsidRPr="00F21B32">
        <w:t xml:space="preserve"> actual debt cost</w:t>
      </w:r>
      <w:r>
        <w:t xml:space="preserve"> outcomes (or cash outflows)</w:t>
      </w:r>
      <w:r w:rsidRPr="00F21B32">
        <w:t xml:space="preserve"> and the </w:t>
      </w:r>
      <w:r>
        <w:t xml:space="preserve">return on </w:t>
      </w:r>
      <w:r w:rsidRPr="00F21B32">
        <w:t>debt allowance</w:t>
      </w:r>
      <w:r>
        <w:t>.</w:t>
      </w:r>
      <w:r>
        <w:rPr>
          <w:rStyle w:val="FootnoteReference"/>
        </w:rPr>
        <w:footnoteReference w:id="1053"/>
      </w:r>
      <w:r>
        <w:t xml:space="preserve"> However, we do not consider that this </w:t>
      </w:r>
      <w:r w:rsidRPr="00F21B32">
        <w:t>permit</w:t>
      </w:r>
      <w:r>
        <w:t>s</w:t>
      </w:r>
      <w:r w:rsidRPr="00F21B32">
        <w:t xml:space="preserve"> </w:t>
      </w:r>
      <w:r>
        <w:t>us</w:t>
      </w:r>
      <w:r w:rsidRPr="00F21B32">
        <w:t xml:space="preserve"> to set a rate of return that will not meet the ARORO or will not achieve the NEO/NGO.</w:t>
      </w:r>
    </w:p>
    <w:p w:rsidR="00312F8A" w:rsidRDefault="00312F8A" w:rsidP="00312F8A">
      <w:r>
        <w:t xml:space="preserve">Rather, some mismatch between the </w:t>
      </w:r>
      <w:r w:rsidRPr="00F21B32">
        <w:t>actual (cash) debt costs and the regulated debt allowance</w:t>
      </w:r>
      <w:r>
        <w:t xml:space="preserve"> is an intrinsic part of incentive regulation</w:t>
      </w:r>
      <w:r w:rsidRPr="00BB7CBA">
        <w:t>―</w:t>
      </w:r>
      <w:r>
        <w:t>whether the allowance is set using a trailing average approach or otherwise. This is because a mismatch can only be identified ex-post and we set an ex-ante fixed regulatory allowance based on forecast efficient costs. This allowance is not revised ex-post for a service provider's actual (historical) costs (see above).</w:t>
      </w:r>
      <w:r>
        <w:rPr>
          <w:rStyle w:val="FootnoteReference"/>
        </w:rPr>
        <w:footnoteReference w:id="1054"/>
      </w:r>
      <w:r>
        <w:t xml:space="preserve"> SFG recognised this in its report for the Australian Energy Market Commission (AEMC). Here, SFG</w:t>
      </w:r>
      <w:r w:rsidRPr="00F21B32">
        <w:t xml:space="preserve"> </w:t>
      </w:r>
      <w:r>
        <w:t>considered a mismatch between</w:t>
      </w:r>
      <w:r w:rsidRPr="00F21B32">
        <w:t xml:space="preserve"> a firm</w:t>
      </w:r>
      <w:r>
        <w:t>'</w:t>
      </w:r>
      <w:r w:rsidRPr="00F21B32">
        <w:t xml:space="preserve">s debt service payments </w:t>
      </w:r>
      <w:r>
        <w:t>and</w:t>
      </w:r>
      <w:r w:rsidRPr="00F21B32">
        <w:t xml:space="preserve"> the regulatory allowance</w:t>
      </w:r>
      <w:r>
        <w:t xml:space="preserve"> could arise for a number of reasons, including:</w:t>
      </w:r>
      <w:r w:rsidRPr="000666D4">
        <w:rPr>
          <w:rStyle w:val="FootnoteReference"/>
        </w:rPr>
        <w:footnoteReference w:id="1055"/>
      </w:r>
    </w:p>
    <w:p w:rsidR="00312F8A" w:rsidRPr="00D9597E" w:rsidRDefault="00312F8A" w:rsidP="00312F8A">
      <w:pPr>
        <w:pStyle w:val="AERbulletlistfirststyle"/>
      </w:pPr>
      <w:r w:rsidRPr="00F21B32">
        <w:t>‘because the cost of capital is, in fact, variable over time’</w:t>
      </w:r>
      <w:r w:rsidRPr="00D9597E">
        <w:t xml:space="preserve"> rather than because there is problem with the measurement</w:t>
      </w:r>
    </w:p>
    <w:p w:rsidR="00312F8A" w:rsidRPr="00D9597E" w:rsidRDefault="00312F8A" w:rsidP="00312F8A">
      <w:pPr>
        <w:pStyle w:val="AERbulletlistfirststyle"/>
      </w:pPr>
      <w:proofErr w:type="gramStart"/>
      <w:r>
        <w:t>because</w:t>
      </w:r>
      <w:proofErr w:type="gramEnd"/>
      <w:r>
        <w:t xml:space="preserve"> </w:t>
      </w:r>
      <w:r w:rsidRPr="00D9597E">
        <w:t>'there may be a difference between the rate at which the business can borrow and the regulatory benchmark'.</w:t>
      </w:r>
    </w:p>
    <w:p w:rsidR="00312F8A" w:rsidRDefault="00312F8A" w:rsidP="00312F8A">
      <w:r>
        <w:t>We consider</w:t>
      </w:r>
      <w:r w:rsidRPr="00F21B32">
        <w:t xml:space="preserve"> a</w:t>
      </w:r>
      <w:r>
        <w:t xml:space="preserve"> service provider's ex-post</w:t>
      </w:r>
      <w:r w:rsidRPr="00F21B32">
        <w:t xml:space="preserve"> mismatch does not (of itself) i</w:t>
      </w:r>
      <w:r>
        <w:t xml:space="preserve">mply the regulator is setting a </w:t>
      </w:r>
      <w:r w:rsidRPr="00F21B32">
        <w:t xml:space="preserve">rate of return that will not </w:t>
      </w:r>
      <w:r>
        <w:t xml:space="preserve">appropriately </w:t>
      </w:r>
      <w:r w:rsidRPr="00F21B32">
        <w:t xml:space="preserve">compensate a </w:t>
      </w:r>
      <w:r>
        <w:t>benchmark efficient entity</w:t>
      </w:r>
      <w:r w:rsidRPr="00F21B32">
        <w:t xml:space="preserve"> for its efficient cost of debt finance. </w:t>
      </w:r>
      <w:r>
        <w:t>A mismatch does not mean the present value of the ex-ante allowed return on debt (or return on capital) cash flows will not equal the present value of a benchmark efficient entity's ex-ante efficient debt financing costs (or overall capital financing costs). Rather, we consider it is the risk of a mismatch occurring that is relevant to ex-ante regulation. This risk is a form of interest rate risk.</w:t>
      </w:r>
    </w:p>
    <w:p w:rsidR="00312F8A" w:rsidRDefault="00312F8A" w:rsidP="00312F8A">
      <w:r>
        <w:t xml:space="preserve">In section </w:t>
      </w:r>
      <w:r>
        <w:fldChar w:fldCharType="begin"/>
      </w:r>
      <w:r>
        <w:instrText xml:space="preserve"> REF _Ref444773920 \r \h </w:instrText>
      </w:r>
      <w:r>
        <w:fldChar w:fldCharType="separate"/>
      </w:r>
      <w:r w:rsidR="003F1AAB">
        <w:t>H.7.3</w:t>
      </w:r>
      <w:r>
        <w:fldChar w:fldCharType="end"/>
      </w:r>
      <w:r>
        <w:t>, we show (through present value relationships) that both an on-the-day and trailing average approach (with a full transition) should, in principle, provide the same ex-ante compensation for a benchmark efficient entity's efficient financing costs over the term of the RAB. We consider these present value relationships show both approaches can provide a benchmark efficient entity with ex-ante efficient compensation and meet the ARORO. There is no ex-ante over- or under-compensation overall (that is, over the term of the RAB), regardless of a benchmark efficient entity's actual (ex-post) cost outcomes.</w:t>
      </w:r>
    </w:p>
    <w:p w:rsidR="00312F8A" w:rsidRDefault="00312F8A" w:rsidP="00312F8A">
      <w:r>
        <w:t>We consider ex-ante systematic over- or under-compensation can only occur if the interest rate risk arising from an expected mismatch affects a benchmark efficient entity's cost of capital and the allowed rate of return does not reflect this. However, we benchmark the allowed rate of return (which requires consistently benchmarking the return on debt, return on equity and gearing)</w:t>
      </w:r>
      <w:r>
        <w:rPr>
          <w:rStyle w:val="FootnoteReference"/>
        </w:rPr>
        <w:footnoteReference w:id="1056"/>
      </w:r>
      <w:r>
        <w:t xml:space="preserve"> on observed data from service providers comparable to a benchmark efficient entity operating under an on-the-day approach (where the risk of mismatch is likely more material).</w:t>
      </w:r>
      <w:r>
        <w:rPr>
          <w:rStyle w:val="FootnoteReference"/>
        </w:rPr>
        <w:footnoteReference w:id="1057"/>
      </w:r>
      <w:r>
        <w:t xml:space="preserve"> Therefore, the allowed rate of return should be commensurate with the efficient financing costs of a benchmark efficient entity with a similar degree of risk as a regulated service provider operating under this approach.</w:t>
      </w:r>
      <w:r w:rsidRPr="00FB1598">
        <w:t xml:space="preserve"> </w:t>
      </w:r>
      <w:r>
        <w:t>To the extent a benchmark efficient entity's investors expect that moving to a  trailing average approach would reduce the  risk they require compensation for, our allowed return on debt will likely be generous to service providers.</w:t>
      </w:r>
      <w:r>
        <w:rPr>
          <w:rStyle w:val="FootnoteReference"/>
        </w:rPr>
        <w:footnoteReference w:id="1058"/>
      </w:r>
      <w:r>
        <w:t xml:space="preserve"> In particular, our estimate of systematic risk (beta) includes historical data, which will capture the systematic risk that a benchmark efficient entity would have been exposed to under the on-the-day approach.</w:t>
      </w:r>
    </w:p>
    <w:p w:rsidR="00312F8A" w:rsidRDefault="00312F8A" w:rsidP="00312F8A">
      <w:r>
        <w:t xml:space="preserve">We also note that Partington and Satchell consider mismatch between a service provider's </w:t>
      </w:r>
      <w:r w:rsidRPr="00F21B32">
        <w:t xml:space="preserve">actual </w:t>
      </w:r>
      <w:r>
        <w:t>incurred cost of debt and allowed return on debt is a consequence of its particular debt financing choices. They do not consider this affects a benchmark efficient entity's opportunity to earn the efficient return on its RAB.</w:t>
      </w:r>
      <w:r>
        <w:rPr>
          <w:rStyle w:val="FootnoteReference"/>
        </w:rPr>
        <w:footnoteReference w:id="1059"/>
      </w:r>
      <w:r>
        <w:t xml:space="preserve"> </w:t>
      </w:r>
    </w:p>
    <w:p w:rsidR="00312F8A" w:rsidRDefault="00312F8A" w:rsidP="00312F8A">
      <w:r>
        <w:t>Moreover, the desirability of minimising (ex-post) debt cash flow mismatch is not the only type of interest rate mismatch risk we consider relevant. The rules require us to have regard to the desirability of minimising this type of mismatch for a benchmark efficient entity. However, there can also be a mismatch between the allowed return on debt and the prevailing cost of debt for a benchmark efficient entity at the time at which the allowed rate of return is reset. We consider this can affect the ability of a return on debt approach to provide ex-ante efficient compensation, and can also result in investment distortions.</w:t>
      </w:r>
      <w:r>
        <w:rPr>
          <w:rStyle w:val="FootnoteReference"/>
        </w:rPr>
        <w:footnoteReference w:id="1060"/>
      </w:r>
      <w:r w:rsidRPr="008C3695">
        <w:t xml:space="preserve"> </w:t>
      </w:r>
      <w:r>
        <w:t xml:space="preserve">To the extent that this type of mismatch results in compensation that is not ex-ante efficient, we consider this would not meet the ARORO. </w:t>
      </w:r>
    </w:p>
    <w:p w:rsidR="00312F8A" w:rsidRDefault="00312F8A" w:rsidP="00312F8A">
      <w:r>
        <w:t xml:space="preserve">While a trailing average approach is expected to reduce the former type of mismatch relative to an on-the-day approach, an on-the-day approach is expected to reduce the latter type of mismatch relative to a trailing average approach. </w:t>
      </w:r>
    </w:p>
    <w:p w:rsidR="00312F8A" w:rsidRPr="00F21B32" w:rsidRDefault="00312F8A" w:rsidP="00312F8A">
      <w:pPr>
        <w:pStyle w:val="Heading9"/>
      </w:pPr>
      <w:bookmarkStart w:id="342" w:name="_Ref447803918"/>
      <w:bookmarkStart w:id="343" w:name="_Toc452629096"/>
      <w:bookmarkStart w:id="344" w:name="_Toc456686761"/>
      <w:r>
        <w:t>Consistency with the NEL/NGL</w:t>
      </w:r>
      <w:bookmarkEnd w:id="342"/>
      <w:bookmarkEnd w:id="343"/>
      <w:bookmarkEnd w:id="344"/>
    </w:p>
    <w:p w:rsidR="00312F8A" w:rsidRPr="00F21B32" w:rsidRDefault="00312F8A" w:rsidP="00312F8A">
      <w:r w:rsidRPr="00F21B32">
        <w:t xml:space="preserve">We consider </w:t>
      </w:r>
      <w:r>
        <w:t>an allowed rate of</w:t>
      </w:r>
      <w:r w:rsidRPr="00F21B32">
        <w:t xml:space="preserve"> return that </w:t>
      </w:r>
      <w:r>
        <w:t xml:space="preserve">meets the ARORO </w:t>
      </w:r>
      <w:r w:rsidRPr="00F21B32">
        <w:t>should</w:t>
      </w:r>
      <w:r>
        <w:t xml:space="preserve"> </w:t>
      </w:r>
      <w:r w:rsidRPr="00F21B32">
        <w:t>lead to economically efficient investment</w:t>
      </w:r>
      <w:r>
        <w:t>, provision of</w:t>
      </w:r>
      <w:r w:rsidRPr="00F21B32">
        <w:t xml:space="preserve"> and use of infrastructure</w:t>
      </w:r>
      <w:r>
        <w:t>, consistent with the</w:t>
      </w:r>
      <w:r w:rsidRPr="00494BE4">
        <w:t xml:space="preserve"> </w:t>
      </w:r>
      <w:r>
        <w:t>NEL/NGL</w:t>
      </w:r>
      <w:r w:rsidRPr="00F21B32">
        <w:t>.</w:t>
      </w:r>
      <w:r>
        <w:rPr>
          <w:rStyle w:val="FootnoteReference"/>
        </w:rPr>
        <w:footnoteReference w:id="1061"/>
      </w:r>
      <w:r w:rsidRPr="00F21B32">
        <w:t xml:space="preserve"> </w:t>
      </w:r>
      <w:r>
        <w:t>This allowed rate of return should also provide</w:t>
      </w:r>
      <w:r w:rsidRPr="00F21B32">
        <w:t xml:space="preserve"> </w:t>
      </w:r>
      <w:r>
        <w:t>service providers</w:t>
      </w:r>
      <w:r w:rsidRPr="00F21B32">
        <w:t xml:space="preserve"> with a </w:t>
      </w:r>
      <w:r w:rsidRPr="00E26732">
        <w:rPr>
          <w:rStyle w:val="AERtextunderline"/>
        </w:rPr>
        <w:t>reasonable opportunity</w:t>
      </w:r>
      <w:r w:rsidRPr="00F21B32">
        <w:t xml:space="preserve"> to recover</w:t>
      </w:r>
      <w:r>
        <w:t xml:space="preserve"> their</w:t>
      </w:r>
      <w:r w:rsidRPr="00F21B32">
        <w:t xml:space="preserve"> efficient costs. We consider </w:t>
      </w:r>
      <w:r>
        <w:t>our</w:t>
      </w:r>
      <w:r w:rsidRPr="00F21B32">
        <w:t xml:space="preserve"> interpretation of the ARORO is consistent with the wording in the</w:t>
      </w:r>
      <w:r>
        <w:t xml:space="preserve"> NEO/NGO in the</w:t>
      </w:r>
      <w:r w:rsidRPr="00F21B32">
        <w:t xml:space="preserve"> NE</w:t>
      </w:r>
      <w:r>
        <w:t>L</w:t>
      </w:r>
      <w:r w:rsidRPr="00F21B32">
        <w:t xml:space="preserve">/NGL. Our view appears consistent with the views of the AEMC </w:t>
      </w:r>
      <w:r>
        <w:t>when</w:t>
      </w:r>
      <w:r w:rsidRPr="00F21B32">
        <w:t xml:space="preserve"> </w:t>
      </w:r>
      <w:r>
        <w:t>it</w:t>
      </w:r>
      <w:r w:rsidRPr="00F21B32">
        <w:t xml:space="preserve"> stated:</w:t>
      </w:r>
      <w:r w:rsidRPr="00BE4F1A">
        <w:rPr>
          <w:rStyle w:val="FootnoteReference"/>
        </w:rPr>
        <w:footnoteReference w:id="1062"/>
      </w:r>
    </w:p>
    <w:p w:rsidR="00312F8A" w:rsidRPr="00F21B32" w:rsidRDefault="00312F8A" w:rsidP="00312F8A">
      <w:pPr>
        <w:pStyle w:val="AERquote"/>
      </w:pPr>
      <w:r w:rsidRPr="00F21B32">
        <w:t>If the rate of return estimate is set to the efficient required return, there will be no incentive for under- or over- investment. Such incentives for inefficient investment become more pronounced when the rate of return estimate differs from the efficien</w:t>
      </w:r>
      <w:r>
        <w:t>t required return.</w:t>
      </w:r>
    </w:p>
    <w:p w:rsidR="00312F8A" w:rsidRDefault="00312F8A" w:rsidP="00312F8A">
      <w:r w:rsidRPr="00F21B32">
        <w:t xml:space="preserve">The concept that </w:t>
      </w:r>
      <w:r>
        <w:t xml:space="preserve">a reasonable </w:t>
      </w:r>
      <w:r w:rsidRPr="00F21B32">
        <w:t>return</w:t>
      </w:r>
      <w:r>
        <w:t xml:space="preserve"> to investment</w:t>
      </w:r>
      <w:r w:rsidRPr="00F21B32">
        <w:t xml:space="preserve"> is important to achieving efficient </w:t>
      </w:r>
      <w:r>
        <w:t xml:space="preserve">regulatory </w:t>
      </w:r>
      <w:r w:rsidRPr="00F21B32">
        <w:t>investment appears common sense. Setting too high (or low) an expected return relative to the expected return on alternate equivalent risk investments would be expected to lead to distorted over (</w:t>
      </w:r>
      <w:r>
        <w:t xml:space="preserve">or </w:t>
      </w:r>
      <w:r w:rsidRPr="00F21B32">
        <w:t xml:space="preserve">under) investment </w:t>
      </w:r>
      <w:r>
        <w:t>in regulated assets</w:t>
      </w:r>
      <w:r w:rsidRPr="00F21B32">
        <w:t xml:space="preserve"> (all else </w:t>
      </w:r>
      <w:r>
        <w:t xml:space="preserve">being </w:t>
      </w:r>
      <w:r w:rsidRPr="00F21B32">
        <w:t>equal). The aim of setting a</w:t>
      </w:r>
      <w:r>
        <w:t xml:space="preserve">n </w:t>
      </w:r>
      <w:r w:rsidRPr="00F21B32">
        <w:t>expected return to achieve efficient investment also appears broadly accepted in regulatory literature.</w:t>
      </w:r>
      <w:r w:rsidRPr="00F21B32">
        <w:rPr>
          <w:rStyle w:val="FootnoteReference"/>
        </w:rPr>
        <w:footnoteReference w:id="1063"/>
      </w:r>
      <w:r>
        <w:t xml:space="preserve"> This is also consistent with advice from the </w:t>
      </w:r>
      <w:r w:rsidRPr="001C4431">
        <w:t>Consumer Challenge Panel Sub Panel 3</w:t>
      </w:r>
      <w:r>
        <w:t xml:space="preserve"> (CCP3) that stated:</w:t>
      </w:r>
      <w:r>
        <w:rPr>
          <w:rStyle w:val="FootnoteReference"/>
        </w:rPr>
        <w:footnoteReference w:id="1064"/>
      </w:r>
    </w:p>
    <w:p w:rsidR="00312F8A" w:rsidRDefault="00312F8A" w:rsidP="00312F8A">
      <w:pPr>
        <w:pStyle w:val="AERquote"/>
      </w:pPr>
      <w:r w:rsidRPr="00E905B1">
        <w:t>The AER must have regard to the impact of their RoR decision on capex incentives. Given that the DNSPs’ revised proposal is significan</w:t>
      </w:r>
      <w:r w:rsidRPr="001A2620">
        <w:t xml:space="preserve">tly above current costs of capital for BBB/BBB+ rated companies, there will be perverse incentives to overinvest in the network. </w:t>
      </w:r>
    </w:p>
    <w:p w:rsidR="00312F8A" w:rsidRDefault="00312F8A" w:rsidP="00312F8A">
      <w:r>
        <w:t>Similarly, Partington and Satchell consider the rule requirements are consistent with the zero NPV investment condition, stating:</w:t>
      </w:r>
      <w:r>
        <w:rPr>
          <w:rStyle w:val="FootnoteReference"/>
        </w:rPr>
        <w:footnoteReference w:id="1065"/>
      </w:r>
    </w:p>
    <w:p w:rsidR="00312F8A" w:rsidRPr="001A2620" w:rsidRDefault="00312F8A" w:rsidP="00312F8A">
      <w:pPr>
        <w:pStyle w:val="AERquote"/>
      </w:pPr>
      <w:r w:rsidRPr="00770BC0">
        <w:t>The national electricity and gas objectives are to achieve efficient investment and efficient operation in the long term interest of consumers, while the revenue and pricing principles allow for the recovery, by the regulated businesses, of efficient costs including a return on capital and having regard for the cos</w:t>
      </w:r>
      <w:r>
        <w:t>ts and risks of overinvestment.</w:t>
      </w:r>
      <w:r w:rsidRPr="00770BC0">
        <w:t xml:space="preserve"> There is very clear criterion that can be applied to meet these requirements. That criterion is that investment in regulated assets should be a zero NPV activity.</w:t>
      </w:r>
      <w:r w:rsidRPr="00770BC0" w:rsidDel="00770BC0">
        <w:t xml:space="preserve"> </w:t>
      </w:r>
    </w:p>
    <w:p w:rsidR="00312F8A" w:rsidRDefault="00312F8A" w:rsidP="00312F8A">
      <w:pPr>
        <w:pStyle w:val="Heading9"/>
      </w:pPr>
      <w:bookmarkStart w:id="345" w:name="_Ref447803924"/>
      <w:bookmarkStart w:id="346" w:name="_Toc452629097"/>
      <w:bookmarkStart w:id="347" w:name="_Toc456686762"/>
      <w:r>
        <w:t>Requirement for a revenue-neutral transition if there is a regime change</w:t>
      </w:r>
      <w:bookmarkEnd w:id="345"/>
      <w:bookmarkEnd w:id="346"/>
      <w:bookmarkEnd w:id="347"/>
    </w:p>
    <w:p w:rsidR="00312F8A" w:rsidRPr="00F21B32" w:rsidRDefault="00312F8A" w:rsidP="00312F8A">
      <w:r w:rsidRPr="00F21B32">
        <w:t xml:space="preserve">We consider that both an on-the-day </w:t>
      </w:r>
      <w:r>
        <w:t>methodology</w:t>
      </w:r>
      <w:r w:rsidRPr="00F21B32">
        <w:t xml:space="preserve"> to setting the cost of debt and a trailing average </w:t>
      </w:r>
      <w:r>
        <w:t xml:space="preserve">methodology </w:t>
      </w:r>
      <w:r w:rsidRPr="00F21B32">
        <w:t>can meet the ARORO</w:t>
      </w:r>
      <w:r>
        <w:t xml:space="preserve">. However, </w:t>
      </w:r>
      <w:r w:rsidRPr="00F21B32">
        <w:t>in moving between different approaches</w:t>
      </w:r>
      <w:r>
        <w:t>,</w:t>
      </w:r>
      <w:r w:rsidRPr="00F21B32">
        <w:t xml:space="preserve"> a transition that </w:t>
      </w:r>
      <w:r>
        <w:t>is revenue-neutral in a present value sense</w:t>
      </w:r>
      <w:r w:rsidRPr="00F21B32">
        <w:t xml:space="preserve"> will meet the ARORO. Section</w:t>
      </w:r>
      <w:r>
        <w:t xml:space="preserve"> </w:t>
      </w:r>
      <w:r>
        <w:fldChar w:fldCharType="begin"/>
      </w:r>
      <w:r>
        <w:instrText xml:space="preserve"> REF _Ref444767739 \r \h </w:instrText>
      </w:r>
      <w:r>
        <w:fldChar w:fldCharType="separate"/>
      </w:r>
      <w:r w:rsidR="003F1AAB">
        <w:t>H.7</w:t>
      </w:r>
      <w:r>
        <w:fldChar w:fldCharType="end"/>
      </w:r>
      <w:r>
        <w:t xml:space="preserve"> further discusses t</w:t>
      </w:r>
      <w:r w:rsidRPr="00F21B32">
        <w:t xml:space="preserve">he position that either approach can result in </w:t>
      </w:r>
      <w:r>
        <w:t xml:space="preserve">a reasonable </w:t>
      </w:r>
      <w:r w:rsidRPr="00F21B32">
        <w:t xml:space="preserve">return </w:t>
      </w:r>
      <w:r>
        <w:t xml:space="preserve">on capital </w:t>
      </w:r>
      <w:r w:rsidRPr="00F21B32">
        <w:t>(and therefore could meet the ARORO)</w:t>
      </w:r>
      <w:r>
        <w:t xml:space="preserve">. This position also </w:t>
      </w:r>
      <w:r w:rsidRPr="00F21B32">
        <w:t>appears consistent with SFG</w:t>
      </w:r>
      <w:r>
        <w:t xml:space="preserve">'s </w:t>
      </w:r>
      <w:r w:rsidRPr="00F21B32">
        <w:t xml:space="preserve">view </w:t>
      </w:r>
      <w:r>
        <w:t xml:space="preserve">that </w:t>
      </w:r>
      <w:r w:rsidRPr="00F21B32">
        <w:t>the AEMC</w:t>
      </w:r>
      <w:r>
        <w:t xml:space="preserve"> noted</w:t>
      </w:r>
      <w:r w:rsidRPr="00F21B32">
        <w:t xml:space="preserve"> in its final rule determination where </w:t>
      </w:r>
      <w:r>
        <w:t xml:space="preserve">it </w:t>
      </w:r>
      <w:r w:rsidRPr="00F21B32">
        <w:t>stated:</w:t>
      </w:r>
      <w:r w:rsidRPr="00F21B32">
        <w:rPr>
          <w:rStyle w:val="FootnoteReference"/>
        </w:rPr>
        <w:footnoteReference w:id="1066"/>
      </w:r>
    </w:p>
    <w:p w:rsidR="00312F8A" w:rsidRPr="00F21B32" w:rsidRDefault="00312F8A" w:rsidP="00312F8A">
      <w:pPr>
        <w:pStyle w:val="AERquote"/>
      </w:pPr>
      <w:r w:rsidRPr="00F21B32">
        <w:t>In its report, 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 SFG observed that averaging</w:t>
      </w:r>
      <w:r>
        <w:t xml:space="preserve"> approaches will by definition</w:t>
      </w:r>
      <w:r w:rsidRPr="00F21B32">
        <w:t xml:space="preserve"> result in smoother estimates of the return on debt over time.</w:t>
      </w:r>
    </w:p>
    <w:p w:rsidR="00312F8A" w:rsidRPr="00F21B32" w:rsidRDefault="00312F8A" w:rsidP="00312F8A">
      <w:r w:rsidRPr="00F21B32">
        <w:t xml:space="preserve">We note that when undertaking the rule change in 2012 the AEMC added in clause </w:t>
      </w:r>
      <w:proofErr w:type="gramStart"/>
      <w:r w:rsidRPr="00F21B32">
        <w:t>6</w:t>
      </w:r>
      <w:r>
        <w:t>A</w:t>
      </w:r>
      <w:r w:rsidRPr="00F21B32">
        <w:t>.</w:t>
      </w:r>
      <w:r>
        <w:t>6</w:t>
      </w:r>
      <w:r w:rsidRPr="00F21B32">
        <w:t>.</w:t>
      </w:r>
      <w:r>
        <w:t>2</w:t>
      </w:r>
      <w:r w:rsidRPr="00F21B32">
        <w:t>(</w:t>
      </w:r>
      <w:proofErr w:type="gramEnd"/>
      <w:r w:rsidRPr="00F21B32">
        <w:t>k)(4) that states</w:t>
      </w:r>
      <w:r>
        <w:t xml:space="preserve"> (emphasis added)</w:t>
      </w:r>
      <w:r w:rsidRPr="00F21B32">
        <w:t>:</w:t>
      </w:r>
    </w:p>
    <w:p w:rsidR="00312F8A" w:rsidRPr="00F21B32" w:rsidRDefault="00312F8A" w:rsidP="00312F8A">
      <w:pPr>
        <w:pStyle w:val="AERquote"/>
      </w:pPr>
      <w:r w:rsidRPr="00F21B32">
        <w:t xml:space="preserve">(k) In estimating the return on debt under paragraph (h), regard must </w:t>
      </w:r>
      <w:r>
        <w:t>be had to the following factors…</w:t>
      </w:r>
    </w:p>
    <w:p w:rsidR="00312F8A" w:rsidRPr="00F21B32" w:rsidRDefault="00312F8A" w:rsidP="00312F8A">
      <w:pPr>
        <w:pStyle w:val="AERquote"/>
      </w:pPr>
      <w:r w:rsidRPr="00F21B32">
        <w:t xml:space="preserve">(4)  </w:t>
      </w:r>
      <w:proofErr w:type="gramStart"/>
      <w:r w:rsidRPr="00F21B32">
        <w:t>any</w:t>
      </w:r>
      <w:proofErr w:type="gramEnd"/>
      <w:r w:rsidRPr="00F21B32">
        <w:t xml:space="preserve"> impacts (including in relation to the costs of servicing debt across </w:t>
      </w:r>
      <w:r w:rsidRPr="00312F8A">
        <w:t>regulatory control periods</w:t>
      </w:r>
      <w:r w:rsidRPr="00F21B32">
        <w:t xml:space="preserve">) on a benchmark efficient entity referred to in the </w:t>
      </w:r>
      <w:r w:rsidRPr="00312F8A">
        <w:t>allowed rate of return objective</w:t>
      </w:r>
      <w:r w:rsidRPr="00F21B32">
        <w:t xml:space="preserve"> that could arise </w:t>
      </w:r>
      <w:r w:rsidRPr="00E26732">
        <w:rPr>
          <w:rStyle w:val="AERtextboldunderline"/>
        </w:rPr>
        <w:t>as a result of changing the methodology</w:t>
      </w:r>
      <w:r w:rsidRPr="00F21B32">
        <w:t xml:space="preserve"> that is used to estimate the return on debt from one </w:t>
      </w:r>
      <w:r w:rsidRPr="00312F8A">
        <w:t>regulatory control period</w:t>
      </w:r>
      <w:r w:rsidRPr="00F21B32">
        <w:t xml:space="preserve"> to the next.</w:t>
      </w:r>
    </w:p>
    <w:p w:rsidR="00312F8A" w:rsidRPr="00F21B32" w:rsidRDefault="00312F8A" w:rsidP="00312F8A">
      <w:r w:rsidRPr="00F21B32">
        <w:t xml:space="preserve">This clause is explicit in requiring </w:t>
      </w:r>
      <w:r>
        <w:t>us</w:t>
      </w:r>
      <w:r w:rsidRPr="00F21B32">
        <w:t xml:space="preserve"> to have regard to any impacts</w:t>
      </w:r>
      <w:r w:rsidRPr="00793E5F">
        <w:t xml:space="preserve"> </w:t>
      </w:r>
      <w:r>
        <w:t>on a benchmark efficient entity</w:t>
      </w:r>
      <w:r w:rsidRPr="00F21B32">
        <w:t xml:space="preserve"> </w:t>
      </w:r>
      <w:r>
        <w:t xml:space="preserve">that could arise </w:t>
      </w:r>
      <w:r w:rsidRPr="00F21B32">
        <w:t xml:space="preserve">as a result of a change of methodology. This would include having regard to any material </w:t>
      </w:r>
      <w:r>
        <w:t>changes in</w:t>
      </w:r>
      <w:r w:rsidRPr="00E817C9">
        <w:t xml:space="preserve"> the present value of a benchmark efficient entity's </w:t>
      </w:r>
      <w:r>
        <w:t>regulated revenue</w:t>
      </w:r>
      <w:r w:rsidRPr="00E817C9">
        <w:t xml:space="preserve"> purely due to changing the debt estimation methodology</w:t>
      </w:r>
      <w:r w:rsidRPr="00F21B32">
        <w:t xml:space="preserve">. </w:t>
      </w:r>
      <w:r>
        <w:t xml:space="preserve">If such changes increased a </w:t>
      </w:r>
      <w:r w:rsidRPr="00E817C9">
        <w:t xml:space="preserve">benchmark efficient entity's </w:t>
      </w:r>
      <w:r>
        <w:t>value, then this would benefit its equity holders at the expense of consumers. Conversely, if such changes de</w:t>
      </w:r>
      <w:r w:rsidRPr="00E817C9">
        <w:t xml:space="preserve">creased a benchmark efficient entity's value, then this </w:t>
      </w:r>
      <w:r>
        <w:t xml:space="preserve">would cost its equity holders but provide a short term financial benefit to consumers (which may not be a long-term benefit to the extent this results in underinvestment).  As such, this methodological change </w:t>
      </w:r>
      <w:r w:rsidRPr="00F21B32">
        <w:t>may also have a material negative impact on the confidence in the predictability of the regulatory regime.</w:t>
      </w:r>
      <w:r>
        <w:rPr>
          <w:rStyle w:val="FootnoteReference"/>
        </w:rPr>
        <w:footnoteReference w:id="1067"/>
      </w:r>
      <w:r>
        <w:t xml:space="preserve"> </w:t>
      </w:r>
      <w:r w:rsidRPr="00F21B32">
        <w:t>We consider the AEMC</w:t>
      </w:r>
      <w:r>
        <w:t>'s</w:t>
      </w:r>
      <w:r w:rsidRPr="00F21B32">
        <w:t xml:space="preserve"> guidance on the intent of this clause is consistent with our approach</w:t>
      </w:r>
      <w:r>
        <w:t xml:space="preserve"> (emphasis added)</w:t>
      </w:r>
      <w:r w:rsidRPr="00F21B32">
        <w:t>:</w:t>
      </w:r>
      <w:r w:rsidRPr="00F21B32">
        <w:rPr>
          <w:rStyle w:val="FootnoteReference"/>
        </w:rPr>
        <w:footnoteReference w:id="1068"/>
      </w:r>
    </w:p>
    <w:p w:rsidR="00312F8A" w:rsidRPr="00F21B32" w:rsidRDefault="00312F8A" w:rsidP="00312F8A">
      <w:pPr>
        <w:pStyle w:val="AERquote"/>
      </w:pPr>
      <w:r w:rsidRPr="00F21B32">
        <w:t xml:space="preserve">The purpose of the fourth factor is for the regulator to have regard to </w:t>
      </w:r>
      <w:r w:rsidRPr="00E26732">
        <w:rPr>
          <w:rStyle w:val="AERtextboldunderline"/>
        </w:rPr>
        <w:t>impacts of changes in the methodology</w:t>
      </w:r>
      <w:r w:rsidRPr="00F21B32">
        <w:t xml:space="preserve">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312F8A" w:rsidRDefault="00312F8A" w:rsidP="00312F8A">
      <w:r>
        <w:t>W</w:t>
      </w:r>
      <w:r w:rsidRPr="00F21B32">
        <w:t xml:space="preserve">e have taken this factor into account and consider our transitional approach </w:t>
      </w:r>
      <w:r>
        <w:t xml:space="preserve">is </w:t>
      </w:r>
      <w:r w:rsidRPr="00F21B32">
        <w:t>consistent</w:t>
      </w:r>
      <w:r>
        <w:t xml:space="preserve"> with the intent of this factor. Nevertheless,</w:t>
      </w:r>
      <w:r w:rsidRPr="00F21B32">
        <w:t xml:space="preserve"> we consider that irrespective of this factor</w:t>
      </w:r>
      <w:r>
        <w:t>,</w:t>
      </w:r>
      <w:r w:rsidRPr="00F21B32">
        <w:t xml:space="preserve"> our tran</w:t>
      </w:r>
      <w:r>
        <w:t>sition approach meets the r</w:t>
      </w:r>
      <w:r w:rsidRPr="00F21B32">
        <w:t xml:space="preserve">equirements of the </w:t>
      </w:r>
      <w:r>
        <w:t>ARORO, NEO/NGO</w:t>
      </w:r>
      <w:r w:rsidRPr="00F21B32">
        <w:t xml:space="preserve"> and </w:t>
      </w:r>
      <w:r>
        <w:t>RPPs. Partington and Satchell and the CCP3 formed a similar view that the full transition to a trailing average in the Guideline would better satisfy the ARORO than the service providers' revised proposals.</w:t>
      </w:r>
      <w:r>
        <w:rPr>
          <w:rStyle w:val="FootnoteReference"/>
        </w:rPr>
        <w:footnoteReference w:id="1069"/>
      </w:r>
      <w:r>
        <w:t xml:space="preserve"> </w:t>
      </w:r>
      <w:r w:rsidRPr="00F21B32">
        <w:t>We also consider that an immediate</w:t>
      </w:r>
      <w:r>
        <w:t xml:space="preserve"> (or hybrid)</w:t>
      </w:r>
      <w:r w:rsidRPr="00F21B32">
        <w:t xml:space="preserve"> </w:t>
      </w:r>
      <w:r>
        <w:t>transition</w:t>
      </w:r>
      <w:r w:rsidRPr="00F21B32">
        <w:t xml:space="preserve"> to a trailing average would </w:t>
      </w:r>
      <w:r>
        <w:t>result in a</w:t>
      </w:r>
      <w:r w:rsidRPr="00F21B32">
        <w:t xml:space="preserve"> material and unexpected change</w:t>
      </w:r>
      <w:r>
        <w:t xml:space="preserve"> in the present value of a benchmark efficient entity</w:t>
      </w:r>
      <w:r w:rsidRPr="00F21B32">
        <w:t xml:space="preserve"> relative to </w:t>
      </w:r>
      <w:r>
        <w:t xml:space="preserve">a value consistent with </w:t>
      </w:r>
      <w:r w:rsidRPr="00F21B32">
        <w:t xml:space="preserve">investor expectations formed under the on-the-day </w:t>
      </w:r>
      <w:r>
        <w:t>regime</w:t>
      </w:r>
      <w:r w:rsidRPr="00F21B32">
        <w:t>. If this occurred it would likely increase expected regulatory</w:t>
      </w:r>
      <w:r>
        <w:t xml:space="preserve"> uncertainty</w:t>
      </w:r>
      <w:r w:rsidRPr="00F21B32">
        <w:t xml:space="preserve"> going forward. We consider this may both undermine confidence in the predictability of the regulatory arrangements and not minimise efficient financing costs (all else</w:t>
      </w:r>
      <w:r>
        <w:t xml:space="preserve"> being</w:t>
      </w:r>
      <w:r w:rsidRPr="00F21B32">
        <w:t xml:space="preserve"> equal).</w:t>
      </w:r>
      <w:r>
        <w:rPr>
          <w:rStyle w:val="FootnoteReference"/>
        </w:rPr>
        <w:footnoteReference w:id="1070"/>
      </w:r>
      <w:r w:rsidRPr="00F21B32">
        <w:t xml:space="preserve"> For these reasons, </w:t>
      </w:r>
      <w:r>
        <w:t>we</w:t>
      </w:r>
      <w:r w:rsidRPr="00F21B32">
        <w:t xml:space="preserve"> consider a lack of transition to limit </w:t>
      </w:r>
      <w:r>
        <w:t xml:space="preserve">uncertainty of regulatory changes affecting the value of the benchmark efficient entity </w:t>
      </w:r>
      <w:r w:rsidRPr="00F21B32">
        <w:t>is unlikely to be consistent with achieving the NEO/NGO and the RPP</w:t>
      </w:r>
      <w:r>
        <w:t>s</w:t>
      </w:r>
      <w:r w:rsidRPr="00F21B32">
        <w:t>.</w:t>
      </w:r>
    </w:p>
    <w:p w:rsidR="00312F8A" w:rsidRPr="00F21B32" w:rsidRDefault="00312F8A" w:rsidP="00312F8A">
      <w:r>
        <w:t xml:space="preserve">Similarly, </w:t>
      </w:r>
      <w:r w:rsidRPr="00F21B32">
        <w:t xml:space="preserve">SFG </w:t>
      </w:r>
      <w:r>
        <w:t>advised the AEMC that</w:t>
      </w:r>
      <w:r w:rsidRPr="00F21B32">
        <w:t xml:space="preserve"> a transition may be </w:t>
      </w:r>
      <w:r>
        <w:t>required</w:t>
      </w:r>
      <w:r w:rsidRPr="00F21B32">
        <w:t xml:space="preserve"> to limit </w:t>
      </w:r>
      <w:r>
        <w:t>'</w:t>
      </w:r>
      <w:r w:rsidRPr="00F21B32">
        <w:t>regulatory risk</w:t>
      </w:r>
      <w:r>
        <w:t>' and to avoid being in</w:t>
      </w:r>
      <w:r w:rsidRPr="00F21B32">
        <w:t>consistent with the NEO and RPP</w:t>
      </w:r>
      <w:r>
        <w:t>s.</w:t>
      </w:r>
      <w:r w:rsidRPr="00F21B32">
        <w:rPr>
          <w:rStyle w:val="FootnoteReference"/>
        </w:rPr>
        <w:footnoteReference w:id="1071"/>
      </w:r>
      <w:r>
        <w:t xml:space="preserve"> </w:t>
      </w:r>
      <w:r w:rsidRPr="00F21B32">
        <w:t xml:space="preserve">SFG also </w:t>
      </w:r>
      <w:r>
        <w:t>considered</w:t>
      </w:r>
      <w:r w:rsidRPr="00F21B32">
        <w:t xml:space="preserve"> that</w:t>
      </w:r>
      <w:r>
        <w:t xml:space="preserve"> </w:t>
      </w:r>
      <w:r w:rsidRPr="00F21B32">
        <w:t>the</w:t>
      </w:r>
      <w:r>
        <w:t xml:space="preserve"> transition</w:t>
      </w:r>
      <w:r w:rsidRPr="00F21B32">
        <w:t xml:space="preserve"> </w:t>
      </w:r>
      <w:r>
        <w:t>we</w:t>
      </w:r>
      <w:r w:rsidRPr="00F21B32">
        <w:t xml:space="preserve"> proposed (the QTC method) would be an appropriate means of transitioning from the</w:t>
      </w:r>
      <w:r>
        <w:t xml:space="preserve"> current rules (that used an on-the-</w:t>
      </w:r>
      <w:r w:rsidRPr="00F21B32">
        <w:t>day methodology) to the use of a historical average cost of debt approach.</w:t>
      </w:r>
      <w:r w:rsidRPr="00F21B32">
        <w:rPr>
          <w:rStyle w:val="FootnoteReference"/>
        </w:rPr>
        <w:footnoteReference w:id="1072"/>
      </w:r>
      <w:r w:rsidRPr="00F21B32">
        <w:t xml:space="preserve"> The desirability for predictability was also commented on by an Expert Panel on Energy Access pricing for the Ministerial Council on Energy in 2006 who noted [emphasis added]:</w:t>
      </w:r>
      <w:r w:rsidRPr="00F21B32">
        <w:rPr>
          <w:rStyle w:val="FootnoteReference"/>
        </w:rPr>
        <w:footnoteReference w:id="1073"/>
      </w:r>
    </w:p>
    <w:p w:rsidR="00312F8A" w:rsidRPr="00F21B32" w:rsidRDefault="00312F8A" w:rsidP="00312F8A">
      <w:pPr>
        <w:pStyle w:val="AERquote"/>
      </w:pPr>
      <w:r w:rsidRPr="00F21B32">
        <w:t xml:space="preserve">Regulatory (and hence investor and user) risk can greatly be reduced if decisions are made in a timely and predictable manner. Timeliness in access decisions (including any merits and judicial review process) is important for both reducing the costs of the regime and minimising uncertainty associated </w:t>
      </w:r>
      <w:r>
        <w:t>with the outcome of the review</w:t>
      </w:r>
      <w:r w:rsidRPr="00F21B32">
        <w:t>…</w:t>
      </w:r>
    </w:p>
    <w:p w:rsidR="00312F8A" w:rsidRPr="00F21B32" w:rsidRDefault="00312F8A" w:rsidP="00312F8A">
      <w:pPr>
        <w:pStyle w:val="AERquote"/>
      </w:pPr>
      <w:r w:rsidRPr="00AA5640">
        <w:rPr>
          <w:rStyle w:val="Strong"/>
        </w:rPr>
        <w:t>Equally important is the predictability of those decisions</w:t>
      </w:r>
      <w:r w:rsidRPr="00F21B32">
        <w:t xml:space="preserve"> – that is the development of an approach that gives energy users and investors in transmission and distribution infrastructure confidence that access and pricing outcomes will be guided by known principles that are </w:t>
      </w:r>
      <w:r>
        <w:t>applied in a consistent manner.</w:t>
      </w:r>
    </w:p>
    <w:p w:rsidR="00312F8A" w:rsidRDefault="00312F8A" w:rsidP="00312F8A">
      <w:r w:rsidRPr="00F21B32">
        <w:t>We consider our approach is consistent with the desire for predictability in regulatory decisions by using a transition to avoid</w:t>
      </w:r>
      <w:r>
        <w:t xml:space="preserve"> material wealth</w:t>
      </w:r>
      <w:r w:rsidRPr="00F21B32">
        <w:t xml:space="preserve"> impacts from the change in methodology.</w:t>
      </w:r>
      <w:r>
        <w:t xml:space="preserve"> HoustonKemp also provided support for a transition when it advised the Essential Services Commission of SA (ESCOSA):</w:t>
      </w:r>
      <w:r>
        <w:rPr>
          <w:rStyle w:val="FootnoteReference"/>
        </w:rPr>
        <w:footnoteReference w:id="1074"/>
      </w:r>
    </w:p>
    <w:p w:rsidR="00312F8A" w:rsidRPr="00F21B32" w:rsidRDefault="00312F8A" w:rsidP="00312F8A">
      <w:pPr>
        <w:pStyle w:val="AERquote"/>
      </w:pPr>
      <w:r w:rsidRPr="0097594A">
        <w:t>Consistent with regulatory best practice, a regulatory authority should seek to avoid imposing windfall gains</w:t>
      </w:r>
      <w:r>
        <w:t xml:space="preserve"> </w:t>
      </w:r>
      <w:r w:rsidRPr="0097594A">
        <w:t>or losses as a result of regulatory changes. A regulatory change that imposes windfall gains or losses will be</w:t>
      </w:r>
      <w:r>
        <w:t xml:space="preserve"> </w:t>
      </w:r>
      <w:r w:rsidRPr="0097594A">
        <w:t>to the detriment of regulatory certainty and will likely increase the perceived level of regulatory risk, and so</w:t>
      </w:r>
      <w:r>
        <w:t xml:space="preserve"> </w:t>
      </w:r>
      <w:r w:rsidRPr="0097594A">
        <w:t>the cost of capital.</w:t>
      </w:r>
    </w:p>
    <w:p w:rsidR="00312F8A" w:rsidRPr="00F21B32" w:rsidRDefault="00312F8A" w:rsidP="00312F8A">
      <w:r w:rsidRPr="00F21B32">
        <w:t xml:space="preserve">A transition </w:t>
      </w:r>
      <w:r>
        <w:t xml:space="preserve">is </w:t>
      </w:r>
      <w:r w:rsidRPr="00F21B32">
        <w:t xml:space="preserve">also </w:t>
      </w:r>
      <w:r>
        <w:t>likely to</w:t>
      </w:r>
      <w:r w:rsidRPr="00F21B32">
        <w:t xml:space="preserve"> be important </w:t>
      </w:r>
      <w:r>
        <w:t>for</w:t>
      </w:r>
      <w:r w:rsidRPr="00F21B32">
        <w:t xml:space="preserve"> maintaining the incentives on </w:t>
      </w:r>
      <w:r>
        <w:t>service providers</w:t>
      </w:r>
      <w:r w:rsidRPr="00F21B32">
        <w:t xml:space="preserve"> to adopt efficient financing practices under the regulatory regime</w:t>
      </w:r>
      <w:r>
        <w:t xml:space="preserve">. We consider this </w:t>
      </w:r>
      <w:r w:rsidRPr="00F21B32">
        <w:t xml:space="preserve">is consistent with the </w:t>
      </w:r>
      <w:r>
        <w:t>RPPs,</w:t>
      </w:r>
      <w:r w:rsidRPr="00F21B32">
        <w:t xml:space="preserve"> which </w:t>
      </w:r>
      <w:r>
        <w:t>indicate</w:t>
      </w:r>
      <w:r w:rsidRPr="00F21B32">
        <w:t xml:space="preserve"> regulated firms </w:t>
      </w:r>
      <w:r>
        <w:t>should</w:t>
      </w:r>
      <w:r w:rsidRPr="00F21B32">
        <w:t xml:space="preserve"> be provided with a range of incentives including incentives that should promote the efficient provision of electricity network</w:t>
      </w:r>
      <w:r>
        <w:t>/pipeline</w:t>
      </w:r>
      <w:r w:rsidRPr="00F21B32">
        <w:t xml:space="preserve"> services.</w:t>
      </w:r>
      <w:r w:rsidRPr="00F21B32">
        <w:rPr>
          <w:rStyle w:val="FootnoteReference"/>
        </w:rPr>
        <w:footnoteReference w:id="1075"/>
      </w:r>
      <w:r w:rsidRPr="00F21B32">
        <w:t xml:space="preserve"> </w:t>
      </w:r>
      <w:r>
        <w:t xml:space="preserve">These principles show our regime is intended to be an incentive base regime as opposed to a cost of service regime. </w:t>
      </w:r>
      <w:r w:rsidRPr="00F21B32">
        <w:t>To promote efficiency incentives</w:t>
      </w:r>
      <w:r>
        <w:t>,</w:t>
      </w:r>
      <w:r w:rsidRPr="00F21B32">
        <w:t xml:space="preserve"> we consider regulated firms should be required to </w:t>
      </w:r>
      <w:r>
        <w:t>bear the consequences of their chosen financing approach</w:t>
      </w:r>
      <w:r w:rsidRPr="00F21B32">
        <w:t xml:space="preserve"> from the prior re</w:t>
      </w:r>
      <w:r>
        <w:t>gulatory period where returns w</w:t>
      </w:r>
      <w:r w:rsidRPr="00F21B32">
        <w:t xml:space="preserve">ere set under the on-the-day methodology and any financing decisions they made over this period were made in the expectation this methodology would continue. </w:t>
      </w:r>
      <w:r>
        <w:t xml:space="preserve">It </w:t>
      </w:r>
      <w:r w:rsidRPr="00F21B32">
        <w:t xml:space="preserve">could significantly undermine </w:t>
      </w:r>
      <w:r>
        <w:t>service providers'</w:t>
      </w:r>
      <w:r w:rsidRPr="00F21B32">
        <w:t xml:space="preserve"> incentives to manage financial risk</w:t>
      </w:r>
      <w:r>
        <w:t xml:space="preserve"> efficiently </w:t>
      </w:r>
      <w:r w:rsidRPr="00F21B32">
        <w:t>if</w:t>
      </w:r>
      <w:r>
        <w:t xml:space="preserve"> we provide an allowed return on debt in this decision </w:t>
      </w:r>
      <w:proofErr w:type="gramStart"/>
      <w:r>
        <w:t>that results</w:t>
      </w:r>
      <w:proofErr w:type="gramEnd"/>
      <w:r>
        <w:t xml:space="preserve"> in regulated firms not bearing the consequences of their chosen financing practices. This is because service providers were </w:t>
      </w:r>
      <w:r w:rsidRPr="00F21B32">
        <w:t xml:space="preserve">required to bear and manage </w:t>
      </w:r>
      <w:r>
        <w:t xml:space="preserve">this </w:t>
      </w:r>
      <w:r w:rsidRPr="00F21B32">
        <w:t>risk.</w:t>
      </w:r>
      <w:r>
        <w:rPr>
          <w:rStyle w:val="FootnoteReference"/>
        </w:rPr>
        <w:footnoteReference w:id="1076"/>
      </w:r>
    </w:p>
    <w:p w:rsidR="00312F8A" w:rsidRDefault="00312F8A" w:rsidP="00312F8A">
      <w:pPr>
        <w:pStyle w:val="Heading8"/>
      </w:pPr>
      <w:bookmarkStart w:id="348" w:name="_Ref444767739"/>
      <w:bookmarkStart w:id="349" w:name="_Toc452629098"/>
      <w:bookmarkStart w:id="350" w:name="_Toc456686763"/>
      <w:r>
        <w:t>On-the-day and trailing average approaches</w:t>
      </w:r>
      <w:bookmarkEnd w:id="348"/>
      <w:bookmarkEnd w:id="349"/>
      <w:bookmarkEnd w:id="350"/>
    </w:p>
    <w:p w:rsidR="00312F8A" w:rsidRPr="00D9597E" w:rsidRDefault="00312F8A" w:rsidP="00312F8A">
      <w:r>
        <w:t xml:space="preserve">In this section, we analyse the on-the-day and trailing average approaches to establish </w:t>
      </w:r>
      <w:r w:rsidRPr="00D9597E">
        <w:t>whether these approaches can contribute to the achievement of the ARORO. We also explain that, while we consider both approaches would be open to us; we would expect either approach to produce different estimates at given points in time.</w:t>
      </w:r>
    </w:p>
    <w:p w:rsidR="00312F8A" w:rsidRPr="00D9597E" w:rsidRDefault="00312F8A" w:rsidP="00312F8A">
      <w:r>
        <w:t xml:space="preserve">From establishing this, we </w:t>
      </w:r>
      <w:r w:rsidRPr="00D9597E">
        <w:t>can demonstrate that in changing approaches from the on-the-day to the trailing average approach (or vice versa); a revenue neutral transition (in present value terms) is required to contribute to the achievement of the ARORO.</w:t>
      </w:r>
    </w:p>
    <w:p w:rsidR="00312F8A" w:rsidRPr="00501A2B" w:rsidRDefault="00312F8A" w:rsidP="00312F8A">
      <w:pPr>
        <w:pStyle w:val="Heading9"/>
      </w:pPr>
      <w:bookmarkStart w:id="351" w:name="_Ref445131744"/>
      <w:bookmarkStart w:id="352" w:name="_Toc452629099"/>
      <w:bookmarkStart w:id="353" w:name="_Toc456686764"/>
      <w:r>
        <w:t>On-the-day approach</w:t>
      </w:r>
      <w:bookmarkEnd w:id="351"/>
      <w:bookmarkEnd w:id="352"/>
      <w:bookmarkEnd w:id="353"/>
    </w:p>
    <w:p w:rsidR="00312F8A" w:rsidRDefault="00312F8A" w:rsidP="00312F8A">
      <w:r>
        <w:t xml:space="preserve">The </w:t>
      </w:r>
      <w:r w:rsidRPr="00E2186B">
        <w:t>o</w:t>
      </w:r>
      <w:r>
        <w:t>n-the-</w:t>
      </w:r>
      <w:r w:rsidRPr="00E2186B">
        <w:t xml:space="preserve">day approach estimates the </w:t>
      </w:r>
      <w:r>
        <w:t xml:space="preserve">allowed </w:t>
      </w:r>
      <w:r w:rsidRPr="00E2186B">
        <w:t xml:space="preserve">return on debt </w:t>
      </w:r>
      <w:r>
        <w:t>for</w:t>
      </w:r>
      <w:r w:rsidRPr="00E2186B">
        <w:t xml:space="preserve"> a service provider as the prevailing </w:t>
      </w:r>
      <w:r>
        <w:t>cost of</w:t>
      </w:r>
      <w:r w:rsidRPr="00E2186B">
        <w:t xml:space="preserve"> debt as close as possible to the start of the regulatory period.</w:t>
      </w:r>
      <w:r>
        <w:rPr>
          <w:rStyle w:val="FootnoteReference"/>
        </w:rPr>
        <w:footnoteReference w:id="1077"/>
      </w:r>
      <w:r w:rsidRPr="00E2186B">
        <w:t xml:space="preserve"> The on-the-day approach is the longstanding return on debt approach adopted by us and </w:t>
      </w:r>
      <w:r>
        <w:t xml:space="preserve">generally by </w:t>
      </w:r>
      <w:r w:rsidRPr="00E2186B">
        <w:t>other regulators in Australia.</w:t>
      </w:r>
      <w:r>
        <w:rPr>
          <w:rStyle w:val="FootnoteReference"/>
        </w:rPr>
        <w:footnoteReference w:id="1078"/>
      </w:r>
      <w:r w:rsidRPr="00E2186B">
        <w:t xml:space="preserve"> While the </w:t>
      </w:r>
      <w:r>
        <w:t>NER/NGR</w:t>
      </w:r>
      <w:r w:rsidRPr="00E2186B">
        <w:t xml:space="preserve"> no longer </w:t>
      </w:r>
      <w:proofErr w:type="gramStart"/>
      <w:r w:rsidRPr="00E2186B">
        <w:t>mandate</w:t>
      </w:r>
      <w:proofErr w:type="gramEnd"/>
      <w:r w:rsidRPr="00E2186B">
        <w:t xml:space="preserve"> </w:t>
      </w:r>
      <w:r>
        <w:t>that we adopt this approach, they still make it</w:t>
      </w:r>
      <w:r w:rsidRPr="00E2186B">
        <w:t xml:space="preserve"> available to us.</w:t>
      </w:r>
      <w:r>
        <w:rPr>
          <w:rStyle w:val="FootnoteReference"/>
        </w:rPr>
        <w:footnoteReference w:id="1079"/>
      </w:r>
      <w:r>
        <w:t xml:space="preserve"> Prior to the rules changes in 2012, the on-the-day approach was used to not only set the return on debt but was used to set the overall allowed rate of return. Post the rule changes, the on-the-day approach will continue to be used to set the allowed return on equity as this remains mandated by the rules.</w:t>
      </w:r>
      <w:r>
        <w:rPr>
          <w:rStyle w:val="FootnoteReference"/>
        </w:rPr>
        <w:footnoteReference w:id="1080"/>
      </w:r>
    </w:p>
    <w:p w:rsidR="00312F8A" w:rsidRPr="00D9597E" w:rsidRDefault="00312F8A" w:rsidP="00312F8A">
      <w:r>
        <w:t xml:space="preserve">We consider </w:t>
      </w:r>
      <w:r w:rsidRPr="00D9597E">
        <w:t xml:space="preserve">the on-the-day approach can estimate an allowed rate of return commensurate with the efficient financing costs of a benchmark efficient entity with a similar degree of risk as a service provider in the provision of regulated services. This is because the on-the-day approach provides service providers with a reasonable opportunity to recover at least efficient costs over the term of the RAB </w:t>
      </w:r>
      <w:r w:rsidRPr="00D9597E">
        <w:rPr>
          <w:rStyle w:val="AERtextunderline"/>
        </w:rPr>
        <w:t>and</w:t>
      </w:r>
      <w:r w:rsidRPr="00D9597E">
        <w:t xml:space="preserve"> over each regulatory period (see section </w:t>
      </w:r>
      <w:r w:rsidRPr="00D9597E">
        <w:fldChar w:fldCharType="begin"/>
      </w:r>
      <w:r w:rsidRPr="00D9597E">
        <w:instrText xml:space="preserve"> REF _Ref444773920 \r \h </w:instrText>
      </w:r>
      <w:r w:rsidRPr="00D9597E">
        <w:fldChar w:fldCharType="separate"/>
      </w:r>
      <w:r w:rsidR="003F1AAB">
        <w:t>H.7.3</w:t>
      </w:r>
      <w:r w:rsidRPr="00D9597E">
        <w:fldChar w:fldCharType="end"/>
      </w:r>
      <w:r w:rsidRPr="00D9597E">
        <w:t>). Ex-ante efficient compensation holds for each regulatory period under this approach because the entire allowed rate of return is reset to reflect the prevailing market cost of capital at the commencement of each regulatory period. In this way, the allowed revenue under the on-the-day approach can be likened to a form of long term floating rate security where the interest (or coupon) rate is reset to reflect prevailing market rates at the start of each regulatory period. Any compensable risk from the resetting process under the on-the-day approach is largely born by equity holders of the regulated firms. As SFG advised the AEMC, 'any mis-match between the cash inflows and cash outflows in relation to the return on debt will flow through to the equity holders'.</w:t>
      </w:r>
      <w:r w:rsidRPr="00D9597E">
        <w:rPr>
          <w:rStyle w:val="FootnoteReference"/>
        </w:rPr>
        <w:footnoteReference w:id="1081"/>
      </w:r>
    </w:p>
    <w:p w:rsidR="00312F8A" w:rsidRDefault="00312F8A" w:rsidP="00312F8A">
      <w:r>
        <w:t xml:space="preserve">While we have chosen to move towards a trailing average approach (section </w:t>
      </w:r>
      <w:r>
        <w:fldChar w:fldCharType="begin"/>
      </w:r>
      <w:r>
        <w:instrText xml:space="preserve"> REF _Ref444774464 \r \h </w:instrText>
      </w:r>
      <w:r>
        <w:fldChar w:fldCharType="separate"/>
      </w:r>
      <w:r w:rsidR="003F1AAB">
        <w:t>H.7.2</w:t>
      </w:r>
      <w:r>
        <w:fldChar w:fldCharType="end"/>
      </w:r>
      <w:r>
        <w:t xml:space="preserve"> explains why we consider a trailing average approach is open to us), this does not imply that the on-the-day approach provides an 'incorrect' outcome or an outcome inconsistent with the ARORO. Rather, we consider the on-the-day approach has advantages, including:</w:t>
      </w:r>
    </w:p>
    <w:p w:rsidR="00312F8A" w:rsidRPr="00D9597E" w:rsidRDefault="00312F8A" w:rsidP="00312F8A">
      <w:pPr>
        <w:pStyle w:val="AERbulletlistfirststyle"/>
      </w:pPr>
      <w:r>
        <w:t>It is consistent with the prevailing</w:t>
      </w:r>
      <w:r w:rsidRPr="00D9597E">
        <w:t xml:space="preserve"> market cost of debt as close as possible to the commencement of the regulatory period. As such, it is commensurate with efficient financing costs at the commencement of the regulatory period and can promote efficient investment decisions. It is also internally consistent with how we estimate other components of the allowed rate of return and other building block components.</w:t>
      </w:r>
    </w:p>
    <w:p w:rsidR="00312F8A" w:rsidRPr="00D9597E" w:rsidRDefault="00312F8A" w:rsidP="00312F8A">
      <w:pPr>
        <w:pStyle w:val="AERbulletlistfirststyle"/>
      </w:pPr>
      <w:r>
        <w:t xml:space="preserve">It leads to an estimate that </w:t>
      </w:r>
      <w:r w:rsidRPr="00D9597E">
        <w:t>is likely to more closely imitate the outcomes of a competitive market near the start of the regulatory period than a trailing average approach.</w:t>
      </w:r>
    </w:p>
    <w:p w:rsidR="00312F8A" w:rsidRPr="002527B0" w:rsidRDefault="00312F8A" w:rsidP="00312F8A">
      <w:pPr>
        <w:pStyle w:val="HeadingBoldBlue"/>
      </w:pPr>
      <w:bookmarkStart w:id="354" w:name="_Ref445121562"/>
      <w:r>
        <w:t>C</w:t>
      </w:r>
      <w:r w:rsidRPr="002527B0">
        <w:t xml:space="preserve">onsistent with prevailing </w:t>
      </w:r>
      <w:r>
        <w:t xml:space="preserve">market </w:t>
      </w:r>
      <w:r w:rsidRPr="002527B0">
        <w:t>cost of debt</w:t>
      </w:r>
      <w:bookmarkEnd w:id="354"/>
    </w:p>
    <w:p w:rsidR="00312F8A" w:rsidRDefault="00312F8A" w:rsidP="00312F8A">
      <w:r>
        <w:t xml:space="preserve">As discussed in section </w:t>
      </w:r>
      <w:r>
        <w:fldChar w:fldCharType="begin"/>
      </w:r>
      <w:r>
        <w:instrText xml:space="preserve"> REF _Ref446405872 \r \h </w:instrText>
      </w:r>
      <w:r>
        <w:fldChar w:fldCharType="separate"/>
      </w:r>
      <w:r w:rsidR="003F1AAB">
        <w:t>H.5.1</w:t>
      </w:r>
      <w:r>
        <w:fldChar w:fldCharType="end"/>
      </w:r>
      <w:r>
        <w:t xml:space="preserve"> and </w:t>
      </w:r>
      <w:r>
        <w:fldChar w:fldCharType="begin"/>
      </w:r>
      <w:r>
        <w:instrText xml:space="preserve"> REF _Ref446603900 \r \h </w:instrText>
      </w:r>
      <w:r>
        <w:fldChar w:fldCharType="separate"/>
      </w:r>
      <w:r w:rsidR="003F1AAB">
        <w:t>H.6.1</w:t>
      </w:r>
      <w:r>
        <w:fldChar w:fldCharType="end"/>
      </w:r>
      <w:r>
        <w:t>, we consider efficient financing costs, for debt and equity, should be based on (appropriately benchmarked) prevailing market rates.</w:t>
      </w:r>
      <w:r w:rsidRPr="005D54D1">
        <w:t xml:space="preserve"> </w:t>
      </w:r>
      <w:r>
        <w:t xml:space="preserve">As shown mathematically in section </w:t>
      </w:r>
      <w:r>
        <w:fldChar w:fldCharType="begin"/>
      </w:r>
      <w:r>
        <w:instrText xml:space="preserve"> REF _Ref444767739 \r \h </w:instrText>
      </w:r>
      <w:r>
        <w:fldChar w:fldCharType="separate"/>
      </w:r>
      <w:r w:rsidR="003F1AAB">
        <w:t>H.7</w:t>
      </w:r>
      <w:r>
        <w:fldChar w:fldCharType="end"/>
      </w:r>
      <w:r>
        <w:t>, the on-the-day approach resets the entire allowed rate of return (which includes the return on debt) to reflect, as closely as possible, the prevailing market cost of capital (which includes the cost of debt) at the commencement of each regulatory period.</w:t>
      </w:r>
    </w:p>
    <w:p w:rsidR="00312F8A" w:rsidRDefault="00312F8A" w:rsidP="00312F8A">
      <w:r>
        <w:t xml:space="preserve">We consider an allowed return on debt that reflects the prevailing market cost of debt promotes efficient investment decisions. </w:t>
      </w:r>
      <w:r w:rsidRPr="00E2186B">
        <w:t>When firms make investment decisions, they estimate the cost of capital based on prevailing market rates. This is important because the cost of capital is based on investors’ expectations of future returns.</w:t>
      </w:r>
      <w:r>
        <w:rPr>
          <w:rStyle w:val="FootnoteReference"/>
        </w:rPr>
        <w:footnoteReference w:id="1082"/>
      </w:r>
      <w:r>
        <w:t xml:space="preserve"> </w:t>
      </w:r>
      <w:r w:rsidRPr="00E2186B">
        <w:t>Firms then use this estimate to set a discount rate at which they discount the expected future cash flows of the proposed investment in order to determine its viability (that is</w:t>
      </w:r>
      <w:r>
        <w:t>,</w:t>
      </w:r>
      <w:r w:rsidRPr="00E2186B">
        <w:t xml:space="preserve"> whether the NPV of the expected cash flows is greater than or equal to zero).</w:t>
      </w:r>
    </w:p>
    <w:p w:rsidR="00312F8A" w:rsidRDefault="00312F8A" w:rsidP="00312F8A">
      <w:r>
        <w:t xml:space="preserve">As discussed in section </w:t>
      </w:r>
      <w:r>
        <w:fldChar w:fldCharType="begin"/>
      </w:r>
      <w:r>
        <w:instrText xml:space="preserve"> REF _Ref446603900 \r \h </w:instrText>
      </w:r>
      <w:r>
        <w:fldChar w:fldCharType="separate"/>
      </w:r>
      <w:r w:rsidR="003F1AAB">
        <w:t>H.6.1</w:t>
      </w:r>
      <w:r>
        <w:fldChar w:fldCharType="end"/>
      </w:r>
      <w:r>
        <w:t xml:space="preserve">, we consider the ARORO requires us </w:t>
      </w:r>
      <w:r w:rsidRPr="00E2186B">
        <w:t>to set a</w:t>
      </w:r>
      <w:r>
        <w:t>n allowed</w:t>
      </w:r>
      <w:r w:rsidRPr="00E2186B">
        <w:t xml:space="preserve"> rate of return for </w:t>
      </w:r>
      <w:r>
        <w:t>a</w:t>
      </w:r>
      <w:r w:rsidRPr="00E2186B">
        <w:t xml:space="preserve"> benchmark efficient entity such that the return on its investment</w:t>
      </w:r>
      <w:r>
        <w:t xml:space="preserve"> in its RAB</w:t>
      </w:r>
      <w:r w:rsidRPr="00E2186B">
        <w:t xml:space="preserve"> equals its </w:t>
      </w:r>
      <w:r>
        <w:t xml:space="preserve">efficient </w:t>
      </w:r>
      <w:r w:rsidRPr="00E2186B">
        <w:t xml:space="preserve">cost (that is, </w:t>
      </w:r>
      <w:r>
        <w:t>the zero NPV investment condition</w:t>
      </w:r>
      <w:r w:rsidRPr="00E2186B">
        <w:t xml:space="preserve">). The </w:t>
      </w:r>
      <w:r>
        <w:t xml:space="preserve">prevailing market </w:t>
      </w:r>
      <w:r w:rsidRPr="00E2186B">
        <w:t xml:space="preserve">cost of capital is the only discount rate that sets the present value of expected future cash flows equal to the </w:t>
      </w:r>
      <w:r>
        <w:t>RAB</w:t>
      </w:r>
      <w:r w:rsidRPr="00E2186B">
        <w:t>. In its 2012 report to the AEMC, SFG summarised this point by stating:</w:t>
      </w:r>
      <w:r>
        <w:rPr>
          <w:rStyle w:val="FootnoteReference"/>
        </w:rPr>
        <w:footnoteReference w:id="1083"/>
      </w:r>
    </w:p>
    <w:p w:rsidR="00312F8A" w:rsidRDefault="00312F8A" w:rsidP="00312F8A">
      <w:pPr>
        <w:pStyle w:val="AERquote"/>
      </w:pPr>
      <w:r w:rsidRPr="00E2186B">
        <w:t xml:space="preserve">The principle which underpins the regulatory framework in Australia is to estimate a price which equates the present value of expected cash flows to the regulated asset base. </w:t>
      </w:r>
      <w:proofErr w:type="gramStart"/>
      <w:r w:rsidRPr="00E2186B">
        <w:t>If the regulated rate of return is set at a rate other than the cost of capital this will no longer hold.</w:t>
      </w:r>
      <w:proofErr w:type="gramEnd"/>
      <w:r w:rsidRPr="00E2186B">
        <w:t xml:space="preserve"> Investment decisions will be distorted.</w:t>
      </w:r>
    </w:p>
    <w:p w:rsidR="00312F8A" w:rsidRDefault="00312F8A" w:rsidP="00312F8A">
      <w:pPr>
        <w:numPr>
          <w:ilvl w:val="0"/>
          <w:numId w:val="25"/>
        </w:numPr>
      </w:pPr>
      <w:r>
        <w:t>Similarly, Partington and Satchell (who recommend the on-the-day approach) stated:</w:t>
      </w:r>
      <w:r>
        <w:rPr>
          <w:rStyle w:val="FootnoteReference"/>
        </w:rPr>
        <w:footnoteReference w:id="1084"/>
      </w:r>
    </w:p>
    <w:p w:rsidR="00312F8A" w:rsidRDefault="00312F8A" w:rsidP="00312F8A">
      <w:pPr>
        <w:pStyle w:val="AERquote"/>
      </w:pPr>
      <w:r w:rsidRPr="007624AA">
        <w:t>By definition, a stream of expected cash flows that allows the current required return on the book value of capital invested, recovers the capital invested and covers other costs, will have a discounted present value that ex-ante is equal to the book value of the investment. Allowing this cash flow for a regulated business, the book value of the RAB will be equal to the market value of the RAB. To put it another way this cash flow gives rise to a zero NPV investment.</w:t>
      </w:r>
    </w:p>
    <w:p w:rsidR="00312F8A" w:rsidRDefault="00312F8A" w:rsidP="00312F8A">
      <w:pPr>
        <w:numPr>
          <w:ilvl w:val="0"/>
          <w:numId w:val="25"/>
        </w:numPr>
      </w:pPr>
      <w:r>
        <w:t xml:space="preserve">Therefore, we consider the on-the-day approach </w:t>
      </w:r>
      <w:r w:rsidRPr="00E2186B">
        <w:t>provides an appropriate signal for investment</w:t>
      </w:r>
      <w:r>
        <w:t xml:space="preserve"> decisions made near the commencement of the regulatory period. We consider this would promote </w:t>
      </w:r>
      <w:r w:rsidRPr="000C116C">
        <w:t>efficient investment decisions</w:t>
      </w:r>
      <w:r>
        <w:t xml:space="preserve"> that increase</w:t>
      </w:r>
      <w:r w:rsidRPr="000C116C">
        <w:t xml:space="preserve"> </w:t>
      </w:r>
      <w:r>
        <w:t>dynamic efficiency. This aligns with the AEMC's view that:</w:t>
      </w:r>
      <w:r>
        <w:rPr>
          <w:rStyle w:val="FootnoteReference"/>
        </w:rPr>
        <w:footnoteReference w:id="1085"/>
      </w:r>
    </w:p>
    <w:p w:rsidR="00312F8A" w:rsidRDefault="00312F8A" w:rsidP="00312F8A">
      <w:pPr>
        <w:pStyle w:val="AERquote"/>
      </w:pPr>
      <w:r>
        <w:t>[</w:t>
      </w:r>
      <w:proofErr w:type="gramStart"/>
      <w:r>
        <w:t>the</w:t>
      </w:r>
      <w:proofErr w:type="gramEnd"/>
      <w:r>
        <w:t xml:space="preserve"> return on debt framework] </w:t>
      </w:r>
      <w:r w:rsidRPr="001A712C">
        <w:t>should try to create an incentive for service providers to adopt efficient financing practices and minimise the risk of creating distortions in the servic</w:t>
      </w:r>
      <w:r>
        <w:t>e provider's investment decisions</w:t>
      </w:r>
      <w:r w:rsidRPr="001A712C">
        <w:t>.</w:t>
      </w:r>
    </w:p>
    <w:p w:rsidR="00312F8A" w:rsidRDefault="00312F8A" w:rsidP="00312F8A">
      <w:r w:rsidRPr="00E2186B">
        <w:t xml:space="preserve">If we were to set the allowed </w:t>
      </w:r>
      <w:r>
        <w:t>return on debt</w:t>
      </w:r>
      <w:r w:rsidRPr="00E2186B">
        <w:t xml:space="preserve"> in a different way</w:t>
      </w:r>
      <w:r>
        <w:t>,</w:t>
      </w:r>
      <w:r w:rsidRPr="00E2186B">
        <w:t xml:space="preserve"> it would no longer be an estimate of the cost of </w:t>
      </w:r>
      <w:r>
        <w:t>debt (and thus the cost of capital)</w:t>
      </w:r>
      <w:r w:rsidRPr="00E2186B">
        <w:t xml:space="preserve"> at</w:t>
      </w:r>
      <w:r>
        <w:t xml:space="preserve"> the time of the determination or</w:t>
      </w:r>
      <w:r w:rsidRPr="00E2186B">
        <w:t xml:space="preserve"> access arrangement. For example, under a trailing average approach, the</w:t>
      </w:r>
      <w:r>
        <w:t xml:space="preserve"> overall allowed</w:t>
      </w:r>
      <w:r w:rsidRPr="00E2186B">
        <w:t xml:space="preserve"> return on debt</w:t>
      </w:r>
      <w:r>
        <w:t xml:space="preserve"> predominately</w:t>
      </w:r>
      <w:r w:rsidRPr="00E2186B">
        <w:t xml:space="preserve"> </w:t>
      </w:r>
      <w:r>
        <w:t>compensates</w:t>
      </w:r>
      <w:r w:rsidRPr="00E2186B">
        <w:t xml:space="preserve"> for</w:t>
      </w:r>
      <w:r>
        <w:t xml:space="preserve"> historical</w:t>
      </w:r>
      <w:r w:rsidRPr="00E2186B">
        <w:t xml:space="preserve"> interest rates, rather than for the risk of providing debt finance in the future.</w:t>
      </w:r>
      <w:r>
        <w:rPr>
          <w:rStyle w:val="FootnoteReference"/>
        </w:rPr>
        <w:footnoteReference w:id="1086"/>
      </w:r>
      <w:r>
        <w:t xml:space="preserve">  Only 10 per cent of the allowed return on debt will compensate for</w:t>
      </w:r>
      <w:r w:rsidRPr="00800A09">
        <w:t xml:space="preserve"> </w:t>
      </w:r>
      <w:r w:rsidRPr="00E2186B">
        <w:t>the risk of providing debt finance in the future</w:t>
      </w:r>
      <w:r>
        <w:t xml:space="preserve"> because 10 per cent of the return on debt is updated annually </w:t>
      </w:r>
      <w:r w:rsidRPr="007D2546">
        <w:t xml:space="preserve">to reflect prevailing interest </w:t>
      </w:r>
      <w:r>
        <w:t>rates</w:t>
      </w:r>
      <w:r w:rsidRPr="007D2546">
        <w:t>.</w:t>
      </w:r>
      <w:r>
        <w:t xml:space="preserve"> As discussed in section </w:t>
      </w:r>
      <w:r>
        <w:fldChar w:fldCharType="begin"/>
      </w:r>
      <w:r>
        <w:instrText xml:space="preserve"> REF _Ref446603900 \r \h </w:instrText>
      </w:r>
      <w:r>
        <w:fldChar w:fldCharType="separate"/>
      </w:r>
      <w:r w:rsidR="003F1AAB">
        <w:t>H.6.1</w:t>
      </w:r>
      <w:r>
        <w:fldChar w:fldCharType="end"/>
      </w:r>
      <w:r>
        <w:t>, this results in a mismatch between the allowed return on debt and the prevailing cost of debt for a benchmark efficient entity at the time of the determination or access arrangement.</w:t>
      </w:r>
    </w:p>
    <w:p w:rsidR="00312F8A" w:rsidRDefault="00312F8A" w:rsidP="00312F8A">
      <w:r>
        <w:t>Moreover, estimating a forward looking return on debt at the time of the determination or access arrangement is consistent with how we determine the return on equity and other components of the building block model. For example, we determine an allowed return on equity that reflects, as closely as possible, the prevailing market cost of equity at the time of the determination or access arrangement. We also forecast the operating expenditure that will apply for each year of the upcoming regulatory period. Determining the allowed revenue for the regulatory period ex-ante, without within-period revisions, is consistent with the principles of incentive regulation.</w:t>
      </w:r>
      <w:r>
        <w:rPr>
          <w:rStyle w:val="FootnoteReference"/>
        </w:rPr>
        <w:footnoteReference w:id="1087"/>
      </w:r>
      <w:r>
        <w:t xml:space="preserve"> </w:t>
      </w:r>
    </w:p>
    <w:p w:rsidR="00312F8A" w:rsidRPr="002527B0" w:rsidRDefault="00312F8A" w:rsidP="00312F8A">
      <w:pPr>
        <w:pStyle w:val="HeadingBoldBlue"/>
      </w:pPr>
      <w:r>
        <w:t>Imitates the outcomes of a competitive market</w:t>
      </w:r>
    </w:p>
    <w:p w:rsidR="00312F8A" w:rsidRPr="004F070F" w:rsidRDefault="00312F8A" w:rsidP="00312F8A">
      <w:r>
        <w:t xml:space="preserve">We consider </w:t>
      </w:r>
      <w:r w:rsidRPr="004F070F">
        <w:t>an allowed return on debt that reflects the prevailing market cost of debt at the time of the determination or access arrangement (that is, an on-the-day approach) is likely to promote economic efficiency because:</w:t>
      </w:r>
    </w:p>
    <w:p w:rsidR="00312F8A" w:rsidRPr="00D9597E" w:rsidRDefault="00312F8A" w:rsidP="00312F8A">
      <w:pPr>
        <w:pStyle w:val="AERbulletlistfirststyle"/>
      </w:pPr>
      <w:r w:rsidRPr="004F070F">
        <w:t xml:space="preserve">Productive efficiency refers to least cost financing (that is, the lowest required return on debt). An allowed return on debt that reflects the </w:t>
      </w:r>
      <w:r w:rsidRPr="00D9597E">
        <w:t>(appropriately benchmarked) prevailing market cost of debt will likely promote productive efficiency. This is because a benchmark efficient entity faces competitive prices in the market for funds.</w:t>
      </w:r>
    </w:p>
    <w:p w:rsidR="00312F8A" w:rsidRPr="00D9597E" w:rsidRDefault="00312F8A" w:rsidP="00312F8A">
      <w:pPr>
        <w:pStyle w:val="AERbulletlistfirststyle"/>
      </w:pPr>
      <w:r w:rsidRPr="004F070F">
        <w:t xml:space="preserve">Allocative efficiency refers to the allowed return on debt reflecting investors' opportunity cost of debt for investments of similar risk. </w:t>
      </w:r>
      <w:r w:rsidRPr="00D9597E">
        <w:t>The prevailing market cost of debt at any given time is likely to reflect investors' opportunity cost. This is because the market for capital finance is competitive with many buyers and sellers.</w:t>
      </w:r>
    </w:p>
    <w:p w:rsidR="00312F8A" w:rsidRPr="00D9597E" w:rsidRDefault="00312F8A" w:rsidP="00312F8A">
      <w:pPr>
        <w:pStyle w:val="AERbulletlistfirststyle"/>
      </w:pPr>
      <w:r w:rsidRPr="004F070F">
        <w:t xml:space="preserve">Dynamic efficiency refers to the existence of appropriate investment incentives. As discussed above, a return on debt that reflects </w:t>
      </w:r>
      <w:r w:rsidRPr="00D9597E">
        <w:t xml:space="preserve">the prevailing market cost of debt provides an appropriate signal for new investment and promotes efficient investment decisions. </w:t>
      </w:r>
    </w:p>
    <w:p w:rsidR="00312F8A" w:rsidRDefault="00312F8A" w:rsidP="00312F8A">
      <w:r>
        <w:t>Moreover, a return on debt that better reflects the prevailing market cost of debt</w:t>
      </w:r>
      <w:r w:rsidRPr="00E64F99">
        <w:t xml:space="preserve"> more closely imitates the outcomes of a competitive market</w:t>
      </w:r>
      <w:r>
        <w:t>. This is because the current market cost of debt reflects investors' opportunity cost of debt for investments of similar risk.</w:t>
      </w:r>
      <w:r w:rsidDel="004F070F">
        <w:t xml:space="preserve"> </w:t>
      </w:r>
    </w:p>
    <w:p w:rsidR="00312F8A" w:rsidRPr="00E64F99" w:rsidRDefault="00312F8A" w:rsidP="00312F8A">
      <w:r>
        <w:t>The current market cost of debt</w:t>
      </w:r>
      <w:r w:rsidRPr="00E64F99">
        <w:t xml:space="preserve"> </w:t>
      </w:r>
      <w:r>
        <w:t>represents the costs that other service providers will face to enter the market. The on-the-day approach</w:t>
      </w:r>
      <w:r w:rsidRPr="00EE36F1">
        <w:t xml:space="preserve"> is</w:t>
      </w:r>
      <w:r>
        <w:t xml:space="preserve"> more</w:t>
      </w:r>
      <w:r w:rsidRPr="00EE36F1">
        <w:t xml:space="preserve"> consistent</w:t>
      </w:r>
      <w:r>
        <w:t xml:space="preserve"> than the trailing average approach</w:t>
      </w:r>
      <w:r w:rsidRPr="00EE36F1">
        <w:t xml:space="preserve"> with the theory that</w:t>
      </w:r>
      <w:r>
        <w:t xml:space="preserve"> </w:t>
      </w:r>
      <w:r w:rsidRPr="00EE36F1">
        <w:t xml:space="preserve">prices in a competitive market would be constrained by the entry, or threat of entry, of new providers. </w:t>
      </w:r>
      <w:r>
        <w:t>This is because</w:t>
      </w:r>
      <w:r w:rsidRPr="00163EC0">
        <w:t xml:space="preserve"> </w:t>
      </w:r>
      <w:r w:rsidRPr="00E64F99">
        <w:t>in a competitive market</w:t>
      </w:r>
      <w:r>
        <w:t xml:space="preserve">, </w:t>
      </w:r>
      <w:r w:rsidRPr="00E64F99">
        <w:t xml:space="preserve">prices are </w:t>
      </w:r>
      <w:r>
        <w:t>th</w:t>
      </w:r>
      <w:r w:rsidRPr="00E64F99">
        <w:t>eoretically constrained by entry or the threat of entry.</w:t>
      </w:r>
      <w:r w:rsidRPr="00E64F99">
        <w:rPr>
          <w:rStyle w:val="FootnoteReference"/>
        </w:rPr>
        <w:footnoteReference w:id="1088"/>
      </w:r>
      <w:r w:rsidRPr="00E64F99">
        <w:t xml:space="preserve"> As observed by HoustonKemp:</w:t>
      </w:r>
      <w:r w:rsidRPr="00E64F99">
        <w:rPr>
          <w:rStyle w:val="FootnoteReference"/>
        </w:rPr>
        <w:footnoteReference w:id="1089"/>
      </w:r>
    </w:p>
    <w:p w:rsidR="00312F8A" w:rsidRPr="00656C8A" w:rsidRDefault="00312F8A" w:rsidP="00312F8A">
      <w:pPr>
        <w:pStyle w:val="AERquote"/>
      </w:pPr>
      <w:proofErr w:type="gramStart"/>
      <w:r w:rsidRPr="002D1BB2">
        <w:t>when</w:t>
      </w:r>
      <w:proofErr w:type="gramEnd"/>
      <w:r w:rsidRPr="00656C8A">
        <w:t xml:space="preserve"> economic regulation was first introduced regulators sought to imitate the outcomes of a competitive market. That is, regulators sought to set prices consistent with the theory that </w:t>
      </w:r>
      <w:proofErr w:type="gramStart"/>
      <w:r w:rsidRPr="00656C8A">
        <w:t>in a competitive market prices</w:t>
      </w:r>
      <w:proofErr w:type="gramEnd"/>
      <w:r w:rsidRPr="00656C8A">
        <w:t xml:space="preserve"> would be constrained by the entry, or threat of entry, of new providers. This is colloquially known as the ‘new entrant price’.</w:t>
      </w:r>
    </w:p>
    <w:p w:rsidR="00312F8A" w:rsidRDefault="00312F8A" w:rsidP="00312F8A">
      <w:r>
        <w:t xml:space="preserve">Similarly, </w:t>
      </w:r>
      <w:r w:rsidRPr="009E7AA9">
        <w:t xml:space="preserve">Chairmont </w:t>
      </w:r>
      <w:r>
        <w:t>captured this concept when it advised:</w:t>
      </w:r>
      <w:r>
        <w:rPr>
          <w:rStyle w:val="FootnoteReference"/>
        </w:rPr>
        <w:footnoteReference w:id="1090"/>
      </w:r>
    </w:p>
    <w:p w:rsidR="00312F8A" w:rsidRDefault="00312F8A" w:rsidP="00312F8A">
      <w:pPr>
        <w:pStyle w:val="AERquote"/>
      </w:pPr>
      <w:r w:rsidRPr="009E7AA9">
        <w:t>The solution should take current market rates and use those to project forward, rather than taking trailing averages as an indicator of future financing costs. The look forward approach is consistent with measuring the opportunity cost of capital and for the typical pressures, including from new entrants, faced by participants in an efficient competitive market.</w:t>
      </w:r>
    </w:p>
    <w:p w:rsidR="00312F8A" w:rsidRDefault="00312F8A" w:rsidP="00312F8A">
      <w:r>
        <w:t>We also note that Partington and Satchell considered the on-the-day approach is consistent with competitive market outcomes, stating:</w:t>
      </w:r>
      <w:r>
        <w:rPr>
          <w:rStyle w:val="FootnoteReference"/>
        </w:rPr>
        <w:footnoteReference w:id="1091"/>
      </w:r>
    </w:p>
    <w:p w:rsidR="00312F8A" w:rsidRPr="009A713A" w:rsidRDefault="00312F8A" w:rsidP="00312F8A">
      <w:pPr>
        <w:pStyle w:val="AERquote"/>
      </w:pPr>
      <w:r w:rsidRPr="00833C4C">
        <w:t>The equilibrium in a competitive market is that investments in assets are zero NPV. This implies that firms can expect to recover the current cost of capital, which in the form of the WACC includes the current cost of debt.</w:t>
      </w:r>
    </w:p>
    <w:p w:rsidR="00312F8A" w:rsidRDefault="00312F8A" w:rsidP="00312F8A">
      <w:pPr>
        <w:pStyle w:val="Heading9"/>
      </w:pPr>
      <w:bookmarkStart w:id="355" w:name="_Ref444774464"/>
      <w:bookmarkStart w:id="356" w:name="_Toc452629100"/>
      <w:bookmarkStart w:id="357" w:name="_Toc456686765"/>
      <w:r>
        <w:t>Trailing average approach</w:t>
      </w:r>
      <w:bookmarkEnd w:id="355"/>
      <w:bookmarkEnd w:id="356"/>
      <w:bookmarkEnd w:id="357"/>
    </w:p>
    <w:p w:rsidR="00312F8A" w:rsidRDefault="00312F8A" w:rsidP="00312F8A">
      <w:pPr>
        <w:numPr>
          <w:ilvl w:val="0"/>
          <w:numId w:val="25"/>
        </w:numPr>
      </w:pPr>
      <w:r>
        <w:t>The trailing average</w:t>
      </w:r>
      <w:r w:rsidRPr="00E2186B">
        <w:t xml:space="preserve"> approach estimates the </w:t>
      </w:r>
      <w:r>
        <w:t xml:space="preserve">allowed </w:t>
      </w:r>
      <w:r w:rsidRPr="00E2186B">
        <w:t xml:space="preserve">return on debt </w:t>
      </w:r>
      <w:r>
        <w:t>for</w:t>
      </w:r>
      <w:r w:rsidRPr="00E2186B">
        <w:t xml:space="preserve"> a service provider </w:t>
      </w:r>
      <w:r>
        <w:t>as an average of the cost of debt over 10 years (which is annually updated)</w:t>
      </w:r>
      <w:r w:rsidRPr="00E2186B">
        <w:t xml:space="preserve">. </w:t>
      </w:r>
      <w:r>
        <w:t>This approach is available to us under the</w:t>
      </w:r>
      <w:r w:rsidRPr="00E2186B">
        <w:t xml:space="preserve"> </w:t>
      </w:r>
      <w:r>
        <w:t>NER/NGR</w:t>
      </w:r>
      <w:r w:rsidRPr="00E2186B">
        <w:t>.</w:t>
      </w:r>
      <w:r>
        <w:rPr>
          <w:rStyle w:val="FootnoteReference"/>
        </w:rPr>
        <w:footnoteReference w:id="1092"/>
      </w:r>
    </w:p>
    <w:p w:rsidR="00312F8A" w:rsidRDefault="00312F8A" w:rsidP="00312F8A">
      <w:pPr>
        <w:numPr>
          <w:ilvl w:val="0"/>
          <w:numId w:val="25"/>
        </w:numPr>
      </w:pPr>
      <w:r>
        <w:t xml:space="preserve">We consider the trailing average approach can estimate an allowed rate of return commensurate with the efficient financing costs of a benchmark efficient entity with a similar degree of risk as a service provider in the provision of regulated services. Under the trailing average approach, ex-ante efficient compensation is unlikely to hold for each regulatory period. However, if there is an appropriate (full) transition, it should hold over the term of the RAB. Therefore, service providers would have a reasonable opportunity to recover at least efficient costs over the term of the RAB. We show this in section </w:t>
      </w:r>
      <w:r>
        <w:fldChar w:fldCharType="begin"/>
      </w:r>
      <w:r>
        <w:instrText xml:space="preserve"> REF _Ref444773920 \r \h </w:instrText>
      </w:r>
      <w:r>
        <w:fldChar w:fldCharType="separate"/>
      </w:r>
      <w:r w:rsidR="003F1AAB">
        <w:t>H.7.3</w:t>
      </w:r>
      <w:r>
        <w:fldChar w:fldCharType="end"/>
      </w:r>
      <w:r>
        <w:t>.</w:t>
      </w:r>
    </w:p>
    <w:p w:rsidR="00312F8A" w:rsidRDefault="00312F8A" w:rsidP="00312F8A">
      <w:r>
        <w:t>Further, the trailing average approach</w:t>
      </w:r>
      <w:r w:rsidRPr="00E64F99">
        <w:t xml:space="preserve"> may have particular benefits that an on</w:t>
      </w:r>
      <w:r>
        <w:t>-the-day approach</w:t>
      </w:r>
      <w:r w:rsidRPr="00800A09">
        <w:t xml:space="preserve"> </w:t>
      </w:r>
      <w:r>
        <w:t xml:space="preserve">cannot </w:t>
      </w:r>
      <w:r w:rsidRPr="00E64F99">
        <w:t>achieve</w:t>
      </w:r>
      <w:r>
        <w:t>. For instance, when</w:t>
      </w:r>
      <w:r w:rsidRPr="00E64F99">
        <w:t xml:space="preserve"> it advised the AEMC, SFG stated that 'if it can be demonstrated that the benefits of a regulated rate of return which is less variable over time outweigh the costs associated with investment distortions, then a trailing average should be considered'.</w:t>
      </w:r>
      <w:r w:rsidRPr="00E64F99">
        <w:rPr>
          <w:rStyle w:val="FootnoteReference"/>
        </w:rPr>
        <w:footnoteReference w:id="1093"/>
      </w:r>
      <w:r w:rsidRPr="00E64F99">
        <w:t xml:space="preserve"> </w:t>
      </w:r>
      <w:r>
        <w:t>The potential benefits mainly relate to smoother prices and a potentially reduced mismatch betwee</w:t>
      </w:r>
      <w:r w:rsidRPr="00E64F99">
        <w:t xml:space="preserve">n </w:t>
      </w:r>
      <w:r>
        <w:t xml:space="preserve">a benchmark efficient entity's actual debt cost outcomes (or cash outflows) and the allowed return on </w:t>
      </w:r>
      <w:r w:rsidRPr="00E64F99">
        <w:t xml:space="preserve">debt </w:t>
      </w:r>
      <w:r>
        <w:t xml:space="preserve">(see section </w:t>
      </w:r>
      <w:r>
        <w:fldChar w:fldCharType="begin"/>
      </w:r>
      <w:r>
        <w:instrText xml:space="preserve"> REF _Ref446603900 \r \h </w:instrText>
      </w:r>
      <w:r>
        <w:fldChar w:fldCharType="separate"/>
      </w:r>
      <w:r w:rsidR="003F1AAB">
        <w:t>H.6.1</w:t>
      </w:r>
      <w:r>
        <w:fldChar w:fldCharType="end"/>
      </w:r>
      <w:r>
        <w:t>), which we discuss further below.</w:t>
      </w:r>
    </w:p>
    <w:p w:rsidR="00312F8A" w:rsidRDefault="00312F8A" w:rsidP="00312F8A">
      <w:r>
        <w:t>However, the trailing average also has disadvantages relative to an on-the-day approach (see sections 2.1 and 3.1). Given the trade-offs, we do not consider the trailing average is clearly preferable to the continued use of the on-the-day approach. For the reasons discussed in this appendix, we consider a change in methodology (to a trailing average approach) would not contribute to the achievement of the ARORO or meet the NEO/NGO unless it was revenue-neutral (in present value terms) as this would result in incorrect ex-ante compensation.</w:t>
      </w:r>
    </w:p>
    <w:p w:rsidR="00312F8A" w:rsidRDefault="00312F8A" w:rsidP="00312F8A">
      <w:pPr>
        <w:pStyle w:val="HeadingBoldBlue"/>
      </w:pPr>
      <w:r>
        <w:t>Reduced mismatch</w:t>
      </w:r>
    </w:p>
    <w:p w:rsidR="00312F8A" w:rsidRDefault="00312F8A" w:rsidP="00312F8A">
      <w:r>
        <w:t xml:space="preserve">In section </w:t>
      </w:r>
      <w:r>
        <w:fldChar w:fldCharType="begin"/>
      </w:r>
      <w:r>
        <w:instrText xml:space="preserve"> REF _Ref446603900 \r \h </w:instrText>
      </w:r>
      <w:r>
        <w:fldChar w:fldCharType="separate"/>
      </w:r>
      <w:r w:rsidR="003F1AAB">
        <w:t>H.6.1</w:t>
      </w:r>
      <w:r>
        <w:fldChar w:fldCharType="end"/>
      </w:r>
      <w:r>
        <w:t>, we introduce and discuss the concept of an ex-post</w:t>
      </w:r>
      <w:r w:rsidRPr="001933FF">
        <w:t xml:space="preserve"> </w:t>
      </w:r>
      <w:r>
        <w:t>'mismatch'</w:t>
      </w:r>
      <w:r w:rsidRPr="00E07D0D">
        <w:t xml:space="preserve"> between </w:t>
      </w:r>
      <w:r>
        <w:t>a benchmark eff</w:t>
      </w:r>
      <w:r w:rsidRPr="00E07D0D">
        <w:t xml:space="preserve">icient entity's actual </w:t>
      </w:r>
      <w:r>
        <w:t>debt cost outcomes (or cash outflows) and the regulatory</w:t>
      </w:r>
      <w:r w:rsidRPr="00E07D0D">
        <w:t xml:space="preserve"> return on debt allowance in determining the allowed return on debt.</w:t>
      </w:r>
      <w:r>
        <w:t xml:space="preserve"> We consider an ex-post mismatch can occur for a number of reasons, including</w:t>
      </w:r>
      <w:r w:rsidRPr="001933FF">
        <w:t xml:space="preserve"> because </w:t>
      </w:r>
      <w:r>
        <w:t>a benchmark eff</w:t>
      </w:r>
      <w:r w:rsidRPr="001933FF">
        <w:t>icient entity does not (or cannot) engage in debt financing practices that result in debt cash outflows that match the regulatory return on debt allowance.</w:t>
      </w:r>
      <w:r>
        <w:t xml:space="preserve"> We explain this below in the context of comparing the trailing average with the on-the-day approach to estimating the return on debt.</w:t>
      </w:r>
    </w:p>
    <w:p w:rsidR="00312F8A" w:rsidRPr="002527B0" w:rsidRDefault="00312F8A" w:rsidP="00312F8A">
      <w:r>
        <w:t>In any given regulatory period, a benchmark efficient entity will have existing debt that was previously issued and not yet matured. It will need to pay interest on this debt during the regulatory period, and these interest payments will be based on historical interest rates that prevailed in a previous period. If we adopt an on-the-day approach, then cash outflows from existing debt would be effectively revalued at current market rates.</w:t>
      </w:r>
      <w:r>
        <w:rPr>
          <w:rStyle w:val="FootnoteReference"/>
        </w:rPr>
        <w:footnoteReference w:id="1094"/>
      </w:r>
      <w:r>
        <w:t xml:space="preserve">  Unless a benchmark efficient entity can engage in debt financing practices that align its debt cash outflows with the regulatory allowance (all else being equal), it is expected that an ex-post mismatch may result. From our observations of past financing practices, it appears that individual service providers (and a benchmark efficient entity) are unlikely to engage in financing practices that fully align its debt cash outflows with the regulatory allowance under the on-the-day approach.</w:t>
      </w:r>
    </w:p>
    <w:p w:rsidR="00312F8A" w:rsidRDefault="00312F8A" w:rsidP="00312F8A">
      <w:r>
        <w:t>In contrast to the on-the-day approach,</w:t>
      </w:r>
      <w:r w:rsidRPr="00A97CE8">
        <w:t xml:space="preserve"> </w:t>
      </w:r>
      <w:r>
        <w:t>a trailing average approach is expected to better account for a benchmark efficient entity's actual (cash) debt costs within a</w:t>
      </w:r>
      <w:r w:rsidRPr="00A97CE8">
        <w:t xml:space="preserve"> </w:t>
      </w:r>
      <w:r>
        <w:t xml:space="preserve">regulatory period because it provides </w:t>
      </w:r>
      <w:r w:rsidRPr="00E64F99">
        <w:t xml:space="preserve">service providers with a </w:t>
      </w:r>
      <w:r>
        <w:t>return on debt allowance</w:t>
      </w:r>
      <w:r w:rsidRPr="00E64F99">
        <w:t xml:space="preserve"> that they can more readily match each regulatory period.</w:t>
      </w:r>
      <w:r w:rsidRPr="00E64F99">
        <w:rPr>
          <w:rStyle w:val="FootnoteReference"/>
        </w:rPr>
        <w:footnoteReference w:id="1095"/>
      </w:r>
      <w:r>
        <w:t xml:space="preserve"> As such, this will likely reduce the mismatch between actual debt interest costs of regulated firms and the regulated return on debt allowance.</w:t>
      </w:r>
      <w:r w:rsidRPr="00E64F99">
        <w:rPr>
          <w:rStyle w:val="FootnoteReference"/>
        </w:rPr>
        <w:footnoteReference w:id="1096"/>
      </w:r>
      <w:r w:rsidRPr="00056E9B">
        <w:t xml:space="preserve"> </w:t>
      </w:r>
      <w:r>
        <w:t>Given that a trailing average approach reduces the risk of cash flow mismatch (a form of interest rate risk)</w:t>
      </w:r>
      <w:proofErr w:type="gramStart"/>
      <w:r>
        <w:t>,</w:t>
      </w:r>
      <w:proofErr w:type="gramEnd"/>
      <w:r>
        <w:t xml:space="preserve"> it </w:t>
      </w:r>
      <w:r w:rsidRPr="00E64F99">
        <w:t>might better lead to productive efficiency</w:t>
      </w:r>
      <w:r>
        <w:t>. All else being equal, this reduced risk and the reduced need to enter hedging arrangements might lower</w:t>
      </w:r>
      <w:r w:rsidRPr="00E64F99">
        <w:t xml:space="preserve"> the cost of financing.</w:t>
      </w:r>
      <w:r>
        <w:rPr>
          <w:rStyle w:val="FootnoteReference"/>
        </w:rPr>
        <w:footnoteReference w:id="1097"/>
      </w:r>
      <w:r>
        <w:t xml:space="preserve"> </w:t>
      </w:r>
    </w:p>
    <w:p w:rsidR="00312F8A" w:rsidRDefault="00312F8A" w:rsidP="00312F8A">
      <w:r>
        <w:t>Nevertheless, it is important to note that an ex-post mismatch does not result in a benchmark efficient entity being ex-ante over- or under-compensated for its efficient debt financing costs for a regulatory period or over the life of its assets (</w:t>
      </w:r>
      <w:proofErr w:type="gramStart"/>
      <w:r>
        <w:t>see</w:t>
      </w:r>
      <w:proofErr w:type="gramEnd"/>
      <w:r>
        <w:t xml:space="preserve"> sections </w:t>
      </w:r>
      <w:r>
        <w:fldChar w:fldCharType="begin"/>
      </w:r>
      <w:r>
        <w:instrText xml:space="preserve"> REF _Ref446603900 \r \h </w:instrText>
      </w:r>
      <w:r>
        <w:fldChar w:fldCharType="separate"/>
      </w:r>
      <w:r w:rsidR="003F1AAB">
        <w:t>H.6.1</w:t>
      </w:r>
      <w:r>
        <w:fldChar w:fldCharType="end"/>
      </w:r>
      <w:r>
        <w:t xml:space="preserve"> and </w:t>
      </w:r>
      <w:r>
        <w:fldChar w:fldCharType="begin"/>
      </w:r>
      <w:r>
        <w:instrText xml:space="preserve"> REF _Ref444773920 \r \h </w:instrText>
      </w:r>
      <w:r>
        <w:fldChar w:fldCharType="separate"/>
      </w:r>
      <w:r w:rsidR="003F1AAB">
        <w:t>H.7.3</w:t>
      </w:r>
      <w:r>
        <w:fldChar w:fldCharType="end"/>
      </w:r>
      <w:r>
        <w:t xml:space="preserve">). </w:t>
      </w:r>
    </w:p>
    <w:p w:rsidR="00312F8A" w:rsidRPr="00054482" w:rsidRDefault="00312F8A" w:rsidP="00312F8A">
      <w:pPr>
        <w:pStyle w:val="Heading9"/>
      </w:pPr>
      <w:bookmarkStart w:id="358" w:name="_Ref444773920"/>
      <w:bookmarkStart w:id="359" w:name="_Ref448326736"/>
      <w:bookmarkStart w:id="360" w:name="_Toc452629101"/>
      <w:bookmarkStart w:id="361" w:name="_Toc456686766"/>
      <w:r>
        <w:t>Mathematical explanation</w:t>
      </w:r>
      <w:bookmarkEnd w:id="358"/>
      <w:bookmarkEnd w:id="359"/>
      <w:bookmarkEnd w:id="360"/>
      <w:bookmarkEnd w:id="361"/>
    </w:p>
    <w:p w:rsidR="00312F8A" w:rsidRDefault="00312F8A" w:rsidP="00312F8A">
      <w:r>
        <w:t>This section provides a mathematical explanation of the difference between the on-the-day and trailing average regimes in present value terms. While the mathematical explanation employs simplifying assumptions, this is for illustrative purposes and the principles hold true in more general situations. That is, mathematically, we demonstrate that in principle:</w:t>
      </w:r>
    </w:p>
    <w:p w:rsidR="00312F8A" w:rsidRPr="00D9597E" w:rsidRDefault="00312F8A" w:rsidP="00312F8A">
      <w:pPr>
        <w:pStyle w:val="AERbulletlistfirststyle"/>
      </w:pPr>
      <w:r>
        <w:t xml:space="preserve">The on-the-day approach provides service providers with the reasonable opportunity to recover at least efficient costs over </w:t>
      </w:r>
      <w:r w:rsidRPr="00D9597E">
        <w:t>each regulatory period and over the term of the RAB.</w:t>
      </w:r>
      <w:r w:rsidRPr="00D9597E">
        <w:rPr>
          <w:rStyle w:val="FootnoteReference"/>
        </w:rPr>
        <w:footnoteReference w:id="1098"/>
      </w:r>
    </w:p>
    <w:p w:rsidR="00312F8A" w:rsidRPr="00D9597E" w:rsidRDefault="00312F8A" w:rsidP="00312F8A">
      <w:pPr>
        <w:pStyle w:val="AERbulletlistfirststyle"/>
      </w:pPr>
      <w:r>
        <w:t xml:space="preserve">The trailing average approach provides service providers with the reasonable opportunity to recover at least efficient costs over the </w:t>
      </w:r>
      <w:r w:rsidRPr="00D9597E">
        <w:t>term of the RAB.</w:t>
      </w:r>
    </w:p>
    <w:p w:rsidR="00312F8A" w:rsidRDefault="00312F8A" w:rsidP="00312F8A">
      <w:r>
        <w:t>If switching between regimes, a full transition provides service providers with the reasonable opportunity to recover at least efficient costs over the term of the RAB. That is, the same ex-ante compensation should be achieved under: an on-the-day regime, a trailing average regime, or a switch from one regime to the other (but only if the switch is revenue neutral).</w:t>
      </w:r>
    </w:p>
    <w:p w:rsidR="00312F8A" w:rsidRPr="006C533F" w:rsidRDefault="00312F8A" w:rsidP="00312F8A">
      <w:r>
        <w:t>We use the following notation:</w:t>
      </w:r>
    </w:p>
    <w:p w:rsidR="00312F8A" w:rsidRPr="00D9597E" w:rsidRDefault="003F1AAB" w:rsidP="00312F8A">
      <w:pPr>
        <w:pStyle w:val="AERbulletlistfirststyle"/>
      </w:pPr>
      <m:oMath>
        <m:sSub>
          <m:sSubPr>
            <m:ctrlPr>
              <w:rPr>
                <w:rFonts w:ascii="Cambria Math" w:hAnsi="Cambria Math"/>
              </w:rPr>
            </m:ctrlPr>
          </m:sSubPr>
          <m:e>
            <m:r>
              <w:rPr>
                <w:rFonts w:ascii="Cambria Math" w:hAnsi="Cambria Math"/>
              </w:rPr>
              <m:t>CF</m:t>
            </m:r>
          </m:e>
          <m:sub>
            <m:r>
              <w:rPr>
                <w:rFonts w:ascii="Cambria Math" w:hAnsi="Cambria Math"/>
              </w:rPr>
              <m:t>t</m:t>
            </m:r>
          </m:sub>
        </m:sSub>
      </m:oMath>
      <w:r w:rsidR="00312F8A" w:rsidRPr="00D9597E">
        <w:t xml:space="preserve"> </w:t>
      </w:r>
      <w:proofErr w:type="gramStart"/>
      <w:r w:rsidR="00312F8A" w:rsidRPr="00D9597E">
        <w:t>denotes</w:t>
      </w:r>
      <w:proofErr w:type="gramEnd"/>
      <w:r w:rsidR="00312F8A" w:rsidRPr="00D9597E">
        <w:t xml:space="preserve"> net operating cash flows for year </w:t>
      </w:r>
      <m:oMath>
        <m:r>
          <w:rPr>
            <w:rFonts w:ascii="Cambria Math" w:hAnsi="Cambria Math"/>
          </w:rPr>
          <m:t>t</m:t>
        </m:r>
        <m:r>
          <w:rPr>
            <w:rStyle w:val="FootnoteReference"/>
            <w:rFonts w:ascii="Cambria Math" w:hAnsi="Cambria Math"/>
            <w:i/>
          </w:rPr>
          <w:footnoteReference w:id="1099"/>
        </m:r>
      </m:oMath>
      <w:r w:rsidR="00312F8A" w:rsidRPr="00D9597E">
        <w:t>―that is, revenue less operating  expenditure (opex).</w:t>
      </w:r>
      <w:r w:rsidR="00312F8A" w:rsidRPr="00D9597E">
        <w:rPr>
          <w:rStyle w:val="FootnoteReference"/>
        </w:rPr>
        <w:footnoteReference w:id="1100"/>
      </w:r>
      <w:r w:rsidR="00312F8A" w:rsidRPr="00D9597E">
        <w:t xml:space="preserve"> Under our depreciation assumptions, this can be expressed </w:t>
      </w:r>
      <w:proofErr w:type="gramStart"/>
      <w:r w:rsidR="00312F8A" w:rsidRPr="00D9597E">
        <w:t xml:space="preserve">as </w:t>
      </w:r>
      <w:proofErr w:type="gramEnd"/>
      <m:oMath>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oMath>
      <w:r w:rsidR="00312F8A" w:rsidRPr="00D9597E">
        <w:t xml:space="preserve">, where </w:t>
      </w:r>
      <m:oMath>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r>
          <w:rPr>
            <w:rFonts w:ascii="Cambria Math" w:hAnsi="Cambria Math"/>
          </w:rPr>
          <m:t xml:space="preserve"> </m:t>
        </m:r>
      </m:oMath>
      <w:r w:rsidR="00312F8A" w:rsidRPr="00D9597E">
        <w:t xml:space="preserve">is the return on capital cash flow. </w:t>
      </w:r>
    </w:p>
    <w:p w:rsidR="00312F8A" w:rsidRPr="00D9597E" w:rsidRDefault="003F1AAB" w:rsidP="00312F8A">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312F8A" w:rsidRPr="00D9597E">
        <w:t xml:space="preserve"> </w:t>
      </w:r>
      <w:proofErr w:type="gramStart"/>
      <w:r w:rsidR="00312F8A" w:rsidRPr="00D9597E">
        <w:t>is</w:t>
      </w:r>
      <w:proofErr w:type="gramEnd"/>
      <w:r w:rsidR="00312F8A" w:rsidRPr="00D9597E">
        <w:t xml:space="preserve"> the allowed rate of return (which is reset periodically).</w:t>
      </w:r>
      <w:r w:rsidR="00312F8A" w:rsidRPr="00D9597E">
        <w:rPr>
          <w:rStyle w:val="FootnoteReference"/>
        </w:rPr>
        <w:footnoteReference w:id="1101"/>
      </w:r>
    </w:p>
    <w:p w:rsidR="00312F8A" w:rsidRPr="00D9597E" w:rsidRDefault="003F1AAB" w:rsidP="00312F8A">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312F8A" w:rsidRPr="00D9597E">
        <w:t xml:space="preserve"> </w:t>
      </w:r>
      <w:proofErr w:type="gramStart"/>
      <w:r w:rsidR="00312F8A" w:rsidRPr="00D9597E">
        <w:t>is</w:t>
      </w:r>
      <w:proofErr w:type="gramEnd"/>
      <w:r w:rsidR="00312F8A" w:rsidRPr="00D9597E">
        <w:t xml:space="preserve"> the closing RAB at the end of year </w:t>
      </w:r>
      <m:oMath>
        <m:r>
          <w:rPr>
            <w:rFonts w:ascii="Cambria Math" w:hAnsi="Cambria Math"/>
          </w:rPr>
          <m:t>t</m:t>
        </m:r>
      </m:oMath>
      <w:r w:rsidR="00312F8A" w:rsidRPr="00D9597E">
        <w:t xml:space="preserve"> (which equals the opening RAB at the beginning of year </w:t>
      </w:r>
      <m:oMath>
        <m:r>
          <w:rPr>
            <w:rFonts w:ascii="Cambria Math" w:hAnsi="Cambria Math"/>
          </w:rPr>
          <m:t>t+1</m:t>
        </m:r>
      </m:oMath>
      <w:r w:rsidR="00312F8A" w:rsidRPr="00D9597E">
        <w:t>).</w:t>
      </w:r>
    </w:p>
    <w:p w:rsidR="00312F8A" w:rsidRPr="00D9597E" w:rsidRDefault="003F1AAB" w:rsidP="00312F8A">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 xml:space="preserve">i,j </m:t>
            </m:r>
          </m:sub>
        </m:sSub>
      </m:oMath>
      <w:proofErr w:type="gramStart"/>
      <w:r w:rsidR="00312F8A" w:rsidRPr="00D9597E">
        <w:t>is</w:t>
      </w:r>
      <w:proofErr w:type="gramEnd"/>
      <w:r w:rsidR="00312F8A" w:rsidRPr="00D9597E">
        <w:t xml:space="preserve"> the ex-ante cost of capital prevailing in the market for the investment at time </w:t>
      </w:r>
      <m:oMath>
        <m:r>
          <w:rPr>
            <w:rFonts w:ascii="Cambria Math" w:hAnsi="Cambria Math"/>
          </w:rPr>
          <m:t>i</m:t>
        </m:r>
      </m:oMath>
      <w:r w:rsidR="00312F8A" w:rsidRPr="00D9597E">
        <w:t>,</w:t>
      </w:r>
      <w:r w:rsidR="00312F8A" w:rsidRPr="00D9597E">
        <w:rPr>
          <w:rStyle w:val="FootnoteReference"/>
        </w:rPr>
        <w:footnoteReference w:id="1102"/>
      </w:r>
      <w:r w:rsidR="00312F8A" w:rsidRPr="00D9597E">
        <w:t xml:space="preserve"> with a term of </w:t>
      </w:r>
      <m:oMath>
        <m:r>
          <w:rPr>
            <w:rFonts w:ascii="Cambria Math" w:hAnsi="Cambria Math"/>
          </w:rPr>
          <m:t>j</m:t>
        </m:r>
      </m:oMath>
      <w:r w:rsidR="00312F8A" w:rsidRPr="00D9597E">
        <w:t xml:space="preserve"> years—used to discount the expected cash flows.</w:t>
      </w:r>
    </w:p>
    <w:p w:rsidR="00312F8A" w:rsidRPr="00D9597E" w:rsidRDefault="00312F8A" w:rsidP="00312F8A">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D9597E">
        <w:t xml:space="preserve"> </w:t>
      </w:r>
      <w:proofErr w:type="gramStart"/>
      <w:r w:rsidRPr="00D9597E">
        <w:t>denotes</w:t>
      </w:r>
      <w:proofErr w:type="gramEnd"/>
      <w:r w:rsidRPr="00D9597E">
        <w:t xml:space="preserve"> expected value.</w:t>
      </w:r>
    </w:p>
    <w:p w:rsidR="00312F8A" w:rsidRPr="00D9597E" w:rsidRDefault="003F1AAB" w:rsidP="00312F8A">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312F8A" w:rsidRPr="00D9597E">
        <w:t xml:space="preserve"> </w:t>
      </w:r>
      <w:proofErr w:type="gramStart"/>
      <w:r w:rsidR="00312F8A" w:rsidRPr="00D9597E">
        <w:t>denotes</w:t>
      </w:r>
      <w:proofErr w:type="gramEnd"/>
      <w:r w:rsidR="00312F8A" w:rsidRPr="00D9597E">
        <w:t xml:space="preserve"> present value, at year t (can also be referred to as market value). </w:t>
      </w:r>
    </w:p>
    <w:p w:rsidR="00312F8A" w:rsidRDefault="00312F8A" w:rsidP="00312F8A">
      <w:r>
        <w:t>For simplicity, we assume within-period investment equals depreciation in all periods prior to the end of the term of the RAB (year</w:t>
      </w:r>
      <m:oMath>
        <m:r>
          <w:rPr>
            <w:rFonts w:ascii="Cambria Math" w:hAnsi="Cambria Math"/>
          </w:rPr>
          <m:t xml:space="preserve"> t=T</m:t>
        </m:r>
      </m:oMath>
      <w:r>
        <w:t>),</w:t>
      </w:r>
      <w:r>
        <w:rPr>
          <w:rStyle w:val="FootnoteReference"/>
        </w:rPr>
        <w:footnoteReference w:id="1103"/>
      </w:r>
      <w:r>
        <w:t xml:space="preserve"> where all initial capital (</w:t>
      </w:r>
      <m:oMath>
        <m:sSub>
          <m:sSubPr>
            <m:ctrlPr>
              <w:rPr>
                <w:rFonts w:ascii="Cambria Math" w:hAnsi="Cambria Math"/>
              </w:rPr>
            </m:ctrlPr>
          </m:sSubPr>
          <m:e>
            <m:r>
              <w:rPr>
                <w:rFonts w:ascii="Cambria Math" w:hAnsi="Cambria Math"/>
              </w:rPr>
              <m:t>K</m:t>
            </m:r>
          </m:e>
          <m:sub>
            <m:r>
              <w:rPr>
                <w:rFonts w:ascii="Cambria Math" w:hAnsi="Cambria Math"/>
              </w:rPr>
              <m:t>0</m:t>
            </m:r>
          </m:sub>
        </m:sSub>
      </m:oMath>
      <w:r>
        <w:t>) is returned (</w:t>
      </w:r>
      <w:proofErr w:type="gramStart"/>
      <w:r>
        <w:t xml:space="preserve">as </w:t>
      </w:r>
      <w:proofErr w:type="gramEnd"/>
      <m:oMath>
        <m:sSub>
          <m:sSubPr>
            <m:ctrlPr>
              <w:rPr>
                <w:rFonts w:ascii="Cambria Math" w:hAnsi="Cambria Math"/>
              </w:rPr>
            </m:ctrlPr>
          </m:sSubPr>
          <m:e>
            <m:r>
              <w:rPr>
                <w:rFonts w:ascii="Cambria Math" w:hAnsi="Cambria Math"/>
              </w:rPr>
              <m:t>K</m:t>
            </m:r>
          </m:e>
          <m:sub>
            <m:r>
              <w:rPr>
                <w:rFonts w:ascii="Cambria Math" w:hAnsi="Cambria Math"/>
              </w:rPr>
              <m:t>T</m:t>
            </m:r>
          </m:sub>
        </m:sSub>
      </m:oMath>
      <w:r>
        <w:t>).</w:t>
      </w:r>
      <w:r>
        <w:rPr>
          <w:rStyle w:val="FootnoteReference"/>
        </w:rPr>
        <w:footnoteReference w:id="1104"/>
      </w:r>
      <w:r>
        <w:t xml:space="preserve"> Therefore, within-period investment cancels out </w:t>
      </w:r>
      <w:proofErr w:type="gramStart"/>
      <w:r>
        <w:t xml:space="preserve">and </w:t>
      </w:r>
      <w:proofErr w:type="gramEnd"/>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t xml:space="preserve">, where </w:t>
      </w:r>
      <m:oMath>
        <m:sSub>
          <m:sSubPr>
            <m:ctrlPr>
              <w:rPr>
                <w:rFonts w:ascii="Cambria Math" w:hAnsi="Cambria Math"/>
              </w:rPr>
            </m:ctrlPr>
          </m:sSubPr>
          <m:e>
            <m:r>
              <w:rPr>
                <w:rFonts w:ascii="Cambria Math" w:hAnsi="Cambria Math"/>
              </w:rPr>
              <m:t>D</m:t>
            </m:r>
          </m:e>
          <m:sub>
            <m:r>
              <w:rPr>
                <w:rFonts w:ascii="Cambria Math" w:hAnsi="Cambria Math"/>
              </w:rPr>
              <m:t>t</m:t>
            </m:r>
          </m:sub>
        </m:sSub>
      </m:oMath>
      <w:r w:rsidRPr="00617460">
        <w:t xml:space="preserve"> </w:t>
      </w:r>
      <w:r>
        <w:t>is</w:t>
      </w:r>
      <w:r w:rsidRPr="00617460">
        <w:t xml:space="preserve"> depreciation (or return of capital) </w:t>
      </w:r>
      <w:r>
        <w:t>for year</w:t>
      </w:r>
      <w:r w:rsidRPr="00617460">
        <w:t xml:space="preserve"> </w:t>
      </w:r>
      <m:oMath>
        <m:r>
          <w:rPr>
            <w:rFonts w:ascii="Cambria Math" w:hAnsi="Cambria Math"/>
          </w:rPr>
          <m:t>t</m:t>
        </m:r>
      </m:oMath>
      <w:r>
        <w:t xml:space="preserve">. </w:t>
      </w:r>
    </w:p>
    <w:p w:rsidR="00312F8A" w:rsidRPr="001C5C3A" w:rsidRDefault="00312F8A" w:rsidP="00312F8A">
      <w:r>
        <w:t>We note the mathemat</w:t>
      </w:r>
      <w:r w:rsidRPr="001C5C3A">
        <w:t>ical explanation</w:t>
      </w:r>
      <w:r>
        <w:t xml:space="preserve"> in this section</w:t>
      </w:r>
      <w:r w:rsidRPr="001C5C3A">
        <w:t xml:space="preserve"> is a simplification of reality. We use it to </w:t>
      </w:r>
      <w:r>
        <w:t>demonstrate the principle</w:t>
      </w:r>
      <w:r w:rsidRPr="001C5C3A">
        <w:t xml:space="preserve"> that the allowed rate of return should be set (</w:t>
      </w:r>
      <w:r>
        <w:t>and periodically</w:t>
      </w:r>
      <w:r w:rsidRPr="001C5C3A">
        <w:t xml:space="preserve"> reset) such that the ex-ante allowed return on (and of) capital cash flows </w:t>
      </w:r>
      <w:r>
        <w:t>equals the ex-ante cost of a benchmark efficient entity's investment in its RAB (in present value terms)</w:t>
      </w:r>
      <w:r w:rsidRPr="001C5C3A">
        <w:t xml:space="preserve">. This gives service providers a reasonable opportunity to recover at least efficient financing costs over the </w:t>
      </w:r>
      <w:r>
        <w:t>term of the RAB</w:t>
      </w:r>
      <w:r w:rsidRPr="001C5C3A">
        <w:t>. As Brennan (1991) stated:</w:t>
      </w:r>
      <w:r w:rsidRPr="001C5C3A">
        <w:rPr>
          <w:rStyle w:val="FootnoteReference"/>
        </w:rPr>
        <w:footnoteReference w:id="1105"/>
      </w:r>
    </w:p>
    <w:p w:rsidR="00312F8A" w:rsidRDefault="00312F8A" w:rsidP="00312F8A">
      <w:pPr>
        <w:pStyle w:val="AERquote"/>
      </w:pPr>
      <w:r w:rsidRPr="00B72C08">
        <w:t>With regard to investor compensation, the basic goal of regulation is to give investors an income stream just sufficient to cover the costs of their assets, and no more</w:t>
      </w:r>
    </w:p>
    <w:p w:rsidR="00312F8A" w:rsidRDefault="00312F8A" w:rsidP="00312F8A">
      <w:pPr>
        <w:pStyle w:val="HeadingBoldBlue"/>
      </w:pPr>
      <w:r>
        <w:t>On-the-day approach</w:t>
      </w:r>
    </w:p>
    <w:p w:rsidR="00312F8A" w:rsidRDefault="00312F8A" w:rsidP="00312F8A">
      <w:r>
        <w:t>For simplicity, assume the term of the risk free rate matches the regulatory period (five years) under the on-the-day approach.</w:t>
      </w:r>
      <w:r>
        <w:rPr>
          <w:rStyle w:val="FootnoteReference"/>
        </w:rPr>
        <w:footnoteReference w:id="1106"/>
      </w:r>
      <w:r>
        <w:t xml:space="preserve">  If we provide service providers with a reasonable opportunity to recover at least efficient costs over a regulatory period commencing year </w:t>
      </w:r>
      <m:oMath>
        <m:r>
          <w:rPr>
            <w:rFonts w:ascii="Cambria Math" w:hAnsi="Cambria Math"/>
          </w:rPr>
          <m:t>t</m:t>
        </m:r>
      </m:oMath>
      <w:r>
        <w:t xml:space="preserve">, then the present value of expected net operating cash flows over this period plus the closing RAB (at </w:t>
      </w:r>
      <m:oMath>
        <m:r>
          <w:rPr>
            <w:rFonts w:ascii="Cambria Math" w:hAnsi="Cambria Math"/>
          </w:rPr>
          <m:t>t+5</m:t>
        </m:r>
      </m:oMath>
      <w:r>
        <w:t xml:space="preserve">) should equal the opening RAB (at </w:t>
      </w:r>
      <m:oMath>
        <m:r>
          <w:rPr>
            <w:rFonts w:ascii="Cambria Math" w:hAnsi="Cambria Math"/>
          </w:rPr>
          <m:t>t</m:t>
        </m:r>
      </m:oMath>
      <w:r>
        <w:t>). Under our depreciation assumptions, the opening RAB (</w:t>
      </w:r>
      <w:proofErr w:type="gramStart"/>
      <w:r>
        <w:t xml:space="preserve">at </w:t>
      </w:r>
      <w:proofErr w:type="gramEnd"/>
      <m:oMath>
        <m:r>
          <w:rPr>
            <w:rFonts w:ascii="Cambria Math" w:hAnsi="Cambria Math"/>
          </w:rPr>
          <m:t>t</m:t>
        </m:r>
      </m:oMath>
      <w:r>
        <w:t xml:space="preserve">) will equal its initial value (at </w:t>
      </w:r>
      <m:oMath>
        <m:r>
          <w:rPr>
            <w:rFonts w:ascii="Cambria Math" w:hAnsi="Cambria Math"/>
          </w:rPr>
          <m:t>t=0</m:t>
        </m:r>
      </m:oMath>
      <w:r>
        <w:t>).</w:t>
      </w:r>
    </w:p>
    <w:p w:rsidR="00312F8A" w:rsidRDefault="00312F8A" w:rsidP="00312F8A">
      <w:r>
        <w:t>This present value principle should hold under the on-the-day approach because we reset the allowed rate of return to reflect the (appropriately benchmarked)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w:t>
      </w:r>
      <w:r>
        <w:rPr>
          <w:rStyle w:val="FootnoteReference"/>
        </w:rPr>
        <w:footnoteReference w:id="1107"/>
      </w:r>
      <w:r>
        <w:t xml:space="preserve"> at the commencement of each regulatory period. We show this below: </w:t>
      </w:r>
    </w:p>
    <w:p w:rsidR="00312F8A" w:rsidRDefault="003F1AAB" w:rsidP="00312F8A">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312F8A" w:rsidRDefault="00312F8A" w:rsidP="00312F8A">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Style w:val="FootnoteReference"/>
              <w:rFonts w:ascii="Cambria Math" w:hAnsi="Cambria Math"/>
              <w:i/>
            </w:rPr>
            <w:footnoteReference w:id="1108"/>
          </m:r>
        </m:oMath>
      </m:oMathPara>
    </w:p>
    <w:p w:rsidR="00312F8A" w:rsidRDefault="00312F8A" w:rsidP="00312F8A">
      <w:r>
        <w:t xml:space="preserve">where the allowed rate of return (in the cash flows) equals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oMath>
      <w:r>
        <w:t>,</w:t>
      </w:r>
      <w:r>
        <w:rPr>
          <w:rStyle w:val="FootnoteReference"/>
        </w:rPr>
        <w:footnoteReference w:id="1109"/>
      </w:r>
      <w:r>
        <w:t xml:space="preserve"> and the present value (at time </w:t>
      </w:r>
      <m:oMath>
        <m:r>
          <w:rPr>
            <w:rFonts w:ascii="Cambria Math" w:hAnsi="Cambria Math"/>
          </w:rPr>
          <m:t>t+5</m:t>
        </m:r>
      </m:oMath>
      <w:r>
        <w:t xml:space="preserve">) of expected future cash flows over the remaining term of the RAB equals the closing RAB at the end of year </w:t>
      </w:r>
      <m:oMath>
        <m:r>
          <w:rPr>
            <w:rFonts w:ascii="Cambria Math" w:hAnsi="Cambria Math"/>
          </w:rPr>
          <m:t>t+5</m:t>
        </m:r>
      </m:oMath>
      <w:r>
        <w:t xml:space="preserve"> (that is,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t>).</w:t>
      </w:r>
    </w:p>
    <w:p w:rsidR="00312F8A" w:rsidRDefault="00312F8A" w:rsidP="00312F8A">
      <w:r>
        <w:t>Under our assumptions</w:t>
      </w:r>
      <w:proofErr w:type="gramStart"/>
      <w:r>
        <w:t xml:space="preserve">, </w:t>
      </w:r>
      <w:proofErr w:type="gramEnd"/>
      <m:oMath>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t>, and:</w:t>
      </w:r>
      <w:r>
        <w:rPr>
          <w:rStyle w:val="FootnoteReference"/>
        </w:rPr>
        <w:footnoteReference w:id="1110"/>
      </w:r>
    </w:p>
    <w:p w:rsidR="00312F8A" w:rsidRPr="00312F8A" w:rsidRDefault="003F1AAB" w:rsidP="00312F8A">
      <w:pPr>
        <w:pStyle w:val="ListContinue"/>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r>
                    <m:rPr>
                      <m:sty m:val="p"/>
                    </m:rPr>
                    <w:rPr>
                      <w:rStyle w:val="CommentReference"/>
                      <w:rFonts w:ascii="Cambria Math" w:hAnsi="Cambria Math"/>
                    </w:rPr>
                    <m:t> </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312F8A" w:rsidRDefault="00312F8A" w:rsidP="00312F8A">
      <w:pPr>
        <w:pStyle w:val="ListContinue"/>
      </w:pPr>
      <w:r>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r</m:t>
                </m:r>
                <m:d>
                  <m:dPr>
                    <m:ctrlPr>
                      <w:rPr>
                        <w:rFonts w:ascii="Cambria Math" w:hAnsi="Cambria Math"/>
                      </w:rPr>
                    </m:ctrlPr>
                  </m:dPr>
                  <m:e>
                    <m:r>
                      <w:rPr>
                        <w:rFonts w:ascii="Cambria Math" w:hAnsi="Cambria Math"/>
                      </w:rPr>
                      <m:t>d</m:t>
                    </m:r>
                  </m:e>
                </m:d>
              </m:e>
            </m:acc>
          </m:e>
          <m:sub>
            <m:r>
              <w:rPr>
                <w:rFonts w:ascii="Cambria Math" w:hAnsi="Cambria Math"/>
              </w:rPr>
              <m:t>t</m:t>
            </m:r>
            <m:r>
              <m:rPr>
                <m:sty m:val="p"/>
              </m:rPr>
              <w:rPr>
                <w:rFonts w:ascii="Cambria Math" w:hAnsi="Cambria Math"/>
              </w:rPr>
              <m:t>,5</m:t>
            </m:r>
          </m:sub>
        </m:sSub>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312F8A" w:rsidRPr="00312F8A" w:rsidRDefault="003F1AAB" w:rsidP="00312F8A">
      <w:pPr>
        <w:pStyle w:val="ListContinue"/>
      </w:pPr>
      <m:oMathPara>
        <m:oMathParaPr>
          <m:jc m:val="left"/>
        </m:oMathParaPr>
        <m:oMath>
          <m:sSub>
            <m:sSubPr>
              <m:ctrlPr>
                <w:rPr>
                  <w:rFonts w:ascii="Cambria Math" w:hAnsi="Cambria Math"/>
                </w:rPr>
              </m:ctrlPr>
            </m:sSubPr>
            <m:e>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oMath>
      </m:oMathPara>
    </w:p>
    <w:p w:rsidR="00312F8A" w:rsidRDefault="00312F8A" w:rsidP="00312F8A">
      <w:r>
        <w:t xml:space="preserve">We can show </w:t>
      </w:r>
      <m:oMath>
        <m:sSub>
          <m:sSubPr>
            <m:ctrlPr>
              <w:rPr>
                <w:rFonts w:ascii="Cambria Math" w:hAnsi="Cambria Math"/>
              </w:rPr>
            </m:ctrlPr>
          </m:sSubPr>
          <m:e>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oMath>
      <w:r>
        <w:t xml:space="preserve"> through the following sequences of equalities, which collapse down </w:t>
      </w:r>
      <w:proofErr w:type="gramStart"/>
      <w:r>
        <w:t xml:space="preserve">to </w:t>
      </w:r>
      <w:proofErr w:type="gramEnd"/>
      <m:oMath>
        <m:sSub>
          <m:sSubPr>
            <m:ctrlPr>
              <w:rPr>
                <w:rFonts w:ascii="Cambria Math" w:hAnsi="Cambria Math"/>
              </w:rPr>
            </m:ctrlPr>
          </m:sSubPr>
          <m:e>
            <m:r>
              <w:rPr>
                <w:rFonts w:ascii="Cambria Math" w:hAnsi="Cambria Math"/>
              </w:rPr>
              <m:t>PV</m:t>
            </m:r>
          </m:e>
          <m:sub>
            <m:r>
              <w:rPr>
                <w:rFonts w:ascii="Cambria Math" w:hAnsi="Cambria Math"/>
              </w:rPr>
              <m:t>t+5</m:t>
            </m:r>
          </m:sub>
        </m:sSub>
      </m:oMath>
      <w:r>
        <w:t>:</w:t>
      </w:r>
      <w:r>
        <w:rPr>
          <w:rStyle w:val="FootnoteReference"/>
        </w:rPr>
        <w:footnoteReference w:id="1111"/>
      </w:r>
    </w:p>
    <w:p w:rsidR="00312F8A" w:rsidRDefault="003F1AAB" w:rsidP="00312F8A">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Style w:val="CommentReference"/>
              <w:rFonts w:ascii="Cambria Math" w:hAnsi="Cambria Math"/>
            </w:rPr>
            <m:t>=</m:t>
          </m:r>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i=t+6 </m:t>
                  </m:r>
                </m:sub>
                <m:sup>
                  <m:r>
                    <w:rPr>
                      <w:rFonts w:ascii="Cambria Math" w:hAnsi="Cambria Math"/>
                    </w:rPr>
                    <m:t>t+10</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i-5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312F8A" w:rsidRDefault="003F1AAB" w:rsidP="00312F8A">
      <m:oMathPara>
        <m:oMath>
          <m:sSub>
            <m:sSubPr>
              <m:ctrlPr>
                <w:rPr>
                  <w:rFonts w:ascii="Cambria Math" w:hAnsi="Cambria Math"/>
                  <w:i/>
                </w:rPr>
              </m:ctrlPr>
            </m:sSubPr>
            <m:e>
              <m:r>
                <w:rPr>
                  <w:rFonts w:ascii="Cambria Math" w:hAnsi="Cambria Math"/>
                </w:rPr>
                <m:t>PV</m:t>
              </m:r>
            </m:e>
            <m:sub>
              <m:r>
                <w:rPr>
                  <w:rFonts w:ascii="Cambria Math" w:hAnsi="Cambria Math"/>
                </w:rPr>
                <m:t>t+10</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i=t+11 </m:t>
                  </m:r>
                </m:sub>
                <m:sup>
                  <m:r>
                    <w:rPr>
                      <w:rFonts w:ascii="Cambria Math" w:hAnsi="Cambria Math"/>
                    </w:rPr>
                    <m:t>t+15</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i-10</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312F8A" w:rsidRDefault="00312F8A" w:rsidP="00312F8A">
      <m:oMathPara>
        <m:oMath>
          <m:r>
            <w:rPr>
              <w:rFonts w:ascii="Cambria Math" w:hAnsi="Cambria Math"/>
            </w:rPr>
            <m:t>…</m:t>
          </m:r>
        </m:oMath>
      </m:oMathPara>
    </w:p>
    <w:p w:rsidR="00312F8A" w:rsidRPr="008948E5" w:rsidRDefault="003F1AAB" w:rsidP="00312F8A">
      <w:pPr>
        <w:rPr>
          <w:rStyle w:val="CommentReference"/>
        </w:rPr>
      </w:pPr>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i=</m:t>
                  </m:r>
                  <m:d>
                    <m:dPr>
                      <m:ctrlPr>
                        <w:rPr>
                          <w:rFonts w:ascii="Cambria Math" w:hAnsi="Cambria Math"/>
                        </w:rPr>
                      </m:ctrlPr>
                    </m:dPr>
                    <m:e>
                      <m:r>
                        <w:rPr>
                          <w:rFonts w:ascii="Cambria Math" w:hAnsi="Cambria Math"/>
                        </w:rPr>
                        <m:t>T-4</m:t>
                      </m:r>
                    </m:e>
                  </m:d>
                </m:sub>
                <m:sup>
                  <m:r>
                    <w:rPr>
                      <w:rFonts w:ascii="Cambria Math" w:hAnsi="Cambria Math"/>
                    </w:rPr>
                    <m:t>T</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d>
                            <m:dPr>
                              <m:ctrlPr>
                                <w:rPr>
                                  <w:rFonts w:ascii="Cambria Math" w:hAnsi="Cambria Math"/>
                                </w:rPr>
                              </m:ctrlPr>
                            </m:dPr>
                            <m:e>
                              <m:r>
                                <w:rPr>
                                  <w:rFonts w:ascii="Cambria Math" w:hAnsi="Cambria Math"/>
                                </w:rPr>
                                <m:t>T-5</m:t>
                              </m:r>
                            </m:e>
                          </m:d>
                          <m:r>
                            <w:rPr>
                              <w:rFonts w:ascii="Cambria Math" w:hAnsi="Cambria Math"/>
                            </w:rPr>
                            <m:t>,5</m:t>
                          </m:r>
                        </m:sub>
                      </m:sSub>
                      <m:sSup>
                        <m:sSupPr>
                          <m:ctrlPr>
                            <w:rPr>
                              <w:rFonts w:ascii="Cambria Math" w:hAnsi="Cambria Math"/>
                            </w:rPr>
                          </m:ctrlPr>
                        </m:sSupPr>
                        <m:e>
                          <m:r>
                            <w:rPr>
                              <w:rFonts w:ascii="Cambria Math" w:hAnsi="Cambria Math"/>
                            </w:rPr>
                            <m:t>)</m:t>
                          </m:r>
                        </m:e>
                        <m:sup>
                          <m:r>
                            <w:rPr>
                              <w:rFonts w:ascii="Cambria Math" w:hAnsi="Cambria Math"/>
                            </w:rPr>
                            <m:t>i-(T-5)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312F8A" w:rsidRDefault="00312F8A" w:rsidP="00312F8A">
      <w:r>
        <w:t>The above present value principle should hold</w:t>
      </w:r>
      <w:r w:rsidRPr="008948E5">
        <w:t xml:space="preserve"> under any regulatory period under the on-the-day approach, and therefore should hold over the </w:t>
      </w:r>
      <w:r>
        <w:t>term of the RAB, which would comprise of multiple regulatory periods</w:t>
      </w:r>
      <w:r w:rsidRPr="008948E5">
        <w:t>.</w:t>
      </w:r>
      <w:r>
        <w:rPr>
          <w:rStyle w:val="FootnoteReference"/>
        </w:rPr>
        <w:footnoteReference w:id="1112"/>
      </w:r>
      <w:r w:rsidRPr="008948E5">
        <w:t xml:space="preserve"> </w:t>
      </w:r>
      <w:r>
        <w:t>T</w:t>
      </w:r>
      <w:r w:rsidRPr="008948E5">
        <w:t>he allowed rate of return is reset to</w:t>
      </w:r>
      <w:r>
        <w:t xml:space="preserve"> reflect</w:t>
      </w:r>
      <w:r w:rsidRPr="008948E5">
        <w:t xml:space="preserve"> the (appropriately benchmarked) prevailing market cost of capital </w:t>
      </w:r>
      <w:r>
        <w:t>at</w:t>
      </w:r>
      <w:r w:rsidRPr="008948E5">
        <w:t xml:space="preserve"> the commencement of each regulatory period</w:t>
      </w:r>
      <w:r>
        <w:t>. Therefore,</w:t>
      </w:r>
      <w:r w:rsidRPr="008948E5">
        <w:t xml:space="preserve"> the </w:t>
      </w:r>
      <w:r>
        <w:t xml:space="preserve">present (or market) </w:t>
      </w:r>
      <w:r w:rsidRPr="008948E5">
        <w:t>value of the RAB is reset to its</w:t>
      </w:r>
      <w:r>
        <w:t xml:space="preserve"> statutory value</w:t>
      </w:r>
      <w:r w:rsidRPr="008948E5">
        <w:t xml:space="preserve"> </w:t>
      </w:r>
      <w:r>
        <w:t xml:space="preserve">(or, under our assumptions, its </w:t>
      </w:r>
      <w:r w:rsidRPr="008948E5">
        <w:t>initial</w:t>
      </w:r>
      <w:r>
        <w:t xml:space="preserve"> </w:t>
      </w:r>
      <w:proofErr w:type="gramStart"/>
      <w:r w:rsidRPr="008948E5">
        <w:t>value</w:t>
      </w:r>
      <w:r>
        <w:t xml:space="preserve"> </w:t>
      </w:r>
      <w:proofErr w:type="gramEnd"/>
      <m:oMath>
        <m:sSub>
          <m:sSubPr>
            <m:ctrlPr>
              <w:rPr>
                <w:rFonts w:ascii="Cambria Math" w:hAnsi="Cambria Math"/>
              </w:rPr>
            </m:ctrlPr>
          </m:sSubPr>
          <m:e>
            <m:r>
              <w:rPr>
                <w:rFonts w:ascii="Cambria Math" w:hAnsi="Cambria Math"/>
              </w:rPr>
              <m:t>K</m:t>
            </m:r>
          </m:e>
          <m:sub>
            <m:r>
              <w:rPr>
                <w:rFonts w:ascii="Cambria Math" w:hAnsi="Cambria Math"/>
              </w:rPr>
              <m:t>0</m:t>
            </m:r>
          </m:sub>
        </m:sSub>
      </m:oMath>
      <w:r>
        <w:t>) at</w:t>
      </w:r>
      <w:r w:rsidRPr="008948E5">
        <w:t xml:space="preserve"> the commencement of each regulatory period. </w:t>
      </w:r>
      <w:r>
        <w:t>This is supported by Partington and Satchell.</w:t>
      </w:r>
      <w:r>
        <w:rPr>
          <w:rStyle w:val="FootnoteReference"/>
        </w:rPr>
        <w:footnoteReference w:id="1113"/>
      </w:r>
      <w:r>
        <w:t xml:space="preserve"> </w:t>
      </w:r>
      <w:r w:rsidRPr="008948E5">
        <w:t xml:space="preserve">To this extent, the regulatory regime under an on-the-day approach can be likened to a </w:t>
      </w:r>
      <w:r>
        <w:t>long term floating rate security</w:t>
      </w:r>
      <w:r w:rsidRPr="008948E5">
        <w:t xml:space="preserve"> where the allowed rate of return is the coupon rate, reset at the start of each regulatory period such that the </w:t>
      </w:r>
      <w:r>
        <w:t xml:space="preserve">present (or market) </w:t>
      </w:r>
      <w:r w:rsidRPr="008948E5">
        <w:t xml:space="preserve">value of the bond equals </w:t>
      </w:r>
      <w:r>
        <w:t xml:space="preserve">its </w:t>
      </w:r>
      <w:r w:rsidRPr="008948E5">
        <w:t>par</w:t>
      </w:r>
      <w:r>
        <w:t xml:space="preserve"> (or face)</w:t>
      </w:r>
      <w:r w:rsidRPr="008948E5">
        <w:t xml:space="preserve"> value</w:t>
      </w:r>
      <w:r>
        <w:t>.</w:t>
      </w:r>
      <w:r>
        <w:rPr>
          <w:rStyle w:val="FootnoteReference"/>
        </w:rPr>
        <w:footnoteReference w:id="1114"/>
      </w:r>
    </w:p>
    <w:p w:rsidR="00312F8A" w:rsidRDefault="00312F8A" w:rsidP="00312F8A">
      <w:r>
        <w:t xml:space="preserve">We consider this section shows the </w:t>
      </w:r>
      <w:r w:rsidRPr="008948E5">
        <w:t>on-the-day approach provides service providers with a reasonable opportunity to recover at least efficient costs.</w:t>
      </w:r>
      <w:r>
        <w:rPr>
          <w:rStyle w:val="FootnoteReference"/>
        </w:rPr>
        <w:footnoteReference w:id="1115"/>
      </w:r>
      <w:r w:rsidRPr="008948E5">
        <w:t xml:space="preserve"> </w:t>
      </w:r>
      <w:r>
        <w:t>That is, at the commencement of each regulatory period, the present value of expected future cash flows will equal the RAB</w:t>
      </w:r>
      <w:r w:rsidRPr="00A156E7">
        <w:t xml:space="preserve">. </w:t>
      </w:r>
      <w:r w:rsidRPr="008948E5">
        <w:t xml:space="preserve">We note that given the ARORO is standalone, the ARORO will be achieved if the present value of expected </w:t>
      </w:r>
      <w:r>
        <w:t xml:space="preserve">return on (and of) capital </w:t>
      </w:r>
      <w:r w:rsidRPr="008948E5">
        <w:t xml:space="preserve">cash flows equal the </w:t>
      </w:r>
      <w:r>
        <w:t xml:space="preserve">start-of-period </w:t>
      </w:r>
      <w:r w:rsidRPr="008948E5">
        <w:t>opening RAB</w:t>
      </w:r>
      <w:r>
        <w:t>.</w:t>
      </w:r>
    </w:p>
    <w:p w:rsidR="00312F8A" w:rsidRDefault="00312F8A" w:rsidP="00312F8A">
      <w:pPr>
        <w:pStyle w:val="HeadingBoldBlue"/>
      </w:pPr>
      <w:r>
        <w:t>Trailing average approach</w:t>
      </w:r>
    </w:p>
    <w:p w:rsidR="00312F8A" w:rsidRDefault="00312F8A" w:rsidP="00312F8A">
      <w:r>
        <w:t>Under the trailing average approach, the service provider would not necessarily have a reasonable opportunity to recover at least efficient costs over a regulatory period. However, the service provider would still have a reasonable opportunity to recover at least efficient costs over the term of the RAB.</w:t>
      </w:r>
    </w:p>
    <w:p w:rsidR="00312F8A" w:rsidRPr="00A156E7" w:rsidRDefault="00312F8A" w:rsidP="00312F8A">
      <w:r w:rsidRPr="00A156E7">
        <w:t xml:space="preserve">Assume we set the allowed rate of return based on a trailing average return on debt for a particular regulatory period (commencing </w:t>
      </w:r>
      <w:proofErr w:type="gramStart"/>
      <w:r w:rsidRPr="00A156E7">
        <w:t xml:space="preserve">year </w:t>
      </w:r>
      <w:proofErr w:type="gramEnd"/>
      <m:oMath>
        <m:r>
          <w:rPr>
            <w:rFonts w:ascii="Cambria Math" w:hAnsi="Cambria Math"/>
          </w:rPr>
          <m:t>t</m:t>
        </m:r>
      </m:oMath>
      <w:r w:rsidRPr="00A156E7">
        <w:t xml:space="preserve">). </w:t>
      </w:r>
      <w:r>
        <w:t>As set out above, f</w:t>
      </w:r>
      <w:r w:rsidRPr="00A156E7">
        <w:t xml:space="preserve">or the </w:t>
      </w:r>
      <w:r>
        <w:t>present value</w:t>
      </w:r>
      <w:r w:rsidRPr="00A156E7">
        <w:t xml:space="preserve"> principle to hold over the regulatory period commencing year </w:t>
      </w:r>
      <m:oMath>
        <m:r>
          <w:rPr>
            <w:rFonts w:ascii="Cambria Math" w:hAnsi="Cambria Math"/>
          </w:rPr>
          <m:t>t</m:t>
        </m:r>
      </m:oMath>
      <w:r w:rsidRPr="00A156E7">
        <w:t xml:space="preserve">, the present value of </w:t>
      </w:r>
      <w:r>
        <w:t xml:space="preserve">expected </w:t>
      </w:r>
      <w:r w:rsidRPr="00A156E7">
        <w:t xml:space="preserve">net operating cash flows over this period </w:t>
      </w:r>
      <w:r>
        <w:t>plus the</w:t>
      </w:r>
      <w:r w:rsidRPr="00A156E7">
        <w:t xml:space="preserve"> closing RAB </w:t>
      </w:r>
      <w:r>
        <w:t xml:space="preserve">(at </w:t>
      </w:r>
      <m:oMath>
        <m:r>
          <w:rPr>
            <w:rFonts w:ascii="Cambria Math" w:hAnsi="Cambria Math"/>
          </w:rPr>
          <m:t>t+5</m:t>
        </m:r>
      </m:oMath>
      <w:r>
        <w:t xml:space="preserve">) </w:t>
      </w:r>
      <w:r w:rsidRPr="00A156E7">
        <w:t xml:space="preserve">should equate to the opening RAB </w:t>
      </w:r>
      <w:r>
        <w:t>(</w:t>
      </w:r>
      <w:r w:rsidRPr="00A156E7">
        <w:t xml:space="preserve">at </w:t>
      </w:r>
      <m:oMath>
        <m:r>
          <w:rPr>
            <w:rFonts w:ascii="Cambria Math" w:hAnsi="Cambria Math"/>
          </w:rPr>
          <m:t>t</m:t>
        </m:r>
      </m:oMath>
      <w:r>
        <w:t>)</w:t>
      </w:r>
      <w:r w:rsidRPr="00A156E7">
        <w:t xml:space="preserve">. </w:t>
      </w:r>
      <w:r>
        <w:t>Under our depreciation assumptions</w:t>
      </w:r>
      <w:r w:rsidRPr="00A156E7">
        <w:t>, this should result in the opening RAB (</w:t>
      </w:r>
      <w:proofErr w:type="gramStart"/>
      <w:r w:rsidRPr="00A156E7">
        <w:t xml:space="preserve">at </w:t>
      </w:r>
      <w:proofErr w:type="gramEnd"/>
      <m:oMath>
        <m:r>
          <w:rPr>
            <w:rFonts w:ascii="Cambria Math" w:hAnsi="Cambria Math"/>
          </w:rPr>
          <m:t>t</m:t>
        </m:r>
      </m:oMath>
      <w:r w:rsidRPr="00A156E7">
        <w:t xml:space="preserve">) </w:t>
      </w:r>
      <w:r>
        <w:t xml:space="preserve">being </w:t>
      </w:r>
      <w:r w:rsidRPr="00A156E7">
        <w:t>equal</w:t>
      </w:r>
      <w:r>
        <w:t xml:space="preserve"> to</w:t>
      </w:r>
      <w:r w:rsidRPr="00A156E7">
        <w:t xml:space="preserve"> its initial value (at </w:t>
      </w:r>
      <m:oMath>
        <m:r>
          <w:rPr>
            <w:rFonts w:ascii="Cambria Math" w:hAnsi="Cambria Math"/>
          </w:rPr>
          <m:t>t=0</m:t>
        </m:r>
      </m:oMath>
      <w:r w:rsidRPr="00A156E7">
        <w:t xml:space="preserve">). </w:t>
      </w:r>
      <w:r>
        <w:t>That is, f</w:t>
      </w:r>
      <w:r w:rsidRPr="00A156E7">
        <w:t xml:space="preserve">or the </w:t>
      </w:r>
      <w:r>
        <w:t>present value</w:t>
      </w:r>
      <w:r w:rsidRPr="00A156E7">
        <w:t xml:space="preserve"> principle to hold over </w:t>
      </w:r>
      <w:r>
        <w:t>a</w:t>
      </w:r>
      <w:r w:rsidRPr="00A156E7">
        <w:t xml:space="preserve"> regulatory period commencing </w:t>
      </w:r>
      <w:proofErr w:type="gramStart"/>
      <w:r w:rsidRPr="00A156E7">
        <w:t xml:space="preserve">year </w:t>
      </w:r>
      <w:proofErr w:type="gramEnd"/>
      <m:oMath>
        <m:r>
          <w:rPr>
            <w:rFonts w:ascii="Cambria Math" w:hAnsi="Cambria Math"/>
          </w:rPr>
          <m:t>t</m:t>
        </m:r>
      </m:oMath>
      <w:r w:rsidRPr="00A156E7">
        <w:t>, the following equality must hold:</w:t>
      </w:r>
    </w:p>
    <w:p w:rsidR="00312F8A" w:rsidRDefault="003F1AAB" w:rsidP="00312F8A">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312F8A" w:rsidRDefault="00312F8A" w:rsidP="00312F8A">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oMath>
      </m:oMathPara>
    </w:p>
    <w:p w:rsidR="00312F8A" w:rsidRDefault="00312F8A" w:rsidP="00312F8A">
      <w:proofErr w:type="gramStart"/>
      <w:r>
        <w:t>where</w:t>
      </w:r>
      <w:proofErr w:type="gramEnd"/>
      <w:r>
        <w:t>, under an immediate trailing average approach (under our assumptions):</w:t>
      </w:r>
      <w:r>
        <w:rPr>
          <w:rStyle w:val="FootnoteReference"/>
        </w:rPr>
        <w:footnoteReference w:id="1116"/>
      </w:r>
    </w:p>
    <w:p w:rsidR="00312F8A" w:rsidRPr="00312F8A" w:rsidRDefault="003F1AAB" w:rsidP="00312F8A">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312F8A" w:rsidRPr="005C23EC" w:rsidRDefault="00312F8A" w:rsidP="00312F8A">
      <w:r w:rsidRPr="005C23EC">
        <w:tab/>
      </w:r>
      <w:r w:rsidRPr="00A156E7">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)+(0.1*</m:t>
        </m:r>
        <m:nary>
          <m:naryPr>
            <m:chr m:val="∑"/>
            <m:limLoc m:val="subSup"/>
            <m:ctrlPr>
              <w:rPr>
                <w:rFonts w:ascii="Cambria Math" w:hAnsi="Cambria Math"/>
              </w:rPr>
            </m:ctrlPr>
          </m:naryPr>
          <m:sub>
            <m:r>
              <w:rPr>
                <w:rFonts w:ascii="Cambria Math" w:hAnsi="Cambria Math"/>
              </w:rPr>
              <m:t>s</m:t>
            </m:r>
            <m:r>
              <m:rPr>
                <m:sty m:val="p"/>
              </m:rPr>
              <w:rPr>
                <w:rFonts w:ascii="Cambria Math" w:hAnsi="Cambria Math"/>
              </w:rPr>
              <m:t>=</m:t>
            </m:r>
            <m:r>
              <w:rPr>
                <w:rFonts w:ascii="Cambria Math" w:hAnsi="Cambria Math"/>
              </w:rPr>
              <m:t>i</m:t>
            </m:r>
            <m:r>
              <m:rPr>
                <m:sty m:val="p"/>
              </m:rPr>
              <w:rPr>
                <w:rFonts w:ascii="Cambria Math" w:hAnsi="Cambria Math"/>
              </w:rPr>
              <m:t xml:space="preserve">-10 </m:t>
            </m:r>
          </m:sub>
          <m:sup>
            <m:r>
              <w:rPr>
                <w:rFonts w:ascii="Cambria Math" w:hAnsi="Cambria Math"/>
              </w:rPr>
              <m:t>i</m:t>
            </m:r>
            <m:r>
              <m:rPr>
                <m:sty m:val="p"/>
              </m:rPr>
              <w:rPr>
                <w:rFonts w:ascii="Cambria Math" w:hAnsi="Cambria Math"/>
              </w:rPr>
              <m:t>-1</m:t>
            </m:r>
          </m:sup>
          <m:e>
            <m:sSub>
              <m:sSubPr>
                <m:ctrlPr>
                  <w:rPr>
                    <w:rFonts w:ascii="Cambria Math" w:hAnsi="Cambria Math"/>
                  </w:rPr>
                </m:ctrlPr>
              </m:sSubPr>
              <m:e>
                <m:r>
                  <m:rPr>
                    <m:sty m:val="p"/>
                  </m:rPr>
                  <w:rPr>
                    <w:rFonts w:ascii="Cambria Math" w:hAnsi="Cambria Math"/>
                  </w:rPr>
                  <m:t>[</m:t>
                </m:r>
                <m:r>
                  <w:rPr>
                    <w:rFonts w:ascii="Cambria Math" w:hAnsi="Cambria Math"/>
                  </w:rPr>
                  <m:t>r</m:t>
                </m:r>
              </m:e>
              <m:sub>
                <m:r>
                  <w:rPr>
                    <w:rFonts w:ascii="Cambria Math" w:hAnsi="Cambria Math"/>
                  </w:rPr>
                  <m:t>s</m:t>
                </m:r>
                <m:r>
                  <m:rPr>
                    <m:sty m:val="p"/>
                  </m:rPr>
                  <w:rPr>
                    <w:rFonts w:ascii="Cambria Math" w:hAnsi="Cambria Math"/>
                  </w:rPr>
                  <m:t>,10</m:t>
                </m:r>
              </m:sub>
            </m:sSub>
            <m:r>
              <m:rPr>
                <m:sty m:val="p"/>
              </m:rPr>
              <w:rPr>
                <w:rFonts w:ascii="Cambria Math" w:hAnsi="Cambria Math"/>
              </w:rPr>
              <m:t>]</m:t>
            </m:r>
          </m:e>
        </m:nary>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312F8A" w:rsidRDefault="00312F8A" w:rsidP="00312F8A">
      <w:r>
        <w:t xml:space="preserve">The above equality is unlikely to hold for any given regulatory period. The only way this can hold is if the geometric average allowed rate of return used over the period </w:t>
      </w:r>
      <w:proofErr w:type="gramStart"/>
      <w:r>
        <w:t xml:space="preserve">equals </w:t>
      </w:r>
      <w:proofErr w:type="gramEnd"/>
      <m:oMath>
        <m:sSub>
          <m:sSubPr>
            <m:ctrlPr>
              <w:rPr>
                <w:rFonts w:ascii="Cambria Math" w:hAnsi="Cambria Math"/>
              </w:rPr>
            </m:ctrlPr>
          </m:sSubPr>
          <m:e>
            <m:r>
              <w:rPr>
                <w:rFonts w:ascii="Cambria Math" w:hAnsi="Cambria Math"/>
              </w:rPr>
              <m:t>r</m:t>
            </m:r>
          </m:e>
          <m:sub>
            <m:r>
              <w:rPr>
                <w:rFonts w:ascii="Cambria Math" w:hAnsi="Cambria Math"/>
              </w:rPr>
              <m:t>t,5</m:t>
            </m:r>
          </m:sub>
        </m:sSub>
      </m:oMath>
      <w:r>
        <w:t>,</w:t>
      </w:r>
      <w:r>
        <w:rPr>
          <w:rStyle w:val="FootnoteReference"/>
        </w:rPr>
        <w:footnoteReference w:id="1117"/>
      </w:r>
      <w:r>
        <w:t xml:space="preserve"> and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t xml:space="preserve"> (which equals </w:t>
      </w:r>
      <m:oMath>
        <m:sSub>
          <m:sSubPr>
            <m:ctrlPr>
              <w:rPr>
                <w:rFonts w:ascii="Cambria Math" w:hAnsi="Cambria Math"/>
              </w:rPr>
            </m:ctrlPr>
          </m:sSubPr>
          <m:e>
            <m:r>
              <w:rPr>
                <w:rFonts w:ascii="Cambria Math" w:hAnsi="Cambria Math"/>
              </w:rPr>
              <m:t>K</m:t>
            </m:r>
          </m:e>
          <m:sub>
            <m:r>
              <w:rPr>
                <w:rFonts w:ascii="Cambria Math" w:hAnsi="Cambria Math"/>
              </w:rPr>
              <m:t>0</m:t>
            </m:r>
          </m:sub>
        </m:sSub>
      </m:oMath>
      <w:r>
        <w:t xml:space="preserve"> under our assumptions).</w:t>
      </w:r>
      <w:r w:rsidRPr="00DE6C15">
        <w:rPr>
          <w:rStyle w:val="FootnoteReference"/>
        </w:rPr>
        <w:t xml:space="preserve"> </w:t>
      </w:r>
    </w:p>
    <w:p w:rsidR="00312F8A" w:rsidRDefault="00312F8A" w:rsidP="00312F8A">
      <w:r>
        <w:t>Despite this, we can show the service provider would have a reasonable opportunity to recover at least efficient costs over the term of the RAB. We previously observed that the on-the-day approach can be likened to a long term floating rate security where the coupon rate is reset to reflect the prevailing market cost of capital at the start of each regulatory period. Similarly, we can interpret the trailing average approach as 10 long term floating rate securities each covering a 10 per cent 'investment portion' in the RAB where the coupon rate is reset to reflect the prevailing market cost of (debt) capital every 10 years.</w:t>
      </w:r>
    </w:p>
    <w:p w:rsidR="00312F8A" w:rsidRDefault="00312F8A" w:rsidP="00312F8A">
      <w:r>
        <w:t xml:space="preserve">There are three different components to the trailing average approach: the transition in, the full staggered </w:t>
      </w:r>
      <w:proofErr w:type="gramStart"/>
      <w:r>
        <w:t>portfolio,</w:t>
      </w:r>
      <w:proofErr w:type="gramEnd"/>
      <w:r>
        <w:t xml:space="preserve"> and the transition out at the end of the investment horizon (or end of the term of the RAB).</w:t>
      </w:r>
      <w:r w:rsidRPr="00185A5F">
        <w:t xml:space="preserve"> </w:t>
      </w:r>
      <w:r>
        <w:t>We show these below.</w:t>
      </w:r>
    </w:p>
    <w:p w:rsidR="00312F8A" w:rsidRDefault="00312F8A" w:rsidP="00312F8A">
      <w:r>
        <w:t>T</w:t>
      </w:r>
      <w:r w:rsidRPr="00185A5F">
        <w:t>he allowed return on equity continues to be reset to reflect the prevailing market cost of equity at the commencement of each regulatory period</w:t>
      </w:r>
      <w:r>
        <w:t>. Therefore,</w:t>
      </w:r>
      <w:r w:rsidRPr="00185A5F">
        <w:t xml:space="preserve"> we can </w:t>
      </w:r>
      <w:r>
        <w:t>reasonably assume</w:t>
      </w:r>
      <w:r w:rsidRPr="00185A5F">
        <w:t xml:space="preserve"> the present value of </w:t>
      </w:r>
      <w:r>
        <w:t xml:space="preserve">expected </w:t>
      </w:r>
      <w:r w:rsidRPr="00185A5F">
        <w:t xml:space="preserve">return on equity cash flows equals the </w:t>
      </w:r>
      <w:r>
        <w:t xml:space="preserve">equity financed component of the </w:t>
      </w:r>
      <w:r w:rsidRPr="00185A5F">
        <w:t>RAB each regulatory period</w:t>
      </w:r>
      <w:r>
        <w:t>, although Partington and Satchell note there are likely to be complications associated with leverage</w:t>
      </w:r>
      <w:r w:rsidRPr="00185A5F">
        <w:t>.</w:t>
      </w:r>
      <w:r>
        <w:rPr>
          <w:rStyle w:val="FootnoteReference"/>
        </w:rPr>
        <w:footnoteReference w:id="1118"/>
      </w:r>
      <w:r w:rsidRPr="00185A5F">
        <w:t xml:space="preserve"> </w:t>
      </w:r>
      <w:r>
        <w:t>Because of this</w:t>
      </w:r>
      <w:r w:rsidRPr="00185A5F">
        <w:t>, in the following sections we focus on the return on debt cash flows and assume, for simplicity, the RAB is 100</w:t>
      </w:r>
      <w:r>
        <w:t xml:space="preserve"> per cent</w:t>
      </w:r>
      <w:r w:rsidRPr="00185A5F">
        <w:t xml:space="preserve"> debt financed.</w:t>
      </w:r>
    </w:p>
    <w:p w:rsidR="00312F8A" w:rsidRDefault="00312F8A" w:rsidP="00312F8A">
      <w:pPr>
        <w:pStyle w:val="HeadingBoldItalic"/>
      </w:pPr>
      <w:r>
        <w:t>Transition into the staggered portfolio</w:t>
      </w:r>
    </w:p>
    <w:p w:rsidR="00312F8A" w:rsidRDefault="00312F8A" w:rsidP="00312F8A">
      <w:pPr>
        <w:rPr>
          <w:rStyle w:val="AERbody"/>
        </w:rPr>
      </w:pPr>
      <w:r>
        <w:rPr>
          <w:rStyle w:val="AERbody"/>
        </w:rPr>
        <w:t>On the first year of a trailing average, a business would either:</w:t>
      </w:r>
    </w:p>
    <w:p w:rsidR="00312F8A" w:rsidRDefault="00312F8A" w:rsidP="00312F8A">
      <w:pPr>
        <w:pStyle w:val="AERbulletlistfirststyle"/>
        <w:rPr>
          <w:rStyle w:val="AERbody"/>
        </w:rPr>
      </w:pPr>
      <w:r>
        <w:rPr>
          <w:rStyle w:val="AERbody"/>
        </w:rPr>
        <w:t>Raise an equal-weighted portfolio of 1, 2, 3 ... 9, 10 year debt. Each year 10 per cent of this would expire and the business would replace this with 10 year debt.</w:t>
      </w:r>
    </w:p>
    <w:p w:rsidR="00312F8A" w:rsidRDefault="00312F8A" w:rsidP="00312F8A">
      <w:pPr>
        <w:pStyle w:val="AERbulletlistfirststyle"/>
        <w:rPr>
          <w:rStyle w:val="AERbody"/>
        </w:rPr>
      </w:pPr>
      <w:r>
        <w:rPr>
          <w:rStyle w:val="AERbody"/>
        </w:rPr>
        <w:t>Raise 10 year debt. Each year it would refinance 10 per cent of this and replace this with more 10 year debt.</w:t>
      </w:r>
    </w:p>
    <w:p w:rsidR="00312F8A" w:rsidRPr="006C533F" w:rsidRDefault="00312F8A" w:rsidP="00312F8A">
      <w:pPr>
        <w:rPr>
          <w:rStyle w:val="AERbody"/>
        </w:rPr>
      </w:pPr>
      <w:r>
        <w:rPr>
          <w:rStyle w:val="AERbody"/>
        </w:rPr>
        <w:t xml:space="preserve">We have calculated the return on debt allowance assuming </w:t>
      </w:r>
      <w:r w:rsidRPr="006C533F">
        <w:rPr>
          <w:rStyle w:val="AERbody"/>
        </w:rPr>
        <w:t xml:space="preserve">the latter option. Since we </w:t>
      </w:r>
      <w:r>
        <w:rPr>
          <w:rStyle w:val="AERbody"/>
        </w:rPr>
        <w:t xml:space="preserve">expect this would be the higher </w:t>
      </w:r>
      <w:r w:rsidRPr="006C533F">
        <w:rPr>
          <w:rStyle w:val="AERbody"/>
        </w:rPr>
        <w:t>cost option</w:t>
      </w:r>
      <w:r>
        <w:rPr>
          <w:rStyle w:val="AERbody"/>
        </w:rPr>
        <w:t xml:space="preserve"> given </w:t>
      </w:r>
      <w:r w:rsidRPr="00185A5F">
        <w:rPr>
          <w:rStyle w:val="AERbody"/>
        </w:rPr>
        <w:t>interest rates on longer-term debt securities are often higher than those on shorter-term debt securities</w:t>
      </w:r>
      <w:r w:rsidRPr="006C533F">
        <w:rPr>
          <w:rStyle w:val="AERbody"/>
        </w:rPr>
        <w:t>, our debt allowance should be conservative in</w:t>
      </w:r>
      <w:r>
        <w:rPr>
          <w:rStyle w:val="AERbody"/>
        </w:rPr>
        <w:t xml:space="preserve"> the service providers' favour.</w:t>
      </w:r>
    </w:p>
    <w:p w:rsidR="00312F8A" w:rsidRPr="006C533F" w:rsidRDefault="00312F8A" w:rsidP="00312F8A">
      <w:r>
        <w:rPr>
          <w:rStyle w:val="AERbody"/>
        </w:rPr>
        <w:t>Valuing</w:t>
      </w:r>
      <w:r w:rsidRPr="006C533F">
        <w:rPr>
          <w:rStyle w:val="AERbody"/>
        </w:rPr>
        <w:t xml:space="preserve"> the </w:t>
      </w:r>
      <w:r>
        <w:rPr>
          <w:rStyle w:val="AERbody"/>
        </w:rPr>
        <w:t xml:space="preserve">return on </w:t>
      </w:r>
      <w:r w:rsidRPr="006C533F">
        <w:rPr>
          <w:rStyle w:val="AERbody"/>
        </w:rPr>
        <w:t xml:space="preserve">debt allowance using the first of the two options would be expected to provide a benchmark efficient entity </w:t>
      </w:r>
      <w:r w:rsidRPr="006C533F">
        <w:t xml:space="preserve">a reasonable opportunity to recover at least efficient costs for its initial investment at </w:t>
      </w:r>
      <m:oMath>
        <m:r>
          <w:rPr>
            <w:rFonts w:ascii="Cambria Math" w:hAnsi="Cambria Math"/>
          </w:rPr>
          <m:t>t=0</m:t>
        </m:r>
      </m:oMath>
      <w:r w:rsidRPr="006C533F">
        <w:t xml:space="preserve"> as this would allow the following equality to hold:</w:t>
      </w:r>
      <w:r>
        <w:rPr>
          <w:rStyle w:val="FootnoteReference"/>
        </w:rPr>
        <w:footnoteReference w:id="1119"/>
      </w:r>
    </w:p>
    <w:p w:rsidR="00312F8A" w:rsidRDefault="003F1AAB" w:rsidP="00312F8A">
      <m:oMath>
        <m:sSub>
          <m:sSubPr>
            <m:ctrlPr>
              <w:rPr>
                <w:rFonts w:ascii="Cambria Math" w:hAnsi="Cambria Math"/>
              </w:rPr>
            </m:ctrlPr>
          </m:sSubPr>
          <m:e>
            <m:r>
              <w:rPr>
                <w:rFonts w:ascii="Cambria Math" w:hAnsi="Cambria Math"/>
              </w:rPr>
              <m:t>PV</m:t>
            </m:r>
          </m:e>
          <m:sub>
            <m:r>
              <w:rPr>
                <w:rFonts w:ascii="Cambria Math" w:hAnsi="Cambria Math"/>
              </w:rPr>
              <m:t>0</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1*</m:t>
                </m:r>
                <m:sSub>
                  <m:sSubPr>
                    <m:ctrlPr>
                      <w:rPr>
                        <w:rFonts w:ascii="Cambria Math" w:hAnsi="Cambria Math"/>
                      </w:rPr>
                    </m:ctrlPr>
                  </m:sSubPr>
                  <m:e>
                    <m:r>
                      <w:rPr>
                        <w:rFonts w:ascii="Cambria Math" w:hAnsi="Cambria Math"/>
                      </w:rPr>
                      <m:t>CF</m:t>
                    </m:r>
                  </m:e>
                  <m:sub>
                    <m:r>
                      <w:rPr>
                        <w:rFonts w:ascii="Cambria Math" w:hAnsi="Cambria Math"/>
                      </w:rPr>
                      <m:t>1</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0.9*</m:t>
                </m:r>
                <m:sSub>
                  <m:sSubPr>
                    <m:ctrlPr>
                      <w:rPr>
                        <w:rFonts w:ascii="Cambria Math" w:hAnsi="Cambria Math"/>
                      </w:rPr>
                    </m:ctrlPr>
                  </m:sSubPr>
                  <m:e>
                    <m:r>
                      <w:rPr>
                        <w:rFonts w:ascii="Cambria Math" w:hAnsi="Cambria Math"/>
                      </w:rPr>
                      <m:t>CF</m:t>
                    </m:r>
                  </m:e>
                  <m:sub>
                    <m:r>
                      <w:rPr>
                        <w:rFonts w:ascii="Cambria Math" w:hAnsi="Cambria Math"/>
                      </w:rPr>
                      <m:t>2</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0.2*</m:t>
                </m:r>
                <m:sSub>
                  <m:sSubPr>
                    <m:ctrlPr>
                      <w:rPr>
                        <w:rFonts w:ascii="Cambria Math" w:hAnsi="Cambria Math"/>
                      </w:rPr>
                    </m:ctrlPr>
                  </m:sSubPr>
                  <m:e>
                    <m:r>
                      <w:rPr>
                        <w:rFonts w:ascii="Cambria Math" w:hAnsi="Cambria Math"/>
                      </w:rPr>
                      <m:t>CF</m:t>
                    </m:r>
                  </m:e>
                  <m:sub>
                    <m:r>
                      <w:rPr>
                        <w:rFonts w:ascii="Cambria Math" w:hAnsi="Cambria Math"/>
                      </w:rPr>
                      <m:t>9</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10</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Style w:val="FootnoteReference"/>
            <w:rFonts w:ascii="Cambria Math" w:hAnsi="Cambria Math"/>
            <w:i/>
          </w:rPr>
          <w:footnoteReference w:id="1120"/>
        </m:r>
      </m:oMath>
      <w:r w:rsidR="00312F8A">
        <w:t xml:space="preserve"> </w:t>
      </w:r>
    </w:p>
    <w:p w:rsidR="00312F8A" w:rsidRDefault="00312F8A" w:rsidP="00312F8A">
      <w:proofErr w:type="gramStart"/>
      <w:r>
        <w:t>where</w:t>
      </w:r>
      <w:proofErr w:type="gramEnd"/>
      <w:r>
        <w:t>, under our assumptions:</w:t>
      </w:r>
      <w:r>
        <w:rPr>
          <w:rStyle w:val="FootnoteReference"/>
        </w:rPr>
        <w:footnoteReference w:id="1121"/>
      </w:r>
    </w:p>
    <w:p w:rsidR="00312F8A" w:rsidRPr="00312F8A" w:rsidRDefault="003F1AAB" w:rsidP="00312F8A">
      <w:pPr>
        <w:pStyle w:val="ListContinue2"/>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312F8A" w:rsidRDefault="00312F8A" w:rsidP="00312F8A">
      <w:pPr>
        <w:pStyle w:val="ListContinue2"/>
      </w:pPr>
      <w:r w:rsidRPr="00185A5F">
        <w:tab/>
      </w: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11-</m:t>
            </m:r>
            <m:r>
              <w:rPr>
                <w:rFonts w:ascii="Cambria Math" w:hAnsi="Cambria Math"/>
              </w:rPr>
              <m:t>i</m:t>
            </m:r>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i</m:t>
            </m:r>
            <m:r>
              <m:rPr>
                <m:sty m:val="p"/>
              </m:rPr>
              <w:rPr>
                <w:rFonts w:ascii="Cambria Math" w:hAnsi="Cambria Math"/>
              </w:rPr>
              <m:t xml:space="preserve"> </m:t>
            </m:r>
          </m:sub>
          <m:sup>
            <m:r>
              <m:rPr>
                <m:sty m:val="p"/>
              </m:rPr>
              <w:rPr>
                <w:rFonts w:ascii="Cambria Math" w:hAnsi="Cambria Math"/>
              </w:rPr>
              <m:t>10</m:t>
            </m:r>
          </m:sup>
          <m:e>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0,</m:t>
                </m:r>
                <m:r>
                  <w:rPr>
                    <w:rFonts w:ascii="Cambria Math" w:hAnsi="Cambria Math"/>
                  </w:rPr>
                  <m:t>j</m:t>
                </m:r>
              </m:sub>
            </m:sSub>
            <m:r>
              <m:rPr>
                <m:sty m:val="p"/>
              </m:rPr>
              <w:rPr>
                <w:rFonts w:ascii="Cambria Math" w:hAnsi="Cambria Math"/>
              </w:rPr>
              <m:t>]</m:t>
            </m:r>
          </m:e>
        </m:nary>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=1, 2, 3,…, 10</m:t>
        </m:r>
      </m:oMath>
    </w:p>
    <w:p w:rsidR="00312F8A" w:rsidRPr="00166E6F" w:rsidRDefault="00312F8A" w:rsidP="00312F8A">
      <w:pPr>
        <w:pStyle w:val="ListContinue2"/>
      </w:pPr>
      <m:oMath>
        <m:r>
          <w:rPr>
            <w:rFonts w:ascii="Cambria Math" w:hAnsi="Cambria Math"/>
          </w:rPr>
          <m:t>0.1*</m:t>
        </m:r>
        <m:d>
          <m:dPr>
            <m:ctrlPr>
              <w:rPr>
                <w:rFonts w:ascii="Cambria Math" w:hAnsi="Cambria Math"/>
              </w:rPr>
            </m:ctrlPr>
          </m:dPr>
          <m:e>
            <m:nary>
              <m:naryPr>
                <m:chr m:val="∑"/>
                <m:limLoc m:val="subSup"/>
                <m:ctrlPr>
                  <w:rPr>
                    <w:rFonts w:ascii="Cambria Math" w:hAnsi="Cambria Math"/>
                  </w:rPr>
                </m:ctrlPr>
              </m:naryPr>
              <m:sub>
                <m:r>
                  <w:rPr>
                    <w:rFonts w:ascii="Cambria Math" w:hAnsi="Cambria Math"/>
                  </w:rPr>
                  <m:t>i=1</m:t>
                </m:r>
              </m:sub>
              <m:sup>
                <m:r>
                  <w:rPr>
                    <w:rFonts w:ascii="Cambria Math" w:hAnsi="Cambria Math"/>
                  </w:rPr>
                  <m:t>10</m:t>
                </m:r>
              </m:sup>
              <m:e>
                <m:sSub>
                  <m:sSubPr>
                    <m:ctrlPr>
                      <w:rPr>
                        <w:rFonts w:ascii="Cambria Math" w:hAnsi="Cambria Math"/>
                      </w:rPr>
                    </m:ctrlPr>
                  </m:sSubPr>
                  <m:e>
                    <m:r>
                      <w:rPr>
                        <w:rFonts w:ascii="Cambria Math" w:hAnsi="Cambria Math"/>
                      </w:rPr>
                      <m:t>K</m:t>
                    </m:r>
                  </m:e>
                  <m:sub>
                    <m:r>
                      <w:rPr>
                        <w:rFonts w:ascii="Cambria Math" w:hAnsi="Cambria Math"/>
                      </w:rPr>
                      <m:t>i</m:t>
                    </m:r>
                  </m:sub>
                </m:sSub>
              </m:e>
            </m:nary>
          </m:e>
        </m:d>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t>.</w:t>
      </w:r>
    </w:p>
    <w:p w:rsidR="00312F8A" w:rsidRDefault="00312F8A" w:rsidP="00312F8A">
      <w:r>
        <w:t>As demonstrated under 'On-the-day approach', this equality holds because, for each one-tenth portion of the RAB:</w:t>
      </w:r>
    </w:p>
    <w:p w:rsidR="00312F8A" w:rsidRPr="00D9597E" w:rsidRDefault="00312F8A" w:rsidP="00312F8A">
      <w:pPr>
        <w:pStyle w:val="AERbulletlistfirststyle"/>
      </w:pPr>
      <w:r>
        <w:t>the expected net operating cash flows</w:t>
      </w:r>
      <w:r w:rsidRPr="00D9597E">
        <w:t xml:space="preserve"> are, effectively, based on an allowed rate of return that reflects prevailing market rates at year </w:t>
      </w:r>
      <m:oMath>
        <m:r>
          <w:rPr>
            <w:rFonts w:ascii="Cambria Math" w:hAnsi="Cambria Math"/>
          </w:rPr>
          <m:t>t=0</m:t>
        </m:r>
      </m:oMath>
      <w:r w:rsidRPr="00D9597E">
        <w:t>, with the expectation that the allowed rate of return will be periodically reset to prevailing market rates</w:t>
      </w:r>
    </w:p>
    <w:p w:rsidR="00312F8A" w:rsidRPr="00D9597E" w:rsidRDefault="00312F8A" w:rsidP="00312F8A">
      <w:pPr>
        <w:pStyle w:val="AERbulletlistfirststyle"/>
      </w:pPr>
      <w:proofErr w:type="gramStart"/>
      <w:r>
        <w:t>the</w:t>
      </w:r>
      <w:proofErr w:type="gramEnd"/>
      <w:r>
        <w:t xml:space="preserve"> present</w:t>
      </w:r>
      <w:r w:rsidRPr="00D9597E">
        <w:t xml:space="preserve"> (or market) value of the closing RAB (portion) at the end of each 'reset period' equals its statutory value.</w:t>
      </w:r>
    </w:p>
    <w:p w:rsidR="00312F8A" w:rsidRDefault="00312F8A" w:rsidP="00312F8A">
      <w:r>
        <w:t xml:space="preserve">For example, </w:t>
      </w:r>
      <w:proofErr w:type="gramStart"/>
      <w:r>
        <w:t xml:space="preserve">at </w:t>
      </w:r>
      <w:proofErr w:type="gramEnd"/>
      <m:oMath>
        <m:r>
          <w:rPr>
            <w:rFonts w:ascii="Cambria Math" w:hAnsi="Cambria Math"/>
          </w:rPr>
          <m:t>t=0</m:t>
        </m:r>
      </m:oMath>
      <w:r>
        <w:t xml:space="preserve">, portion one of the initial RAB is financed through debt with a term of one year. The present value of expected net operating cash flows generated from portion one of the RAB plus portion one of the closing RAB at </w:t>
      </w:r>
      <m:oMath>
        <m:r>
          <w:rPr>
            <w:rFonts w:ascii="Cambria Math" w:hAnsi="Cambria Math"/>
          </w:rPr>
          <m:t>t=1</m:t>
        </m:r>
      </m:oMath>
      <w:r>
        <w:t>, should equal portion one of the opening RAB at</w:t>
      </w:r>
      <w:r w:rsidRPr="00864ABE">
        <w:t xml:space="preserve"> </w:t>
      </w:r>
      <m:oMath>
        <m:r>
          <w:rPr>
            <w:rFonts w:ascii="Cambria Math" w:hAnsi="Cambria Math"/>
          </w:rPr>
          <m:t>t=0</m:t>
        </m:r>
      </m:oMath>
      <w:r>
        <w:t xml:space="preserve">. This is because it is expected that, at </w:t>
      </w:r>
      <m:oMath>
        <m:r>
          <w:rPr>
            <w:rFonts w:ascii="Cambria Math" w:hAnsi="Cambria Math"/>
          </w:rPr>
          <m:t>t=1</m:t>
        </m:r>
      </m:oMath>
      <w:r>
        <w:t>, we reset the allowed rate of return on portion one of the RAB to reflect the prevailing market cost of capital, and continue resetting every ten years (see equalities under 'The staggered portfolio'</w:t>
      </w:r>
      <w:r w:rsidRPr="00CF688D">
        <w:t xml:space="preserve"> and </w:t>
      </w:r>
      <w:r>
        <w:t xml:space="preserve">'End of the term of the RAB' </w:t>
      </w:r>
      <w:r w:rsidRPr="00CF688D">
        <w:t>below)</w:t>
      </w:r>
      <w:r>
        <w:t xml:space="preserve">. </w:t>
      </w:r>
    </w:p>
    <w:p w:rsidR="00312F8A" w:rsidRDefault="00312F8A" w:rsidP="00312F8A">
      <w:r>
        <w:t xml:space="preserve">Similarly, at </w:t>
      </w:r>
      <m:oMath>
        <m:r>
          <w:rPr>
            <w:rFonts w:ascii="Cambria Math" w:hAnsi="Cambria Math"/>
          </w:rPr>
          <m:t>t=0</m:t>
        </m:r>
      </m:oMath>
      <w:r w:rsidRPr="00864ABE">
        <w:t xml:space="preserve">, portion </w:t>
      </w:r>
      <w:r>
        <w:t>two</w:t>
      </w:r>
      <w:r w:rsidRPr="00864ABE">
        <w:t xml:space="preserve"> of the initial RAB is financed through debt with a term of </w:t>
      </w:r>
      <w:r>
        <w:t>two</w:t>
      </w:r>
      <w:r w:rsidRPr="00864ABE">
        <w:t xml:space="preserve"> year</w:t>
      </w:r>
      <w:r>
        <w:t>s, and the present value relationship holds for portion two over the two year period. The same logic applies to portions three to ten.</w:t>
      </w:r>
    </w:p>
    <w:p w:rsidR="00312F8A" w:rsidRDefault="00312F8A" w:rsidP="00312F8A">
      <w:r>
        <w:t xml:space="preserve">What this </w:t>
      </w:r>
      <w:proofErr w:type="gramStart"/>
      <w:r>
        <w:t>shows,</w:t>
      </w:r>
      <w:proofErr w:type="gramEnd"/>
      <w:r>
        <w:t xml:space="preserve"> is that at the beginning of the transition into a trailing average approach, the present value of expected future cash flows should equal the RAB (all else equal)</w:t>
      </w:r>
      <w:r w:rsidRPr="00CF688D">
        <w:t>.</w:t>
      </w:r>
    </w:p>
    <w:p w:rsidR="00312F8A" w:rsidRDefault="00312F8A" w:rsidP="00312F8A">
      <w:pPr>
        <w:pStyle w:val="HeadingBoldItalic"/>
      </w:pPr>
      <w:r>
        <w:t>The staggered portfolio</w:t>
      </w:r>
    </w:p>
    <w:p w:rsidR="00312F8A" w:rsidRDefault="00312F8A" w:rsidP="00312F8A">
      <w:r>
        <w:t>A noted previously, the trailing average regime can be likened to 10 long term floating rate securities covering a 10 per cent 'investment portion' in the RAB where they receive the net operating cash flows generated from these investment portions. We refer to these portions</w:t>
      </w:r>
      <w:r>
        <w:rPr>
          <w:rStyle w:val="FootnoteReference"/>
        </w:rPr>
        <w:footnoteReference w:id="1122"/>
      </w:r>
      <w:r>
        <w:t xml:space="preserve"> as </w:t>
      </w:r>
      <m:oMath>
        <m:r>
          <w:rPr>
            <w:rFonts w:ascii="Cambria Math" w:hAnsi="Cambria Math"/>
          </w:rPr>
          <m:t>p1</m:t>
        </m:r>
      </m:oMath>
      <w:r>
        <w:t xml:space="preserve"> </w:t>
      </w:r>
      <w:proofErr w:type="gramStart"/>
      <w:r>
        <w:t xml:space="preserve">to </w:t>
      </w:r>
      <w:proofErr w:type="gramEnd"/>
      <m:oMath>
        <m:r>
          <w:rPr>
            <w:rFonts w:ascii="Cambria Math" w:hAnsi="Cambria Math"/>
          </w:rPr>
          <m:t>p10</m:t>
        </m:r>
      </m:oMath>
      <w:r>
        <w:t xml:space="preserve">. From </w:t>
      </w:r>
      <m:oMath>
        <m:r>
          <w:rPr>
            <w:rFonts w:ascii="Cambria Math" w:hAnsi="Cambria Math"/>
          </w:rPr>
          <m:t>t=1</m:t>
        </m:r>
      </m:oMath>
      <w:r>
        <w:t xml:space="preserve"> </w:t>
      </w:r>
      <w:proofErr w:type="gramStart"/>
      <w:r>
        <w:t xml:space="preserve">to </w:t>
      </w:r>
      <w:proofErr w:type="gramEnd"/>
      <m:oMath>
        <m:r>
          <w:rPr>
            <w:rFonts w:ascii="Cambria Math" w:hAnsi="Cambria Math"/>
          </w:rPr>
          <m:t>t=10</m:t>
        </m:r>
      </m:oMath>
      <w:r>
        <w:t>, the present value relationships can be presented as:</w:t>
      </w:r>
    </w:p>
    <w:p w:rsidR="00312F8A" w:rsidRPr="00B818B4" w:rsidRDefault="003F1AAB" w:rsidP="00312F8A">
      <m:oMath>
        <m:sSub>
          <m:sSubPr>
            <m:ctrlPr>
              <w:rPr>
                <w:rFonts w:ascii="Cambria Math" w:hAnsi="Cambria Math"/>
              </w:rPr>
            </m:ctrlPr>
          </m:sSubPr>
          <m:e>
            <m:r>
              <w:rPr>
                <w:rFonts w:ascii="Cambria Math" w:hAnsi="Cambria Math"/>
              </w:rPr>
              <m:t>PV[p1]</m:t>
            </m:r>
          </m:e>
          <m:sub>
            <m:r>
              <w:rPr>
                <w:rFonts w:ascii="Cambria Math" w:hAnsi="Cambria Math"/>
              </w:rPr>
              <m: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e>
                    </m:d>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0</m:t>
            </m:r>
          </m:sub>
        </m:sSub>
        <m:r>
          <w:rPr>
            <w:rStyle w:val="FootnoteReference"/>
            <w:rFonts w:ascii="Cambria Math" w:hAnsi="Cambria Math"/>
            <w:i/>
          </w:rPr>
          <w:footnoteReference w:id="1123"/>
        </m:r>
      </m:oMath>
      <w:r w:rsidR="00312F8A">
        <w:t xml:space="preserve"> </w:t>
      </w:r>
    </w:p>
    <w:p w:rsidR="00312F8A" w:rsidRPr="00B818B4" w:rsidRDefault="003F1AAB" w:rsidP="00312F8A">
      <m:oMath>
        <m:sSub>
          <m:sSubPr>
            <m:ctrlPr>
              <w:rPr>
                <w:rFonts w:ascii="Cambria Math" w:hAnsi="Cambria Math"/>
              </w:rPr>
            </m:ctrlPr>
          </m:sSubPr>
          <m:e>
            <m:r>
              <w:rPr>
                <w:rFonts w:ascii="Cambria Math" w:hAnsi="Cambria Math"/>
              </w:rPr>
              <m:t>PV[p2]</m:t>
            </m:r>
          </m:e>
          <m:sub>
            <m:r>
              <w:rPr>
                <w:rFonts w:ascii="Cambria Math" w:hAnsi="Cambria Math"/>
              </w:rPr>
              <m:t>2</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oMath>
      <w:r w:rsidR="00312F8A">
        <w:t xml:space="preserve"> </w:t>
      </w:r>
    </w:p>
    <w:p w:rsidR="00312F8A" w:rsidRDefault="00312F8A" w:rsidP="00312F8A">
      <w:r w:rsidRPr="00FC64E0">
        <w:t>…</w:t>
      </w:r>
    </w:p>
    <w:p w:rsidR="00312F8A" w:rsidRPr="00C726C9" w:rsidRDefault="003F1AAB" w:rsidP="00312F8A">
      <w:pPr>
        <w:rPr>
          <w:rStyle w:val="AERtextsize10"/>
        </w:rPr>
      </w:pPr>
      <m:oMath>
        <m:sSub>
          <m:sSubPr>
            <m:ctrlPr>
              <w:rPr>
                <w:rStyle w:val="AERtextsize10"/>
                <w:rFonts w:ascii="Cambria Math" w:hAnsi="Cambria Math"/>
              </w:rPr>
            </m:ctrlPr>
          </m:sSubPr>
          <m:e>
            <m:r>
              <w:rPr>
                <w:rStyle w:val="AERtextsize10"/>
                <w:rFonts w:ascii="Cambria Math" w:hAnsi="Cambria Math"/>
              </w:rPr>
              <m:t>PV[p10]</m:t>
            </m:r>
          </m:e>
          <m:sub>
            <m:r>
              <w:rPr>
                <w:rStyle w:val="AERtextsize10"/>
                <w:rFonts w:ascii="Cambria Math" w:hAnsi="Cambria Math"/>
              </w:rPr>
              <m: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11</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12</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r>
              <w:rPr>
                <w:rStyle w:val="AERtextsize10"/>
                <w:rFonts w:ascii="Cambria Math" w:hAnsi="Cambria Math"/>
              </w:rPr>
              <m:t>+</m:t>
            </m:r>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e>
        </m:d>
        <m:r>
          <w:rPr>
            <w:rStyle w:val="AERtextsize10"/>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oMath>
      <w:r w:rsidR="00312F8A" w:rsidRPr="00C726C9">
        <w:rPr>
          <w:rStyle w:val="AERtextsize10"/>
        </w:rPr>
        <w:t xml:space="preserve"> </w:t>
      </w:r>
    </w:p>
    <w:p w:rsidR="00312F8A" w:rsidRDefault="00312F8A" w:rsidP="00312F8A">
      <w:proofErr w:type="gramStart"/>
      <w:r>
        <w:t>where</w:t>
      </w:r>
      <w:proofErr w:type="gramEnd"/>
      <w:r>
        <w:t xml:space="preserve"> the expected net operating cash flow generated each year from portions 1 to 10 of the RAB is based on the portion of the allowed rate of return that reflects the prevailing market cost of capital at time 1 to 10 respectively;</w:t>
      </w:r>
      <w:r>
        <w:rPr>
          <w:rStyle w:val="FootnoteReference"/>
        </w:rPr>
        <w:footnoteReference w:id="1124"/>
      </w:r>
      <w:r>
        <w:t xml:space="preserve"> that is:</w:t>
      </w:r>
      <w:r>
        <w:rPr>
          <w:rStyle w:val="FootnoteReference"/>
        </w:rPr>
        <w:footnoteReference w:id="1125"/>
      </w:r>
      <w:r>
        <w:t xml:space="preserve">  </w:t>
      </w:r>
    </w:p>
    <w:p w:rsidR="00312F8A" w:rsidRDefault="00312F8A" w:rsidP="00312F8A">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for t=1,…,10 and i=2,…,20</m:t>
        </m:r>
      </m:oMath>
      <w:r>
        <w:t xml:space="preserve"> </w:t>
      </w:r>
    </w:p>
    <w:p w:rsidR="00312F8A" w:rsidRDefault="00312F8A" w:rsidP="00312F8A">
      <w:proofErr w:type="gramStart"/>
      <w:r>
        <w:t>and</w:t>
      </w:r>
      <w:proofErr w:type="gramEnd"/>
      <w:r>
        <w:t xml:space="preserve">, under our assumptions, </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t>.</w:t>
      </w:r>
    </w:p>
    <w:p w:rsidR="00312F8A" w:rsidRDefault="00312F8A" w:rsidP="00312F8A">
      <w:r>
        <w:t>As demonstrated under 'On-the-day approach', the above equalities hold because, for each portion of the RAB:</w:t>
      </w:r>
    </w:p>
    <w:p w:rsidR="00312F8A" w:rsidRPr="00D9597E" w:rsidRDefault="00312F8A" w:rsidP="00312F8A">
      <w:pPr>
        <w:pStyle w:val="AERbulletlistfirststyle"/>
      </w:pPr>
      <w:r>
        <w:t>the expected net operating cash flows</w:t>
      </w:r>
      <w:r w:rsidRPr="00D9597E">
        <w:t xml:space="preserve"> are, effectively, based on an allowed rate of return that reflects prevailing market rates at year </w:t>
      </w:r>
      <m:oMath>
        <m:r>
          <w:rPr>
            <w:rFonts w:ascii="Cambria Math" w:hAnsi="Cambria Math"/>
          </w:rPr>
          <m:t>t=1…10</m:t>
        </m:r>
      </m:oMath>
      <w:r w:rsidRPr="00D9597E">
        <w:t xml:space="preserve"> respectively, with the expectation that the allowed rate of return will be reset to prevailing market rates every ten years</w:t>
      </w:r>
    </w:p>
    <w:p w:rsidR="00312F8A" w:rsidRPr="00D9597E" w:rsidRDefault="00312F8A" w:rsidP="00312F8A">
      <w:pPr>
        <w:pStyle w:val="AERbulletlistfirststyle"/>
      </w:pPr>
      <w:proofErr w:type="gramStart"/>
      <w:r>
        <w:t>the</w:t>
      </w:r>
      <w:proofErr w:type="gramEnd"/>
      <w:r>
        <w:t xml:space="preserve"> present (or market) value of the closing RAB (portion) at the end of each 'reset period' e</w:t>
      </w:r>
      <w:r w:rsidRPr="00D9597E">
        <w:t>quals its statutory value.</w:t>
      </w:r>
    </w:p>
    <w:p w:rsidR="00312F8A" w:rsidRDefault="00312F8A" w:rsidP="00312F8A">
      <w:r>
        <w:t>In this way, the staggered portfolio can be seen as ten on-the-day approaches on ten portions of the RAB. Therefore, for each portion of the RAB, the present value of expected net operating cash flows over the ten year 'reset period' plus the closing RAB (portion) at</w:t>
      </w:r>
      <w:r w:rsidRPr="00864ABE">
        <w:t xml:space="preserve"> </w:t>
      </w:r>
      <m:oMath>
        <m:r>
          <w:rPr>
            <w:rFonts w:ascii="Cambria Math" w:hAnsi="Cambria Math"/>
          </w:rPr>
          <m:t>t+10</m:t>
        </m:r>
      </m:oMath>
      <w:r>
        <w:t xml:space="preserve"> should equal the opening RAB (portion) at</w:t>
      </w:r>
      <w:r w:rsidRPr="00864ABE">
        <w:t xml:space="preserve"> </w:t>
      </w:r>
      <m:oMath>
        <m:r>
          <w:rPr>
            <w:rFonts w:ascii="Cambria Math" w:hAnsi="Cambria Math"/>
          </w:rPr>
          <m:t>t</m:t>
        </m:r>
      </m:oMath>
      <w:r>
        <w:t>.</w:t>
      </w:r>
    </w:p>
    <w:p w:rsidR="00312F8A" w:rsidRDefault="00312F8A" w:rsidP="00312F8A">
      <w:r>
        <w:t>We also note that while Partington and Satchell recommend the on-the-day approach, they acknowledge '</w:t>
      </w:r>
      <w:r w:rsidRPr="000C25A3">
        <w:t>since the trailing average approach resets one tenth of the cost of debt to the market rate each year, the compensation is correctly set for one tenth of the debt each year</w:t>
      </w:r>
      <w:r>
        <w:t>'</w:t>
      </w:r>
      <w:r w:rsidRPr="000C25A3">
        <w:t>.</w:t>
      </w:r>
      <w:r>
        <w:rPr>
          <w:rStyle w:val="FootnoteReference"/>
        </w:rPr>
        <w:footnoteReference w:id="1126"/>
      </w:r>
    </w:p>
    <w:p w:rsidR="00312F8A" w:rsidRDefault="00312F8A" w:rsidP="00312F8A">
      <w:pPr>
        <w:pStyle w:val="HeadingBoldItalic"/>
      </w:pPr>
      <w:r>
        <w:t>End of the term of the RAB</w:t>
      </w:r>
    </w:p>
    <w:p w:rsidR="00312F8A" w:rsidRDefault="00312F8A" w:rsidP="00312F8A">
      <w:r>
        <w:t xml:space="preserve">Nearing the end of the term of the RAB, the business must wind up its debt fund, which can be likened to 10 long term floating rate securities covering a 10 per cent 'investment portion' in the RAB. </w:t>
      </w:r>
      <w:proofErr w:type="gramStart"/>
      <w:r>
        <w:t xml:space="preserve">At </w:t>
      </w:r>
      <w:proofErr w:type="gramEnd"/>
      <m:oMath>
        <m:r>
          <w:rPr>
            <w:rFonts w:ascii="Cambria Math" w:hAnsi="Cambria Math"/>
          </w:rPr>
          <m:t>t=T-10</m:t>
        </m:r>
      </m:oMath>
      <w:r>
        <w:t>, the business could either:</w:t>
      </w:r>
      <w:r>
        <w:rPr>
          <w:rStyle w:val="FootnoteReference"/>
        </w:rPr>
        <w:footnoteReference w:id="1127"/>
      </w:r>
    </w:p>
    <w:p w:rsidR="00312F8A" w:rsidRPr="00D9597E" w:rsidRDefault="00312F8A" w:rsidP="00312F8A">
      <w:pPr>
        <w:pStyle w:val="AERbulletlistfirststyle"/>
        <w:rPr>
          <w:rStyle w:val="AERbody"/>
        </w:rPr>
      </w:pPr>
      <w:r>
        <w:rPr>
          <w:rStyle w:val="AERbody"/>
        </w:rPr>
        <w:t xml:space="preserve">Raise 9, 8 … 2, 1 year debt on a staggered basis. All its debt would thus expire in year T and it would repay the entire </w:t>
      </w:r>
      <w:r w:rsidRPr="00D9597E">
        <w:rPr>
          <w:rStyle w:val="AERbody"/>
        </w:rPr>
        <w:t>initial value of the RAB back to its investors.</w:t>
      </w:r>
    </w:p>
    <w:p w:rsidR="00312F8A" w:rsidRPr="00D9597E" w:rsidRDefault="00312F8A" w:rsidP="00312F8A">
      <w:pPr>
        <w:pStyle w:val="AERbulletlistfirststyle"/>
        <w:rPr>
          <w:rStyle w:val="AERbody"/>
        </w:rPr>
      </w:pPr>
      <w:r>
        <w:rPr>
          <w:rStyle w:val="AERbody"/>
        </w:rPr>
        <w:t>Allow its staggered portfolio to gradually e</w:t>
      </w:r>
      <w:r w:rsidRPr="00D9597E">
        <w:rPr>
          <w:rStyle w:val="AERbody"/>
        </w:rPr>
        <w:t xml:space="preserve">xpire, repaying 10 per cent of the initial value of the RAB to investors each year. </w:t>
      </w:r>
    </w:p>
    <w:p w:rsidR="00312F8A" w:rsidRDefault="00312F8A" w:rsidP="00312F8A">
      <w:r>
        <w:t xml:space="preserve">This means our return on debt allowance would have to allow for a transition out of the staggered portfolio. </w:t>
      </w:r>
      <w:r>
        <w:rPr>
          <w:rStyle w:val="AERbody"/>
        </w:rPr>
        <w:t>Valuing</w:t>
      </w:r>
      <w:r w:rsidRPr="006C533F">
        <w:rPr>
          <w:rStyle w:val="AERbody"/>
        </w:rPr>
        <w:t xml:space="preserve"> the </w:t>
      </w:r>
      <w:r>
        <w:rPr>
          <w:rStyle w:val="AERbody"/>
        </w:rPr>
        <w:t xml:space="preserve">return on </w:t>
      </w:r>
      <w:r w:rsidRPr="006C533F">
        <w:rPr>
          <w:rStyle w:val="AERbody"/>
        </w:rPr>
        <w:t xml:space="preserve">debt allowance using the first of the two options would be expected to provide a benchmark efficient entity </w:t>
      </w:r>
      <w:r w:rsidRPr="006C533F">
        <w:t>a reasonable opportunity to recover at least efficient costs as this wo</w:t>
      </w:r>
      <w:r>
        <w:t>uld allow the following equalities</w:t>
      </w:r>
      <w:r w:rsidRPr="006C533F">
        <w:t xml:space="preserve"> to hold</w:t>
      </w:r>
      <w:r>
        <w:t xml:space="preserve"> (from </w:t>
      </w:r>
      <m:oMath>
        <m:r>
          <w:rPr>
            <w:rFonts w:ascii="Cambria Math" w:hAnsi="Cambria Math"/>
          </w:rPr>
          <m:t>t=T-10</m:t>
        </m:r>
      </m:oMath>
      <w:r>
        <w:t xml:space="preserve"> to </w:t>
      </w:r>
      <m:oMath>
        <m:r>
          <w:rPr>
            <w:rFonts w:ascii="Cambria Math" w:hAnsi="Cambria Math"/>
          </w:rPr>
          <m:t>t=T-1</m:t>
        </m:r>
      </m:oMath>
      <w:r>
        <w:t>)</w:t>
      </w:r>
      <w:r w:rsidRPr="006C533F">
        <w:t>:</w:t>
      </w:r>
    </w:p>
    <w:p w:rsidR="00312F8A" w:rsidRPr="00275DE0" w:rsidRDefault="003F1AAB" w:rsidP="00312F8A">
      <w:pPr>
        <w:rPr>
          <w:rStyle w:val="AERtextsize10"/>
        </w:rPr>
      </w:pPr>
      <m:oMath>
        <m:sSub>
          <m:sSubPr>
            <m:ctrlPr>
              <w:rPr>
                <w:rStyle w:val="AERtextsize10"/>
                <w:rFonts w:ascii="Cambria Math" w:hAnsi="Cambria Math"/>
              </w:rPr>
            </m:ctrlPr>
          </m:sSubPr>
          <m:e>
            <m:r>
              <w:rPr>
                <w:rStyle w:val="AERtextsize10"/>
                <w:rFonts w:ascii="Cambria Math" w:hAnsi="Cambria Math"/>
              </w:rPr>
              <m:t>PV[p1]</m:t>
            </m:r>
          </m:e>
          <m:sub>
            <m:r>
              <w:rPr>
                <w:rStyle w:val="AERtextsize10"/>
                <w:rFonts w:ascii="Cambria Math" w:hAnsi="Cambria Math"/>
              </w:rPr>
              <m:t>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0.1*CF</m:t>
                    </m:r>
                  </m:e>
                  <m:sub>
                    <m:r>
                      <w:rPr>
                        <w:rStyle w:val="AERtextsize10"/>
                        <w:rFonts w:ascii="Cambria Math" w:hAnsi="Cambria Math"/>
                      </w:rPr>
                      <m:t>(T-9)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(T-8)</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m:t>
                    </m:r>
                    <m:d>
                      <m:dPr>
                        <m:ctrlPr>
                          <w:rPr>
                            <w:rStyle w:val="AERtextsize10"/>
                            <w:rFonts w:ascii="Cambria Math" w:hAnsi="Cambria Math"/>
                          </w:rPr>
                        </m:ctrlPr>
                      </m:dPr>
                      <m:e>
                        <m:r>
                          <w:rPr>
                            <w:rStyle w:val="AERtextsize10"/>
                            <w:rFonts w:ascii="Cambria Math" w:hAnsi="Cambria Math"/>
                          </w:rPr>
                          <m:t>T-1</m:t>
                        </m:r>
                      </m:e>
                    </m:d>
                  </m:sub>
                </m:sSub>
              </m:num>
              <m:den>
                <m:d>
                  <m:dPr>
                    <m:ctrlPr>
                      <w:rPr>
                        <w:rStyle w:val="AERtextsize10"/>
                        <w:rFonts w:ascii="Cambria Math" w:hAnsi="Cambria Math"/>
                      </w:rPr>
                    </m:ctrlPr>
                  </m:dPr>
                  <m:e>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e>
                </m:d>
                <m:r>
                  <m:rPr>
                    <m:sty m:val="p"/>
                  </m:rPr>
                  <w:rPr>
                    <w:rStyle w:val="AERtextsize10"/>
                    <w:rFonts w:ascii="Cambria Math" w:hAnsi="Cambria Math"/>
                  </w:rPr>
                  <m:t>8</m:t>
                </m:r>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m:t>
                    </m:r>
                  </m:sub>
                </m:sSub>
                <m:r>
                  <w:rPr>
                    <w:rStyle w:val="AERtextsize10"/>
                    <w:rFonts w:ascii="Cambria Math" w:hAnsi="Cambria Math"/>
                  </w:rPr>
                  <m:t>+</m:t>
                </m:r>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T</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e>
        </m:d>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T-11</m:t>
            </m:r>
          </m:sub>
        </m:sSub>
        <m:r>
          <w:rPr>
            <w:rStyle w:val="FootnoteReference"/>
            <w:rFonts w:ascii="Cambria Math" w:hAnsi="Cambria Math"/>
            <w:i/>
          </w:rPr>
          <w:footnoteReference w:id="1128"/>
        </m:r>
      </m:oMath>
      <w:r w:rsidR="00312F8A" w:rsidRPr="007E3981">
        <w:rPr>
          <w:rStyle w:val="AERtextsize10"/>
        </w:rPr>
        <w:t xml:space="preserve"> </w:t>
      </w:r>
    </w:p>
    <w:p w:rsidR="00312F8A" w:rsidRPr="00FC64E0" w:rsidRDefault="003F1AAB" w:rsidP="00312F8A">
      <m:oMath>
        <m:sSub>
          <m:sSubPr>
            <m:ctrlPr>
              <w:rPr>
                <w:rFonts w:ascii="Cambria Math" w:hAnsi="Cambria Math"/>
              </w:rPr>
            </m:ctrlPr>
          </m:sSubPr>
          <m:e>
            <m:r>
              <w:rPr>
                <w:rFonts w:ascii="Cambria Math" w:hAnsi="Cambria Math"/>
              </w:rPr>
              <m:t>PV[p2]</m:t>
            </m:r>
          </m:e>
          <m:sub>
            <m:r>
              <w:rPr>
                <w:rFonts w:ascii="Cambria Math" w:hAnsi="Cambria Math"/>
              </w:rPr>
              <m:t>T-9</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(T-8)</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(T-7)</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r>
                  <m:rPr>
                    <m:sty m:val="p"/>
                  </m:rPr>
                  <w:rPr>
                    <w:rFonts w:ascii="Cambria Math" w:hAnsi="Cambria Math"/>
                  </w:rPr>
                  <m:t>)7</m:t>
                </m:r>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8</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T-10</m:t>
            </m:r>
          </m:sub>
        </m:sSub>
      </m:oMath>
      <w:r w:rsidR="00312F8A">
        <w:t xml:space="preserve"> </w:t>
      </w:r>
    </w:p>
    <w:p w:rsidR="00312F8A" w:rsidRDefault="00312F8A" w:rsidP="00312F8A">
      <w:r>
        <w:t>…</w:t>
      </w:r>
    </w:p>
    <w:p w:rsidR="00312F8A" w:rsidRPr="00FC64E0" w:rsidRDefault="003F1AAB" w:rsidP="00312F8A">
      <m:oMath>
        <m:sSub>
          <m:sSubPr>
            <m:ctrlPr>
              <w:rPr>
                <w:rFonts w:ascii="Cambria Math" w:hAnsi="Cambria Math"/>
              </w:rPr>
            </m:ctrlPr>
          </m:sSubPr>
          <m:e>
            <m:r>
              <w:rPr>
                <w:rFonts w:ascii="Cambria Math" w:hAnsi="Cambria Math"/>
              </w:rPr>
              <m:t>PV[p10]</m:t>
            </m:r>
          </m:e>
          <m:sub>
            <m:r>
              <w:rPr>
                <w:rFonts w:ascii="Cambria Math" w:hAnsi="Cambria Math"/>
              </w:rPr>
              <m:t>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(T-1),1</m:t>
                    </m:r>
                  </m:sub>
                </m:sSub>
                <m:sSup>
                  <m:sSupPr>
                    <m:ctrlPr>
                      <w:rPr>
                        <w:rFonts w:ascii="Cambria Math" w:hAnsi="Cambria Math"/>
                      </w:rPr>
                    </m:ctrlPr>
                  </m:sSupPr>
                  <m:e>
                    <m:r>
                      <w:rPr>
                        <w:rFonts w:ascii="Cambria Math" w:hAnsi="Cambria Math"/>
                      </w:rPr>
                      <m:t>)</m:t>
                    </m:r>
                  </m:e>
                  <m:sup>
                    <m:r>
                      <w:rPr>
                        <w:rFonts w:ascii="Cambria Math" w:hAnsi="Cambria Math"/>
                      </w:rPr>
                      <m:t>1</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T-2</m:t>
            </m:r>
          </m:sub>
        </m:sSub>
      </m:oMath>
      <w:r w:rsidR="00312F8A">
        <w:t xml:space="preserve"> </w:t>
      </w:r>
    </w:p>
    <w:p w:rsidR="00312F8A" w:rsidRDefault="00312F8A" w:rsidP="00312F8A">
      <w:proofErr w:type="gramStart"/>
      <w:r>
        <w:t>where</w:t>
      </w:r>
      <w:proofErr w:type="gramEnd"/>
      <w:r>
        <w:t xml:space="preserve"> the proportion of net operating cash flow generated from each portion of the RAB each year equals the interest payment on that tranche of debt; that is:</w:t>
      </w:r>
      <w:r>
        <w:rPr>
          <w:rStyle w:val="FootnoteReference"/>
        </w:rPr>
        <w:footnoteReference w:id="1129"/>
      </w:r>
      <w:r>
        <w:t xml:space="preserve">  </w:t>
      </w:r>
    </w:p>
    <w:p w:rsidR="00312F8A" w:rsidRDefault="00312F8A" w:rsidP="00312F8A">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xml:space="preserve">,  for t=T-10,…,T-1 and i=T-9,…,T </m:t>
        </m:r>
      </m:oMath>
      <w:r>
        <w:t xml:space="preserve">  </w:t>
      </w:r>
    </w:p>
    <w:p w:rsidR="00312F8A" w:rsidRDefault="00312F8A" w:rsidP="00312F8A">
      <w:proofErr w:type="gramStart"/>
      <w:r>
        <w:t>and</w:t>
      </w:r>
      <w:proofErr w:type="gramEnd"/>
      <w:r>
        <w:t xml:space="preserve">, under our assumptions, </w:t>
      </w:r>
      <m:oMath>
        <m:sSub>
          <m:sSubPr>
            <m:ctrlPr>
              <w:rPr>
                <w:rFonts w:ascii="Cambria Math" w:hAnsi="Cambria Math"/>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t>.</w:t>
      </w:r>
    </w:p>
    <w:p w:rsidR="00312F8A" w:rsidRDefault="00312F8A" w:rsidP="00312F8A">
      <w:r>
        <w:t>As shown in the above sections, the above equalities hold because, for each portion of the RAB:</w:t>
      </w:r>
    </w:p>
    <w:p w:rsidR="00312F8A" w:rsidRPr="00D9597E" w:rsidRDefault="00312F8A" w:rsidP="00312F8A">
      <w:pPr>
        <w:pStyle w:val="AERbulletlistfirststyle"/>
      </w:pPr>
      <w:r>
        <w:t>the expected net operating cash flows</w:t>
      </w:r>
      <w:r w:rsidRPr="00D9597E">
        <w:t xml:space="preserve"> are, effectively, based on an allowed rate of return that reflects prevailing market rates at year </w:t>
      </w:r>
      <m:oMath>
        <m:r>
          <w:rPr>
            <w:rFonts w:ascii="Cambria Math" w:hAnsi="Cambria Math"/>
          </w:rPr>
          <m:t>t=T-10…T-1</m:t>
        </m:r>
      </m:oMath>
      <w:r w:rsidRPr="00D9597E">
        <w:t xml:space="preserve"> respectively</w:t>
      </w:r>
    </w:p>
    <w:p w:rsidR="00312F8A" w:rsidRPr="00D9597E" w:rsidRDefault="00312F8A" w:rsidP="00312F8A">
      <w:pPr>
        <w:pStyle w:val="AERbulletlistfirststyle"/>
      </w:pPr>
      <w:proofErr w:type="gramStart"/>
      <w:r>
        <w:t>the</w:t>
      </w:r>
      <w:proofErr w:type="gramEnd"/>
      <w:r>
        <w:t xml:space="preserve"> present (or market) value of the closing RAB (portion) at the end of each period equals its </w:t>
      </w:r>
      <w:r w:rsidRPr="00D9597E">
        <w:t>statutory value.</w:t>
      </w:r>
    </w:p>
    <w:p w:rsidR="00312F8A" w:rsidRDefault="00312F8A" w:rsidP="00312F8A">
      <w:r>
        <w:t>Given these equalities hold, the service provider would expect to have a reasonable opportunity to recover at least efficient costs for each of its investment portions. Since this applies to all stages of the trailing average approach, the service provider would expect to have a reasonable opportunity to recover at least efficient costs</w:t>
      </w:r>
      <w:r w:rsidRPr="00306141">
        <w:t xml:space="preserve"> </w:t>
      </w:r>
      <w:r>
        <w:t>over the entire term of the RAB.</w:t>
      </w:r>
    </w:p>
    <w:p w:rsidR="00312F8A" w:rsidRDefault="00312F8A" w:rsidP="00312F8A">
      <w:r>
        <w:t>The sections above show that the key distinction between an on-the-day and a trailing average approach is:</w:t>
      </w:r>
    </w:p>
    <w:p w:rsidR="00312F8A" w:rsidRPr="00D9597E" w:rsidRDefault="00312F8A" w:rsidP="00312F8A">
      <w:pPr>
        <w:pStyle w:val="AERbulletlistfirststyle"/>
      </w:pPr>
      <w:r>
        <w:t>t</w:t>
      </w:r>
      <w:r w:rsidRPr="00D9597E">
        <w:t xml:space="preserve">he on-the-day approach results in the entire allowed rate of return being reset to reflect prevailing market (or efficient) rates near the commencement of the regulatory period </w:t>
      </w:r>
    </w:p>
    <w:p w:rsidR="00312F8A" w:rsidRPr="00D9597E" w:rsidRDefault="00312F8A" w:rsidP="00312F8A">
      <w:pPr>
        <w:pStyle w:val="AERbulletlistfirststyle"/>
      </w:pPr>
      <w:proofErr w:type="gramStart"/>
      <w:r>
        <w:t>t</w:t>
      </w:r>
      <w:r w:rsidRPr="00D9597E">
        <w:t>he</w:t>
      </w:r>
      <w:proofErr w:type="gramEnd"/>
      <w:r w:rsidRPr="00D9597E">
        <w:t xml:space="preserve"> trailing average approach results in one tenth of the allowed rate of return being reset to reflect prevailing market (or efficient) rates each year. </w:t>
      </w:r>
    </w:p>
    <w:p w:rsidR="00312F8A" w:rsidRPr="008A42CE" w:rsidRDefault="00312F8A" w:rsidP="00312F8A">
      <w:pPr>
        <w:rPr>
          <w:rStyle w:val="AERbody"/>
        </w:rPr>
      </w:pPr>
      <w:r w:rsidRPr="008A42CE">
        <w:rPr>
          <w:rStyle w:val="AERbody"/>
        </w:rPr>
        <w:t xml:space="preserve">However, both approaches </w:t>
      </w:r>
      <w:r>
        <w:rPr>
          <w:rStyle w:val="AERbody"/>
        </w:rPr>
        <w:t xml:space="preserve">to setting the allowed rate of return, </w:t>
      </w:r>
      <w:r w:rsidRPr="008A42CE">
        <w:rPr>
          <w:rStyle w:val="AERbody"/>
        </w:rPr>
        <w:t xml:space="preserve">if appropriately implemented </w:t>
      </w:r>
      <w:r>
        <w:rPr>
          <w:rStyle w:val="AERbody"/>
        </w:rPr>
        <w:t xml:space="preserve">(in a forward looking manner) should </w:t>
      </w:r>
      <w:r w:rsidRPr="001D0F47">
        <w:rPr>
          <w:rStyle w:val="AERbody"/>
        </w:rPr>
        <w:t xml:space="preserve">result in </w:t>
      </w:r>
      <w:r>
        <w:rPr>
          <w:rStyle w:val="AERbody"/>
        </w:rPr>
        <w:t>the same</w:t>
      </w:r>
      <w:r w:rsidRPr="008A42CE">
        <w:rPr>
          <w:rStyle w:val="AERbody"/>
        </w:rPr>
        <w:t xml:space="preserve"> </w:t>
      </w:r>
      <w:r>
        <w:t>ex-ante compensation for a benchmark efficient entity's ex-ante efficient financing costs over the term of the RAB</w:t>
      </w:r>
      <w:r>
        <w:rPr>
          <w:rStyle w:val="AERbody"/>
        </w:rPr>
        <w:t>.</w:t>
      </w:r>
    </w:p>
    <w:p w:rsidR="00312F8A" w:rsidRDefault="00312F8A" w:rsidP="00312F8A">
      <w:pPr>
        <w:pStyle w:val="Heading8"/>
      </w:pPr>
      <w:bookmarkStart w:id="362" w:name="_Ref447538284"/>
      <w:bookmarkStart w:id="363" w:name="_Toc452629102"/>
      <w:bookmarkStart w:id="364" w:name="_Toc456686767"/>
      <w:r>
        <w:t>A full transition satisfies the ARORO</w:t>
      </w:r>
      <w:bookmarkEnd w:id="362"/>
      <w:bookmarkEnd w:id="363"/>
      <w:bookmarkEnd w:id="364"/>
    </w:p>
    <w:p w:rsidR="00312F8A" w:rsidRPr="00D9597E" w:rsidRDefault="00312F8A" w:rsidP="00312F8A">
      <w:r>
        <w:t xml:space="preserve">If moving from </w:t>
      </w:r>
      <w:r w:rsidRPr="00D9597E">
        <w:t>the on-the-day to the trailing average approach, we consider a full transition is required to meet the ARORO and the objectives of the NEL/NGL. A full transition is revenue neutral in a present value sense.</w:t>
      </w:r>
      <w:r w:rsidRPr="00D9597E">
        <w:rPr>
          <w:rStyle w:val="FootnoteReference"/>
        </w:rPr>
        <w:footnoteReference w:id="1130"/>
      </w:r>
      <w:r w:rsidRPr="00D9597E">
        <w:t xml:space="preserve"> Assuming the on-the-day or trailing average approach would contribute to the achievement of the ARORO, a revenue neutral transition will also contribute to the achievement of the ARORO.</w:t>
      </w:r>
    </w:p>
    <w:p w:rsidR="00312F8A" w:rsidRDefault="00312F8A" w:rsidP="00312F8A">
      <w:r>
        <w:t xml:space="preserve">As shown in section </w:t>
      </w:r>
      <w:r>
        <w:fldChar w:fldCharType="begin"/>
      </w:r>
      <w:r>
        <w:instrText xml:space="preserve"> REF _Ref444773920 \r \h </w:instrText>
      </w:r>
      <w:r>
        <w:fldChar w:fldCharType="separate"/>
      </w:r>
      <w:r w:rsidR="003F1AAB">
        <w:t>H.7.3</w:t>
      </w:r>
      <w:r>
        <w:fldChar w:fldCharType="end"/>
      </w:r>
      <w:r>
        <w:t>, ex-ante efficient compensation can hold</w:t>
      </w:r>
      <w:r w:rsidRPr="0050083B">
        <w:t xml:space="preserve"> </w:t>
      </w:r>
      <w:r>
        <w:t>under either the on-the-day approach or the trailing average approach (if a transition is applied). As such, both approaches are capable of being approximately equivalent over the term of the RAB (which will be multiple regulatory periods).</w:t>
      </w:r>
    </w:p>
    <w:p w:rsidR="00312F8A" w:rsidRDefault="00312F8A" w:rsidP="00312F8A">
      <w:r>
        <w:t>For this reason, setting the return on debt allowance under the assumption that the service provider does not instantly have a trailing average debt portfolio, but rather has to develop, it should neither have a positive or negative affect on the service provider. Rather, we expect this would be NPV neutral.</w:t>
      </w:r>
    </w:p>
    <w:p w:rsidR="00312F8A" w:rsidRDefault="00312F8A" w:rsidP="00312F8A">
      <w:r>
        <w:t xml:space="preserve">We show in section </w:t>
      </w:r>
      <w:r>
        <w:fldChar w:fldCharType="begin"/>
      </w:r>
      <w:r>
        <w:instrText xml:space="preserve"> REF _Ref444773920 \r \h </w:instrText>
      </w:r>
      <w:r>
        <w:fldChar w:fldCharType="separate"/>
      </w:r>
      <w:r w:rsidR="003F1AAB">
        <w:t>H.7.3</w:t>
      </w:r>
      <w:r>
        <w:fldChar w:fldCharType="end"/>
      </w:r>
      <w:r>
        <w:t xml:space="preserve"> that under the trailing average approach, service providers expect to have a reasonable opportunity to recover at least efficient financing costs over the term of the RAB. However, for any given regulatory period, the present value of expected net operating cash flows over the regulatory period plus the closing RAB will not necessarily equal the opening RAB. That is, at the start of any given regulatory </w:t>
      </w:r>
      <w:r w:rsidRPr="0050083B">
        <w:t>period</w:t>
      </w:r>
      <w:r>
        <w:t>, the present value</w:t>
      </w:r>
      <w:r w:rsidRPr="0050083B">
        <w:t xml:space="preserve"> of </w:t>
      </w:r>
      <w:r>
        <w:t xml:space="preserve">expected </w:t>
      </w:r>
      <w:r w:rsidRPr="0050083B">
        <w:t xml:space="preserve">future cash flows will unlikely equal the RAB because </w:t>
      </w:r>
      <w:r>
        <w:t xml:space="preserve">the </w:t>
      </w:r>
      <w:r w:rsidRPr="0050083B">
        <w:t xml:space="preserve">cash flows based on historical interest rates will either be </w:t>
      </w:r>
      <w:r>
        <w:t>higher</w:t>
      </w:r>
      <w:r w:rsidRPr="0050083B">
        <w:t xml:space="preserve"> or too low (relative to the </w:t>
      </w:r>
      <w:r>
        <w:t>prevailing cost of debt in the market). Given this, switching between regimes without a full transition would not satisfy the requirement to</w:t>
      </w:r>
      <w:r w:rsidRPr="00E2587B">
        <w:t xml:space="preserve"> </w:t>
      </w:r>
      <w:r>
        <w:t>provide service providers with a reasonable opportunity to recover at least efficient costs over either the regulatory period or over the term of the RAB.</w:t>
      </w:r>
    </w:p>
    <w:p w:rsidR="00312F8A" w:rsidRPr="00414466" w:rsidRDefault="00312F8A" w:rsidP="00312F8A">
      <w:pPr>
        <w:pStyle w:val="Heading8"/>
      </w:pPr>
      <w:bookmarkStart w:id="365" w:name="_Ref447266532"/>
      <w:bookmarkStart w:id="366" w:name="_Toc452629103"/>
      <w:bookmarkStart w:id="367" w:name="_Toc456686768"/>
      <w:r w:rsidRPr="00414466">
        <w:t>An immediate (or hybrid) transition will not satisfy the ARORO</w:t>
      </w:r>
      <w:bookmarkEnd w:id="365"/>
      <w:bookmarkEnd w:id="366"/>
      <w:bookmarkEnd w:id="367"/>
    </w:p>
    <w:p w:rsidR="00312F8A" w:rsidRDefault="00312F8A" w:rsidP="00312F8A">
      <w:r>
        <w:t>We consider a full transition to a trailing average will</w:t>
      </w:r>
      <w:r w:rsidRPr="00F21B32">
        <w:t xml:space="preserve"> result in an ex-ante </w:t>
      </w:r>
      <w:r>
        <w:t>reasonable</w:t>
      </w:r>
      <w:r w:rsidRPr="00F21B32">
        <w:t xml:space="preserve"> return </w:t>
      </w:r>
      <w:r>
        <w:t xml:space="preserve">and would contribute to the achievement of the ARORO (see section </w:t>
      </w:r>
      <w:r>
        <w:fldChar w:fldCharType="begin"/>
      </w:r>
      <w:r>
        <w:instrText xml:space="preserve"> REF _Ref447538284 \r \h </w:instrText>
      </w:r>
      <w:r>
        <w:fldChar w:fldCharType="separate"/>
      </w:r>
      <w:r w:rsidR="003F1AAB">
        <w:t>H.8</w:t>
      </w:r>
      <w:r>
        <w:fldChar w:fldCharType="end"/>
      </w:r>
      <w:r>
        <w:t>).</w:t>
      </w:r>
      <w:r w:rsidRPr="00F21B32">
        <w:t xml:space="preserve"> </w:t>
      </w:r>
      <w:r>
        <w:t>Conversely, we do not consider that an immediate (or hybrid) transition to a trailing average will</w:t>
      </w:r>
      <w:r w:rsidRPr="00F21B32">
        <w:t xml:space="preserve"> result in an ex-ante </w:t>
      </w:r>
      <w:r>
        <w:t>reasonable</w:t>
      </w:r>
      <w:r w:rsidRPr="00F21B32">
        <w:t xml:space="preserve"> return </w:t>
      </w:r>
      <w:r>
        <w:t xml:space="preserve">and would contribute to the achievement of the ARORO. This is because these approaches are not revenue neutral (in a present value sense). Rather, because these approaches would not be revenue-neutral, these would result in ex-ante overcompensation if moving from a high to a low interest rate environment. Conversely, these would result in ex-ante undercompensation if moving from a low to a high interest rate environment. We show the difference between our approach and the service providers' proposed approach mathematically in section </w:t>
      </w:r>
      <w:r>
        <w:fldChar w:fldCharType="begin"/>
      </w:r>
      <w:r>
        <w:instrText xml:space="preserve"> REF _Ref447886159 \r \h </w:instrText>
      </w:r>
      <w:r>
        <w:fldChar w:fldCharType="separate"/>
      </w:r>
      <w:r w:rsidR="003F1AAB">
        <w:t>H.9.1</w:t>
      </w:r>
      <w:r>
        <w:fldChar w:fldCharType="end"/>
      </w:r>
      <w:r>
        <w:t xml:space="preserve">. </w:t>
      </w:r>
    </w:p>
    <w:p w:rsidR="00312F8A" w:rsidRDefault="00312F8A" w:rsidP="00312F8A">
      <w:r>
        <w:t>It is also worth noting that while</w:t>
      </w:r>
      <w:r w:rsidRPr="00F21B32">
        <w:t xml:space="preserve"> </w:t>
      </w:r>
      <w:r>
        <w:t>stakeholders</w:t>
      </w:r>
      <w:r w:rsidRPr="00F21B32">
        <w:t xml:space="preserve"> </w:t>
      </w:r>
      <w:r>
        <w:t>generally supported</w:t>
      </w:r>
      <w:r w:rsidRPr="00F21B32">
        <w:t xml:space="preserve"> </w:t>
      </w:r>
      <w:r>
        <w:t xml:space="preserve">moving to a trailing average </w:t>
      </w:r>
      <w:r w:rsidRPr="00F21B32">
        <w:t xml:space="preserve">approach </w:t>
      </w:r>
      <w:r>
        <w:t xml:space="preserve">when we developed the Guideline, the </w:t>
      </w:r>
      <w:r w:rsidRPr="00F21B32">
        <w:t>trailing average cannot be consider</w:t>
      </w:r>
      <w:r>
        <w:t>ed</w:t>
      </w:r>
      <w:r w:rsidRPr="00F21B32">
        <w:t xml:space="preserve"> in isola</w:t>
      </w:r>
      <w:r>
        <w:t xml:space="preserve">tion of the </w:t>
      </w:r>
      <w:r w:rsidRPr="00F21B32">
        <w:t xml:space="preserve">transition </w:t>
      </w:r>
      <w:r>
        <w:t>set out in the</w:t>
      </w:r>
      <w:r w:rsidRPr="00F21B32">
        <w:t xml:space="preserve"> Guideline.</w:t>
      </w:r>
      <w:r>
        <w:rPr>
          <w:rStyle w:val="FootnoteReference"/>
        </w:rPr>
        <w:footnoteReference w:id="1131"/>
      </w:r>
      <w:r>
        <w:t xml:space="preserve"> This is supported by the CCP3 in advising:</w:t>
      </w:r>
      <w:r>
        <w:rPr>
          <w:rStyle w:val="FootnoteReference"/>
        </w:rPr>
        <w:footnoteReference w:id="1132"/>
      </w:r>
    </w:p>
    <w:p w:rsidR="00312F8A" w:rsidRPr="006C2193" w:rsidRDefault="00312F8A" w:rsidP="00312F8A">
      <w:pPr>
        <w:pStyle w:val="AERquote"/>
      </w:pPr>
      <w:r w:rsidRPr="00E70879">
        <w:t>consumer acceptance for the 10</w:t>
      </w:r>
      <w:r w:rsidRPr="00312F8A">
        <w:rPr>
          <w:rFonts w:ascii="Cambria Math" w:hAnsi="Cambria Math" w:cs="Cambria Math"/>
        </w:rPr>
        <w:t>‐</w:t>
      </w:r>
      <w:r w:rsidRPr="00E70879">
        <w:t xml:space="preserve">year trailing average cost of debt (rather than </w:t>
      </w:r>
      <w:r w:rsidRPr="003E0036">
        <w:t>continuation of the “on</w:t>
      </w:r>
      <w:r w:rsidRPr="00312F8A">
        <w:rPr>
          <w:rFonts w:ascii="Cambria Math" w:hAnsi="Cambria Math" w:cs="Cambria Math"/>
        </w:rPr>
        <w:t>‐</w:t>
      </w:r>
      <w:r w:rsidRPr="0019710C">
        <w:t>the</w:t>
      </w:r>
      <w:r w:rsidRPr="00312F8A">
        <w:rPr>
          <w:rFonts w:ascii="Cambria Math" w:hAnsi="Cambria Math" w:cs="Cambria Math"/>
        </w:rPr>
        <w:t>‐</w:t>
      </w:r>
      <w:r w:rsidRPr="0019710C">
        <w:t>day” or a 5</w:t>
      </w:r>
      <w:r w:rsidRPr="00312F8A">
        <w:rPr>
          <w:rFonts w:ascii="Cambria Math" w:hAnsi="Cambria Math" w:cs="Cambria Math"/>
        </w:rPr>
        <w:t>‐</w:t>
      </w:r>
      <w:r w:rsidRPr="0019710C">
        <w:t>year trailing average aligned with the regulatory</w:t>
      </w:r>
      <w:r w:rsidRPr="006C2193">
        <w:t xml:space="preserve"> period) during the Better Regulation process was, arguably, contingent on the AER having an effective transition process that would prevent windfall gains or losses by either consumers or the businesses. The DNSPs’ revised proposals for transition violate this implicit understanding that has underpinned the consumers’ support of the 10</w:t>
      </w:r>
      <w:r w:rsidRPr="00312F8A">
        <w:rPr>
          <w:rFonts w:ascii="Cambria Math" w:hAnsi="Cambria Math" w:cs="Cambria Math"/>
        </w:rPr>
        <w:t>‐</w:t>
      </w:r>
      <w:r w:rsidRPr="006C2193">
        <w:t>year rolling average approach.</w:t>
      </w:r>
    </w:p>
    <w:p w:rsidR="00312F8A" w:rsidRDefault="00312F8A" w:rsidP="00312F8A">
      <w:r>
        <w:t>For this reason, the CCP3 also advised that, '</w:t>
      </w:r>
      <w:r w:rsidRPr="00187AA5">
        <w:t>the significant impact on consumers of the DNSPs’ proposed</w:t>
      </w:r>
      <w:r>
        <w:t xml:space="preserve"> </w:t>
      </w:r>
      <w:r w:rsidRPr="00187AA5">
        <w:t>departure from the RoR Guideline risks a collapse in consumer confidence in the</w:t>
      </w:r>
      <w:r>
        <w:t xml:space="preserve"> </w:t>
      </w:r>
      <w:r w:rsidRPr="00187AA5">
        <w:t>regulatory process</w:t>
      </w:r>
      <w:r>
        <w:t>'</w:t>
      </w:r>
      <w:r w:rsidRPr="00187AA5">
        <w:t>.</w:t>
      </w:r>
      <w:r>
        <w:rPr>
          <w:rStyle w:val="FootnoteReference"/>
        </w:rPr>
        <w:footnoteReference w:id="1133"/>
      </w:r>
      <w:r>
        <w:t xml:space="preserve"> </w:t>
      </w:r>
    </w:p>
    <w:p w:rsidR="00312F8A" w:rsidRDefault="00312F8A" w:rsidP="00312F8A">
      <w:r>
        <w:t>Moreover, Partington and Satchell advise that, given a move to the trailing average approach, our full transition is preferable to an immediate (or hybrid) transition.</w:t>
      </w:r>
      <w:r>
        <w:rPr>
          <w:rStyle w:val="FootnoteReference"/>
        </w:rPr>
        <w:footnoteReference w:id="1134"/>
      </w:r>
      <w:r>
        <w:t xml:space="preserve"> They also state that:</w:t>
      </w:r>
      <w:r>
        <w:rPr>
          <w:rStyle w:val="FootnoteReference"/>
        </w:rPr>
        <w:footnoteReference w:id="1135"/>
      </w:r>
    </w:p>
    <w:p w:rsidR="00312F8A" w:rsidRDefault="00312F8A" w:rsidP="00312F8A">
      <w:pPr>
        <w:pStyle w:val="AERquote"/>
      </w:pPr>
      <w:r>
        <w:t>…</w:t>
      </w:r>
      <w:r w:rsidRPr="001D4F64">
        <w:t>it is appropriate in the present case, of significant divergence between the trailing average and the current cost of debt, that a transition should be made to the trailing average rather than immediately moving to full implementation.</w:t>
      </w:r>
    </w:p>
    <w:p w:rsidR="00312F8A" w:rsidRDefault="00312F8A" w:rsidP="00312F8A">
      <w:r>
        <w:t xml:space="preserve">Consequently, we consider the on-the-day approach should continue in the absence of a full transition to the trailing average approach. This is because the on-the-day approach produces a return on debt estimate that, in conjunction with the return on equity, satisfies the ARORO. As shown in section </w:t>
      </w:r>
      <w:r>
        <w:fldChar w:fldCharType="begin"/>
      </w:r>
      <w:r>
        <w:instrText xml:space="preserve"> REF _Ref448326736 \r \h </w:instrText>
      </w:r>
      <w:r>
        <w:fldChar w:fldCharType="separate"/>
      </w:r>
      <w:r w:rsidR="003F1AAB">
        <w:t>H.7.3</w:t>
      </w:r>
      <w:r>
        <w:fldChar w:fldCharType="end"/>
      </w:r>
      <w:r>
        <w:t xml:space="preserve">, the on-the-day approach provides ex-ante efficient compensation for a benchmark efficient entity's efficient cost of financing over each regulatory period and over the term of the RAB. </w:t>
      </w:r>
    </w:p>
    <w:p w:rsidR="00312F8A" w:rsidRDefault="00312F8A" w:rsidP="00312F8A">
      <w:pPr>
        <w:pStyle w:val="Heading9"/>
      </w:pPr>
      <w:bookmarkStart w:id="368" w:name="_Ref447886159"/>
      <w:bookmarkStart w:id="369" w:name="_Ref451538254"/>
      <w:bookmarkStart w:id="370" w:name="_Toc452629104"/>
      <w:bookmarkStart w:id="371" w:name="_Toc456686769"/>
      <w:r>
        <w:t>Mathematical explanation</w:t>
      </w:r>
      <w:bookmarkEnd w:id="368"/>
      <w:bookmarkEnd w:id="369"/>
      <w:bookmarkEnd w:id="370"/>
      <w:bookmarkEnd w:id="371"/>
    </w:p>
    <w:p w:rsidR="00312F8A" w:rsidRPr="00275DE0" w:rsidRDefault="00312F8A" w:rsidP="00312F8A">
      <w:r w:rsidRPr="00275DE0">
        <w:t>This section demonstrates the difference (in present value terms) between our full transition and the immediate transition to the trailing average approach</w:t>
      </w:r>
      <w:r>
        <w:t xml:space="preserve"> that the majority of service providers have recently favoured</w:t>
      </w:r>
      <w:r w:rsidRPr="00275DE0">
        <w:t>.</w:t>
      </w:r>
      <w:r>
        <w:rPr>
          <w:rStyle w:val="FootnoteReference"/>
        </w:rPr>
        <w:footnoteReference w:id="1136"/>
      </w:r>
      <w:r w:rsidRPr="00275DE0">
        <w:t xml:space="preserve"> We use the following notation:</w:t>
      </w:r>
    </w:p>
    <w:p w:rsidR="00312F8A" w:rsidRPr="00D9597E" w:rsidRDefault="003F1AAB" w:rsidP="00312F8A">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312F8A" w:rsidRPr="00D9597E">
        <w:t xml:space="preserve"> denotes present value, at year t </w:t>
      </w:r>
    </w:p>
    <w:p w:rsidR="00312F8A" w:rsidRPr="00D9597E" w:rsidRDefault="00312F8A" w:rsidP="00312F8A">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D9597E">
        <w:t xml:space="preserve"> denotes expected value</w:t>
      </w:r>
    </w:p>
    <w:p w:rsidR="00312F8A" w:rsidRPr="00D9597E" w:rsidRDefault="003F1AAB" w:rsidP="00312F8A">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312F8A" w:rsidRPr="00D9597E">
        <w:t xml:space="preserve"> </w:t>
      </w:r>
      <w:proofErr w:type="gramStart"/>
      <w:r w:rsidR="00312F8A" w:rsidRPr="00D9597E">
        <w:t>is</w:t>
      </w:r>
      <w:proofErr w:type="gramEnd"/>
      <w:r w:rsidR="00312F8A" w:rsidRPr="00D9597E">
        <w:t xml:space="preserve"> the closing RAB at the end of year </w:t>
      </w:r>
      <m:oMath>
        <m:r>
          <w:rPr>
            <w:rFonts w:ascii="Cambria Math" w:hAnsi="Cambria Math"/>
          </w:rPr>
          <m:t>t</m:t>
        </m:r>
      </m:oMath>
      <w:r w:rsidR="00312F8A" w:rsidRPr="00D9597E">
        <w:t xml:space="preserve"> (which equals the opening RAB at the beginning of year </w:t>
      </w:r>
      <m:oMath>
        <m:r>
          <w:rPr>
            <w:rFonts w:ascii="Cambria Math" w:hAnsi="Cambria Math"/>
          </w:rPr>
          <m:t>t+1</m:t>
        </m:r>
      </m:oMath>
      <w:r w:rsidR="00312F8A" w:rsidRPr="00D9597E">
        <w:t>).</w:t>
      </w:r>
    </w:p>
    <w:p w:rsidR="00312F8A" w:rsidRDefault="00312F8A" w:rsidP="00312F8A">
      <w:pPr>
        <w:pStyle w:val="AERbulletlistfirststyle"/>
      </w:pPr>
      <w:r>
        <w:t>0.6 is the proportion of the RAB that is debt financed</w:t>
      </w:r>
    </w:p>
    <w:p w:rsidR="00312F8A" w:rsidRPr="00D9597E" w:rsidRDefault="003F1AAB" w:rsidP="00312F8A">
      <w:pPr>
        <w:pStyle w:val="AERbulletlistfirststyle"/>
      </w:pPr>
      <m:oMath>
        <m:sSub>
          <m:sSubPr>
            <m:ctrlPr>
              <w:rPr>
                <w:rFonts w:ascii="Cambria Math" w:hAnsi="Cambria Math"/>
              </w:rPr>
            </m:ctrlPr>
          </m:sSubPr>
          <m:e>
            <m:r>
              <w:rPr>
                <w:rFonts w:ascii="Cambria Math" w:hAnsi="Cambria Math"/>
              </w:rPr>
              <m:t>rd</m:t>
            </m:r>
          </m:e>
          <m:sub>
            <m:r>
              <w:rPr>
                <w:rFonts w:ascii="Cambria Math" w:hAnsi="Cambria Math"/>
              </w:rPr>
              <m:t xml:space="preserve">t </m:t>
            </m:r>
          </m:sub>
        </m:sSub>
      </m:oMath>
      <w:r w:rsidR="00312F8A" w:rsidRPr="00D9597E">
        <w:t xml:space="preserve"> </w:t>
      </w:r>
      <w:r w:rsidR="00312F8A">
        <w:t>are</w:t>
      </w:r>
      <w:r w:rsidR="00312F8A" w:rsidRPr="00D56F4E">
        <w:t xml:space="preserve"> </w:t>
      </w:r>
      <w:r w:rsidR="00312F8A">
        <w:t xml:space="preserve">the </w:t>
      </w:r>
      <w:r w:rsidR="00312F8A" w:rsidRPr="00D56F4E">
        <w:t>estimate</w:t>
      </w:r>
      <w:r w:rsidR="00312F8A">
        <w:t>s</w:t>
      </w:r>
      <w:r w:rsidR="00312F8A" w:rsidRPr="00D56F4E">
        <w:t xml:space="preserve"> of the </w:t>
      </w:r>
      <w:r w:rsidR="00312F8A">
        <w:t>return on</w:t>
      </w:r>
      <w:r w:rsidR="00312F8A" w:rsidRPr="00D56F4E">
        <w:t xml:space="preserve"> debt used to calculate the return on capital cash flow</w:t>
      </w:r>
      <w:r w:rsidR="00312F8A">
        <w:t>s</w:t>
      </w:r>
    </w:p>
    <w:p w:rsidR="00312F8A" w:rsidRPr="00D9597E" w:rsidRDefault="003F1AAB" w:rsidP="00312F8A">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t,j</m:t>
            </m:r>
          </m:sub>
        </m:sSub>
      </m:oMath>
      <w:r w:rsidR="00312F8A" w:rsidRPr="00D9597E">
        <w:t xml:space="preserve"> </w:t>
      </w:r>
      <w:proofErr w:type="gramStart"/>
      <w:r w:rsidR="00312F8A" w:rsidRPr="00D9597E">
        <w:t>is</w:t>
      </w:r>
      <w:proofErr w:type="gramEnd"/>
      <w:r w:rsidR="00312F8A" w:rsidRPr="00D9597E">
        <w:t xml:space="preserve"> the (spot) discount rate at year </w:t>
      </w:r>
      <m:oMath>
        <m:r>
          <w:rPr>
            <w:rFonts w:ascii="Cambria Math" w:hAnsi="Cambria Math"/>
          </w:rPr>
          <m:t>t</m:t>
        </m:r>
      </m:oMath>
      <w:r w:rsidR="00312F8A" w:rsidRPr="00D9597E">
        <w:t xml:space="preserve"> for a term of </w:t>
      </w:r>
      <m:oMath>
        <m:r>
          <w:rPr>
            <w:rFonts w:ascii="Cambria Math" w:hAnsi="Cambria Math"/>
          </w:rPr>
          <m:t>j</m:t>
        </m:r>
      </m:oMath>
      <w:r w:rsidR="00312F8A" w:rsidRPr="00D9597E">
        <w:t xml:space="preserve"> years.</w:t>
      </w:r>
    </w:p>
    <w:p w:rsidR="00312F8A" w:rsidRPr="00622F41" w:rsidRDefault="00312F8A" w:rsidP="00312F8A">
      <w:r w:rsidRPr="00622F41">
        <w:t xml:space="preserve">The present value of </w:t>
      </w:r>
      <w:r>
        <w:t>our</w:t>
      </w:r>
      <w:r w:rsidRPr="00622F41">
        <w:t xml:space="preserve"> proposed return on debt allowance </w:t>
      </w:r>
      <w:r>
        <w:t xml:space="preserve">over the next ten years </w:t>
      </w:r>
      <w:r w:rsidRPr="00622F41">
        <w:t>(under a full transition)</w:t>
      </w:r>
      <w:r>
        <w:t xml:space="preserve"> at time </w:t>
      </w:r>
      <m:oMath>
        <m:r>
          <w:rPr>
            <w:rFonts w:ascii="Cambria Math" w:hAnsi="Cambria Math"/>
          </w:rPr>
          <m:t>t=0</m:t>
        </m:r>
      </m:oMath>
      <w:r w:rsidRPr="00622F41">
        <w:t xml:space="preserve"> is as follows:</w:t>
      </w:r>
      <w:r>
        <w:rPr>
          <w:rStyle w:val="FootnoteReference"/>
        </w:rPr>
        <w:footnoteReference w:id="1137"/>
      </w:r>
    </w:p>
    <w:p w:rsidR="00312F8A" w:rsidRDefault="003F1AAB" w:rsidP="00312F8A">
      <m:oMath>
        <m:sSub>
          <m:sSubPr>
            <m:ctrlPr>
              <w:rPr>
                <w:rFonts w:ascii="Cambria Math" w:hAnsi="Cambria Math"/>
                <w:i/>
              </w:rPr>
            </m:ctrlPr>
          </m:sSubPr>
          <m:e>
            <m:r>
              <w:rPr>
                <w:rFonts w:ascii="Cambria Math" w:hAnsi="Cambria Math"/>
              </w:rPr>
              <m:t>PV[AER]</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×0.6×</m:t>
            </m:r>
            <m:sSub>
              <m:sSubPr>
                <m:ctrlPr>
                  <w:rPr>
                    <w:rFonts w:ascii="Cambria Math" w:hAnsi="Cambria Math"/>
                  </w:rPr>
                </m:ctrlPr>
              </m:sSubPr>
              <m:e>
                <m:r>
                  <w:rPr>
                    <w:rFonts w:ascii="Cambria Math" w:hAnsi="Cambria Math"/>
                  </w:rPr>
                  <m:t>K</m:t>
                </m:r>
              </m:e>
              <m:sub>
                <m:r>
                  <w:rPr>
                    <w:rFonts w:ascii="Cambria Math" w:hAnsi="Cambria Math"/>
                  </w:rPr>
                  <m:t>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312F8A" w:rsidRPr="00BB7CBA">
        <w:t xml:space="preserve"> </w:t>
      </w:r>
    </w:p>
    <w:p w:rsidR="00312F8A" w:rsidRDefault="00312F8A" w:rsidP="00312F8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×0.9</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]×0.1)×0.6×E[K</m:t>
                </m:r>
              </m:e>
              <m:sub>
                <m:r>
                  <w:rPr>
                    <w:rFonts w:ascii="Cambria Math" w:hAnsi="Cambria Math"/>
                  </w:rPr>
                  <m:t>1</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BB7CBA">
        <w:t xml:space="preserve"> </w:t>
      </w:r>
    </w:p>
    <w:p w:rsidR="00312F8A" w:rsidRPr="00622F41" w:rsidRDefault="00312F8A" w:rsidP="00312F8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×0.8</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]×0.1+E[</m:t>
                </m:r>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]×0.1)×0.6×E[K</m:t>
                </m:r>
              </m:e>
              <m:sub>
                <m:r>
                  <w:rPr>
                    <w:rFonts w:ascii="Cambria Math" w:hAnsi="Cambria Math"/>
                  </w:rPr>
                  <m:t>2</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BB7CBA">
        <w:t xml:space="preserve"> </w:t>
      </w:r>
      <w:r w:rsidRPr="00BB7CBA">
        <w:br/>
      </w:r>
      <m:oMathPara>
        <m:oMathParaPr>
          <m:jc m:val="left"/>
        </m:oMathParaPr>
        <m:oMath>
          <m:r>
            <w:rPr>
              <w:rFonts w:ascii="Cambria Math" w:hAnsi="Cambria Math"/>
            </w:rPr>
            <m:t>+…</m:t>
          </m:r>
          <m:r>
            <m:rPr>
              <m:sty m:val="p"/>
            </m:rPr>
            <w:rPr>
              <w:rFonts w:ascii="Cambria Math" w:hAnsi="Cambria Math"/>
            </w:rPr>
            <w:br/>
          </m:r>
        </m:oMath>
      </m:oMathPar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rsidRPr="00BB7CBA">
        <w:t xml:space="preserve"> </w:t>
      </w:r>
      <w:r w:rsidRPr="00BB7CBA">
        <w:br/>
      </w:r>
      <w:r w:rsidRPr="00622F41">
        <w:t xml:space="preserve">The present value of the return on debt allowance </w:t>
      </w:r>
      <w:r>
        <w:t xml:space="preserve">over the next ten years when immediately moving to the trailing averaging at time </w:t>
      </w:r>
      <m:oMath>
        <m:r>
          <w:rPr>
            <w:rFonts w:ascii="Cambria Math" w:hAnsi="Cambria Math"/>
          </w:rPr>
          <m:t>t=0</m:t>
        </m:r>
      </m:oMath>
      <w:r w:rsidRPr="00622F41">
        <w:t xml:space="preserve">  is as follows:</w:t>
      </w:r>
    </w:p>
    <w:p w:rsidR="00312F8A" w:rsidRDefault="003F1AAB" w:rsidP="00312F8A">
      <m:oMath>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312F8A" w:rsidRPr="00BB7CBA">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E[</m:t>
                </m:r>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BB7CBA">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]+E[rd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t xml:space="preserve"> </w:t>
      </w:r>
    </w:p>
    <w:p w:rsidR="00312F8A" w:rsidRPr="00622F41" w:rsidRDefault="00312F8A" w:rsidP="00312F8A">
      <m:oMath>
        <m:r>
          <w:rPr>
            <w:rFonts w:ascii="Cambria Math" w:hAnsi="Cambria Math"/>
          </w:rPr>
          <m:t>+</m:t>
        </m:r>
        <m:r>
          <m:rPr>
            <m:sty m:val="p"/>
          </m:rPr>
          <w:rPr>
            <w:rFonts w:ascii="Cambria Math" w:hAnsi="Cambria Math"/>
          </w:rPr>
          <m:t>…</m:t>
        </m:r>
      </m:oMath>
      <w:r>
        <w:t xml:space="preserve"> </w:t>
      </w:r>
      <w:r w:rsidRPr="00622F41">
        <w:br/>
      </w:r>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+E[</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t xml:space="preserve"> </w:t>
      </w:r>
    </w:p>
    <w:p w:rsidR="00312F8A" w:rsidRDefault="00312F8A" w:rsidP="00312F8A">
      <w:r w:rsidRPr="00622F41">
        <w:t xml:space="preserve">Subtracting the present value of </w:t>
      </w:r>
      <w:r>
        <w:t>our</w:t>
      </w:r>
      <w:r w:rsidRPr="00622F41">
        <w:t xml:space="preserve"> return on debt allowance </w:t>
      </w:r>
      <w:r>
        <w:t xml:space="preserve">over the next ten years </w:t>
      </w:r>
      <w:r w:rsidRPr="00622F41">
        <w:t xml:space="preserve">from the present value of the return on debt allowance </w:t>
      </w:r>
      <w:r>
        <w:t xml:space="preserve">over the next ten years when immediately moving to a trailing average </w:t>
      </w:r>
      <w:r w:rsidRPr="00622F41">
        <w:t>gives the following difference in present value terms:</w:t>
      </w:r>
    </w:p>
    <w:p w:rsidR="00312F8A" w:rsidRPr="00622F41" w:rsidRDefault="003F1AAB" w:rsidP="00312F8A">
      <m:oMath>
        <m:sSub>
          <m:sSubPr>
            <m:ctrlPr>
              <w:rPr>
                <w:rFonts w:ascii="Cambria Math" w:hAnsi="Cambria Math"/>
              </w:rPr>
            </m:ctrlPr>
          </m:sSubPr>
          <m:e>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-PV[AER]</m:t>
            </m:r>
          </m:e>
          <m:sub>
            <m:r>
              <w:rPr>
                <w:rFonts w:ascii="Cambria Math" w:hAnsi="Cambria Math"/>
              </w:rPr>
              <m:t>0</m:t>
            </m:r>
          </m:sub>
        </m:sSub>
      </m:oMath>
      <w:r w:rsidR="00312F8A">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m:t>
                            </m:r>
                            <m:sSub>
                              <m:sSubPr>
                                <m:ctrlPr>
                                  <w:rPr>
                                    <w:rFonts w:ascii="Cambria Math" w:hAnsi="Cambria Math"/>
                                  </w:rPr>
                                </m:ctrlPr>
                              </m:sSubPr>
                              <m:e>
                                <m:r>
                                  <w:rPr>
                                    <w:rFonts w:ascii="Cambria Math" w:hAnsi="Cambria Math"/>
                                  </w:rPr>
                                  <m:t>0.9×rd</m:t>
                                </m:r>
                              </m:e>
                              <m:sub>
                                <m:r>
                                  <w:rPr>
                                    <w:rFonts w:ascii="Cambria Math" w:hAnsi="Cambria Math"/>
                                  </w:rPr>
                                  <m:t>0</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0, 1</m:t>
                        </m:r>
                      </m:sub>
                    </m:sSub>
                  </m:e>
                </m:d>
              </m:e>
              <m:sup>
                <m:r>
                  <w:rPr>
                    <w:rFonts w:ascii="Cambria Math" w:hAnsi="Cambria Math"/>
                  </w:rPr>
                  <m:t>1</m:t>
                </m:r>
              </m:sup>
            </m:sSup>
          </m:den>
        </m:f>
      </m:oMath>
      <w:r w:rsidRPr="00BB7CBA">
        <w:t xml:space="preserve"> </w:t>
      </w:r>
    </w:p>
    <w:p w:rsidR="00312F8A" w:rsidRPr="00622F41"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0.8×rd</m:t>
                                </m:r>
                              </m:e>
                              <m:sub>
                                <m:r>
                                  <w:rPr>
                                    <w:rFonts w:ascii="Cambria Math" w:hAnsi="Cambria Math"/>
                                  </w:rPr>
                                  <m:t>0</m:t>
                                </m:r>
                              </m:sub>
                            </m:sSub>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0.7×rd</m:t>
                                </m:r>
                              </m:e>
                              <m:sub>
                                <m:r>
                                  <w:rPr>
                                    <w:rFonts w:ascii="Cambria Math" w:hAnsi="Cambria Math"/>
                                  </w:rPr>
                                  <m:t>0</m:t>
                                </m:r>
                              </m:sub>
                            </m:sSub>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BB7CBA">
        <w:t xml:space="preserve"> </w:t>
      </w:r>
      <w:r w:rsidRPr="00BB7CBA">
        <w:br/>
      </w:r>
      <m:oMathPara>
        <m:oMath>
          <m:r>
            <m:rPr>
              <m:sty m:val="p"/>
            </m:rPr>
            <w:rPr>
              <w:rFonts w:ascii="Cambria Math" w:hAnsi="Cambria Math"/>
            </w:rPr>
            <w:br/>
          </m:r>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0.6×rd</m:t>
                                  </m:r>
                                </m:e>
                                <m:sub>
                                  <m:r>
                                    <w:rPr>
                                      <w:rFonts w:ascii="Cambria Math" w:hAnsi="Cambria Math"/>
                                    </w:rPr>
                                    <m:t>0</m:t>
                                  </m:r>
                                </m:sub>
                              </m:sSub>
                              <m:r>
                                <w:rPr>
                                  <w:rFonts w:ascii="Cambria Math" w:hAnsi="Cambria Math"/>
                                </w:rPr>
                                <m:t>)×0.6×E[K</m:t>
                              </m:r>
                            </m:e>
                            <m:sub>
                              <m:r>
                                <w:rPr>
                                  <w:rFonts w:ascii="Cambria Math" w:hAnsi="Cambria Math"/>
                                </w:rPr>
                                <m:t>3</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0,4</m:t>
                          </m:r>
                        </m:sub>
                      </m:sSub>
                    </m:e>
                  </m:d>
                </m:e>
                <m:sup>
                  <m:r>
                    <w:rPr>
                      <w:rFonts w:ascii="Cambria Math" w:hAnsi="Cambria Math"/>
                    </w:rPr>
                    <m:t>4</m:t>
                  </m:r>
                </m:sup>
              </m:sSup>
            </m:den>
          </m:f>
        </m:oMath>
      </m:oMathPara>
      <w:r w:rsidRPr="00BB7CBA">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)-0.5×rd</m:t>
                        </m:r>
                      </m:e>
                      <m:sub>
                        <m:r>
                          <w:rPr>
                            <w:rFonts w:ascii="Cambria Math" w:hAnsi="Cambria Math"/>
                          </w:rPr>
                          <m:t>0</m:t>
                        </m:r>
                      </m:sub>
                    </m:sSub>
                  </m:e>
                </m:d>
                <m:r>
                  <w:rPr>
                    <w:rFonts w:ascii="Cambria Math" w:hAnsi="Cambria Math"/>
                  </w:rPr>
                  <m:t>×0.6×E[K</m:t>
                </m:r>
              </m:e>
              <m:sub>
                <m:r>
                  <w:rPr>
                    <w:rFonts w:ascii="Cambria Math" w:hAnsi="Cambria Math"/>
                  </w:rPr>
                  <m:t>4</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0,5</m:t>
                        </m:r>
                      </m:sub>
                    </m:sSub>
                  </m:e>
                </m:d>
              </m:e>
              <m:sup>
                <m:r>
                  <w:rPr>
                    <w:rFonts w:ascii="Cambria Math" w:hAnsi="Cambria Math"/>
                  </w:rPr>
                  <m:t>5</m:t>
                </m:r>
              </m:sup>
            </m:sSup>
          </m:den>
        </m:f>
      </m:oMath>
      <w:r w:rsidRPr="00BB7CBA">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)-0.4×rd</m:t>
                        </m:r>
                      </m:e>
                      <m:sub>
                        <m:r>
                          <w:rPr>
                            <w:rFonts w:ascii="Cambria Math" w:hAnsi="Cambria Math"/>
                          </w:rPr>
                          <m:t>0</m:t>
                        </m:r>
                      </m:sub>
                    </m:sSub>
                  </m:e>
                </m:d>
                <m:r>
                  <w:rPr>
                    <w:rFonts w:ascii="Cambria Math" w:hAnsi="Cambria Math"/>
                  </w:rPr>
                  <m:t>×0.6×E[K</m:t>
                </m:r>
              </m:e>
              <m:sub>
                <m:r>
                  <w:rPr>
                    <w:rFonts w:ascii="Cambria Math" w:hAnsi="Cambria Math"/>
                  </w:rPr>
                  <m:t>5</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0,6</m:t>
                        </m:r>
                      </m:sub>
                    </m:sSub>
                  </m:e>
                </m:d>
              </m:e>
              <m:sup>
                <m:r>
                  <w:rPr>
                    <w:rFonts w:ascii="Cambria Math" w:hAnsi="Cambria Math"/>
                  </w:rPr>
                  <m:t>6</m:t>
                </m:r>
              </m:sup>
            </m:sSup>
          </m:den>
        </m:f>
      </m:oMath>
      <w:r w:rsidRPr="00BB7CBA">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)-0.3×rd</m:t>
                        </m:r>
                      </m:e>
                      <m:sub>
                        <m:r>
                          <w:rPr>
                            <w:rFonts w:ascii="Cambria Math" w:hAnsi="Cambria Math"/>
                          </w:rPr>
                          <m:t>0</m:t>
                        </m:r>
                      </m:sub>
                    </m:sSub>
                  </m:e>
                </m:d>
                <m:r>
                  <w:rPr>
                    <w:rFonts w:ascii="Cambria Math" w:hAnsi="Cambria Math"/>
                  </w:rPr>
                  <m:t>×0.6×E[K</m:t>
                </m:r>
              </m:e>
              <m:sub>
                <m:r>
                  <w:rPr>
                    <w:rFonts w:ascii="Cambria Math" w:hAnsi="Cambria Math"/>
                  </w:rPr>
                  <m:t>6</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0,7</m:t>
                        </m:r>
                      </m:sub>
                    </m:sSub>
                  </m:e>
                </m:d>
              </m:e>
              <m:sup>
                <m:r>
                  <w:rPr>
                    <w:rFonts w:ascii="Cambria Math" w:hAnsi="Cambria Math"/>
                  </w:rPr>
                  <m:t>7</m:t>
                </m:r>
              </m:sup>
            </m:sSup>
          </m:den>
        </m:f>
      </m:oMath>
      <w:r w:rsidRPr="00BB7CBA">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)-0.2×rd</m:t>
                        </m:r>
                      </m:e>
                      <m:sub>
                        <m:r>
                          <w:rPr>
                            <w:rFonts w:ascii="Cambria Math" w:hAnsi="Cambria Math"/>
                          </w:rPr>
                          <m:t>0</m:t>
                        </m:r>
                      </m:sub>
                    </m:sSub>
                  </m:e>
                </m:d>
                <m:r>
                  <w:rPr>
                    <w:rFonts w:ascii="Cambria Math" w:hAnsi="Cambria Math"/>
                  </w:rPr>
                  <m:t>×0.6×E[K</m:t>
                </m:r>
              </m:e>
              <m:sub>
                <m:r>
                  <w:rPr>
                    <w:rFonts w:ascii="Cambria Math" w:hAnsi="Cambria Math"/>
                  </w:rPr>
                  <m:t>7</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0,8</m:t>
                        </m:r>
                      </m:sub>
                    </m:sSub>
                  </m:e>
                </m:d>
              </m:e>
              <m:sup>
                <m:r>
                  <w:rPr>
                    <w:rFonts w:ascii="Cambria Math" w:hAnsi="Cambria Math"/>
                  </w:rPr>
                  <m:t>8</m:t>
                </m:r>
              </m:sup>
            </m:sSup>
          </m:den>
        </m:f>
      </m:oMath>
      <w:r>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sSub>
                      <m:sSubPr>
                        <m:ctrlPr>
                          <w:rPr>
                            <w:rFonts w:ascii="Cambria Math" w:hAnsi="Cambria Math"/>
                          </w:rPr>
                        </m:ctrlPr>
                      </m:sSubPr>
                      <m:e>
                        <m:r>
                          <w:rPr>
                            <w:rFonts w:ascii="Cambria Math" w:hAnsi="Cambria Math"/>
                          </w:rPr>
                          <m:t>)-0.1×rd</m:t>
                        </m:r>
                      </m:e>
                      <m:sub>
                        <m:r>
                          <w:rPr>
                            <w:rFonts w:ascii="Cambria Math" w:hAnsi="Cambria Math"/>
                          </w:rPr>
                          <m:t>0</m:t>
                        </m:r>
                      </m:sub>
                    </m:sSub>
                  </m:e>
                </m:d>
                <m:r>
                  <w:rPr>
                    <w:rFonts w:ascii="Cambria Math" w:hAnsi="Cambria Math"/>
                  </w:rPr>
                  <m:t>×0.6×E[K</m:t>
                </m:r>
              </m:e>
              <m:sub>
                <m:r>
                  <w:rPr>
                    <w:rFonts w:ascii="Cambria Math" w:hAnsi="Cambria Math"/>
                  </w:rPr>
                  <m:t>8</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e>
                </m:d>
              </m:e>
              <m:sup>
                <m:r>
                  <w:rPr>
                    <w:rFonts w:ascii="Cambria Math" w:hAnsi="Cambria Math"/>
                  </w:rPr>
                  <m:t>9</m:t>
                </m:r>
              </m:sup>
            </m:sSup>
          </m:den>
        </m:f>
      </m:oMath>
      <w:r w:rsidRPr="00BB7CBA">
        <w:t xml:space="preserve"> </w:t>
      </w:r>
    </w:p>
    <w:p w:rsidR="00312F8A" w:rsidRDefault="00312F8A" w:rsidP="00312F8A">
      <m:oMath>
        <m:r>
          <w:rPr>
            <w:rFonts w:ascii="Cambria Math" w:hAnsi="Cambria Math"/>
          </w:rPr>
          <m:t>+0</m:t>
        </m:r>
      </m:oMath>
      <w:r>
        <w:t xml:space="preserve"> </w:t>
      </w:r>
    </w:p>
    <w:p w:rsidR="00312F8A" w:rsidRPr="00374BCA" w:rsidRDefault="00312F8A" w:rsidP="00312F8A">
      <w:r>
        <w:t>We can conclude s</w:t>
      </w:r>
      <w:r w:rsidRPr="00374BCA">
        <w:t>everal things from the</w:t>
      </w:r>
      <w:r>
        <w:t xml:space="preserve"> above</w:t>
      </w:r>
      <w:r w:rsidRPr="00374BCA">
        <w:t xml:space="preserve"> calculation in relation to the expected </w:t>
      </w:r>
      <w:r>
        <w:t>return on debt</w:t>
      </w:r>
      <w:r w:rsidRPr="00374BCA">
        <w:t xml:space="preserve"> allowance:</w:t>
      </w:r>
    </w:p>
    <w:p w:rsidR="00312F8A" w:rsidRPr="00D9597E" w:rsidRDefault="00312F8A" w:rsidP="00312F8A">
      <w:pPr>
        <w:pStyle w:val="AERbulletlistfirststyle"/>
      </w:pPr>
      <w:r w:rsidRPr="00374BCA">
        <w:t>Assuming you use the same data series, term and</w:t>
      </w:r>
      <w:r w:rsidRPr="00D9597E">
        <w:t xml:space="preserve"> credit rating, the difference between </w:t>
      </w:r>
      <w:r>
        <w:t>the</w:t>
      </w:r>
      <w:r w:rsidRPr="00D9597E">
        <w:t xml:space="preserve"> return on debt allowance</w:t>
      </w:r>
      <w:r>
        <w:t xml:space="preserve"> under a full transition and </w:t>
      </w:r>
      <w:r w:rsidRPr="00D9597E">
        <w:t>return on debt allowance</w:t>
      </w:r>
      <w:r>
        <w:t xml:space="preserve"> under no transition </w:t>
      </w:r>
      <w:r w:rsidRPr="00D9597E">
        <w:t>is a fixed amount in each of the first nine years.</w:t>
      </w:r>
      <w:r w:rsidRPr="00D9597E">
        <w:rPr>
          <w:rStyle w:val="FootnoteReference"/>
        </w:rPr>
        <w:footnoteReference w:id="1138"/>
      </w:r>
      <w:r>
        <w:t xml:space="preserve"> There is no difference between these respective allowances from year 10 onwards.</w:t>
      </w:r>
    </w:p>
    <w:p w:rsidR="00312F8A" w:rsidRPr="00D9597E" w:rsidRDefault="00312F8A" w:rsidP="00312F8A">
      <w:pPr>
        <w:pStyle w:val="AERbulletlistfirststyle"/>
      </w:pPr>
      <w:r w:rsidRPr="00374BCA">
        <w:t xml:space="preserve">The present value of the difference in </w:t>
      </w:r>
      <w:r>
        <w:t>the</w:t>
      </w:r>
      <w:r w:rsidRPr="00D9597E">
        <w:t xml:space="preserve"> debt</w:t>
      </w:r>
      <w:r>
        <w:t xml:space="preserve"> allowance under these transitional approaches </w:t>
      </w:r>
      <w:r w:rsidRPr="00D9597E">
        <w:t>can be calculated today.</w:t>
      </w:r>
      <w:r w:rsidRPr="00D9597E">
        <w:rPr>
          <w:rStyle w:val="FootnoteReference"/>
        </w:rPr>
        <w:footnoteReference w:id="1139"/>
      </w:r>
      <w:r w:rsidRPr="00D9597E">
        <w:t xml:space="preserve"> This total present value is a sum of the difference in values for each of the next nine years (as shown above).</w:t>
      </w:r>
    </w:p>
    <w:p w:rsidR="00312F8A" w:rsidRPr="00D9597E" w:rsidRDefault="00312F8A" w:rsidP="00312F8A">
      <w:pPr>
        <w:pStyle w:val="AERbulletlistfirststyle"/>
      </w:pPr>
      <w:r w:rsidRPr="00374BCA">
        <w:t xml:space="preserve">Given that current interest rates are well below average historical rates over the last </w:t>
      </w:r>
      <w:r w:rsidRPr="00D9597E">
        <w:t xml:space="preserve">nine years, </w:t>
      </w:r>
      <w:r>
        <w:t xml:space="preserve">the allowance when immediately moving to a trailing average </w:t>
      </w:r>
      <w:r w:rsidRPr="00D9597E">
        <w:t>will have a materially higher present value than our proposed return on debt allowance (over both the upcoming regulatory period and the next nine years). For the reasons discussed earlier, this is inconsistent with the zero NPV investment condition and will not meet the ARORO or NEO/NGO. It is worth noting that current interest rates could have similarly moved above historical rates and this would have required a transition to avoid undercompensating a benchmark efficient entity.</w:t>
      </w:r>
    </w:p>
    <w:p w:rsidR="00312F8A" w:rsidRPr="00374BCA" w:rsidRDefault="00312F8A" w:rsidP="00312F8A">
      <w:r w:rsidRPr="00374BCA">
        <w:t xml:space="preserve">The above propositions also hold </w:t>
      </w:r>
      <w:r>
        <w:t>when comparing our transitional approach with a hybrid transitional approach. That is,</w:t>
      </w:r>
      <w:r w:rsidRPr="00374BCA">
        <w:t xml:space="preserve"> the difference </w:t>
      </w:r>
      <w:r>
        <w:t xml:space="preserve">between these </w:t>
      </w:r>
      <w:proofErr w:type="gramStart"/>
      <w:r>
        <w:t xml:space="preserve">allowances </w:t>
      </w:r>
      <w:r w:rsidRPr="00374BCA">
        <w:t xml:space="preserve"> each</w:t>
      </w:r>
      <w:proofErr w:type="gramEnd"/>
      <w:r w:rsidRPr="00374BCA">
        <w:t xml:space="preserve"> year will be a fixed amount that can be quantified and valued</w:t>
      </w:r>
      <w:r>
        <w:t xml:space="preserve">. However, the magnitude of this difference </w:t>
      </w:r>
      <w:r w:rsidRPr="00374BCA">
        <w:t>will differ depending on the approach proposed.</w:t>
      </w:r>
    </w:p>
    <w:p w:rsidR="00312F8A" w:rsidRDefault="00312F8A" w:rsidP="00312F8A">
      <w:r>
        <w:t>I</w:t>
      </w:r>
      <w:r w:rsidRPr="00374BCA">
        <w:t xml:space="preserve">n relation to the </w:t>
      </w:r>
      <w:r>
        <w:t>risk associated with</w:t>
      </w:r>
      <w:r w:rsidRPr="00374BCA">
        <w:t xml:space="preserve"> </w:t>
      </w:r>
      <w:r>
        <w:t>different transitional approaches</w:t>
      </w:r>
      <w:r w:rsidRPr="00374BCA">
        <w:t xml:space="preserve">, </w:t>
      </w:r>
      <w:r>
        <w:t>the key interest rate risk associated with the allowed return on debt cash flow streams in each future year appears to come from rolling future interest rates into the trailing average. As all transitional approach</w:t>
      </w:r>
      <w:r w:rsidR="00860C28">
        <w:t>es</w:t>
      </w:r>
      <w:r>
        <w:t xml:space="preserve"> still result in rolling the same future interest rates in at a rate of 1/10 per year, the risk associated with the uncertainty from these rates should be the same across transition approaches. This implies that any mismatch risk associated with future interest rate uncertainty might be expected to be the same or similar under all transition approaches.</w:t>
      </w:r>
      <w:r>
        <w:rPr>
          <w:rStyle w:val="FootnoteReference"/>
        </w:rPr>
        <w:footnoteReference w:id="1140"/>
      </w:r>
      <w:r>
        <w:t xml:space="preserve"> </w:t>
      </w:r>
    </w:p>
    <w:p w:rsidR="00312F8A" w:rsidRDefault="00312F8A" w:rsidP="00312F8A">
      <w:r>
        <w:t xml:space="preserve">This above analysis implies the key difference between our transitional approach and the other transitional approaches that service providers have recently proposed appears to be fixed changes in the present value of a benchmark efficient entity from the change in methodology. This change in value would represent a transfer between a benchmark efficient entity's shareholders and consumers, which would vary in quantum depending on the particular transition proposed. Partington and Satchell support this </w:t>
      </w:r>
      <w:proofErr w:type="gramStart"/>
      <w:r>
        <w:t>view</w:t>
      </w:r>
      <w:proofErr w:type="gramEnd"/>
      <w:r>
        <w:t>, stating:</w:t>
      </w:r>
      <w:r>
        <w:rPr>
          <w:rStyle w:val="FootnoteReference"/>
        </w:rPr>
        <w:footnoteReference w:id="1141"/>
      </w:r>
    </w:p>
    <w:p w:rsidR="00312F8A" w:rsidRDefault="00312F8A" w:rsidP="00312F8A">
      <w:pPr>
        <w:pStyle w:val="AERquote"/>
      </w:pPr>
      <w:r w:rsidRPr="004951FD">
        <w:t xml:space="preserve">It is also clear that the change to a trailing average if fully implemented immediately has substantial wealth effects. </w:t>
      </w:r>
      <w:proofErr w:type="gramStart"/>
      <w:r w:rsidRPr="004951FD">
        <w:t>Substantial wealth transfers, whether to or from the regulated businesses, simply as a consequence of a relatively sudden regulatory change is undesirable.</w:t>
      </w:r>
      <w:proofErr w:type="gramEnd"/>
    </w:p>
    <w:p w:rsidR="00312F8A" w:rsidRPr="00312F8A" w:rsidRDefault="00312F8A" w:rsidP="00312F8A">
      <w:pPr>
        <w:pStyle w:val="AERbulletlistfirststyle"/>
      </w:pPr>
      <w:bookmarkStart w:id="372" w:name="_Toc452629108"/>
      <w:bookmarkStart w:id="373" w:name="_Toc452629144"/>
      <w:bookmarkStart w:id="374" w:name="_Toc452629146"/>
      <w:bookmarkStart w:id="375" w:name="_Toc452629147"/>
      <w:bookmarkStart w:id="376" w:name="_Toc452629149"/>
      <w:bookmarkStart w:id="377" w:name="_Toc452629150"/>
      <w:bookmarkStart w:id="378" w:name="_Toc452629154"/>
      <w:bookmarkStart w:id="379" w:name="_Toc452629155"/>
      <w:bookmarkEnd w:id="372"/>
      <w:bookmarkEnd w:id="373"/>
      <w:bookmarkEnd w:id="374"/>
      <w:bookmarkEnd w:id="375"/>
      <w:bookmarkEnd w:id="376"/>
      <w:bookmarkEnd w:id="377"/>
      <w:bookmarkEnd w:id="378"/>
      <w:bookmarkEnd w:id="379"/>
    </w:p>
    <w:p w:rsidR="00972CF8" w:rsidRDefault="00972CF8" w:rsidP="00312F8A">
      <w:pPr>
        <w:pStyle w:val="Heading7"/>
      </w:pPr>
      <w:bookmarkStart w:id="380" w:name="_Toc456686770"/>
      <w:r>
        <w:t>Return on debt implementation</w:t>
      </w:r>
      <w:bookmarkEnd w:id="117"/>
      <w:bookmarkEnd w:id="118"/>
      <w:bookmarkEnd w:id="119"/>
      <w:bookmarkEnd w:id="380"/>
    </w:p>
    <w:p w:rsidR="00E6234D" w:rsidRDefault="00E6234D" w:rsidP="00E6234D">
      <w:r>
        <w:t>This section sets out our detailed analysis of the key issues relating to the implementation of the return on debt approach. The analysis is set out in the following sections:</w:t>
      </w:r>
    </w:p>
    <w:p w:rsidR="00E6234D" w:rsidRDefault="00E6234D" w:rsidP="00E6234D">
      <w:pPr>
        <w:pStyle w:val="AERbulletlistfirststyle"/>
      </w:pPr>
      <w:r>
        <w:t>the Thomson Reuters curve</w:t>
      </w:r>
    </w:p>
    <w:p w:rsidR="00E6234D" w:rsidRDefault="00E6234D" w:rsidP="00E6234D">
      <w:pPr>
        <w:pStyle w:val="AERbulletlistfirststyle"/>
      </w:pPr>
      <w:r>
        <w:t>new criticisms of the BVAL curve</w:t>
      </w:r>
    </w:p>
    <w:p w:rsidR="00E6234D" w:rsidRDefault="00E6234D" w:rsidP="00E6234D">
      <w:pPr>
        <w:pStyle w:val="AERbulletlistsecondstyle"/>
      </w:pPr>
      <w:r>
        <w:t>comparative movement of yield estimates</w:t>
      </w:r>
    </w:p>
    <w:p w:rsidR="00E6234D" w:rsidRDefault="00E6234D" w:rsidP="00E6234D">
      <w:pPr>
        <w:pStyle w:val="AERbulletlistsecondstyle"/>
      </w:pPr>
      <w:r>
        <w:t>the Asciano bond</w:t>
      </w:r>
    </w:p>
    <w:p w:rsidR="00E6234D" w:rsidRDefault="00E6234D" w:rsidP="00E6234D">
      <w:pPr>
        <w:pStyle w:val="AERbulletlistsecondstyle"/>
      </w:pPr>
      <w:r>
        <w:t>CEG's analysis of sample size</w:t>
      </w:r>
    </w:p>
    <w:p w:rsidR="00E6234D" w:rsidRPr="00A47C51" w:rsidRDefault="00E6234D" w:rsidP="00E6234D">
      <w:pPr>
        <w:pStyle w:val="AERbulletlistsecondstyle"/>
      </w:pPr>
      <w:r>
        <w:t>CEG's analysis of foreign bonds</w:t>
      </w:r>
    </w:p>
    <w:p w:rsidR="00E6234D" w:rsidRDefault="00E6234D" w:rsidP="00E6234D">
      <w:pPr>
        <w:pStyle w:val="AERbulletlistfirststyle"/>
      </w:pPr>
      <w:r>
        <w:t>other issues</w:t>
      </w:r>
    </w:p>
    <w:p w:rsidR="00E6234D" w:rsidRDefault="00E6234D" w:rsidP="00E6234D">
      <w:pPr>
        <w:pStyle w:val="AERbulletlistsecondstyle"/>
      </w:pPr>
      <w:r>
        <w:t>CEG's new criteria and weightings</w:t>
      </w:r>
    </w:p>
    <w:p w:rsidR="00E6234D" w:rsidRDefault="00E6234D" w:rsidP="00E6234D">
      <w:pPr>
        <w:pStyle w:val="AERbulletlistsecondstyle"/>
      </w:pPr>
      <w:proofErr w:type="gramStart"/>
      <w:r>
        <w:t>analysis</w:t>
      </w:r>
      <w:proofErr w:type="gramEnd"/>
      <w:r>
        <w:t xml:space="preserve"> of mean squared error (MSE).</w:t>
      </w:r>
    </w:p>
    <w:p w:rsidR="00E6234D" w:rsidRDefault="00E6234D" w:rsidP="00E6234D">
      <w:pPr>
        <w:pStyle w:val="AERbulletlistfirststyle"/>
      </w:pPr>
      <w:r>
        <w:t>the benchmark credit rating</w:t>
      </w:r>
    </w:p>
    <w:p w:rsidR="00E6234D" w:rsidRDefault="00E6234D" w:rsidP="00E6234D">
      <w:pPr>
        <w:pStyle w:val="AERbulletlistfirststyle"/>
      </w:pPr>
      <w:proofErr w:type="gramStart"/>
      <w:r>
        <w:t>averaging</w:t>
      </w:r>
      <w:proofErr w:type="gramEnd"/>
      <w:r>
        <w:t xml:space="preserve"> periods</w:t>
      </w:r>
      <w:r w:rsidR="00DA33BB">
        <w:t>.</w:t>
      </w:r>
    </w:p>
    <w:p w:rsidR="00E6234D" w:rsidRPr="00E6234D" w:rsidRDefault="00E6234D" w:rsidP="003957BF">
      <w:pPr>
        <w:pStyle w:val="Heading8"/>
        <w:numPr>
          <w:ilvl w:val="1"/>
          <w:numId w:val="64"/>
        </w:numPr>
      </w:pPr>
      <w:bookmarkStart w:id="381" w:name="_Toc449624775"/>
      <w:bookmarkStart w:id="382" w:name="_Toc452629157"/>
      <w:bookmarkStart w:id="383" w:name="_Toc456686771"/>
      <w:r w:rsidRPr="00D729CA">
        <w:t>The Thomson Reuters curve</w:t>
      </w:r>
      <w:bookmarkEnd w:id="381"/>
      <w:bookmarkEnd w:id="382"/>
      <w:bookmarkEnd w:id="383"/>
    </w:p>
    <w:p w:rsidR="00E6234D" w:rsidRPr="00D729CA" w:rsidRDefault="00E6234D" w:rsidP="00E6234D">
      <w:r w:rsidRPr="00D729CA">
        <w:t>Our</w:t>
      </w:r>
      <w:r>
        <w:t xml:space="preserve"> draft </w:t>
      </w:r>
      <w:r w:rsidRPr="00D729CA">
        <w:t xml:space="preserve">decision is not to adopt the Thomson Reuters </w:t>
      </w:r>
      <w:r>
        <w:t>c</w:t>
      </w:r>
      <w:r w:rsidRPr="00D729CA">
        <w:t>urve</w:t>
      </w:r>
      <w:r>
        <w:t xml:space="preserve">. While AusNet Services has not proposed we adopt the Thomson Reuters curve, other service providers have recently proposed this as a source of data for estimating the allowed return on debt.  Also, </w:t>
      </w:r>
      <w:r w:rsidRPr="00E4279B">
        <w:t xml:space="preserve">we </w:t>
      </w:r>
      <w:r>
        <w:t xml:space="preserve">have also specified that we are </w:t>
      </w:r>
      <w:r w:rsidRPr="00E4279B">
        <w:t>open to further consideration of the Thomson Reuters curve in future determinations following a proper period of consultation.</w:t>
      </w:r>
      <w:r>
        <w:rPr>
          <w:rStyle w:val="FootnoteReference"/>
        </w:rPr>
        <w:footnoteReference w:id="1142"/>
      </w:r>
      <w:r>
        <w:t xml:space="preserve"> As such, for completeness, in this section we set out why we do not use the Thomson Reuters curve to calculate the allowed return on debt in this draft decision.</w:t>
      </w:r>
    </w:p>
    <w:p w:rsidR="00E6234D" w:rsidRPr="00D729CA" w:rsidRDefault="00E6234D" w:rsidP="00E6234D">
      <w:pPr>
        <w:pStyle w:val="Heading9"/>
      </w:pPr>
      <w:bookmarkStart w:id="384" w:name="_Toc449624777"/>
      <w:bookmarkStart w:id="385" w:name="_Toc452629159"/>
      <w:bookmarkStart w:id="386" w:name="_Ref453598488"/>
      <w:bookmarkStart w:id="387" w:name="_Toc456686772"/>
      <w:r w:rsidRPr="00D729CA">
        <w:t>Limited assessment of the Thomson Reuters curve</w:t>
      </w:r>
      <w:bookmarkEnd w:id="384"/>
      <w:bookmarkEnd w:id="385"/>
      <w:bookmarkEnd w:id="386"/>
      <w:bookmarkEnd w:id="387"/>
    </w:p>
    <w:p w:rsidR="00E6234D" w:rsidRPr="00D729CA" w:rsidRDefault="00E6234D" w:rsidP="00E6234D">
      <w:r w:rsidRPr="00D729CA">
        <w:t xml:space="preserve">We have not reached a definitive view on whether use of the Thomson Reuters curve would contribute to an estimate that achieves the </w:t>
      </w:r>
      <w:r>
        <w:t>ARORO</w:t>
      </w:r>
      <w:r w:rsidRPr="00D729CA">
        <w:t>. However, based on our analysis, we consider the impact of including or excluding the Thomson Reuters curve appears to be of limited materiality except over a historical period of two months. Our analysis is set out in the following sections:</w:t>
      </w:r>
    </w:p>
    <w:p w:rsidR="00E6234D" w:rsidRPr="00D729CA" w:rsidRDefault="00E6234D" w:rsidP="00E6234D">
      <w:pPr>
        <w:pStyle w:val="AERbulletlistfirststyle"/>
      </w:pPr>
      <w:r w:rsidRPr="00D729CA">
        <w:t>comparison of yield curve characteristics</w:t>
      </w:r>
    </w:p>
    <w:p w:rsidR="00E6234D" w:rsidRPr="00D729CA" w:rsidRDefault="00E6234D" w:rsidP="00E6234D">
      <w:pPr>
        <w:pStyle w:val="AERbulletlistfirststyle"/>
      </w:pPr>
      <w:r w:rsidRPr="00D729CA">
        <w:t>comparison of outcomes</w:t>
      </w:r>
    </w:p>
    <w:p w:rsidR="00E6234D" w:rsidRPr="00D729CA" w:rsidRDefault="00E6234D" w:rsidP="00E6234D">
      <w:pPr>
        <w:pStyle w:val="HeadingBoldBlue"/>
      </w:pPr>
      <w:r w:rsidRPr="00D729CA">
        <w:t>Comparison of yield curve characteristics</w:t>
      </w:r>
    </w:p>
    <w:p w:rsidR="00E6234D" w:rsidRPr="003E5602" w:rsidRDefault="00E6234D" w:rsidP="00E6234D">
      <w:r w:rsidRPr="003E5602">
        <w:t>To assist in our assessment of the Thomson Reuters curve, we sought further information from Thomson Reuters,</w:t>
      </w:r>
      <w:r w:rsidRPr="003E5602">
        <w:rPr>
          <w:rStyle w:val="FootnoteReference"/>
        </w:rPr>
        <w:footnoteReference w:id="1143"/>
      </w:r>
      <w:r w:rsidRPr="003E5602">
        <w:t xml:space="preserve"> and from CEG.</w:t>
      </w:r>
      <w:r w:rsidRPr="003E5602">
        <w:rPr>
          <w:rStyle w:val="FootnoteReference"/>
        </w:rPr>
        <w:footnoteReference w:id="1144"/>
      </w:r>
      <w:r w:rsidRPr="003E5602">
        <w:t xml:space="preserve"> Thomson Reuters advised that some data filtering aspects of the bond selection criteria are discretionary and therefore proprietary. However, they indicated that:</w:t>
      </w:r>
    </w:p>
    <w:p w:rsidR="00E6234D" w:rsidRPr="00D729CA" w:rsidRDefault="00E6234D" w:rsidP="00E6234D">
      <w:pPr>
        <w:pStyle w:val="AERbulletlistfirststyle"/>
      </w:pPr>
      <w:proofErr w:type="gramStart"/>
      <w:r w:rsidRPr="00D729CA">
        <w:t>the</w:t>
      </w:r>
      <w:proofErr w:type="gramEnd"/>
      <w:r w:rsidRPr="00D729CA">
        <w:t xml:space="preserve"> curve fitting methodology is a 'basis spline' model. </w:t>
      </w:r>
    </w:p>
    <w:p w:rsidR="00E6234D" w:rsidRPr="00D729CA" w:rsidRDefault="00E6234D" w:rsidP="00E6234D">
      <w:pPr>
        <w:pStyle w:val="AERbulletlistfirststyle"/>
      </w:pPr>
      <w:r w:rsidRPr="00D729CA">
        <w:t>the bond selection criteria includes the following characteristics:</w:t>
      </w:r>
    </w:p>
    <w:p w:rsidR="00E6234D" w:rsidRPr="00D729CA" w:rsidRDefault="00E6234D" w:rsidP="00E6234D">
      <w:pPr>
        <w:pStyle w:val="AERbulletlistsecondstyle"/>
      </w:pPr>
      <w:r w:rsidRPr="00D729CA">
        <w:t>only fixed-rate (</w:t>
      </w:r>
      <w:r>
        <w:t>that is,</w:t>
      </w:r>
      <w:r w:rsidRPr="00D729CA">
        <w:t xml:space="preserve"> no floating) senior unsecured bonds</w:t>
      </w:r>
    </w:p>
    <w:p w:rsidR="00E6234D" w:rsidRPr="00D729CA" w:rsidRDefault="00E6234D" w:rsidP="00E6234D">
      <w:pPr>
        <w:pStyle w:val="AERbulletlistsecondstyle"/>
      </w:pPr>
      <w:r w:rsidRPr="00D729CA">
        <w:t>no bonds with embedded options</w:t>
      </w:r>
    </w:p>
    <w:p w:rsidR="00E6234D" w:rsidRPr="00D729CA" w:rsidRDefault="00E6234D" w:rsidP="00E6234D">
      <w:pPr>
        <w:pStyle w:val="AERbulletlistsecondstyle"/>
      </w:pPr>
      <w:r w:rsidRPr="00D729CA">
        <w:t>Thomson Reuters specifically avoids including bonds issued in other markets because it requires strong assumptions to generate meaningful comparative pricing data.</w:t>
      </w:r>
    </w:p>
    <w:p w:rsidR="00E6234D" w:rsidRPr="00D729CA" w:rsidRDefault="00E6234D" w:rsidP="00E6234D">
      <w:pPr>
        <w:pStyle w:val="AERbulletlistsecondstyle"/>
      </w:pPr>
      <w:r w:rsidRPr="00D729CA">
        <w:t>Thomson Reuters removes outliers from the bond universe based on a fairly straightforward standard deviation style filter in comparison to the universe of bonds in term/rating ‘buckets’.</w:t>
      </w:r>
    </w:p>
    <w:p w:rsidR="00E6234D" w:rsidRPr="00D729CA" w:rsidRDefault="00E6234D" w:rsidP="00E6234D">
      <w:r w:rsidRPr="00D729CA">
        <w:fldChar w:fldCharType="begin"/>
      </w:r>
      <w:r w:rsidRPr="00D729CA">
        <w:instrText xml:space="preserve"> REF _Ref450900503 \h </w:instrText>
      </w:r>
      <w:r w:rsidRPr="00D729CA">
        <w:fldChar w:fldCharType="separate"/>
      </w:r>
      <w:proofErr w:type="gramStart"/>
      <w:r w:rsidR="003F1AAB" w:rsidRPr="00D729CA">
        <w:t xml:space="preserve">Table </w:t>
      </w:r>
      <w:r w:rsidR="003F1AAB">
        <w:rPr>
          <w:noProof/>
        </w:rPr>
        <w:t>3</w:t>
      </w:r>
      <w:r w:rsidR="003F1AAB">
        <w:noBreakHyphen/>
      </w:r>
      <w:r w:rsidR="003F1AAB">
        <w:rPr>
          <w:noProof/>
        </w:rPr>
        <w:t>36</w:t>
      </w:r>
      <w:r w:rsidRPr="00D729CA">
        <w:fldChar w:fldCharType="end"/>
      </w:r>
      <w:r w:rsidRPr="00D729CA">
        <w:t>, below, sets out the comparable characteristics in the three data series.</w:t>
      </w:r>
      <w:proofErr w:type="gramEnd"/>
      <w:r w:rsidRPr="00D729CA">
        <w:t xml:space="preserve"> Overall, we note that BVAL and Thomson Reuters have both chosen to exclude bonds with embedded options and bonds issued in other currencies. This appears to enhance the data quality and comparability of bonds within the sample at the expense of sample size. For the reasons set out in this and previous decisions, we are not persuaded that either the RBA or the BVAL selection criteria are clearly superior. However, the Thomson Reuters bond selection criteria appear to be only incrementally different from the BVAL selection criteria.</w:t>
      </w:r>
    </w:p>
    <w:p w:rsidR="00E6234D" w:rsidRPr="00D729CA" w:rsidRDefault="00E6234D" w:rsidP="00E6234D">
      <w:pPr>
        <w:pStyle w:val="Caption"/>
      </w:pPr>
      <w:bookmarkStart w:id="388" w:name="_Ref450900503"/>
      <w:r w:rsidRPr="00D729CA">
        <w:t xml:space="preserve">Table </w:t>
      </w:r>
      <w:fldSimple w:instr=" STYLEREF 1 \s ">
        <w:r w:rsidR="003F1AAB">
          <w:rPr>
            <w:noProof/>
          </w:rPr>
          <w:t>3</w:t>
        </w:r>
      </w:fldSimple>
      <w:r>
        <w:noBreakHyphen/>
      </w:r>
      <w:fldSimple w:instr=" SEQ Table \* ARABIC \s 1 ">
        <w:r w:rsidR="003F1AAB">
          <w:rPr>
            <w:noProof/>
          </w:rPr>
          <w:t>36</w:t>
        </w:r>
      </w:fldSimple>
      <w:bookmarkEnd w:id="388"/>
      <w:r w:rsidRPr="00D729CA">
        <w:tab/>
        <w:t>Comparison of known bond selection criteria</w:t>
      </w:r>
    </w:p>
    <w:tbl>
      <w:tblPr>
        <w:tblStyle w:val="AERtable-text1"/>
        <w:tblW w:w="0" w:type="auto"/>
        <w:tblInd w:w="0" w:type="dxa"/>
        <w:tblLook w:val="04A0" w:firstRow="1" w:lastRow="0" w:firstColumn="1" w:lastColumn="0" w:noHBand="0" w:noVBand="1"/>
      </w:tblPr>
      <w:tblGrid>
        <w:gridCol w:w="2173"/>
        <w:gridCol w:w="2173"/>
        <w:gridCol w:w="2173"/>
        <w:gridCol w:w="2174"/>
      </w:tblGrid>
      <w:tr w:rsidR="00E6234D" w:rsidTr="00DA33BB">
        <w:trPr>
          <w:cnfStyle w:val="100000000000" w:firstRow="1" w:lastRow="0" w:firstColumn="0" w:lastColumn="0" w:oddVBand="0" w:evenVBand="0" w:oddHBand="0" w:evenHBand="0" w:firstRowFirstColumn="0" w:firstRowLastColumn="0" w:lastRowFirstColumn="0" w:lastRowLastColumn="0"/>
        </w:trPr>
        <w:tc>
          <w:tcPr>
            <w:tcW w:w="2173" w:type="dxa"/>
          </w:tcPr>
          <w:p w:rsidR="00E6234D" w:rsidRPr="00E6234D" w:rsidRDefault="00E6234D" w:rsidP="00E6234D">
            <w:r w:rsidRPr="00D729CA">
              <w:t>Criteria</w:t>
            </w:r>
          </w:p>
        </w:tc>
        <w:tc>
          <w:tcPr>
            <w:tcW w:w="2173" w:type="dxa"/>
          </w:tcPr>
          <w:p w:rsidR="00E6234D" w:rsidRPr="00E6234D" w:rsidRDefault="00E6234D" w:rsidP="00E6234D">
            <w:r w:rsidRPr="00D729CA">
              <w:t>RBA</w:t>
            </w:r>
          </w:p>
        </w:tc>
        <w:tc>
          <w:tcPr>
            <w:tcW w:w="2173" w:type="dxa"/>
          </w:tcPr>
          <w:p w:rsidR="00E6234D" w:rsidRPr="00E6234D" w:rsidRDefault="00E6234D" w:rsidP="00E6234D">
            <w:r w:rsidRPr="00D729CA">
              <w:t>BVAL</w:t>
            </w:r>
          </w:p>
        </w:tc>
        <w:tc>
          <w:tcPr>
            <w:tcW w:w="2174" w:type="dxa"/>
          </w:tcPr>
          <w:p w:rsidR="00E6234D" w:rsidRPr="00E6234D" w:rsidRDefault="00E6234D" w:rsidP="00E6234D">
            <w:r w:rsidRPr="00D729CA">
              <w:t>Thomson Reuters</w:t>
            </w:r>
          </w:p>
        </w:tc>
      </w:tr>
      <w:tr w:rsidR="00E6234D" w:rsidTr="00DA33BB">
        <w:tc>
          <w:tcPr>
            <w:tcW w:w="2173" w:type="dxa"/>
          </w:tcPr>
          <w:p w:rsidR="00E6234D" w:rsidRPr="00E6234D" w:rsidRDefault="00E6234D" w:rsidP="00E6234D">
            <w:r w:rsidRPr="00D729CA">
              <w:t>Size of issue/quality of pricing data</w:t>
            </w:r>
          </w:p>
        </w:tc>
        <w:tc>
          <w:tcPr>
            <w:tcW w:w="2173" w:type="dxa"/>
          </w:tcPr>
          <w:p w:rsidR="00E6234D" w:rsidRPr="00E6234D" w:rsidRDefault="00E6234D" w:rsidP="00E6234D">
            <w:r w:rsidRPr="00D729CA">
              <w:t xml:space="preserve">At least A$100 million (or equivalent) and at </w:t>
            </w:r>
            <w:r w:rsidRPr="00E6234D">
              <w:t>least one year remaining term to maturity</w:t>
            </w:r>
          </w:p>
        </w:tc>
        <w:tc>
          <w:tcPr>
            <w:tcW w:w="2173" w:type="dxa"/>
          </w:tcPr>
          <w:p w:rsidR="00E6234D" w:rsidRPr="00E6234D" w:rsidRDefault="00E6234D" w:rsidP="00E6234D">
            <w:r w:rsidRPr="00D729CA">
              <w:t>BVAL score of 6 or higher , and at least two months remaining term to maturity</w:t>
            </w:r>
          </w:p>
        </w:tc>
        <w:tc>
          <w:tcPr>
            <w:tcW w:w="2174" w:type="dxa"/>
          </w:tcPr>
          <w:p w:rsidR="00E6234D" w:rsidRPr="00E6234D" w:rsidRDefault="00E6234D" w:rsidP="00E6234D">
            <w:r w:rsidRPr="00D729CA">
              <w:t xml:space="preserve">Simple outlier-style filter, in addition to other discretionary filtering. </w:t>
            </w:r>
          </w:p>
        </w:tc>
      </w:tr>
      <w:tr w:rsidR="00E6234D" w:rsidTr="00DA33BB">
        <w:trPr>
          <w:cnfStyle w:val="000000010000" w:firstRow="0" w:lastRow="0" w:firstColumn="0" w:lastColumn="0" w:oddVBand="0" w:evenVBand="0" w:oddHBand="0" w:evenHBand="1" w:firstRowFirstColumn="0" w:firstRowLastColumn="0" w:lastRowFirstColumn="0" w:lastRowLastColumn="0"/>
        </w:trPr>
        <w:tc>
          <w:tcPr>
            <w:tcW w:w="2173" w:type="dxa"/>
          </w:tcPr>
          <w:p w:rsidR="00E6234D" w:rsidRPr="00E6234D" w:rsidRDefault="00E6234D" w:rsidP="00E6234D">
            <w:r w:rsidRPr="00D729CA">
              <w:t>Secured/unsecured</w:t>
            </w:r>
          </w:p>
        </w:tc>
        <w:tc>
          <w:tcPr>
            <w:tcW w:w="2173" w:type="dxa"/>
          </w:tcPr>
          <w:p w:rsidR="00E6234D" w:rsidRPr="00E6234D" w:rsidRDefault="00E6234D" w:rsidP="00E6234D">
            <w:r w:rsidRPr="00D729CA">
              <w:t>Both secured and unsecured bonds</w:t>
            </w:r>
          </w:p>
        </w:tc>
        <w:tc>
          <w:tcPr>
            <w:tcW w:w="2173" w:type="dxa"/>
          </w:tcPr>
          <w:p w:rsidR="00E6234D" w:rsidRPr="00E6234D" w:rsidRDefault="00E6234D" w:rsidP="00E6234D">
            <w:r w:rsidRPr="00D729CA">
              <w:t>Unsecured senior bonds only</w:t>
            </w:r>
          </w:p>
        </w:tc>
        <w:tc>
          <w:tcPr>
            <w:tcW w:w="2174" w:type="dxa"/>
          </w:tcPr>
          <w:p w:rsidR="00E6234D" w:rsidRPr="00E6234D" w:rsidRDefault="00E6234D" w:rsidP="00E6234D">
            <w:r w:rsidRPr="00D729CA">
              <w:t>Unsecured senior bonds only</w:t>
            </w:r>
          </w:p>
        </w:tc>
      </w:tr>
      <w:tr w:rsidR="00E6234D" w:rsidTr="00DA33BB">
        <w:tc>
          <w:tcPr>
            <w:tcW w:w="2173" w:type="dxa"/>
          </w:tcPr>
          <w:p w:rsidR="00E6234D" w:rsidRPr="00E6234D" w:rsidRDefault="00E6234D" w:rsidP="00E6234D">
            <w:r w:rsidRPr="00D729CA">
              <w:t>Embedded options</w:t>
            </w:r>
          </w:p>
        </w:tc>
        <w:tc>
          <w:tcPr>
            <w:tcW w:w="2173" w:type="dxa"/>
          </w:tcPr>
          <w:p w:rsidR="00E6234D" w:rsidRPr="00E6234D" w:rsidRDefault="00E6234D" w:rsidP="00E6234D">
            <w:r w:rsidRPr="00D729CA">
              <w:t>Includes bonds with embedded options</w:t>
            </w:r>
          </w:p>
        </w:tc>
        <w:tc>
          <w:tcPr>
            <w:tcW w:w="2173" w:type="dxa"/>
          </w:tcPr>
          <w:p w:rsidR="00E6234D" w:rsidRPr="00E6234D" w:rsidRDefault="00E6234D" w:rsidP="00E6234D">
            <w:r w:rsidRPr="00D729CA">
              <w:t>Excludes bonds with embedded options</w:t>
            </w:r>
          </w:p>
        </w:tc>
        <w:tc>
          <w:tcPr>
            <w:tcW w:w="2174" w:type="dxa"/>
          </w:tcPr>
          <w:p w:rsidR="00E6234D" w:rsidRPr="00E6234D" w:rsidRDefault="00E6234D" w:rsidP="00E6234D">
            <w:r w:rsidRPr="00D729CA">
              <w:t>Excludes bonds with embedded options</w:t>
            </w:r>
          </w:p>
        </w:tc>
      </w:tr>
      <w:tr w:rsidR="00E6234D" w:rsidTr="00DA33BB">
        <w:trPr>
          <w:cnfStyle w:val="000000010000" w:firstRow="0" w:lastRow="0" w:firstColumn="0" w:lastColumn="0" w:oddVBand="0" w:evenVBand="0" w:oddHBand="0" w:evenHBand="1" w:firstRowFirstColumn="0" w:firstRowLastColumn="0" w:lastRowFirstColumn="0" w:lastRowLastColumn="0"/>
        </w:trPr>
        <w:tc>
          <w:tcPr>
            <w:tcW w:w="2173" w:type="dxa"/>
          </w:tcPr>
          <w:p w:rsidR="00E6234D" w:rsidRPr="00E6234D" w:rsidRDefault="00E6234D" w:rsidP="00E6234D">
            <w:r w:rsidRPr="00D729CA">
              <w:t>Currency of issue</w:t>
            </w:r>
          </w:p>
        </w:tc>
        <w:tc>
          <w:tcPr>
            <w:tcW w:w="2173" w:type="dxa"/>
          </w:tcPr>
          <w:p w:rsidR="00E6234D" w:rsidRPr="00E6234D" w:rsidRDefault="00E6234D" w:rsidP="00E6234D">
            <w:r w:rsidRPr="00D729CA">
              <w:t>AUD, EU, USD</w:t>
            </w:r>
          </w:p>
        </w:tc>
        <w:tc>
          <w:tcPr>
            <w:tcW w:w="2173" w:type="dxa"/>
          </w:tcPr>
          <w:p w:rsidR="00E6234D" w:rsidRPr="00E6234D" w:rsidRDefault="00E6234D" w:rsidP="00E6234D">
            <w:r w:rsidRPr="00D729CA">
              <w:t>AUD only</w:t>
            </w:r>
          </w:p>
        </w:tc>
        <w:tc>
          <w:tcPr>
            <w:tcW w:w="2174" w:type="dxa"/>
          </w:tcPr>
          <w:p w:rsidR="00E6234D" w:rsidRPr="00E6234D" w:rsidRDefault="00E6234D" w:rsidP="00E6234D">
            <w:r w:rsidRPr="00D729CA">
              <w:t>AUD only</w:t>
            </w:r>
          </w:p>
        </w:tc>
      </w:tr>
    </w:tbl>
    <w:p w:rsidR="00E6234D" w:rsidRPr="00D729CA" w:rsidRDefault="00E6234D" w:rsidP="00E6234D">
      <w:pPr>
        <w:pStyle w:val="AERtablesource"/>
      </w:pPr>
      <w:r w:rsidRPr="00D729CA">
        <w:t>Source:</w:t>
      </w:r>
      <w:r w:rsidRPr="00D729CA">
        <w:tab/>
        <w:t>RBA, BVAL, Thomson Reuters.</w:t>
      </w:r>
    </w:p>
    <w:p w:rsidR="00E6234D" w:rsidRPr="00D729CA" w:rsidRDefault="00E6234D" w:rsidP="00E6234D">
      <w:pPr>
        <w:pStyle w:val="HeadingBoldBlue"/>
      </w:pPr>
      <w:r w:rsidRPr="00D729CA">
        <w:t>Comparison of outcomes</w:t>
      </w:r>
    </w:p>
    <w:p w:rsidR="00E6234D" w:rsidRPr="00D729CA" w:rsidRDefault="00E6234D" w:rsidP="00E6234D">
      <w:r w:rsidRPr="00D729CA">
        <w:t>Since publication of the 10 year Thomson Reuters yield estimate, it appears to produce comparable</w:t>
      </w:r>
      <w:r>
        <w:t xml:space="preserve"> results</w:t>
      </w:r>
      <w:r w:rsidRPr="00D729CA">
        <w:t xml:space="preserve"> to the existing combination, except for a temporary and material divergence over November and December 2015. This is illustrated in </w:t>
      </w:r>
      <w:r w:rsidRPr="00D729CA">
        <w:fldChar w:fldCharType="begin"/>
      </w:r>
      <w:r w:rsidRPr="00D729CA">
        <w:instrText xml:space="preserve"> REF _Ref450900769 \h </w:instrText>
      </w:r>
      <w:r w:rsidRPr="00D729CA">
        <w:fldChar w:fldCharType="separate"/>
      </w:r>
      <w:r w:rsidR="003F1AAB" w:rsidRPr="00D729CA">
        <w:t xml:space="preserve">Figure </w:t>
      </w:r>
      <w:r w:rsidR="003F1AAB">
        <w:rPr>
          <w:noProof/>
        </w:rPr>
        <w:t>3</w:t>
      </w:r>
      <w:r w:rsidR="003F1AAB">
        <w:noBreakHyphen/>
      </w:r>
      <w:r w:rsidR="003F1AAB">
        <w:rPr>
          <w:noProof/>
        </w:rPr>
        <w:t>19</w:t>
      </w:r>
      <w:r w:rsidRPr="00D729CA">
        <w:fldChar w:fldCharType="end"/>
      </w:r>
      <w:r w:rsidRPr="00D729CA">
        <w:t>.</w:t>
      </w:r>
    </w:p>
    <w:p w:rsidR="00E6234D" w:rsidRPr="00D729CA" w:rsidRDefault="00E6234D" w:rsidP="00E6234D">
      <w:pPr>
        <w:pStyle w:val="Caption"/>
      </w:pPr>
      <w:bookmarkStart w:id="389" w:name="_Ref450900769"/>
      <w:r w:rsidRPr="00D729CA">
        <w:t xml:space="preserve">Figure </w:t>
      </w:r>
      <w:fldSimple w:instr=" STYLEREF 1 \s ">
        <w:r w:rsidR="003F1AAB">
          <w:rPr>
            <w:noProof/>
          </w:rPr>
          <w:t>3</w:t>
        </w:r>
      </w:fldSimple>
      <w:r w:rsidR="00E4520A">
        <w:noBreakHyphen/>
      </w:r>
      <w:fldSimple w:instr=" SEQ Figure \* ARABIC \s 1 ">
        <w:r w:rsidR="003F1AAB">
          <w:rPr>
            <w:noProof/>
          </w:rPr>
          <w:t>19</w:t>
        </w:r>
      </w:fldSimple>
      <w:bookmarkEnd w:id="389"/>
      <w:r w:rsidRPr="00D729CA">
        <w:tab/>
        <w:t>Comparison of Thomson Reuters 10 year estimate against the AER approach</w:t>
      </w:r>
    </w:p>
    <w:p w:rsidR="00E6234D" w:rsidRPr="00D729CA" w:rsidRDefault="00E6234D" w:rsidP="00E6234D">
      <w:r w:rsidRPr="00E6234D">
        <w:rPr>
          <w:noProof/>
          <w:lang w:eastAsia="en-AU"/>
        </w:rPr>
        <w:drawing>
          <wp:inline distT="0" distB="0" distL="0" distR="0" wp14:anchorId="31616776" wp14:editId="00CAF330">
            <wp:extent cx="5401310" cy="3596640"/>
            <wp:effectExtent l="0" t="0" r="889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1310" cy="3596640"/>
                    </a:xfrm>
                    <a:prstGeom prst="rect">
                      <a:avLst/>
                    </a:prstGeom>
                    <a:noFill/>
                  </pic:spPr>
                </pic:pic>
              </a:graphicData>
            </a:graphic>
          </wp:inline>
        </w:drawing>
      </w:r>
    </w:p>
    <w:p w:rsidR="00E6234D" w:rsidRPr="00D729CA" w:rsidRDefault="00E6234D" w:rsidP="00E6234D">
      <w:pPr>
        <w:pStyle w:val="AERtablesource"/>
      </w:pPr>
      <w:r w:rsidRPr="00D729CA">
        <w:t>Source:</w:t>
      </w:r>
      <w:r w:rsidRPr="00D729CA">
        <w:tab/>
        <w:t>AER analysis, RBA, Bloomberg, Thompson Reuters.</w:t>
      </w:r>
    </w:p>
    <w:p w:rsidR="00E6234D" w:rsidRPr="00D729CA" w:rsidRDefault="00E6234D" w:rsidP="00E6234D">
      <w:r w:rsidRPr="00D729CA">
        <w:t xml:space="preserve">As at November 2016 the Thomson Reuters curve rose above the existing curves. However, from May 2015 until that time, and since February 2016, it has produced results that are very close to the existing combination. This does not imply these curves will continue to produce similar results. Further, we consider that analysis of the yield curve's underlying characteristics is the most informative means of evaluating the curves. </w:t>
      </w:r>
    </w:p>
    <w:p w:rsidR="00E6234D" w:rsidRPr="00D729CA" w:rsidRDefault="00E6234D" w:rsidP="00E6234D">
      <w:r w:rsidRPr="00D729CA">
        <w:t>Nonetheless, CEG has relied on comparative analysis of yields in support of adopting the Thomson Reuters curve.</w:t>
      </w:r>
      <w:r w:rsidRPr="00D729CA">
        <w:rPr>
          <w:rStyle w:val="FootnoteReference"/>
        </w:rPr>
        <w:footnoteReference w:id="1145"/>
      </w:r>
      <w:r w:rsidRPr="00D729CA">
        <w:t xml:space="preserve"> To the extent that a comparison of outcomes is informative, we are not satisfied that there is sufficient evidence the addition of a third curve would, in expectation, have any more than incremental impact on the outcomes of our current approach. </w:t>
      </w:r>
      <w:r w:rsidRPr="00D729CA">
        <w:fldChar w:fldCharType="begin"/>
      </w:r>
      <w:r w:rsidRPr="00D729CA">
        <w:instrText xml:space="preserve"> REF _Ref450900734 \h </w:instrText>
      </w:r>
      <w:r w:rsidRPr="00D729CA">
        <w:fldChar w:fldCharType="separate"/>
      </w:r>
      <w:r w:rsidR="003F1AAB" w:rsidRPr="00D729CA">
        <w:t xml:space="preserve">Table </w:t>
      </w:r>
      <w:r w:rsidR="003F1AAB">
        <w:rPr>
          <w:noProof/>
        </w:rPr>
        <w:t>3</w:t>
      </w:r>
      <w:r w:rsidR="003F1AAB">
        <w:noBreakHyphen/>
      </w:r>
      <w:r w:rsidR="003F1AAB">
        <w:rPr>
          <w:noProof/>
        </w:rPr>
        <w:t>37</w:t>
      </w:r>
      <w:r w:rsidRPr="00D729CA">
        <w:fldChar w:fldCharType="end"/>
      </w:r>
      <w:r w:rsidRPr="00D729CA">
        <w:t xml:space="preserve"> illustrates that over the full period for which the Thomson Reuters 10 year estimate has been published, the difference between the Thomson Reuters curve and the existing combination is 9 basis points. Excluding the two month divergence within an eleven month sample, the difference is only 2 basis points. </w:t>
      </w:r>
    </w:p>
    <w:p w:rsidR="00E6234D" w:rsidRPr="00D729CA" w:rsidRDefault="00E6234D" w:rsidP="00E6234D">
      <w:pPr>
        <w:pStyle w:val="Caption"/>
      </w:pPr>
      <w:bookmarkStart w:id="390" w:name="_Ref450900734"/>
      <w:r w:rsidRPr="00D729CA">
        <w:t xml:space="preserve">Table </w:t>
      </w:r>
      <w:fldSimple w:instr=" STYLEREF 1 \s ">
        <w:r w:rsidR="003F1AAB">
          <w:rPr>
            <w:noProof/>
          </w:rPr>
          <w:t>3</w:t>
        </w:r>
      </w:fldSimple>
      <w:r>
        <w:noBreakHyphen/>
      </w:r>
      <w:fldSimple w:instr=" SEQ Table \* ARABIC \s 1 ">
        <w:r w:rsidR="003F1AAB">
          <w:rPr>
            <w:noProof/>
          </w:rPr>
          <w:t>37</w:t>
        </w:r>
      </w:fldSimple>
      <w:bookmarkEnd w:id="390"/>
      <w:r w:rsidRPr="00D729CA">
        <w:tab/>
        <w:t>Comparison of Thomson Reuters 10 year estimate against the AER approach</w:t>
      </w:r>
    </w:p>
    <w:tbl>
      <w:tblPr>
        <w:tblStyle w:val="AERtable-numbers"/>
        <w:tblW w:w="0" w:type="auto"/>
        <w:tblLook w:val="04A0" w:firstRow="1" w:lastRow="0" w:firstColumn="1" w:lastColumn="0" w:noHBand="0" w:noVBand="1"/>
      </w:tblPr>
      <w:tblGrid>
        <w:gridCol w:w="2339"/>
        <w:gridCol w:w="2118"/>
        <w:gridCol w:w="2118"/>
        <w:gridCol w:w="2118"/>
      </w:tblGrid>
      <w:tr w:rsidR="00E6234D" w:rsidTr="00DA3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rsidR="00E6234D" w:rsidRPr="00E6234D" w:rsidRDefault="00E6234D" w:rsidP="00E6234D">
            <w:r w:rsidRPr="00D729CA">
              <w:t>Time period</w:t>
            </w:r>
          </w:p>
        </w:tc>
        <w:tc>
          <w:tcPr>
            <w:tcW w:w="2118" w:type="dxa"/>
          </w:tcPr>
          <w:p w:rsidR="00E6234D" w:rsidRPr="00E6234D" w:rsidRDefault="00E6234D" w:rsidP="00E6234D">
            <w:pPr>
              <w:cnfStyle w:val="100000000000" w:firstRow="1" w:lastRow="0" w:firstColumn="0" w:lastColumn="0" w:oddVBand="0" w:evenVBand="0" w:oddHBand="0" w:evenHBand="0" w:firstRowFirstColumn="0" w:firstRowLastColumn="0" w:lastRowFirstColumn="0" w:lastRowLastColumn="0"/>
            </w:pPr>
            <w:r w:rsidRPr="00D729CA">
              <w:t>AER approach (BVAL and RBA)</w:t>
            </w:r>
          </w:p>
        </w:tc>
        <w:tc>
          <w:tcPr>
            <w:tcW w:w="2118" w:type="dxa"/>
          </w:tcPr>
          <w:p w:rsidR="00E6234D" w:rsidRPr="00E6234D" w:rsidRDefault="00E6234D" w:rsidP="00E6234D">
            <w:pPr>
              <w:cnfStyle w:val="100000000000" w:firstRow="1" w:lastRow="0" w:firstColumn="0" w:lastColumn="0" w:oddVBand="0" w:evenVBand="0" w:oddHBand="0" w:evenHBand="0" w:firstRowFirstColumn="0" w:firstRowLastColumn="0" w:lastRowFirstColumn="0" w:lastRowLastColumn="0"/>
            </w:pPr>
            <w:r w:rsidRPr="00D729CA">
              <w:t>Reuters curve</w:t>
            </w:r>
          </w:p>
        </w:tc>
        <w:tc>
          <w:tcPr>
            <w:tcW w:w="2118" w:type="dxa"/>
          </w:tcPr>
          <w:p w:rsidR="00E6234D" w:rsidRPr="00E6234D" w:rsidRDefault="00E6234D" w:rsidP="00E6234D">
            <w:pPr>
              <w:cnfStyle w:val="100000000000" w:firstRow="1" w:lastRow="0" w:firstColumn="0" w:lastColumn="0" w:oddVBand="0" w:evenVBand="0" w:oddHBand="0" w:evenHBand="0" w:firstRowFirstColumn="0" w:firstRowLastColumn="0" w:lastRowFirstColumn="0" w:lastRowLastColumn="0"/>
            </w:pPr>
            <w:r w:rsidRPr="00D729CA">
              <w:t>Difference</w:t>
            </w:r>
          </w:p>
        </w:tc>
      </w:tr>
      <w:tr w:rsidR="00E6234D" w:rsidTr="00DA33BB">
        <w:tc>
          <w:tcPr>
            <w:cnfStyle w:val="001000000000" w:firstRow="0" w:lastRow="0" w:firstColumn="1" w:lastColumn="0" w:oddVBand="0" w:evenVBand="0" w:oddHBand="0" w:evenHBand="0" w:firstRowFirstColumn="0" w:firstRowLastColumn="0" w:lastRowFirstColumn="0" w:lastRowLastColumn="0"/>
            <w:tcW w:w="2339" w:type="dxa"/>
          </w:tcPr>
          <w:p w:rsidR="00E6234D" w:rsidRPr="00E6234D" w:rsidRDefault="00E6234D" w:rsidP="00E6234D">
            <w:r w:rsidRPr="00D729CA">
              <w:t xml:space="preserve">Since Reuters </w:t>
            </w:r>
            <w:r w:rsidRPr="00E6234D">
              <w:t>publication</w:t>
            </w:r>
          </w:p>
        </w:tc>
        <w:tc>
          <w:tcPr>
            <w:tcW w:w="2118" w:type="dxa"/>
          </w:tcPr>
          <w:p w:rsidR="00E6234D" w:rsidRPr="00E6234D" w:rsidRDefault="00E6234D" w:rsidP="00E6234D">
            <w:pPr>
              <w:cnfStyle w:val="000000000000" w:firstRow="0" w:lastRow="0" w:firstColumn="0" w:lastColumn="0" w:oddVBand="0" w:evenVBand="0" w:oddHBand="0" w:evenHBand="0" w:firstRowFirstColumn="0" w:firstRowLastColumn="0" w:lastRowFirstColumn="0" w:lastRowLastColumn="0"/>
            </w:pPr>
            <w:r w:rsidRPr="00D729CA">
              <w:t>5.39</w:t>
            </w:r>
          </w:p>
        </w:tc>
        <w:tc>
          <w:tcPr>
            <w:tcW w:w="2118" w:type="dxa"/>
          </w:tcPr>
          <w:p w:rsidR="00E6234D" w:rsidRPr="00E6234D" w:rsidRDefault="00E6234D" w:rsidP="00E6234D">
            <w:pPr>
              <w:cnfStyle w:val="000000000000" w:firstRow="0" w:lastRow="0" w:firstColumn="0" w:lastColumn="0" w:oddVBand="0" w:evenVBand="0" w:oddHBand="0" w:evenHBand="0" w:firstRowFirstColumn="0" w:firstRowLastColumn="0" w:lastRowFirstColumn="0" w:lastRowLastColumn="0"/>
            </w:pPr>
            <w:r w:rsidRPr="00D729CA">
              <w:t>5.48</w:t>
            </w:r>
          </w:p>
        </w:tc>
        <w:tc>
          <w:tcPr>
            <w:tcW w:w="2118" w:type="dxa"/>
          </w:tcPr>
          <w:p w:rsidR="00E6234D" w:rsidRPr="00E6234D" w:rsidRDefault="00E6234D" w:rsidP="00E6234D">
            <w:pPr>
              <w:cnfStyle w:val="000000000000" w:firstRow="0" w:lastRow="0" w:firstColumn="0" w:lastColumn="0" w:oddVBand="0" w:evenVBand="0" w:oddHBand="0" w:evenHBand="0" w:firstRowFirstColumn="0" w:firstRowLastColumn="0" w:lastRowFirstColumn="0" w:lastRowLastColumn="0"/>
            </w:pPr>
            <w:r w:rsidRPr="00D729CA">
              <w:t>9 basis points</w:t>
            </w:r>
          </w:p>
        </w:tc>
      </w:tr>
      <w:tr w:rsidR="00E6234D" w:rsidTr="00DA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rsidR="00E6234D" w:rsidRPr="00E6234D" w:rsidRDefault="00E6234D" w:rsidP="00E6234D">
            <w:r w:rsidRPr="00D729CA">
              <w:t>Excluding November and December 2015</w:t>
            </w:r>
          </w:p>
        </w:tc>
        <w:tc>
          <w:tcPr>
            <w:tcW w:w="2118" w:type="dxa"/>
          </w:tcPr>
          <w:p w:rsidR="00E6234D" w:rsidRPr="00E6234D" w:rsidRDefault="00E6234D" w:rsidP="00E6234D">
            <w:pPr>
              <w:cnfStyle w:val="000000010000" w:firstRow="0" w:lastRow="0" w:firstColumn="0" w:lastColumn="0" w:oddVBand="0" w:evenVBand="0" w:oddHBand="0" w:evenHBand="1" w:firstRowFirstColumn="0" w:firstRowLastColumn="0" w:lastRowFirstColumn="0" w:lastRowLastColumn="0"/>
            </w:pPr>
            <w:r w:rsidRPr="00D729CA">
              <w:t>5.31</w:t>
            </w:r>
          </w:p>
        </w:tc>
        <w:tc>
          <w:tcPr>
            <w:tcW w:w="2118" w:type="dxa"/>
          </w:tcPr>
          <w:p w:rsidR="00E6234D" w:rsidRPr="00E6234D" w:rsidRDefault="00E6234D" w:rsidP="00E6234D">
            <w:pPr>
              <w:cnfStyle w:val="000000010000" w:firstRow="0" w:lastRow="0" w:firstColumn="0" w:lastColumn="0" w:oddVBand="0" w:evenVBand="0" w:oddHBand="0" w:evenHBand="1" w:firstRowFirstColumn="0" w:firstRowLastColumn="0" w:lastRowFirstColumn="0" w:lastRowLastColumn="0"/>
            </w:pPr>
            <w:r w:rsidRPr="00D729CA">
              <w:t>5.34</w:t>
            </w:r>
          </w:p>
        </w:tc>
        <w:tc>
          <w:tcPr>
            <w:tcW w:w="2118" w:type="dxa"/>
          </w:tcPr>
          <w:p w:rsidR="00E6234D" w:rsidRPr="00E6234D" w:rsidRDefault="00E6234D" w:rsidP="00E6234D">
            <w:pPr>
              <w:cnfStyle w:val="000000010000" w:firstRow="0" w:lastRow="0" w:firstColumn="0" w:lastColumn="0" w:oddVBand="0" w:evenVBand="0" w:oddHBand="0" w:evenHBand="1" w:firstRowFirstColumn="0" w:firstRowLastColumn="0" w:lastRowFirstColumn="0" w:lastRowLastColumn="0"/>
            </w:pPr>
            <w:r w:rsidRPr="00D729CA">
              <w:t>2 basis points</w:t>
            </w:r>
          </w:p>
        </w:tc>
      </w:tr>
      <w:tr w:rsidR="00E6234D" w:rsidTr="00DA33BB">
        <w:tc>
          <w:tcPr>
            <w:cnfStyle w:val="001000000000" w:firstRow="0" w:lastRow="0" w:firstColumn="1" w:lastColumn="0" w:oddVBand="0" w:evenVBand="0" w:oddHBand="0" w:evenHBand="0" w:firstRowFirstColumn="0" w:firstRowLastColumn="0" w:lastRowFirstColumn="0" w:lastRowLastColumn="0"/>
            <w:tcW w:w="2339" w:type="dxa"/>
          </w:tcPr>
          <w:p w:rsidR="00E6234D" w:rsidRPr="00E6234D" w:rsidRDefault="00E6234D" w:rsidP="00E6234D">
            <w:r w:rsidRPr="00D729CA">
              <w:t>Only November and December 2015</w:t>
            </w:r>
          </w:p>
        </w:tc>
        <w:tc>
          <w:tcPr>
            <w:tcW w:w="2118" w:type="dxa"/>
          </w:tcPr>
          <w:p w:rsidR="00E6234D" w:rsidRPr="00E6234D" w:rsidRDefault="00E6234D" w:rsidP="00E6234D">
            <w:pPr>
              <w:cnfStyle w:val="000000000000" w:firstRow="0" w:lastRow="0" w:firstColumn="0" w:lastColumn="0" w:oddVBand="0" w:evenVBand="0" w:oddHBand="0" w:evenHBand="0" w:firstRowFirstColumn="0" w:firstRowLastColumn="0" w:lastRowFirstColumn="0" w:lastRowLastColumn="0"/>
            </w:pPr>
            <w:r w:rsidRPr="00D729CA">
              <w:t>5.57</w:t>
            </w:r>
          </w:p>
        </w:tc>
        <w:tc>
          <w:tcPr>
            <w:tcW w:w="2118" w:type="dxa"/>
          </w:tcPr>
          <w:p w:rsidR="00E6234D" w:rsidRPr="00E6234D" w:rsidRDefault="00E6234D" w:rsidP="00E6234D">
            <w:pPr>
              <w:cnfStyle w:val="000000000000" w:firstRow="0" w:lastRow="0" w:firstColumn="0" w:lastColumn="0" w:oddVBand="0" w:evenVBand="0" w:oddHBand="0" w:evenHBand="0" w:firstRowFirstColumn="0" w:firstRowLastColumn="0" w:lastRowFirstColumn="0" w:lastRowLastColumn="0"/>
            </w:pPr>
            <w:r w:rsidRPr="00D729CA">
              <w:t>5.85</w:t>
            </w:r>
          </w:p>
        </w:tc>
        <w:tc>
          <w:tcPr>
            <w:tcW w:w="2118" w:type="dxa"/>
          </w:tcPr>
          <w:p w:rsidR="00E6234D" w:rsidRPr="00E6234D" w:rsidRDefault="00E6234D" w:rsidP="00E6234D">
            <w:pPr>
              <w:cnfStyle w:val="000000000000" w:firstRow="0" w:lastRow="0" w:firstColumn="0" w:lastColumn="0" w:oddVBand="0" w:evenVBand="0" w:oddHBand="0" w:evenHBand="0" w:firstRowFirstColumn="0" w:firstRowLastColumn="0" w:lastRowFirstColumn="0" w:lastRowLastColumn="0"/>
            </w:pPr>
            <w:r w:rsidRPr="00D729CA">
              <w:t>27 basis points</w:t>
            </w:r>
          </w:p>
        </w:tc>
      </w:tr>
    </w:tbl>
    <w:p w:rsidR="00E6234D" w:rsidRPr="00D729CA" w:rsidRDefault="00E6234D" w:rsidP="00E6234D">
      <w:pPr>
        <w:pStyle w:val="AERtablesource"/>
      </w:pPr>
      <w:r w:rsidRPr="00D729CA">
        <w:t>Source:</w:t>
      </w:r>
      <w:r w:rsidRPr="00D729CA">
        <w:tab/>
        <w:t>AER analysis, RBA, Bloomberg, Thompson Reuters.</w:t>
      </w:r>
    </w:p>
    <w:p w:rsidR="00E6234D" w:rsidRPr="00D729CA" w:rsidRDefault="00E6234D" w:rsidP="00E6234D">
      <w:pPr>
        <w:pStyle w:val="Heading8"/>
      </w:pPr>
      <w:bookmarkStart w:id="391" w:name="_Toc449624778"/>
      <w:bookmarkStart w:id="392" w:name="_Ref450660756"/>
      <w:bookmarkStart w:id="393" w:name="_Toc452629160"/>
      <w:bookmarkStart w:id="394" w:name="_Toc456686773"/>
      <w:r w:rsidRPr="00D729CA">
        <w:t>Criticisms of the BVAL curve</w:t>
      </w:r>
      <w:bookmarkEnd w:id="391"/>
      <w:bookmarkEnd w:id="392"/>
      <w:bookmarkEnd w:id="393"/>
      <w:bookmarkEnd w:id="394"/>
    </w:p>
    <w:p w:rsidR="00E6234D" w:rsidRPr="00D729CA" w:rsidRDefault="00E6234D" w:rsidP="00E6234D">
      <w:r>
        <w:t xml:space="preserve">AusNet Services has criticised </w:t>
      </w:r>
      <w:r w:rsidRPr="00D729CA">
        <w:t>the BVAL curve.</w:t>
      </w:r>
      <w:r>
        <w:rPr>
          <w:rStyle w:val="FootnoteReference"/>
        </w:rPr>
        <w:footnoteReference w:id="1146"/>
      </w:r>
      <w:r w:rsidRPr="00D729CA">
        <w:t xml:space="preserve"> </w:t>
      </w:r>
      <w:r w:rsidR="00C5466B">
        <w:t>In the recent decision process for its distribution network, m</w:t>
      </w:r>
      <w:r w:rsidRPr="00D729CA">
        <w:t xml:space="preserve">ost of </w:t>
      </w:r>
      <w:r w:rsidR="00C5466B">
        <w:t>AusNet Services'</w:t>
      </w:r>
      <w:r w:rsidR="00C5466B" w:rsidRPr="00D729CA">
        <w:t xml:space="preserve"> </w:t>
      </w:r>
      <w:r w:rsidRPr="00D729CA">
        <w:t>criticisms drew upon new analysis by CEG.</w:t>
      </w:r>
      <w:r w:rsidRPr="00D729CA">
        <w:rPr>
          <w:rStyle w:val="FootnoteReference"/>
        </w:rPr>
        <w:footnoteReference w:id="1147"/>
      </w:r>
      <w:r w:rsidRPr="00D729CA">
        <w:t xml:space="preserve"> In a new report, and in two memoranda submitted after the revised proposals,</w:t>
      </w:r>
      <w:r w:rsidRPr="00D729CA">
        <w:rPr>
          <w:rStyle w:val="FootnoteReference"/>
        </w:rPr>
        <w:footnoteReference w:id="1148"/>
      </w:r>
      <w:r w:rsidRPr="00D729CA">
        <w:t xml:space="preserve"> CEG submitted that:</w:t>
      </w:r>
    </w:p>
    <w:p w:rsidR="00E6234D" w:rsidRPr="00D729CA" w:rsidRDefault="00E6234D" w:rsidP="00E6234D">
      <w:pPr>
        <w:pStyle w:val="AERbulletlistfirststyle"/>
      </w:pPr>
      <w:r w:rsidRPr="00D729CA">
        <w:t>the Bloomberg curve appears to be influenced at the 10 year term exclusively by the Asciano bond</w:t>
      </w:r>
    </w:p>
    <w:p w:rsidR="00E6234D" w:rsidRPr="00D729CA" w:rsidRDefault="00E6234D" w:rsidP="00E6234D">
      <w:pPr>
        <w:pStyle w:val="AERbulletlistfirststyle"/>
      </w:pPr>
      <w:r w:rsidRPr="00D729CA">
        <w:t>There are market specific factors influencing the Asciano bond which imply it is not reflective of the typical BBB bond</w:t>
      </w:r>
    </w:p>
    <w:p w:rsidR="00E6234D" w:rsidRPr="00D729CA" w:rsidRDefault="00E6234D" w:rsidP="00E6234D">
      <w:pPr>
        <w:pStyle w:val="AERbulletlistfirststyle"/>
      </w:pPr>
      <w:r w:rsidRPr="00D729CA">
        <w:t>The BVAL curve does not include foreign bonds and is therefore not representative of the benchmark efficient firm given the tendency of Australian firms to issue longer term debt in overseas markets</w:t>
      </w:r>
    </w:p>
    <w:p w:rsidR="00E6234D" w:rsidRPr="00D729CA" w:rsidRDefault="00E6234D" w:rsidP="00E6234D">
      <w:pPr>
        <w:pStyle w:val="AERbulletlistfirststyle"/>
      </w:pPr>
      <w:r w:rsidRPr="00D729CA">
        <w:t>The BVAL bond sample is smaller than the RBA bond sample.</w:t>
      </w:r>
    </w:p>
    <w:p w:rsidR="00E6234D" w:rsidRDefault="00E6234D" w:rsidP="00E6234D">
      <w:r w:rsidRPr="00D729CA">
        <w:t xml:space="preserve">We remain satisfied that the BVAL curve is fit-for-purpose and will contribute to an estimate that satisfies the allowed rate of return objective. Further, we are not persuaded that there is evidence suggesting that a simple average of the BVAL and RBA curves would not contribute to an estimate that achieves the allowed rate of return objective. Broadly, we consider that most of the analysis submitted by AusNet Services and CEG supports a conclusion that the BVAL curve and the RBA curve may at points in time produce divergent results. However, this does not indicate that either the RBA curve or the BVAL curve produces an estimate that is more reflective of the benchmark efficient entity. </w:t>
      </w:r>
    </w:p>
    <w:p w:rsidR="00306CB1" w:rsidRDefault="00524B1F" w:rsidP="00E6234D">
      <w:r>
        <w:t>In its transmission proposal, AusNet Services has compared the BVAL curve estimate on 17 July 2015 to the issuance of an 8-year, BBB– rated floating rate note issued by DBNGP.</w:t>
      </w:r>
      <w:r>
        <w:rPr>
          <w:rStyle w:val="FootnoteReference"/>
        </w:rPr>
        <w:footnoteReference w:id="1149"/>
      </w:r>
      <w:r>
        <w:t xml:space="preserve"> Specifically, it submitted that the coupon over swap on this date was 'materially' above the BVAL yield on the same date, and that this indicates limitations in the BVAL series which excludes floating rate notes. </w:t>
      </w:r>
      <w:r w:rsidR="00306CB1">
        <w:t>We are not persuaded by this analysis for the following reasons:</w:t>
      </w:r>
    </w:p>
    <w:p w:rsidR="00306CB1" w:rsidRDefault="00306CB1" w:rsidP="003957BF">
      <w:pPr>
        <w:pStyle w:val="AERbulletlistfirststyle"/>
      </w:pPr>
      <w:r>
        <w:t xml:space="preserve">The expected coupon payments at any point in time on a floating rate note cannot be precisely converted into a yield to maturity. </w:t>
      </w:r>
      <w:r w:rsidR="004E7852">
        <w:t>D</w:t>
      </w:r>
      <w:r>
        <w:t xml:space="preserve">etermining a comparable yield on floating rate bonds requires </w:t>
      </w:r>
      <w:r w:rsidR="00865B52">
        <w:t xml:space="preserve">strong </w:t>
      </w:r>
      <w:r>
        <w:t>assumptions.</w:t>
      </w:r>
    </w:p>
    <w:p w:rsidR="00524B1F" w:rsidRDefault="00012296" w:rsidP="003957BF">
      <w:pPr>
        <w:pStyle w:val="AERbulletlistfirststyle"/>
      </w:pPr>
      <w:r>
        <w:t xml:space="preserve">All of Bloomberg, the RBA and </w:t>
      </w:r>
      <w:r w:rsidR="00524B1F">
        <w:t xml:space="preserve">Thomson Reuters </w:t>
      </w:r>
      <w:r>
        <w:t>exclude</w:t>
      </w:r>
      <w:r w:rsidR="00524B1F">
        <w:t xml:space="preserve"> floating rate notes from </w:t>
      </w:r>
      <w:r>
        <w:t>their</w:t>
      </w:r>
      <w:r w:rsidR="00524B1F">
        <w:t xml:space="preserve"> yield curves.</w:t>
      </w:r>
      <w:r w:rsidR="00524B1F">
        <w:rPr>
          <w:rStyle w:val="FootnoteReference"/>
        </w:rPr>
        <w:footnoteReference w:id="1150"/>
      </w:r>
      <w:r>
        <w:t xml:space="preserve"> </w:t>
      </w:r>
      <w:r w:rsidR="005D0622">
        <w:t xml:space="preserve">Therefore, the bond identified by AusNet Services would be excluded from all bond samples by third party data providers that we are aware of. </w:t>
      </w:r>
      <w:r>
        <w:t xml:space="preserve">We are not persuaded that these expert market practitioners would uniformly exclude floating rate notes where they </w:t>
      </w:r>
      <w:r w:rsidR="00195758">
        <w:t>could be reliably used to estimate the benchmark yield to maturity.</w:t>
      </w:r>
    </w:p>
    <w:p w:rsidR="00195758" w:rsidRDefault="00195758" w:rsidP="003957BF">
      <w:pPr>
        <w:pStyle w:val="AERbulletlistfirststyle"/>
      </w:pPr>
      <w:r>
        <w:t xml:space="preserve">The particular bond in question is rated BBB– where the benchmark credit rating is BBB+. Further, the bond samples within the Bloomberg and RBA curves are 'broad BBB', meaning they include bonds rated at BBB+, BBB and BBB–. Holding other things constant, we would expect a lower rated bond to require a higher yield to maturity. </w:t>
      </w:r>
      <w:r w:rsidR="00865B52">
        <w:t>Therefore, even if the floating rate note was a robust indicator of the benchmark yield to maturity for a fixed yield BBB– bond, it is still possible that the yield-increasing effect of the lower credit rating would swamp the yield-reducing effect of the shorter term to maturity.</w:t>
      </w:r>
    </w:p>
    <w:p w:rsidR="004E7852" w:rsidRPr="00D729CA" w:rsidRDefault="004E7852" w:rsidP="003957BF">
      <w:pPr>
        <w:pStyle w:val="AERbulletlistfirststyle"/>
      </w:pPr>
      <w:r>
        <w:t>The quality of this bond</w:t>
      </w:r>
      <w:r w:rsidR="00860C28">
        <w:t>'</w:t>
      </w:r>
      <w:r>
        <w:t>s pricing is low and this bond has a BVAL score of 1 out of 10.</w:t>
      </w:r>
      <w:r w:rsidR="00106D93">
        <w:rPr>
          <w:rStyle w:val="FootnoteReference"/>
        </w:rPr>
        <w:footnoteReference w:id="1151"/>
      </w:r>
    </w:p>
    <w:p w:rsidR="00E6234D" w:rsidRPr="00D729CA" w:rsidRDefault="00E6234D" w:rsidP="00E6234D">
      <w:r w:rsidRPr="00D729CA">
        <w:t>In decisions since publication of the guideline, we have concluded that at various points in time, it is likely that one curve or the other is more likely to produce an estimate that is more reflective of the costs faced by the benchmark efficient entity.</w:t>
      </w:r>
      <w:r w:rsidRPr="00D729CA">
        <w:rPr>
          <w:rStyle w:val="FootnoteReference"/>
        </w:rPr>
        <w:footnoteReference w:id="1152"/>
      </w:r>
      <w:r w:rsidRPr="00D729CA">
        <w:t xml:space="preserve"> However, we have undertaken extensive analysis on the RBA and BVAL curves, have consulted widely on the technical characteristics of curves, and have had regard to independent expert advice. Based on this process, we are not satisfied that either is clearly superior. Further, the approach we adopt must produce annual estimates each year over the five year period that will achieve the allowed rate of return objective. We have therefore adopted an approach that we are satisfied will contribute to estimates that will, across the regulatory period, achieve the allowed rate of return objective. In contrast, we consider that AusNet and CEG's proposal to adopt different approaches based on ad-hoc analysis of the curves over short periods will introduce bias and uncertainty into the approach for estimating the return on debt. We consider this bias will prevent achievement of the allowed rate of return objective.</w:t>
      </w:r>
    </w:p>
    <w:p w:rsidR="00E6234D" w:rsidRPr="00D729CA" w:rsidRDefault="00E6234D" w:rsidP="00E6234D">
      <w:r w:rsidRPr="00D729CA">
        <w:t>In addition, even if we were not to adopt the BVAL 10 year estimate, our final decision would be to adopt the BVAL 7 year estimate extrapolated as per the methodology set out in our contingencies. We are not satisfied that any information submitted by stakeholders raises material new concerns with the BVAL's 7 year estimate that were not considered in previous decisions. Therefore, we maintain our conclusion that in the absence of a BVAL 10 year estimate, the 7 year estimate extrapolated to 10 years would contribute to an estimate that achieves the allowed rate of return objective.</w:t>
      </w:r>
    </w:p>
    <w:p w:rsidR="00E6234D" w:rsidRPr="001D62A1" w:rsidRDefault="00E6234D" w:rsidP="00E6234D">
      <w:r w:rsidRPr="001D62A1">
        <w:t>Finally, we note that as of October 2015 the RBA made retrospective changes to its yield curve.</w:t>
      </w:r>
      <w:r w:rsidRPr="001D62A1">
        <w:rPr>
          <w:rStyle w:val="FootnoteReference"/>
        </w:rPr>
        <w:footnoteReference w:id="1153"/>
      </w:r>
      <w:r w:rsidRPr="001D62A1">
        <w:t xml:space="preserve"> These changes resulted in retrospective changes to bond samples as well as changes to yield and spread estimates. AER staff corresponded with RBA staff about the causes and impact of these retrospective changes and remain satisfied that the combination of RBA and BVAL curves will contribute to an estimate which achieves the allowed rate of return objective.</w:t>
      </w:r>
      <w:r w:rsidRPr="001D62A1">
        <w:rPr>
          <w:rStyle w:val="FootnoteReference"/>
        </w:rPr>
        <w:footnoteReference w:id="1154"/>
      </w:r>
      <w:r w:rsidRPr="001D62A1">
        <w:t xml:space="preserve"> Nonetheless, we note that none of the service providers appear to have engaged in the revised proposals or subsequent submissions with the potential risks and implications of material retrospective changes made to the RBA curve.</w:t>
      </w:r>
    </w:p>
    <w:p w:rsidR="00E6234D" w:rsidRPr="00D729CA" w:rsidRDefault="00E6234D" w:rsidP="00E6234D">
      <w:r w:rsidRPr="00D729CA">
        <w:t>In this section, we have addressed the following substantially new issues raised by the service providers and their consultants:</w:t>
      </w:r>
    </w:p>
    <w:p w:rsidR="00E6234D" w:rsidRPr="00D729CA" w:rsidRDefault="00E6234D" w:rsidP="00E6234D">
      <w:pPr>
        <w:pStyle w:val="AERbulletlistfirststyle"/>
      </w:pPr>
      <w:r w:rsidRPr="00D729CA">
        <w:t>the comparative movement of the yield estimates between the RBA and BVAL curves</w:t>
      </w:r>
    </w:p>
    <w:p w:rsidR="00E6234D" w:rsidRPr="00D729CA" w:rsidRDefault="00E6234D" w:rsidP="00E6234D">
      <w:pPr>
        <w:pStyle w:val="AERbulletlistfirststyle"/>
      </w:pPr>
      <w:r w:rsidRPr="00D729CA">
        <w:t>the incremental impact of the Asciano bond on the implied DRPs in the Bloomberg curve</w:t>
      </w:r>
    </w:p>
    <w:p w:rsidR="00E6234D" w:rsidRPr="00D729CA" w:rsidRDefault="00E6234D" w:rsidP="00E6234D">
      <w:pPr>
        <w:pStyle w:val="AERbulletlistfirststyle"/>
      </w:pPr>
      <w:r w:rsidRPr="00D729CA">
        <w:t>CEG's analysis of sample size</w:t>
      </w:r>
    </w:p>
    <w:p w:rsidR="00E6234D" w:rsidRPr="00D729CA" w:rsidRDefault="00E6234D" w:rsidP="00E6234D">
      <w:pPr>
        <w:pStyle w:val="AERbulletlistfirststyle"/>
      </w:pPr>
      <w:r w:rsidRPr="00D729CA">
        <w:t xml:space="preserve">CEG's analysis of foreign bonds </w:t>
      </w:r>
    </w:p>
    <w:p w:rsidR="00E6234D" w:rsidRPr="00D729CA" w:rsidRDefault="00E6234D" w:rsidP="00E6234D">
      <w:pPr>
        <w:pStyle w:val="HeadingBoldBlue"/>
        <w:rPr>
          <w:rStyle w:val="AERtextitalic"/>
        </w:rPr>
      </w:pPr>
      <w:r w:rsidRPr="00D729CA">
        <w:rPr>
          <w:rStyle w:val="AERtextitalic"/>
        </w:rPr>
        <w:t>Comparative movement of yield estimates</w:t>
      </w:r>
    </w:p>
    <w:p w:rsidR="00E6234D" w:rsidRPr="00D729CA" w:rsidRDefault="00E6234D" w:rsidP="00E6234D">
      <w:r w:rsidRPr="00D729CA">
        <w:t>In its reports and memoranda, CEG has used comparative movements of yield estimates to compare and critique the BVAL curve compared to the RBA and Reuters curves.</w:t>
      </w:r>
      <w:r w:rsidRPr="00D729CA">
        <w:rPr>
          <w:rStyle w:val="FootnoteReference"/>
        </w:rPr>
        <w:footnoteReference w:id="1155"/>
      </w:r>
      <w:r w:rsidRPr="00D729CA">
        <w:t xml:space="preserve"> We are not satisfied that this type of analysis can robustly demonstrate that either curve clearly better reflects the costs faced by a benchmark efficient entity. More generally, we are not persuaded that time-series or cross-sectional comparisons between curve outputs are reliable or consistent ways to determine which curve produces a result that is most consistent with benchmark efficient costs. This is because the published yield curves are the best available source of information on costs of debt in prevailing market circumstances. </w:t>
      </w:r>
    </w:p>
    <w:p w:rsidR="00E6234D" w:rsidRPr="00D729CA" w:rsidRDefault="00E6234D" w:rsidP="00E6234D">
      <w:r w:rsidRPr="00D729CA">
        <w:t>Different market experts may come to different views about the best approaches to estimating yield curves. For example, Bloomberg, the RBA and Thompson Reuters appear all to adopt distinct bond selection criteria and distinct curve fitting methodologies. We have assessed the RBA and BVAL curves through a detailed analysis of their underlying technical characteristics, including analysis from expert consultants.</w:t>
      </w:r>
      <w:r w:rsidRPr="00D729CA">
        <w:rPr>
          <w:rStyle w:val="FootnoteReference"/>
        </w:rPr>
        <w:footnoteReference w:id="1156"/>
      </w:r>
      <w:r w:rsidRPr="00D729CA">
        <w:t xml:space="preserve"> Our analysis and expert advice supported a conclusion that both curves had strengths and weaknesses, but that neither was clearly superior. Therefore, we do not agree that it is robust or informative to compare the outputs of the two curves against each other. </w:t>
      </w:r>
    </w:p>
    <w:p w:rsidR="00E6234D" w:rsidRPr="00D729CA" w:rsidRDefault="00E6234D" w:rsidP="00E6234D">
      <w:r w:rsidRPr="00D729CA">
        <w:t xml:space="preserve">Nonetheless, to the extent that these comparisons are informative, we are not persuaded that a comparison of the Bloomberg and RBA curves suggest anomalous performance of either curve. </w:t>
      </w:r>
      <w:r w:rsidRPr="00D729CA">
        <w:fldChar w:fldCharType="begin"/>
      </w:r>
      <w:r w:rsidRPr="00D729CA">
        <w:instrText xml:space="preserve"> REF _Ref448326341 \h </w:instrText>
      </w:r>
      <w:r w:rsidRPr="00D729CA">
        <w:fldChar w:fldCharType="separate"/>
      </w:r>
      <w:r w:rsidR="003F1AAB" w:rsidRPr="00D729CA">
        <w:t xml:space="preserve">Figure </w:t>
      </w:r>
      <w:r w:rsidR="003F1AAB">
        <w:rPr>
          <w:noProof/>
        </w:rPr>
        <w:t>3</w:t>
      </w:r>
      <w:r w:rsidR="003F1AAB">
        <w:noBreakHyphen/>
      </w:r>
      <w:r w:rsidR="003F1AAB">
        <w:rPr>
          <w:noProof/>
        </w:rPr>
        <w:t>20</w:t>
      </w:r>
      <w:r w:rsidRPr="00D729CA">
        <w:fldChar w:fldCharType="end"/>
      </w:r>
      <w:r w:rsidRPr="00D729CA">
        <w:t xml:space="preserve"> illustrates the comparative movement of the curves since publication of the AER's guideline. While the curves produce materially different results at specific points in time, they appear to have consistently reflected the same underlying debt market movements</w:t>
      </w:r>
    </w:p>
    <w:p w:rsidR="00E6234D" w:rsidRPr="00D729CA" w:rsidRDefault="00E6234D" w:rsidP="00E6234D">
      <w:pPr>
        <w:pStyle w:val="Caption"/>
      </w:pPr>
      <w:bookmarkStart w:id="395" w:name="_Ref448326341"/>
      <w:r w:rsidRPr="00D729CA">
        <w:t xml:space="preserve">Figure </w:t>
      </w:r>
      <w:fldSimple w:instr=" STYLEREF 1 \s ">
        <w:r w:rsidR="003F1AAB">
          <w:rPr>
            <w:noProof/>
          </w:rPr>
          <w:t>3</w:t>
        </w:r>
      </w:fldSimple>
      <w:r w:rsidR="00E4520A">
        <w:noBreakHyphen/>
      </w:r>
      <w:fldSimple w:instr=" SEQ Figure \* ARABIC \s 1 ">
        <w:r w:rsidR="003F1AAB">
          <w:rPr>
            <w:noProof/>
          </w:rPr>
          <w:t>20</w:t>
        </w:r>
      </w:fldSimple>
      <w:bookmarkEnd w:id="395"/>
      <w:r w:rsidRPr="00D729CA">
        <w:tab/>
        <w:t xml:space="preserve">Comparison of RBA and BVAL yields </w:t>
      </w:r>
    </w:p>
    <w:p w:rsidR="00E6234D" w:rsidRPr="00D729CA" w:rsidRDefault="00E6234D" w:rsidP="00E6234D">
      <w:r w:rsidRPr="00E6234D">
        <w:rPr>
          <w:noProof/>
          <w:lang w:eastAsia="en-AU"/>
        </w:rPr>
        <w:drawing>
          <wp:inline distT="0" distB="0" distL="0" distR="0" wp14:anchorId="04E01956" wp14:editId="2438A1C1">
            <wp:extent cx="5401310" cy="360299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inline>
        </w:drawing>
      </w:r>
    </w:p>
    <w:p w:rsidR="00E6234D" w:rsidRPr="00D729CA" w:rsidRDefault="00E6234D" w:rsidP="00E6234D">
      <w:pPr>
        <w:pStyle w:val="AERtablesource"/>
      </w:pPr>
      <w:r w:rsidRPr="00D729CA">
        <w:t>Source:</w:t>
      </w:r>
      <w:r w:rsidRPr="00D729CA">
        <w:tab/>
        <w:t>AER analysis, Bloomberg, RBA.</w:t>
      </w:r>
    </w:p>
    <w:p w:rsidR="00E6234D" w:rsidRPr="00D729CA" w:rsidRDefault="00E6234D" w:rsidP="00E6234D">
      <w:pPr>
        <w:pStyle w:val="HeadingBoldBlue"/>
        <w:rPr>
          <w:rStyle w:val="AERtextitalic"/>
        </w:rPr>
      </w:pPr>
      <w:r w:rsidRPr="00D729CA">
        <w:rPr>
          <w:rStyle w:val="AERtextitalic"/>
        </w:rPr>
        <w:t>The Asciano bond</w:t>
      </w:r>
    </w:p>
    <w:p w:rsidR="00E6234D" w:rsidRPr="00D729CA" w:rsidRDefault="00E6234D" w:rsidP="00E6234D">
      <w:r w:rsidRPr="00D729CA">
        <w:t>CEG and AusNet Services submit that the Asciano bond is having a disproportionate downward impact on the 10 year spread-to-swap estimate implied by the BVAL curve.</w:t>
      </w:r>
      <w:r w:rsidRPr="00D729CA">
        <w:rPr>
          <w:rStyle w:val="FootnoteReference"/>
        </w:rPr>
        <w:footnoteReference w:id="1157"/>
      </w:r>
      <w:r w:rsidRPr="00D729CA">
        <w:t xml:space="preserve"> Further, they submit that the movement of the Asciano bond is substantially affected by firm specific factors and therefore is not reflective of the benchmark BBB+ bond.</w:t>
      </w:r>
      <w:r w:rsidRPr="00D729CA">
        <w:rPr>
          <w:rStyle w:val="FootnoteReference"/>
        </w:rPr>
        <w:footnoteReference w:id="1158"/>
      </w:r>
      <w:r w:rsidRPr="00D729CA">
        <w:t xml:space="preserve"> However, this criticism of the BVAL curve relates to the lack of available bonds in the band beyond 7 years' term to maturity. We are not persuaded that this analysis submitted by AusNet Services of CEG raises material new issues that have not been considered previously in reaching the AER's approach prior to Bloomberg's publication of a 10 year BVAL estimate.</w:t>
      </w:r>
      <w:r w:rsidRPr="00D729CA">
        <w:br/>
      </w:r>
      <w:r w:rsidRPr="00D729CA">
        <w:br/>
        <w:t>In summary of its analysis, CEG submits that the BVAL bond selection criteria 'results in a sample containing only a single bond'.</w:t>
      </w:r>
      <w:r w:rsidRPr="00D729CA">
        <w:rPr>
          <w:rStyle w:val="FootnoteReference"/>
        </w:rPr>
        <w:footnoteReference w:id="1159"/>
      </w:r>
      <w:r w:rsidRPr="00D729CA">
        <w:t xml:space="preserve"> As noted in recent decisions,</w:t>
      </w:r>
      <w:r w:rsidRPr="00D729CA">
        <w:rPr>
          <w:rStyle w:val="FootnoteReference"/>
        </w:rPr>
        <w:footnoteReference w:id="1160"/>
      </w:r>
      <w:r w:rsidRPr="00D729CA">
        <w:t xml:space="preserve"> this is not a correct characterisation of Bloomberg's approach. In a recent report, CEG submitted that the Bloomberg estimate from beyond 7 years was exclusively informed by the CGS curve.</w:t>
      </w:r>
      <w:r w:rsidRPr="00D729CA">
        <w:rPr>
          <w:rStyle w:val="FootnoteReference"/>
        </w:rPr>
        <w:footnoteReference w:id="1161"/>
      </w:r>
      <w:r w:rsidRPr="00D729CA">
        <w:t xml:space="preserve"> In response, we corresponded with Bloomberg who confirmed that the yield estimate at 10 years is influenced by all of the constituent bonds within the curve, even where there are few or no constituent bonds within the 7 to 10 year band.</w:t>
      </w:r>
      <w:r w:rsidRPr="00D729CA">
        <w:rPr>
          <w:rStyle w:val="FootnoteReference"/>
        </w:rPr>
        <w:footnoteReference w:id="1162"/>
      </w:r>
      <w:r w:rsidRPr="00D729CA">
        <w:t xml:space="preserve"> This means that the entire bond sample within the BVAL curve is used to derive the 10 year estimate, not a single bond as CEG has submitted. While bonds closer to the 10 year term may exert a relatively greater influence on the yield estimate at points around that term, CEG's characterisation does not accurately reflect the operation of the curve.</w:t>
      </w:r>
    </w:p>
    <w:p w:rsidR="00E6234D" w:rsidRPr="00D729CA" w:rsidRDefault="00E6234D" w:rsidP="00E6234D">
      <w:r w:rsidRPr="00D729CA">
        <w:t xml:space="preserve">Overall, we conclude that there appears to be a correlative relationship between the Asciano bond and the BVAL 10 year estimate. However, we are not persuaded that there is clear evidence to suggest that the 10 year BVAL estimate is not fit for purpose. In particular, we are satisfied that the 10 year BVAL spread-to-swap estimate appears to be broadly consistent with other bonds that meet the BVAL curve's bond selection criteria. In contrast, over 2016 the spread-to-swap for the 10 year RBA estimate has been below the spreads to swap at its published 3, 5 and 7 year terms. </w:t>
      </w:r>
    </w:p>
    <w:p w:rsidR="00E6234D" w:rsidRPr="00D729CA" w:rsidRDefault="00E6234D" w:rsidP="00E6234D">
      <w:r w:rsidRPr="00D729CA">
        <w:t>We have assessed these new submissions in two sections:</w:t>
      </w:r>
    </w:p>
    <w:p w:rsidR="00E6234D" w:rsidRPr="00D729CA" w:rsidRDefault="00E6234D" w:rsidP="00E6234D">
      <w:pPr>
        <w:pStyle w:val="AERbulletlistfirststyle"/>
      </w:pPr>
      <w:r w:rsidRPr="00D729CA">
        <w:t>how sensitive the 10 year BVAL estimate is to the Asciano bond</w:t>
      </w:r>
    </w:p>
    <w:p w:rsidR="00E6234D" w:rsidRPr="00D729CA" w:rsidRDefault="00E6234D" w:rsidP="00E6234D">
      <w:pPr>
        <w:pStyle w:val="AERbulletlistfirststyle"/>
      </w:pPr>
      <w:r w:rsidRPr="00D729CA">
        <w:t>what impact this is exerting on BVAL curve estimates</w:t>
      </w:r>
    </w:p>
    <w:p w:rsidR="00E6234D" w:rsidRPr="00D729CA" w:rsidRDefault="00E6234D" w:rsidP="00E6234D">
      <w:pPr>
        <w:pStyle w:val="HeadingItalic"/>
      </w:pPr>
      <w:r w:rsidRPr="00D729CA">
        <w:t>Sensitivity of the BVAL estimate to the Asciano bond</w:t>
      </w:r>
    </w:p>
    <w:p w:rsidR="00E6234D" w:rsidRPr="00D729CA" w:rsidRDefault="00E6234D" w:rsidP="00E6234D">
      <w:r w:rsidRPr="00D729CA">
        <w:t>In its report submitted with the revised proposals, CEG highlighted the similar movements between the Asciano 10 year bond yield and the BVAL 10 year yield estimate.</w:t>
      </w:r>
      <w:r w:rsidRPr="00D729CA">
        <w:rPr>
          <w:rStyle w:val="FootnoteReference"/>
        </w:rPr>
        <w:footnoteReference w:id="1163"/>
      </w:r>
      <w:r w:rsidRPr="00D729CA">
        <w:t xml:space="preserve"> We agree that there appears to be correlation between these two yields. However, we are not persuaded that this indicates that the BVAL curve estimate is not representative of its sample more broadly. We would expect that the underlying swap curve is a key driver of yields both for individual bonds and for the BVAL 10 year estimate. Therefore, holding other things constant, it is unsurprising that there would be evidence of correlation, especially where the bond was representative of the rest of the sample underlying the yield curve. We discuss this issue in greater detail in subsequent sections. </w:t>
      </w:r>
    </w:p>
    <w:p w:rsidR="00E6234D" w:rsidRPr="00D729CA" w:rsidRDefault="00E6234D" w:rsidP="00E6234D">
      <w:r w:rsidRPr="00D729CA">
        <w:t xml:space="preserve">More recently, CEG submitted regression analysis to establish a causative relationship </w:t>
      </w:r>
      <w:proofErr w:type="gramStart"/>
      <w:r w:rsidRPr="00D729CA">
        <w:t>between the 10 year Asciano spread to swap</w:t>
      </w:r>
      <w:proofErr w:type="gramEnd"/>
      <w:r w:rsidRPr="00D729CA">
        <w:t>.</w:t>
      </w:r>
      <w:r w:rsidRPr="00D729CA">
        <w:rPr>
          <w:rStyle w:val="FootnoteReference"/>
        </w:rPr>
        <w:footnoteReference w:id="1164"/>
      </w:r>
      <w:r w:rsidRPr="00D729CA">
        <w:t xml:space="preserve"> </w:t>
      </w:r>
      <w:r>
        <w:t xml:space="preserve">As </w:t>
      </w:r>
      <w:r w:rsidRPr="00D729CA">
        <w:t>CEG's regression analysis was submitted for the first time in a late submission,</w:t>
      </w:r>
      <w:r w:rsidRPr="00D729CA">
        <w:rPr>
          <w:rStyle w:val="FootnoteReference"/>
        </w:rPr>
        <w:footnoteReference w:id="1165"/>
      </w:r>
      <w:r w:rsidRPr="00D729CA">
        <w:t xml:space="preserve"> we have had limited time to assess the new analysis in detail. However, CEG has not included a variable for an underlying base rate component (either the swap curve or CEG) in its regressions. This is important, because the swap curve is a key driver of pricing: </w:t>
      </w:r>
    </w:p>
    <w:p w:rsidR="00E6234D" w:rsidRPr="00D729CA" w:rsidRDefault="00E6234D" w:rsidP="00E6234D">
      <w:pPr>
        <w:pStyle w:val="AERbulletlistfirststyle"/>
      </w:pPr>
      <w:r w:rsidRPr="00D729CA">
        <w:t>Since the Asciano bond was issued, there is a strong negative correlation between the swap curve matching the Asciano bond’s term to maturity and the spread-to-swap on the Asciano bond.</w:t>
      </w:r>
      <w:r w:rsidRPr="00D729CA">
        <w:rPr>
          <w:rStyle w:val="FootnoteReference"/>
        </w:rPr>
        <w:footnoteReference w:id="1166"/>
      </w:r>
      <w:r w:rsidRPr="00D729CA">
        <w:t xml:space="preserve"> This suggests that, for the Asciano bond, the swap curve may be an important driver of the spread-to-swap on the Asciano bond. In turn, this might suggest that the base rate and not the spread-to-swap on the Asciano bond is a key determinant of the BVAL 10 year spread-to-swap.</w:t>
      </w:r>
    </w:p>
    <w:p w:rsidR="00E6234D" w:rsidRPr="00D729CA" w:rsidRDefault="00E6234D" w:rsidP="00E6234D">
      <w:pPr>
        <w:pStyle w:val="AERbulletlistfirststyle"/>
      </w:pPr>
      <w:r w:rsidRPr="00D729CA">
        <w:t xml:space="preserve">Similarly, we mirrored CEG's approach and </w:t>
      </w:r>
      <w:proofErr w:type="gramStart"/>
      <w:r w:rsidRPr="00D729CA">
        <w:t>regressed</w:t>
      </w:r>
      <w:proofErr w:type="gramEnd"/>
      <w:r w:rsidRPr="00D729CA">
        <w:t xml:space="preserve"> the BVAL 10 year spread-to-swap against the swap rate. This regression produced a higher R</w:t>
      </w:r>
      <w:r w:rsidRPr="00D729CA">
        <w:rPr>
          <w:rStyle w:val="AERsuperscript"/>
        </w:rPr>
        <w:t>2</w:t>
      </w:r>
      <w:r w:rsidRPr="00D729CA">
        <w:t xml:space="preserve"> value (0.95) than CEG's regression (0.93). This might indicate a degree of multicollinearity within the regression, which would in turn suggest that CEG's results should be interpreted cautiously.</w:t>
      </w:r>
    </w:p>
    <w:p w:rsidR="00E6234D" w:rsidRPr="00D729CA" w:rsidRDefault="00E6234D" w:rsidP="00E6234D">
      <w:r w:rsidRPr="00D729CA">
        <w:t>CEG also does not appear to have tested:</w:t>
      </w:r>
    </w:p>
    <w:p w:rsidR="00E6234D" w:rsidRPr="00D729CA" w:rsidRDefault="00E6234D" w:rsidP="00E6234D">
      <w:pPr>
        <w:pStyle w:val="AERbulletlistfirststyle"/>
      </w:pPr>
      <w:r w:rsidRPr="00D729CA">
        <w:t>the impact of any variable for the base rate, either a risk free rate (CGS) or a swap rate (ADSWAP)</w:t>
      </w:r>
    </w:p>
    <w:p w:rsidR="00E6234D" w:rsidRPr="00D729CA" w:rsidRDefault="00E6234D" w:rsidP="00E6234D">
      <w:pPr>
        <w:pStyle w:val="AERbulletlistfirststyle"/>
      </w:pPr>
      <w:r w:rsidRPr="00D729CA">
        <w:t>whether spreads to swap within either the RBA or BVAL samples are substantially influenced by movements in the risk free rate or swap curve</w:t>
      </w:r>
    </w:p>
    <w:p w:rsidR="00E6234D" w:rsidRPr="00D729CA" w:rsidRDefault="00E6234D" w:rsidP="00E6234D">
      <w:pPr>
        <w:pStyle w:val="AERbulletlistfirststyle"/>
      </w:pPr>
      <w:proofErr w:type="gramStart"/>
      <w:r w:rsidRPr="00D729CA">
        <w:t>the</w:t>
      </w:r>
      <w:proofErr w:type="gramEnd"/>
      <w:r w:rsidRPr="00D729CA">
        <w:t xml:space="preserve"> consequences of these issues for the explanatory power of its submission.</w:t>
      </w:r>
    </w:p>
    <w:p w:rsidR="00E6234D" w:rsidRPr="00D729CA" w:rsidRDefault="00E6234D" w:rsidP="00E6234D">
      <w:r w:rsidRPr="00D729CA">
        <w:t>In addition, CEG has not explained methodological choices and assumptions in its regression. For example, CEG has:</w:t>
      </w:r>
    </w:p>
    <w:p w:rsidR="00E6234D" w:rsidRPr="00D729CA" w:rsidRDefault="00E6234D" w:rsidP="00E6234D">
      <w:pPr>
        <w:pStyle w:val="AERbulletlistfirststyle"/>
      </w:pPr>
      <w:r w:rsidRPr="00D729CA">
        <w:t>combined spreads to swaps for individual bonds into weekly averages prior to undertaking regressions—it is unclear how this improves the efficacy of the regression, but it does appear to reduce the number of observations and mask potential variation in these underlying data points</w:t>
      </w:r>
    </w:p>
    <w:p w:rsidR="00E6234D" w:rsidRPr="00D729CA" w:rsidRDefault="00E6234D" w:rsidP="00E6234D">
      <w:pPr>
        <w:pStyle w:val="AERbulletlistfirststyle"/>
      </w:pPr>
      <w:r w:rsidRPr="00D729CA">
        <w:t>averaged all bond data within term-to-maturity bands—again, it is unclear how this improves the efficacy of the regression, but it does appear to reduce the number of observations and mask potential variation in these underlying data points.</w:t>
      </w:r>
    </w:p>
    <w:p w:rsidR="00E6234D" w:rsidRPr="00D729CA" w:rsidRDefault="00E6234D" w:rsidP="00E6234D">
      <w:r w:rsidRPr="00D729CA">
        <w:t xml:space="preserve">Overall, we are not satisfied that CEG's regression analysis persuasively indicates that the 10 year BVAL estimate is not fit for purpose. Further, </w:t>
      </w:r>
      <w:r>
        <w:t>t</w:t>
      </w:r>
      <w:r w:rsidRPr="00D729CA">
        <w:t>his analysis was submitted allowing very little time for assessment, and CEG has undertaken minimal testing and explanation of its methodological choices.</w:t>
      </w:r>
    </w:p>
    <w:p w:rsidR="00E6234D" w:rsidRPr="00D729CA" w:rsidRDefault="00E6234D" w:rsidP="00E6234D">
      <w:pPr>
        <w:pStyle w:val="HeadingItalic"/>
      </w:pPr>
      <w:r w:rsidRPr="00D729CA">
        <w:t>Impact of the Asciano bond on the BVAL estimate</w:t>
      </w:r>
    </w:p>
    <w:p w:rsidR="00E6234D" w:rsidRPr="00D729CA" w:rsidRDefault="00E6234D" w:rsidP="00E6234D">
      <w:r w:rsidRPr="00D729CA">
        <w:t>If the 10 year spread-to-swap estimate is disproportionately and downwardly impacted by an influential and unrepresentative bond, we would expect to see this reflected in the margin between 7 and 10 year spread-to-swap estimates. Specifically, in these circumstances we would expect to see a relatively smaller margin between the 7 and 10 year spread-to-swap estimates compared to the RBA curve, which CEG submits is not affected by this disproportionate impact.</w:t>
      </w:r>
      <w:r w:rsidRPr="00D729CA">
        <w:rPr>
          <w:rStyle w:val="FootnoteReference"/>
        </w:rPr>
        <w:footnoteReference w:id="1167"/>
      </w:r>
      <w:r w:rsidRPr="00D729CA">
        <w:t xml:space="preserve"> </w:t>
      </w:r>
    </w:p>
    <w:p w:rsidR="00E6234D" w:rsidRPr="00D729CA" w:rsidRDefault="00E6234D" w:rsidP="00E6234D">
      <w:pPr>
        <w:pStyle w:val="Caption"/>
      </w:pPr>
      <w:bookmarkStart w:id="396" w:name="_Ref444068389"/>
      <w:r w:rsidRPr="00D729CA">
        <w:t xml:space="preserve">Figure </w:t>
      </w:r>
      <w:fldSimple w:instr=" STYLEREF 1 \s ">
        <w:r w:rsidR="003F1AAB">
          <w:rPr>
            <w:noProof/>
          </w:rPr>
          <w:t>3</w:t>
        </w:r>
      </w:fldSimple>
      <w:r w:rsidR="00E4520A">
        <w:noBreakHyphen/>
      </w:r>
      <w:fldSimple w:instr=" SEQ Figure \* ARABIC \s 1 ">
        <w:r w:rsidR="003F1AAB">
          <w:rPr>
            <w:noProof/>
          </w:rPr>
          <w:t>21</w:t>
        </w:r>
      </w:fldSimple>
      <w:bookmarkEnd w:id="396"/>
      <w:r w:rsidRPr="00D729CA">
        <w:tab/>
        <w:t>Comparison of 7 to 10 year spreads to swap between the published 10 year Bloomberg estimate and the extrapolated RBA estimates</w:t>
      </w:r>
    </w:p>
    <w:p w:rsidR="00E6234D" w:rsidRPr="00D729CA" w:rsidRDefault="00E6234D" w:rsidP="00E6234D">
      <w:r w:rsidRPr="00E6234D">
        <w:rPr>
          <w:noProof/>
          <w:lang w:eastAsia="en-AU"/>
        </w:rPr>
        <w:drawing>
          <wp:inline distT="0" distB="0" distL="0" distR="0" wp14:anchorId="2BA24038" wp14:editId="0A867109">
            <wp:extent cx="5047615" cy="3426460"/>
            <wp:effectExtent l="0" t="0" r="63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7615" cy="3426460"/>
                    </a:xfrm>
                    <a:prstGeom prst="rect">
                      <a:avLst/>
                    </a:prstGeom>
                    <a:noFill/>
                  </pic:spPr>
                </pic:pic>
              </a:graphicData>
            </a:graphic>
          </wp:inline>
        </w:drawing>
      </w:r>
    </w:p>
    <w:p w:rsidR="00E6234D" w:rsidRPr="00D729CA" w:rsidRDefault="00E6234D" w:rsidP="00E6234D">
      <w:pPr>
        <w:pStyle w:val="AERtablesource"/>
      </w:pPr>
      <w:r w:rsidRPr="00D729CA">
        <w:t>Note:</w:t>
      </w:r>
      <w:r w:rsidRPr="00D729CA">
        <w:tab/>
        <w:t>In this chart, we have charted the published RBA figures, rather than the interpolated figures. This is because, in comparing the performance of the underlying curves, we consider it is appropriate to do so with the fewest possible manipulations to its published form. This allows us to differentiate between spread movements caused by the inherent characteristics of the published curve, as opposed to further adjustments made in the regulatory process. When calculating the return on debt for specific averaging periods, we are required to interpolate between these month end estimates.</w:t>
      </w:r>
    </w:p>
    <w:p w:rsidR="00E6234D" w:rsidRPr="00D729CA" w:rsidRDefault="00E6234D" w:rsidP="00E6234D">
      <w:r w:rsidRPr="00D729CA">
        <w:t xml:space="preserve">As set out in </w:t>
      </w:r>
      <w:r w:rsidRPr="00D729CA">
        <w:fldChar w:fldCharType="begin"/>
      </w:r>
      <w:r w:rsidRPr="00D729CA">
        <w:instrText xml:space="preserve"> REF _Ref444068389 \h  \* MERGEFORMAT </w:instrText>
      </w:r>
      <w:r w:rsidRPr="00D729CA">
        <w:fldChar w:fldCharType="separate"/>
      </w:r>
      <w:r w:rsidR="003F1AAB" w:rsidRPr="00D729CA">
        <w:t xml:space="preserve">Figure </w:t>
      </w:r>
      <w:r w:rsidR="003F1AAB">
        <w:t>3</w:t>
      </w:r>
      <w:r w:rsidR="003F1AAB">
        <w:noBreakHyphen/>
        <w:t>21</w:t>
      </w:r>
      <w:r w:rsidRPr="00D729CA">
        <w:fldChar w:fldCharType="end"/>
      </w:r>
      <w:r w:rsidRPr="00D729CA">
        <w:t xml:space="preserve">, the DRP margin between the BVAL 10 and 7 year estimates has been similar to or higher than the same margin for the RBA curve since August 2015. This may reflect a range of different factors in underlying bond market conditions at the seven year term or at shorter terms. However, we are not persuaded that there is evidence the Bloomberg 10 year spread-to-swap is artificially depressed compared to </w:t>
      </w:r>
      <w:proofErr w:type="gramStart"/>
      <w:r w:rsidRPr="00D729CA">
        <w:t>peer</w:t>
      </w:r>
      <w:proofErr w:type="gramEnd"/>
      <w:r w:rsidRPr="00D729CA">
        <w:t xml:space="preserve"> bonds that meet Bloomberg's bond selection criteria.</w:t>
      </w:r>
    </w:p>
    <w:p w:rsidR="00E6234D" w:rsidRPr="00E6234D" w:rsidRDefault="00E6234D" w:rsidP="00E6234D">
      <w:pPr>
        <w:pStyle w:val="HeadingItalic"/>
      </w:pPr>
      <w:r w:rsidRPr="00D729CA">
        <w:t>Representativeness of the Asciano bond</w:t>
      </w:r>
    </w:p>
    <w:p w:rsidR="00E6234D" w:rsidRPr="00D729CA" w:rsidRDefault="00E6234D" w:rsidP="00E6234D">
      <w:r w:rsidRPr="00D729CA">
        <w:t>In CEG's analysis, it compares the movement of the Asciano curve over January 2015 to bonds issued exclusively in Europe or the United States.</w:t>
      </w:r>
      <w:r w:rsidRPr="00D729CA">
        <w:rPr>
          <w:rStyle w:val="FootnoteReference"/>
        </w:rPr>
        <w:footnoteReference w:id="1168"/>
      </w:r>
      <w:r w:rsidRPr="00D729CA">
        <w:t xml:space="preserve"> Its analysis suggests that the Asciano bond has performed differently to the comparator bonds and that this indicates it is not representative of the benchmark entity. However, it is unsurprising that different market circumstances would divergently affect bonds issued in different markets. </w:t>
      </w:r>
    </w:p>
    <w:p w:rsidR="00E6234D" w:rsidRPr="00D729CA" w:rsidRDefault="00E6234D" w:rsidP="00E6234D">
      <w:r w:rsidRPr="00D729CA">
        <w:t xml:space="preserve">To illustrate this, </w:t>
      </w:r>
      <w:r w:rsidRPr="00D729CA">
        <w:fldChar w:fldCharType="begin"/>
      </w:r>
      <w:r w:rsidRPr="00D729CA">
        <w:instrText xml:space="preserve"> REF _Ref447617152 \h </w:instrText>
      </w:r>
      <w:r w:rsidRPr="00D729CA">
        <w:fldChar w:fldCharType="separate"/>
      </w:r>
      <w:r w:rsidR="003F1AAB" w:rsidRPr="00D729CA">
        <w:t xml:space="preserve">Figure </w:t>
      </w:r>
      <w:r w:rsidR="003F1AAB">
        <w:rPr>
          <w:noProof/>
        </w:rPr>
        <w:t>3</w:t>
      </w:r>
      <w:r w:rsidR="003F1AAB">
        <w:noBreakHyphen/>
      </w:r>
      <w:r w:rsidR="003F1AAB">
        <w:rPr>
          <w:noProof/>
        </w:rPr>
        <w:t>22</w:t>
      </w:r>
      <w:r w:rsidRPr="00D729CA">
        <w:fldChar w:fldCharType="end"/>
      </w:r>
      <w:r w:rsidRPr="00D729CA">
        <w:t xml:space="preserve"> sets out the spreads to swap for the published RBA and BVAL estimates over Jan</w:t>
      </w:r>
      <w:r>
        <w:t>uary</w:t>
      </w:r>
      <w:r w:rsidRPr="00D729CA">
        <w:t xml:space="preserve"> 2016 to March 2016.</w:t>
      </w:r>
    </w:p>
    <w:p w:rsidR="00E6234D" w:rsidRPr="00D729CA" w:rsidRDefault="00E6234D" w:rsidP="00E6234D">
      <w:pPr>
        <w:pStyle w:val="Caption"/>
      </w:pPr>
      <w:bookmarkStart w:id="397" w:name="_Ref447617152"/>
      <w:r w:rsidRPr="00D729CA">
        <w:t xml:space="preserve">Figure </w:t>
      </w:r>
      <w:fldSimple w:instr=" STYLEREF 1 \s ">
        <w:r w:rsidR="003F1AAB">
          <w:rPr>
            <w:noProof/>
          </w:rPr>
          <w:t>3</w:t>
        </w:r>
      </w:fldSimple>
      <w:r w:rsidR="00E4520A">
        <w:noBreakHyphen/>
      </w:r>
      <w:fldSimple w:instr=" SEQ Figure \* ARABIC \s 1 ">
        <w:r w:rsidR="003F1AAB">
          <w:rPr>
            <w:noProof/>
          </w:rPr>
          <w:t>22</w:t>
        </w:r>
      </w:fldSimple>
      <w:bookmarkEnd w:id="397"/>
      <w:r w:rsidRPr="00D729CA">
        <w:t xml:space="preserve"> Spread-to-swap profile for published curves in 2016</w:t>
      </w:r>
    </w:p>
    <w:p w:rsidR="00E6234D" w:rsidRPr="00D729CA" w:rsidRDefault="00E6234D" w:rsidP="00E6234D">
      <w:r w:rsidRPr="00E6234D">
        <w:rPr>
          <w:noProof/>
          <w:lang w:eastAsia="en-AU"/>
        </w:rPr>
        <w:drawing>
          <wp:inline distT="0" distB="0" distL="0" distR="0" wp14:anchorId="62AB2971" wp14:editId="5B61BAF7">
            <wp:extent cx="5218430" cy="318833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8430" cy="3188335"/>
                    </a:xfrm>
                    <a:prstGeom prst="rect">
                      <a:avLst/>
                    </a:prstGeom>
                    <a:noFill/>
                  </pic:spPr>
                </pic:pic>
              </a:graphicData>
            </a:graphic>
          </wp:inline>
        </w:drawing>
      </w:r>
    </w:p>
    <w:p w:rsidR="00E6234D" w:rsidRPr="00D729CA" w:rsidRDefault="00E6234D" w:rsidP="00E6234D">
      <w:pPr>
        <w:pStyle w:val="AERtablesource"/>
      </w:pPr>
      <w:r w:rsidRPr="00D729CA">
        <w:t xml:space="preserve">Source: </w:t>
      </w:r>
      <w:r>
        <w:tab/>
      </w:r>
      <w:r w:rsidRPr="00D729CA">
        <w:t>AER analysis, RBA</w:t>
      </w:r>
      <w:r>
        <w:t>.</w:t>
      </w:r>
    </w:p>
    <w:p w:rsidR="00E6234D" w:rsidRPr="00D729CA" w:rsidRDefault="00E6234D" w:rsidP="00E6234D">
      <w:r w:rsidRPr="00D729CA">
        <w:t>The different shapes of these spreads to swaps across the entire term spectrum suggest that significant factors other rather than simply the Asciano bond are influencing the different spreads to swap between the two curves. It is not clear which shape is more accurately reflecting debt market conditions, however:</w:t>
      </w:r>
    </w:p>
    <w:p w:rsidR="00E6234D" w:rsidRPr="00D729CA" w:rsidRDefault="00E6234D" w:rsidP="00E6234D">
      <w:pPr>
        <w:pStyle w:val="AERbulletlistfirststyle"/>
      </w:pPr>
      <w:r w:rsidRPr="00D729CA">
        <w:t>the BVAL spread-to-swap curve reflects a more 'typical' upward sloping yield curve</w:t>
      </w:r>
    </w:p>
    <w:p w:rsidR="00E6234D" w:rsidRPr="00D729CA" w:rsidRDefault="00E6234D" w:rsidP="00E6234D">
      <w:pPr>
        <w:pStyle w:val="AERbulletlistfirststyle"/>
      </w:pPr>
      <w:proofErr w:type="gramStart"/>
      <w:r w:rsidRPr="00D729CA">
        <w:t>the</w:t>
      </w:r>
      <w:proofErr w:type="gramEnd"/>
      <w:r w:rsidRPr="00D729CA">
        <w:t xml:space="preserve"> RBA curve in 2016 has consistently exhibited a higher spread-to-swap at the 3 year published estimate compared to the 10 year published estimate. </w:t>
      </w:r>
    </w:p>
    <w:p w:rsidR="00E6234D" w:rsidRPr="00D729CA" w:rsidRDefault="00E6234D" w:rsidP="00E6234D">
      <w:r w:rsidRPr="00D729CA">
        <w:t>Specifically, in its most recent report,</w:t>
      </w:r>
      <w:r w:rsidRPr="00D729CA">
        <w:rPr>
          <w:rStyle w:val="FootnoteReference"/>
        </w:rPr>
        <w:footnoteReference w:id="1169"/>
      </w:r>
      <w:r w:rsidRPr="00D729CA">
        <w:t xml:space="preserve"> CEG cited a prior report in which it submitted the following argument for not recommending sole use of Bloomberg's prior curve (the BFVC) during the GFC:</w:t>
      </w:r>
    </w:p>
    <w:p w:rsidR="00E6234D" w:rsidRPr="00D729CA" w:rsidRDefault="00E6234D" w:rsidP="00E6234D">
      <w:pPr>
        <w:pStyle w:val="AERquote"/>
      </w:pPr>
      <w:r w:rsidRPr="00D729CA">
        <w:t>It would give rise to estimates that are inconsistent with standard predictions of finance theory in that it would impose a downward sloping term structure for credit spreads (and inconsistent with a clear upward slope where there is available data);</w:t>
      </w:r>
    </w:p>
    <w:p w:rsidR="00E6234D" w:rsidRPr="00D729CA" w:rsidRDefault="00E6234D" w:rsidP="00E6234D">
      <w:r w:rsidRPr="00D729CA">
        <w:t>CEG has not indicated in its recent reports that it considers this reason is no longer valid, and has directly cited this passage of text in its most recent report. However, this observation would appear equally to suggest that the RBA curve in current circumstances gives rise to estimates which are 'inconsistent with the standard predictions of finance theory'. In contrast, the BVAL curve has remained consistently upward sloping, and by this standard would appear to be more consistent with CEG's interpretation of finance theory. CEG has not addressed this issue in its report or in its 2016 memoranda, nor explained why it remains unconcerned at the consistent downward sloping observations observed in the RBA curve. In addition, we note that we do not agree that an inverted yield curve appears to be 'inconsistent with finance theory'.</w:t>
      </w:r>
    </w:p>
    <w:p w:rsidR="00E6234D" w:rsidRPr="00D729CA" w:rsidRDefault="00E6234D" w:rsidP="00E6234D">
      <w:r w:rsidRPr="00D729CA">
        <w:t>AusNet Services submitted further qualitative analysis of why it considers the Asciano bond would artificially depress the BVAL estimates.</w:t>
      </w:r>
      <w:r w:rsidRPr="00D729CA">
        <w:rPr>
          <w:rStyle w:val="FootnoteReference"/>
        </w:rPr>
        <w:footnoteReference w:id="1170"/>
      </w:r>
      <w:r w:rsidRPr="00D729CA">
        <w:t xml:space="preserve"> Overall, we consider AusNet's analysis draws unsubstantiated qualitative conclusions about an empirical question of relative valuation. AusNet Services argues that the impact of the takeover bid for Asciano:</w:t>
      </w:r>
    </w:p>
    <w:p w:rsidR="00E6234D" w:rsidRPr="00D729CA" w:rsidRDefault="00E6234D" w:rsidP="00E6234D">
      <w:pPr>
        <w:pStyle w:val="AERbulletlistfirststyle"/>
      </w:pPr>
      <w:r w:rsidRPr="00D729CA">
        <w:t>would necessarily have led to a downward impact on the yield of the Asciano bond</w:t>
      </w:r>
    </w:p>
    <w:p w:rsidR="00E6234D" w:rsidRPr="00D729CA" w:rsidRDefault="00E6234D" w:rsidP="00E6234D">
      <w:pPr>
        <w:pStyle w:val="AERbulletlistfirststyle"/>
      </w:pPr>
      <w:proofErr w:type="gramStart"/>
      <w:r w:rsidRPr="00D729CA">
        <w:t>would</w:t>
      </w:r>
      <w:proofErr w:type="gramEnd"/>
      <w:r w:rsidRPr="00D729CA">
        <w:t xml:space="preserve"> have swamped other market impacts on the spread-to-swap of the Asciano bond, such that it was unrepresentative of its sample group.</w:t>
      </w:r>
    </w:p>
    <w:p w:rsidR="00E6234D" w:rsidRPr="00D729CA" w:rsidRDefault="00E6234D" w:rsidP="00E6234D">
      <w:r w:rsidRPr="00D729CA">
        <w:t>However, we are not satisfied that there is persuasive evidence in support of these arguments. The analysis submitted by CEG and AusNet services may support a conclusion that the movements in the Asciano bond are not representative in the movements of bonds issued in European and American bond markets. However, yields on both the Reuters and BVAL curves have trended downwards since November 2015, where the RBA curve has trended upwards.</w:t>
      </w:r>
      <w:r w:rsidRPr="00D729CA">
        <w:rPr>
          <w:rStyle w:val="FootnoteReference"/>
        </w:rPr>
        <w:footnoteReference w:id="1171"/>
      </w:r>
      <w:r w:rsidRPr="00D729CA">
        <w:t xml:space="preserve"> As set out in our previous decisions, the BVAL bond criteria includes only AUD denominated bonds.</w:t>
      </w:r>
      <w:r w:rsidRPr="00D729CA">
        <w:rPr>
          <w:rStyle w:val="FootnoteReference"/>
        </w:rPr>
        <w:footnoteReference w:id="1172"/>
      </w:r>
      <w:r w:rsidRPr="00D729CA">
        <w:t xml:space="preserve"> The Reuters criteria similarly allow only AUD denominated bonds.</w:t>
      </w:r>
      <w:r w:rsidRPr="00D729CA">
        <w:rPr>
          <w:rStyle w:val="FootnoteReference"/>
        </w:rPr>
        <w:footnoteReference w:id="1173"/>
      </w:r>
      <w:r w:rsidRPr="00D729CA">
        <w:t xml:space="preserve"> In contrast, the RBA curve includes AUD denominated bonds, but the majority of bonds within the RBA curve are USD or EU denominated.</w:t>
      </w:r>
      <w:r w:rsidRPr="00D729CA">
        <w:rPr>
          <w:rStyle w:val="FootnoteReference"/>
        </w:rPr>
        <w:footnoteReference w:id="1174"/>
      </w:r>
      <w:r w:rsidRPr="00D729CA">
        <w:t xml:space="preserve"> </w:t>
      </w:r>
    </w:p>
    <w:p w:rsidR="00E6234D" w:rsidRPr="00D729CA" w:rsidRDefault="00E6234D" w:rsidP="00E6234D">
      <w:r w:rsidRPr="00D729CA">
        <w:t>Further, even to the extent there is a transient downward bias, it is not clear that this would result in a worse estimate of the costs faced by a benchmark efficient entity. We consider that our implementation of the return on debt estimate includes several conservative features:</w:t>
      </w:r>
    </w:p>
    <w:p w:rsidR="00E6234D" w:rsidRPr="00D729CA" w:rsidRDefault="00E6234D" w:rsidP="00E6234D">
      <w:pPr>
        <w:pStyle w:val="AERbulletlistfirststyle"/>
      </w:pPr>
      <w:r w:rsidRPr="00D729CA">
        <w:t>While we have adopted a 10 year benchmark term, this was based on a weighted average term to maturity of 8.7 years.</w:t>
      </w:r>
      <w:r w:rsidRPr="00D729CA">
        <w:rPr>
          <w:rStyle w:val="FootnoteReference"/>
        </w:rPr>
        <w:footnoteReference w:id="1175"/>
      </w:r>
      <w:r w:rsidRPr="00D729CA">
        <w:t xml:space="preserve"> We have extrapolated both the RBA and Bloomberg curves for consistency with our benchmark. However, this arguably introduces an upward bias into our estimate in more common circumstances where the yield curve is upward sloping.</w:t>
      </w:r>
    </w:p>
    <w:p w:rsidR="00E6234D" w:rsidRPr="00D729CA" w:rsidRDefault="00E6234D" w:rsidP="00E6234D">
      <w:pPr>
        <w:pStyle w:val="AERbulletlistfirststyle"/>
      </w:pPr>
      <w:r w:rsidRPr="00D729CA">
        <w:t xml:space="preserve">While we have adopted an industry benchmark credit rating of BBB+, both the BVAL and RBA curves include BBB+, BBB and BBB– rated bonds. </w:t>
      </w:r>
    </w:p>
    <w:p w:rsidR="00E6234D" w:rsidRPr="00D729CA" w:rsidRDefault="00E6234D" w:rsidP="00E6234D">
      <w:r w:rsidRPr="00D729CA">
        <w:t>Finally, even if we were not to adopt the BVAL 10 year estimate, our final decision would be to adopt the BVAL 7 year estimate extrapolated as per the methodology set out in our contingencies. We are not satisfied that any information submitted by stakeholders raises material new concerns with the BVAL's 7 year estimate that were not considered in previous decisions. Therefore, we remain satisfied that the reasons underlying our choice of approach, as upheld by the Tribunal, remain valid.</w:t>
      </w:r>
      <w:r w:rsidRPr="00D729CA">
        <w:rPr>
          <w:rStyle w:val="FootnoteReference"/>
        </w:rPr>
        <w:footnoteReference w:id="1176"/>
      </w:r>
      <w:r w:rsidRPr="00D729CA">
        <w:t xml:space="preserve"> To the extent that there are shortcomings in the BVAL curve beyond its 7 year published estimate, we are not persuaded it is appropriate to discard the BVAL curve altogether. We consider it would remain an important and robust source of information, and would adopt the approach that we used in decisions prior to Bloomberg's publication of a 10 year estimate.</w:t>
      </w:r>
    </w:p>
    <w:p w:rsidR="00E6234D" w:rsidRPr="00D729CA" w:rsidRDefault="00E6234D" w:rsidP="00E6234D">
      <w:r w:rsidRPr="00D729CA">
        <w:t xml:space="preserve">Over AusNet Services' averaging period, the average 7–10 year extrapolation margins are as set out in </w:t>
      </w:r>
      <w:r w:rsidRPr="00D729CA">
        <w:fldChar w:fldCharType="begin"/>
      </w:r>
      <w:r w:rsidRPr="00D729CA">
        <w:instrText xml:space="preserve"> REF _Ref449100287 \h </w:instrText>
      </w:r>
      <w:r w:rsidRPr="00D729CA">
        <w:fldChar w:fldCharType="separate"/>
      </w:r>
      <w:r w:rsidR="003F1AAB" w:rsidRPr="00D729CA">
        <w:t xml:space="preserve">Table </w:t>
      </w:r>
      <w:r w:rsidR="003F1AAB">
        <w:rPr>
          <w:noProof/>
        </w:rPr>
        <w:t>3</w:t>
      </w:r>
      <w:r w:rsidR="003F1AAB">
        <w:noBreakHyphen/>
      </w:r>
      <w:r w:rsidR="003F1AAB">
        <w:rPr>
          <w:noProof/>
        </w:rPr>
        <w:t>38</w:t>
      </w:r>
      <w:r w:rsidRPr="00D729CA">
        <w:fldChar w:fldCharType="end"/>
      </w:r>
      <w:r w:rsidRPr="00D729CA">
        <w:t>, below.</w:t>
      </w:r>
    </w:p>
    <w:p w:rsidR="00E6234D" w:rsidRPr="00D729CA" w:rsidRDefault="00E6234D" w:rsidP="00E6234D">
      <w:pPr>
        <w:pStyle w:val="Caption"/>
      </w:pPr>
      <w:bookmarkStart w:id="398" w:name="_Ref449100287"/>
      <w:r w:rsidRPr="00D729CA">
        <w:t xml:space="preserve">Table </w:t>
      </w:r>
      <w:fldSimple w:instr=" STYLEREF 1 \s ">
        <w:r w:rsidR="003F1AAB">
          <w:rPr>
            <w:noProof/>
          </w:rPr>
          <w:t>3</w:t>
        </w:r>
      </w:fldSimple>
      <w:r>
        <w:noBreakHyphen/>
      </w:r>
      <w:fldSimple w:instr=" SEQ Table \* ARABIC \s 1 ">
        <w:r w:rsidR="003F1AAB">
          <w:rPr>
            <w:noProof/>
          </w:rPr>
          <w:t>38</w:t>
        </w:r>
      </w:fldSimple>
      <w:bookmarkEnd w:id="398"/>
      <w:r w:rsidRPr="00D729CA">
        <w:tab/>
        <w:t>Extrapolation margins—Final decision approach compared to the contingency approach</w:t>
      </w:r>
    </w:p>
    <w:tbl>
      <w:tblPr>
        <w:tblStyle w:val="AERtable-numbers"/>
        <w:tblW w:w="5000" w:type="pct"/>
        <w:tblLook w:val="04A0" w:firstRow="1" w:lastRow="0" w:firstColumn="1" w:lastColumn="0" w:noHBand="0" w:noVBand="1"/>
      </w:tblPr>
      <w:tblGrid>
        <w:gridCol w:w="2898"/>
        <w:gridCol w:w="2897"/>
        <w:gridCol w:w="2898"/>
      </w:tblGrid>
      <w:tr w:rsidR="00E6234D" w:rsidTr="00DA3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E6234D" w:rsidRPr="00E6234D" w:rsidRDefault="00E6234D" w:rsidP="00E6234D">
            <w:r w:rsidRPr="00D729CA">
              <w:t>Approach</w:t>
            </w:r>
          </w:p>
        </w:tc>
        <w:tc>
          <w:tcPr>
            <w:tcW w:w="1666" w:type="pct"/>
          </w:tcPr>
          <w:p w:rsidR="00E6234D" w:rsidRPr="00E6234D" w:rsidRDefault="00E6234D" w:rsidP="00E6234D">
            <w:pPr>
              <w:cnfStyle w:val="100000000000" w:firstRow="1" w:lastRow="0" w:firstColumn="0" w:lastColumn="0" w:oddVBand="0" w:evenVBand="0" w:oddHBand="0" w:evenHBand="0" w:firstRowFirstColumn="0" w:firstRowLastColumn="0" w:lastRowFirstColumn="0" w:lastRowLastColumn="0"/>
            </w:pPr>
            <w:r w:rsidRPr="00D729CA">
              <w:t>BVAL extrapolation formula</w:t>
            </w:r>
          </w:p>
        </w:tc>
        <w:tc>
          <w:tcPr>
            <w:tcW w:w="1667" w:type="pct"/>
          </w:tcPr>
          <w:p w:rsidR="00E6234D" w:rsidRPr="00E6234D" w:rsidRDefault="00E6234D" w:rsidP="00E6234D">
            <w:pPr>
              <w:cnfStyle w:val="100000000000" w:firstRow="1" w:lastRow="0" w:firstColumn="0" w:lastColumn="0" w:oddVBand="0" w:evenVBand="0" w:oddHBand="0" w:evenHBand="0" w:firstRowFirstColumn="0" w:firstRowLastColumn="0" w:lastRowFirstColumn="0" w:lastRowLastColumn="0"/>
            </w:pPr>
            <w:r w:rsidRPr="00D729CA">
              <w:t>BVAL extrapolation margin</w:t>
            </w:r>
          </w:p>
        </w:tc>
      </w:tr>
      <w:tr w:rsidR="00E6234D" w:rsidTr="00DA33BB">
        <w:tc>
          <w:tcPr>
            <w:cnfStyle w:val="001000000000" w:firstRow="0" w:lastRow="0" w:firstColumn="1" w:lastColumn="0" w:oddVBand="0" w:evenVBand="0" w:oddHBand="0" w:evenHBand="0" w:firstRowFirstColumn="0" w:firstRowLastColumn="0" w:lastRowFirstColumn="0" w:lastRowLastColumn="0"/>
            <w:tcW w:w="1666" w:type="pct"/>
          </w:tcPr>
          <w:p w:rsidR="00E6234D" w:rsidRPr="00E6234D" w:rsidRDefault="00E6234D" w:rsidP="00E6234D">
            <w:r w:rsidRPr="00D729CA">
              <w:t>Final decision approach</w:t>
            </w:r>
          </w:p>
        </w:tc>
        <w:tc>
          <w:tcPr>
            <w:tcW w:w="1666" w:type="pct"/>
          </w:tcPr>
          <w:p w:rsidR="00E6234D" w:rsidRPr="00E6234D" w:rsidRDefault="00E6234D" w:rsidP="00E6234D">
            <w:pPr>
              <w:cnfStyle w:val="000000000000" w:firstRow="0" w:lastRow="0" w:firstColumn="0" w:lastColumn="0" w:oddVBand="0" w:evenVBand="0" w:oddHBand="0" w:evenHBand="0" w:firstRowFirstColumn="0" w:firstRowLastColumn="0" w:lastRowFirstColumn="0" w:lastRowLastColumn="0"/>
            </w:pPr>
            <w:r w:rsidRPr="00D729CA">
              <w:t>Uses</w:t>
            </w:r>
            <w:r w:rsidRPr="00E6234D">
              <w:t xml:space="preserve"> published BVAL 10 year yield estimate</w:t>
            </w:r>
          </w:p>
        </w:tc>
        <w:tc>
          <w:tcPr>
            <w:tcW w:w="1667" w:type="pct"/>
          </w:tcPr>
          <w:p w:rsidR="00E6234D" w:rsidRPr="00E6234D" w:rsidRDefault="00E6234D" w:rsidP="00E6234D">
            <w:pPr>
              <w:cnfStyle w:val="000000000000" w:firstRow="0" w:lastRow="0" w:firstColumn="0" w:lastColumn="0" w:oddVBand="0" w:evenVBand="0" w:oddHBand="0" w:evenHBand="0" w:firstRowFirstColumn="0" w:firstRowLastColumn="0" w:lastRowFirstColumn="0" w:lastRowLastColumn="0"/>
            </w:pPr>
            <w:r w:rsidRPr="00D729CA">
              <w:t>+39 basis points</w:t>
            </w:r>
          </w:p>
        </w:tc>
      </w:tr>
      <w:tr w:rsidR="00E6234D" w:rsidTr="00DA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E6234D" w:rsidRPr="00E6234D" w:rsidRDefault="00E6234D" w:rsidP="00E6234D">
            <w:r w:rsidRPr="00D729CA">
              <w:t>Contingency approach— where BVAL 10 year published estimate is unavailable</w:t>
            </w:r>
          </w:p>
        </w:tc>
        <w:tc>
          <w:tcPr>
            <w:tcW w:w="1666" w:type="pct"/>
          </w:tcPr>
          <w:p w:rsidR="00E6234D" w:rsidRPr="00E6234D" w:rsidRDefault="00E6234D" w:rsidP="00E6234D">
            <w:pPr>
              <w:cnfStyle w:val="000000010000" w:firstRow="0" w:lastRow="0" w:firstColumn="0" w:lastColumn="0" w:oddVBand="0" w:evenVBand="0" w:oddHBand="0" w:evenHBand="1" w:firstRowFirstColumn="0" w:firstRowLastColumn="0" w:lastRowFirstColumn="0" w:lastRowLastColumn="0"/>
            </w:pPr>
            <w:r w:rsidRPr="00D729CA">
              <w:t>BVAL 10 year yield = BVAL published 7 year yield + RBA 10 year yield – RBA 7 year yield</w:t>
            </w:r>
          </w:p>
        </w:tc>
        <w:tc>
          <w:tcPr>
            <w:tcW w:w="1667" w:type="pct"/>
          </w:tcPr>
          <w:p w:rsidR="00E6234D" w:rsidRPr="00E6234D" w:rsidRDefault="00E6234D" w:rsidP="00E6234D">
            <w:pPr>
              <w:cnfStyle w:val="000000010000" w:firstRow="0" w:lastRow="0" w:firstColumn="0" w:lastColumn="0" w:oddVBand="0" w:evenVBand="0" w:oddHBand="0" w:evenHBand="1" w:firstRowFirstColumn="0" w:firstRowLastColumn="0" w:lastRowFirstColumn="0" w:lastRowLastColumn="0"/>
            </w:pPr>
            <w:r w:rsidRPr="00D729CA">
              <w:t>–16 basis points</w:t>
            </w:r>
          </w:p>
        </w:tc>
      </w:tr>
    </w:tbl>
    <w:p w:rsidR="00E6234D" w:rsidRPr="00D729CA" w:rsidRDefault="00E6234D" w:rsidP="00E6234D">
      <w:pPr>
        <w:pStyle w:val="AERtablesource"/>
      </w:pPr>
      <w:r w:rsidRPr="00D729CA">
        <w:t>Source:</w:t>
      </w:r>
      <w:r w:rsidRPr="00D729CA">
        <w:tab/>
        <w:t>AER, RBA, Bloomberg.</w:t>
      </w:r>
    </w:p>
    <w:p w:rsidR="00E6234D" w:rsidRPr="00D729CA" w:rsidRDefault="00E6234D" w:rsidP="00E6234D">
      <w:r w:rsidRPr="00D729CA">
        <w:t>Therefore, if we were to agree with CEG and AusNet Services' criticisms of the published BVAL 10 year estimate, our next preferred approach would result in a reduction to the BVAL estimate of 55 basis points. We note that this extrapolation approach was upheld by the Tribunal after being appealed by Ausgrid, Endeavour Energy, Essential Energy and Jemena Gas Network and that no party sought to challenge those findings on appeal.</w:t>
      </w:r>
      <w:r w:rsidRPr="00D729CA">
        <w:rPr>
          <w:rStyle w:val="FootnoteReference"/>
        </w:rPr>
        <w:footnoteReference w:id="1177"/>
      </w:r>
    </w:p>
    <w:p w:rsidR="00E6234D" w:rsidRPr="00D729CA" w:rsidRDefault="00E6234D" w:rsidP="00E6234D">
      <w:pPr>
        <w:pStyle w:val="HeadingBoldBlue"/>
        <w:rPr>
          <w:rStyle w:val="AERtextitalic"/>
        </w:rPr>
      </w:pPr>
      <w:r w:rsidRPr="00D729CA">
        <w:rPr>
          <w:rStyle w:val="AERtextitalic"/>
        </w:rPr>
        <w:t>CEG's analysis of sample size</w:t>
      </w:r>
    </w:p>
    <w:p w:rsidR="00E6234D" w:rsidRPr="00D729CA" w:rsidRDefault="00E6234D" w:rsidP="00E6234D">
      <w:r w:rsidRPr="00D729CA">
        <w:t>In its reports, CEG has criticised the relatively smaller sample size arising from the BVAL selection criteria compared to the RBA selection criteria.</w:t>
      </w:r>
      <w:r w:rsidRPr="00D729CA">
        <w:rPr>
          <w:rStyle w:val="FootnoteReference"/>
        </w:rPr>
        <w:footnoteReference w:id="1178"/>
      </w:r>
      <w:r w:rsidRPr="00D729CA">
        <w:t xml:space="preserve"> We agree that a large sample size is clearly preferable to a smaller sample where it is clear that the data is of as good or better quality. However:</w:t>
      </w:r>
    </w:p>
    <w:p w:rsidR="00E6234D" w:rsidRPr="00D729CA" w:rsidRDefault="00E6234D" w:rsidP="00E6234D">
      <w:pPr>
        <w:pStyle w:val="AERbulletlistfirststyle"/>
      </w:pPr>
      <w:r w:rsidRPr="00D729CA">
        <w:t>where it is not clear that the data is of as good or better quality, it is a complex exercise to determine whether the benefits of a larger sample outweigh the disadvantages of lower quality data</w:t>
      </w:r>
    </w:p>
    <w:p w:rsidR="00E6234D" w:rsidRPr="00D729CA" w:rsidRDefault="00E6234D" w:rsidP="00E6234D">
      <w:pPr>
        <w:pStyle w:val="AERbulletlistfirststyle"/>
      </w:pPr>
      <w:proofErr w:type="gramStart"/>
      <w:r w:rsidRPr="00D729CA">
        <w:t>a</w:t>
      </w:r>
      <w:proofErr w:type="gramEnd"/>
      <w:r w:rsidRPr="00D729CA">
        <w:t xml:space="preserve"> smaller sample does not imply that a curve is not fit for purpose. A larger sample of high quality data is an advantageous feature of a curve, however it needs to be considered in the context of all of the </w:t>
      </w:r>
      <w:proofErr w:type="gramStart"/>
      <w:r w:rsidRPr="00D729CA">
        <w:t>curve's</w:t>
      </w:r>
      <w:proofErr w:type="gramEnd"/>
      <w:r w:rsidRPr="00D729CA">
        <w:t xml:space="preserve"> other features and criteria.</w:t>
      </w:r>
    </w:p>
    <w:p w:rsidR="00E6234D" w:rsidRPr="00D729CA" w:rsidRDefault="00E6234D" w:rsidP="00E6234D">
      <w:r w:rsidRPr="00D729CA">
        <w:t>Importantly, the size of the bond sample underlying a particular curve is an outcome of the bond selection criteria. Both Lally and the ACCC Regulatory Economics unit assessed the bond selection criteria and advised that while the two sets of criteria were different, neither was clearly superior.</w:t>
      </w:r>
      <w:r w:rsidRPr="00D729CA">
        <w:rPr>
          <w:rStyle w:val="FootnoteReference"/>
        </w:rPr>
        <w:footnoteReference w:id="1179"/>
      </w:r>
      <w:r w:rsidRPr="00D729CA">
        <w:t xml:space="preserve"> While we agree that individual estimates RBA curve is based on a larger data sample, we are not persuaded that the relatively smaller BVAL sample will not contribute to an estimate which achieves the allowed rate of return objective.</w:t>
      </w:r>
    </w:p>
    <w:p w:rsidR="00E6234D" w:rsidRPr="00D729CA" w:rsidRDefault="00E6234D" w:rsidP="00E6234D">
      <w:r w:rsidRPr="00D729CA">
        <w:t>In addition, we consider CEG has not fully addressed the impact of sample size on the estimates. Where the RBA curve may include more bonds in each individual observation, the RBA only publishes estimates for one day in each month. As a consequence, we need to interpolate between month-end estimates in order to have a daily yield series. The impact of this is that, where we adopt the RBA estimate, we only have 12 data points for the spread to CGS that are used to produce a full year of estimates. In contrast, the BVAL curve is published daily, which means that we have approximately 20 times as many data points for estimating the spread-to-swap over the course of a month compared to the RBA curve.</w:t>
      </w:r>
      <w:r w:rsidRPr="00D729CA">
        <w:rPr>
          <w:rStyle w:val="FootnoteReference"/>
        </w:rPr>
        <w:footnoteReference w:id="1180"/>
      </w:r>
    </w:p>
    <w:p w:rsidR="00E6234D" w:rsidRPr="00D729CA" w:rsidRDefault="00E6234D" w:rsidP="00E6234D">
      <w:r w:rsidRPr="00D729CA">
        <w:t xml:space="preserve">We are broadly satisfied that linear interpolation is reasonable and is unlikely to be biased. However, service providers can and have adopted averaging periods as short as 10 business days within a month. It is plausible that linear interpolation for these short averaging </w:t>
      </w:r>
      <w:proofErr w:type="gramStart"/>
      <w:r w:rsidRPr="00D729CA">
        <w:t>periods</w:t>
      </w:r>
      <w:proofErr w:type="gramEnd"/>
      <w:r w:rsidRPr="00D729CA">
        <w:t xml:space="preserve"> results in an underestimate or overestimate of the daily spreads to swap. </w:t>
      </w:r>
    </w:p>
    <w:p w:rsidR="00E6234D" w:rsidRPr="00D729CA" w:rsidRDefault="00E6234D" w:rsidP="00E6234D">
      <w:pPr>
        <w:pStyle w:val="Caption"/>
      </w:pPr>
      <w:r w:rsidRPr="00D729CA">
        <w:t xml:space="preserve">Figure </w:t>
      </w:r>
      <w:fldSimple w:instr=" STYLEREF 1 \s ">
        <w:r w:rsidR="003F1AAB">
          <w:rPr>
            <w:noProof/>
          </w:rPr>
          <w:t>3</w:t>
        </w:r>
      </w:fldSimple>
      <w:r w:rsidR="00E4520A">
        <w:noBreakHyphen/>
      </w:r>
      <w:fldSimple w:instr=" SEQ Figure \* ARABIC \s 1 ">
        <w:r w:rsidR="003F1AAB">
          <w:rPr>
            <w:noProof/>
          </w:rPr>
          <w:t>23</w:t>
        </w:r>
      </w:fldSimple>
      <w:r w:rsidRPr="00D729CA">
        <w:tab/>
        <w:t>Illustration of monthly publication on sample size and error</w:t>
      </w:r>
    </w:p>
    <w:p w:rsidR="00E6234D" w:rsidRPr="00D729CA" w:rsidRDefault="00E6234D" w:rsidP="00E6234D">
      <w:r w:rsidRPr="00E6234D">
        <w:rPr>
          <w:noProof/>
          <w:lang w:eastAsia="en-AU"/>
        </w:rPr>
        <w:drawing>
          <wp:inline distT="0" distB="0" distL="0" distR="0" wp14:anchorId="4F4E6EF8" wp14:editId="0F0406C0">
            <wp:extent cx="5334635" cy="32435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635" cy="3243580"/>
                    </a:xfrm>
                    <a:prstGeom prst="rect">
                      <a:avLst/>
                    </a:prstGeom>
                    <a:noFill/>
                  </pic:spPr>
                </pic:pic>
              </a:graphicData>
            </a:graphic>
          </wp:inline>
        </w:drawing>
      </w:r>
    </w:p>
    <w:p w:rsidR="00E6234D" w:rsidRPr="00D729CA" w:rsidRDefault="00E6234D" w:rsidP="00E6234D">
      <w:r w:rsidRPr="00D729CA">
        <w:t xml:space="preserve">In addition, the RBA's publication of data on one day a month masks any underlying daily volatility in its estimates. </w:t>
      </w:r>
    </w:p>
    <w:p w:rsidR="00E6234D" w:rsidRPr="00D729CA" w:rsidRDefault="00E6234D" w:rsidP="00E6234D">
      <w:r w:rsidRPr="00D729CA">
        <w:t>In its February 2016 submission, AusNet Services criticised the BVAL curve on the basis that '[h]owever, despite the high level of volatility in financial markets, the spread implied by the BVAL 10 year curve has remained flat between December 2015 and January 2016.'</w:t>
      </w:r>
      <w:r w:rsidRPr="00D729CA">
        <w:rPr>
          <w:rStyle w:val="FootnoteReference"/>
        </w:rPr>
        <w:footnoteReference w:id="1181"/>
      </w:r>
      <w:r w:rsidRPr="00D729CA">
        <w:t xml:space="preserve"> We do not agree that AusNet Services' submission should inform conclusions about the underlying performance of the curve. Its conclusion depends on a qualitative comparison of the movements in a yield curve that is published by an independent third party market expert against AusNet Services' own expectations of how yields should have reacted. However, it is not reliably possible to assess the underlying volatility in the RBA curve due to its publication of substantially fewer estimates. We therefore are not satisfied that this is a reasonable basis on which to reach a conclusion about which of the RBA or BVAL curves is more likely to result in an estimate which contributes to achievement of the allowed rate of return objective.  </w:t>
      </w:r>
    </w:p>
    <w:p w:rsidR="00E6234D" w:rsidRPr="00D729CA" w:rsidRDefault="00E6234D" w:rsidP="00E6234D">
      <w:pPr>
        <w:pStyle w:val="HeadingBoldBlue"/>
        <w:rPr>
          <w:rStyle w:val="AERtextitalic"/>
        </w:rPr>
      </w:pPr>
      <w:r w:rsidRPr="00D729CA">
        <w:rPr>
          <w:rStyle w:val="AERtextitalic"/>
        </w:rPr>
        <w:t>CEG's analysis of foreign bonds</w:t>
      </w:r>
    </w:p>
    <w:p w:rsidR="00E6234D" w:rsidRPr="00D729CA" w:rsidRDefault="00E6234D" w:rsidP="00E6234D">
      <w:r w:rsidRPr="00D729CA">
        <w:t>We are not persuaded that CEG's analysis of foreign bond issuance demonstrates that a combination of the RBA and BVAL curves will not contribute to an estimate which achieves the allowed rate of return objective. CEG has made two distinct arguments relating to foreign bond issuance:</w:t>
      </w:r>
    </w:p>
    <w:p w:rsidR="00E6234D" w:rsidRPr="00D729CA" w:rsidRDefault="00E6234D" w:rsidP="00E6234D">
      <w:pPr>
        <w:pStyle w:val="AERbulletlistfirststyle"/>
      </w:pPr>
      <w:r w:rsidRPr="00D729CA">
        <w:t>CEG submits that Australian companies have tended to issue long term debt in foreign debt markets</w:t>
      </w:r>
    </w:p>
    <w:p w:rsidR="00E6234D" w:rsidRPr="00D729CA" w:rsidRDefault="00E6234D" w:rsidP="00E6234D">
      <w:pPr>
        <w:pStyle w:val="AERbulletlistfirststyle"/>
      </w:pPr>
      <w:r w:rsidRPr="00D729CA">
        <w:t>CEG has argued that the Asciano bond is behaving in a way unrepresentative of the benchmark entity with exclusive reference to price movements of foreign bonds.</w:t>
      </w:r>
    </w:p>
    <w:p w:rsidR="00E6234D" w:rsidRPr="00D729CA" w:rsidRDefault="00E6234D" w:rsidP="00E6234D">
      <w:r w:rsidRPr="00D729CA">
        <w:t>CEG has also submitted analysis suggesting that the RBA curve better reflects the benchmark efficient entity's debt raising practices because Australian companies with long term debt currently on issue have typically done so in overseas markets.</w:t>
      </w:r>
      <w:r w:rsidRPr="00D729CA">
        <w:rPr>
          <w:rStyle w:val="FootnoteReference"/>
        </w:rPr>
        <w:footnoteReference w:id="1182"/>
      </w:r>
      <w:r w:rsidRPr="00D729CA">
        <w:t xml:space="preserve"> CEG submits that there are two primary reasons for Australian firms commonly issuing foreign currency debt, being:</w:t>
      </w:r>
      <w:r w:rsidRPr="00D729CA">
        <w:rPr>
          <w:rStyle w:val="FootnoteReference"/>
        </w:rPr>
        <w:footnoteReference w:id="1183"/>
      </w:r>
    </w:p>
    <w:p w:rsidR="00E6234D" w:rsidRPr="00D729CA" w:rsidRDefault="00E6234D" w:rsidP="00E6234D">
      <w:pPr>
        <w:pStyle w:val="AERquotebullet1"/>
      </w:pPr>
      <w:r w:rsidRPr="00D729CA">
        <w:t>First, the demand for long dated corporate debt is deepest in foreign currency markets, which means that this will often be the least expensive market in which to issue long dated debt. This is consistent with the data that suggests that the use of foreign currency debt is higher for longer dated debt.</w:t>
      </w:r>
    </w:p>
    <w:p w:rsidR="00E6234D" w:rsidRPr="00D729CA" w:rsidRDefault="00E6234D" w:rsidP="00E6234D">
      <w:pPr>
        <w:pStyle w:val="AERquotebullet1"/>
      </w:pPr>
      <w:r w:rsidRPr="00D729CA">
        <w:t>Second, there are benefits from diversifying funding sources and maintaining a presence (relationship with funders) in a number of markets so that these markets can be used in future as needed</w:t>
      </w:r>
    </w:p>
    <w:p w:rsidR="00E6234D" w:rsidRPr="00D729CA" w:rsidRDefault="00E6234D" w:rsidP="00E6234D">
      <w:r w:rsidRPr="00D729CA">
        <w:t>However, in recommending a choice of data series over this period, CEG has recommended adopting the Bloomberg and RBA estimates extrapolated using the AER approach. For example, in an April 2015 report submitted by AusNet Services, CEG concluded that:</w:t>
      </w:r>
      <w:r w:rsidRPr="00D729CA">
        <w:rPr>
          <w:rStyle w:val="FootnoteReference"/>
        </w:rPr>
        <w:footnoteReference w:id="1184"/>
      </w:r>
    </w:p>
    <w:p w:rsidR="00E6234D" w:rsidRPr="00D729CA" w:rsidRDefault="00E6234D" w:rsidP="00E6234D">
      <w:pPr>
        <w:pStyle w:val="AERquote"/>
      </w:pPr>
      <w:r w:rsidRPr="00D729CA">
        <w:t>Our best estimate of the 9 year trailing average DRP is 2.41%, which sits in the middle of the single lowest and highest values. Our best estimate is derived by giving equal weight to the Bloomberg and RBA curves, and using the AER draft decision extrapolation methodology for the years 2005/06 to 2013/14.</w:t>
      </w:r>
    </w:p>
    <w:p w:rsidR="00E6234D" w:rsidRPr="00D729CA" w:rsidRDefault="00E6234D" w:rsidP="00E6234D">
      <w:r w:rsidRPr="00D729CA">
        <w:t xml:space="preserve">For the reasons set out in this and previous decisions, we are not persuaded by the approach CEG has adopted for testing which curve or combination of curves should apply. Nonetheless, its own analysis appears to indicate that a simple average of the Bloomberg and RBA curves is representative of the costs faced by a benchmark efficient entity over the preceding 9 years. Therefore, regardless of whether Australian bond issuance is predominantly domestic or foreign, CEG's analysis appears to suggest that a combination of the BVAL and RBA curves has been reflective of those costs over multiple regulatory periods. </w:t>
      </w:r>
    </w:p>
    <w:p w:rsidR="00E6234D" w:rsidRPr="00D729CA" w:rsidRDefault="00E6234D" w:rsidP="00E6234D">
      <w:r w:rsidRPr="00D729CA">
        <w:t>Further, to the extent that foreign debt issuance becomes materially more expensive than domestic debt issuance, we would expect that a benchmark efficient entity might seek to issue a greater proportion of its new debt domestically, and/or at shorter terms. We are satisfied that this is an available and viable strategy. It also appears to be consistent with CEG's submission that longer term foreign debt issuance is attractive because it is relatively less expensive.</w:t>
      </w:r>
      <w:r w:rsidRPr="00D729CA">
        <w:rPr>
          <w:rStyle w:val="FootnoteReference"/>
        </w:rPr>
        <w:footnoteReference w:id="1185"/>
      </w:r>
      <w:r w:rsidRPr="00D729CA">
        <w:t xml:space="preserve"> Specifically, CEG's analysis suggests that service providers will seek debt raising strategies at least in part where they are less costly.</w:t>
      </w:r>
    </w:p>
    <w:p w:rsidR="00E6234D" w:rsidRPr="00D729CA" w:rsidRDefault="00E6234D" w:rsidP="00E6234D">
      <w:r w:rsidRPr="00D729CA">
        <w:t>As identified by Chairmont, service providers have a number of options for efficiently departing from the strict benchmark characteristics, including amongst other strategies:</w:t>
      </w:r>
    </w:p>
    <w:p w:rsidR="00E6234D" w:rsidRPr="00D729CA" w:rsidRDefault="00E6234D" w:rsidP="00E6234D">
      <w:pPr>
        <w:pStyle w:val="AERbulletlistfirststyle"/>
      </w:pPr>
      <w:r w:rsidRPr="00D729CA">
        <w:t>issuing shorter term debt or longer term debt than the 10 year benchmark</w:t>
      </w:r>
    </w:p>
    <w:p w:rsidR="00E6234D" w:rsidRPr="00D729CA" w:rsidRDefault="00E6234D" w:rsidP="00E6234D">
      <w:pPr>
        <w:pStyle w:val="AERbulletlistfirststyle"/>
      </w:pPr>
      <w:proofErr w:type="gramStart"/>
      <w:r w:rsidRPr="00D729CA">
        <w:t>issuing</w:t>
      </w:r>
      <w:proofErr w:type="gramEnd"/>
      <w:r w:rsidRPr="00D729CA">
        <w:t xml:space="preserve"> 'lumpy' debt where market conditions are favourable and reducing debt issuance where they are unfavourable.</w:t>
      </w:r>
      <w:r w:rsidRPr="00D729CA">
        <w:rPr>
          <w:rStyle w:val="FootnoteReference"/>
        </w:rPr>
        <w:footnoteReference w:id="1186"/>
      </w:r>
    </w:p>
    <w:p w:rsidR="00E6234D" w:rsidRPr="00D729CA" w:rsidRDefault="00E6234D" w:rsidP="00E6234D">
      <w:r w:rsidRPr="00D729CA">
        <w:t xml:space="preserve">These options appear to be consistent with the actual practices of the service providers. For example, during the </w:t>
      </w:r>
      <w:r>
        <w:t>G</w:t>
      </w:r>
      <w:r w:rsidRPr="00D729CA">
        <w:t>uideline, the ENA provided debt issuance information for eleven privately owned service providers.</w:t>
      </w:r>
      <w:r w:rsidRPr="00D729CA">
        <w:rPr>
          <w:rStyle w:val="FootnoteReference"/>
        </w:rPr>
        <w:footnoteReference w:id="1187"/>
      </w:r>
      <w:r w:rsidRPr="00D729CA">
        <w:t xml:space="preserve"> This evidence supported a conclusion that service providers </w:t>
      </w:r>
      <w:proofErr w:type="gramStart"/>
      <w:r w:rsidRPr="00D729CA">
        <w:t>raised</w:t>
      </w:r>
      <w:proofErr w:type="gramEnd"/>
      <w:r w:rsidRPr="00D729CA">
        <w:t xml:space="preserve"> debt using:</w:t>
      </w:r>
    </w:p>
    <w:p w:rsidR="00E6234D" w:rsidRPr="00D729CA" w:rsidRDefault="00E6234D" w:rsidP="00E6234D">
      <w:pPr>
        <w:pStyle w:val="AERbulletlistfirststyle"/>
      </w:pPr>
      <w:r w:rsidRPr="00D729CA">
        <w:t>bank debt and commercial paper which have issuance tenors of between 1 month and 7.0 years</w:t>
      </w:r>
    </w:p>
    <w:p w:rsidR="00E6234D" w:rsidRPr="00D729CA" w:rsidRDefault="00E6234D" w:rsidP="00E6234D">
      <w:pPr>
        <w:pStyle w:val="AERbulletlistfirststyle"/>
      </w:pPr>
      <w:r w:rsidRPr="00D729CA">
        <w:t>Australian bonds which have issuance tenors of between 2.7 and 21.3 years</w:t>
      </w:r>
    </w:p>
    <w:p w:rsidR="00E6234D" w:rsidRPr="00D729CA" w:rsidRDefault="00E6234D" w:rsidP="00E6234D">
      <w:pPr>
        <w:pStyle w:val="AERbulletlistfirststyle"/>
      </w:pPr>
      <w:proofErr w:type="gramStart"/>
      <w:r w:rsidRPr="00D729CA">
        <w:t>offshore</w:t>
      </w:r>
      <w:proofErr w:type="gramEnd"/>
      <w:r w:rsidRPr="00D729CA">
        <w:t xml:space="preserve"> bonds which have tenors of between 4 and 30 years.</w:t>
      </w:r>
      <w:r w:rsidRPr="00D729CA">
        <w:rPr>
          <w:rStyle w:val="FootnoteReference"/>
        </w:rPr>
        <w:footnoteReference w:id="1188"/>
      </w:r>
    </w:p>
    <w:p w:rsidR="00E6234D" w:rsidRPr="00D729CA" w:rsidRDefault="00E6234D" w:rsidP="00E6234D">
      <w:r w:rsidRPr="00D729CA">
        <w:fldChar w:fldCharType="begin"/>
      </w:r>
      <w:r w:rsidRPr="00D729CA">
        <w:instrText xml:space="preserve"> REF _Ref444861217 \h </w:instrText>
      </w:r>
      <w:r w:rsidRPr="00D729CA">
        <w:fldChar w:fldCharType="separate"/>
      </w:r>
      <w:r w:rsidR="003F1AAB" w:rsidRPr="00D729CA">
        <w:t xml:space="preserve">Figure </w:t>
      </w:r>
      <w:r w:rsidR="003F1AAB">
        <w:rPr>
          <w:noProof/>
        </w:rPr>
        <w:t>3</w:t>
      </w:r>
      <w:r w:rsidR="003F1AAB">
        <w:noBreakHyphen/>
      </w:r>
      <w:r w:rsidR="003F1AAB">
        <w:rPr>
          <w:noProof/>
        </w:rPr>
        <w:t>24</w:t>
      </w:r>
      <w:r w:rsidRPr="00D729CA">
        <w:fldChar w:fldCharType="end"/>
      </w:r>
      <w:r w:rsidRPr="00D729CA">
        <w:t>, below, charts the range of term issuances. This illustrates that while many bond issuances are at 10 years or more, service providers commonly raise debt at shorter terms as part of their portfolio. Further, with respect to bond issuance since 2009, a greater proportion of borrowing appears to have been done at terms less than 10 years.</w:t>
      </w:r>
    </w:p>
    <w:p w:rsidR="00E6234D" w:rsidRPr="00D729CA" w:rsidRDefault="00E6234D" w:rsidP="00E6234D">
      <w:pPr>
        <w:pStyle w:val="Caption"/>
      </w:pPr>
      <w:bookmarkStart w:id="399" w:name="_Ref444861217"/>
      <w:r w:rsidRPr="00D729CA">
        <w:t xml:space="preserve">Figure </w:t>
      </w:r>
      <w:fldSimple w:instr=" STYLEREF 1 \s ">
        <w:r w:rsidR="003F1AAB">
          <w:rPr>
            <w:noProof/>
          </w:rPr>
          <w:t>3</w:t>
        </w:r>
      </w:fldSimple>
      <w:r w:rsidR="00E4520A">
        <w:noBreakHyphen/>
      </w:r>
      <w:fldSimple w:instr=" SEQ Figure \* ARABIC \s 1 ">
        <w:r w:rsidR="003F1AAB">
          <w:rPr>
            <w:noProof/>
          </w:rPr>
          <w:t>24</w:t>
        </w:r>
      </w:fldSimple>
      <w:bookmarkEnd w:id="399"/>
      <w:r w:rsidRPr="00D729CA">
        <w:tab/>
        <w:t>Service providers' terms at issuance of bonds (as at 30 June-20 September 2013, years)</w:t>
      </w:r>
    </w:p>
    <w:p w:rsidR="00E6234D" w:rsidRPr="00D729CA" w:rsidRDefault="00E6234D" w:rsidP="00E6234D">
      <w:pPr>
        <w:pStyle w:val="AERbulletlistfirststyle"/>
      </w:pPr>
      <w:r w:rsidRPr="00E6234D">
        <w:rPr>
          <w:noProof/>
          <w:lang w:eastAsia="en-AU"/>
        </w:rPr>
        <w:drawing>
          <wp:inline distT="0" distB="0" distL="0" distR="0" wp14:anchorId="2883A162" wp14:editId="5CD2F7D4">
            <wp:extent cx="5180953" cy="3485715"/>
            <wp:effectExtent l="0" t="0" r="127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80953" cy="3485715"/>
                    </a:xfrm>
                    <a:prstGeom prst="rect">
                      <a:avLst/>
                    </a:prstGeom>
                  </pic:spPr>
                </pic:pic>
              </a:graphicData>
            </a:graphic>
          </wp:inline>
        </w:drawing>
      </w:r>
    </w:p>
    <w:p w:rsidR="00E6234D" w:rsidRPr="00D729CA" w:rsidRDefault="00E6234D" w:rsidP="00E6234D">
      <w:pPr>
        <w:pStyle w:val="AERtablesource"/>
      </w:pPr>
      <w:r w:rsidRPr="00D729CA">
        <w:t xml:space="preserve">Source: </w:t>
      </w:r>
      <w:r w:rsidRPr="00D729CA">
        <w:tab/>
        <w:t>ENA provided eleven business debt portfolios, AER analysis.</w:t>
      </w:r>
    </w:p>
    <w:p w:rsidR="00E6234D" w:rsidRPr="00D729CA" w:rsidRDefault="00E6234D" w:rsidP="00E6234D">
      <w:pPr>
        <w:pStyle w:val="AERtablesource"/>
      </w:pPr>
      <w:r w:rsidRPr="00D729CA">
        <w:t xml:space="preserve">Note: </w:t>
      </w:r>
      <w:r w:rsidRPr="00D729CA">
        <w:tab/>
        <w:t>Two businesses provided portfolio information as at 30 June 2013, eight as at 30 August 2013 and one as at 20 September 2013.</w:t>
      </w:r>
    </w:p>
    <w:p w:rsidR="00E6234D" w:rsidRPr="00D729CA" w:rsidRDefault="00E6234D" w:rsidP="00E6234D">
      <w:r w:rsidRPr="00D729CA">
        <w:t>Therefore, while there may be divergent conditions between domestic and foreign bond markets at a point in time, we are not persuaded that a simple average of the BVAL and RBA curves will not result in an estimate that reflects the costs faced by a benchmark efficient entity. To the extent that domestic debt as captured in the BVAL curve appears to be relatively less costly than overseas debt, we are satisfied that service providers are able to respond to these changing conditions. We remain satisfied that a simple average of the BVAL and RBA curves will contribute to an estimate that achieves the allowed rate of return objective.</w:t>
      </w:r>
    </w:p>
    <w:p w:rsidR="00E6234D" w:rsidRPr="00D729CA" w:rsidRDefault="00E6234D" w:rsidP="00E6234D">
      <w:pPr>
        <w:pStyle w:val="Heading8"/>
      </w:pPr>
      <w:bookmarkStart w:id="400" w:name="_Toc449624779"/>
      <w:bookmarkStart w:id="401" w:name="_Toc452629161"/>
      <w:bookmarkStart w:id="402" w:name="_Toc456686774"/>
      <w:r w:rsidRPr="00D729CA">
        <w:t>Other issues</w:t>
      </w:r>
      <w:bookmarkEnd w:id="400"/>
      <w:bookmarkEnd w:id="401"/>
      <w:bookmarkEnd w:id="402"/>
    </w:p>
    <w:p w:rsidR="00E6234D" w:rsidRPr="00D729CA" w:rsidRDefault="00E6234D" w:rsidP="00E6234D">
      <w:r w:rsidRPr="00D729CA">
        <w:t>This section sets out our analysis of other issues raised by CEG. Specifically, we address:</w:t>
      </w:r>
    </w:p>
    <w:p w:rsidR="00E6234D" w:rsidRPr="00D729CA" w:rsidRDefault="00E6234D" w:rsidP="00E6234D">
      <w:pPr>
        <w:pStyle w:val="AERbulletlistfirststyle"/>
      </w:pPr>
      <w:r w:rsidRPr="00D729CA">
        <w:t>CEG's new criteria for selecting bonds and their impact on weighting</w:t>
      </w:r>
    </w:p>
    <w:p w:rsidR="00E6234D" w:rsidRPr="00D729CA" w:rsidRDefault="00E6234D" w:rsidP="00E6234D">
      <w:pPr>
        <w:pStyle w:val="AERbulletlistfirststyle"/>
      </w:pPr>
      <w:r w:rsidRPr="00D729CA">
        <w:t>Analysis of the mean squared error (MSE) for determining weighting</w:t>
      </w:r>
    </w:p>
    <w:p w:rsidR="00E6234D" w:rsidRPr="00E6234D" w:rsidRDefault="00E6234D" w:rsidP="00E6234D">
      <w:pPr>
        <w:pStyle w:val="HeadingBoldBlue"/>
        <w:rPr>
          <w:rStyle w:val="AERtextitalic"/>
        </w:rPr>
      </w:pPr>
      <w:r w:rsidRPr="00D729CA">
        <w:rPr>
          <w:rStyle w:val="AERtextitalic"/>
        </w:rPr>
        <w:t>Weighting and criteria</w:t>
      </w:r>
    </w:p>
    <w:p w:rsidR="00E6234D" w:rsidRPr="00D729CA" w:rsidRDefault="00E6234D" w:rsidP="00E6234D">
      <w:r w:rsidRPr="00D729CA">
        <w:t>In the event that we were to consider inclusion of additional curves in future, we are not persuaded by the methodology adopted by CEG to justify a recommendation of either 100% reliance on the RBA curve, or of unequal weighting between curves.</w:t>
      </w:r>
      <w:r w:rsidRPr="00D729CA">
        <w:rPr>
          <w:rStyle w:val="FootnoteReference"/>
        </w:rPr>
        <w:footnoteReference w:id="1189"/>
      </w:r>
      <w:r w:rsidRPr="00D729CA">
        <w:t xml:space="preserve"> This particular weighting appears arbitrary and is based on qualitative criteria set out by CEG which do not appear to improve on or replace the set of principles that were set out in the </w:t>
      </w:r>
      <w:r>
        <w:t>G</w:t>
      </w:r>
      <w:r w:rsidRPr="00D729CA">
        <w:t>uideline and consulted on more widely.</w:t>
      </w:r>
      <w:r w:rsidRPr="00D729CA">
        <w:rPr>
          <w:rStyle w:val="FootnoteReference"/>
        </w:rPr>
        <w:footnoteReference w:id="1190"/>
      </w:r>
      <w:r w:rsidRPr="00D729CA">
        <w:t xml:space="preserve"> As noted recently by the Tribunal in relation to the choice of data sets adopted in our guideline:</w:t>
      </w:r>
    </w:p>
    <w:p w:rsidR="00E6234D" w:rsidRPr="00D729CA" w:rsidRDefault="00E6234D" w:rsidP="00E6234D">
      <w:pPr>
        <w:pStyle w:val="AERquote"/>
      </w:pPr>
      <w:r w:rsidRPr="00D729CA">
        <w:t xml:space="preserve">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  For the purposes of the relevant Final Decisions, the AER does not positively find that the RBA curve was clearly superior to the BVAL curve, so that </w:t>
      </w:r>
      <w:proofErr w:type="gramStart"/>
      <w:r w:rsidRPr="00D729CA">
        <w:t>its</w:t>
      </w:r>
      <w:proofErr w:type="gramEnd"/>
      <w:r w:rsidRPr="00D729CA">
        <w:t xml:space="preserve"> averaging of the two curves was an acceptable measure of the DRP.</w:t>
      </w:r>
      <w:r w:rsidRPr="00D729CA">
        <w:rPr>
          <w:rStyle w:val="FootnoteReference"/>
        </w:rPr>
        <w:footnoteReference w:id="1191"/>
      </w:r>
    </w:p>
    <w:p w:rsidR="00E6234D" w:rsidRPr="00D729CA" w:rsidRDefault="00E6234D" w:rsidP="00E6234D">
      <w:r w:rsidRPr="00D729CA">
        <w:t xml:space="preserve">We remain satisfied that our criteria developed and applied in the </w:t>
      </w:r>
      <w:r>
        <w:t>G</w:t>
      </w:r>
      <w:r w:rsidRPr="00D729CA">
        <w:t>uideline and subsequent decisions remain fit for purpose. Further, we are satisfied that application of these criteria will contribute to estimates that will achieve the allowed rate of return objective.</w:t>
      </w:r>
    </w:p>
    <w:p w:rsidR="00E6234D" w:rsidRPr="00D729CA" w:rsidRDefault="00E6234D" w:rsidP="00E6234D">
      <w:pPr>
        <w:pStyle w:val="HeadingBoldBlue"/>
        <w:rPr>
          <w:rStyle w:val="AERtextitalic"/>
        </w:rPr>
      </w:pPr>
      <w:r w:rsidRPr="00D729CA">
        <w:rPr>
          <w:rStyle w:val="AERtextitalic"/>
        </w:rPr>
        <w:t>Mean squared error</w:t>
      </w:r>
    </w:p>
    <w:p w:rsidR="00E6234D" w:rsidRPr="00D729CA" w:rsidRDefault="00E6234D" w:rsidP="00E6234D">
      <w:r w:rsidRPr="00D729CA">
        <w:t>We are not persuaded by CEG's analysis of the MSE. In determining the weighting that we would adopt for the average of the BVAL and RBA curves, we have relied on advice from Lally.</w:t>
      </w:r>
      <w:r w:rsidRPr="00D729CA">
        <w:rPr>
          <w:rStyle w:val="FootnoteReference"/>
        </w:rPr>
        <w:footnoteReference w:id="1192"/>
      </w:r>
      <w:r w:rsidRPr="00D729CA">
        <w:t xml:space="preserve"> Specifically, Lally concluded that a simple average of the BVAL and RBA curves would be likely to minimise the mean squared error (MSE) of the estimator.</w:t>
      </w:r>
      <w:r w:rsidRPr="00D729CA">
        <w:rPr>
          <w:rStyle w:val="FootnoteReference"/>
        </w:rPr>
        <w:footnoteReference w:id="1193"/>
      </w:r>
      <w:r w:rsidRPr="00D729CA">
        <w:t xml:space="preserve"> CEG disagrees with Lally's analysis of the mean squared error (MSE) of the curve combination, which contributed to our adoption of a simple average between the Bloomberg and RBA curves.</w:t>
      </w:r>
      <w:r w:rsidRPr="00D729CA">
        <w:rPr>
          <w:rStyle w:val="FootnoteReference"/>
        </w:rPr>
        <w:footnoteReference w:id="1194"/>
      </w:r>
      <w:r w:rsidRPr="00D729CA">
        <w:t xml:space="preserve"> In particular, CEG submits that that the MSE should be evaluated every year, rather than over time,</w:t>
      </w:r>
      <w:r w:rsidRPr="00D729CA">
        <w:rPr>
          <w:rStyle w:val="FootnoteReference"/>
        </w:rPr>
        <w:footnoteReference w:id="1195"/>
      </w:r>
      <w:r w:rsidRPr="00D729CA">
        <w:t xml:space="preserve"> and that the Bloomberg curve is downwardly biased.</w:t>
      </w:r>
      <w:r w:rsidRPr="00D729CA">
        <w:rPr>
          <w:rStyle w:val="FootnoteReference"/>
        </w:rPr>
        <w:footnoteReference w:id="1196"/>
      </w:r>
      <w:r w:rsidRPr="00D729CA">
        <w:t xml:space="preserve"> </w:t>
      </w:r>
    </w:p>
    <w:p w:rsidR="00E6234D" w:rsidRPr="00D729CA" w:rsidRDefault="00E6234D" w:rsidP="00E6234D">
      <w:r w:rsidRPr="00D729CA">
        <w:t>If the Bloomberg curve were systematically biased, this might indicate that a simple average would not minimise the MSE of the estimator. However, at any point in time it is likely that one curve or the other will produce an estimate that is a better reflection of the costs faced by a benchmark efficient entity. We do not agree that there is a reliable or practical method to quantitatively identify which of the two curves better reflects these benchmark efficient costs at any point in time.</w:t>
      </w:r>
      <w:r w:rsidRPr="00D729CA">
        <w:rPr>
          <w:rStyle w:val="FootnoteReference"/>
        </w:rPr>
        <w:footnoteReference w:id="1197"/>
      </w:r>
      <w:r w:rsidRPr="00D729CA">
        <w:t xml:space="preserve"> For this reason, we are not persuaded by CEG's recommendation that MSE should or even can be robustly evaluated for each individual estimate. In contrast, we are satisfied that there is no clear reason to expect systematic or nonzero bias in either curve. Nonetheless, the rules require that we determine an approach which can be given effect through automatic application of a formula. This requires that any approach we determine be robust and fit for purpose not just at the time of the final decision. The approach must also be likely to remain robust and fit for purpose for the subsequent five years. We are therefore satisfied that Lally's analysis of the MSE of the estimator is reasonable. </w:t>
      </w:r>
    </w:p>
    <w:p w:rsidR="00E6234D" w:rsidRPr="00D729CA" w:rsidRDefault="00E6234D" w:rsidP="00E6234D">
      <w:r w:rsidRPr="00D729CA">
        <w:t>Further, we are not satisfied that CEG has substantiated the existence of downward bias within the BVAL curve. In contrast, we consider:</w:t>
      </w:r>
    </w:p>
    <w:p w:rsidR="00E6234D" w:rsidRPr="00D729CA" w:rsidRDefault="00E6234D" w:rsidP="00E6234D">
      <w:pPr>
        <w:pStyle w:val="AERbulletlistfirststyle"/>
      </w:pPr>
      <w:r w:rsidRPr="00D729CA">
        <w:t xml:space="preserve">CEG has not substantiated evidence of bias in the Bloomberg curve between 7 and 10 years. As discussed in section </w:t>
      </w:r>
      <w:r w:rsidRPr="00D729CA">
        <w:fldChar w:fldCharType="begin"/>
      </w:r>
      <w:r w:rsidRPr="00D729CA">
        <w:instrText xml:space="preserve"> REF _Ref450660756 \r \h </w:instrText>
      </w:r>
      <w:r w:rsidRPr="00D729CA">
        <w:fldChar w:fldCharType="separate"/>
      </w:r>
      <w:r w:rsidR="003F1AAB">
        <w:t>I.2</w:t>
      </w:r>
      <w:r w:rsidRPr="00D729CA">
        <w:fldChar w:fldCharType="end"/>
      </w:r>
      <w:r w:rsidRPr="00D729CA">
        <w:t xml:space="preserve"> and in previous decisions, its description of Bloomberg's methodology is inconsistent with the description confirmed by Bloomberg staff. </w:t>
      </w:r>
    </w:p>
    <w:p w:rsidR="00E6234D" w:rsidRPr="00D729CA" w:rsidRDefault="00E6234D" w:rsidP="00E6234D">
      <w:pPr>
        <w:pStyle w:val="AERbulletlistfirststyle"/>
      </w:pPr>
      <w:r w:rsidRPr="00D729CA">
        <w:t>For the period 2005–2014, CEG has recommended adopting a simple average of the RBA and Bloomberg curves extrapolated using the AER approach.</w:t>
      </w:r>
      <w:r w:rsidRPr="00D729CA">
        <w:rPr>
          <w:rStyle w:val="FootnoteReference"/>
        </w:rPr>
        <w:footnoteReference w:id="1198"/>
      </w:r>
      <w:r w:rsidRPr="00D729CA">
        <w:t xml:space="preserve"> This appears to suggest that CEG has not observed material downward bias in the BVAL curve over the period for which the curve data is available.</w:t>
      </w:r>
    </w:p>
    <w:p w:rsidR="00E6234D" w:rsidRPr="00D729CA" w:rsidRDefault="00E6234D" w:rsidP="00E6234D">
      <w:pPr>
        <w:pStyle w:val="AERbulletlistfirststyle"/>
      </w:pPr>
      <w:r w:rsidRPr="00D729CA">
        <w:t xml:space="preserve">Further, as illustrated in </w:t>
      </w:r>
      <w:r w:rsidRPr="00D729CA">
        <w:fldChar w:fldCharType="begin"/>
      </w:r>
      <w:r w:rsidRPr="00D729CA">
        <w:instrText xml:space="preserve"> REF _Ref444068389 \h </w:instrText>
      </w:r>
      <w:r w:rsidRPr="00D729CA">
        <w:fldChar w:fldCharType="separate"/>
      </w:r>
      <w:r w:rsidR="003F1AAB" w:rsidRPr="00D729CA">
        <w:t xml:space="preserve">Figure </w:t>
      </w:r>
      <w:r w:rsidR="003F1AAB">
        <w:rPr>
          <w:noProof/>
        </w:rPr>
        <w:t>3</w:t>
      </w:r>
      <w:r w:rsidR="003F1AAB">
        <w:noBreakHyphen/>
      </w:r>
      <w:r w:rsidR="003F1AAB">
        <w:rPr>
          <w:noProof/>
        </w:rPr>
        <w:t>21</w:t>
      </w:r>
      <w:r w:rsidRPr="00D729CA">
        <w:fldChar w:fldCharType="end"/>
      </w:r>
      <w:r w:rsidRPr="00D729CA">
        <w:t>, the 7 to 10 year margin of the BVAL DRP relative to CGS is both positive and higher than the same margin implied by the RBA curve. Therefore, we are not persuaded that there is evidence of downward bias in the BVAL curve's estimation beyond 7 years.</w:t>
      </w:r>
    </w:p>
    <w:p w:rsidR="00E6234D" w:rsidRDefault="00E6234D" w:rsidP="00E6234D">
      <w:r w:rsidRPr="00D729CA">
        <w:t xml:space="preserve">For these reasons, we remain satisfied that a simple average of the RBA and BVAL curves is likely to minimise the MSE of the estimate over time. </w:t>
      </w:r>
    </w:p>
    <w:p w:rsidR="00E6234D" w:rsidRDefault="00E6234D" w:rsidP="00E6234D">
      <w:pPr>
        <w:pStyle w:val="Heading8"/>
      </w:pPr>
      <w:bookmarkStart w:id="403" w:name="_Ref452629353"/>
      <w:bookmarkStart w:id="404" w:name="_Toc456686775"/>
      <w:r>
        <w:t>Credit rating</w:t>
      </w:r>
      <w:bookmarkEnd w:id="403"/>
      <w:bookmarkEnd w:id="404"/>
    </w:p>
    <w:p w:rsidR="00E6234D" w:rsidRPr="00ED244D" w:rsidRDefault="00E6234D" w:rsidP="00E6234D">
      <w:r>
        <w:t xml:space="preserve">In section </w:t>
      </w:r>
      <w:r>
        <w:fldChar w:fldCharType="begin"/>
      </w:r>
      <w:r>
        <w:instrText xml:space="preserve"> REF _Ref430958623 \r \h </w:instrText>
      </w:r>
      <w:r>
        <w:fldChar w:fldCharType="separate"/>
      </w:r>
      <w:r w:rsidR="003F1AAB">
        <w:t>0</w:t>
      </w:r>
      <w:r>
        <w:fldChar w:fldCharType="end"/>
      </w:r>
      <w:r w:rsidRPr="00ED244D">
        <w:t xml:space="preserve">, we set out our position and key reasons on the benchmark credit rating. In this section, we set out further supporting details behind our calculation of the median credit rating of a sample of firms that are comparable to the benchmark efficient entity (the industry median). </w:t>
      </w:r>
      <w:r>
        <w:t>This entails</w:t>
      </w:r>
      <w:r w:rsidRPr="00ED244D">
        <w:t>:</w:t>
      </w:r>
    </w:p>
    <w:p w:rsidR="00E6234D" w:rsidRDefault="00E6234D" w:rsidP="00E6234D">
      <w:pPr>
        <w:pStyle w:val="AERbulletlistfirststyle"/>
      </w:pPr>
      <w:r>
        <w:t xml:space="preserve">Setting out </w:t>
      </w:r>
      <w:r w:rsidRPr="00ED244D">
        <w:t>the comparator set we use to estimate the industry median</w:t>
      </w:r>
      <w:r>
        <w:t xml:space="preserve"> and responding to AusNet Services’ proposal to exclude itself and </w:t>
      </w:r>
      <w:r w:rsidRPr="00032247">
        <w:t>SGSP Australia Assets Pty Ltd</w:t>
      </w:r>
      <w:r>
        <w:t xml:space="preserve"> (SGSP)</w:t>
      </w:r>
      <w:r w:rsidRPr="00032247">
        <w:t xml:space="preserve"> </w:t>
      </w:r>
      <w:r>
        <w:t>from the comparator set</w:t>
      </w:r>
    </w:p>
    <w:p w:rsidR="00E6234D" w:rsidRDefault="00E6234D" w:rsidP="00E6234D">
      <w:pPr>
        <w:pStyle w:val="AERbulletlistfirststyle"/>
      </w:pPr>
      <w:r>
        <w:t>Explaining why we consider market data supports an</w:t>
      </w:r>
      <w:r w:rsidRPr="00ED244D">
        <w:t xml:space="preserve"> industry median </w:t>
      </w:r>
      <w:r>
        <w:t>credit rating of</w:t>
      </w:r>
      <w:r w:rsidRPr="00ED244D">
        <w:t xml:space="preserve"> BBB+</w:t>
      </w:r>
      <w:r>
        <w:t>, rather than</w:t>
      </w:r>
      <w:r w:rsidRPr="00ED244D">
        <w:t xml:space="preserve"> BBB</w:t>
      </w:r>
      <w:r>
        <w:t xml:space="preserve">. </w:t>
      </w:r>
    </w:p>
    <w:p w:rsidR="00E6234D" w:rsidRPr="00ED244D" w:rsidRDefault="00E6234D" w:rsidP="00E6234D">
      <w:pPr>
        <w:pStyle w:val="AERbulletlistfirststyle"/>
      </w:pPr>
      <w:r>
        <w:t xml:space="preserve">Responding to AusNet Services’ position on historical credit ratings not reflecting its low equity buffer under our approach to estimating the allowed return on equity. </w:t>
      </w:r>
    </w:p>
    <w:p w:rsidR="00E6234D" w:rsidRPr="00F72016" w:rsidRDefault="00E6234D" w:rsidP="00E6234D">
      <w:pPr>
        <w:pStyle w:val="Heading9"/>
      </w:pPr>
      <w:bookmarkStart w:id="405" w:name="_Toc433367514"/>
      <w:bookmarkStart w:id="406" w:name="_Toc433446597"/>
      <w:bookmarkStart w:id="407" w:name="_Toc456686776"/>
      <w:r w:rsidRPr="00EC299C">
        <w:t>Comparator Set</w:t>
      </w:r>
      <w:bookmarkEnd w:id="405"/>
      <w:bookmarkEnd w:id="406"/>
      <w:bookmarkEnd w:id="407"/>
      <w:r w:rsidRPr="00EC299C">
        <w:t xml:space="preserve"> </w:t>
      </w:r>
    </w:p>
    <w:p w:rsidR="00E6234D" w:rsidRPr="00032247" w:rsidRDefault="00E6234D" w:rsidP="00E6234D">
      <w:r w:rsidRPr="00032247">
        <w:t>We draw our comparator set for estimating the benchmark credit rating from Standard and Poor's industry report cards, with the exclusion of a firm that is</w:t>
      </w:r>
      <w:r>
        <w:t xml:space="preserve"> owned by an Australian state government</w:t>
      </w:r>
      <w:r w:rsidRPr="00032247">
        <w:t>.</w:t>
      </w:r>
      <w:r>
        <w:rPr>
          <w:rStyle w:val="FootnoteReference"/>
        </w:rPr>
        <w:footnoteReference w:id="1199"/>
      </w:r>
      <w:r w:rsidRPr="00032247">
        <w:t xml:space="preserve"> This is made up of the following businesses:</w:t>
      </w:r>
    </w:p>
    <w:p w:rsidR="00E6234D" w:rsidRPr="00032247" w:rsidRDefault="00E6234D" w:rsidP="00E6234D">
      <w:pPr>
        <w:pStyle w:val="AERbulletlistfirststyle"/>
      </w:pPr>
      <w:r w:rsidRPr="00032247">
        <w:t>APT Pipelines Ltd</w:t>
      </w:r>
    </w:p>
    <w:p w:rsidR="00E6234D" w:rsidRPr="00032247" w:rsidRDefault="00E6234D" w:rsidP="00E6234D">
      <w:pPr>
        <w:pStyle w:val="AERbulletlistfirststyle"/>
      </w:pPr>
      <w:r w:rsidRPr="00032247">
        <w:t>ATCO Gas Australian LP</w:t>
      </w:r>
    </w:p>
    <w:p w:rsidR="00E6234D" w:rsidRPr="00032247" w:rsidRDefault="00E6234D" w:rsidP="00E6234D">
      <w:pPr>
        <w:pStyle w:val="AERbulletlistfirststyle"/>
      </w:pPr>
      <w:r w:rsidRPr="00032247">
        <w:t>DBNGP Trust</w:t>
      </w:r>
    </w:p>
    <w:p w:rsidR="00E6234D" w:rsidRPr="00032247" w:rsidRDefault="00E6234D" w:rsidP="00E6234D">
      <w:pPr>
        <w:pStyle w:val="AERbulletlistfirststyle"/>
      </w:pPr>
      <w:r w:rsidRPr="00032247">
        <w:t>DUET Group</w:t>
      </w:r>
    </w:p>
    <w:p w:rsidR="00E6234D" w:rsidRPr="00032247" w:rsidRDefault="00E6234D" w:rsidP="00E6234D">
      <w:pPr>
        <w:pStyle w:val="AERbulletlistfirststyle"/>
      </w:pPr>
      <w:r w:rsidRPr="00032247">
        <w:t>ElectraNet Pty Ltd</w:t>
      </w:r>
    </w:p>
    <w:p w:rsidR="00E6234D" w:rsidRPr="00032247" w:rsidRDefault="00E6234D" w:rsidP="00E6234D">
      <w:pPr>
        <w:pStyle w:val="AERbulletlistfirststyle"/>
      </w:pPr>
      <w:r w:rsidRPr="00032247">
        <w:t>Energy Partnership (Gas) Pty Ltd</w:t>
      </w:r>
    </w:p>
    <w:p w:rsidR="00E6234D" w:rsidRPr="00032247" w:rsidRDefault="00E6234D" w:rsidP="00E6234D">
      <w:pPr>
        <w:pStyle w:val="AERbulletlistfirststyle"/>
      </w:pPr>
      <w:r w:rsidRPr="00032247">
        <w:t xml:space="preserve">Australian Gas Networks Ltd— previously Envestra Ltd </w:t>
      </w:r>
    </w:p>
    <w:p w:rsidR="00E6234D" w:rsidRPr="00032247" w:rsidRDefault="00E6234D" w:rsidP="00E6234D">
      <w:pPr>
        <w:pStyle w:val="AERbulletlistfirststyle"/>
      </w:pPr>
      <w:r w:rsidRPr="00032247">
        <w:t>ETSA Utilities</w:t>
      </w:r>
    </w:p>
    <w:p w:rsidR="00E6234D" w:rsidRPr="00032247" w:rsidRDefault="00E6234D" w:rsidP="00E6234D">
      <w:pPr>
        <w:pStyle w:val="AERbulletlistfirststyle"/>
      </w:pPr>
      <w:r w:rsidRPr="00032247">
        <w:t>Powercor Australia LLC</w:t>
      </w:r>
      <w:r>
        <w:t xml:space="preserve"> </w:t>
      </w:r>
    </w:p>
    <w:p w:rsidR="00E6234D" w:rsidRPr="00032247" w:rsidRDefault="00E6234D" w:rsidP="00E6234D">
      <w:pPr>
        <w:pStyle w:val="AERbulletlistfirststyle"/>
      </w:pPr>
      <w:r w:rsidRPr="00032247">
        <w:t>AusNet Services — previously SP AusNet Group</w:t>
      </w:r>
    </w:p>
    <w:p w:rsidR="00E6234D" w:rsidRPr="00032247" w:rsidRDefault="00E6234D" w:rsidP="00E6234D">
      <w:pPr>
        <w:pStyle w:val="AERbulletlistfirststyle"/>
      </w:pPr>
      <w:r w:rsidRPr="00032247">
        <w:t>SGSP — previously SPI (Australia) Assets Pty Ltd</w:t>
      </w:r>
    </w:p>
    <w:p w:rsidR="00E6234D" w:rsidRPr="00032247" w:rsidRDefault="00E6234D" w:rsidP="00E6234D">
      <w:pPr>
        <w:pStyle w:val="AERbulletlistfirststyle"/>
      </w:pPr>
      <w:r w:rsidRPr="00032247">
        <w:t>The CitiPower Trust</w:t>
      </w:r>
      <w:r>
        <w:t xml:space="preserve"> </w:t>
      </w:r>
    </w:p>
    <w:p w:rsidR="00E6234D" w:rsidRDefault="00E6234D" w:rsidP="00E6234D">
      <w:pPr>
        <w:pStyle w:val="AERbulletlistfirststyle"/>
      </w:pPr>
      <w:r w:rsidRPr="00032247">
        <w:t>Uni</w:t>
      </w:r>
      <w:r>
        <w:t>ted Energy Distribution Pty Ltd</w:t>
      </w:r>
    </w:p>
    <w:p w:rsidR="00E6234D" w:rsidRDefault="00E6234D" w:rsidP="00E6234D">
      <w:pPr>
        <w:pStyle w:val="AERbulletlistfirststyle"/>
      </w:pPr>
      <w:r>
        <w:t>Victoria Power Networks Pty Ltd</w:t>
      </w:r>
      <w:bookmarkStart w:id="408" w:name="_Toc433367515"/>
      <w:bookmarkStart w:id="409" w:name="_Toc433446598"/>
      <w:r>
        <w:rPr>
          <w:rStyle w:val="FootnoteReference"/>
        </w:rPr>
        <w:footnoteReference w:id="1200"/>
      </w:r>
    </w:p>
    <w:p w:rsidR="00E6234D" w:rsidRDefault="00E6234D" w:rsidP="00E6234D">
      <w:r>
        <w:t xml:space="preserve">In its regulatory proposal AusNet Services submitted we should exclude it and SGSP from our comparator set. This is on the basis that the </w:t>
      </w:r>
      <w:r w:rsidRPr="004057F3">
        <w:t xml:space="preserve">ownership by the Singaporean Government and later by the Chinese Government in these businesses </w:t>
      </w:r>
      <w:r>
        <w:t>affects</w:t>
      </w:r>
      <w:r w:rsidRPr="004057F3">
        <w:t xml:space="preserve"> </w:t>
      </w:r>
      <w:r>
        <w:t xml:space="preserve">how </w:t>
      </w:r>
      <w:r w:rsidRPr="004057F3">
        <w:t xml:space="preserve">credit rating agencies </w:t>
      </w:r>
      <w:r>
        <w:t>consider their</w:t>
      </w:r>
      <w:r w:rsidRPr="004057F3">
        <w:t xml:space="preserve"> credit ratings</w:t>
      </w:r>
      <w:r>
        <w:t>.</w:t>
      </w:r>
      <w:r>
        <w:rPr>
          <w:rStyle w:val="FootnoteReference"/>
        </w:rPr>
        <w:footnoteReference w:id="1201"/>
      </w:r>
      <w:r w:rsidRPr="004057F3">
        <w:t xml:space="preserve"> </w:t>
      </w:r>
    </w:p>
    <w:p w:rsidR="00E6234D" w:rsidRPr="00160DAC" w:rsidRDefault="00E6234D" w:rsidP="00E6234D">
      <w:pPr>
        <w:rPr>
          <w:rStyle w:val="AERsuperscript"/>
        </w:rPr>
      </w:pPr>
      <w:r w:rsidRPr="008C258A">
        <w:t>W</w:t>
      </w:r>
      <w:r>
        <w:t>e have previously stated in our final decision for SA Power Networks that w</w:t>
      </w:r>
      <w:r w:rsidRPr="008C258A">
        <w:t>e do not consider partial government ownership is an important factor in the assigned rating by Standard and Poor’s.</w:t>
      </w:r>
      <w:r>
        <w:rPr>
          <w:rStyle w:val="FootnoteReference"/>
        </w:rPr>
        <w:footnoteReference w:id="1202"/>
      </w:r>
      <w:r w:rsidRPr="008C258A">
        <w:t xml:space="preserve"> </w:t>
      </w:r>
      <w:r>
        <w:t>We consider that Australian federal or state government owned service providers may have different incentives compared to foreign government owned and privately owned service providers. However, we have formed the view that foreign government owned firms, particularly those that hold minority investments, would be operated in a similar manner to privately owned firms with parent</w:t>
      </w:r>
      <w:r w:rsidRPr="00160DAC">
        <w:rPr>
          <w:rStyle w:val="AERbody"/>
        </w:rPr>
        <w:t xml:space="preserve"> support, with regards to the likelihood of timely and sufficient government </w:t>
      </w:r>
      <w:r>
        <w:rPr>
          <w:rStyle w:val="AERbody"/>
        </w:rPr>
        <w:t xml:space="preserve">or </w:t>
      </w:r>
      <w:r w:rsidRPr="00160DAC">
        <w:rPr>
          <w:rStyle w:val="AERbody"/>
        </w:rPr>
        <w:t>parent company support in extraordinary circumstances.</w:t>
      </w:r>
      <w:r w:rsidRPr="00160DAC">
        <w:rPr>
          <w:rStyle w:val="AERsuperscript"/>
        </w:rPr>
        <w:footnoteReference w:id="1203"/>
      </w:r>
    </w:p>
    <w:p w:rsidR="00E6234D" w:rsidRPr="002F0EF0" w:rsidRDefault="00E6234D" w:rsidP="00E6234D">
      <w:r w:rsidRPr="002F0EF0">
        <w:t xml:space="preserve">Overall, we note that there are a range of possible reasons for excluding firms from the comparator set that could be put forward. These potential reasons include excluding firms within the same corporate group, excluding firms with parent ownership, </w:t>
      </w:r>
      <w:r>
        <w:t xml:space="preserve">excluding firms with gearing levels that differ from our benchmark 60 per cent level, </w:t>
      </w:r>
      <w:r w:rsidRPr="002F0EF0">
        <w:t>and excluding firms with non-regulated activities.</w:t>
      </w:r>
      <w:r>
        <w:t xml:space="preserve"> For example, in its submission on our preliminary decision for SA Power Networks, ECCSA expressed concerns that Envestra contributed to our benchmark given Envestra's gearing has exceeded 80 per cent.</w:t>
      </w:r>
      <w:r>
        <w:rPr>
          <w:rStyle w:val="FootnoteReference"/>
        </w:rPr>
        <w:footnoteReference w:id="1204"/>
      </w:r>
      <w:r>
        <w:t xml:space="preserve"> </w:t>
      </w:r>
      <w:r w:rsidRPr="002F0EF0">
        <w:t xml:space="preserve">The merits of each of these can be debated, and we assess </w:t>
      </w:r>
      <w:r>
        <w:t>several of these reasons</w:t>
      </w:r>
      <w:r w:rsidRPr="002F0EF0">
        <w:t xml:space="preserve"> above. If each of these exclusion criteria were applied it would likely leave a sample that is too small to draw meaningful conclusions on. In such a case, we would like</w:t>
      </w:r>
      <w:r>
        <w:t>ly</w:t>
      </w:r>
      <w:r w:rsidRPr="002F0EF0">
        <w:t xml:space="preserve"> find there were insufficient reasons to depart from the previous benchmark, which is BBB+. </w:t>
      </w:r>
    </w:p>
    <w:p w:rsidR="00E6234D" w:rsidRDefault="00E6234D" w:rsidP="00E6234D">
      <w:r w:rsidRPr="002F0EF0">
        <w:t xml:space="preserve">Accordingly, our preferred approach is to include the full sample of privately owned </w:t>
      </w:r>
      <w:r>
        <w:t xml:space="preserve">(that is, non-Australian government owned) </w:t>
      </w:r>
      <w:r w:rsidRPr="002F0EF0">
        <w:t>energy network service providers, while recognising the strengths and limitations of this approach. However, whether applying all or none of the potential exclusion criteria, we would likely maintain a BBB+ benchmark credit rating</w:t>
      </w:r>
      <w:r>
        <w:t>.</w:t>
      </w:r>
    </w:p>
    <w:p w:rsidR="00E6234D" w:rsidRPr="00F72016" w:rsidRDefault="00E6234D" w:rsidP="00E6234D">
      <w:pPr>
        <w:pStyle w:val="Heading9"/>
      </w:pPr>
      <w:bookmarkStart w:id="410" w:name="_Toc456686777"/>
      <w:r>
        <w:t>Current Industry Median</w:t>
      </w:r>
      <w:bookmarkEnd w:id="408"/>
      <w:bookmarkEnd w:id="409"/>
      <w:bookmarkEnd w:id="410"/>
    </w:p>
    <w:p w:rsidR="00E6234D" w:rsidRPr="008E3CDC" w:rsidRDefault="00E6234D" w:rsidP="00E6234D">
      <w:r>
        <w:t xml:space="preserve">Consistent with the </w:t>
      </w:r>
      <w:r w:rsidRPr="008E3CDC">
        <w:t>Guideline</w:t>
      </w:r>
      <w:r>
        <w:t xml:space="preserve"> explanatory statement, we have had regard to empirical evidence in applying a benchmark credit rating of BBB+</w:t>
      </w:r>
      <w:r w:rsidRPr="008E3CDC">
        <w:t>.</w:t>
      </w:r>
      <w:r w:rsidRPr="008E3CDC">
        <w:rPr>
          <w:rStyle w:val="FootnoteReference"/>
        </w:rPr>
        <w:footnoteReference w:id="1205"/>
      </w:r>
      <w:r w:rsidRPr="008E3CDC">
        <w:t xml:space="preserve"> </w:t>
      </w:r>
      <w:r w:rsidRPr="00411A04">
        <w:t xml:space="preserve">We </w:t>
      </w:r>
      <w:r>
        <w:t>also</w:t>
      </w:r>
      <w:r w:rsidRPr="00411A04">
        <w:t xml:space="preserve"> have regard to variability in the median credit rating throughout time. This recognises </w:t>
      </w:r>
      <w:r>
        <w:t>that while</w:t>
      </w:r>
      <w:r w:rsidRPr="00411A04">
        <w:t xml:space="preserve"> shorter term data is more likely to reflect current expectations, longer term data may reduce the influence on the median from firm specific or idiosyncratic factors.</w:t>
      </w:r>
      <w:r>
        <w:t xml:space="preserve"> It is worth noting that we consider AusNet Services mischaracterised our approach as only taking an ‘on-the-day’ credit rating.</w:t>
      </w:r>
      <w:r>
        <w:rPr>
          <w:rStyle w:val="FootnoteReference"/>
        </w:rPr>
        <w:footnoteReference w:id="1206"/>
      </w:r>
    </w:p>
    <w:p w:rsidR="00E6234D" w:rsidRDefault="00E6234D" w:rsidP="00E6234D">
      <w:r>
        <w:fldChar w:fldCharType="begin"/>
      </w:r>
      <w:r>
        <w:instrText xml:space="preserve"> REF _Ref452632133 \h </w:instrText>
      </w:r>
      <w:r>
        <w:fldChar w:fldCharType="separate"/>
      </w:r>
      <w:r w:rsidR="003F1AAB">
        <w:t xml:space="preserve">Table </w:t>
      </w:r>
      <w:r w:rsidR="003F1AAB">
        <w:rPr>
          <w:noProof/>
        </w:rPr>
        <w:t>3</w:t>
      </w:r>
      <w:r w:rsidR="003F1AAB">
        <w:noBreakHyphen/>
      </w:r>
      <w:r w:rsidR="003F1AAB">
        <w:rPr>
          <w:noProof/>
        </w:rPr>
        <w:t>39</w:t>
      </w:r>
      <w:r>
        <w:fldChar w:fldCharType="end"/>
      </w:r>
      <w:r>
        <w:t xml:space="preserve"> sets out the median credit rating over historical periods of progressively longer length. While </w:t>
      </w:r>
      <w:r>
        <w:fldChar w:fldCharType="begin"/>
      </w:r>
      <w:r>
        <w:instrText xml:space="preserve"> REF  _Ref452631952 \* Lower \h </w:instrText>
      </w:r>
      <w:r>
        <w:fldChar w:fldCharType="separate"/>
      </w:r>
      <w:r w:rsidR="003F1AAB">
        <w:t xml:space="preserve">table </w:t>
      </w:r>
      <w:r w:rsidR="003F1AAB">
        <w:rPr>
          <w:noProof/>
        </w:rPr>
        <w:t>3</w:t>
      </w:r>
      <w:r w:rsidR="003F1AAB">
        <w:noBreakHyphen/>
      </w:r>
      <w:r w:rsidR="003F1AAB">
        <w:rPr>
          <w:noProof/>
        </w:rPr>
        <w:t>40</w:t>
      </w:r>
      <w:r>
        <w:fldChar w:fldCharType="end"/>
      </w:r>
      <w:r>
        <w:t xml:space="preserve"> shows some support for a credit rating of BBB, we consider it shows stronger support for a credit rating of BBB+. </w:t>
      </w:r>
    </w:p>
    <w:p w:rsidR="00E6234D" w:rsidRDefault="00E6234D" w:rsidP="00E6234D">
      <w:r>
        <w:t>We also note that this estimate entails taking the median from the yearly medians. We could also take the median of all credit rating observations over these time periods. This gives</w:t>
      </w:r>
      <w:r w:rsidRPr="00057769">
        <w:t xml:space="preserve"> BBB+ for the five most recent periods, BBB/BBB+ for the period 2010–2015 and BBB for the longer averaging periods (2006–2015 to 2009–15)</w:t>
      </w:r>
      <w:r>
        <w:t>. Both median of yearly medians and median of all observations show stronger support for a BBB+ benchmark credit rating. Similarly, having considered our presentation of this data in recent determinations, the Tribunal observed that the more recent years firmly point towards a BBB+ credit rating for the benchmark efficient entity.</w:t>
      </w:r>
      <w:r>
        <w:rPr>
          <w:rStyle w:val="FootnoteReference"/>
        </w:rPr>
        <w:footnoteReference w:id="1207"/>
      </w:r>
      <w:r>
        <w:t xml:space="preserve"> </w:t>
      </w:r>
    </w:p>
    <w:p w:rsidR="00E6234D" w:rsidRPr="00E41C8B" w:rsidRDefault="00E6234D" w:rsidP="00E6234D">
      <w:pPr>
        <w:pStyle w:val="Caption"/>
      </w:pPr>
      <w:bookmarkStart w:id="411" w:name="_Ref452632133"/>
      <w:r>
        <w:t xml:space="preserve">Table </w:t>
      </w:r>
      <w:fldSimple w:instr=" STYLEREF 1 \s ">
        <w:r w:rsidR="003F1AAB">
          <w:rPr>
            <w:noProof/>
          </w:rPr>
          <w:t>3</w:t>
        </w:r>
      </w:fldSimple>
      <w:r>
        <w:noBreakHyphen/>
      </w:r>
      <w:fldSimple w:instr=" SEQ Table \* ARABIC \s 1 ">
        <w:r w:rsidR="003F1AAB">
          <w:rPr>
            <w:noProof/>
          </w:rPr>
          <w:t>39</w:t>
        </w:r>
      </w:fldSimple>
      <w:bookmarkEnd w:id="411"/>
      <w:r>
        <w:t xml:space="preserve"> </w:t>
      </w:r>
      <w:r w:rsidRPr="00E41C8B">
        <w:t>Median credit rating</w:t>
      </w:r>
      <w:r w:rsidRPr="00627B3D">
        <w:t>—</w:t>
      </w:r>
      <w:r w:rsidRPr="00E41C8B">
        <w:t>Comparator set of firms</w:t>
      </w:r>
    </w:p>
    <w:tbl>
      <w:tblPr>
        <w:tblStyle w:val="AERtable-text0"/>
        <w:tblW w:w="0" w:type="auto"/>
        <w:tblLook w:val="04A0" w:firstRow="1" w:lastRow="0" w:firstColumn="1" w:lastColumn="0" w:noHBand="0" w:noVBand="1"/>
      </w:tblPr>
      <w:tblGrid>
        <w:gridCol w:w="2153"/>
        <w:gridCol w:w="2192"/>
        <w:gridCol w:w="2155"/>
        <w:gridCol w:w="2193"/>
      </w:tblGrid>
      <w:tr w:rsidR="00E6234D" w:rsidRPr="00073F41" w:rsidTr="00DA33BB">
        <w:trPr>
          <w:cnfStyle w:val="100000000000" w:firstRow="1" w:lastRow="0" w:firstColumn="0" w:lastColumn="0" w:oddVBand="0" w:evenVBand="0" w:oddHBand="0" w:evenHBand="0" w:firstRowFirstColumn="0" w:firstRowLastColumn="0" w:lastRowFirstColumn="0" w:lastRowLastColumn="0"/>
        </w:trPr>
        <w:tc>
          <w:tcPr>
            <w:tcW w:w="2153" w:type="dxa"/>
          </w:tcPr>
          <w:p w:rsidR="00E6234D" w:rsidRPr="00E6234D" w:rsidRDefault="00E6234D" w:rsidP="00E6234D">
            <w:r w:rsidRPr="00073F41">
              <w:t xml:space="preserve">Time </w:t>
            </w:r>
            <w:r w:rsidRPr="00E6234D">
              <w:t xml:space="preserve">period </w:t>
            </w:r>
          </w:p>
        </w:tc>
        <w:tc>
          <w:tcPr>
            <w:tcW w:w="2192" w:type="dxa"/>
          </w:tcPr>
          <w:p w:rsidR="00E6234D" w:rsidRPr="00E6234D" w:rsidRDefault="00E6234D" w:rsidP="00E6234D">
            <w:r w:rsidRPr="00073F41">
              <w:t>Median credit rating</w:t>
            </w:r>
          </w:p>
        </w:tc>
        <w:tc>
          <w:tcPr>
            <w:tcW w:w="2155" w:type="dxa"/>
          </w:tcPr>
          <w:p w:rsidR="00E6234D" w:rsidRPr="00E6234D" w:rsidRDefault="00E6234D" w:rsidP="00E6234D">
            <w:r w:rsidRPr="00073F41">
              <w:t>Time period</w:t>
            </w:r>
          </w:p>
        </w:tc>
        <w:tc>
          <w:tcPr>
            <w:tcW w:w="2193" w:type="dxa"/>
          </w:tcPr>
          <w:p w:rsidR="00E6234D" w:rsidRPr="00E6234D" w:rsidRDefault="00E6234D" w:rsidP="00E6234D">
            <w:r w:rsidRPr="00073F41">
              <w:t>Median credit rating</w:t>
            </w:r>
          </w:p>
        </w:tc>
      </w:tr>
      <w:tr w:rsidR="00E6234D" w:rsidRPr="00073F41" w:rsidTr="00DA33BB">
        <w:trPr>
          <w:trHeight w:val="622"/>
        </w:trPr>
        <w:tc>
          <w:tcPr>
            <w:tcW w:w="2153" w:type="dxa"/>
          </w:tcPr>
          <w:p w:rsidR="00E6234D" w:rsidRPr="00E6234D" w:rsidRDefault="00E6234D" w:rsidP="00E6234D">
            <w:r>
              <w:t xml:space="preserve">2015 </w:t>
            </w:r>
          </w:p>
        </w:tc>
        <w:tc>
          <w:tcPr>
            <w:tcW w:w="2192" w:type="dxa"/>
          </w:tcPr>
          <w:p w:rsidR="00E6234D" w:rsidRPr="00E6234D" w:rsidRDefault="00E6234D" w:rsidP="00E6234D">
            <w:r w:rsidRPr="00073F41">
              <w:t>BBB+</w:t>
            </w:r>
          </w:p>
        </w:tc>
        <w:tc>
          <w:tcPr>
            <w:tcW w:w="2155" w:type="dxa"/>
          </w:tcPr>
          <w:p w:rsidR="00E6234D" w:rsidRPr="00E6234D" w:rsidRDefault="00E6234D" w:rsidP="00E6234D">
            <w:r>
              <w:t>2010</w:t>
            </w:r>
            <w:r w:rsidRPr="00E6234D">
              <w:t>–2015</w:t>
            </w:r>
          </w:p>
        </w:tc>
        <w:tc>
          <w:tcPr>
            <w:tcW w:w="2193" w:type="dxa"/>
          </w:tcPr>
          <w:p w:rsidR="00E6234D" w:rsidRPr="00E6234D" w:rsidRDefault="00E6234D" w:rsidP="00E6234D">
            <w:r w:rsidRPr="00073F41">
              <w:t>BBB</w:t>
            </w:r>
            <w:r w:rsidRPr="00E6234D">
              <w:t>/BBB+</w:t>
            </w:r>
          </w:p>
        </w:tc>
      </w:tr>
      <w:tr w:rsidR="00E6234D" w:rsidRPr="00073F41" w:rsidTr="00DA33BB">
        <w:trPr>
          <w:cnfStyle w:val="000000010000" w:firstRow="0" w:lastRow="0" w:firstColumn="0" w:lastColumn="0" w:oddVBand="0" w:evenVBand="0" w:oddHBand="0" w:evenHBand="1" w:firstRowFirstColumn="0" w:firstRowLastColumn="0" w:lastRowFirstColumn="0" w:lastRowLastColumn="0"/>
        </w:trPr>
        <w:tc>
          <w:tcPr>
            <w:tcW w:w="2153" w:type="dxa"/>
          </w:tcPr>
          <w:p w:rsidR="00E6234D" w:rsidRPr="00E6234D" w:rsidRDefault="00E6234D" w:rsidP="00E6234D">
            <w:r>
              <w:t>2014–2015</w:t>
            </w:r>
          </w:p>
        </w:tc>
        <w:tc>
          <w:tcPr>
            <w:tcW w:w="2192" w:type="dxa"/>
          </w:tcPr>
          <w:p w:rsidR="00E6234D" w:rsidRPr="00E6234D" w:rsidRDefault="00E6234D" w:rsidP="00E6234D">
            <w:r w:rsidRPr="00073F41">
              <w:t>BBB+</w:t>
            </w:r>
          </w:p>
        </w:tc>
        <w:tc>
          <w:tcPr>
            <w:tcW w:w="2155" w:type="dxa"/>
          </w:tcPr>
          <w:p w:rsidR="00E6234D" w:rsidRPr="00E6234D" w:rsidRDefault="00E6234D" w:rsidP="00E6234D">
            <w:r>
              <w:t>2009–2015</w:t>
            </w:r>
          </w:p>
        </w:tc>
        <w:tc>
          <w:tcPr>
            <w:tcW w:w="2193" w:type="dxa"/>
          </w:tcPr>
          <w:p w:rsidR="00E6234D" w:rsidRPr="00E6234D" w:rsidRDefault="00E6234D" w:rsidP="00E6234D">
            <w:r>
              <w:t>BBB</w:t>
            </w:r>
          </w:p>
        </w:tc>
      </w:tr>
      <w:tr w:rsidR="00E6234D" w:rsidRPr="00073F41" w:rsidTr="00DA33BB">
        <w:tc>
          <w:tcPr>
            <w:tcW w:w="2153" w:type="dxa"/>
          </w:tcPr>
          <w:p w:rsidR="00E6234D" w:rsidRPr="00E6234D" w:rsidRDefault="00E6234D" w:rsidP="00E6234D">
            <w:r>
              <w:t>2013–2015</w:t>
            </w:r>
          </w:p>
        </w:tc>
        <w:tc>
          <w:tcPr>
            <w:tcW w:w="2192" w:type="dxa"/>
          </w:tcPr>
          <w:p w:rsidR="00E6234D" w:rsidRPr="00E6234D" w:rsidRDefault="00E6234D" w:rsidP="00E6234D">
            <w:r w:rsidRPr="00073F41">
              <w:t>BBB+</w:t>
            </w:r>
          </w:p>
        </w:tc>
        <w:tc>
          <w:tcPr>
            <w:tcW w:w="2155" w:type="dxa"/>
          </w:tcPr>
          <w:p w:rsidR="00E6234D" w:rsidRPr="00E6234D" w:rsidRDefault="00E6234D" w:rsidP="00E6234D">
            <w:r>
              <w:t>2008–2015</w:t>
            </w:r>
          </w:p>
        </w:tc>
        <w:tc>
          <w:tcPr>
            <w:tcW w:w="2193" w:type="dxa"/>
          </w:tcPr>
          <w:p w:rsidR="00E6234D" w:rsidRPr="00E6234D" w:rsidRDefault="00E6234D" w:rsidP="00E6234D">
            <w:r>
              <w:t>BBB</w:t>
            </w:r>
            <w:r w:rsidRPr="00E6234D">
              <w:t>/BBB+</w:t>
            </w:r>
          </w:p>
        </w:tc>
      </w:tr>
      <w:tr w:rsidR="00E6234D" w:rsidRPr="00073F41" w:rsidTr="00DA33BB">
        <w:trPr>
          <w:cnfStyle w:val="000000010000" w:firstRow="0" w:lastRow="0" w:firstColumn="0" w:lastColumn="0" w:oddVBand="0" w:evenVBand="0" w:oddHBand="0" w:evenHBand="1" w:firstRowFirstColumn="0" w:firstRowLastColumn="0" w:lastRowFirstColumn="0" w:lastRowLastColumn="0"/>
        </w:trPr>
        <w:tc>
          <w:tcPr>
            <w:tcW w:w="2153" w:type="dxa"/>
          </w:tcPr>
          <w:p w:rsidR="00E6234D" w:rsidRPr="00E6234D" w:rsidRDefault="00E6234D" w:rsidP="00E6234D">
            <w:r>
              <w:t>2012–2015</w:t>
            </w:r>
          </w:p>
        </w:tc>
        <w:tc>
          <w:tcPr>
            <w:tcW w:w="2192" w:type="dxa"/>
          </w:tcPr>
          <w:p w:rsidR="00E6234D" w:rsidRPr="00E6234D" w:rsidRDefault="00E6234D" w:rsidP="00E6234D">
            <w:r w:rsidRPr="00073F41">
              <w:t>BBB</w:t>
            </w:r>
            <w:r w:rsidRPr="00E6234D">
              <w:t>/BBB+</w:t>
            </w:r>
          </w:p>
        </w:tc>
        <w:tc>
          <w:tcPr>
            <w:tcW w:w="2155" w:type="dxa"/>
          </w:tcPr>
          <w:p w:rsidR="00E6234D" w:rsidRPr="00E6234D" w:rsidRDefault="00E6234D" w:rsidP="00E6234D">
            <w:r>
              <w:t>2007–2015</w:t>
            </w:r>
          </w:p>
        </w:tc>
        <w:tc>
          <w:tcPr>
            <w:tcW w:w="2193" w:type="dxa"/>
          </w:tcPr>
          <w:p w:rsidR="00E6234D" w:rsidRPr="00E6234D" w:rsidRDefault="00E6234D" w:rsidP="00E6234D">
            <w:r>
              <w:t>BBB/</w:t>
            </w:r>
            <w:r w:rsidRPr="00E6234D">
              <w:t>BBB+</w:t>
            </w:r>
          </w:p>
        </w:tc>
      </w:tr>
      <w:tr w:rsidR="00E6234D" w:rsidRPr="00073F41" w:rsidTr="00DA33BB">
        <w:tc>
          <w:tcPr>
            <w:tcW w:w="2153" w:type="dxa"/>
          </w:tcPr>
          <w:p w:rsidR="00E6234D" w:rsidRPr="00E6234D" w:rsidRDefault="00E6234D" w:rsidP="00E6234D">
            <w:r>
              <w:t>2011–2015</w:t>
            </w:r>
          </w:p>
        </w:tc>
        <w:tc>
          <w:tcPr>
            <w:tcW w:w="2192" w:type="dxa"/>
          </w:tcPr>
          <w:p w:rsidR="00E6234D" w:rsidRPr="00E6234D" w:rsidRDefault="00E6234D" w:rsidP="00E6234D">
            <w:r>
              <w:t>BBB</w:t>
            </w:r>
            <w:r w:rsidRPr="00E6234D">
              <w:t>/BBB+</w:t>
            </w:r>
          </w:p>
        </w:tc>
        <w:tc>
          <w:tcPr>
            <w:tcW w:w="2155" w:type="dxa"/>
          </w:tcPr>
          <w:p w:rsidR="00E6234D" w:rsidRPr="00E6234D" w:rsidRDefault="00E6234D" w:rsidP="00E6234D">
            <w:r>
              <w:t>2006–2015</w:t>
            </w:r>
          </w:p>
        </w:tc>
        <w:tc>
          <w:tcPr>
            <w:tcW w:w="2193" w:type="dxa"/>
          </w:tcPr>
          <w:p w:rsidR="00E6234D" w:rsidRPr="00E6234D" w:rsidRDefault="00E6234D" w:rsidP="00E6234D">
            <w:r>
              <w:t>BBB/</w:t>
            </w:r>
            <w:r w:rsidRPr="00E6234D">
              <w:t>BBB+</w:t>
            </w:r>
          </w:p>
        </w:tc>
      </w:tr>
    </w:tbl>
    <w:p w:rsidR="00E6234D" w:rsidRDefault="00E6234D" w:rsidP="00E6234D">
      <w:pPr>
        <w:pStyle w:val="AERtablesource"/>
      </w:pPr>
      <w:r w:rsidRPr="00E41C8B">
        <w:t xml:space="preserve">Source: </w:t>
      </w:r>
      <w:r w:rsidRPr="00E41C8B">
        <w:tab/>
        <w:t>Bloomberg (S&amp;P), AER analysis.</w:t>
      </w:r>
      <w:r>
        <w:t xml:space="preserve"> </w:t>
      </w:r>
    </w:p>
    <w:p w:rsidR="00E6234D" w:rsidRDefault="00E6234D" w:rsidP="00E6234D">
      <w:r>
        <w:t xml:space="preserve">For further detail, </w:t>
      </w:r>
      <w:r>
        <w:fldChar w:fldCharType="begin"/>
      </w:r>
      <w:r>
        <w:instrText xml:space="preserve"> REF  _Ref452631952 \* Lower \h </w:instrText>
      </w:r>
      <w:r>
        <w:fldChar w:fldCharType="separate"/>
      </w:r>
      <w:r w:rsidR="003F1AAB">
        <w:t xml:space="preserve">table </w:t>
      </w:r>
      <w:r w:rsidR="003F1AAB">
        <w:rPr>
          <w:noProof/>
        </w:rPr>
        <w:t>3</w:t>
      </w:r>
      <w:r w:rsidR="003F1AAB">
        <w:noBreakHyphen/>
      </w:r>
      <w:r w:rsidR="003F1AAB">
        <w:rPr>
          <w:noProof/>
        </w:rPr>
        <w:t>40</w:t>
      </w:r>
      <w:r>
        <w:fldChar w:fldCharType="end"/>
      </w:r>
      <w:r>
        <w:t xml:space="preserve"> s</w:t>
      </w:r>
      <w:r w:rsidRPr="00F11F88">
        <w:t xml:space="preserve">ets out the median credit ratings across our comparator set since the 2006 calendar year end. </w:t>
      </w:r>
      <w:bookmarkStart w:id="412" w:name="_Toc417049626"/>
      <w:bookmarkStart w:id="413" w:name="_Toc417991802"/>
      <w:bookmarkStart w:id="414" w:name="_Toc433367516"/>
      <w:bookmarkStart w:id="415" w:name="_Toc433446599"/>
    </w:p>
    <w:p w:rsidR="00E6234D" w:rsidRPr="00411A04" w:rsidRDefault="00E6234D" w:rsidP="00E6234D">
      <w:pPr>
        <w:pStyle w:val="Caption"/>
      </w:pPr>
      <w:bookmarkStart w:id="416" w:name="_Ref452631952"/>
      <w:bookmarkStart w:id="417" w:name="_Ref452638210"/>
      <w:r>
        <w:t xml:space="preserve">Table </w:t>
      </w:r>
      <w:fldSimple w:instr=" STYLEREF 1 \s ">
        <w:r w:rsidR="003F1AAB">
          <w:rPr>
            <w:noProof/>
          </w:rPr>
          <w:t>3</w:t>
        </w:r>
      </w:fldSimple>
      <w:r>
        <w:noBreakHyphen/>
      </w:r>
      <w:fldSimple w:instr=" SEQ Table \* ARABIC \s 1 ">
        <w:r w:rsidR="003F1AAB">
          <w:rPr>
            <w:noProof/>
          </w:rPr>
          <w:t>40</w:t>
        </w:r>
      </w:fldSimple>
      <w:bookmarkEnd w:id="416"/>
      <w:r>
        <w:t xml:space="preserve"> Credit ratings of network service providers over time</w:t>
      </w:r>
      <w:bookmarkEnd w:id="417"/>
    </w:p>
    <w:tbl>
      <w:tblPr>
        <w:tblStyle w:val="AERtable-text0"/>
        <w:tblW w:w="5000" w:type="pct"/>
        <w:tblLook w:val="04A0" w:firstRow="1" w:lastRow="0" w:firstColumn="1" w:lastColumn="0" w:noHBand="0" w:noVBand="1"/>
      </w:tblPr>
      <w:tblGrid>
        <w:gridCol w:w="1512"/>
        <w:gridCol w:w="734"/>
        <w:gridCol w:w="734"/>
        <w:gridCol w:w="734"/>
        <w:gridCol w:w="734"/>
        <w:gridCol w:w="683"/>
        <w:gridCol w:w="683"/>
        <w:gridCol w:w="683"/>
        <w:gridCol w:w="734"/>
        <w:gridCol w:w="734"/>
        <w:gridCol w:w="728"/>
      </w:tblGrid>
      <w:tr w:rsidR="00E6234D" w:rsidRPr="007D3E67" w:rsidTr="00DA33BB">
        <w:trPr>
          <w:cnfStyle w:val="100000000000" w:firstRow="1" w:lastRow="0" w:firstColumn="0" w:lastColumn="0" w:oddVBand="0" w:evenVBand="0" w:oddHBand="0" w:evenHBand="0" w:firstRowFirstColumn="0" w:firstRowLastColumn="0" w:lastRowFirstColumn="0" w:lastRowLastColumn="0"/>
        </w:trPr>
        <w:tc>
          <w:tcPr>
            <w:tcW w:w="870" w:type="pct"/>
          </w:tcPr>
          <w:p w:rsidR="00E6234D" w:rsidRPr="00E6234D" w:rsidRDefault="00E6234D" w:rsidP="00E6234D">
            <w:r w:rsidRPr="007D3E67">
              <w:t>Issuer</w:t>
            </w:r>
          </w:p>
        </w:tc>
        <w:tc>
          <w:tcPr>
            <w:tcW w:w="422" w:type="pct"/>
          </w:tcPr>
          <w:p w:rsidR="00E6234D" w:rsidRPr="00E6234D" w:rsidRDefault="00E6234D" w:rsidP="00E6234D">
            <w:r w:rsidRPr="007D3E67">
              <w:t>2006</w:t>
            </w:r>
          </w:p>
        </w:tc>
        <w:tc>
          <w:tcPr>
            <w:tcW w:w="422" w:type="pct"/>
          </w:tcPr>
          <w:p w:rsidR="00E6234D" w:rsidRPr="00E6234D" w:rsidRDefault="00E6234D" w:rsidP="00E6234D">
            <w:r w:rsidRPr="007D3E67">
              <w:t>2007</w:t>
            </w:r>
          </w:p>
        </w:tc>
        <w:tc>
          <w:tcPr>
            <w:tcW w:w="422" w:type="pct"/>
          </w:tcPr>
          <w:p w:rsidR="00E6234D" w:rsidRPr="00E6234D" w:rsidRDefault="00E6234D" w:rsidP="00E6234D">
            <w:r w:rsidRPr="007D3E67">
              <w:t>2008</w:t>
            </w:r>
          </w:p>
        </w:tc>
        <w:tc>
          <w:tcPr>
            <w:tcW w:w="422" w:type="pct"/>
          </w:tcPr>
          <w:p w:rsidR="00E6234D" w:rsidRPr="00E6234D" w:rsidRDefault="00E6234D" w:rsidP="00E6234D">
            <w:r w:rsidRPr="007D3E67">
              <w:t>2009</w:t>
            </w:r>
          </w:p>
        </w:tc>
        <w:tc>
          <w:tcPr>
            <w:tcW w:w="393" w:type="pct"/>
          </w:tcPr>
          <w:p w:rsidR="00E6234D" w:rsidRPr="00E6234D" w:rsidRDefault="00E6234D" w:rsidP="00E6234D">
            <w:r w:rsidRPr="007D3E67">
              <w:t>2010</w:t>
            </w:r>
          </w:p>
        </w:tc>
        <w:tc>
          <w:tcPr>
            <w:tcW w:w="393" w:type="pct"/>
          </w:tcPr>
          <w:p w:rsidR="00E6234D" w:rsidRPr="00E6234D" w:rsidRDefault="00E6234D" w:rsidP="00E6234D">
            <w:r w:rsidRPr="007D3E67">
              <w:t>2011</w:t>
            </w:r>
          </w:p>
        </w:tc>
        <w:tc>
          <w:tcPr>
            <w:tcW w:w="393" w:type="pct"/>
          </w:tcPr>
          <w:p w:rsidR="00E6234D" w:rsidRPr="00E6234D" w:rsidRDefault="00E6234D" w:rsidP="00E6234D">
            <w:r w:rsidRPr="007D3E67">
              <w:t>2012</w:t>
            </w:r>
          </w:p>
        </w:tc>
        <w:tc>
          <w:tcPr>
            <w:tcW w:w="422" w:type="pct"/>
          </w:tcPr>
          <w:p w:rsidR="00E6234D" w:rsidRPr="00E6234D" w:rsidRDefault="00E6234D" w:rsidP="00E6234D">
            <w:r w:rsidRPr="007D3E67">
              <w:t>2013</w:t>
            </w:r>
          </w:p>
        </w:tc>
        <w:tc>
          <w:tcPr>
            <w:tcW w:w="422" w:type="pct"/>
          </w:tcPr>
          <w:p w:rsidR="00E6234D" w:rsidRPr="00E6234D" w:rsidRDefault="00E6234D" w:rsidP="00E6234D">
            <w:r w:rsidRPr="007D3E67">
              <w:t xml:space="preserve">2014 </w:t>
            </w:r>
          </w:p>
        </w:tc>
        <w:tc>
          <w:tcPr>
            <w:tcW w:w="422" w:type="pct"/>
          </w:tcPr>
          <w:p w:rsidR="00E6234D" w:rsidRPr="00E6234D" w:rsidRDefault="00E6234D" w:rsidP="00E6234D">
            <w:r>
              <w:t>2015</w:t>
            </w:r>
          </w:p>
        </w:tc>
      </w:tr>
      <w:tr w:rsidR="00E6234D" w:rsidRPr="007D3E67" w:rsidTr="00DA33BB">
        <w:tc>
          <w:tcPr>
            <w:tcW w:w="870" w:type="pct"/>
          </w:tcPr>
          <w:p w:rsidR="00E6234D" w:rsidRPr="00E6234D" w:rsidRDefault="00E6234D" w:rsidP="00E6234D">
            <w:r w:rsidRPr="007D3E67">
              <w:t xml:space="preserve">APT Pipelines Ltd </w:t>
            </w:r>
          </w:p>
        </w:tc>
        <w:tc>
          <w:tcPr>
            <w:tcW w:w="422" w:type="pct"/>
          </w:tcPr>
          <w:p w:rsidR="00E6234D" w:rsidRPr="00E6234D" w:rsidRDefault="00E6234D" w:rsidP="00E6234D">
            <w:r w:rsidRPr="007D3E67">
              <w:t>NR</w:t>
            </w:r>
          </w:p>
        </w:tc>
        <w:tc>
          <w:tcPr>
            <w:tcW w:w="422" w:type="pct"/>
          </w:tcPr>
          <w:p w:rsidR="00E6234D" w:rsidRPr="00E6234D" w:rsidRDefault="00E6234D" w:rsidP="00E6234D">
            <w:r w:rsidRPr="007D3E67">
              <w:t>NR</w:t>
            </w:r>
          </w:p>
        </w:tc>
        <w:tc>
          <w:tcPr>
            <w:tcW w:w="422" w:type="pct"/>
          </w:tcPr>
          <w:p w:rsidR="00E6234D" w:rsidRPr="00E6234D" w:rsidRDefault="00E6234D" w:rsidP="00E6234D">
            <w:r w:rsidRPr="007D3E67">
              <w:t>NR</w:t>
            </w:r>
          </w:p>
        </w:tc>
        <w:tc>
          <w:tcPr>
            <w:tcW w:w="422" w:type="pct"/>
          </w:tcPr>
          <w:p w:rsidR="00E6234D" w:rsidRPr="00E6234D" w:rsidRDefault="00E6234D" w:rsidP="00E6234D">
            <w:r w:rsidRPr="007D3E67">
              <w:t>BBB</w:t>
            </w:r>
          </w:p>
        </w:tc>
        <w:tc>
          <w:tcPr>
            <w:tcW w:w="393" w:type="pct"/>
          </w:tcPr>
          <w:p w:rsidR="00E6234D" w:rsidRPr="00E6234D" w:rsidRDefault="00E6234D" w:rsidP="00E6234D">
            <w:r w:rsidRPr="007D3E67">
              <w:t>BBB</w:t>
            </w:r>
          </w:p>
        </w:tc>
        <w:tc>
          <w:tcPr>
            <w:tcW w:w="393" w:type="pct"/>
          </w:tcPr>
          <w:p w:rsidR="00E6234D" w:rsidRPr="00E6234D" w:rsidRDefault="00E6234D" w:rsidP="00E6234D">
            <w:r w:rsidRPr="007D3E67">
              <w:t>BBB</w:t>
            </w:r>
          </w:p>
        </w:tc>
        <w:tc>
          <w:tcPr>
            <w:tcW w:w="393"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422" w:type="pct"/>
          </w:tcPr>
          <w:p w:rsidR="00E6234D" w:rsidRPr="00E6234D" w:rsidRDefault="00E6234D" w:rsidP="00E6234D">
            <w:r>
              <w:t>BBB</w:t>
            </w:r>
          </w:p>
        </w:tc>
      </w:tr>
      <w:tr w:rsidR="00E6234D" w:rsidRPr="007D3E67" w:rsidTr="00DA33BB">
        <w:trPr>
          <w:cnfStyle w:val="000000010000" w:firstRow="0" w:lastRow="0" w:firstColumn="0" w:lastColumn="0" w:oddVBand="0" w:evenVBand="0" w:oddHBand="0" w:evenHBand="1" w:firstRowFirstColumn="0" w:firstRowLastColumn="0" w:lastRowFirstColumn="0" w:lastRowLastColumn="0"/>
        </w:trPr>
        <w:tc>
          <w:tcPr>
            <w:tcW w:w="870" w:type="pct"/>
          </w:tcPr>
          <w:p w:rsidR="00E6234D" w:rsidRPr="00E6234D" w:rsidRDefault="00E6234D" w:rsidP="00E6234D">
            <w:r w:rsidRPr="007D3E67">
              <w:t xml:space="preserve">ATCO Gas Australian LP </w:t>
            </w:r>
          </w:p>
        </w:tc>
        <w:tc>
          <w:tcPr>
            <w:tcW w:w="422" w:type="pct"/>
          </w:tcPr>
          <w:p w:rsidR="00E6234D" w:rsidRPr="00E6234D" w:rsidRDefault="00E6234D" w:rsidP="00E6234D">
            <w:r w:rsidRPr="007D3E67">
              <w:t>NR</w:t>
            </w:r>
          </w:p>
        </w:tc>
        <w:tc>
          <w:tcPr>
            <w:tcW w:w="422" w:type="pct"/>
          </w:tcPr>
          <w:p w:rsidR="00E6234D" w:rsidRPr="00E6234D" w:rsidRDefault="00E6234D" w:rsidP="00E6234D">
            <w:r w:rsidRPr="007D3E67">
              <w:t>NR</w:t>
            </w:r>
          </w:p>
        </w:tc>
        <w:tc>
          <w:tcPr>
            <w:tcW w:w="422" w:type="pct"/>
          </w:tcPr>
          <w:p w:rsidR="00E6234D" w:rsidRPr="00E6234D" w:rsidRDefault="00E6234D" w:rsidP="00E6234D">
            <w:r w:rsidRPr="007D3E67">
              <w:t>NR</w:t>
            </w:r>
          </w:p>
        </w:tc>
        <w:tc>
          <w:tcPr>
            <w:tcW w:w="422" w:type="pct"/>
          </w:tcPr>
          <w:p w:rsidR="00E6234D" w:rsidRPr="00E6234D" w:rsidRDefault="00E6234D" w:rsidP="00E6234D">
            <w:r w:rsidRPr="007D3E67">
              <w:t>NR</w:t>
            </w:r>
          </w:p>
        </w:tc>
        <w:tc>
          <w:tcPr>
            <w:tcW w:w="393" w:type="pct"/>
          </w:tcPr>
          <w:p w:rsidR="00E6234D" w:rsidRPr="00E6234D" w:rsidRDefault="00E6234D" w:rsidP="00E6234D">
            <w:r w:rsidRPr="007D3E67">
              <w:t>NR</w:t>
            </w:r>
          </w:p>
        </w:tc>
        <w:tc>
          <w:tcPr>
            <w:tcW w:w="393" w:type="pct"/>
          </w:tcPr>
          <w:p w:rsidR="00E6234D" w:rsidRPr="00E6234D" w:rsidRDefault="00E6234D" w:rsidP="00E6234D">
            <w:r w:rsidRPr="007D3E67">
              <w:t>BBB</w:t>
            </w:r>
          </w:p>
        </w:tc>
        <w:tc>
          <w:tcPr>
            <w:tcW w:w="393" w:type="pct"/>
          </w:tcPr>
          <w:p w:rsidR="00E6234D" w:rsidRPr="00E6234D" w:rsidRDefault="00E6234D" w:rsidP="00E6234D">
            <w:r w:rsidRPr="007D3E67">
              <w:t>BBB</w:t>
            </w:r>
          </w:p>
        </w:tc>
        <w:tc>
          <w:tcPr>
            <w:tcW w:w="422" w:type="pct"/>
          </w:tcPr>
          <w:p w:rsidR="00E6234D" w:rsidRPr="00E6234D" w:rsidRDefault="00E6234D" w:rsidP="00E6234D">
            <w:r w:rsidRPr="007D3E67">
              <w:t>A-</w:t>
            </w:r>
          </w:p>
        </w:tc>
        <w:tc>
          <w:tcPr>
            <w:tcW w:w="422" w:type="pct"/>
          </w:tcPr>
          <w:p w:rsidR="00E6234D" w:rsidRPr="00E6234D" w:rsidRDefault="00E6234D" w:rsidP="00E6234D">
            <w:r w:rsidRPr="007D3E67">
              <w:t>A-</w:t>
            </w:r>
          </w:p>
        </w:tc>
        <w:tc>
          <w:tcPr>
            <w:tcW w:w="422" w:type="pct"/>
          </w:tcPr>
          <w:p w:rsidR="00E6234D" w:rsidRPr="00E6234D" w:rsidRDefault="00E6234D" w:rsidP="00E6234D">
            <w:r>
              <w:t>A-</w:t>
            </w:r>
          </w:p>
        </w:tc>
      </w:tr>
      <w:tr w:rsidR="00E6234D" w:rsidRPr="007D3E67" w:rsidTr="00DA33BB">
        <w:tc>
          <w:tcPr>
            <w:tcW w:w="870" w:type="pct"/>
          </w:tcPr>
          <w:p w:rsidR="00E6234D" w:rsidRPr="00E6234D" w:rsidRDefault="00E6234D" w:rsidP="00E6234D">
            <w:r w:rsidRPr="007D3E67">
              <w:t>DBNGP Trust</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393" w:type="pct"/>
          </w:tcPr>
          <w:p w:rsidR="00E6234D" w:rsidRPr="00E6234D" w:rsidRDefault="00E6234D" w:rsidP="00E6234D">
            <w:r w:rsidRPr="007D3E67">
              <w:t>BBB-</w:t>
            </w:r>
          </w:p>
        </w:tc>
        <w:tc>
          <w:tcPr>
            <w:tcW w:w="393" w:type="pct"/>
          </w:tcPr>
          <w:p w:rsidR="00E6234D" w:rsidRPr="00E6234D" w:rsidRDefault="00E6234D" w:rsidP="00E6234D">
            <w:r w:rsidRPr="007D3E67">
              <w:t>BBB-</w:t>
            </w:r>
          </w:p>
        </w:tc>
        <w:tc>
          <w:tcPr>
            <w:tcW w:w="393"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422" w:type="pct"/>
          </w:tcPr>
          <w:p w:rsidR="00E6234D" w:rsidRPr="00E6234D" w:rsidRDefault="00E6234D" w:rsidP="00E6234D">
            <w:r>
              <w:t>BBB-</w:t>
            </w:r>
          </w:p>
        </w:tc>
      </w:tr>
      <w:tr w:rsidR="00E6234D" w:rsidRPr="007D3E67" w:rsidTr="00DA33BB">
        <w:trPr>
          <w:cnfStyle w:val="000000010000" w:firstRow="0" w:lastRow="0" w:firstColumn="0" w:lastColumn="0" w:oddVBand="0" w:evenVBand="0" w:oddHBand="0" w:evenHBand="1" w:firstRowFirstColumn="0" w:firstRowLastColumn="0" w:lastRowFirstColumn="0" w:lastRowLastColumn="0"/>
        </w:trPr>
        <w:tc>
          <w:tcPr>
            <w:tcW w:w="870" w:type="pct"/>
          </w:tcPr>
          <w:p w:rsidR="00E6234D" w:rsidRPr="00E6234D" w:rsidRDefault="00E6234D" w:rsidP="00E6234D">
            <w:r w:rsidRPr="007D3E67">
              <w:t xml:space="preserve">DUET Group </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393" w:type="pct"/>
          </w:tcPr>
          <w:p w:rsidR="00E6234D" w:rsidRPr="00E6234D" w:rsidRDefault="00E6234D" w:rsidP="00E6234D">
            <w:r w:rsidRPr="007D3E67">
              <w:t>BBB-</w:t>
            </w:r>
          </w:p>
        </w:tc>
        <w:tc>
          <w:tcPr>
            <w:tcW w:w="393" w:type="pct"/>
          </w:tcPr>
          <w:p w:rsidR="00E6234D" w:rsidRPr="00E6234D" w:rsidRDefault="00E6234D" w:rsidP="00E6234D">
            <w:r w:rsidRPr="007D3E67">
              <w:t>BBB-</w:t>
            </w:r>
          </w:p>
        </w:tc>
        <w:tc>
          <w:tcPr>
            <w:tcW w:w="393" w:type="pct"/>
          </w:tcPr>
          <w:p w:rsidR="00E6234D" w:rsidRPr="00E6234D" w:rsidRDefault="00E6234D" w:rsidP="00E6234D">
            <w:r w:rsidRPr="007D3E67">
              <w:t>BBB-</w:t>
            </w:r>
          </w:p>
        </w:tc>
        <w:tc>
          <w:tcPr>
            <w:tcW w:w="422" w:type="pct"/>
          </w:tcPr>
          <w:p w:rsidR="00E6234D" w:rsidRPr="00E6234D" w:rsidRDefault="00E6234D" w:rsidP="00E6234D">
            <w:r w:rsidRPr="007D3E67">
              <w:t>NR</w:t>
            </w:r>
          </w:p>
        </w:tc>
        <w:tc>
          <w:tcPr>
            <w:tcW w:w="422" w:type="pct"/>
          </w:tcPr>
          <w:p w:rsidR="00E6234D" w:rsidRPr="00E6234D" w:rsidRDefault="00E6234D" w:rsidP="00E6234D">
            <w:r w:rsidRPr="007D3E67">
              <w:t>NR</w:t>
            </w:r>
          </w:p>
        </w:tc>
        <w:tc>
          <w:tcPr>
            <w:tcW w:w="422" w:type="pct"/>
          </w:tcPr>
          <w:p w:rsidR="00E6234D" w:rsidRPr="00E6234D" w:rsidRDefault="00E6234D" w:rsidP="00E6234D">
            <w:r>
              <w:t>NR</w:t>
            </w:r>
          </w:p>
        </w:tc>
      </w:tr>
      <w:tr w:rsidR="00E6234D" w:rsidRPr="007D3E67" w:rsidTr="00DA33BB">
        <w:tc>
          <w:tcPr>
            <w:tcW w:w="870" w:type="pct"/>
          </w:tcPr>
          <w:p w:rsidR="00E6234D" w:rsidRPr="00E6234D" w:rsidRDefault="00E6234D" w:rsidP="00E6234D">
            <w:r w:rsidRPr="007D3E67">
              <w:t>ElectraNet</w:t>
            </w:r>
            <w:r w:rsidRPr="00E6234D">
              <w:t xml:space="preserve"> Pty Ltd </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393" w:type="pct"/>
          </w:tcPr>
          <w:p w:rsidR="00E6234D" w:rsidRPr="00E6234D" w:rsidRDefault="00E6234D" w:rsidP="00E6234D">
            <w:r w:rsidRPr="007D3E67">
              <w:t>BBB</w:t>
            </w:r>
          </w:p>
        </w:tc>
        <w:tc>
          <w:tcPr>
            <w:tcW w:w="393" w:type="pct"/>
          </w:tcPr>
          <w:p w:rsidR="00E6234D" w:rsidRPr="00E6234D" w:rsidRDefault="00E6234D" w:rsidP="00E6234D">
            <w:r w:rsidRPr="007D3E67">
              <w:t>BBB</w:t>
            </w:r>
          </w:p>
        </w:tc>
        <w:tc>
          <w:tcPr>
            <w:tcW w:w="393"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r w:rsidRPr="00E6234D">
              <w:t>+</w:t>
            </w:r>
          </w:p>
        </w:tc>
        <w:tc>
          <w:tcPr>
            <w:tcW w:w="422" w:type="pct"/>
          </w:tcPr>
          <w:p w:rsidR="00E6234D" w:rsidRPr="00E6234D" w:rsidRDefault="00E6234D" w:rsidP="00E6234D">
            <w:r>
              <w:t>BBB+</w:t>
            </w:r>
          </w:p>
        </w:tc>
      </w:tr>
      <w:tr w:rsidR="00E6234D" w:rsidRPr="007D3E67" w:rsidTr="00DA33BB">
        <w:trPr>
          <w:cnfStyle w:val="000000010000" w:firstRow="0" w:lastRow="0" w:firstColumn="0" w:lastColumn="0" w:oddVBand="0" w:evenVBand="0" w:oddHBand="0" w:evenHBand="1" w:firstRowFirstColumn="0" w:firstRowLastColumn="0" w:lastRowFirstColumn="0" w:lastRowLastColumn="0"/>
        </w:trPr>
        <w:tc>
          <w:tcPr>
            <w:tcW w:w="870" w:type="pct"/>
          </w:tcPr>
          <w:p w:rsidR="00E6234D" w:rsidRPr="00E6234D" w:rsidRDefault="00E6234D" w:rsidP="00E6234D">
            <w:r w:rsidRPr="007D3E67">
              <w:t xml:space="preserve">Energy </w:t>
            </w:r>
            <w:r w:rsidRPr="00E6234D">
              <w:t>Partnership (Gas) Pty Ltd</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393" w:type="pct"/>
          </w:tcPr>
          <w:p w:rsidR="00E6234D" w:rsidRPr="00E6234D" w:rsidRDefault="00E6234D" w:rsidP="00E6234D">
            <w:r w:rsidRPr="007D3E67">
              <w:t>BBB-</w:t>
            </w:r>
          </w:p>
        </w:tc>
        <w:tc>
          <w:tcPr>
            <w:tcW w:w="393" w:type="pct"/>
          </w:tcPr>
          <w:p w:rsidR="00E6234D" w:rsidRPr="00E6234D" w:rsidRDefault="00E6234D" w:rsidP="00E6234D">
            <w:r w:rsidRPr="007D3E67">
              <w:t>BBB-</w:t>
            </w:r>
          </w:p>
        </w:tc>
        <w:tc>
          <w:tcPr>
            <w:tcW w:w="393"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422" w:type="pct"/>
          </w:tcPr>
          <w:p w:rsidR="00E6234D" w:rsidRPr="00E6234D" w:rsidRDefault="00E6234D" w:rsidP="00E6234D">
            <w:r>
              <w:t>BBB-</w:t>
            </w:r>
          </w:p>
        </w:tc>
      </w:tr>
      <w:tr w:rsidR="00E6234D" w:rsidRPr="007D3E67" w:rsidTr="00DA33BB">
        <w:tc>
          <w:tcPr>
            <w:tcW w:w="870" w:type="pct"/>
          </w:tcPr>
          <w:p w:rsidR="00E6234D" w:rsidRPr="00E6234D" w:rsidRDefault="00E6234D" w:rsidP="00E6234D">
            <w:r>
              <w:t xml:space="preserve">Australian Gas </w:t>
            </w:r>
            <w:r w:rsidRPr="00E6234D">
              <w:t xml:space="preserve">Networks Ltd </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393" w:type="pct"/>
          </w:tcPr>
          <w:p w:rsidR="00E6234D" w:rsidRPr="00E6234D" w:rsidRDefault="00E6234D" w:rsidP="00E6234D">
            <w:r w:rsidRPr="007D3E67">
              <w:t>BBB-</w:t>
            </w:r>
          </w:p>
        </w:tc>
        <w:tc>
          <w:tcPr>
            <w:tcW w:w="393" w:type="pct"/>
          </w:tcPr>
          <w:p w:rsidR="00E6234D" w:rsidRPr="00E6234D" w:rsidRDefault="00E6234D" w:rsidP="00E6234D">
            <w:r w:rsidRPr="007D3E67">
              <w:t>BBB-</w:t>
            </w:r>
          </w:p>
        </w:tc>
        <w:tc>
          <w:tcPr>
            <w:tcW w:w="393"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422" w:type="pct"/>
          </w:tcPr>
          <w:p w:rsidR="00E6234D" w:rsidRPr="00E6234D" w:rsidRDefault="00E6234D" w:rsidP="00E6234D">
            <w:r>
              <w:t>BBB+</w:t>
            </w:r>
          </w:p>
        </w:tc>
      </w:tr>
      <w:tr w:rsidR="00E6234D" w:rsidRPr="007D3E67" w:rsidTr="00DA33BB">
        <w:trPr>
          <w:cnfStyle w:val="000000010000" w:firstRow="0" w:lastRow="0" w:firstColumn="0" w:lastColumn="0" w:oddVBand="0" w:evenVBand="0" w:oddHBand="0" w:evenHBand="1" w:firstRowFirstColumn="0" w:firstRowLastColumn="0" w:lastRowFirstColumn="0" w:lastRowLastColumn="0"/>
        </w:trPr>
        <w:tc>
          <w:tcPr>
            <w:tcW w:w="870" w:type="pct"/>
          </w:tcPr>
          <w:p w:rsidR="00E6234D" w:rsidRPr="00E6234D" w:rsidRDefault="00E6234D" w:rsidP="00E6234D">
            <w:r w:rsidRPr="007D3E67">
              <w:t>ETSA Utilities</w:t>
            </w:r>
          </w:p>
        </w:tc>
        <w:tc>
          <w:tcPr>
            <w:tcW w:w="422" w:type="pct"/>
          </w:tcPr>
          <w:p w:rsidR="00E6234D" w:rsidRPr="00E6234D" w:rsidRDefault="00E6234D" w:rsidP="00E6234D">
            <w:r w:rsidRPr="007D3E67">
              <w:t>A-</w:t>
            </w:r>
          </w:p>
        </w:tc>
        <w:tc>
          <w:tcPr>
            <w:tcW w:w="422" w:type="pct"/>
          </w:tcPr>
          <w:p w:rsidR="00E6234D" w:rsidRPr="00E6234D" w:rsidRDefault="00E6234D" w:rsidP="00E6234D">
            <w:r w:rsidRPr="007D3E67">
              <w:t>A-</w:t>
            </w:r>
          </w:p>
        </w:tc>
        <w:tc>
          <w:tcPr>
            <w:tcW w:w="422" w:type="pct"/>
          </w:tcPr>
          <w:p w:rsidR="00E6234D" w:rsidRPr="00E6234D" w:rsidRDefault="00E6234D" w:rsidP="00E6234D">
            <w:r w:rsidRPr="007D3E67">
              <w:t>A-</w:t>
            </w:r>
          </w:p>
        </w:tc>
        <w:tc>
          <w:tcPr>
            <w:tcW w:w="422" w:type="pct"/>
          </w:tcPr>
          <w:p w:rsidR="00E6234D" w:rsidRPr="00E6234D" w:rsidRDefault="00E6234D" w:rsidP="00E6234D">
            <w:r w:rsidRPr="007D3E67">
              <w:t>A-</w:t>
            </w:r>
          </w:p>
        </w:tc>
        <w:tc>
          <w:tcPr>
            <w:tcW w:w="393" w:type="pct"/>
          </w:tcPr>
          <w:p w:rsidR="00E6234D" w:rsidRPr="00E6234D" w:rsidRDefault="00E6234D" w:rsidP="00E6234D">
            <w:r w:rsidRPr="007D3E67">
              <w:t>A-</w:t>
            </w:r>
          </w:p>
        </w:tc>
        <w:tc>
          <w:tcPr>
            <w:tcW w:w="393" w:type="pct"/>
          </w:tcPr>
          <w:p w:rsidR="00E6234D" w:rsidRPr="00E6234D" w:rsidRDefault="00E6234D" w:rsidP="00E6234D">
            <w:r w:rsidRPr="007D3E67">
              <w:t>A-</w:t>
            </w:r>
          </w:p>
        </w:tc>
        <w:tc>
          <w:tcPr>
            <w:tcW w:w="393" w:type="pct"/>
          </w:tcPr>
          <w:p w:rsidR="00E6234D" w:rsidRPr="00E6234D" w:rsidRDefault="00E6234D" w:rsidP="00E6234D">
            <w:r w:rsidRPr="007D3E67">
              <w:t>A-</w:t>
            </w:r>
          </w:p>
        </w:tc>
        <w:tc>
          <w:tcPr>
            <w:tcW w:w="422" w:type="pct"/>
          </w:tcPr>
          <w:p w:rsidR="00E6234D" w:rsidRPr="00E6234D" w:rsidRDefault="00E6234D" w:rsidP="00E6234D">
            <w:r w:rsidRPr="007D3E67">
              <w:t>A-</w:t>
            </w:r>
          </w:p>
        </w:tc>
        <w:tc>
          <w:tcPr>
            <w:tcW w:w="422" w:type="pct"/>
          </w:tcPr>
          <w:p w:rsidR="00E6234D" w:rsidRPr="00E6234D" w:rsidRDefault="00E6234D" w:rsidP="00E6234D">
            <w:r w:rsidRPr="007D3E67">
              <w:t>A-</w:t>
            </w:r>
          </w:p>
        </w:tc>
        <w:tc>
          <w:tcPr>
            <w:tcW w:w="422" w:type="pct"/>
          </w:tcPr>
          <w:p w:rsidR="00E6234D" w:rsidRPr="00E6234D" w:rsidRDefault="00E6234D" w:rsidP="00E6234D">
            <w:r>
              <w:t>A-</w:t>
            </w:r>
          </w:p>
        </w:tc>
      </w:tr>
      <w:tr w:rsidR="00E6234D" w:rsidRPr="007D3E67" w:rsidTr="00DA33BB">
        <w:tc>
          <w:tcPr>
            <w:tcW w:w="870" w:type="pct"/>
          </w:tcPr>
          <w:p w:rsidR="00E6234D" w:rsidRPr="00E6234D" w:rsidRDefault="00E6234D" w:rsidP="00E6234D">
            <w:r w:rsidRPr="007D3E67">
              <w:t>Powercor</w:t>
            </w:r>
            <w:r w:rsidRPr="00E6234D">
              <w:t xml:space="preserve"> Australia LLC</w:t>
            </w:r>
          </w:p>
        </w:tc>
        <w:tc>
          <w:tcPr>
            <w:tcW w:w="422" w:type="pct"/>
          </w:tcPr>
          <w:p w:rsidR="00E6234D" w:rsidRPr="00E6234D" w:rsidRDefault="00E6234D" w:rsidP="00E6234D">
            <w:r w:rsidRPr="007D3E67">
              <w:t>A-</w:t>
            </w:r>
          </w:p>
        </w:tc>
        <w:tc>
          <w:tcPr>
            <w:tcW w:w="422" w:type="pct"/>
          </w:tcPr>
          <w:p w:rsidR="00E6234D" w:rsidRPr="00E6234D" w:rsidRDefault="00E6234D" w:rsidP="00E6234D">
            <w:r w:rsidRPr="007D3E67">
              <w:t>A-</w:t>
            </w:r>
          </w:p>
        </w:tc>
        <w:tc>
          <w:tcPr>
            <w:tcW w:w="422" w:type="pct"/>
          </w:tcPr>
          <w:p w:rsidR="00E6234D" w:rsidRPr="00E6234D" w:rsidRDefault="00E6234D" w:rsidP="00E6234D">
            <w:r w:rsidRPr="007D3E67">
              <w:t>A-</w:t>
            </w:r>
          </w:p>
        </w:tc>
        <w:tc>
          <w:tcPr>
            <w:tcW w:w="422" w:type="pct"/>
          </w:tcPr>
          <w:p w:rsidR="00E6234D" w:rsidRPr="00E6234D" w:rsidRDefault="00E6234D" w:rsidP="00E6234D">
            <w:r w:rsidRPr="007D3E67">
              <w:t>A-</w:t>
            </w:r>
          </w:p>
        </w:tc>
        <w:tc>
          <w:tcPr>
            <w:tcW w:w="393" w:type="pct"/>
          </w:tcPr>
          <w:p w:rsidR="00E6234D" w:rsidRPr="00E6234D" w:rsidRDefault="00E6234D" w:rsidP="00E6234D">
            <w:r w:rsidRPr="007D3E67">
              <w:t>A-</w:t>
            </w:r>
          </w:p>
        </w:tc>
        <w:tc>
          <w:tcPr>
            <w:tcW w:w="393" w:type="pct"/>
          </w:tcPr>
          <w:p w:rsidR="00E6234D" w:rsidRPr="00E6234D" w:rsidRDefault="00E6234D" w:rsidP="00E6234D">
            <w:r w:rsidRPr="007D3E67">
              <w:t>A-</w:t>
            </w:r>
          </w:p>
        </w:tc>
        <w:tc>
          <w:tcPr>
            <w:tcW w:w="393" w:type="pct"/>
          </w:tcPr>
          <w:p w:rsidR="00E6234D" w:rsidRPr="00E6234D" w:rsidRDefault="00E6234D" w:rsidP="00E6234D">
            <w:r w:rsidRPr="007D3E67">
              <w:t>A-</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200BFA">
              <w:t>N</w:t>
            </w:r>
            <w:r w:rsidRPr="00E6234D">
              <w:t>R</w:t>
            </w:r>
          </w:p>
        </w:tc>
      </w:tr>
      <w:tr w:rsidR="00E6234D" w:rsidRPr="007D3E67" w:rsidTr="00DA33BB">
        <w:trPr>
          <w:cnfStyle w:val="000000010000" w:firstRow="0" w:lastRow="0" w:firstColumn="0" w:lastColumn="0" w:oddVBand="0" w:evenVBand="0" w:oddHBand="0" w:evenHBand="1" w:firstRowFirstColumn="0" w:firstRowLastColumn="0" w:lastRowFirstColumn="0" w:lastRowLastColumn="0"/>
        </w:trPr>
        <w:tc>
          <w:tcPr>
            <w:tcW w:w="870" w:type="pct"/>
          </w:tcPr>
          <w:p w:rsidR="00E6234D" w:rsidRPr="00E6234D" w:rsidRDefault="00E6234D" w:rsidP="00E6234D">
            <w:r>
              <w:t>AusNet Services</w:t>
            </w:r>
          </w:p>
        </w:tc>
        <w:tc>
          <w:tcPr>
            <w:tcW w:w="422" w:type="pct"/>
          </w:tcPr>
          <w:p w:rsidR="00E6234D" w:rsidRPr="00E6234D" w:rsidRDefault="00E6234D" w:rsidP="00E6234D">
            <w:r w:rsidRPr="007D3E67">
              <w:t>A</w:t>
            </w:r>
          </w:p>
        </w:tc>
        <w:tc>
          <w:tcPr>
            <w:tcW w:w="422" w:type="pct"/>
          </w:tcPr>
          <w:p w:rsidR="00E6234D" w:rsidRPr="00E6234D" w:rsidRDefault="00E6234D" w:rsidP="00E6234D">
            <w:r w:rsidRPr="007D3E67">
              <w:t>A</w:t>
            </w:r>
          </w:p>
        </w:tc>
        <w:tc>
          <w:tcPr>
            <w:tcW w:w="422" w:type="pct"/>
          </w:tcPr>
          <w:p w:rsidR="00E6234D" w:rsidRPr="00E6234D" w:rsidRDefault="00E6234D" w:rsidP="00E6234D">
            <w:r w:rsidRPr="007D3E67">
              <w:t>A-</w:t>
            </w:r>
          </w:p>
        </w:tc>
        <w:tc>
          <w:tcPr>
            <w:tcW w:w="422" w:type="pct"/>
          </w:tcPr>
          <w:p w:rsidR="00E6234D" w:rsidRPr="00E6234D" w:rsidRDefault="00E6234D" w:rsidP="00E6234D">
            <w:r w:rsidRPr="007D3E67">
              <w:t>A-</w:t>
            </w:r>
          </w:p>
        </w:tc>
        <w:tc>
          <w:tcPr>
            <w:tcW w:w="393" w:type="pct"/>
          </w:tcPr>
          <w:p w:rsidR="00E6234D" w:rsidRPr="00E6234D" w:rsidRDefault="00E6234D" w:rsidP="00E6234D">
            <w:r w:rsidRPr="007D3E67">
              <w:t>A-</w:t>
            </w:r>
          </w:p>
        </w:tc>
        <w:tc>
          <w:tcPr>
            <w:tcW w:w="393" w:type="pct"/>
          </w:tcPr>
          <w:p w:rsidR="00E6234D" w:rsidRPr="00E6234D" w:rsidRDefault="00E6234D" w:rsidP="00E6234D">
            <w:r w:rsidRPr="007D3E67">
              <w:t>A-</w:t>
            </w:r>
          </w:p>
        </w:tc>
        <w:tc>
          <w:tcPr>
            <w:tcW w:w="393" w:type="pct"/>
          </w:tcPr>
          <w:p w:rsidR="00E6234D" w:rsidRPr="00E6234D" w:rsidRDefault="00E6234D" w:rsidP="00E6234D">
            <w:r w:rsidRPr="007D3E67">
              <w:t>A-</w:t>
            </w:r>
          </w:p>
        </w:tc>
        <w:tc>
          <w:tcPr>
            <w:tcW w:w="422" w:type="pct"/>
          </w:tcPr>
          <w:p w:rsidR="00E6234D" w:rsidRPr="00E6234D" w:rsidRDefault="00E6234D" w:rsidP="00E6234D">
            <w:r w:rsidRPr="007D3E67">
              <w:t>A-</w:t>
            </w:r>
          </w:p>
        </w:tc>
        <w:tc>
          <w:tcPr>
            <w:tcW w:w="422" w:type="pct"/>
          </w:tcPr>
          <w:p w:rsidR="00E6234D" w:rsidRPr="00E6234D" w:rsidRDefault="00E6234D" w:rsidP="00E6234D">
            <w:r w:rsidRPr="007D3E67">
              <w:t>A-</w:t>
            </w:r>
          </w:p>
        </w:tc>
        <w:tc>
          <w:tcPr>
            <w:tcW w:w="422" w:type="pct"/>
          </w:tcPr>
          <w:p w:rsidR="00E6234D" w:rsidRPr="00E6234D" w:rsidRDefault="00E6234D" w:rsidP="00E6234D">
            <w:r>
              <w:t>A-</w:t>
            </w:r>
          </w:p>
        </w:tc>
      </w:tr>
      <w:tr w:rsidR="00E6234D" w:rsidRPr="007D3E67" w:rsidTr="00DA33BB">
        <w:tc>
          <w:tcPr>
            <w:tcW w:w="870" w:type="pct"/>
          </w:tcPr>
          <w:p w:rsidR="00E6234D" w:rsidRPr="00E6234D" w:rsidRDefault="00E6234D" w:rsidP="00E6234D">
            <w:r>
              <w:t xml:space="preserve">SGSP </w:t>
            </w:r>
            <w:r w:rsidRPr="00E6234D">
              <w:t>Australia Assets Pty Ltd</w:t>
            </w:r>
          </w:p>
        </w:tc>
        <w:tc>
          <w:tcPr>
            <w:tcW w:w="422" w:type="pct"/>
          </w:tcPr>
          <w:p w:rsidR="00E6234D" w:rsidRPr="00E6234D" w:rsidRDefault="00E6234D" w:rsidP="00E6234D">
            <w:r w:rsidRPr="007D3E67">
              <w:t>NR</w:t>
            </w:r>
          </w:p>
        </w:tc>
        <w:tc>
          <w:tcPr>
            <w:tcW w:w="422" w:type="pct"/>
          </w:tcPr>
          <w:p w:rsidR="00E6234D" w:rsidRPr="00E6234D" w:rsidRDefault="00E6234D" w:rsidP="00E6234D">
            <w:r w:rsidRPr="007D3E67">
              <w:t>NR</w:t>
            </w:r>
          </w:p>
        </w:tc>
        <w:tc>
          <w:tcPr>
            <w:tcW w:w="422" w:type="pct"/>
          </w:tcPr>
          <w:p w:rsidR="00E6234D" w:rsidRPr="00E6234D" w:rsidRDefault="00E6234D" w:rsidP="00E6234D">
            <w:r w:rsidRPr="007D3E67">
              <w:t>A-</w:t>
            </w:r>
          </w:p>
        </w:tc>
        <w:tc>
          <w:tcPr>
            <w:tcW w:w="422" w:type="pct"/>
          </w:tcPr>
          <w:p w:rsidR="00E6234D" w:rsidRPr="00E6234D" w:rsidRDefault="00E6234D" w:rsidP="00E6234D">
            <w:r w:rsidRPr="007D3E67">
              <w:t>A-</w:t>
            </w:r>
          </w:p>
        </w:tc>
        <w:tc>
          <w:tcPr>
            <w:tcW w:w="393" w:type="pct"/>
          </w:tcPr>
          <w:p w:rsidR="00E6234D" w:rsidRPr="00E6234D" w:rsidRDefault="00E6234D" w:rsidP="00E6234D">
            <w:r w:rsidRPr="007D3E67">
              <w:t>A-</w:t>
            </w:r>
          </w:p>
        </w:tc>
        <w:tc>
          <w:tcPr>
            <w:tcW w:w="393" w:type="pct"/>
          </w:tcPr>
          <w:p w:rsidR="00E6234D" w:rsidRPr="00E6234D" w:rsidRDefault="00E6234D" w:rsidP="00E6234D">
            <w:r w:rsidRPr="007D3E67">
              <w:t>A-</w:t>
            </w:r>
          </w:p>
        </w:tc>
        <w:tc>
          <w:tcPr>
            <w:tcW w:w="393" w:type="pct"/>
          </w:tcPr>
          <w:p w:rsidR="00E6234D" w:rsidRPr="00E6234D" w:rsidRDefault="00E6234D" w:rsidP="00E6234D">
            <w:r w:rsidRPr="007D3E67">
              <w:t>A-</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422" w:type="pct"/>
          </w:tcPr>
          <w:p w:rsidR="00E6234D" w:rsidRPr="00E6234D" w:rsidRDefault="00E6234D" w:rsidP="00E6234D">
            <w:r>
              <w:t>BBB+</w:t>
            </w:r>
          </w:p>
        </w:tc>
      </w:tr>
      <w:tr w:rsidR="00E6234D" w:rsidRPr="007D3E67" w:rsidTr="00DA33BB">
        <w:trPr>
          <w:cnfStyle w:val="000000010000" w:firstRow="0" w:lastRow="0" w:firstColumn="0" w:lastColumn="0" w:oddVBand="0" w:evenVBand="0" w:oddHBand="0" w:evenHBand="1" w:firstRowFirstColumn="0" w:firstRowLastColumn="0" w:lastRowFirstColumn="0" w:lastRowLastColumn="0"/>
        </w:trPr>
        <w:tc>
          <w:tcPr>
            <w:tcW w:w="870" w:type="pct"/>
          </w:tcPr>
          <w:p w:rsidR="00E6234D" w:rsidRPr="00E6234D" w:rsidRDefault="00E6234D" w:rsidP="00E6234D">
            <w:r w:rsidRPr="007D3E67">
              <w:t xml:space="preserve">The CitiPower Trust </w:t>
            </w:r>
          </w:p>
        </w:tc>
        <w:tc>
          <w:tcPr>
            <w:tcW w:w="422" w:type="pct"/>
          </w:tcPr>
          <w:p w:rsidR="00E6234D" w:rsidRPr="00E6234D" w:rsidRDefault="00E6234D" w:rsidP="00E6234D">
            <w:r w:rsidRPr="007D3E67">
              <w:t>A-</w:t>
            </w:r>
          </w:p>
        </w:tc>
        <w:tc>
          <w:tcPr>
            <w:tcW w:w="422" w:type="pct"/>
          </w:tcPr>
          <w:p w:rsidR="00E6234D" w:rsidRPr="00E6234D" w:rsidRDefault="00E6234D" w:rsidP="00E6234D">
            <w:r w:rsidRPr="007D3E67">
              <w:t>A-</w:t>
            </w:r>
          </w:p>
        </w:tc>
        <w:tc>
          <w:tcPr>
            <w:tcW w:w="422" w:type="pct"/>
          </w:tcPr>
          <w:p w:rsidR="00E6234D" w:rsidRPr="00E6234D" w:rsidRDefault="00E6234D" w:rsidP="00E6234D">
            <w:r w:rsidRPr="007D3E67">
              <w:t>A-</w:t>
            </w:r>
          </w:p>
        </w:tc>
        <w:tc>
          <w:tcPr>
            <w:tcW w:w="422" w:type="pct"/>
          </w:tcPr>
          <w:p w:rsidR="00E6234D" w:rsidRPr="00E6234D" w:rsidRDefault="00E6234D" w:rsidP="00E6234D">
            <w:r w:rsidRPr="007D3E67">
              <w:t>A-</w:t>
            </w:r>
          </w:p>
        </w:tc>
        <w:tc>
          <w:tcPr>
            <w:tcW w:w="393" w:type="pct"/>
          </w:tcPr>
          <w:p w:rsidR="00E6234D" w:rsidRPr="00E6234D" w:rsidRDefault="00E6234D" w:rsidP="00E6234D">
            <w:r w:rsidRPr="007D3E67">
              <w:t>A-</w:t>
            </w:r>
          </w:p>
        </w:tc>
        <w:tc>
          <w:tcPr>
            <w:tcW w:w="393" w:type="pct"/>
          </w:tcPr>
          <w:p w:rsidR="00E6234D" w:rsidRPr="00E6234D" w:rsidRDefault="00E6234D" w:rsidP="00E6234D">
            <w:r w:rsidRPr="007D3E67">
              <w:t>A-</w:t>
            </w:r>
          </w:p>
        </w:tc>
        <w:tc>
          <w:tcPr>
            <w:tcW w:w="393" w:type="pct"/>
          </w:tcPr>
          <w:p w:rsidR="00E6234D" w:rsidRPr="00E6234D" w:rsidRDefault="00E6234D" w:rsidP="00E6234D">
            <w:r w:rsidRPr="007D3E67">
              <w:t>A-</w:t>
            </w:r>
          </w:p>
        </w:tc>
        <w:tc>
          <w:tcPr>
            <w:tcW w:w="422" w:type="pct"/>
          </w:tcPr>
          <w:p w:rsidR="00E6234D" w:rsidRPr="00E6234D" w:rsidRDefault="00E6234D" w:rsidP="00E6234D">
            <w:r>
              <w:t>BBB+</w:t>
            </w:r>
          </w:p>
        </w:tc>
        <w:tc>
          <w:tcPr>
            <w:tcW w:w="422" w:type="pct"/>
          </w:tcPr>
          <w:p w:rsidR="00E6234D" w:rsidRPr="00E6234D" w:rsidRDefault="00E6234D" w:rsidP="00E6234D">
            <w:r>
              <w:t>BBB+</w:t>
            </w:r>
          </w:p>
        </w:tc>
        <w:tc>
          <w:tcPr>
            <w:tcW w:w="422" w:type="pct"/>
          </w:tcPr>
          <w:p w:rsidR="00E6234D" w:rsidRPr="00E6234D" w:rsidRDefault="00E6234D" w:rsidP="00E6234D">
            <w:r>
              <w:t>NR</w:t>
            </w:r>
          </w:p>
        </w:tc>
      </w:tr>
      <w:tr w:rsidR="00E6234D" w:rsidRPr="007D3E67" w:rsidTr="00DA33BB">
        <w:tc>
          <w:tcPr>
            <w:tcW w:w="870" w:type="pct"/>
          </w:tcPr>
          <w:p w:rsidR="00E6234D" w:rsidRPr="00E6234D" w:rsidRDefault="00E6234D" w:rsidP="00E6234D">
            <w:r w:rsidRPr="007D3E67">
              <w:t xml:space="preserve">United Energy Distribution </w:t>
            </w:r>
            <w:r w:rsidRPr="00E6234D">
              <w:t>Pty Ltd</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393" w:type="pct"/>
          </w:tcPr>
          <w:p w:rsidR="00E6234D" w:rsidRPr="00E6234D" w:rsidRDefault="00E6234D" w:rsidP="00E6234D">
            <w:r w:rsidRPr="007D3E67">
              <w:t>BBB</w:t>
            </w:r>
          </w:p>
        </w:tc>
        <w:tc>
          <w:tcPr>
            <w:tcW w:w="393" w:type="pct"/>
          </w:tcPr>
          <w:p w:rsidR="00E6234D" w:rsidRPr="00E6234D" w:rsidRDefault="00E6234D" w:rsidP="00E6234D">
            <w:r w:rsidRPr="007D3E67">
              <w:t>BBB</w:t>
            </w:r>
          </w:p>
        </w:tc>
        <w:tc>
          <w:tcPr>
            <w:tcW w:w="393"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422" w:type="pct"/>
          </w:tcPr>
          <w:p w:rsidR="00E6234D" w:rsidRPr="00E6234D" w:rsidRDefault="00E6234D" w:rsidP="00E6234D">
            <w:r>
              <w:t>BBB</w:t>
            </w:r>
          </w:p>
        </w:tc>
      </w:tr>
      <w:tr w:rsidR="00E6234D" w:rsidRPr="007D3E67" w:rsidTr="00DA33BB">
        <w:trPr>
          <w:cnfStyle w:val="000000010000" w:firstRow="0" w:lastRow="0" w:firstColumn="0" w:lastColumn="0" w:oddVBand="0" w:evenVBand="0" w:oddHBand="0" w:evenHBand="1" w:firstRowFirstColumn="0" w:firstRowLastColumn="0" w:lastRowFirstColumn="0" w:lastRowLastColumn="0"/>
        </w:trPr>
        <w:tc>
          <w:tcPr>
            <w:tcW w:w="870" w:type="pct"/>
          </w:tcPr>
          <w:p w:rsidR="00E6234D" w:rsidRPr="00E6234D" w:rsidRDefault="00E6234D" w:rsidP="00E6234D">
            <w:r>
              <w:t>Victoria Power Networks Pty Ltd</w:t>
            </w:r>
          </w:p>
        </w:tc>
        <w:tc>
          <w:tcPr>
            <w:tcW w:w="422" w:type="pct"/>
          </w:tcPr>
          <w:p w:rsidR="00E6234D" w:rsidRPr="00E6234D" w:rsidRDefault="00E6234D" w:rsidP="00E6234D">
            <w:r>
              <w:t>NR</w:t>
            </w:r>
          </w:p>
        </w:tc>
        <w:tc>
          <w:tcPr>
            <w:tcW w:w="422" w:type="pct"/>
          </w:tcPr>
          <w:p w:rsidR="00E6234D" w:rsidRPr="00E6234D" w:rsidRDefault="00E6234D" w:rsidP="00E6234D">
            <w:r>
              <w:t>NR</w:t>
            </w:r>
          </w:p>
        </w:tc>
        <w:tc>
          <w:tcPr>
            <w:tcW w:w="422" w:type="pct"/>
          </w:tcPr>
          <w:p w:rsidR="00E6234D" w:rsidRPr="00E6234D" w:rsidRDefault="00E6234D" w:rsidP="00E6234D">
            <w:r>
              <w:t>NR</w:t>
            </w:r>
          </w:p>
        </w:tc>
        <w:tc>
          <w:tcPr>
            <w:tcW w:w="422" w:type="pct"/>
          </w:tcPr>
          <w:p w:rsidR="00E6234D" w:rsidRPr="00E6234D" w:rsidRDefault="00E6234D" w:rsidP="00E6234D">
            <w:r>
              <w:t>NR</w:t>
            </w:r>
          </w:p>
        </w:tc>
        <w:tc>
          <w:tcPr>
            <w:tcW w:w="393" w:type="pct"/>
          </w:tcPr>
          <w:p w:rsidR="00E6234D" w:rsidRPr="00E6234D" w:rsidRDefault="00E6234D" w:rsidP="00E6234D">
            <w:r>
              <w:t>NR</w:t>
            </w:r>
          </w:p>
        </w:tc>
        <w:tc>
          <w:tcPr>
            <w:tcW w:w="393" w:type="pct"/>
          </w:tcPr>
          <w:p w:rsidR="00E6234D" w:rsidRPr="00E6234D" w:rsidRDefault="00E6234D" w:rsidP="00E6234D">
            <w:r>
              <w:t>NR</w:t>
            </w:r>
          </w:p>
        </w:tc>
        <w:tc>
          <w:tcPr>
            <w:tcW w:w="393" w:type="pct"/>
          </w:tcPr>
          <w:p w:rsidR="00E6234D" w:rsidRPr="00E6234D" w:rsidRDefault="00E6234D" w:rsidP="00E6234D">
            <w:r>
              <w:t>NR</w:t>
            </w:r>
          </w:p>
        </w:tc>
        <w:tc>
          <w:tcPr>
            <w:tcW w:w="422" w:type="pct"/>
          </w:tcPr>
          <w:p w:rsidR="00E6234D" w:rsidRPr="00E6234D" w:rsidRDefault="00E6234D" w:rsidP="00E6234D">
            <w:r>
              <w:t>NR</w:t>
            </w:r>
          </w:p>
        </w:tc>
        <w:tc>
          <w:tcPr>
            <w:tcW w:w="422" w:type="pct"/>
          </w:tcPr>
          <w:p w:rsidR="00E6234D" w:rsidRPr="00E6234D" w:rsidRDefault="00E6234D" w:rsidP="00E6234D">
            <w:r>
              <w:t>NR</w:t>
            </w:r>
          </w:p>
        </w:tc>
        <w:tc>
          <w:tcPr>
            <w:tcW w:w="422" w:type="pct"/>
          </w:tcPr>
          <w:p w:rsidR="00E6234D" w:rsidRPr="00E6234D" w:rsidRDefault="00E6234D" w:rsidP="00E6234D">
            <w:r>
              <w:t>BBB+</w:t>
            </w:r>
          </w:p>
        </w:tc>
      </w:tr>
      <w:tr w:rsidR="00E6234D" w:rsidRPr="007D3E67" w:rsidTr="00DA33BB">
        <w:tc>
          <w:tcPr>
            <w:tcW w:w="870" w:type="pct"/>
          </w:tcPr>
          <w:p w:rsidR="00E6234D" w:rsidRPr="00E6234D" w:rsidRDefault="00E6234D" w:rsidP="00E6234D">
            <w:r w:rsidRPr="007D3E67">
              <w:t>Median (year)</w:t>
            </w:r>
          </w:p>
        </w:tc>
        <w:tc>
          <w:tcPr>
            <w:tcW w:w="422" w:type="pct"/>
          </w:tcPr>
          <w:p w:rsidR="00E6234D" w:rsidRPr="00E6234D" w:rsidRDefault="00E6234D" w:rsidP="00E6234D">
            <w:r>
              <w:t xml:space="preserve">BBB/ </w:t>
            </w:r>
            <w:r w:rsidRPr="00E6234D">
              <w:t>BBB+</w:t>
            </w:r>
          </w:p>
        </w:tc>
        <w:tc>
          <w:tcPr>
            <w:tcW w:w="422" w:type="pct"/>
          </w:tcPr>
          <w:p w:rsidR="00E6234D" w:rsidRPr="00E6234D" w:rsidRDefault="00E6234D" w:rsidP="00E6234D">
            <w:r>
              <w:t xml:space="preserve">BBB/ </w:t>
            </w:r>
            <w:r w:rsidRPr="00E6234D">
              <w:t>BBB+</w:t>
            </w:r>
          </w:p>
        </w:tc>
        <w:tc>
          <w:tcPr>
            <w:tcW w:w="422" w:type="pct"/>
          </w:tcPr>
          <w:p w:rsidR="00E6234D" w:rsidRPr="00E6234D" w:rsidRDefault="00E6234D" w:rsidP="00E6234D">
            <w:r w:rsidRPr="007D3E67">
              <w:t>BBB+</w:t>
            </w:r>
          </w:p>
        </w:tc>
        <w:tc>
          <w:tcPr>
            <w:tcW w:w="422" w:type="pct"/>
          </w:tcPr>
          <w:p w:rsidR="00E6234D" w:rsidRPr="00E6234D" w:rsidRDefault="00E6234D" w:rsidP="00E6234D">
            <w:r w:rsidRPr="007D3E67">
              <w:t>BBB</w:t>
            </w:r>
          </w:p>
        </w:tc>
        <w:tc>
          <w:tcPr>
            <w:tcW w:w="393" w:type="pct"/>
          </w:tcPr>
          <w:p w:rsidR="00E6234D" w:rsidRPr="00E6234D" w:rsidRDefault="00E6234D" w:rsidP="00E6234D">
            <w:r w:rsidRPr="007D3E67">
              <w:t>BBB</w:t>
            </w:r>
          </w:p>
        </w:tc>
        <w:tc>
          <w:tcPr>
            <w:tcW w:w="393" w:type="pct"/>
          </w:tcPr>
          <w:p w:rsidR="00E6234D" w:rsidRPr="00E6234D" w:rsidRDefault="00E6234D" w:rsidP="00E6234D">
            <w:r w:rsidRPr="007D3E67">
              <w:t>BBB</w:t>
            </w:r>
          </w:p>
        </w:tc>
        <w:tc>
          <w:tcPr>
            <w:tcW w:w="393" w:type="pct"/>
          </w:tcPr>
          <w:p w:rsidR="00E6234D" w:rsidRPr="00E6234D" w:rsidRDefault="00E6234D" w:rsidP="00E6234D">
            <w:r w:rsidRPr="007D3E67">
              <w:t>BBB</w:t>
            </w:r>
          </w:p>
        </w:tc>
        <w:tc>
          <w:tcPr>
            <w:tcW w:w="422" w:type="pct"/>
          </w:tcPr>
          <w:p w:rsidR="00E6234D" w:rsidRPr="00E6234D" w:rsidRDefault="00E6234D" w:rsidP="00E6234D">
            <w:r>
              <w:t>BBB/ BBB+</w:t>
            </w:r>
          </w:p>
        </w:tc>
        <w:tc>
          <w:tcPr>
            <w:tcW w:w="422" w:type="pct"/>
          </w:tcPr>
          <w:p w:rsidR="00E6234D" w:rsidRPr="00E6234D" w:rsidRDefault="00E6234D" w:rsidP="00E6234D">
            <w:r w:rsidRPr="007D3E67">
              <w:t>BBB+</w:t>
            </w:r>
          </w:p>
        </w:tc>
        <w:tc>
          <w:tcPr>
            <w:tcW w:w="422" w:type="pct"/>
          </w:tcPr>
          <w:p w:rsidR="00E6234D" w:rsidRPr="00E6234D" w:rsidRDefault="00E6234D" w:rsidP="00E6234D">
            <w:r>
              <w:t>BBB+</w:t>
            </w:r>
          </w:p>
        </w:tc>
      </w:tr>
    </w:tbl>
    <w:p w:rsidR="00E6234D" w:rsidRDefault="00E6234D" w:rsidP="00E6234D">
      <w:pPr>
        <w:pStyle w:val="AERtablesource"/>
      </w:pPr>
      <w:r w:rsidRPr="00411A04">
        <w:t>Source:</w:t>
      </w:r>
      <w:r w:rsidRPr="00411A04">
        <w:tab/>
        <w:t>Bloomberg</w:t>
      </w:r>
      <w:r>
        <w:t xml:space="preserve">, </w:t>
      </w:r>
      <w:r w:rsidRPr="00411A04">
        <w:t>Sta</w:t>
      </w:r>
      <w:r>
        <w:t>ndard and Poor's, AER analysis.</w:t>
      </w:r>
    </w:p>
    <w:p w:rsidR="00E6234D" w:rsidRDefault="00E6234D" w:rsidP="00E6234D">
      <w:pPr>
        <w:pStyle w:val="Heading9"/>
      </w:pPr>
      <w:bookmarkStart w:id="418" w:name="_Toc456686778"/>
      <w:r>
        <w:t>Equity buffer and historical credit ratings</w:t>
      </w:r>
      <w:bookmarkEnd w:id="418"/>
    </w:p>
    <w:p w:rsidR="00E6234D" w:rsidRDefault="00E6234D" w:rsidP="00E6234D">
      <w:r>
        <w:t>AusNet Services submitted that ‘historical credit ratings do not reflect the extremely low equity buffer that would result if the AER’s proposed approach to compensation for the cost of equity is implemented in current market circumstances’.</w:t>
      </w:r>
      <w:r>
        <w:rPr>
          <w:rStyle w:val="FootnoteReference"/>
        </w:rPr>
        <w:footnoteReference w:id="1208"/>
      </w:r>
      <w:r>
        <w:t xml:space="preserve"> We do not find this convincing for the following reasons:</w:t>
      </w:r>
    </w:p>
    <w:p w:rsidR="00E6234D" w:rsidRDefault="00E6234D" w:rsidP="00E6234D">
      <w:pPr>
        <w:pStyle w:val="AERbulletlistfirststyle"/>
      </w:pPr>
      <w:r>
        <w:t>Service providers have submitted concerns that we are in a low interest rate environment since 2012.</w:t>
      </w:r>
      <w:r>
        <w:rPr>
          <w:rStyle w:val="FootnoteReference"/>
        </w:rPr>
        <w:footnoteReference w:id="1209"/>
      </w:r>
      <w:r>
        <w:t xml:space="preserve"> Credit ratings have not systematically decreased due to this. Rather, the median credit rating in our comparator set has increased from BBB in 2012 to BBB/BBB+ in 2013 and BBB+ thereafter (see </w:t>
      </w:r>
      <w:r>
        <w:fldChar w:fldCharType="begin"/>
      </w:r>
      <w:r>
        <w:instrText xml:space="preserve"> REF  _Ref452631952 \* Lower \h </w:instrText>
      </w:r>
      <w:r>
        <w:fldChar w:fldCharType="separate"/>
      </w:r>
      <w:r w:rsidR="003F1AAB">
        <w:t xml:space="preserve">table </w:t>
      </w:r>
      <w:r w:rsidR="003F1AAB">
        <w:rPr>
          <w:noProof/>
        </w:rPr>
        <w:t>3</w:t>
      </w:r>
      <w:r w:rsidR="003F1AAB">
        <w:noBreakHyphen/>
      </w:r>
      <w:r w:rsidR="003F1AAB">
        <w:rPr>
          <w:noProof/>
        </w:rPr>
        <w:t>40</w:t>
      </w:r>
      <w:r>
        <w:fldChar w:fldCharType="end"/>
      </w:r>
      <w:r>
        <w:t>).</w:t>
      </w:r>
    </w:p>
    <w:p w:rsidR="00E6234D" w:rsidRDefault="00E6234D" w:rsidP="00E6234D">
      <w:pPr>
        <w:pStyle w:val="AERbulletlistfirststyle"/>
      </w:pPr>
      <w:r>
        <w:t>We published our current approach to estimating the allowed rate of return (including our approach to calculating the allowed return on equity) in December 2013.</w:t>
      </w:r>
      <w:r>
        <w:rPr>
          <w:rStyle w:val="FootnoteReference"/>
        </w:rPr>
        <w:footnoteReference w:id="1210"/>
      </w:r>
      <w:r>
        <w:t xml:space="preserve"> Credit ratings have not systematically decreased following this, indicating that ratings agencies are not concerned with our approach to estimating the allowed return on equity, or regulated revenues more broadly. This is consistent with the Energy Consumers Coalition of Victoria’s view that, ‘</w:t>
      </w:r>
      <w:r w:rsidRPr="00A71B26">
        <w:t>the AER guideline removes risks from AusNet rather than adds them</w:t>
      </w:r>
      <w:r>
        <w:t>’.</w:t>
      </w:r>
      <w:r>
        <w:rPr>
          <w:rStyle w:val="FootnoteReference"/>
        </w:rPr>
        <w:footnoteReference w:id="1211"/>
      </w:r>
      <w:r>
        <w:t xml:space="preserve"> This is supported by commentary from ratings agency. For instance, Moody's has recently observed that our approach to calculating the allowed rate of return provides service providers with predictability of their cashflows, which helps the implement countermeasures to manage revenue reductions if required.</w:t>
      </w:r>
      <w:r>
        <w:rPr>
          <w:rStyle w:val="FootnoteReference"/>
        </w:rPr>
        <w:footnoteReference w:id="1212"/>
      </w:r>
    </w:p>
    <w:p w:rsidR="00E6234D" w:rsidRDefault="00E6234D" w:rsidP="00E6234D">
      <w:pPr>
        <w:pStyle w:val="AERbulletlistfirststyle"/>
      </w:pPr>
      <w:r>
        <w:t xml:space="preserve">The Tribunal recently upheld both our approach to estimating the allowed return on equity </w:t>
      </w:r>
      <w:r w:rsidRPr="00454ED0">
        <w:t xml:space="preserve">our decision to define </w:t>
      </w:r>
      <w:r>
        <w:t>a</w:t>
      </w:r>
      <w:r w:rsidRPr="00454ED0">
        <w:t xml:space="preserve"> benchmark credit rating as BBB+</w:t>
      </w:r>
      <w:r>
        <w:t>.</w:t>
      </w:r>
      <w:r>
        <w:rPr>
          <w:rStyle w:val="FootnoteReference"/>
        </w:rPr>
        <w:footnoteReference w:id="1213"/>
      </w:r>
      <w:r>
        <w:t xml:space="preserve"> </w:t>
      </w:r>
    </w:p>
    <w:p w:rsidR="00E6234D" w:rsidRDefault="00E6234D" w:rsidP="00E6234D">
      <w:r>
        <w:t>To support its position, AusNet Services referenced an analysis by CEG that ActewAGL submitted to us in January 2015.</w:t>
      </w:r>
      <w:r>
        <w:rPr>
          <w:rStyle w:val="FootnoteReference"/>
        </w:rPr>
        <w:footnoteReference w:id="1214"/>
      </w:r>
      <w:r>
        <w:t xml:space="preserve"> We set out why we found CEG’s report unpersuasive in our decision for ActewAGL.</w:t>
      </w:r>
      <w:r>
        <w:rPr>
          <w:rStyle w:val="FootnoteReference"/>
        </w:rPr>
        <w:footnoteReference w:id="1215"/>
      </w:r>
      <w:r>
        <w:t xml:space="preserve"> For instance, </w:t>
      </w:r>
      <w:r w:rsidRPr="00506591">
        <w:t>CEG's report used Moody's credit rating methodology to determine an implied credit rating for ActewAGL.</w:t>
      </w:r>
      <w:r w:rsidRPr="00506591">
        <w:rPr>
          <w:rStyle w:val="FootnoteReference"/>
        </w:rPr>
        <w:footnoteReference w:id="1216"/>
      </w:r>
      <w:r>
        <w:t xml:space="preserve"> We</w:t>
      </w:r>
      <w:r w:rsidRPr="00506591">
        <w:t xml:space="preserve"> consider</w:t>
      </w:r>
      <w:r>
        <w:t>ed</w:t>
      </w:r>
      <w:r w:rsidRPr="00506591">
        <w:t xml:space="preserve"> there </w:t>
      </w:r>
      <w:r>
        <w:t>we</w:t>
      </w:r>
      <w:r w:rsidRPr="00506591">
        <w:t>re limitations with engaging an external party (CEG) to apply another party's (Moody's) methodology. This is particularly given Moody's assessment is largely based on qualitative factors, which are subjective and complicated to evaluate.</w:t>
      </w:r>
      <w:r w:rsidRPr="00506591">
        <w:rPr>
          <w:rStyle w:val="FootnoteReference"/>
        </w:rPr>
        <w:footnoteReference w:id="1217"/>
      </w:r>
      <w:r>
        <w:t xml:space="preserve"> Further, we were not satisfied with CEG's assessment of some of the qualitative risk factors. </w:t>
      </w:r>
    </w:p>
    <w:p w:rsidR="00E6234D" w:rsidRDefault="00E6234D" w:rsidP="00E6234D">
      <w:r>
        <w:t xml:space="preserve">Importantly, CEG’s result was influenced by our proposal to reduce </w:t>
      </w:r>
      <w:r w:rsidRPr="00506591">
        <w:t>ActewAGL’s opex allowance by around 40% relative to</w:t>
      </w:r>
      <w:r>
        <w:t xml:space="preserve"> its proposal.</w:t>
      </w:r>
      <w:r>
        <w:rPr>
          <w:rStyle w:val="FootnoteReference"/>
        </w:rPr>
        <w:footnoteReference w:id="1218"/>
      </w:r>
      <w:r>
        <w:t xml:space="preserve"> This is not a concern for AusNet Services. </w:t>
      </w:r>
      <w:r w:rsidRPr="00506591">
        <w:t xml:space="preserve"> </w:t>
      </w:r>
      <w:r>
        <w:t xml:space="preserve">Importantly (and consistent with our final decision for ActewAGL), we consider that </w:t>
      </w:r>
      <w:r w:rsidRPr="00C225B0">
        <w:t xml:space="preserve">benchmarking </w:t>
      </w:r>
      <w:r>
        <w:t xml:space="preserve">opex against an efficient set of businesses should not negatively </w:t>
      </w:r>
      <w:r w:rsidRPr="00C225B0">
        <w:t xml:space="preserve">affect </w:t>
      </w:r>
      <w:r>
        <w:t>a benchmark efficient entity.</w:t>
      </w:r>
    </w:p>
    <w:p w:rsidR="00E6234D" w:rsidRPr="00D729CA" w:rsidRDefault="00E6234D" w:rsidP="00E6234D">
      <w:pPr>
        <w:pStyle w:val="Heading8"/>
      </w:pPr>
      <w:bookmarkStart w:id="419" w:name="_Ref451537814"/>
      <w:bookmarkStart w:id="420" w:name="_Toc452629162"/>
      <w:bookmarkStart w:id="421" w:name="_Toc456686779"/>
      <w:bookmarkEnd w:id="412"/>
      <w:bookmarkEnd w:id="413"/>
      <w:bookmarkEnd w:id="414"/>
      <w:bookmarkEnd w:id="415"/>
      <w:r>
        <w:t>Averaging periods</w:t>
      </w:r>
      <w:bookmarkEnd w:id="419"/>
      <w:bookmarkEnd w:id="420"/>
      <w:bookmarkEnd w:id="421"/>
    </w:p>
    <w:p w:rsidR="00E6234D" w:rsidRPr="00986B6E" w:rsidRDefault="00E6234D" w:rsidP="00E6234D">
      <w:r w:rsidRPr="00986B6E">
        <w:t xml:space="preserve">We set out our decision on </w:t>
      </w:r>
      <w:r>
        <w:t>AusNet Services' revised</w:t>
      </w:r>
      <w:r w:rsidRPr="00986B6E">
        <w:t xml:space="preserve"> proposed debt averaging periods for 201</w:t>
      </w:r>
      <w:r w:rsidR="00ED3996">
        <w:t>7</w:t>
      </w:r>
      <w:r w:rsidRPr="00986B6E">
        <w:t xml:space="preserve"> to </w:t>
      </w:r>
      <w:r w:rsidR="00ED3996">
        <w:t>2022</w:t>
      </w:r>
      <w:r w:rsidR="00ED3996" w:rsidRPr="00986B6E">
        <w:t xml:space="preserve"> </w:t>
      </w:r>
      <w:r w:rsidRPr="00986B6E">
        <w:t xml:space="preserve">in section 3.4.2. This </w:t>
      </w:r>
      <w:r>
        <w:t>section</w:t>
      </w:r>
      <w:r w:rsidRPr="00986B6E">
        <w:t xml:space="preserve"> responds to the issues raised in service providers' proposals</w:t>
      </w:r>
      <w:r w:rsidR="00ED3996">
        <w:t xml:space="preserve"> </w:t>
      </w:r>
      <w:r w:rsidRPr="00986B6E">
        <w:t>and submissions from other stakeholders.</w:t>
      </w:r>
    </w:p>
    <w:p w:rsidR="00E6234D" w:rsidRPr="00E6234D" w:rsidRDefault="00E6234D" w:rsidP="00E6234D">
      <w:pPr>
        <w:pStyle w:val="Heading9"/>
      </w:pPr>
      <w:bookmarkStart w:id="422" w:name="_Toc433194224"/>
      <w:bookmarkStart w:id="423" w:name="_Toc433451003"/>
      <w:bookmarkStart w:id="424" w:name="_Toc452629163"/>
      <w:bookmarkStart w:id="425" w:name="_Toc456686780"/>
      <w:r w:rsidRPr="00986B6E">
        <w:t>Response to key issues raised by stakeholders</w:t>
      </w:r>
      <w:bookmarkEnd w:id="422"/>
      <w:bookmarkEnd w:id="423"/>
      <w:bookmarkEnd w:id="424"/>
      <w:bookmarkEnd w:id="425"/>
    </w:p>
    <w:p w:rsidR="00E6234D" w:rsidRPr="00E761F9" w:rsidRDefault="00E6234D" w:rsidP="00E6234D">
      <w:r w:rsidRPr="00986B6E">
        <w:t>In our current regulatory processes, different service providers have proposed different methods for setting debt averaging periods during the regulatory control or access arrangement period (regulatory period)</w:t>
      </w:r>
      <w:r>
        <w:t>.</w:t>
      </w:r>
      <w:r w:rsidRPr="0023546E">
        <w:t xml:space="preserve"> </w:t>
      </w:r>
      <w:r w:rsidRPr="00E761F9">
        <w:t xml:space="preserve">Many service providers </w:t>
      </w:r>
      <w:r w:rsidR="00D92D96">
        <w:t>propose</w:t>
      </w:r>
      <w:r w:rsidRPr="00E761F9">
        <w:t xml:space="preserve"> </w:t>
      </w:r>
      <w:r w:rsidR="00D92D96">
        <w:t xml:space="preserve">more </w:t>
      </w:r>
      <w:r w:rsidRPr="00E761F9">
        <w:t xml:space="preserve">complicated approaches to nominating debt averaging periods to achieve greater flexibility. This is common to other aspects of the return on debt, such as the choice of third party data series. </w:t>
      </w:r>
      <w:r>
        <w:fldChar w:fldCharType="begin"/>
      </w:r>
      <w:r>
        <w:instrText xml:space="preserve"> REF _Ref451334204 \h </w:instrText>
      </w:r>
      <w:r>
        <w:fldChar w:fldCharType="separate"/>
      </w:r>
      <w:r w:rsidR="003F1AAB" w:rsidRPr="00E761F9">
        <w:t xml:space="preserve">Table </w:t>
      </w:r>
      <w:r w:rsidR="003F1AAB">
        <w:rPr>
          <w:noProof/>
        </w:rPr>
        <w:t>3</w:t>
      </w:r>
      <w:r w:rsidR="003F1AAB">
        <w:noBreakHyphen/>
      </w:r>
      <w:r w:rsidR="003F1AAB">
        <w:rPr>
          <w:noProof/>
        </w:rPr>
        <w:t>41</w:t>
      </w:r>
      <w:r>
        <w:fldChar w:fldCharType="end"/>
      </w:r>
      <w:r>
        <w:t xml:space="preserve"> </w:t>
      </w:r>
      <w:r w:rsidRPr="00E761F9">
        <w:t xml:space="preserve">summarises the different approaches to the nomination of debt averaging periods proposed by different service providers. </w:t>
      </w:r>
    </w:p>
    <w:p w:rsidR="00E6234D" w:rsidRPr="00E761F9" w:rsidRDefault="00E6234D" w:rsidP="00E6234D">
      <w:pPr>
        <w:pStyle w:val="Caption"/>
      </w:pPr>
      <w:bookmarkStart w:id="426" w:name="_Ref451334204"/>
      <w:r w:rsidRPr="00E761F9">
        <w:t xml:space="preserve">Table </w:t>
      </w:r>
      <w:fldSimple w:instr=" STYLEREF 1 \s ">
        <w:r w:rsidR="003F1AAB">
          <w:rPr>
            <w:noProof/>
          </w:rPr>
          <w:t>3</w:t>
        </w:r>
      </w:fldSimple>
      <w:r>
        <w:noBreakHyphen/>
      </w:r>
      <w:fldSimple w:instr=" SEQ Table \* ARABIC \s 1 ">
        <w:r w:rsidR="003F1AAB">
          <w:rPr>
            <w:noProof/>
          </w:rPr>
          <w:t>41</w:t>
        </w:r>
      </w:fldSimple>
      <w:bookmarkEnd w:id="426"/>
      <w:r w:rsidRPr="00E761F9">
        <w:tab/>
        <w:t>Summary of service providers' averaging period proposals</w:t>
      </w:r>
    </w:p>
    <w:tbl>
      <w:tblPr>
        <w:tblStyle w:val="AERtable-numbers"/>
        <w:tblW w:w="0" w:type="auto"/>
        <w:tblLook w:val="04A0" w:firstRow="1" w:lastRow="0" w:firstColumn="1" w:lastColumn="0" w:noHBand="0" w:noVBand="1"/>
      </w:tblPr>
      <w:tblGrid>
        <w:gridCol w:w="1448"/>
        <w:gridCol w:w="1449"/>
        <w:gridCol w:w="1449"/>
        <w:gridCol w:w="1449"/>
        <w:gridCol w:w="1449"/>
        <w:gridCol w:w="1449"/>
      </w:tblGrid>
      <w:tr w:rsidR="00E6234D" w:rsidTr="00DA3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E6234D" w:rsidRPr="00E6234D" w:rsidRDefault="00E6234D" w:rsidP="00E6234D">
            <w:r w:rsidRPr="00E761F9">
              <w:t>Service Provider</w:t>
            </w:r>
          </w:p>
        </w:tc>
        <w:tc>
          <w:tcPr>
            <w:tcW w:w="1449" w:type="dxa"/>
          </w:tcPr>
          <w:p w:rsidR="00E6234D" w:rsidRPr="00E6234D" w:rsidRDefault="00E6234D" w:rsidP="00E6234D">
            <w:pPr>
              <w:cnfStyle w:val="100000000000" w:firstRow="1" w:lastRow="0" w:firstColumn="0" w:lastColumn="0" w:oddVBand="0" w:evenVBand="0" w:oddHBand="0" w:evenHBand="0" w:firstRowFirstColumn="0" w:firstRowLastColumn="0" w:lastRowFirstColumn="0" w:lastRowLastColumn="0"/>
            </w:pPr>
            <w:r w:rsidRPr="00E761F9">
              <w:t>Number of averaging periods nominated in revised</w:t>
            </w:r>
            <w:r w:rsidRPr="00E6234D">
              <w:t xml:space="preserve"> proposal</w:t>
            </w:r>
          </w:p>
        </w:tc>
        <w:tc>
          <w:tcPr>
            <w:tcW w:w="1449" w:type="dxa"/>
          </w:tcPr>
          <w:p w:rsidR="00E6234D" w:rsidRPr="00E6234D" w:rsidRDefault="00E6234D" w:rsidP="00E6234D">
            <w:pPr>
              <w:cnfStyle w:val="100000000000" w:firstRow="1" w:lastRow="0" w:firstColumn="0" w:lastColumn="0" w:oddVBand="0" w:evenVBand="0" w:oddHBand="0" w:evenHBand="0" w:firstRowFirstColumn="0" w:firstRowLastColumn="0" w:lastRowFirstColumn="0" w:lastRowLastColumn="0"/>
            </w:pPr>
            <w:r w:rsidRPr="00E761F9">
              <w:t>Annual process for nominating averaging periods</w:t>
            </w:r>
          </w:p>
        </w:tc>
        <w:tc>
          <w:tcPr>
            <w:tcW w:w="1449" w:type="dxa"/>
          </w:tcPr>
          <w:p w:rsidR="00E6234D" w:rsidRPr="00E6234D" w:rsidRDefault="00E6234D" w:rsidP="00E6234D">
            <w:pPr>
              <w:cnfStyle w:val="100000000000" w:firstRow="1" w:lastRow="0" w:firstColumn="0" w:lastColumn="0" w:oddVBand="0" w:evenVBand="0" w:oddHBand="0" w:evenHBand="0" w:firstRowFirstColumn="0" w:firstRowLastColumn="0" w:lastRowFirstColumn="0" w:lastRowLastColumn="0"/>
            </w:pPr>
            <w:r w:rsidRPr="00E761F9">
              <w:t>Lag of one year in the annual update process</w:t>
            </w:r>
          </w:p>
        </w:tc>
        <w:tc>
          <w:tcPr>
            <w:tcW w:w="1449" w:type="dxa"/>
          </w:tcPr>
          <w:p w:rsidR="00E6234D" w:rsidRPr="00E6234D" w:rsidRDefault="00E6234D" w:rsidP="00E6234D">
            <w:pPr>
              <w:cnfStyle w:val="100000000000" w:firstRow="1" w:lastRow="0" w:firstColumn="0" w:lastColumn="0" w:oddVBand="0" w:evenVBand="0" w:oddHBand="0" w:evenHBand="0" w:firstRowFirstColumn="0" w:firstRowLastColumn="0" w:lastRowFirstColumn="0" w:lastRowLastColumn="0"/>
            </w:pPr>
            <w:r w:rsidRPr="00E761F9">
              <w:t>Separate averaging periods for DRP and base rate</w:t>
            </w:r>
          </w:p>
        </w:tc>
        <w:tc>
          <w:tcPr>
            <w:tcW w:w="1449" w:type="dxa"/>
          </w:tcPr>
          <w:p w:rsidR="00E6234D" w:rsidRPr="00E6234D" w:rsidRDefault="00E6234D" w:rsidP="00E6234D">
            <w:pPr>
              <w:cnfStyle w:val="100000000000" w:firstRow="1" w:lastRow="0" w:firstColumn="0" w:lastColumn="0" w:oddVBand="0" w:evenVBand="0" w:oddHBand="0" w:evenHBand="0" w:firstRowFirstColumn="0" w:firstRowLastColumn="0" w:lastRowFirstColumn="0" w:lastRowLastColumn="0"/>
            </w:pPr>
            <w:r w:rsidRPr="00E761F9">
              <w:t xml:space="preserve">Not as close as practically possible to start of each regulatory year </w:t>
            </w:r>
          </w:p>
        </w:tc>
      </w:tr>
      <w:tr w:rsidR="00026F3B" w:rsidTr="00DA33BB">
        <w:tc>
          <w:tcPr>
            <w:cnfStyle w:val="001000000000" w:firstRow="0" w:lastRow="0" w:firstColumn="1" w:lastColumn="0" w:oddVBand="0" w:evenVBand="0" w:oddHBand="0" w:evenHBand="0" w:firstRowFirstColumn="0" w:firstRowLastColumn="0" w:lastRowFirstColumn="0" w:lastRowLastColumn="0"/>
            <w:tcW w:w="1448" w:type="dxa"/>
          </w:tcPr>
          <w:p w:rsidR="00026F3B" w:rsidRPr="00E761F9" w:rsidRDefault="00026F3B" w:rsidP="00E6234D">
            <w:r>
              <w:t>AusNet Services Transmission</w:t>
            </w:r>
          </w:p>
        </w:tc>
        <w:tc>
          <w:tcPr>
            <w:tcW w:w="1449" w:type="dxa"/>
          </w:tcPr>
          <w:p w:rsidR="00026F3B" w:rsidRPr="00E761F9" w:rsidRDefault="00026F3B" w:rsidP="00E6234D">
            <w:pPr>
              <w:cnfStyle w:val="000000000000" w:firstRow="0" w:lastRow="0" w:firstColumn="0" w:lastColumn="0" w:oddVBand="0" w:evenVBand="0" w:oddHBand="0" w:evenHBand="0" w:firstRowFirstColumn="0" w:firstRowLastColumn="0" w:lastRowFirstColumn="0" w:lastRowLastColumn="0"/>
            </w:pPr>
            <w:r>
              <w:t>All</w:t>
            </w:r>
          </w:p>
        </w:tc>
        <w:tc>
          <w:tcPr>
            <w:tcW w:w="1449" w:type="dxa"/>
          </w:tcPr>
          <w:p w:rsidR="00026F3B" w:rsidRPr="00E761F9" w:rsidRDefault="00026F3B" w:rsidP="00E6234D">
            <w:pPr>
              <w:cnfStyle w:val="000000000000" w:firstRow="0" w:lastRow="0" w:firstColumn="0" w:lastColumn="0" w:oddVBand="0" w:evenVBand="0" w:oddHBand="0" w:evenHBand="0" w:firstRowFirstColumn="0" w:firstRowLastColumn="0" w:lastRowFirstColumn="0" w:lastRowLastColumn="0"/>
            </w:pPr>
          </w:p>
        </w:tc>
        <w:tc>
          <w:tcPr>
            <w:tcW w:w="1449" w:type="dxa"/>
          </w:tcPr>
          <w:p w:rsidR="00026F3B" w:rsidRPr="00E761F9" w:rsidRDefault="00026F3B" w:rsidP="00E6234D">
            <w:pPr>
              <w:cnfStyle w:val="000000000000" w:firstRow="0" w:lastRow="0" w:firstColumn="0" w:lastColumn="0" w:oddVBand="0" w:evenVBand="0" w:oddHBand="0" w:evenHBand="0" w:firstRowFirstColumn="0" w:firstRowLastColumn="0" w:lastRowFirstColumn="0" w:lastRowLastColumn="0"/>
            </w:pPr>
          </w:p>
        </w:tc>
        <w:tc>
          <w:tcPr>
            <w:tcW w:w="1449" w:type="dxa"/>
          </w:tcPr>
          <w:p w:rsidR="00026F3B" w:rsidRPr="00E761F9" w:rsidRDefault="00026F3B" w:rsidP="00E6234D">
            <w:pPr>
              <w:cnfStyle w:val="000000000000" w:firstRow="0" w:lastRow="0" w:firstColumn="0" w:lastColumn="0" w:oddVBand="0" w:evenVBand="0" w:oddHBand="0" w:evenHBand="0" w:firstRowFirstColumn="0" w:firstRowLastColumn="0" w:lastRowFirstColumn="0" w:lastRowLastColumn="0"/>
            </w:pPr>
          </w:p>
        </w:tc>
        <w:tc>
          <w:tcPr>
            <w:tcW w:w="1449" w:type="dxa"/>
          </w:tcPr>
          <w:p w:rsidR="00026F3B" w:rsidRPr="00E761F9" w:rsidRDefault="00026F3B" w:rsidP="00E6234D">
            <w:pPr>
              <w:cnfStyle w:val="000000000000" w:firstRow="0" w:lastRow="0" w:firstColumn="0" w:lastColumn="0" w:oddVBand="0" w:evenVBand="0" w:oddHBand="0" w:evenHBand="0" w:firstRowFirstColumn="0" w:firstRowLastColumn="0" w:lastRowFirstColumn="0" w:lastRowLastColumn="0"/>
            </w:pPr>
            <w:r>
              <w:t>X</w:t>
            </w:r>
          </w:p>
        </w:tc>
      </w:tr>
      <w:tr w:rsidR="00E6234D" w:rsidTr="00DA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E6234D" w:rsidRPr="00E6234D" w:rsidRDefault="00E6234D" w:rsidP="00E6234D">
            <w:r w:rsidRPr="00E761F9">
              <w:t>AusNet Services</w:t>
            </w:r>
            <w:r w:rsidR="00026F3B">
              <w:t xml:space="preserve"> Distribution</w:t>
            </w:r>
          </w:p>
        </w:tc>
        <w:tc>
          <w:tcPr>
            <w:tcW w:w="1449" w:type="dxa"/>
          </w:tcPr>
          <w:p w:rsidR="00E6234D" w:rsidRPr="00E6234D" w:rsidRDefault="00E6234D" w:rsidP="00E6234D">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E6234D" w:rsidRPr="00E761F9" w:rsidRDefault="00E6234D" w:rsidP="00E6234D">
            <w:pPr>
              <w:cnfStyle w:val="000000010000" w:firstRow="0" w:lastRow="0" w:firstColumn="0" w:lastColumn="0" w:oddVBand="0" w:evenVBand="0" w:oddHBand="0" w:evenHBand="1" w:firstRowFirstColumn="0" w:firstRowLastColumn="0" w:lastRowFirstColumn="0" w:lastRowLastColumn="0"/>
            </w:pPr>
          </w:p>
        </w:tc>
        <w:tc>
          <w:tcPr>
            <w:tcW w:w="1449" w:type="dxa"/>
          </w:tcPr>
          <w:p w:rsidR="00E6234D" w:rsidRPr="00E761F9" w:rsidRDefault="00E6234D" w:rsidP="00E6234D">
            <w:pPr>
              <w:cnfStyle w:val="000000010000" w:firstRow="0" w:lastRow="0" w:firstColumn="0" w:lastColumn="0" w:oddVBand="0" w:evenVBand="0" w:oddHBand="0" w:evenHBand="1" w:firstRowFirstColumn="0" w:firstRowLastColumn="0" w:lastRowFirstColumn="0" w:lastRowLastColumn="0"/>
            </w:pPr>
          </w:p>
        </w:tc>
        <w:tc>
          <w:tcPr>
            <w:tcW w:w="1449" w:type="dxa"/>
          </w:tcPr>
          <w:p w:rsidR="00E6234D" w:rsidRPr="00E761F9" w:rsidRDefault="00E6234D" w:rsidP="00E6234D">
            <w:pPr>
              <w:cnfStyle w:val="000000010000" w:firstRow="0" w:lastRow="0" w:firstColumn="0" w:lastColumn="0" w:oddVBand="0" w:evenVBand="0" w:oddHBand="0" w:evenHBand="1" w:firstRowFirstColumn="0" w:firstRowLastColumn="0" w:lastRowFirstColumn="0" w:lastRowLastColumn="0"/>
            </w:pPr>
          </w:p>
        </w:tc>
        <w:tc>
          <w:tcPr>
            <w:tcW w:w="1449" w:type="dxa"/>
          </w:tcPr>
          <w:p w:rsidR="00E6234D" w:rsidRPr="00E6234D" w:rsidRDefault="00E6234D" w:rsidP="00E6234D">
            <w:pPr>
              <w:cnfStyle w:val="000000010000" w:firstRow="0" w:lastRow="0" w:firstColumn="0" w:lastColumn="0" w:oddVBand="0" w:evenVBand="0" w:oddHBand="0" w:evenHBand="1" w:firstRowFirstColumn="0" w:firstRowLastColumn="0" w:lastRowFirstColumn="0" w:lastRowLastColumn="0"/>
            </w:pPr>
            <w:r w:rsidRPr="00E761F9">
              <w:t>X</w:t>
            </w:r>
          </w:p>
        </w:tc>
      </w:tr>
      <w:tr w:rsidR="00E6234D" w:rsidTr="00DA33BB">
        <w:tc>
          <w:tcPr>
            <w:cnfStyle w:val="001000000000" w:firstRow="0" w:lastRow="0" w:firstColumn="1" w:lastColumn="0" w:oddVBand="0" w:evenVBand="0" w:oddHBand="0" w:evenHBand="0" w:firstRowFirstColumn="0" w:firstRowLastColumn="0" w:lastRowFirstColumn="0" w:lastRowLastColumn="0"/>
            <w:tcW w:w="1448" w:type="dxa"/>
          </w:tcPr>
          <w:p w:rsidR="00E6234D" w:rsidRPr="00E6234D" w:rsidRDefault="00E6234D" w:rsidP="00E6234D">
            <w:r w:rsidRPr="00E761F9">
              <w:t>United Energy</w:t>
            </w:r>
          </w:p>
        </w:tc>
        <w:tc>
          <w:tcPr>
            <w:tcW w:w="1449" w:type="dxa"/>
          </w:tcPr>
          <w:p w:rsidR="00E6234D" w:rsidRPr="00E6234D" w:rsidRDefault="00E6234D" w:rsidP="00E6234D">
            <w:pPr>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E6234D" w:rsidRPr="00E761F9" w:rsidRDefault="00E6234D" w:rsidP="00E6234D">
            <w:pPr>
              <w:cnfStyle w:val="000000000000" w:firstRow="0" w:lastRow="0" w:firstColumn="0" w:lastColumn="0" w:oddVBand="0" w:evenVBand="0" w:oddHBand="0" w:evenHBand="0" w:firstRowFirstColumn="0" w:firstRowLastColumn="0" w:lastRowFirstColumn="0" w:lastRowLastColumn="0"/>
            </w:pPr>
          </w:p>
        </w:tc>
        <w:tc>
          <w:tcPr>
            <w:tcW w:w="1449" w:type="dxa"/>
          </w:tcPr>
          <w:p w:rsidR="00E6234D" w:rsidRPr="00E761F9" w:rsidRDefault="00E6234D" w:rsidP="00E6234D">
            <w:pPr>
              <w:cnfStyle w:val="000000000000" w:firstRow="0" w:lastRow="0" w:firstColumn="0" w:lastColumn="0" w:oddVBand="0" w:evenVBand="0" w:oddHBand="0" w:evenHBand="0" w:firstRowFirstColumn="0" w:firstRowLastColumn="0" w:lastRowFirstColumn="0" w:lastRowLastColumn="0"/>
            </w:pPr>
          </w:p>
        </w:tc>
        <w:tc>
          <w:tcPr>
            <w:tcW w:w="1449" w:type="dxa"/>
          </w:tcPr>
          <w:p w:rsidR="00E6234D" w:rsidRPr="00E761F9" w:rsidRDefault="00E6234D" w:rsidP="00E6234D">
            <w:pPr>
              <w:cnfStyle w:val="000000000000" w:firstRow="0" w:lastRow="0" w:firstColumn="0" w:lastColumn="0" w:oddVBand="0" w:evenVBand="0" w:oddHBand="0" w:evenHBand="0" w:firstRowFirstColumn="0" w:firstRowLastColumn="0" w:lastRowFirstColumn="0" w:lastRowLastColumn="0"/>
            </w:pPr>
          </w:p>
        </w:tc>
        <w:tc>
          <w:tcPr>
            <w:tcW w:w="1449" w:type="dxa"/>
          </w:tcPr>
          <w:p w:rsidR="00E6234D" w:rsidRPr="00E761F9" w:rsidRDefault="00E6234D" w:rsidP="00E6234D">
            <w:pPr>
              <w:cnfStyle w:val="000000000000" w:firstRow="0" w:lastRow="0" w:firstColumn="0" w:lastColumn="0" w:oddVBand="0" w:evenVBand="0" w:oddHBand="0" w:evenHBand="0" w:firstRowFirstColumn="0" w:firstRowLastColumn="0" w:lastRowFirstColumn="0" w:lastRowLastColumn="0"/>
            </w:pPr>
          </w:p>
        </w:tc>
      </w:tr>
      <w:tr w:rsidR="00E6234D" w:rsidTr="00DA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E6234D" w:rsidRPr="00E6234D" w:rsidRDefault="00E6234D" w:rsidP="00E6234D">
            <w:r w:rsidRPr="00E761F9">
              <w:t>JEN</w:t>
            </w:r>
          </w:p>
        </w:tc>
        <w:tc>
          <w:tcPr>
            <w:tcW w:w="1449" w:type="dxa"/>
          </w:tcPr>
          <w:p w:rsidR="00E6234D" w:rsidRPr="00E6234D" w:rsidRDefault="00E6234D" w:rsidP="00E6234D">
            <w:pPr>
              <w:cnfStyle w:val="000000010000" w:firstRow="0" w:lastRow="0" w:firstColumn="0" w:lastColumn="0" w:oddVBand="0" w:evenVBand="0" w:oddHBand="0" w:evenHBand="1" w:firstRowFirstColumn="0" w:firstRowLastColumn="0" w:lastRowFirstColumn="0" w:lastRowLastColumn="0"/>
            </w:pPr>
            <w:r w:rsidRPr="00E761F9">
              <w:t>First year only</w:t>
            </w:r>
          </w:p>
        </w:tc>
        <w:tc>
          <w:tcPr>
            <w:tcW w:w="1449" w:type="dxa"/>
          </w:tcPr>
          <w:p w:rsidR="00E6234D" w:rsidRPr="00E6234D" w:rsidRDefault="00E6234D" w:rsidP="00E6234D">
            <w:pPr>
              <w:cnfStyle w:val="000000010000" w:firstRow="0" w:lastRow="0" w:firstColumn="0" w:lastColumn="0" w:oddVBand="0" w:evenVBand="0" w:oddHBand="0" w:evenHBand="1" w:firstRowFirstColumn="0" w:firstRowLastColumn="0" w:lastRowFirstColumn="0" w:lastRowLastColumn="0"/>
            </w:pPr>
            <w:r w:rsidRPr="00E761F9">
              <w:t>X</w:t>
            </w:r>
          </w:p>
        </w:tc>
        <w:tc>
          <w:tcPr>
            <w:tcW w:w="1449" w:type="dxa"/>
          </w:tcPr>
          <w:p w:rsidR="00E6234D" w:rsidRPr="00E6234D" w:rsidRDefault="00E6234D" w:rsidP="00E6234D">
            <w:pPr>
              <w:cnfStyle w:val="000000010000" w:firstRow="0" w:lastRow="0" w:firstColumn="0" w:lastColumn="0" w:oddVBand="0" w:evenVBand="0" w:oddHBand="0" w:evenHBand="1" w:firstRowFirstColumn="0" w:firstRowLastColumn="0" w:lastRowFirstColumn="0" w:lastRowLastColumn="0"/>
            </w:pPr>
            <w:r w:rsidRPr="00E761F9">
              <w:t>X</w:t>
            </w:r>
          </w:p>
        </w:tc>
        <w:tc>
          <w:tcPr>
            <w:tcW w:w="1449" w:type="dxa"/>
          </w:tcPr>
          <w:p w:rsidR="00E6234D" w:rsidRPr="00E761F9" w:rsidRDefault="00E6234D" w:rsidP="00E6234D">
            <w:pPr>
              <w:cnfStyle w:val="000000010000" w:firstRow="0" w:lastRow="0" w:firstColumn="0" w:lastColumn="0" w:oddVBand="0" w:evenVBand="0" w:oddHBand="0" w:evenHBand="1" w:firstRowFirstColumn="0" w:firstRowLastColumn="0" w:lastRowFirstColumn="0" w:lastRowLastColumn="0"/>
            </w:pPr>
          </w:p>
        </w:tc>
        <w:tc>
          <w:tcPr>
            <w:tcW w:w="1449" w:type="dxa"/>
          </w:tcPr>
          <w:p w:rsidR="00E6234D" w:rsidRPr="00E6234D" w:rsidRDefault="00E6234D" w:rsidP="00E6234D">
            <w:pPr>
              <w:cnfStyle w:val="000000010000" w:firstRow="0" w:lastRow="0" w:firstColumn="0" w:lastColumn="0" w:oddVBand="0" w:evenVBand="0" w:oddHBand="0" w:evenHBand="1" w:firstRowFirstColumn="0" w:firstRowLastColumn="0" w:lastRowFirstColumn="0" w:lastRowLastColumn="0"/>
            </w:pPr>
            <w:r w:rsidRPr="00E761F9">
              <w:t>X</w:t>
            </w:r>
          </w:p>
        </w:tc>
      </w:tr>
      <w:tr w:rsidR="00E6234D" w:rsidTr="00DA33BB">
        <w:tc>
          <w:tcPr>
            <w:cnfStyle w:val="001000000000" w:firstRow="0" w:lastRow="0" w:firstColumn="1" w:lastColumn="0" w:oddVBand="0" w:evenVBand="0" w:oddHBand="0" w:evenHBand="0" w:firstRowFirstColumn="0" w:firstRowLastColumn="0" w:lastRowFirstColumn="0" w:lastRowLastColumn="0"/>
            <w:tcW w:w="1448" w:type="dxa"/>
          </w:tcPr>
          <w:p w:rsidR="00E6234D" w:rsidRPr="00E6234D" w:rsidRDefault="00E6234D" w:rsidP="00E6234D">
            <w:r w:rsidRPr="00E761F9">
              <w:t>CitiPower / Powercor</w:t>
            </w:r>
          </w:p>
        </w:tc>
        <w:tc>
          <w:tcPr>
            <w:tcW w:w="1449" w:type="dxa"/>
          </w:tcPr>
          <w:p w:rsidR="00E6234D" w:rsidRPr="00E6234D" w:rsidRDefault="00E6234D" w:rsidP="00E6234D">
            <w:pPr>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E6234D" w:rsidRPr="00E761F9" w:rsidRDefault="00E6234D" w:rsidP="00E6234D">
            <w:pPr>
              <w:cnfStyle w:val="000000000000" w:firstRow="0" w:lastRow="0" w:firstColumn="0" w:lastColumn="0" w:oddVBand="0" w:evenVBand="0" w:oddHBand="0" w:evenHBand="0" w:firstRowFirstColumn="0" w:firstRowLastColumn="0" w:lastRowFirstColumn="0" w:lastRowLastColumn="0"/>
            </w:pPr>
          </w:p>
        </w:tc>
        <w:tc>
          <w:tcPr>
            <w:tcW w:w="1449" w:type="dxa"/>
          </w:tcPr>
          <w:p w:rsidR="00E6234D" w:rsidRPr="00E761F9" w:rsidRDefault="00E6234D" w:rsidP="00E6234D">
            <w:pPr>
              <w:cnfStyle w:val="000000000000" w:firstRow="0" w:lastRow="0" w:firstColumn="0" w:lastColumn="0" w:oddVBand="0" w:evenVBand="0" w:oddHBand="0" w:evenHBand="0" w:firstRowFirstColumn="0" w:firstRowLastColumn="0" w:lastRowFirstColumn="0" w:lastRowLastColumn="0"/>
            </w:pPr>
          </w:p>
        </w:tc>
        <w:tc>
          <w:tcPr>
            <w:tcW w:w="1449" w:type="dxa"/>
          </w:tcPr>
          <w:p w:rsidR="00E6234D" w:rsidRPr="00E761F9" w:rsidRDefault="00E6234D" w:rsidP="00E6234D">
            <w:pPr>
              <w:cnfStyle w:val="000000000000" w:firstRow="0" w:lastRow="0" w:firstColumn="0" w:lastColumn="0" w:oddVBand="0" w:evenVBand="0" w:oddHBand="0" w:evenHBand="0" w:firstRowFirstColumn="0" w:firstRowLastColumn="0" w:lastRowFirstColumn="0" w:lastRowLastColumn="0"/>
            </w:pPr>
          </w:p>
        </w:tc>
        <w:tc>
          <w:tcPr>
            <w:tcW w:w="1449" w:type="dxa"/>
          </w:tcPr>
          <w:p w:rsidR="00E6234D" w:rsidRPr="00E761F9" w:rsidRDefault="00E6234D" w:rsidP="00E6234D">
            <w:pPr>
              <w:cnfStyle w:val="000000000000" w:firstRow="0" w:lastRow="0" w:firstColumn="0" w:lastColumn="0" w:oddVBand="0" w:evenVBand="0" w:oddHBand="0" w:evenHBand="0" w:firstRowFirstColumn="0" w:firstRowLastColumn="0" w:lastRowFirstColumn="0" w:lastRowLastColumn="0"/>
            </w:pPr>
          </w:p>
        </w:tc>
      </w:tr>
      <w:tr w:rsidR="00E6234D" w:rsidTr="00DA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E6234D" w:rsidRPr="00E6234D" w:rsidRDefault="00E6234D" w:rsidP="00E6234D">
            <w:r w:rsidRPr="00E761F9">
              <w:t>ActewAGL</w:t>
            </w:r>
          </w:p>
        </w:tc>
        <w:tc>
          <w:tcPr>
            <w:tcW w:w="1449" w:type="dxa"/>
          </w:tcPr>
          <w:p w:rsidR="00E6234D" w:rsidRPr="00E6234D" w:rsidRDefault="00E6234D" w:rsidP="00E6234D">
            <w:pPr>
              <w:cnfStyle w:val="000000010000" w:firstRow="0" w:lastRow="0" w:firstColumn="0" w:lastColumn="0" w:oddVBand="0" w:evenVBand="0" w:oddHBand="0" w:evenHBand="1" w:firstRowFirstColumn="0" w:firstRowLastColumn="0" w:lastRowFirstColumn="0" w:lastRowLastColumn="0"/>
            </w:pPr>
            <w:r w:rsidRPr="00E761F9">
              <w:t>First year only</w:t>
            </w:r>
          </w:p>
        </w:tc>
        <w:tc>
          <w:tcPr>
            <w:tcW w:w="1449" w:type="dxa"/>
          </w:tcPr>
          <w:p w:rsidR="00E6234D" w:rsidRPr="00E6234D" w:rsidRDefault="00E6234D" w:rsidP="00E6234D">
            <w:pPr>
              <w:cnfStyle w:val="000000010000" w:firstRow="0" w:lastRow="0" w:firstColumn="0" w:lastColumn="0" w:oddVBand="0" w:evenVBand="0" w:oddHBand="0" w:evenHBand="1" w:firstRowFirstColumn="0" w:firstRowLastColumn="0" w:lastRowFirstColumn="0" w:lastRowLastColumn="0"/>
            </w:pPr>
            <w:r w:rsidRPr="00E761F9">
              <w:t>X</w:t>
            </w:r>
          </w:p>
        </w:tc>
        <w:tc>
          <w:tcPr>
            <w:tcW w:w="1449" w:type="dxa"/>
          </w:tcPr>
          <w:p w:rsidR="00E6234D" w:rsidRPr="00E6234D" w:rsidRDefault="00E6234D" w:rsidP="00E6234D">
            <w:pPr>
              <w:cnfStyle w:val="000000010000" w:firstRow="0" w:lastRow="0" w:firstColumn="0" w:lastColumn="0" w:oddVBand="0" w:evenVBand="0" w:oddHBand="0" w:evenHBand="1" w:firstRowFirstColumn="0" w:firstRowLastColumn="0" w:lastRowFirstColumn="0" w:lastRowLastColumn="0"/>
            </w:pPr>
            <w:r w:rsidRPr="00E761F9">
              <w:t>X</w:t>
            </w:r>
          </w:p>
        </w:tc>
        <w:tc>
          <w:tcPr>
            <w:tcW w:w="1449" w:type="dxa"/>
          </w:tcPr>
          <w:p w:rsidR="00E6234D" w:rsidRPr="00E761F9" w:rsidRDefault="00E6234D" w:rsidP="00E6234D">
            <w:pPr>
              <w:cnfStyle w:val="000000010000" w:firstRow="0" w:lastRow="0" w:firstColumn="0" w:lastColumn="0" w:oddVBand="0" w:evenVBand="0" w:oddHBand="0" w:evenHBand="1" w:firstRowFirstColumn="0" w:firstRowLastColumn="0" w:lastRowFirstColumn="0" w:lastRowLastColumn="0"/>
            </w:pPr>
          </w:p>
        </w:tc>
        <w:tc>
          <w:tcPr>
            <w:tcW w:w="1449" w:type="dxa"/>
          </w:tcPr>
          <w:p w:rsidR="00E6234D" w:rsidRPr="00E6234D" w:rsidRDefault="00E6234D" w:rsidP="00E6234D">
            <w:pPr>
              <w:cnfStyle w:val="000000010000" w:firstRow="0" w:lastRow="0" w:firstColumn="0" w:lastColumn="0" w:oddVBand="0" w:evenVBand="0" w:oddHBand="0" w:evenHBand="1" w:firstRowFirstColumn="0" w:firstRowLastColumn="0" w:lastRowFirstColumn="0" w:lastRowLastColumn="0"/>
            </w:pPr>
            <w:r w:rsidRPr="00E761F9">
              <w:t>X</w:t>
            </w:r>
          </w:p>
        </w:tc>
      </w:tr>
      <w:tr w:rsidR="00E6234D" w:rsidTr="00DA33BB">
        <w:tc>
          <w:tcPr>
            <w:cnfStyle w:val="001000000000" w:firstRow="0" w:lastRow="0" w:firstColumn="1" w:lastColumn="0" w:oddVBand="0" w:evenVBand="0" w:oddHBand="0" w:evenHBand="0" w:firstRowFirstColumn="0" w:firstRowLastColumn="0" w:lastRowFirstColumn="0" w:lastRowLastColumn="0"/>
            <w:tcW w:w="1448" w:type="dxa"/>
          </w:tcPr>
          <w:p w:rsidR="00E6234D" w:rsidRPr="00E6234D" w:rsidRDefault="00E6234D" w:rsidP="00E6234D">
            <w:r w:rsidRPr="00E761F9">
              <w:t>AGN</w:t>
            </w:r>
          </w:p>
        </w:tc>
        <w:tc>
          <w:tcPr>
            <w:tcW w:w="1449" w:type="dxa"/>
          </w:tcPr>
          <w:p w:rsidR="00E6234D" w:rsidRPr="00E6234D" w:rsidRDefault="00E6234D" w:rsidP="00E6234D">
            <w:pPr>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E6234D" w:rsidRPr="00E761F9" w:rsidRDefault="00E6234D" w:rsidP="00E6234D">
            <w:pPr>
              <w:cnfStyle w:val="000000000000" w:firstRow="0" w:lastRow="0" w:firstColumn="0" w:lastColumn="0" w:oddVBand="0" w:evenVBand="0" w:oddHBand="0" w:evenHBand="0" w:firstRowFirstColumn="0" w:firstRowLastColumn="0" w:lastRowFirstColumn="0" w:lastRowLastColumn="0"/>
            </w:pPr>
          </w:p>
        </w:tc>
        <w:tc>
          <w:tcPr>
            <w:tcW w:w="1449" w:type="dxa"/>
          </w:tcPr>
          <w:p w:rsidR="00E6234D" w:rsidRPr="00E761F9" w:rsidRDefault="00E6234D" w:rsidP="00E6234D">
            <w:pPr>
              <w:cnfStyle w:val="000000000000" w:firstRow="0" w:lastRow="0" w:firstColumn="0" w:lastColumn="0" w:oddVBand="0" w:evenVBand="0" w:oddHBand="0" w:evenHBand="0" w:firstRowFirstColumn="0" w:firstRowLastColumn="0" w:lastRowFirstColumn="0" w:lastRowLastColumn="0"/>
            </w:pPr>
          </w:p>
        </w:tc>
        <w:tc>
          <w:tcPr>
            <w:tcW w:w="1449" w:type="dxa"/>
          </w:tcPr>
          <w:p w:rsidR="00E6234D" w:rsidRPr="00E6234D" w:rsidRDefault="00E6234D" w:rsidP="00E6234D">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E6234D" w:rsidRPr="00E761F9" w:rsidRDefault="00E6234D" w:rsidP="00E6234D">
            <w:pPr>
              <w:cnfStyle w:val="000000000000" w:firstRow="0" w:lastRow="0" w:firstColumn="0" w:lastColumn="0" w:oddVBand="0" w:evenVBand="0" w:oddHBand="0" w:evenHBand="0" w:firstRowFirstColumn="0" w:firstRowLastColumn="0" w:lastRowFirstColumn="0" w:lastRowLastColumn="0"/>
            </w:pPr>
          </w:p>
        </w:tc>
      </w:tr>
      <w:tr w:rsidR="00E6234D" w:rsidTr="00DA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E6234D" w:rsidRPr="00E6234D" w:rsidRDefault="00E6234D" w:rsidP="00E6234D">
            <w:r w:rsidRPr="00E761F9">
              <w:t>Amadeus</w:t>
            </w:r>
          </w:p>
        </w:tc>
        <w:tc>
          <w:tcPr>
            <w:tcW w:w="1449" w:type="dxa"/>
          </w:tcPr>
          <w:p w:rsidR="00E6234D" w:rsidRPr="00E6234D" w:rsidRDefault="00E6234D" w:rsidP="00E6234D">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E6234D" w:rsidRPr="00E761F9" w:rsidRDefault="00E6234D" w:rsidP="00E6234D">
            <w:pPr>
              <w:cnfStyle w:val="000000010000" w:firstRow="0" w:lastRow="0" w:firstColumn="0" w:lastColumn="0" w:oddVBand="0" w:evenVBand="0" w:oddHBand="0" w:evenHBand="1" w:firstRowFirstColumn="0" w:firstRowLastColumn="0" w:lastRowFirstColumn="0" w:lastRowLastColumn="0"/>
            </w:pPr>
          </w:p>
        </w:tc>
        <w:tc>
          <w:tcPr>
            <w:tcW w:w="1449" w:type="dxa"/>
          </w:tcPr>
          <w:p w:rsidR="00E6234D" w:rsidRPr="00E761F9" w:rsidRDefault="00E6234D" w:rsidP="00E6234D">
            <w:pPr>
              <w:cnfStyle w:val="000000010000" w:firstRow="0" w:lastRow="0" w:firstColumn="0" w:lastColumn="0" w:oddVBand="0" w:evenVBand="0" w:oddHBand="0" w:evenHBand="1" w:firstRowFirstColumn="0" w:firstRowLastColumn="0" w:lastRowFirstColumn="0" w:lastRowLastColumn="0"/>
            </w:pPr>
          </w:p>
        </w:tc>
        <w:tc>
          <w:tcPr>
            <w:tcW w:w="1449" w:type="dxa"/>
          </w:tcPr>
          <w:p w:rsidR="00E6234D" w:rsidRPr="00E761F9" w:rsidRDefault="00E6234D" w:rsidP="00E6234D">
            <w:pPr>
              <w:cnfStyle w:val="000000010000" w:firstRow="0" w:lastRow="0" w:firstColumn="0" w:lastColumn="0" w:oddVBand="0" w:evenVBand="0" w:oddHBand="0" w:evenHBand="1" w:firstRowFirstColumn="0" w:firstRowLastColumn="0" w:lastRowFirstColumn="0" w:lastRowLastColumn="0"/>
            </w:pPr>
          </w:p>
        </w:tc>
        <w:tc>
          <w:tcPr>
            <w:tcW w:w="1449" w:type="dxa"/>
          </w:tcPr>
          <w:p w:rsidR="00E6234D" w:rsidRPr="00E761F9" w:rsidRDefault="00E6234D" w:rsidP="00E6234D">
            <w:pPr>
              <w:cnfStyle w:val="000000010000" w:firstRow="0" w:lastRow="0" w:firstColumn="0" w:lastColumn="0" w:oddVBand="0" w:evenVBand="0" w:oddHBand="0" w:evenHBand="1" w:firstRowFirstColumn="0" w:firstRowLastColumn="0" w:lastRowFirstColumn="0" w:lastRowLastColumn="0"/>
            </w:pPr>
          </w:p>
        </w:tc>
      </w:tr>
    </w:tbl>
    <w:p w:rsidR="00E6234D" w:rsidRPr="00E761F9" w:rsidRDefault="00E6234D" w:rsidP="00E6234D">
      <w:pPr>
        <w:pStyle w:val="AERtablesource"/>
      </w:pPr>
      <w:r w:rsidRPr="00E761F9">
        <w:t>Source:</w:t>
      </w:r>
      <w:r w:rsidRPr="00E761F9">
        <w:tab/>
        <w:t xml:space="preserve">AER analysis; </w:t>
      </w:r>
      <w:r w:rsidR="00CD32B4">
        <w:t xml:space="preserve">AusNet Services, </w:t>
      </w:r>
      <w:r w:rsidR="00CD32B4" w:rsidRPr="006C0405">
        <w:rPr>
          <w:rStyle w:val="AERtextitalic"/>
        </w:rPr>
        <w:t>Transmission Revenue Review 2017–2022 regulatory proposal</w:t>
      </w:r>
      <w:r w:rsidR="00CD32B4">
        <w:t xml:space="preserve">, 30 October 2015; </w:t>
      </w:r>
      <w:r w:rsidRPr="00E761F9">
        <w:t>AusNet</w:t>
      </w:r>
      <w:r w:rsidR="00CD32B4">
        <w:t xml:space="preserve"> Services</w:t>
      </w:r>
      <w:r w:rsidRPr="00E761F9">
        <w:t xml:space="preserve">,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w:t>
      </w:r>
      <w:r>
        <w:t>7-36</w:t>
      </w:r>
      <w:r w:rsidRPr="00E761F9">
        <w:t xml:space="preserve">; United Energy, </w:t>
      </w:r>
      <w:r w:rsidRPr="00E761F9">
        <w:rPr>
          <w:rStyle w:val="AERtextitalic"/>
        </w:rPr>
        <w:t>United Energy</w:t>
      </w:r>
      <w:r>
        <w:rPr>
          <w:rStyle w:val="AERtextitalic"/>
        </w:rPr>
        <w:t xml:space="preserve">'s revised regulatory proposal—nominated </w:t>
      </w:r>
      <w:r w:rsidRPr="00E761F9">
        <w:rPr>
          <w:rStyle w:val="AERtextitalic"/>
        </w:rPr>
        <w:t>debt averaging periods</w:t>
      </w:r>
      <w:r>
        <w:rPr>
          <w:rStyle w:val="AERtextitalic"/>
        </w:rPr>
        <w:t xml:space="preserve"> (Confidential)</w:t>
      </w:r>
      <w:r w:rsidRPr="00E761F9">
        <w:t>, 6 January 2016;</w:t>
      </w:r>
      <w:r>
        <w:t xml:space="preserve"> United Energy, </w:t>
      </w:r>
      <w:r w:rsidRPr="004D1E24">
        <w:rPr>
          <w:rStyle w:val="AERtextitalic"/>
        </w:rPr>
        <w:t>R</w:t>
      </w:r>
      <w:r>
        <w:rPr>
          <w:rStyle w:val="AERtextitalic"/>
        </w:rPr>
        <w:t>evised r</w:t>
      </w:r>
      <w:r w:rsidRPr="004D1E24">
        <w:rPr>
          <w:rStyle w:val="AERtextitalic"/>
        </w:rPr>
        <w:t>egulatory proposal</w:t>
      </w:r>
      <w:r>
        <w:t>, 6 January 2016, p. 75;</w:t>
      </w:r>
      <w:r w:rsidRPr="00E761F9">
        <w:t xml:space="preserve">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E761F9">
        <w:t xml:space="preserve">CitiPower,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349; Powercor,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343;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r w:rsidRPr="00E761F9">
        <w:t xml:space="preserve">; 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pp. 41–42</w:t>
      </w:r>
      <w:r w:rsidRPr="00E761F9">
        <w:t xml:space="preserve">; AGN, </w:t>
      </w:r>
      <w:r w:rsidRPr="00E761F9">
        <w:rPr>
          <w:rStyle w:val="AERtextitalic"/>
        </w:rPr>
        <w:t xml:space="preserve">Revised access arrangement proposal—Attachment 10.2A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Averaging </w:t>
      </w:r>
      <w:r>
        <w:rPr>
          <w:rStyle w:val="AERtextitalic"/>
        </w:rPr>
        <w:t>p</w:t>
      </w:r>
      <w:r w:rsidRPr="00E761F9">
        <w:rPr>
          <w:rStyle w:val="AERtextitalic"/>
        </w:rPr>
        <w:t>eriods</w:t>
      </w:r>
      <w:r>
        <w:rPr>
          <w:rStyle w:val="AERtextitalic"/>
        </w:rPr>
        <w:t xml:space="preserve"> (Confidential)</w:t>
      </w:r>
      <w:r w:rsidRPr="00E761F9">
        <w:t>, 6 January 2016</w:t>
      </w:r>
      <w:r>
        <w:t xml:space="preserve">; </w:t>
      </w:r>
      <w:r w:rsidRPr="00E761F9">
        <w:t xml:space="preserve">Amadeus, </w:t>
      </w:r>
      <w:r w:rsidRPr="00E761F9">
        <w:rPr>
          <w:rStyle w:val="AERtextitalic"/>
        </w:rPr>
        <w:t xml:space="preserve">Revised </w:t>
      </w:r>
      <w:r>
        <w:rPr>
          <w:rStyle w:val="AERtextitalic"/>
        </w:rPr>
        <w:t>a</w:t>
      </w:r>
      <w:r w:rsidRPr="00E761F9">
        <w:rPr>
          <w:rStyle w:val="AERtextitalic"/>
        </w:rPr>
        <w:t xml:space="preserve">ccess arrangement proposal—Attachment E: </w:t>
      </w:r>
      <w:r>
        <w:rPr>
          <w:rStyle w:val="AERtextitalic"/>
        </w:rPr>
        <w:t>A</w:t>
      </w:r>
      <w:r w:rsidRPr="00E761F9">
        <w:rPr>
          <w:rStyle w:val="AERtextitalic"/>
        </w:rPr>
        <w:t>veraging periods</w:t>
      </w:r>
      <w:r>
        <w:rPr>
          <w:rStyle w:val="AERtextitalic"/>
        </w:rPr>
        <w:t xml:space="preserve"> (Confidential)</w:t>
      </w:r>
      <w:r w:rsidRPr="00E761F9">
        <w:t>, 6 January 2016</w:t>
      </w:r>
      <w:r>
        <w:t>.</w:t>
      </w:r>
    </w:p>
    <w:p w:rsidR="00E6234D" w:rsidRPr="00E761F9" w:rsidRDefault="00E6234D" w:rsidP="00E6234D">
      <w:r w:rsidRPr="00E761F9">
        <w:t xml:space="preserve">Our decision is that the service providers' averaging periods: </w:t>
      </w:r>
    </w:p>
    <w:p w:rsidR="00E6234D" w:rsidRPr="00E761F9" w:rsidRDefault="00E6234D" w:rsidP="00E6234D">
      <w:pPr>
        <w:pStyle w:val="AERbulletlistfirststyle"/>
      </w:pPr>
      <w:r w:rsidRPr="00E761F9">
        <w:t>should be nominated before the regulatory period commences</w:t>
      </w:r>
    </w:p>
    <w:p w:rsidR="00E6234D" w:rsidRPr="00E761F9" w:rsidRDefault="00E6234D" w:rsidP="00E6234D">
      <w:pPr>
        <w:pStyle w:val="AERbulletlistfirststyle"/>
      </w:pPr>
      <w:r w:rsidRPr="00E761F9">
        <w:t>should not be separated into DRP and base rate averaging periods</w:t>
      </w:r>
    </w:p>
    <w:p w:rsidR="00E6234D" w:rsidRPr="00E761F9" w:rsidRDefault="00E6234D" w:rsidP="00E6234D">
      <w:pPr>
        <w:pStyle w:val="AERbulletlistfirststyle"/>
      </w:pPr>
      <w:proofErr w:type="gramStart"/>
      <w:r w:rsidRPr="00E761F9">
        <w:t>are</w:t>
      </w:r>
      <w:proofErr w:type="gramEnd"/>
      <w:r w:rsidRPr="00E761F9">
        <w:t xml:space="preserve"> not required to be as close as practically possible to the start of the each regulatory year, but should fall within a particular timeframe.</w:t>
      </w:r>
    </w:p>
    <w:p w:rsidR="00E6234D" w:rsidRPr="00E761F9" w:rsidRDefault="00E6234D" w:rsidP="00E6234D">
      <w:r w:rsidRPr="00492599">
        <w:t>Each of these is</w:t>
      </w:r>
      <w:r>
        <w:t xml:space="preserve"> discussed in more detail below</w:t>
      </w:r>
      <w:r w:rsidRPr="00E761F9">
        <w:t>.</w:t>
      </w:r>
    </w:p>
    <w:p w:rsidR="00E6234D" w:rsidRPr="00986B6E" w:rsidRDefault="00E6234D" w:rsidP="00E6234D">
      <w:r w:rsidRPr="00E761F9">
        <w:t xml:space="preserve">We also received submissions from other stakeholders. For example, the CCP does not support the service providers' proposals to nominate an averaging period for each regulatory year just prior to that regulatory year, rather than at the start of the whole regulatory period. It considers </w:t>
      </w:r>
      <w:r w:rsidR="00031913">
        <w:t xml:space="preserve">that </w:t>
      </w:r>
      <w:r w:rsidRPr="00E761F9">
        <w:t>this increases the complexity and opportunities for regulatory gaming.</w:t>
      </w:r>
      <w:r w:rsidRPr="00E761F9">
        <w:rPr>
          <w:rStyle w:val="FootnoteReference"/>
        </w:rPr>
        <w:footnoteReference w:id="1219"/>
      </w:r>
    </w:p>
    <w:p w:rsidR="00E6234D" w:rsidRPr="0023546E" w:rsidRDefault="00E6234D" w:rsidP="00E6234D">
      <w:pPr>
        <w:pStyle w:val="HeadingBoldBlue"/>
      </w:pPr>
      <w:r w:rsidRPr="004C10CD">
        <w:t>Annual process for nominating debt averaging periods</w:t>
      </w:r>
    </w:p>
    <w:p w:rsidR="00E6234D" w:rsidRPr="00986B6E" w:rsidRDefault="00E6234D" w:rsidP="00E6234D">
      <w:r w:rsidRPr="00986B6E">
        <w:t xml:space="preserve">United Energy, Jemena Electricity Networks (JEN), CitiPower, Powercor and ActewAGL </w:t>
      </w:r>
      <w:r>
        <w:t xml:space="preserve">initially </w:t>
      </w:r>
      <w:r w:rsidRPr="00986B6E">
        <w:t>proposed to depart from the Guideline in relation to nominating all averaging periods before the start of the regulatory period (the 'Guideline condition'). Instead, these service providers proposed to nominate their averaging periods in a separate process each year.</w:t>
      </w:r>
      <w:r w:rsidRPr="00986B6E">
        <w:rPr>
          <w:rStyle w:val="FootnoteReference"/>
        </w:rPr>
        <w:footnoteReference w:id="1220"/>
      </w:r>
      <w:r>
        <w:t xml:space="preserve"> JEN and ActewAGL maintained this approach in their revised proposals.</w:t>
      </w:r>
      <w:r>
        <w:rPr>
          <w:rStyle w:val="FootnoteReference"/>
        </w:rPr>
        <w:footnoteReference w:id="1221"/>
      </w:r>
      <w:r>
        <w:t xml:space="preserve"> However, CitiPower, Powercor and United Energy did not press this approach in their revised proposals.</w:t>
      </w:r>
      <w:r>
        <w:rPr>
          <w:rStyle w:val="FootnoteReference"/>
        </w:rPr>
        <w:footnoteReference w:id="1222"/>
      </w:r>
    </w:p>
    <w:p w:rsidR="00E6234D" w:rsidRPr="00986B6E" w:rsidRDefault="00E6234D" w:rsidP="00E6234D">
      <w:r w:rsidRPr="00986B6E">
        <w:t>The service providers</w:t>
      </w:r>
      <w:r>
        <w:t>,</w:t>
      </w:r>
      <w:r w:rsidRPr="00986B6E">
        <w:t xml:space="preserve"> </w:t>
      </w:r>
      <w:r>
        <w:t xml:space="preserve">in their initial proposals, </w:t>
      </w:r>
      <w:r w:rsidRPr="00986B6E">
        <w:t xml:space="preserve">submitted </w:t>
      </w:r>
      <w:r>
        <w:t xml:space="preserve">or implied </w:t>
      </w:r>
      <w:r w:rsidRPr="00986B6E">
        <w:t xml:space="preserve">the Guideline condition </w:t>
      </w:r>
      <w:r>
        <w:t>might be</w:t>
      </w:r>
      <w:r w:rsidRPr="00986B6E">
        <w:t xml:space="preserve"> inconsistent with the </w:t>
      </w:r>
      <w:r>
        <w:t>ARORO</w:t>
      </w:r>
      <w:r w:rsidRPr="00986B6E">
        <w:t>.</w:t>
      </w:r>
      <w:r>
        <w:rPr>
          <w:rStyle w:val="FootnoteReference"/>
        </w:rPr>
        <w:footnoteReference w:id="1223"/>
      </w:r>
      <w:r w:rsidRPr="00986B6E">
        <w:t xml:space="preserve"> Their reasoning for an annual process to nominate debt averaging periods appears to </w:t>
      </w:r>
      <w:r>
        <w:t>centre</w:t>
      </w:r>
      <w:r w:rsidRPr="00986B6E">
        <w:t xml:space="preserve"> on a view that this approach:</w:t>
      </w:r>
      <w:r w:rsidRPr="00986B6E">
        <w:rPr>
          <w:rStyle w:val="FootnoteReference"/>
        </w:rPr>
        <w:footnoteReference w:id="1224"/>
      </w:r>
    </w:p>
    <w:p w:rsidR="00E6234D" w:rsidRPr="00986B6E" w:rsidRDefault="00E6234D" w:rsidP="00E6234D">
      <w:pPr>
        <w:pStyle w:val="AERbulletlistfirststyle"/>
      </w:pPr>
      <w:r w:rsidRPr="00986B6E">
        <w:t>reduces the risk of mismatch between the efficient financing costs of a benchmark efficient entity and the allowed return on debt</w:t>
      </w:r>
      <w:r w:rsidRPr="00986B6E">
        <w:rPr>
          <w:rStyle w:val="FootnoteReference"/>
        </w:rPr>
        <w:footnoteReference w:id="1225"/>
      </w:r>
    </w:p>
    <w:p w:rsidR="00E6234D" w:rsidRPr="00986B6E" w:rsidRDefault="00E6234D" w:rsidP="00E6234D">
      <w:pPr>
        <w:pStyle w:val="AERbulletlistfirststyle"/>
      </w:pPr>
      <w:proofErr w:type="gramStart"/>
      <w:r w:rsidRPr="00986B6E">
        <w:t>is</w:t>
      </w:r>
      <w:proofErr w:type="gramEnd"/>
      <w:r w:rsidRPr="00986B6E">
        <w:t xml:space="preserve"> consistent with the rule requirement for the change in revenue from the annual debt update to result from the automatic application of a formula that is specified in the determination.</w:t>
      </w:r>
      <w:r w:rsidRPr="00986B6E">
        <w:rPr>
          <w:rStyle w:val="FootnoteReference"/>
        </w:rPr>
        <w:footnoteReference w:id="1226"/>
      </w:r>
    </w:p>
    <w:p w:rsidR="00E6234D" w:rsidRPr="00986B6E" w:rsidRDefault="00E6234D" w:rsidP="00E6234D">
      <w:r>
        <w:t>ActewAGL and JEN maintained these views in their revised proposals.</w:t>
      </w:r>
      <w:r>
        <w:rPr>
          <w:rStyle w:val="FootnoteReference"/>
        </w:rPr>
        <w:footnoteReference w:id="1227"/>
      </w:r>
      <w:r>
        <w:t>As we stated in our preliminary decisions, w</w:t>
      </w:r>
      <w:r w:rsidRPr="00986B6E">
        <w:t xml:space="preserve">e do not agree with the service providers' submissions. Our decision is that the service providers' averaging periods should be nominated before the regulatory period commences. This is consistent with our </w:t>
      </w:r>
      <w:r>
        <w:t>preliminary decision</w:t>
      </w:r>
      <w:r w:rsidRPr="00986B6E">
        <w:t xml:space="preserve">. We consider the Guideline condition is consistent with a return on debt averaging period that satisfies the rules. This contributes to the achievement of the </w:t>
      </w:r>
      <w:r>
        <w:t>ARORO</w:t>
      </w:r>
      <w:r w:rsidRPr="00986B6E">
        <w:t>.</w:t>
      </w:r>
      <w:r w:rsidRPr="00986B6E">
        <w:rPr>
          <w:rStyle w:val="FootnoteReference"/>
        </w:rPr>
        <w:footnoteReference w:id="1228"/>
      </w:r>
      <w:r w:rsidRPr="00986B6E">
        <w:t xml:space="preserve"> We also consider the service providers overstated the risk associated with nominating averaging periods in advance of the regulatory period commencing. We set out our reasons for these positions in the following paragraphs.</w:t>
      </w:r>
    </w:p>
    <w:p w:rsidR="00E6234D" w:rsidRPr="00986B6E" w:rsidRDefault="00E6234D" w:rsidP="00E6234D">
      <w:r w:rsidRPr="00986B6E">
        <w:t xml:space="preserve">We consider the Guideline condition to nominate averaging periods upfront during the distribution determination process is consistent with a return on debt that contributes to the achievement of the </w:t>
      </w:r>
      <w:r>
        <w:t>ARORO and other rule requirements</w:t>
      </w:r>
      <w:r w:rsidRPr="00986B6E">
        <w:t xml:space="preserve"> because it:</w:t>
      </w:r>
    </w:p>
    <w:p w:rsidR="00E6234D" w:rsidRDefault="00E6234D" w:rsidP="00E6234D">
      <w:pPr>
        <w:pStyle w:val="AERbulletlistfirststyle"/>
      </w:pPr>
      <w:r>
        <w:t>p</w:t>
      </w:r>
      <w:r w:rsidRPr="00986B6E">
        <w:t xml:space="preserve">rovides an appropriate balance between flexibility and certainty that facilitates service providers to organise their financing arrangements in a way that promotes efficient </w:t>
      </w:r>
      <w:r>
        <w:t>financing</w:t>
      </w:r>
      <w:r w:rsidRPr="00986B6E">
        <w:t xml:space="preserve"> decisions and enables them to manage risk </w:t>
      </w:r>
    </w:p>
    <w:p w:rsidR="00E6234D" w:rsidRPr="00986B6E" w:rsidRDefault="00E6234D" w:rsidP="00E6234D">
      <w:pPr>
        <w:pStyle w:val="AERbulletlistfirststyle"/>
      </w:pPr>
      <w:r>
        <w:t>r</w:t>
      </w:r>
      <w:r w:rsidRPr="00986B6E">
        <w:t>esults in an unbiased outcome because it requires service providers to nominate their averaging periods in advance</w:t>
      </w:r>
      <w:r w:rsidRPr="00986B6E">
        <w:rPr>
          <w:rStyle w:val="FootnoteReference"/>
        </w:rPr>
        <w:footnoteReference w:id="1229"/>
      </w:r>
      <w:r>
        <w:t xml:space="preserve">—this allows us to provide ex-ante compensation for a benchmark efficient entity's efficient financing costs (all else being equal) (see sections </w:t>
      </w:r>
      <w:r>
        <w:fldChar w:fldCharType="begin"/>
      </w:r>
      <w:r>
        <w:instrText xml:space="preserve"> REF _Ref451543801 \r \h </w:instrText>
      </w:r>
      <w:r>
        <w:fldChar w:fldCharType="separate"/>
      </w:r>
      <w:r w:rsidR="003F1AAB">
        <w:t>3.3.3</w:t>
      </w:r>
      <w:r>
        <w:fldChar w:fldCharType="end"/>
      </w:r>
      <w:r>
        <w:t xml:space="preserve"> and </w:t>
      </w:r>
      <w:r>
        <w:fldChar w:fldCharType="begin"/>
      </w:r>
      <w:r>
        <w:instrText xml:space="preserve"> REF _Ref444778432 \r \h </w:instrText>
      </w:r>
      <w:r>
        <w:fldChar w:fldCharType="separate"/>
      </w:r>
      <w:r w:rsidR="003F1AAB">
        <w:t>H.6</w:t>
      </w:r>
      <w:r>
        <w:fldChar w:fldCharType="end"/>
      </w:r>
      <w:r>
        <w:t>)</w:t>
      </w:r>
    </w:p>
    <w:p w:rsidR="00E6234D" w:rsidRPr="00986B6E" w:rsidRDefault="00E6234D" w:rsidP="00E6234D">
      <w:pPr>
        <w:pStyle w:val="AERbulletlistfirststyle"/>
      </w:pPr>
      <w:proofErr w:type="gramStart"/>
      <w:r>
        <w:t>f</w:t>
      </w:r>
      <w:r w:rsidRPr="00986B6E">
        <w:t>acilitates</w:t>
      </w:r>
      <w:proofErr w:type="gramEnd"/>
      <w:r w:rsidRPr="00986B6E">
        <w:t xml:space="preserve"> the achievement of the rules requirement that changes to revenue resulting from the annual debt update occur through the 'automatic' application of a formula specified in the </w:t>
      </w:r>
      <w:r>
        <w:t>distribution determination</w:t>
      </w:r>
      <w:r w:rsidRPr="00986B6E">
        <w:t>.</w:t>
      </w:r>
    </w:p>
    <w:p w:rsidR="00E6234D" w:rsidRPr="00986B6E" w:rsidRDefault="00E6234D" w:rsidP="00E6234D">
      <w:r w:rsidRPr="00986B6E">
        <w:t xml:space="preserve">We provide service providers with flexibility to nominate the length of their averaging periods, which can be anywhere between 10 business days and 12 months. We also provide service providers with the flexibility to nominate the same or different averaging periods for different years in a regulatory period. </w:t>
      </w:r>
    </w:p>
    <w:p w:rsidR="00E6234D" w:rsidRPr="00986B6E" w:rsidRDefault="00E6234D" w:rsidP="00E6234D">
      <w:r w:rsidRPr="00986B6E">
        <w:t>We provide service providers with the certainty that no matter how interest rates change, we will compensate service providers for the prevailing return on debt during that averaging period by reflecting those interest rates in their revenue allowance. We consider this certainty would provide service providers with confidence to organise their financing around the averaging periods set in the decision. This is consistent with the NEO</w:t>
      </w:r>
      <w:r>
        <w:t>/</w:t>
      </w:r>
      <w:r w:rsidRPr="00986B6E">
        <w:t xml:space="preserve">NGO and revenue and pricing principles which seek to promote decisions that are in the long term interests of consumers through the promotion of efficient investment and the use of effective incentives and appropriate regard to risks. </w:t>
      </w:r>
    </w:p>
    <w:p w:rsidR="00E6234D" w:rsidRPr="00986B6E" w:rsidRDefault="00E6234D" w:rsidP="00E6234D">
      <w:r w:rsidRPr="00986B6E">
        <w:t>We consider a return on debt estimated using an averaging period determined in advance of it occurring can be expected to be unbiased.</w:t>
      </w:r>
      <w:r w:rsidRPr="00986B6E">
        <w:rPr>
          <w:rStyle w:val="FootnoteReference"/>
        </w:rPr>
        <w:footnoteReference w:id="1230"/>
      </w:r>
      <w:r w:rsidRPr="00986B6E">
        <w:t xml:space="preserve"> If an averaging period is chosen after that period occurs, the knowledge of returns at any past point of time influences the choice, creating an inherent bias. It would not matter if the period were chosen by the AER, the service provider, a user or consumer, the Tribunal or another stakeholder. This view has been recognised by experts and expressed by us in the Guideline.</w:t>
      </w:r>
      <w:r w:rsidRPr="00986B6E">
        <w:rPr>
          <w:rStyle w:val="FootnoteReference"/>
        </w:rPr>
        <w:footnoteReference w:id="1231"/>
      </w:r>
      <w:r w:rsidRPr="00986B6E">
        <w:t xml:space="preserve"> </w:t>
      </w:r>
      <w:r>
        <w:t>We consider a biased return on debt estimate would not provide ex-ante compensation for a benchmark efficient entity's efficient financing costs. As such, it would not satisfy the ARORO.</w:t>
      </w:r>
    </w:p>
    <w:p w:rsidR="00E6234D" w:rsidRPr="00986B6E" w:rsidRDefault="00E6234D" w:rsidP="00E6234D">
      <w:r w:rsidRPr="00986B6E">
        <w:t xml:space="preserve">We consider the Guideline condition facilitates a change in revenue from the annual debt update to result from the automatic application of a formula that is specified in the decision. This is consistent with the rules requirement for automatic updating. This is because nominating averaging periods before the regulatory control period or access arrangement period commences simplifies the annual updating process. We consider a sufficiently simple, mechanistic process is required to meet this requirement. It is not clear to us that adding an additional process that requires judgement and assessment is consistent with the rules requirement. </w:t>
      </w:r>
      <w:r>
        <w:t>We consider</w:t>
      </w:r>
      <w:r w:rsidRPr="009F4EA4">
        <w:t xml:space="preserve"> it is difficult to account for the many uncertainties inherent in a process that requires judgement and assessment.</w:t>
      </w:r>
      <w:r>
        <w:t xml:space="preserve"> </w:t>
      </w:r>
      <w:r w:rsidRPr="00986B6E">
        <w:t>Our experience is that agreeing on averaging periods is not necessarily a straightforward exercise. This is because service providers have an incentive to dispute averaging periods when it is in their interests to do so. For example:</w:t>
      </w:r>
    </w:p>
    <w:p w:rsidR="00E6234D" w:rsidRPr="00986B6E" w:rsidRDefault="00E6234D" w:rsidP="00E6234D">
      <w:pPr>
        <w:pStyle w:val="AERbulletlistfirststyle"/>
      </w:pPr>
      <w:r w:rsidRPr="00986B6E">
        <w:t>The NSW electricity distributors recently advocated using a long term historical averaging period for calculating the risk free rate for the return on equity. As an alternative option, they also proposed using a different short term averaging period to what we have proposed to them. The NSW electricity distributors also advocated using different averaging periods to calculate the return on debt by proposing an immediate transition to the trailing average.</w:t>
      </w:r>
      <w:r w:rsidRPr="00986B6E">
        <w:rPr>
          <w:rStyle w:val="FootnoteReference"/>
        </w:rPr>
        <w:footnoteReference w:id="1232"/>
      </w:r>
    </w:p>
    <w:p w:rsidR="00E6234D" w:rsidRPr="00986B6E" w:rsidRDefault="00E6234D" w:rsidP="00E6234D">
      <w:pPr>
        <w:pStyle w:val="AERbulletlistfirststyle"/>
      </w:pPr>
      <w:r w:rsidRPr="00986B6E">
        <w:t>We have had decisions taken to the Tribunal and the Federal Court of Australia over the averaging period.</w:t>
      </w:r>
      <w:r w:rsidRPr="00986B6E">
        <w:rPr>
          <w:rStyle w:val="FootnoteReference"/>
        </w:rPr>
        <w:footnoteReference w:id="1233"/>
      </w:r>
    </w:p>
    <w:p w:rsidR="00E6234D" w:rsidRPr="00986B6E" w:rsidRDefault="00E6234D" w:rsidP="00E6234D">
      <w:pPr>
        <w:pStyle w:val="AERbulletlistfirststyle"/>
      </w:pPr>
      <w:r w:rsidRPr="00986B6E">
        <w:t>The averaging period has been a contentious issue in a number of previous determination processes.</w:t>
      </w:r>
      <w:r w:rsidRPr="00986B6E">
        <w:rPr>
          <w:rStyle w:val="FootnoteReference"/>
        </w:rPr>
        <w:footnoteReference w:id="1234"/>
      </w:r>
      <w:r w:rsidRPr="00986B6E">
        <w:t xml:space="preserve"> </w:t>
      </w:r>
    </w:p>
    <w:p w:rsidR="00E6234D" w:rsidRPr="0023546E" w:rsidRDefault="00E6234D" w:rsidP="00E6234D">
      <w:r w:rsidRPr="00986B6E">
        <w:t xml:space="preserve">Further, </w:t>
      </w:r>
      <w:r w:rsidRPr="0023546E">
        <w:t>the addition of an extra process each year to nominate averaging periods would add further complexity and costs to the administration of regulation. We consider:</w:t>
      </w:r>
    </w:p>
    <w:p w:rsidR="00E6234D" w:rsidRDefault="00E6234D" w:rsidP="00E6234D">
      <w:pPr>
        <w:pStyle w:val="AERbulletlistfirststyle"/>
      </w:pPr>
      <w:r>
        <w:t>T</w:t>
      </w:r>
      <w:r w:rsidRPr="00897ABE">
        <w:t xml:space="preserve">he service </w:t>
      </w:r>
      <w:r w:rsidR="00F66F0B" w:rsidRPr="00897ABE">
        <w:t>providers'</w:t>
      </w:r>
      <w:r w:rsidRPr="00897ABE">
        <w:t xml:space="preserve"> proposal</w:t>
      </w:r>
      <w:r w:rsidR="00860C28">
        <w:t>s</w:t>
      </w:r>
      <w:r w:rsidRPr="00897ABE">
        <w:t xml:space="preserve"> to annually nominate averaging periods could complicate the regulatory process. We are concerned that complicating the regulatory regime further could make the trailing average approach impractical to implement. We note that the trailing average approach originated with the UK regulator, Ofgem. Our understanding of Ofgem's approach is that it does not provide service providers with the flexibility to choose their own averaging periods. Instead, it appears that Ofgem uses a continuous data series to implement the trailing average approach.  Accordingly, the service providers' proposed implementation of the trailing average is more complex than our approach and considerably more complex than Ofgem's approach. We are not aware of any economic regulator that adopts a return on debt methodology as complex as what the service providers have proposed.</w:t>
      </w:r>
    </w:p>
    <w:p w:rsidR="00E6234D" w:rsidRPr="00986B6E" w:rsidRDefault="00E6234D" w:rsidP="00E6234D">
      <w:pPr>
        <w:pStyle w:val="AERbulletlistfirststyle"/>
      </w:pPr>
      <w:r w:rsidRPr="00986B6E">
        <w:t xml:space="preserve">This complexity is amplified by </w:t>
      </w:r>
      <w:r>
        <w:t xml:space="preserve">potential </w:t>
      </w:r>
      <w:r w:rsidRPr="00986B6E">
        <w:t xml:space="preserve">differences between the annual processes </w:t>
      </w:r>
      <w:r>
        <w:t xml:space="preserve">that could be </w:t>
      </w:r>
      <w:r w:rsidRPr="00986B6E">
        <w:t>proposed by different service providers. For example</w:t>
      </w:r>
      <w:r>
        <w:t xml:space="preserve">, </w:t>
      </w:r>
      <w:r w:rsidRPr="00986B6E">
        <w:t>JEN's annual process requires nomination of an averaging period for regulatory year t at least 50 business days before the commencement of regulatory year t–1</w:t>
      </w:r>
      <w:r>
        <w:t>. However,</w:t>
      </w:r>
      <w:r w:rsidRPr="00986B6E">
        <w:t xml:space="preserve"> ActewAGL requires nomination by 30 April of regulatory year t–2.</w:t>
      </w:r>
      <w:r w:rsidRPr="00986B6E">
        <w:rPr>
          <w:rStyle w:val="FootnoteReference"/>
        </w:rPr>
        <w:footnoteReference w:id="1235"/>
      </w:r>
    </w:p>
    <w:p w:rsidR="00E6234D" w:rsidRPr="00986B6E" w:rsidRDefault="00E6234D" w:rsidP="00E6234D">
      <w:r w:rsidRPr="00986B6E">
        <w:t xml:space="preserve">We may accept increased complexity where the benefits clearly outweigh the costs. For example, in the Guideline, we adopted annual updating to the return on debt and provided more flexibility over the averaging </w:t>
      </w:r>
      <w:proofErr w:type="gramStart"/>
      <w:r w:rsidRPr="00986B6E">
        <w:t>periods</w:t>
      </w:r>
      <w:proofErr w:type="gramEnd"/>
      <w:r w:rsidRPr="00986B6E">
        <w:t xml:space="preserve"> service providers could nominate (up to 12 months). While we recognised this would increase costs associated with complexity and the administration of regulation, we also considered the benefits would outweigh the costs.</w:t>
      </w:r>
      <w:r w:rsidRPr="00986B6E">
        <w:rPr>
          <w:rStyle w:val="FootnoteReference"/>
        </w:rPr>
        <w:footnoteReference w:id="1236"/>
      </w:r>
      <w:r w:rsidRPr="00986B6E">
        <w:t xml:space="preserve"> In contrast, based on the reasons provided by the service providers</w:t>
      </w:r>
      <w:r>
        <w:t xml:space="preserve"> in the original and revised proposals</w:t>
      </w:r>
      <w:r w:rsidRPr="00986B6E">
        <w:t>, we are not satisfied that there are benefits which outweigh the additional complexity resulting from the service providers' proposals</w:t>
      </w:r>
      <w:r>
        <w:t xml:space="preserve"> and revised proposals</w:t>
      </w:r>
      <w:r w:rsidRPr="00986B6E">
        <w:t>.</w:t>
      </w:r>
    </w:p>
    <w:p w:rsidR="00E6234D" w:rsidRPr="00986B6E" w:rsidRDefault="00E6234D" w:rsidP="00E6234D">
      <w:r>
        <w:t xml:space="preserve">JEN and ActewAGL </w:t>
      </w:r>
      <w:r w:rsidRPr="00986B6E">
        <w:t xml:space="preserve">considered their approach was not overly complex and reduced risk. </w:t>
      </w:r>
      <w:r>
        <w:t>They</w:t>
      </w:r>
      <w:r w:rsidRPr="00986B6E">
        <w:t xml:space="preserve"> submitted that there is significant uncertainty around future spending and when refinancing will need to occur over the next regulatory period. They submitted that a benchmark efficient entity can better match its cash needs with funding if it can nominate the averaging period closer to when it raises or refinances debt because it can more accurately forecast its liquidity position.</w:t>
      </w:r>
      <w:r w:rsidRPr="00986B6E">
        <w:rPr>
          <w:rStyle w:val="FootnoteReference"/>
        </w:rPr>
        <w:footnoteReference w:id="1237"/>
      </w:r>
      <w:r w:rsidRPr="00986B6E">
        <w:t xml:space="preserve"> We consider the risks discussed in the service providers' </w:t>
      </w:r>
      <w:r>
        <w:t xml:space="preserve">initial and revised </w:t>
      </w:r>
      <w:r w:rsidRPr="00986B6E">
        <w:t>proposals have been overstated. We are not satisfied that nominating averaging periods before the regulatory period commences creates significant risk</w:t>
      </w:r>
      <w:r>
        <w:t xml:space="preserve"> or leads to a return on debt estimate that does not satisfy the ARORO</w:t>
      </w:r>
      <w:r w:rsidRPr="00986B6E">
        <w:t>. This is because:</w:t>
      </w:r>
    </w:p>
    <w:p w:rsidR="00E6234D" w:rsidRDefault="00E6234D" w:rsidP="00E6234D">
      <w:pPr>
        <w:pStyle w:val="AERbulletlistfirststyle"/>
      </w:pPr>
      <w:r>
        <w:t xml:space="preserve">Our objective in setting the allowed return on debt is to contribute to the achievement of the ARORO. As set out in sections </w:t>
      </w:r>
      <w:r>
        <w:fldChar w:fldCharType="begin"/>
      </w:r>
      <w:r>
        <w:instrText xml:space="preserve"> REF _Ref451543801 \r \h </w:instrText>
      </w:r>
      <w:r>
        <w:fldChar w:fldCharType="separate"/>
      </w:r>
      <w:r w:rsidR="003F1AAB">
        <w:t>3.3.3</w:t>
      </w:r>
      <w:r>
        <w:fldChar w:fldCharType="end"/>
      </w:r>
      <w:r>
        <w:t xml:space="preserve"> and </w:t>
      </w:r>
      <w:r>
        <w:fldChar w:fldCharType="begin"/>
      </w:r>
      <w:r>
        <w:instrText xml:space="preserve"> REF _Ref444778432 \r \h </w:instrText>
      </w:r>
      <w:r>
        <w:fldChar w:fldCharType="separate"/>
      </w:r>
      <w:r w:rsidR="003F1AAB">
        <w:t>H.6</w:t>
      </w:r>
      <w:r>
        <w:fldChar w:fldCharType="end"/>
      </w:r>
      <w:r>
        <w:t xml:space="preserve">, we consider this requires us to set an allowed return on debt that provides ex-ante compensation for a benchmark efficient entity's efficient debt financing costs. We have regard to the desirability of reducing any mismatch between the return on debt allowance and a benchmark efficient entity's actual debt cost outcomes (or cash outflows). However, </w:t>
      </w:r>
      <w:r w:rsidRPr="00C53ACF">
        <w:t>some mismatch between the actual debt costs and the regulated debt allowance is an intrinsic part of incentive regulation―whether the allowance is set using a trailing average approach or otherwise.</w:t>
      </w:r>
      <w:r>
        <w:t xml:space="preserve"> </w:t>
      </w:r>
      <w:r w:rsidRPr="00986B6E">
        <w:t xml:space="preserve">The regulatory regime is not meant to remove all risk from service providers. This is why we provide an allowance for systematic risks (including but not limited to interest rate risk) through the allowed return on equity. Our regulatory approach enables service providers to match their cash inflows and outflows </w:t>
      </w:r>
      <w:proofErr w:type="gramStart"/>
      <w:r w:rsidRPr="00986B6E">
        <w:t>better</w:t>
      </w:r>
      <w:proofErr w:type="gramEnd"/>
      <w:r w:rsidRPr="00986B6E">
        <w:t xml:space="preserve"> than most businesses in the economy</w:t>
      </w:r>
      <w:r>
        <w:t>,</w:t>
      </w:r>
      <w:r w:rsidRPr="00986B6E">
        <w:t xml:space="preserve"> </w:t>
      </w:r>
      <w:r>
        <w:t>and t</w:t>
      </w:r>
      <w:r w:rsidRPr="00986B6E">
        <w:t>his position is supported by Chairmont.</w:t>
      </w:r>
      <w:r w:rsidRPr="00986B6E">
        <w:rPr>
          <w:rStyle w:val="FootnoteReference"/>
        </w:rPr>
        <w:footnoteReference w:id="1238"/>
      </w:r>
      <w:r w:rsidRPr="00986B6E">
        <w:t xml:space="preserve"> </w:t>
      </w:r>
      <w:r w:rsidRPr="003E2D23">
        <w:t xml:space="preserve">Overall, to the extent there is </w:t>
      </w:r>
      <w:r>
        <w:t xml:space="preserve">compensable </w:t>
      </w:r>
      <w:r w:rsidRPr="003E2D23">
        <w:t xml:space="preserve">risk from a mismatch, we consider it is appropriately compensated </w:t>
      </w:r>
      <w:r>
        <w:t>for ex-ante in</w:t>
      </w:r>
      <w:r w:rsidRPr="003E2D23">
        <w:t xml:space="preserve"> our allowed rate of </w:t>
      </w:r>
      <w:r>
        <w:t xml:space="preserve">return, which we consider </w:t>
      </w:r>
      <w:r w:rsidRPr="003E2D23">
        <w:t xml:space="preserve">will </w:t>
      </w:r>
      <w:r>
        <w:t>achieve</w:t>
      </w:r>
      <w:r w:rsidRPr="003E2D23">
        <w:t xml:space="preserve"> the ARORO.</w:t>
      </w:r>
    </w:p>
    <w:p w:rsidR="00E6234D" w:rsidRPr="00986B6E" w:rsidRDefault="00E6234D" w:rsidP="00E6234D">
      <w:pPr>
        <w:pStyle w:val="AERbulletlistfirststyle"/>
      </w:pPr>
      <w:r w:rsidRPr="00986B6E">
        <w:t xml:space="preserve">Under the trailing average approach, </w:t>
      </w:r>
      <w:r>
        <w:t>we reset</w:t>
      </w:r>
      <w:r w:rsidRPr="00487D60">
        <w:t xml:space="preserve"> one tenth of the return on debt </w:t>
      </w:r>
      <w:r>
        <w:t xml:space="preserve">each year </w:t>
      </w:r>
      <w:r w:rsidRPr="00487D60">
        <w:t xml:space="preserve">to reflect </w:t>
      </w:r>
      <w:r>
        <w:t xml:space="preserve">prevailing </w:t>
      </w:r>
      <w:r w:rsidRPr="00487D60">
        <w:t xml:space="preserve">market </w:t>
      </w:r>
      <w:r>
        <w:t>rates</w:t>
      </w:r>
      <w:r w:rsidRPr="00986B6E">
        <w:t xml:space="preserve">. </w:t>
      </w:r>
      <w:r>
        <w:t xml:space="preserve">We consider </w:t>
      </w:r>
      <w:r w:rsidRPr="00986B6E">
        <w:t>this</w:t>
      </w:r>
      <w:r>
        <w:t xml:space="preserve">, if </w:t>
      </w:r>
      <w:proofErr w:type="gramStart"/>
      <w:r>
        <w:t>anything,</w:t>
      </w:r>
      <w:proofErr w:type="gramEnd"/>
      <w:r>
        <w:t xml:space="preserve"> is likely to</w:t>
      </w:r>
      <w:r w:rsidRPr="00986B6E">
        <w:t xml:space="preserve"> reduce risk </w:t>
      </w:r>
      <w:r>
        <w:t>relative to the on-the-day approach (</w:t>
      </w:r>
      <w:r w:rsidRPr="00986B6E">
        <w:t xml:space="preserve">for </w:t>
      </w:r>
      <w:r>
        <w:t>a</w:t>
      </w:r>
      <w:r w:rsidRPr="00986B6E">
        <w:t xml:space="preserve"> benchmark efficient entity</w:t>
      </w:r>
      <w:r>
        <w:t>).</w:t>
      </w:r>
      <w:r w:rsidRPr="00986B6E">
        <w:t xml:space="preserve"> This is because</w:t>
      </w:r>
      <w:r>
        <w:t>, relative to the on-the-day approach,</w:t>
      </w:r>
      <w:r w:rsidRPr="00986B6E">
        <w:t xml:space="preserve"> </w:t>
      </w:r>
      <w:r>
        <w:t xml:space="preserve">the trailing average approach is likely to reduce </w:t>
      </w:r>
      <w:r w:rsidRPr="00842C0D">
        <w:t xml:space="preserve">any mismatch between </w:t>
      </w:r>
      <w:r>
        <w:t xml:space="preserve">a benchmark efficient entity's </w:t>
      </w:r>
      <w:r w:rsidRPr="00842C0D">
        <w:t xml:space="preserve">actual </w:t>
      </w:r>
      <w:r>
        <w:t xml:space="preserve">debt </w:t>
      </w:r>
      <w:r w:rsidRPr="00842C0D">
        <w:t xml:space="preserve">costs and </w:t>
      </w:r>
      <w:r>
        <w:t>the allowed return on debt. Therefore,</w:t>
      </w:r>
      <w:r w:rsidRPr="00986B6E">
        <w:t xml:space="preserve"> the timing of the averaging period and the timing that </w:t>
      </w:r>
      <w:r>
        <w:t>a</w:t>
      </w:r>
      <w:r w:rsidRPr="00986B6E">
        <w:t xml:space="preserve"> benchmark efficient entity </w:t>
      </w:r>
      <w:r>
        <w:t xml:space="preserve">may </w:t>
      </w:r>
      <w:r w:rsidRPr="00986B6E">
        <w:t>raise debt is</w:t>
      </w:r>
      <w:r>
        <w:t xml:space="preserve"> likely to be</w:t>
      </w:r>
      <w:r w:rsidRPr="00986B6E">
        <w:t xml:space="preserve"> more closely aligned. </w:t>
      </w:r>
    </w:p>
    <w:p w:rsidR="00E6234D" w:rsidRPr="00986B6E" w:rsidRDefault="00E6234D" w:rsidP="00E6234D">
      <w:pPr>
        <w:pStyle w:val="AERbulletlistfirststyle"/>
      </w:pPr>
      <w:r w:rsidRPr="00986B6E">
        <w:t>We allow service providers to nominate annual averaging periods up to a maximum of 12 months in length.</w:t>
      </w:r>
      <w:r w:rsidRPr="00986B6E">
        <w:rPr>
          <w:rStyle w:val="FootnoteReference"/>
        </w:rPr>
        <w:footnoteReference w:id="1239"/>
      </w:r>
      <w:r w:rsidRPr="00986B6E">
        <w:t xml:space="preserve"> Given this, if service providers chose to, they could create the situation where they could issue debt whenever they wanted and have this fall inside their nominated averaging period.</w:t>
      </w:r>
      <w:r w:rsidRPr="00986B6E">
        <w:rPr>
          <w:rStyle w:val="FootnoteReference"/>
        </w:rPr>
        <w:footnoteReference w:id="1240"/>
      </w:r>
      <w:r w:rsidRPr="00986B6E">
        <w:t xml:space="preserve"> </w:t>
      </w:r>
    </w:p>
    <w:p w:rsidR="00E6234D" w:rsidRPr="0023546E" w:rsidRDefault="00E6234D" w:rsidP="00E6234D">
      <w:pPr>
        <w:pStyle w:val="AERbulletlistfirststyle"/>
      </w:pPr>
      <w:r w:rsidRPr="00986B6E">
        <w:t>Most service providers currently under review have nominated averaging periods for all regulatory years in their proposals. We do not consider this is consistent with the other service providers' submissions that nominating averaging periods before the regulatory period commences creates significant risk.</w:t>
      </w:r>
    </w:p>
    <w:p w:rsidR="00E6234D" w:rsidRPr="0023546E" w:rsidRDefault="00E6234D" w:rsidP="00E6234D">
      <w:pPr>
        <w:pStyle w:val="HeadingBoldBlue"/>
      </w:pPr>
      <w:r w:rsidRPr="00D34FDC">
        <w:t>Separate averaging periods for the DRP and base rate</w:t>
      </w:r>
    </w:p>
    <w:p w:rsidR="00E6234D" w:rsidRDefault="00E6234D" w:rsidP="00E6234D">
      <w:r>
        <w:t>Australian Gas Networks (AGN)</w:t>
      </w:r>
      <w:r w:rsidRPr="00256226">
        <w:t xml:space="preserve"> proposed</w:t>
      </w:r>
      <w:r>
        <w:t>, in its initial and revised proposal,</w:t>
      </w:r>
      <w:r w:rsidRPr="00256226">
        <w:t xml:space="preserve"> </w:t>
      </w:r>
      <w:r w:rsidRPr="002605D5">
        <w:t>separate averaging periods for the base rate and DRP components of the return on debt</w:t>
      </w:r>
      <w:r>
        <w:t>.</w:t>
      </w:r>
      <w:r>
        <w:rPr>
          <w:rStyle w:val="FootnoteReference"/>
        </w:rPr>
        <w:footnoteReference w:id="1241"/>
      </w:r>
      <w:r>
        <w:t xml:space="preserve"> To support its position, it submitted two reports by CEG, one in 2015 with its initial proposal, and one in 2016 with its revised proposal.</w:t>
      </w:r>
      <w:r>
        <w:rPr>
          <w:rStyle w:val="FootnoteReference"/>
        </w:rPr>
        <w:footnoteReference w:id="1242"/>
      </w:r>
      <w:r>
        <w:t xml:space="preserve"> AGN was the only service provider to propose this approach. </w:t>
      </w:r>
    </w:p>
    <w:p w:rsidR="00E6234D" w:rsidRDefault="00E6234D" w:rsidP="00E6234D">
      <w:r>
        <w:t xml:space="preserve">AGN (and CEG) considered that this </w:t>
      </w:r>
      <w:r w:rsidRPr="009A6B2B">
        <w:t>reduces the risk of mismatch between the efficient financing costs of a benchmark efficient entity and the allowed return on debt</w:t>
      </w:r>
      <w:r>
        <w:t>.</w:t>
      </w:r>
      <w:r>
        <w:rPr>
          <w:rStyle w:val="FootnoteReference"/>
        </w:rPr>
        <w:footnoteReference w:id="1243"/>
      </w:r>
      <w:r>
        <w:t xml:space="preserve"> AGN (and CEG) submitted that using a longer averaging period for the DRP and a shorter averaging period for the base rate is consistent with an efficient debt management strategy where:</w:t>
      </w:r>
    </w:p>
    <w:p w:rsidR="00E6234D" w:rsidRDefault="00E6234D" w:rsidP="00E6234D">
      <w:pPr>
        <w:pStyle w:val="AERbulletlistfirststyle"/>
      </w:pPr>
      <w:r>
        <w:t>debt issuance cannot be easily managed to short windows each year</w:t>
      </w:r>
    </w:p>
    <w:p w:rsidR="00E6234D" w:rsidRDefault="00E6234D" w:rsidP="00E6234D">
      <w:pPr>
        <w:pStyle w:val="AERbulletlistfirststyle"/>
      </w:pPr>
      <w:proofErr w:type="gramStart"/>
      <w:r>
        <w:t>swap</w:t>
      </w:r>
      <w:proofErr w:type="gramEnd"/>
      <w:r>
        <w:t xml:space="preserve"> contracts, being more flexible and liquid, can be used to manage base rates of interest to short windows each year.</w:t>
      </w:r>
    </w:p>
    <w:p w:rsidR="00E6234D" w:rsidRDefault="00E6234D" w:rsidP="00E6234D">
      <w:r>
        <w:t>We did not consider the possibility of separating debt averaging periods in the Guideline. Our decision is that debt averaging periods should not be separated into DRP and base rate components, consistent with our draft decision for AGN.</w:t>
      </w:r>
      <w:r>
        <w:rPr>
          <w:rStyle w:val="FootnoteReference"/>
        </w:rPr>
        <w:footnoteReference w:id="1244"/>
      </w:r>
      <w:r>
        <w:t xml:space="preserve"> We have considered AGN's revised proposal and CEG's latest report, and maintain our position. We consider:</w:t>
      </w:r>
    </w:p>
    <w:p w:rsidR="00E6234D" w:rsidRPr="0023546E" w:rsidRDefault="00E6234D" w:rsidP="00E6234D">
      <w:pPr>
        <w:pStyle w:val="AERbulletlistfirststyle"/>
      </w:pPr>
      <w:r>
        <w:t>As set out under 'Annual process for nominating debt averaging periods' above, o</w:t>
      </w:r>
      <w:r w:rsidRPr="0023546E">
        <w:t>ur objective in setting the allowed return on debt is to satisfy the ARORO. We do not consider the ARORO requires us to set a return on debt that precisely matches the debt cash outflows from a particular debt financing strategy.</w:t>
      </w:r>
      <w:r w:rsidRPr="0023546E">
        <w:rPr>
          <w:rStyle w:val="FootnoteReference"/>
        </w:rPr>
        <w:footnoteReference w:id="1245"/>
      </w:r>
      <w:r w:rsidRPr="0023546E">
        <w:t xml:space="preserve"> We also do not consider it is possible or desirable to define a benchmark efficient financing strategy to the level of detail in AGN's proposals. Partington and Satchell recommended against interpreting efficient debt financing costs as the debt costs that result from an assumed financing strategy (including particular hedging arrangements). In particular, they consider what constitutes benchmark efficient financing practices is ambiguous and differs across firms depending on their objectives and circumstances.</w:t>
      </w:r>
      <w:r w:rsidRPr="0023546E">
        <w:rPr>
          <w:rStyle w:val="FootnoteReference"/>
        </w:rPr>
        <w:footnoteReference w:id="1246"/>
      </w:r>
    </w:p>
    <w:p w:rsidR="00E6234D" w:rsidRPr="0023546E" w:rsidRDefault="00E6234D" w:rsidP="00E6234D">
      <w:pPr>
        <w:pStyle w:val="AERbulletlistfirststyle"/>
      </w:pPr>
      <w:r>
        <w:t>As set out under 'Annual process</w:t>
      </w:r>
      <w:r w:rsidRPr="0023546E">
        <w:t xml:space="preserve"> for nominating debt averaging periods' above, we have regard to the desirability of reducing any mismatch between the return on debt allowance and a benchmark efficient entity's actual debt cost outcomes (or cash outflows).</w:t>
      </w:r>
      <w:r w:rsidRPr="0023546E">
        <w:rPr>
          <w:rStyle w:val="FootnoteReference"/>
        </w:rPr>
        <w:footnoteReference w:id="1247"/>
      </w:r>
      <w:r w:rsidRPr="0023546E">
        <w:t xml:space="preserve"> However, we consider the regulatory regime is not meant to remove all risk from service providers. We also consider our allowed return on debt contributes to the achievement of the ARORO.</w:t>
      </w:r>
    </w:p>
    <w:p w:rsidR="00E6234D" w:rsidRPr="0023546E" w:rsidRDefault="00E6234D" w:rsidP="00E6234D">
      <w:pPr>
        <w:pStyle w:val="AERbulletlistfirststyle"/>
      </w:pPr>
      <w:r>
        <w:t xml:space="preserve">AGN (or CEG) has </w:t>
      </w:r>
      <w:r w:rsidRPr="0023546E">
        <w:t>not demonstrated its proposed approach leads to a materially preferable outcome, particularly given our approach allows it to nominate a single averaging period up to 12 months in length.</w:t>
      </w:r>
      <w:r w:rsidRPr="0023546E">
        <w:rPr>
          <w:rStyle w:val="FootnoteReference"/>
        </w:rPr>
        <w:footnoteReference w:id="1248"/>
      </w:r>
      <w:r w:rsidRPr="0023546E">
        <w:t xml:space="preserve"> We consider if service providers prefer to reduce the volatility in their DRP compensation, they can do so by nominating a single long averaging period.  </w:t>
      </w:r>
    </w:p>
    <w:p w:rsidR="00E6234D" w:rsidRPr="0023546E" w:rsidRDefault="00E6234D" w:rsidP="00E6234D">
      <w:pPr>
        <w:pStyle w:val="AERbulletlistfirststyle"/>
      </w:pPr>
      <w:r>
        <w:t>AGN's proposed</w:t>
      </w:r>
      <w:r w:rsidRPr="0023546E">
        <w:t xml:space="preserve"> approach adds further complexity and costs to the administration of regulation. We are not satisfied that AGN has identified there are benefits which outweigh the additional complexity resulting from this approach. We maintain this view after consideration of CEG's (and AGN's) submission that AGN's proposal is not complex.</w:t>
      </w:r>
      <w:r w:rsidRPr="0023546E">
        <w:rPr>
          <w:rStyle w:val="FootnoteReference"/>
        </w:rPr>
        <w:footnoteReference w:id="1249"/>
      </w:r>
      <w:r w:rsidRPr="0023546E">
        <w:t xml:space="preserve"> We consider AGN's proposed approach adds unjustified complexity to the return on debt process, regardless of the computational intensity associated with implementing it. We are satisfied that using a single averaging period (that is consistent with the Guideline conditions) to estimate the return on debt each year satisfies the rules. This contributes to the achievement of the allowed rate of return objective. </w:t>
      </w:r>
    </w:p>
    <w:p w:rsidR="00E6234D" w:rsidRPr="0023546E" w:rsidRDefault="00E6234D" w:rsidP="00E6234D">
      <w:pPr>
        <w:pStyle w:val="AERbulletlistfirststyle"/>
      </w:pPr>
      <w:r w:rsidRPr="00CD2EDB">
        <w:t xml:space="preserve">AGN's </w:t>
      </w:r>
      <w:r w:rsidRPr="0023546E">
        <w:t>proposed approach has similarities with other service providers' proposals to adopt an annual process for nominating averaging periods. Namely, we consider it increases complexity and overstates the risks in our approach.  Therefore, similar reasoning applies to AGN's proposal as that outlined under 'Annual process for nominating debt averaging periods' above. We are satisfied that our approach, which includes the nomination of single averaging periods, provides an appropriate balance between flexibility and certainty.</w:t>
      </w:r>
    </w:p>
    <w:p w:rsidR="00E6234D" w:rsidRPr="0023546E" w:rsidRDefault="00E6234D" w:rsidP="00E6234D">
      <w:pPr>
        <w:pStyle w:val="AERbulletlistfirststyle"/>
      </w:pPr>
      <w:r>
        <w:t>We discussed CEG's submission that the prevailing DRP and base rates of interest are inversely correlated in appendix G of our draft decision for AGN.</w:t>
      </w:r>
      <w:r>
        <w:rPr>
          <w:rStyle w:val="FootnoteReference"/>
        </w:rPr>
        <w:footnoteReference w:id="1250"/>
      </w:r>
      <w:r>
        <w:t xml:space="preserve"> Given AGN (or CEG) has not responded to this point and we do not base our return on debt on a particular financing strategy, we do not reproduce this material in this decision.</w:t>
      </w:r>
    </w:p>
    <w:p w:rsidR="00E6234D" w:rsidRPr="0023546E" w:rsidRDefault="00E6234D" w:rsidP="00E6234D">
      <w:pPr>
        <w:pStyle w:val="HeadingBoldBlue"/>
      </w:pPr>
      <w:r w:rsidRPr="00D34FDC">
        <w:t>Guideline condition—as close as practically possible to the commencement of each regulatory year</w:t>
      </w:r>
    </w:p>
    <w:p w:rsidR="00A96DB2" w:rsidRDefault="00BF1E98" w:rsidP="00E6234D">
      <w:r>
        <w:t xml:space="preserve">In its revenue proposal, AusNet Services </w:t>
      </w:r>
      <w:r w:rsidRPr="00986B6E">
        <w:t>proposed to depart from the Guideline in relation to nominating averaging periods that are as close as practical to the commencement of each regulatory year in a regulatory period (the 'Guideline condition').</w:t>
      </w:r>
      <w:r w:rsidRPr="00986B6E">
        <w:rPr>
          <w:rStyle w:val="FootnoteReference"/>
        </w:rPr>
        <w:footnoteReference w:id="1251"/>
      </w:r>
      <w:r>
        <w:t xml:space="preserve"> </w:t>
      </w:r>
      <w:r w:rsidRPr="00986B6E">
        <w:t xml:space="preserve">Instead, AusNet </w:t>
      </w:r>
      <w:r>
        <w:t xml:space="preserve">Services </w:t>
      </w:r>
      <w:r w:rsidRPr="00986B6E">
        <w:t xml:space="preserve">proposed to nominate averaging periods in the early, middle or late part of each relevant year. </w:t>
      </w:r>
      <w:r>
        <w:t xml:space="preserve">AusNet Services Distribution </w:t>
      </w:r>
      <w:r w:rsidR="00A96DB2">
        <w:t>took this</w:t>
      </w:r>
      <w:r>
        <w:t xml:space="preserve"> position </w:t>
      </w:r>
      <w:r w:rsidR="00E8585F">
        <w:t>as</w:t>
      </w:r>
      <w:r>
        <w:t xml:space="preserve"> well in its proposal and </w:t>
      </w:r>
      <w:r w:rsidR="00E8585F">
        <w:t>revised</w:t>
      </w:r>
      <w:r>
        <w:t xml:space="preserve"> proposal.</w:t>
      </w:r>
      <w:r w:rsidR="00A96DB2" w:rsidRPr="00A96DB2">
        <w:rPr>
          <w:rStyle w:val="FootnoteReference"/>
        </w:rPr>
        <w:t xml:space="preserve"> </w:t>
      </w:r>
      <w:r w:rsidR="00A96DB2" w:rsidRPr="00986B6E">
        <w:rPr>
          <w:rStyle w:val="FootnoteReference"/>
        </w:rPr>
        <w:footnoteReference w:id="1252"/>
      </w:r>
      <w:r w:rsidR="00A96DB2" w:rsidRPr="00986B6E">
        <w:t xml:space="preserve"> </w:t>
      </w:r>
    </w:p>
    <w:p w:rsidR="00E6234D" w:rsidRPr="00986B6E" w:rsidRDefault="00E6234D" w:rsidP="00E6234D">
      <w:r w:rsidRPr="00986B6E">
        <w:t xml:space="preserve">The service providers who </w:t>
      </w:r>
      <w:r>
        <w:t xml:space="preserve">originally </w:t>
      </w:r>
      <w:r w:rsidRPr="00986B6E">
        <w:t xml:space="preserve">proposed an annual process to nominating their averaging periods also implicitly departed from this Guideline condition. </w:t>
      </w:r>
      <w:r>
        <w:t xml:space="preserve">JEN and ActewAGL continue to implicitly depart from this Guideline condition in their revised proposals. </w:t>
      </w:r>
      <w:r w:rsidRPr="00986B6E">
        <w:t xml:space="preserve">This is because </w:t>
      </w:r>
      <w:r>
        <w:t>all of these proposals</w:t>
      </w:r>
      <w:r w:rsidRPr="00986B6E">
        <w:t xml:space="preserve"> specif</w:t>
      </w:r>
      <w:r>
        <w:t>ied</w:t>
      </w:r>
      <w:r w:rsidRPr="00986B6E">
        <w:t xml:space="preserve"> a timeframe (of up to 12 months) within which they can nominate an averaging period for each regulatory year t.</w:t>
      </w:r>
      <w:r w:rsidRPr="00986B6E">
        <w:rPr>
          <w:rStyle w:val="FootnoteReference"/>
        </w:rPr>
        <w:footnoteReference w:id="1253"/>
      </w:r>
      <w:r w:rsidRPr="00986B6E">
        <w:t xml:space="preserve"> While these timeframes end close to the commencement of each regulatory year t, there are no conditions in the process which specify that the nominated averaging periods must fall at the end of the timeframe.</w:t>
      </w:r>
      <w:r>
        <w:t xml:space="preserve"> </w:t>
      </w:r>
    </w:p>
    <w:p w:rsidR="00E6234D" w:rsidRPr="00986B6E" w:rsidRDefault="00E6234D" w:rsidP="00E6234D">
      <w:r>
        <w:t>In this decision w</w:t>
      </w:r>
      <w:r w:rsidRPr="00986B6E">
        <w:t>e have assessed AusNet</w:t>
      </w:r>
      <w:r w:rsidR="00F66F0B">
        <w:t xml:space="preserve"> Services</w:t>
      </w:r>
      <w:r w:rsidR="00F66F0B" w:rsidRPr="00986B6E">
        <w:t>'</w:t>
      </w:r>
      <w:r w:rsidRPr="00986B6E">
        <w:t xml:space="preserve"> </w:t>
      </w:r>
      <w:r w:rsidR="00F66F0B">
        <w:t>submission</w:t>
      </w:r>
      <w:r w:rsidR="00F66F0B" w:rsidRPr="00986B6E">
        <w:t xml:space="preserve"> </w:t>
      </w:r>
      <w:r w:rsidRPr="00986B6E">
        <w:t xml:space="preserve">and accept this departure from the Guideline condition. </w:t>
      </w:r>
      <w:r>
        <w:t xml:space="preserve">We also accept the other service providers' departure from this Guideline condition. </w:t>
      </w:r>
      <w:r w:rsidRPr="00986B6E">
        <w:t>We consider allowing averaging periods to occur anytime within a reasonable timeframe (of 12 months) is consistent with a return on debt averaging period that satisfies the rules. This contributes to the achievement of the allowed rate of return objective. Our decision is based on the following reasoning:</w:t>
      </w:r>
    </w:p>
    <w:p w:rsidR="00E6234D" w:rsidRPr="00986B6E" w:rsidRDefault="00E6234D" w:rsidP="00E6234D">
      <w:pPr>
        <w:pStyle w:val="AERbulletlistfirststyle"/>
      </w:pPr>
      <w:r w:rsidRPr="00986B6E">
        <w:t>The Guideline approach to estimating the return on debt is significantly different to the previous approach under the old rules. Under the old rules (on-the-day approach), the return on debt was estimated once for the entire regulatory period. Therefore, the return on debt of a service provider was estimated as the prevailing return on debt as close as possible to the start of the regulatory period.</w:t>
      </w:r>
      <w:r w:rsidRPr="00986B6E">
        <w:rPr>
          <w:rStyle w:val="FootnoteReference"/>
        </w:rPr>
        <w:footnoteReference w:id="1254"/>
      </w:r>
      <w:r w:rsidRPr="00986B6E">
        <w:t xml:space="preserve"> The same averaging periods was also used for both return on equity and return on debt. Under this approach, </w:t>
      </w:r>
      <w:r>
        <w:t>the</w:t>
      </w:r>
      <w:r w:rsidRPr="00986B6E">
        <w:t xml:space="preserve"> averaging period </w:t>
      </w:r>
      <w:r>
        <w:t xml:space="preserve">should </w:t>
      </w:r>
      <w:r w:rsidRPr="00986B6E">
        <w:t>to be as close as practically possible to the commencement of the regulatory period. We continue to hold this position for the return on equity averaging period. However, under the new rules we have proposed and adopted a trailing average approach with annual updates.</w:t>
      </w:r>
      <w:r w:rsidRPr="00986B6E">
        <w:rPr>
          <w:rStyle w:val="FootnoteReference"/>
        </w:rPr>
        <w:footnoteReference w:id="1255"/>
      </w:r>
      <w:r w:rsidRPr="00986B6E">
        <w:t xml:space="preserve"> This estimates the return on debt as a weighted average of the total return on debt over a period (10 years) spanning up to the start of the regulatory period (or regulatory year).</w:t>
      </w:r>
      <w:r w:rsidRPr="00986B6E">
        <w:rPr>
          <w:rStyle w:val="FootnoteReference"/>
        </w:rPr>
        <w:footnoteReference w:id="1256"/>
      </w:r>
      <w:r w:rsidRPr="00986B6E">
        <w:t xml:space="preserve"> Under this approach, we consider it is less important for the debt averaging periods to be as close as practically possible to the commencement of each regulatory year in the regulatory period. This is because the return on debt is updated each year, and because a different (or potentially different) averaging period is now used for the return on equity and return on debt.</w:t>
      </w:r>
    </w:p>
    <w:p w:rsidR="00E6234D" w:rsidRPr="00986B6E" w:rsidRDefault="00E6234D" w:rsidP="00E6234D">
      <w:pPr>
        <w:pStyle w:val="AERbulletlistfirststyle"/>
      </w:pPr>
      <w:r w:rsidRPr="00986B6E">
        <w:t xml:space="preserve">Relaxing the Guideline condition gives service providers more flexibility in nominating averaging periods without adding significant complexity. </w:t>
      </w:r>
      <w:r>
        <w:t xml:space="preserve">In its initial proposal, </w:t>
      </w:r>
      <w:r w:rsidRPr="00986B6E">
        <w:t>AusNet submitted:</w:t>
      </w:r>
      <w:r w:rsidRPr="00986B6E">
        <w:rPr>
          <w:rStyle w:val="FootnoteReference"/>
        </w:rPr>
        <w:footnoteReference w:id="1257"/>
      </w:r>
    </w:p>
    <w:p w:rsidR="00E6234D" w:rsidRPr="00986B6E" w:rsidRDefault="00E6234D" w:rsidP="00E6234D">
      <w:pPr>
        <w:pStyle w:val="AERquote"/>
      </w:pPr>
      <w:r w:rsidRPr="00986B6E">
        <w:t>…to align actual debt practices with the trailing average approach, it is necessary to align the timing of debt issuance with the timing of the averaging periods used to estimate the regulated return on debt.</w:t>
      </w:r>
    </w:p>
    <w:p w:rsidR="00E6234D" w:rsidRDefault="00E6234D" w:rsidP="00E6234D">
      <w:pPr>
        <w:pStyle w:val="ListContinue"/>
      </w:pPr>
      <w:r w:rsidRPr="00986B6E">
        <w:t>We do not agree that our task is to align actual debt practices with the trailing average approach</w:t>
      </w:r>
      <w:r>
        <w:t>.</w:t>
      </w:r>
      <w:r w:rsidRPr="00986B6E">
        <w:t xml:space="preserve"> </w:t>
      </w:r>
      <w:r>
        <w:t>This is because</w:t>
      </w:r>
      <w:r w:rsidRPr="00986B6E">
        <w:t xml:space="preserve"> we are estimating the return on debt </w:t>
      </w:r>
      <w:r>
        <w:t>for</w:t>
      </w:r>
      <w:r w:rsidRPr="00986B6E">
        <w:t xml:space="preserve"> a benchmark efficient entity</w:t>
      </w:r>
      <w:r>
        <w:t xml:space="preserve"> and consider the ARORO requires us to set ex-ante compensation for efficient financing costs</w:t>
      </w:r>
      <w:r w:rsidRPr="00986B6E">
        <w:t>. We are aware of the rules requirement to have regard to the desirability of minimising any difference between the return on debt and the return on debt of a benchmark efficient entity</w:t>
      </w:r>
      <w:r>
        <w:t xml:space="preserve"> (although we do not consider this permits us to set a return on debt that does not satisfy the ARORO)</w:t>
      </w:r>
      <w:r w:rsidRPr="00986B6E">
        <w:t>.</w:t>
      </w:r>
      <w:r w:rsidRPr="00986B6E">
        <w:rPr>
          <w:rStyle w:val="FootnoteReference"/>
        </w:rPr>
        <w:footnoteReference w:id="1258"/>
      </w:r>
      <w:r w:rsidRPr="00986B6E">
        <w:t xml:space="preserve"> We are also aware of the service providers' proposals, which generally advocate for more flexibility in the return on debt estimation process. While we do not agree with many of the service providers' proposed methods to increase flexibility (see above), we consider this decision allows greater flexibility with very little additional complexity of process. </w:t>
      </w:r>
    </w:p>
    <w:p w:rsidR="00E6234D" w:rsidRDefault="00E6234D" w:rsidP="00E6234D">
      <w:pPr>
        <w:pStyle w:val="ListContinue"/>
      </w:pPr>
    </w:p>
    <w:p w:rsidR="00E6234D" w:rsidRDefault="00E6234D" w:rsidP="00E6234D"/>
    <w:p w:rsidR="00E6234D" w:rsidRPr="00E6234D" w:rsidRDefault="00E6234D" w:rsidP="003957BF"/>
    <w:p w:rsidR="00972CF8" w:rsidRDefault="00E42A91" w:rsidP="00972CF8">
      <w:pPr>
        <w:pStyle w:val="Heading7"/>
      </w:pPr>
      <w:bookmarkStart w:id="427" w:name="_Toc456686781"/>
      <w:r>
        <w:t>A</w:t>
      </w:r>
      <w:r w:rsidR="00972CF8">
        <w:t>nnual</w:t>
      </w:r>
      <w:r>
        <w:t>ly updating</w:t>
      </w:r>
      <w:r w:rsidR="00972CF8">
        <w:t xml:space="preserve"> the return on debt</w:t>
      </w:r>
      <w:bookmarkEnd w:id="120"/>
      <w:bookmarkEnd w:id="121"/>
      <w:bookmarkEnd w:id="122"/>
      <w:bookmarkEnd w:id="427"/>
    </w:p>
    <w:p w:rsidR="00972CF8" w:rsidRPr="00FB18DC" w:rsidRDefault="00972CF8" w:rsidP="00972CF8">
      <w:pPr>
        <w:pStyle w:val="ListParagraph"/>
        <w:numPr>
          <w:ilvl w:val="0"/>
          <w:numId w:val="25"/>
        </w:numPr>
      </w:pPr>
      <w:r w:rsidRPr="00FB18DC">
        <w:t xml:space="preserve">Our </w:t>
      </w:r>
      <w:r w:rsidR="00E42A91">
        <w:t xml:space="preserve">draft </w:t>
      </w:r>
      <w:r w:rsidRPr="00FB18DC">
        <w:t>decision on the return on debt approach is to:</w:t>
      </w:r>
    </w:p>
    <w:p w:rsidR="00972CF8" w:rsidRPr="00FB18DC" w:rsidRDefault="00972CF8" w:rsidP="00972CF8">
      <w:pPr>
        <w:pStyle w:val="AERbulletlistfirststyle"/>
      </w:pPr>
      <w:r w:rsidRPr="00FB18DC">
        <w:t xml:space="preserve">estimate the return on debt using </w:t>
      </w:r>
      <w:r w:rsidR="00E42A91">
        <w:t>the</w:t>
      </w:r>
      <w:r w:rsidRPr="00FB18DC">
        <w:t xml:space="preserve"> on-the-day </w:t>
      </w:r>
      <w:r w:rsidR="00E42A91">
        <w:t>approach</w:t>
      </w:r>
      <w:r w:rsidR="00E42A91" w:rsidRPr="00FB18DC">
        <w:t xml:space="preserve"> </w:t>
      </w:r>
      <w:r w:rsidRPr="00FB18DC">
        <w:t>(that is, based on prevailing market conditions) in the first regulatory year (201</w:t>
      </w:r>
      <w:r w:rsidR="00E42A91">
        <w:t>7</w:t>
      </w:r>
      <w:r w:rsidRPr="00FB18DC">
        <w:t>) of the 201</w:t>
      </w:r>
      <w:r w:rsidR="00E42A91">
        <w:t>7</w:t>
      </w:r>
      <w:r w:rsidRPr="00FB18DC">
        <w:t>–</w:t>
      </w:r>
      <w:r w:rsidR="00E42A91" w:rsidRPr="00FB18DC">
        <w:t>2</w:t>
      </w:r>
      <w:r w:rsidR="00E42A91">
        <w:t>2 regulatory control</w:t>
      </w:r>
      <w:r w:rsidR="00E42A91" w:rsidRPr="00FB18DC">
        <w:t xml:space="preserve"> </w:t>
      </w:r>
      <w:r w:rsidRPr="00FB18DC">
        <w:t>period, and</w:t>
      </w:r>
    </w:p>
    <w:p w:rsidR="00972CF8" w:rsidRPr="00A42A22" w:rsidRDefault="00972CF8" w:rsidP="00972CF8">
      <w:pPr>
        <w:pStyle w:val="AERbulletlistfirststyle"/>
      </w:pPr>
      <w:proofErr w:type="gramStart"/>
      <w:r w:rsidRPr="00FB18DC">
        <w:t>gradually</w:t>
      </w:r>
      <w:proofErr w:type="gramEnd"/>
      <w:r w:rsidRPr="00FB18DC">
        <w:t xml:space="preserve"> transition</w:t>
      </w:r>
      <w:r w:rsidR="00E42A91">
        <w:t>ing</w:t>
      </w:r>
      <w:r w:rsidRPr="00FB18DC">
        <w:t xml:space="preserve"> into a trailing average approach (that is, a moving historical average) over 10 years.</w:t>
      </w:r>
      <w:r w:rsidRPr="00A42A22">
        <w:rPr>
          <w:rStyle w:val="FootnoteReference"/>
        </w:rPr>
        <w:footnoteReference w:id="1259"/>
      </w:r>
    </w:p>
    <w:p w:rsidR="00972CF8" w:rsidRPr="00FB18DC" w:rsidRDefault="00972CF8" w:rsidP="00972CF8">
      <w:r w:rsidRPr="00FB18DC">
        <w:t>Because our return on debt approach involves annual updates to the return on debt, this means that the return on debt will be, or potentially will be, different for different regulatory years in the regulatory control period.</w:t>
      </w:r>
      <w:r w:rsidRPr="00FB18DC">
        <w:rPr>
          <w:rStyle w:val="FootnoteReference"/>
        </w:rPr>
        <w:footnoteReference w:id="1260"/>
      </w:r>
      <w:r w:rsidRPr="00FB18DC">
        <w:t xml:space="preserve"> The</w:t>
      </w:r>
      <w:r w:rsidR="00B927B3">
        <w:t xml:space="preserve"> NER</w:t>
      </w:r>
      <w:r w:rsidRPr="00FB18DC">
        <w:t xml:space="preserve"> require that the resulting change to </w:t>
      </w:r>
      <w:r>
        <w:t>AusNet Services'</w:t>
      </w:r>
      <w:r w:rsidRPr="00FB18DC">
        <w:t xml:space="preserve"> annual building block revenue requirement is to be effected through a formula specified in the </w:t>
      </w:r>
      <w:r w:rsidR="00B927B3">
        <w:t xml:space="preserve">revenue </w:t>
      </w:r>
      <w:r w:rsidRPr="00FB18DC">
        <w:t>determination.</w:t>
      </w:r>
      <w:r w:rsidRPr="00FB18DC">
        <w:rPr>
          <w:rStyle w:val="FootnoteReference"/>
        </w:rPr>
        <w:footnoteReference w:id="1261"/>
      </w:r>
      <w:r w:rsidRPr="00FB18DC">
        <w:t xml:space="preserve"> For the purposes of clause 6.5.2(L)</w:t>
      </w:r>
      <w:r w:rsidR="00B927B3">
        <w:t>,</w:t>
      </w:r>
      <w:r w:rsidRPr="00FB18DC">
        <w:t xml:space="preserve"> our</w:t>
      </w:r>
      <w:r w:rsidR="00B927B3">
        <w:t xml:space="preserve"> draft</w:t>
      </w:r>
      <w:r w:rsidRPr="00FB18DC">
        <w:t xml:space="preserve"> decision is that the resulting change to </w:t>
      </w:r>
      <w:r>
        <w:t xml:space="preserve">AusNet Services' </w:t>
      </w:r>
      <w:r w:rsidRPr="00FB18DC">
        <w:t>annual building block revenue requirement is to be effected through:</w:t>
      </w:r>
    </w:p>
    <w:p w:rsidR="00972CF8" w:rsidRPr="00FB18DC" w:rsidRDefault="00972CF8" w:rsidP="00972CF8">
      <w:pPr>
        <w:pStyle w:val="AERbulletlistfirststyle"/>
      </w:pPr>
      <w:r w:rsidRPr="00FB18DC">
        <w:t>the automatic application of the return on debt methodo</w:t>
      </w:r>
      <w:r>
        <w:t>logy specified in this appendix</w:t>
      </w:r>
    </w:p>
    <w:p w:rsidR="00972CF8" w:rsidRPr="00FB18DC" w:rsidRDefault="00972CF8" w:rsidP="00972CF8">
      <w:pPr>
        <w:pStyle w:val="AERbulletlistfirststyle"/>
      </w:pPr>
      <w:r w:rsidRPr="00FB18DC">
        <w:t>using the return on debt averaging periods specified in confidential appendix</w:t>
      </w:r>
      <w:r w:rsidR="006A0187">
        <w:t xml:space="preserve"> </w:t>
      </w:r>
      <w:r w:rsidR="006A0187">
        <w:fldChar w:fldCharType="begin"/>
      </w:r>
      <w:r w:rsidR="006A0187">
        <w:instrText xml:space="preserve"> REF _Ref456703498 \r \h </w:instrText>
      </w:r>
      <w:r w:rsidR="006A0187">
        <w:fldChar w:fldCharType="separate"/>
      </w:r>
      <w:r w:rsidR="006A0187">
        <w:t>L</w:t>
      </w:r>
      <w:r w:rsidR="006A0187">
        <w:fldChar w:fldCharType="end"/>
      </w:r>
      <w:r w:rsidRPr="00FB18DC">
        <w:t>, and</w:t>
      </w:r>
    </w:p>
    <w:p w:rsidR="00972CF8" w:rsidRPr="00A42A22" w:rsidRDefault="00972CF8" w:rsidP="00972CF8">
      <w:pPr>
        <w:pStyle w:val="AERbulletlistfirststyle"/>
      </w:pPr>
      <w:proofErr w:type="gramStart"/>
      <w:r w:rsidRPr="00FB18DC">
        <w:t>implemented</w:t>
      </w:r>
      <w:proofErr w:type="gramEnd"/>
      <w:r w:rsidRPr="00FB18DC">
        <w:t xml:space="preserve"> using </w:t>
      </w:r>
      <w:r>
        <w:t>AusNet Services'</w:t>
      </w:r>
      <w:r w:rsidRPr="00FB18DC">
        <w:t xml:space="preserve"> final determination post-tax revenue model (PTRM) in accordance with section 3 of the AER's PTRM handbook for </w:t>
      </w:r>
      <w:r w:rsidR="00B927B3">
        <w:t xml:space="preserve">transmission </w:t>
      </w:r>
      <w:r w:rsidRPr="00FB18DC">
        <w:t>network service providers.</w:t>
      </w:r>
      <w:r w:rsidRPr="00A42A22">
        <w:rPr>
          <w:rStyle w:val="FootnoteReference"/>
        </w:rPr>
        <w:footnoteReference w:id="1262"/>
      </w:r>
    </w:p>
    <w:p w:rsidR="00972CF8" w:rsidRPr="00FB18DC" w:rsidRDefault="00972CF8" w:rsidP="00972CF8">
      <w:r w:rsidRPr="00FB18DC">
        <w:t>The return on debt methodology in this appendix specifies our</w:t>
      </w:r>
      <w:r w:rsidR="00B927B3">
        <w:t xml:space="preserve"> draft</w:t>
      </w:r>
      <w:r w:rsidRPr="00FB18DC">
        <w:t xml:space="preserve"> decision:</w:t>
      </w:r>
    </w:p>
    <w:p w:rsidR="00972CF8" w:rsidRPr="00FB18DC" w:rsidRDefault="00972CF8" w:rsidP="00972CF8">
      <w:pPr>
        <w:pStyle w:val="AERbulletlistfirststyle"/>
      </w:pPr>
      <w:r w:rsidRPr="00FB18DC">
        <w:t>methodology on the return on debt approach, and</w:t>
      </w:r>
    </w:p>
    <w:p w:rsidR="00972CF8" w:rsidRPr="00FB18DC" w:rsidRDefault="00972CF8" w:rsidP="00972CF8">
      <w:pPr>
        <w:pStyle w:val="AERbulletlistfirststyle"/>
      </w:pPr>
      <w:r w:rsidRPr="00FB18DC">
        <w:t>methodology to implement the return on debt approach</w:t>
      </w:r>
    </w:p>
    <w:p w:rsidR="00972CF8" w:rsidRPr="00972CF8" w:rsidRDefault="00972CF8" w:rsidP="003957BF">
      <w:pPr>
        <w:pStyle w:val="Heading8"/>
        <w:numPr>
          <w:ilvl w:val="1"/>
          <w:numId w:val="66"/>
        </w:numPr>
      </w:pPr>
      <w:bookmarkStart w:id="428" w:name="_Toc433457165"/>
      <w:bookmarkStart w:id="429" w:name="_Toc450916269"/>
      <w:bookmarkStart w:id="430" w:name="_Toc452629165"/>
      <w:bookmarkStart w:id="431" w:name="_Toc456686782"/>
      <w:r w:rsidRPr="00FB18DC">
        <w:t>Approach to estimating the return on debt</w:t>
      </w:r>
      <w:bookmarkEnd w:id="428"/>
      <w:bookmarkEnd w:id="429"/>
      <w:bookmarkEnd w:id="430"/>
      <w:bookmarkEnd w:id="431"/>
    </w:p>
    <w:p w:rsidR="00972CF8" w:rsidRPr="00FB18DC" w:rsidRDefault="00972CF8" w:rsidP="00972CF8">
      <w:pPr>
        <w:numPr>
          <w:ilvl w:val="0"/>
          <w:numId w:val="25"/>
        </w:numPr>
      </w:pPr>
      <w:r w:rsidRPr="00FB18DC">
        <w:t xml:space="preserve">This section sets out our </w:t>
      </w:r>
      <w:r w:rsidR="00B927B3">
        <w:t xml:space="preserve">draft </w:t>
      </w:r>
      <w:r w:rsidRPr="00FB18DC">
        <w:t>decision methodology on the return on debt approach. Below we specify the allowed return on debt formulae for each year of the 10 year transition path. In each formula:</w:t>
      </w:r>
    </w:p>
    <w:p w:rsidR="00972CF8" w:rsidRPr="00FB18DC" w:rsidRDefault="003F1AAB" w:rsidP="00972CF8">
      <w:pPr>
        <w:pStyle w:val="ListContinue"/>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972CF8" w:rsidRPr="00FB18DC">
        <w:t xml:space="preserve"> corresponds to the estimated return on debt that was entered into in year a and matures in year a+10–which is to be calculated using the return on debt implementation methodology in section </w:t>
      </w:r>
      <w:r w:rsidR="00972CF8">
        <w:fldChar w:fldCharType="begin"/>
      </w:r>
      <w:r w:rsidR="00972CF8">
        <w:instrText xml:space="preserve"> REF _Ref451900961 \r \h </w:instrText>
      </w:r>
      <w:r w:rsidR="00972CF8">
        <w:fldChar w:fldCharType="separate"/>
      </w:r>
      <w:r>
        <w:t>J.2</w:t>
      </w:r>
      <w:r w:rsidR="00972CF8">
        <w:fldChar w:fldCharType="end"/>
      </w:r>
      <w:r w:rsidR="00972CF8" w:rsidRPr="00FB18DC">
        <w:t xml:space="preserve"> and </w:t>
      </w:r>
      <w:r w:rsidR="00B927B3">
        <w:t>AusNet Services'</w:t>
      </w:r>
      <w:r w:rsidR="00972CF8" w:rsidRPr="00FB18DC">
        <w:t xml:space="preserve"> return on debt averaging periods specified in confidential appendix</w:t>
      </w:r>
      <w:r w:rsidR="006A0187">
        <w:t xml:space="preserve"> </w:t>
      </w:r>
      <w:r w:rsidR="006A0187">
        <w:fldChar w:fldCharType="begin"/>
      </w:r>
      <w:r w:rsidR="006A0187">
        <w:instrText xml:space="preserve"> REF _Ref456703498 \r \h </w:instrText>
      </w:r>
      <w:r w:rsidR="006A0187">
        <w:fldChar w:fldCharType="separate"/>
      </w:r>
      <w:r w:rsidR="006A0187">
        <w:t>L</w:t>
      </w:r>
      <w:r w:rsidR="006A0187">
        <w:fldChar w:fldCharType="end"/>
      </w:r>
      <w:r w:rsidR="00B927B3">
        <w:t>.</w:t>
      </w:r>
    </w:p>
    <w:p w:rsidR="00972CF8" w:rsidRPr="00FB18DC" w:rsidRDefault="003F1AAB" w:rsidP="00972CF8">
      <w:pPr>
        <w:pStyle w:val="ListContinue"/>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972CF8" w:rsidRPr="00FB18DC">
        <w:t xml:space="preserve"> </w:t>
      </w:r>
      <w:proofErr w:type="gramStart"/>
      <w:r w:rsidR="00972CF8" w:rsidRPr="00FB18DC">
        <w:t>refers</w:t>
      </w:r>
      <w:proofErr w:type="gramEnd"/>
      <w:r w:rsidR="00972CF8" w:rsidRPr="00FB18DC">
        <w:t xml:space="preserve"> to the allowed return on debt for regulatory year b+1.</w:t>
      </w:r>
    </w:p>
    <w:p w:rsidR="00972CF8" w:rsidRPr="00FB18DC" w:rsidRDefault="00972CF8" w:rsidP="00972CF8">
      <w:pPr>
        <w:numPr>
          <w:ilvl w:val="0"/>
          <w:numId w:val="25"/>
        </w:numPr>
      </w:pPr>
      <w:r w:rsidRPr="00FB18DC">
        <w:t xml:space="preserve">In the first regulatory year of </w:t>
      </w:r>
      <w:r w:rsidR="00B927B3">
        <w:t xml:space="preserve"> transitioning to the trailing average approach </w:t>
      </w:r>
      <w:r w:rsidRPr="00FB18DC">
        <w:t>(201</w:t>
      </w:r>
      <w:r w:rsidR="00B927B3">
        <w:t>7</w:t>
      </w:r>
      <w:r w:rsidRPr="00FB18DC">
        <w:t>), the allowed rate of return on debt will be based on the estimated prevailing rate of return on debt for that year (similar to the 'on the day' approach):</w:t>
      </w:r>
    </w:p>
    <w:p w:rsidR="00972CF8" w:rsidRPr="00FB18DC" w:rsidRDefault="003F1AAB" w:rsidP="00972CF8">
      <w:pPr>
        <w:numPr>
          <w:ilvl w:val="0"/>
          <w:numId w:val="25"/>
        </w:numPr>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972CF8" w:rsidRPr="00FB18DC" w:rsidRDefault="00972CF8" w:rsidP="00972CF8">
      <w:pPr>
        <w:numPr>
          <w:ilvl w:val="0"/>
          <w:numId w:val="25"/>
        </w:numPr>
      </w:pPr>
      <w:r w:rsidRPr="00FB18DC">
        <w:t>In the second regulatory year, the allowed rate of return on debt will be the weighted average of the prevailing rates in the first and second regulatory years of the transitional period:</w:t>
      </w:r>
    </w:p>
    <w:p w:rsidR="00972CF8" w:rsidRPr="00FB18DC" w:rsidRDefault="003F1AAB" w:rsidP="00972CF8">
      <w:pPr>
        <w:numPr>
          <w:ilvl w:val="0"/>
          <w:numId w:val="25"/>
        </w:numPr>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972CF8" w:rsidRPr="00FB18DC" w:rsidRDefault="00972CF8" w:rsidP="00972CF8">
      <w:pPr>
        <w:numPr>
          <w:ilvl w:val="0"/>
          <w:numId w:val="25"/>
        </w:numPr>
      </w:pPr>
      <w:r w:rsidRPr="00FB18DC">
        <w:t xml:space="preserve">In the third regulatory year, the allowed rate of return on debt will be the weighted average of the prevailing rates in the first, second, and third regulatory years of the transitional period:  </w:t>
      </w:r>
    </w:p>
    <w:p w:rsidR="00972CF8" w:rsidRPr="00FB18DC" w:rsidRDefault="003F1AAB" w:rsidP="00972CF8">
      <w:pPr>
        <w:numPr>
          <w:ilvl w:val="0"/>
          <w:numId w:val="25"/>
        </w:numPr>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972CF8" w:rsidRPr="00FB18DC" w:rsidRDefault="00972CF8" w:rsidP="00972CF8">
      <w:pPr>
        <w:numPr>
          <w:ilvl w:val="0"/>
          <w:numId w:val="25"/>
        </w:numPr>
      </w:pPr>
      <w:r w:rsidRPr="00FB18DC">
        <w:t xml:space="preserve">In the fourth regulatory year, the allowed rate of return on debt will be the weighted average of the prevailing rates in the first, second, third and fourth regulatory years of the transitional period:  </w:t>
      </w:r>
    </w:p>
    <w:p w:rsidR="00972CF8" w:rsidRPr="00FB18DC" w:rsidRDefault="003F1AAB" w:rsidP="00972CF8">
      <w:pPr>
        <w:numPr>
          <w:ilvl w:val="0"/>
          <w:numId w:val="25"/>
        </w:numPr>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972CF8" w:rsidRPr="00FB18DC" w:rsidRDefault="00972CF8" w:rsidP="00972CF8">
      <w:pPr>
        <w:numPr>
          <w:ilvl w:val="0"/>
          <w:numId w:val="25"/>
        </w:numPr>
      </w:pPr>
      <w:r w:rsidRPr="00FB18DC">
        <w:t xml:space="preserve">In the fifth regulatory year, the allowed rate of return on debt will be the weighted average of the prevailing rates in the first, second, third, fourth and fifth regulatory years of the transitional period:  </w:t>
      </w:r>
    </w:p>
    <w:p w:rsidR="00972CF8" w:rsidRPr="00FB18DC" w:rsidRDefault="003F1AAB" w:rsidP="00972CF8">
      <w:pPr>
        <w:numPr>
          <w:ilvl w:val="0"/>
          <w:numId w:val="25"/>
        </w:numPr>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972CF8" w:rsidRPr="00FB18DC" w:rsidRDefault="00972CF8" w:rsidP="00972CF8">
      <w:pPr>
        <w:numPr>
          <w:ilvl w:val="0"/>
          <w:numId w:val="25"/>
        </w:numPr>
      </w:pPr>
      <w:r w:rsidRPr="00FB18DC">
        <w:t>The calculation for all subsequent regulatory years until the transitional period is completed is set out below:</w:t>
      </w:r>
    </w:p>
    <w:p w:rsidR="00972CF8" w:rsidRPr="00FB18DC" w:rsidRDefault="003F1AAB" w:rsidP="00972CF8">
      <w:pPr>
        <w:numPr>
          <w:ilvl w:val="0"/>
          <w:numId w:val="25"/>
        </w:numPr>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972CF8" w:rsidRPr="00FB18DC" w:rsidRDefault="003F1AAB" w:rsidP="00972CF8">
      <w:pPr>
        <w:numPr>
          <w:ilvl w:val="0"/>
          <w:numId w:val="25"/>
        </w:numPr>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972CF8" w:rsidRPr="00FB18DC" w:rsidRDefault="003F1AAB" w:rsidP="00972CF8">
      <w:pPr>
        <w:numPr>
          <w:ilvl w:val="0"/>
          <w:numId w:val="25"/>
        </w:numPr>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972CF8" w:rsidRPr="00FB18DC" w:rsidRDefault="003F1AAB" w:rsidP="00972CF8">
      <w:pPr>
        <w:numPr>
          <w:ilvl w:val="0"/>
          <w:numId w:val="25"/>
        </w:numPr>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972CF8" w:rsidRPr="00FB18DC" w:rsidRDefault="003F1AAB" w:rsidP="00972CF8">
      <w:pPr>
        <w:numPr>
          <w:ilvl w:val="0"/>
          <w:numId w:val="25"/>
        </w:numPr>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972CF8" w:rsidRPr="00FB18DC" w:rsidRDefault="00972CF8" w:rsidP="00972CF8">
      <w:pPr>
        <w:pStyle w:val="Heading8"/>
      </w:pPr>
      <w:bookmarkStart w:id="432" w:name="_Toc433457166"/>
      <w:bookmarkStart w:id="433" w:name="_Toc450916270"/>
      <w:bookmarkStart w:id="434" w:name="_Ref451900961"/>
      <w:bookmarkStart w:id="435" w:name="_Toc452629166"/>
      <w:bookmarkStart w:id="436" w:name="_Toc456686783"/>
      <w:r w:rsidRPr="00FB18DC">
        <w:t>Implementing the return on debt approach</w:t>
      </w:r>
      <w:bookmarkEnd w:id="432"/>
      <w:bookmarkEnd w:id="433"/>
      <w:bookmarkEnd w:id="434"/>
      <w:bookmarkEnd w:id="435"/>
      <w:bookmarkEnd w:id="436"/>
    </w:p>
    <w:p w:rsidR="00972CF8" w:rsidRPr="00FB18DC" w:rsidRDefault="00972CF8" w:rsidP="00972CF8">
      <w:pPr>
        <w:numPr>
          <w:ilvl w:val="0"/>
          <w:numId w:val="25"/>
        </w:numPr>
      </w:pPr>
      <w:r w:rsidRPr="00FB18DC">
        <w:t xml:space="preserve">This section sets out our </w:t>
      </w:r>
      <w:r w:rsidR="00B927B3">
        <w:t>draft</w:t>
      </w:r>
      <w:r w:rsidR="00B927B3" w:rsidRPr="00FB18DC">
        <w:t xml:space="preserve"> </w:t>
      </w:r>
      <w:r w:rsidRPr="00FB18DC">
        <w:t>decision methodology to implement the return on debt approach. This section specifies:</w:t>
      </w:r>
    </w:p>
    <w:p w:rsidR="00972CF8" w:rsidRPr="00FB18DC" w:rsidRDefault="00972CF8" w:rsidP="00972CF8">
      <w:pPr>
        <w:pStyle w:val="AERbulletlistfirststyle"/>
      </w:pPr>
      <w:r w:rsidRPr="00FB18DC">
        <w:t>our choice of data series</w:t>
      </w:r>
    </w:p>
    <w:p w:rsidR="00972CF8" w:rsidRPr="00A42A22" w:rsidRDefault="00972CF8" w:rsidP="00972CF8">
      <w:pPr>
        <w:pStyle w:val="AERbulletlistfirststyle"/>
      </w:pPr>
      <w:r w:rsidRPr="00FB18DC">
        <w:t>extrapolation and interpo</w:t>
      </w:r>
      <w:r w:rsidRPr="00A42A22">
        <w:t>lation issues with adjusting our choice of data series</w:t>
      </w:r>
    </w:p>
    <w:p w:rsidR="00972CF8" w:rsidRPr="00FB18DC" w:rsidRDefault="00972CF8" w:rsidP="00972CF8">
      <w:pPr>
        <w:pStyle w:val="AERbulletlistfirststyle"/>
      </w:pPr>
      <w:r w:rsidRPr="00FB18DC">
        <w:t>step-by-step calculation to calculating the final RBA and BVAL estimate</w:t>
      </w:r>
    </w:p>
    <w:p w:rsidR="00972CF8" w:rsidRPr="00FB18DC" w:rsidRDefault="00972CF8" w:rsidP="00972CF8">
      <w:pPr>
        <w:pStyle w:val="AERbulletlistfirststyle"/>
      </w:pPr>
      <w:r w:rsidRPr="00FB18DC">
        <w:t>contingencies associated with implementing our choice of data series, if the data series we have chosen to estimate the return on debt are unavailable or change in future regulatory years</w:t>
      </w:r>
    </w:p>
    <w:p w:rsidR="00972CF8" w:rsidRPr="00FB18DC" w:rsidRDefault="00972CF8" w:rsidP="00972CF8">
      <w:pPr>
        <w:pStyle w:val="Heading9"/>
      </w:pPr>
      <w:bookmarkStart w:id="437" w:name="_Toc433457167"/>
      <w:bookmarkStart w:id="438" w:name="_Toc450916271"/>
      <w:bookmarkStart w:id="439" w:name="_Toc452629167"/>
      <w:bookmarkStart w:id="440" w:name="_Toc456686784"/>
      <w:r w:rsidRPr="00FB18DC">
        <w:t>Choice of data series</w:t>
      </w:r>
      <w:bookmarkEnd w:id="437"/>
      <w:bookmarkEnd w:id="438"/>
      <w:bookmarkEnd w:id="439"/>
      <w:bookmarkEnd w:id="440"/>
    </w:p>
    <w:p w:rsidR="00972CF8" w:rsidRPr="00FB18DC" w:rsidRDefault="00972CF8" w:rsidP="00972CF8">
      <w:r w:rsidRPr="00FB18DC">
        <w:t xml:space="preserve">Our </w:t>
      </w:r>
      <w:r w:rsidR="00B927B3">
        <w:t xml:space="preserve">draft </w:t>
      </w:r>
      <w:r w:rsidRPr="00FB18DC">
        <w:t xml:space="preserve">decision on the choice of data series is to adopt a simple average of the debt data series published by the </w:t>
      </w:r>
      <w:r>
        <w:t>RBA</w:t>
      </w:r>
      <w:r w:rsidRPr="00FB18DC">
        <w:t xml:space="preserve"> and Bloomberg that match, as close as available, our benchmarks of a BBB+ credit rating and a 10 year debt term. Specifically</w:t>
      </w:r>
      <w:r w:rsidR="00B927B3">
        <w:t xml:space="preserve">, </w:t>
      </w:r>
      <w:proofErr w:type="gramStart"/>
      <w:r w:rsidR="00B927B3">
        <w:t>we</w:t>
      </w:r>
      <w:r w:rsidRPr="00FB18DC">
        <w:t xml:space="preserve">  adopt</w:t>
      </w:r>
      <w:proofErr w:type="gramEnd"/>
      <w:r w:rsidRPr="00FB18DC">
        <w:t xml:space="preserve"> a simple average of:</w:t>
      </w:r>
    </w:p>
    <w:p w:rsidR="00972CF8" w:rsidRPr="00FB18DC" w:rsidRDefault="00972CF8" w:rsidP="00972CF8">
      <w:pPr>
        <w:pStyle w:val="AERbulletlistfirststyle"/>
      </w:pPr>
      <w:r w:rsidRPr="00FB18DC">
        <w:t>The RBA broad-BBB rated 10 year curve, extrapolated to an effective term of 10 years (the RBA curve)</w:t>
      </w:r>
    </w:p>
    <w:p w:rsidR="00972CF8" w:rsidRPr="00FB18DC" w:rsidRDefault="00972CF8" w:rsidP="00972CF8">
      <w:pPr>
        <w:pStyle w:val="AERbulletlistfirststyle"/>
      </w:pPr>
      <w:r w:rsidRPr="00FB18DC">
        <w:t xml:space="preserve">The Bloomberg Valuation Service (BVAL) broad-BBB rated curve (the BVAL curve). Depending on the maximum term published at the time, this will be either the BVAL: </w:t>
      </w:r>
    </w:p>
    <w:p w:rsidR="00972CF8" w:rsidRPr="00FB18DC" w:rsidRDefault="00972CF8" w:rsidP="00972CF8">
      <w:pPr>
        <w:pStyle w:val="AERbulletlistsecondstyle"/>
      </w:pPr>
      <w:r w:rsidRPr="00FB18DC">
        <w:t>10 year estimate</w:t>
      </w:r>
      <w:r w:rsidRPr="00FB18DC">
        <w:rPr>
          <w:rStyle w:val="FootnoteReference"/>
        </w:rPr>
        <w:footnoteReference w:id="1263"/>
      </w:r>
      <w:r w:rsidRPr="00FB18DC">
        <w:t xml:space="preserve"> where it is available</w:t>
      </w:r>
    </w:p>
    <w:p w:rsidR="00972CF8" w:rsidRPr="00FB18DC" w:rsidRDefault="00972CF8" w:rsidP="00972CF8">
      <w:pPr>
        <w:pStyle w:val="AERbulletlistsecondstyle"/>
      </w:pPr>
      <w:r w:rsidRPr="00FB18DC">
        <w:t>7 year estimate extrapolated to a 10 year term using the 7</w:t>
      </w:r>
      <w:r w:rsidRPr="00FB18DC">
        <w:softHyphen/>
        <w:t>–10 year margin from the RBA curve. This will be used where the 7 year estimate is available and the 10 year estimate is not available.</w:t>
      </w:r>
    </w:p>
    <w:p w:rsidR="00972CF8" w:rsidRDefault="00972CF8" w:rsidP="00972CF8">
      <w:pPr>
        <w:pStyle w:val="AERbulletlistsecondstyle"/>
      </w:pPr>
      <w:r w:rsidRPr="00FB18DC">
        <w:t>5 year estimate extrapolated to a 10 year term using the 5–10 year margin from the RBA curve. This will be used where the 5 year estimate is available and neither the 10 year nor the 7 year estimate</w:t>
      </w:r>
      <w:r>
        <w:t>s</w:t>
      </w:r>
      <w:r w:rsidRPr="00FB18DC">
        <w:t xml:space="preserve"> are available.</w:t>
      </w:r>
    </w:p>
    <w:p w:rsidR="00972CF8" w:rsidRPr="00FB18DC" w:rsidRDefault="00972CF8" w:rsidP="00972CF8">
      <w:r w:rsidRPr="00D63D95">
        <w:t xml:space="preserve">We do not estimate the allowed return on debt in this </w:t>
      </w:r>
      <w:r w:rsidR="00B927B3">
        <w:t xml:space="preserve">draft </w:t>
      </w:r>
      <w:r w:rsidRPr="00D63D95">
        <w:t xml:space="preserve">decision by reference to the 10 year yield curve published by Thomson Reuters (the Reuters curve). Nonetheless, we do not rule out including the Reuters curve in future determinations following a proper period of consultation. See appendix </w:t>
      </w:r>
      <w:r>
        <w:fldChar w:fldCharType="begin"/>
      </w:r>
      <w:r>
        <w:instrText xml:space="preserve"> REF _Ref451267897 \r \h </w:instrText>
      </w:r>
      <w:r>
        <w:fldChar w:fldCharType="separate"/>
      </w:r>
      <w:r w:rsidR="003F1AAB">
        <w:t>A</w:t>
      </w:r>
      <w:r>
        <w:fldChar w:fldCharType="end"/>
      </w:r>
      <w:r w:rsidRPr="00D63D95">
        <w:t xml:space="preserve"> for our reasoning and further details.</w:t>
      </w:r>
    </w:p>
    <w:p w:rsidR="00972CF8" w:rsidRPr="00FB18DC" w:rsidRDefault="00972CF8" w:rsidP="00972CF8">
      <w:pPr>
        <w:pStyle w:val="Heading9"/>
      </w:pPr>
      <w:bookmarkStart w:id="441" w:name="_Toc433457168"/>
      <w:bookmarkStart w:id="442" w:name="_Toc450916272"/>
      <w:bookmarkStart w:id="443" w:name="_Toc452629168"/>
      <w:bookmarkStart w:id="444" w:name="_Toc456686785"/>
      <w:r w:rsidRPr="00FB18DC">
        <w:t>Choice of data series—Extrapolation and interpolation issues</w:t>
      </w:r>
      <w:bookmarkEnd w:id="441"/>
      <w:bookmarkEnd w:id="442"/>
      <w:bookmarkEnd w:id="443"/>
      <w:bookmarkEnd w:id="444"/>
    </w:p>
    <w:p w:rsidR="00972CF8" w:rsidRPr="00FB18DC" w:rsidRDefault="00972CF8" w:rsidP="00972CF8">
      <w:r w:rsidRPr="00FB18DC">
        <w:t>Our</w:t>
      </w:r>
      <w:r w:rsidR="00B927B3">
        <w:t xml:space="preserve"> draft</w:t>
      </w:r>
      <w:r w:rsidRPr="00FB18DC">
        <w:t xml:space="preserve"> decision on extrapolation and interpolation issues is:</w:t>
      </w:r>
    </w:p>
    <w:p w:rsidR="00972CF8" w:rsidRPr="00FB18DC" w:rsidRDefault="00972CF8" w:rsidP="00972CF8">
      <w:pPr>
        <w:pStyle w:val="AERbulletlistfirststyle"/>
      </w:pPr>
      <w:proofErr w:type="gramStart"/>
      <w:r w:rsidRPr="00FB18DC">
        <w:t>extrapolation—</w:t>
      </w:r>
      <w:proofErr w:type="gramEnd"/>
      <w:r w:rsidRPr="00FB18DC">
        <w:t>where we need to extend a curve beyond its observed or published range. For example, before April 2015, Bloomberg publishes its BVAL curve to a maximum term of 7 years, whereas we require an estimate for a 10 year term.</w:t>
      </w:r>
    </w:p>
    <w:p w:rsidR="00972CF8" w:rsidRPr="00FB18DC" w:rsidRDefault="00972CF8" w:rsidP="00972CF8">
      <w:pPr>
        <w:pStyle w:val="AERbulletlistfirststyle"/>
      </w:pPr>
      <w:r w:rsidRPr="00FB18DC">
        <w:t>Interpolation—where we need a value for which there is no published estimate but it lies between two published estimates. For example, the RBA only publishes its curve estimates for one day each month, but we require estimates for each business day.</w:t>
      </w:r>
    </w:p>
    <w:p w:rsidR="00972CF8" w:rsidRPr="00FB18DC" w:rsidRDefault="00972CF8" w:rsidP="00972CF8">
      <w:r w:rsidRPr="00FB18DC">
        <w:t>Specifically, we will make the following adjustments as set out in</w:t>
      </w:r>
      <w:r>
        <w:t xml:space="preserve"> </w:t>
      </w:r>
      <w:r>
        <w:fldChar w:fldCharType="begin"/>
      </w:r>
      <w:r>
        <w:instrText xml:space="preserve"> REF  _Ref450563956 \* Lower \h </w:instrText>
      </w:r>
      <w:r>
        <w:fldChar w:fldCharType="separate"/>
      </w:r>
      <w:r w:rsidR="003F1AAB" w:rsidRPr="00FB18DC">
        <w:t xml:space="preserve">table </w:t>
      </w:r>
      <w:r w:rsidR="003F1AAB">
        <w:rPr>
          <w:noProof/>
        </w:rPr>
        <w:t>3</w:t>
      </w:r>
      <w:r w:rsidR="003F1AAB">
        <w:noBreakHyphen/>
      </w:r>
      <w:r w:rsidR="003F1AAB">
        <w:rPr>
          <w:noProof/>
        </w:rPr>
        <w:t>42</w:t>
      </w:r>
      <w:r>
        <w:fldChar w:fldCharType="end"/>
      </w:r>
      <w:r>
        <w:t xml:space="preserve"> and </w:t>
      </w:r>
      <w:r>
        <w:fldChar w:fldCharType="begin"/>
      </w:r>
      <w:r>
        <w:instrText xml:space="preserve"> REF  _Ref450563958 \* Lower \h </w:instrText>
      </w:r>
      <w:r>
        <w:fldChar w:fldCharType="separate"/>
      </w:r>
      <w:r w:rsidR="003F1AAB" w:rsidRPr="00FB18DC">
        <w:t xml:space="preserve">table </w:t>
      </w:r>
      <w:r w:rsidR="003F1AAB">
        <w:rPr>
          <w:noProof/>
        </w:rPr>
        <w:t>3</w:t>
      </w:r>
      <w:r w:rsidR="003F1AAB">
        <w:noBreakHyphen/>
      </w:r>
      <w:r w:rsidR="003F1AAB">
        <w:rPr>
          <w:noProof/>
        </w:rPr>
        <w:t>43</w:t>
      </w:r>
      <w:r>
        <w:fldChar w:fldCharType="end"/>
      </w:r>
      <w:r w:rsidRPr="00FB18DC">
        <w:t>.</w:t>
      </w:r>
    </w:p>
    <w:p w:rsidR="00972CF8" w:rsidRPr="00FB18DC" w:rsidRDefault="00972CF8" w:rsidP="00972CF8">
      <w:pPr>
        <w:pStyle w:val="Caption"/>
      </w:pPr>
      <w:bookmarkStart w:id="445" w:name="_Ref450563956"/>
      <w:r w:rsidRPr="00FB18DC">
        <w:t xml:space="preserve">Table </w:t>
      </w:r>
      <w:fldSimple w:instr=" STYLEREF 1 \s ">
        <w:r w:rsidR="003F1AAB">
          <w:rPr>
            <w:noProof/>
          </w:rPr>
          <w:t>3</w:t>
        </w:r>
      </w:fldSimple>
      <w:r>
        <w:noBreakHyphen/>
      </w:r>
      <w:fldSimple w:instr=" SEQ Table \* ARABIC \s 1 ">
        <w:r w:rsidR="003F1AAB">
          <w:rPr>
            <w:noProof/>
          </w:rPr>
          <w:t>42</w:t>
        </w:r>
      </w:fldSimple>
      <w:bookmarkEnd w:id="445"/>
      <w:r w:rsidRPr="00FB18DC">
        <w:tab/>
        <w:t>Adjustments to the RBA curve</w:t>
      </w:r>
    </w:p>
    <w:tbl>
      <w:tblPr>
        <w:tblStyle w:val="AERtable-text0"/>
        <w:tblW w:w="0" w:type="auto"/>
        <w:tblLook w:val="04A0" w:firstRow="1" w:lastRow="0" w:firstColumn="1" w:lastColumn="0" w:noHBand="0" w:noVBand="1"/>
      </w:tblPr>
      <w:tblGrid>
        <w:gridCol w:w="1763"/>
        <w:gridCol w:w="1262"/>
        <w:gridCol w:w="5668"/>
      </w:tblGrid>
      <w:tr w:rsidR="00972CF8" w:rsidRPr="00BB7AB1" w:rsidTr="00E42A91">
        <w:trPr>
          <w:cnfStyle w:val="100000000000" w:firstRow="1" w:lastRow="0" w:firstColumn="0" w:lastColumn="0" w:oddVBand="0" w:evenVBand="0" w:oddHBand="0" w:evenHBand="0" w:firstRowFirstColumn="0" w:firstRowLastColumn="0" w:lastRowFirstColumn="0" w:lastRowLastColumn="0"/>
          <w:tblHeader/>
        </w:trPr>
        <w:tc>
          <w:tcPr>
            <w:tcW w:w="1763" w:type="dxa"/>
          </w:tcPr>
          <w:p w:rsidR="00972CF8" w:rsidRPr="00972CF8" w:rsidRDefault="00972CF8" w:rsidP="00972CF8">
            <w:r w:rsidRPr="00FB18DC">
              <w:t xml:space="preserve">Adjustment </w:t>
            </w:r>
            <w:r w:rsidRPr="00972CF8">
              <w:t>type</w:t>
            </w:r>
          </w:p>
        </w:tc>
        <w:tc>
          <w:tcPr>
            <w:tcW w:w="1262" w:type="dxa"/>
          </w:tcPr>
          <w:p w:rsidR="00972CF8" w:rsidRPr="00972CF8" w:rsidRDefault="00972CF8" w:rsidP="00972CF8">
            <w:r w:rsidRPr="00FB18DC">
              <w:t>Amendment made?</w:t>
            </w:r>
          </w:p>
        </w:tc>
        <w:tc>
          <w:tcPr>
            <w:tcW w:w="5668" w:type="dxa"/>
          </w:tcPr>
          <w:p w:rsidR="00972CF8" w:rsidRPr="00972CF8" w:rsidRDefault="00972CF8" w:rsidP="00972CF8">
            <w:r w:rsidRPr="00FB18DC">
              <w:t>Comments</w:t>
            </w:r>
          </w:p>
        </w:tc>
      </w:tr>
      <w:tr w:rsidR="00972CF8" w:rsidRPr="00BB7AB1" w:rsidTr="00E42A91">
        <w:tc>
          <w:tcPr>
            <w:tcW w:w="1763" w:type="dxa"/>
          </w:tcPr>
          <w:p w:rsidR="00972CF8" w:rsidRPr="00972CF8" w:rsidRDefault="00972CF8" w:rsidP="00972CF8">
            <w:r w:rsidRPr="00FB18DC">
              <w:t>Interpolation to construct daily estimates</w:t>
            </w:r>
          </w:p>
        </w:tc>
        <w:tc>
          <w:tcPr>
            <w:tcW w:w="1262" w:type="dxa"/>
          </w:tcPr>
          <w:p w:rsidR="00972CF8" w:rsidRPr="00972CF8" w:rsidRDefault="00972CF8" w:rsidP="00972CF8">
            <w:r w:rsidRPr="00FB18DC">
              <w:t>Yes</w:t>
            </w:r>
          </w:p>
        </w:tc>
        <w:tc>
          <w:tcPr>
            <w:tcW w:w="5668" w:type="dxa"/>
          </w:tcPr>
          <w:p w:rsidR="00972CF8" w:rsidRPr="00972CF8" w:rsidRDefault="00972CF8" w:rsidP="00972CF8">
            <w:r w:rsidRPr="00FB18DC">
              <w:t xml:space="preserve">The RBA curve only provides an estimate for one business day at the end of each month. In our experience, averaging periods commonly start and/or end on dates during the month.  </w:t>
            </w:r>
          </w:p>
          <w:p w:rsidR="00972CF8" w:rsidRPr="00972CF8" w:rsidRDefault="00972CF8" w:rsidP="00972CF8">
            <w:r w:rsidRPr="00FB18DC">
              <w:t>We will address this issue by linearly interpolating between month end values where possible. While we are satisfied that interpolation over business days is also reasonable, we will interpolate over all days because:</w:t>
            </w:r>
          </w:p>
          <w:p w:rsidR="00972CF8" w:rsidRPr="00972CF8" w:rsidRDefault="00972CF8" w:rsidP="00972CF8">
            <w:pPr>
              <w:pStyle w:val="AERbulletlistfirststyle"/>
            </w:pPr>
            <w:r w:rsidRPr="00FB18DC">
              <w:t>this is consistent with our widely accepted approach to interpolate estimates of the risk free rate using CGS</w:t>
            </w:r>
          </w:p>
          <w:p w:rsidR="00972CF8" w:rsidRPr="00972CF8" w:rsidRDefault="00972CF8" w:rsidP="00972CF8">
            <w:pPr>
              <w:pStyle w:val="AERbulletlistfirststyle"/>
            </w:pPr>
            <w:r w:rsidRPr="00FB18DC">
              <w:t>interpolating over all days is simpler to implement</w:t>
            </w:r>
          </w:p>
          <w:p w:rsidR="00972CF8" w:rsidRPr="00972CF8" w:rsidRDefault="00972CF8" w:rsidP="00972CF8">
            <w:pPr>
              <w:pStyle w:val="AERbulletlistfirststyle"/>
            </w:pPr>
            <w:r w:rsidRPr="00FB18DC">
              <w:t>it is impractical to interpolate over business days for estimating the risk free rate, as this would require calculations relative to specific trading days 10 years in advance</w:t>
            </w:r>
          </w:p>
          <w:p w:rsidR="00972CF8" w:rsidRPr="00972CF8" w:rsidRDefault="00972CF8" w:rsidP="00972CF8">
            <w:pPr>
              <w:pStyle w:val="AERbulletlistfirststyle"/>
            </w:pPr>
            <w:proofErr w:type="gramStart"/>
            <w:r w:rsidRPr="00FB18DC">
              <w:t>the</w:t>
            </w:r>
            <w:proofErr w:type="gramEnd"/>
            <w:r w:rsidRPr="00FB18DC">
              <w:t xml:space="preserve"> difference to the estimates between interpolating over business days or interpolating over all days is immaterial.</w:t>
            </w:r>
            <w:r w:rsidRPr="00972CF8">
              <w:rPr>
                <w:rStyle w:val="AERsuperscript"/>
              </w:rPr>
              <w:footnoteReference w:id="1264"/>
            </w:r>
          </w:p>
          <w:p w:rsidR="00972CF8" w:rsidRPr="00972CF8" w:rsidRDefault="00972CF8" w:rsidP="00B927B3">
            <w:r w:rsidRPr="00FB18DC">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w:t>
            </w:r>
            <w:r w:rsidR="00B927B3">
              <w:t>draft</w:t>
            </w:r>
            <w:r w:rsidR="00DB49B0">
              <w:t xml:space="preserve"> </w:t>
            </w:r>
            <w:r w:rsidRPr="00FB18DC">
              <w:t xml:space="preserve">decision on the annual debt update process is set out in </w:t>
            </w:r>
            <w:r w:rsidRPr="00972CF8">
              <w:t xml:space="preserve">this appendix. </w:t>
            </w:r>
          </w:p>
        </w:tc>
      </w:tr>
      <w:tr w:rsidR="00972CF8" w:rsidRPr="00BB7AB1" w:rsidTr="00E42A91">
        <w:trPr>
          <w:cnfStyle w:val="000000010000" w:firstRow="0" w:lastRow="0" w:firstColumn="0" w:lastColumn="0" w:oddVBand="0" w:evenVBand="0" w:oddHBand="0" w:evenHBand="1" w:firstRowFirstColumn="0" w:firstRowLastColumn="0" w:lastRowFirstColumn="0" w:lastRowLastColumn="0"/>
        </w:trPr>
        <w:tc>
          <w:tcPr>
            <w:tcW w:w="1763" w:type="dxa"/>
          </w:tcPr>
          <w:p w:rsidR="00972CF8" w:rsidRPr="00972CF8" w:rsidRDefault="00972CF8" w:rsidP="00972CF8">
            <w:r w:rsidRPr="00FB18DC">
              <w:t>Extrapolation to target term</w:t>
            </w:r>
          </w:p>
        </w:tc>
        <w:tc>
          <w:tcPr>
            <w:tcW w:w="1262" w:type="dxa"/>
          </w:tcPr>
          <w:p w:rsidR="00972CF8" w:rsidRPr="00972CF8" w:rsidRDefault="00972CF8" w:rsidP="00972CF8">
            <w:r w:rsidRPr="00FB18DC">
              <w:t>Yes</w:t>
            </w:r>
          </w:p>
        </w:tc>
        <w:tc>
          <w:tcPr>
            <w:tcW w:w="5668" w:type="dxa"/>
          </w:tcPr>
          <w:p w:rsidR="00972CF8" w:rsidRPr="00972CF8" w:rsidRDefault="00972CF8" w:rsidP="00972CF8">
            <w:r w:rsidRPr="00FB18DC">
              <w:t>The 'effective term' of the RBA bond sample is commonly less than 10 years. For this reason, Lally recommended that the spread component of the yield should be extrapolated from its effective term at publication to the benchmark term (10 years).</w:t>
            </w:r>
            <w:r w:rsidRPr="00972CF8">
              <w:rPr>
                <w:rStyle w:val="AERsuperscript"/>
              </w:rPr>
              <w:footnoteReference w:id="1265"/>
            </w:r>
            <w:r w:rsidRPr="00972CF8">
              <w:rPr>
                <w:rStyle w:val="AERsuperscript"/>
              </w:rPr>
              <w:t xml:space="preserve"> </w:t>
            </w:r>
          </w:p>
          <w:p w:rsidR="00972CF8" w:rsidRPr="00972CF8" w:rsidRDefault="00972CF8" w:rsidP="00972CF8">
            <w:r w:rsidRPr="00FB18DC">
              <w:t>We agree with Lally's recommendation to extrapolate the spread component of the RBA's published yield in order to match it with the benchmark term of debt. However, we do not agree it is necessary to extrapolate the base component. As identified by the RBA and Lally,</w:t>
            </w:r>
            <w:r w:rsidRPr="00972CF8">
              <w:rPr>
                <w:rStyle w:val="AERsuperscript"/>
              </w:rPr>
              <w:footnoteReference w:id="1266"/>
            </w:r>
            <w:r w:rsidRPr="00972CF8">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972CF8" w:rsidRPr="00BB7AB1" w:rsidTr="00E42A91">
        <w:tc>
          <w:tcPr>
            <w:tcW w:w="1763" w:type="dxa"/>
          </w:tcPr>
          <w:p w:rsidR="00972CF8" w:rsidRPr="00972CF8" w:rsidRDefault="00972CF8" w:rsidP="00972CF8">
            <w:r w:rsidRPr="00FB18DC">
              <w:t>Conversion to effective annual rate</w:t>
            </w:r>
          </w:p>
        </w:tc>
        <w:tc>
          <w:tcPr>
            <w:tcW w:w="1262" w:type="dxa"/>
          </w:tcPr>
          <w:p w:rsidR="00972CF8" w:rsidRPr="00972CF8" w:rsidRDefault="00972CF8" w:rsidP="00972CF8">
            <w:r w:rsidRPr="00FB18DC">
              <w:t>Yes</w:t>
            </w:r>
          </w:p>
        </w:tc>
        <w:tc>
          <w:tcPr>
            <w:tcW w:w="5668" w:type="dxa"/>
          </w:tcPr>
          <w:p w:rsidR="00972CF8" w:rsidRPr="00972CF8" w:rsidRDefault="00972CF8" w:rsidP="00972CF8">
            <w:r w:rsidRPr="00FB18DC">
              <w:t xml:space="preserve">The RBA's published methodology does not explicitly specify whether the published yields should be interpreted as effective annual rates. Effective annual rates are a consistent basis on which to compare bond rates </w:t>
            </w:r>
            <w:proofErr w:type="gramStart"/>
            <w:r w:rsidRPr="00FB18DC">
              <w:t>and  imply</w:t>
            </w:r>
            <w:proofErr w:type="gramEnd"/>
            <w:r w:rsidRPr="00FB18DC">
              <w:t xml:space="preserve"> that the coupon payments compound during the year. We therefore consulted the RBA, who informed us that ‘the spreads and yields in F3 can be best thought of as annual rates with semi-annual compounding’.</w:t>
            </w:r>
            <w:r w:rsidRPr="00972CF8">
              <w:rPr>
                <w:rStyle w:val="AERsuperscript"/>
              </w:rPr>
              <w:footnoteReference w:id="1267"/>
            </w:r>
            <w:r w:rsidRPr="00972CF8">
              <w:t xml:space="preserve"> Therefore, this would require conversion into an effective annual rate, using the same approach as is applied to the BVAL yield estimate. </w:t>
            </w:r>
          </w:p>
        </w:tc>
      </w:tr>
    </w:tbl>
    <w:p w:rsidR="00972CF8" w:rsidRPr="00FB18DC" w:rsidRDefault="00972CF8" w:rsidP="00972CF8">
      <w:pPr>
        <w:pStyle w:val="AERtablesource"/>
      </w:pPr>
      <w:r w:rsidRPr="00FB18DC">
        <w:t xml:space="preserve">Source: </w:t>
      </w:r>
      <w:r>
        <w:tab/>
      </w:r>
      <w:r w:rsidRPr="00FB18DC">
        <w:t>AER analysis</w:t>
      </w:r>
      <w:r>
        <w:t>.</w:t>
      </w:r>
    </w:p>
    <w:p w:rsidR="00972CF8" w:rsidRPr="00FB18DC" w:rsidRDefault="00972CF8" w:rsidP="00972CF8">
      <w:pPr>
        <w:pStyle w:val="Caption"/>
      </w:pPr>
      <w:bookmarkStart w:id="446" w:name="_Ref450563958"/>
      <w:r w:rsidRPr="00FB18DC">
        <w:t xml:space="preserve">Table </w:t>
      </w:r>
      <w:fldSimple w:instr=" STYLEREF 1 \s ">
        <w:r w:rsidR="003F1AAB">
          <w:rPr>
            <w:noProof/>
          </w:rPr>
          <w:t>3</w:t>
        </w:r>
      </w:fldSimple>
      <w:r>
        <w:noBreakHyphen/>
      </w:r>
      <w:fldSimple w:instr=" SEQ Table \* ARABIC \s 1 ">
        <w:r w:rsidR="003F1AAB">
          <w:rPr>
            <w:noProof/>
          </w:rPr>
          <w:t>43</w:t>
        </w:r>
      </w:fldSimple>
      <w:bookmarkEnd w:id="446"/>
      <w:r w:rsidRPr="00FB18DC">
        <w:tab/>
        <w:t>Adjustments to the BVAL curve</w:t>
      </w:r>
    </w:p>
    <w:tbl>
      <w:tblPr>
        <w:tblStyle w:val="AERtable-text0"/>
        <w:tblW w:w="0" w:type="auto"/>
        <w:tblLook w:val="04A0" w:firstRow="1" w:lastRow="0" w:firstColumn="1" w:lastColumn="0" w:noHBand="0" w:noVBand="1"/>
      </w:tblPr>
      <w:tblGrid>
        <w:gridCol w:w="2889"/>
        <w:gridCol w:w="1416"/>
        <w:gridCol w:w="4388"/>
      </w:tblGrid>
      <w:tr w:rsidR="00972CF8" w:rsidRPr="00BB7AB1" w:rsidTr="00E42A91">
        <w:trPr>
          <w:cnfStyle w:val="100000000000" w:firstRow="1" w:lastRow="0" w:firstColumn="0" w:lastColumn="0" w:oddVBand="0" w:evenVBand="0" w:oddHBand="0" w:evenHBand="0" w:firstRowFirstColumn="0" w:firstRowLastColumn="0" w:lastRowFirstColumn="0" w:lastRowLastColumn="0"/>
          <w:tblHeader/>
        </w:trPr>
        <w:tc>
          <w:tcPr>
            <w:tcW w:w="3080" w:type="dxa"/>
          </w:tcPr>
          <w:p w:rsidR="00972CF8" w:rsidRPr="00972CF8" w:rsidRDefault="00972CF8" w:rsidP="00972CF8">
            <w:r w:rsidRPr="00FB18DC">
              <w:t xml:space="preserve">Adjustment </w:t>
            </w:r>
            <w:r w:rsidRPr="00972CF8">
              <w:t>type</w:t>
            </w:r>
          </w:p>
        </w:tc>
        <w:tc>
          <w:tcPr>
            <w:tcW w:w="1446" w:type="dxa"/>
          </w:tcPr>
          <w:p w:rsidR="00972CF8" w:rsidRPr="00972CF8" w:rsidRDefault="00972CF8" w:rsidP="00972CF8">
            <w:r w:rsidRPr="00FB18DC">
              <w:t>Amendment made?</w:t>
            </w:r>
          </w:p>
        </w:tc>
        <w:tc>
          <w:tcPr>
            <w:tcW w:w="4716" w:type="dxa"/>
          </w:tcPr>
          <w:p w:rsidR="00972CF8" w:rsidRPr="00FB18DC" w:rsidRDefault="00972CF8" w:rsidP="00972CF8">
            <w:pPr>
              <w:numPr>
                <w:ilvl w:val="0"/>
                <w:numId w:val="25"/>
              </w:numPr>
            </w:pPr>
            <w:r w:rsidRPr="00FB18DC">
              <w:t>Comments</w:t>
            </w:r>
          </w:p>
        </w:tc>
      </w:tr>
      <w:tr w:rsidR="00972CF8" w:rsidRPr="00BB7AB1" w:rsidTr="00E42A91">
        <w:tc>
          <w:tcPr>
            <w:tcW w:w="3080" w:type="dxa"/>
          </w:tcPr>
          <w:p w:rsidR="00972CF8" w:rsidRPr="00972CF8" w:rsidRDefault="00972CF8" w:rsidP="00972CF8">
            <w:r w:rsidRPr="00FB18DC">
              <w:t>Interpolation to construct daily estimates</w:t>
            </w:r>
          </w:p>
        </w:tc>
        <w:tc>
          <w:tcPr>
            <w:tcW w:w="1446" w:type="dxa"/>
          </w:tcPr>
          <w:p w:rsidR="00972CF8" w:rsidRPr="00972CF8" w:rsidRDefault="00972CF8" w:rsidP="00972CF8">
            <w:r w:rsidRPr="00FB18DC">
              <w:t>No</w:t>
            </w:r>
          </w:p>
        </w:tc>
        <w:tc>
          <w:tcPr>
            <w:tcW w:w="4716" w:type="dxa"/>
          </w:tcPr>
          <w:p w:rsidR="00972CF8" w:rsidRPr="00FB18DC" w:rsidRDefault="00972CF8" w:rsidP="00972CF8">
            <w:pPr>
              <w:numPr>
                <w:ilvl w:val="0"/>
                <w:numId w:val="25"/>
              </w:numPr>
            </w:pPr>
            <w:r w:rsidRPr="00FB18DC">
              <w:t>Bloomberg publishes daily estimates.</w:t>
            </w:r>
          </w:p>
        </w:tc>
      </w:tr>
      <w:tr w:rsidR="00972CF8" w:rsidRPr="00BB7AB1" w:rsidTr="00E42A91">
        <w:trPr>
          <w:cnfStyle w:val="000000010000" w:firstRow="0" w:lastRow="0" w:firstColumn="0" w:lastColumn="0" w:oddVBand="0" w:evenVBand="0" w:oddHBand="0" w:evenHBand="1" w:firstRowFirstColumn="0" w:firstRowLastColumn="0" w:lastRowFirstColumn="0" w:lastRowLastColumn="0"/>
        </w:trPr>
        <w:tc>
          <w:tcPr>
            <w:tcW w:w="3080" w:type="dxa"/>
          </w:tcPr>
          <w:p w:rsidR="00972CF8" w:rsidRPr="00972CF8" w:rsidRDefault="00972CF8" w:rsidP="00972CF8">
            <w:r w:rsidRPr="00FB18DC">
              <w:t>Extrapolation to target term</w:t>
            </w:r>
          </w:p>
        </w:tc>
        <w:tc>
          <w:tcPr>
            <w:tcW w:w="1446" w:type="dxa"/>
          </w:tcPr>
          <w:p w:rsidR="00972CF8" w:rsidRPr="00972CF8" w:rsidRDefault="00972CF8" w:rsidP="00972CF8">
            <w:r w:rsidRPr="00FB18DC">
              <w:t>Depends on maximum term published by Bloomberg</w:t>
            </w:r>
          </w:p>
        </w:tc>
        <w:tc>
          <w:tcPr>
            <w:tcW w:w="4716" w:type="dxa"/>
          </w:tcPr>
          <w:p w:rsidR="00972CF8" w:rsidRPr="00FB18DC" w:rsidRDefault="00972CF8" w:rsidP="00972CF8">
            <w:pPr>
              <w:numPr>
                <w:ilvl w:val="0"/>
                <w:numId w:val="25"/>
              </w:numPr>
            </w:pPr>
            <w:r w:rsidRPr="00FB18DC">
              <w:t>For most of the time that the BVAL curve has been published, it has had a maximum term of 7 years. However, between September 2014 and November 2014, it was published to a maximum 5 year term.</w:t>
            </w:r>
            <w:r w:rsidRPr="00FB18DC">
              <w:rPr>
                <w:rStyle w:val="FootnoteReference"/>
              </w:rPr>
              <w:footnoteReference w:id="1268"/>
            </w:r>
            <w:r w:rsidRPr="00FB18DC">
              <w:t xml:space="preserve"> In April 2015, Bloomberg revised its methodology for the BVAL curve (BVCSAB10) and it now publishes a 10 year estimate.</w:t>
            </w:r>
            <w:r w:rsidRPr="00FB18DC">
              <w:rPr>
                <w:rStyle w:val="FootnoteReference"/>
              </w:rPr>
              <w:footnoteReference w:id="1269"/>
            </w:r>
            <w:r w:rsidRPr="00FB18DC">
              <w:t xml:space="preserve"> </w:t>
            </w:r>
          </w:p>
          <w:p w:rsidR="00972CF8" w:rsidRPr="00FB18DC" w:rsidRDefault="00972CF8" w:rsidP="00972CF8">
            <w:pPr>
              <w:numPr>
                <w:ilvl w:val="0"/>
                <w:numId w:val="25"/>
              </w:numPr>
            </w:pPr>
            <w:r w:rsidRPr="00FB18DC">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972CF8" w:rsidRPr="00FB18DC" w:rsidRDefault="00972CF8" w:rsidP="00972CF8">
            <w:pPr>
              <w:numPr>
                <w:ilvl w:val="0"/>
                <w:numId w:val="25"/>
              </w:numPr>
            </w:pPr>
            <w:r w:rsidRPr="00FB18DC">
              <w:t>BVAL yield 10 years = BVAL yield 7 years + difference in CGS from 7 to 10 years + difference in RBA extrapolated spread to CGS from 7 to 10 years</w:t>
            </w:r>
          </w:p>
          <w:p w:rsidR="00972CF8" w:rsidRPr="00FB18DC" w:rsidRDefault="00972CF8" w:rsidP="00972CF8">
            <w:pPr>
              <w:numPr>
                <w:ilvl w:val="0"/>
                <w:numId w:val="25"/>
              </w:numPr>
            </w:pPr>
            <w:r w:rsidRPr="00FB18DC">
              <w:t>As recommended by Lally,</w:t>
            </w:r>
            <w:r w:rsidRPr="00FB18DC">
              <w:rPr>
                <w:rStyle w:val="AERsuperscript"/>
              </w:rPr>
              <w:footnoteReference w:id="1270"/>
            </w:r>
            <w:r w:rsidRPr="00FB18DC">
              <w:t xml:space="preserve"> we are satisfied this approach is comparably reliable to the more complex approaches submitted by other stakeholders,</w:t>
            </w:r>
            <w:r w:rsidRPr="00FB18DC">
              <w:rPr>
                <w:rStyle w:val="AERsuperscript"/>
              </w:rPr>
              <w:footnoteReference w:id="1271"/>
            </w:r>
            <w:r w:rsidRPr="00FB18DC">
              <w:rPr>
                <w:rStyle w:val="AERsuperscript"/>
              </w:rPr>
              <w:t xml:space="preserve"> </w:t>
            </w:r>
            <w:r w:rsidRPr="00FB18DC">
              <w:t>but is simpler to implement and based on publicly available data.</w:t>
            </w:r>
          </w:p>
          <w:p w:rsidR="00972CF8" w:rsidRPr="00FB18DC" w:rsidRDefault="00972CF8" w:rsidP="00972CF8">
            <w:pPr>
              <w:numPr>
                <w:ilvl w:val="0"/>
                <w:numId w:val="25"/>
              </w:numPr>
            </w:pPr>
            <w:r w:rsidRPr="00FB18DC">
              <w:t>For the period where 5 years is the maximum term, we extrapolate the spread component of the 5 year yield estimate to the 10 year target term using an analogous methodology to that used to extrapolate from 7 to 10 years.</w:t>
            </w:r>
          </w:p>
          <w:p w:rsidR="00972CF8" w:rsidRPr="00FB18DC" w:rsidRDefault="00972CF8" w:rsidP="00972CF8">
            <w:pPr>
              <w:numPr>
                <w:ilvl w:val="0"/>
                <w:numId w:val="25"/>
              </w:numPr>
            </w:pPr>
            <w:r w:rsidRPr="00FB18DC">
              <w:t>For the period where 10 years is the maximum term, we do not extrapolate the estimate.</w:t>
            </w:r>
          </w:p>
        </w:tc>
      </w:tr>
      <w:tr w:rsidR="00972CF8" w:rsidRPr="00BB7AB1" w:rsidTr="00E42A91">
        <w:tc>
          <w:tcPr>
            <w:tcW w:w="3080" w:type="dxa"/>
          </w:tcPr>
          <w:p w:rsidR="00972CF8" w:rsidRPr="00972CF8" w:rsidRDefault="00972CF8" w:rsidP="00972CF8">
            <w:r w:rsidRPr="00FB18DC">
              <w:t>Conversion to effective annual rate</w:t>
            </w:r>
          </w:p>
        </w:tc>
        <w:tc>
          <w:tcPr>
            <w:tcW w:w="1446" w:type="dxa"/>
          </w:tcPr>
          <w:p w:rsidR="00972CF8" w:rsidRPr="00972CF8" w:rsidRDefault="00972CF8" w:rsidP="00972CF8">
            <w:r w:rsidRPr="00FB18DC">
              <w:t>Yes</w:t>
            </w:r>
          </w:p>
        </w:tc>
        <w:tc>
          <w:tcPr>
            <w:tcW w:w="4716" w:type="dxa"/>
          </w:tcPr>
          <w:p w:rsidR="00972CF8" w:rsidRPr="00FB18DC" w:rsidRDefault="00972CF8" w:rsidP="00972CF8">
            <w:pPr>
              <w:numPr>
                <w:ilvl w:val="0"/>
                <w:numId w:val="25"/>
              </w:numPr>
            </w:pPr>
            <w:r w:rsidRPr="00FB18DC">
              <w:t>Bloomberg publishes its yield as annual rates with semi-annual compounding. This needs to be converted into an effective annual rate.</w:t>
            </w:r>
          </w:p>
        </w:tc>
      </w:tr>
    </w:tbl>
    <w:p w:rsidR="00972CF8" w:rsidRPr="00FB18DC" w:rsidRDefault="00972CF8" w:rsidP="00972CF8">
      <w:pPr>
        <w:pStyle w:val="Heading9"/>
      </w:pPr>
      <w:bookmarkStart w:id="447" w:name="_Toc433457169"/>
      <w:bookmarkStart w:id="448" w:name="_Toc450916273"/>
      <w:bookmarkStart w:id="449" w:name="_Toc452629169"/>
      <w:bookmarkStart w:id="450" w:name="_Toc456686786"/>
      <w:r w:rsidRPr="00FB18DC">
        <w:t>Choice of data series—Step-by-step guide to calculations</w:t>
      </w:r>
      <w:bookmarkEnd w:id="447"/>
      <w:bookmarkEnd w:id="448"/>
      <w:bookmarkEnd w:id="449"/>
      <w:bookmarkEnd w:id="450"/>
    </w:p>
    <w:p w:rsidR="00972CF8" w:rsidRPr="00FB18DC" w:rsidRDefault="00972CF8" w:rsidP="00972CF8">
      <w:pPr>
        <w:numPr>
          <w:ilvl w:val="0"/>
          <w:numId w:val="25"/>
        </w:numPr>
      </w:pPr>
      <w:r w:rsidRPr="00FB18DC">
        <w:t>Below we describe the step-by-step processes of calculating:</w:t>
      </w:r>
    </w:p>
    <w:p w:rsidR="00972CF8" w:rsidRPr="00FB18DC" w:rsidRDefault="00972CF8" w:rsidP="00972CF8">
      <w:pPr>
        <w:pStyle w:val="AERbulletlistfirststyle"/>
      </w:pPr>
      <w:r w:rsidRPr="00FB18DC">
        <w:t xml:space="preserve">the adjusted RBA estimate </w:t>
      </w:r>
    </w:p>
    <w:p w:rsidR="00972CF8" w:rsidRPr="00FB18DC" w:rsidRDefault="00972CF8" w:rsidP="00972CF8">
      <w:pPr>
        <w:pStyle w:val="AERbulletlistfirststyle"/>
      </w:pPr>
      <w:r w:rsidRPr="00FB18DC">
        <w:t xml:space="preserve">the adjusted BVAL estimate </w:t>
      </w:r>
    </w:p>
    <w:p w:rsidR="00972CF8" w:rsidRPr="00FB18DC" w:rsidRDefault="00972CF8" w:rsidP="00972CF8">
      <w:pPr>
        <w:pStyle w:val="AERbulletlistfirststyle"/>
      </w:pPr>
      <w:proofErr w:type="gramStart"/>
      <w:r w:rsidRPr="00FB18DC">
        <w:t>the</w:t>
      </w:r>
      <w:proofErr w:type="gramEnd"/>
      <w:r w:rsidRPr="00FB18DC">
        <w:t xml:space="preserve"> final estimate—where we combine our implementations of the RBA estimate and the BVAL estimate.</w:t>
      </w:r>
    </w:p>
    <w:p w:rsidR="00972CF8" w:rsidRDefault="00972CF8" w:rsidP="00972CF8">
      <w:pPr>
        <w:numPr>
          <w:ilvl w:val="0"/>
          <w:numId w:val="25"/>
        </w:numPr>
      </w:pPr>
      <w:r w:rsidRPr="00FB18DC">
        <w:t xml:space="preserve">These formula steps relate to the approach specified in this </w:t>
      </w:r>
      <w:r w:rsidR="00DB49B0">
        <w:t>draft</w:t>
      </w:r>
      <w:r w:rsidR="00DB49B0" w:rsidRPr="00FB18DC">
        <w:t xml:space="preserve"> </w:t>
      </w:r>
      <w:r w:rsidRPr="00FB18DC">
        <w:t xml:space="preserve">decision. In the event that data availability changes during the regulatory control period, the formulas below will change to reflect the contingencies set out in section </w:t>
      </w:r>
      <w:r>
        <w:fldChar w:fldCharType="begin"/>
      </w:r>
      <w:r>
        <w:instrText xml:space="preserve"> REF _Ref451901059 \r \h </w:instrText>
      </w:r>
      <w:r>
        <w:fldChar w:fldCharType="separate"/>
      </w:r>
      <w:r w:rsidR="003F1AAB">
        <w:t>J.2.4</w:t>
      </w:r>
      <w:r>
        <w:fldChar w:fldCharType="end"/>
      </w:r>
      <w:r w:rsidRPr="00FB18DC">
        <w:t>.</w:t>
      </w:r>
    </w:p>
    <w:p w:rsidR="00972CF8" w:rsidRPr="00FB18DC" w:rsidRDefault="00972CF8" w:rsidP="00972CF8">
      <w:pPr>
        <w:numPr>
          <w:ilvl w:val="0"/>
          <w:numId w:val="25"/>
        </w:numPr>
      </w:pPr>
      <w:r w:rsidRPr="00352B6E">
        <w:t>For the purposes of calculating the return on debt, a 'business day' is a day that is not a Saturday or Sunday and not a national or NSW public holiday. This is because the independent data service providers (RBA and Bloomberg) do not publish data on national or NSW public holidays.</w:t>
      </w:r>
    </w:p>
    <w:p w:rsidR="00972CF8" w:rsidRPr="00FB18DC" w:rsidRDefault="00972CF8" w:rsidP="00972CF8">
      <w:pPr>
        <w:numPr>
          <w:ilvl w:val="0"/>
          <w:numId w:val="25"/>
        </w:numPr>
        <w:rPr>
          <w:rStyle w:val="AERtextitalic"/>
        </w:rPr>
      </w:pPr>
      <w:r w:rsidRPr="00FB18DC">
        <w:rPr>
          <w:rStyle w:val="AERtextitalic"/>
        </w:rPr>
        <w:t>Calculation of the adjusted RBA estimate</w:t>
      </w:r>
    </w:p>
    <w:p w:rsidR="00972CF8" w:rsidRPr="00FB18DC" w:rsidRDefault="00972CF8" w:rsidP="00972CF8">
      <w:pPr>
        <w:numPr>
          <w:ilvl w:val="1"/>
          <w:numId w:val="25"/>
        </w:numPr>
      </w:pPr>
      <w:r w:rsidRPr="00FB18DC">
        <w:t>Download RBA table F3—'Aggregate measures of Australian corporate bond yields' from the RBA website.</w:t>
      </w:r>
    </w:p>
    <w:p w:rsidR="00972CF8" w:rsidRPr="00FB18DC" w:rsidRDefault="00972CF8" w:rsidP="00972CF8">
      <w:pPr>
        <w:numPr>
          <w:ilvl w:val="1"/>
          <w:numId w:val="25"/>
        </w:numPr>
      </w:pPr>
      <w:r w:rsidRPr="00FB18DC">
        <w:t>From this file, download the 7 and 10 year 'Non-financial corporate BBB-rated bonds—Yield' entries for dates:</w:t>
      </w:r>
    </w:p>
    <w:p w:rsidR="00972CF8" w:rsidRPr="00FB18DC" w:rsidRDefault="00972CF8" w:rsidP="00972CF8">
      <w:pPr>
        <w:numPr>
          <w:ilvl w:val="2"/>
          <w:numId w:val="25"/>
        </w:numPr>
      </w:pPr>
      <w:r w:rsidRPr="00FB18DC">
        <w:t>from the most recent published RBA date prior to the commencement of the nominated averaging period for debt</w:t>
      </w:r>
    </w:p>
    <w:p w:rsidR="00972CF8" w:rsidRPr="00FB18DC" w:rsidRDefault="00972CF8" w:rsidP="00972CF8">
      <w:pPr>
        <w:numPr>
          <w:ilvl w:val="2"/>
          <w:numId w:val="25"/>
        </w:numPr>
      </w:pPr>
      <w:r w:rsidRPr="00FB18DC">
        <w:t>to the first published RBA date following the conclusion of the nominated averaging period for debt</w:t>
      </w:r>
    </w:p>
    <w:p w:rsidR="00972CF8" w:rsidRPr="00FB18DC" w:rsidRDefault="00972CF8" w:rsidP="00972CF8">
      <w:pPr>
        <w:numPr>
          <w:ilvl w:val="2"/>
          <w:numId w:val="25"/>
        </w:numPr>
      </w:pPr>
      <w:proofErr w:type="gramStart"/>
      <w:r w:rsidRPr="00FB18DC">
        <w:t>all</w:t>
      </w:r>
      <w:proofErr w:type="gramEnd"/>
      <w:r w:rsidRPr="00FB18DC">
        <w:t xml:space="preserve"> published dates between a. and b.</w:t>
      </w:r>
    </w:p>
    <w:p w:rsidR="00972CF8" w:rsidRPr="00FB18DC" w:rsidRDefault="00972CF8" w:rsidP="00972CF8">
      <w:pPr>
        <w:numPr>
          <w:ilvl w:val="1"/>
          <w:numId w:val="25"/>
        </w:numPr>
      </w:pPr>
      <w:r w:rsidRPr="00FB18DC">
        <w:t xml:space="preserve">Download, from RBA table F16—'Indicative Mid Rates of </w:t>
      </w:r>
      <w:r>
        <w:t>Australian</w:t>
      </w:r>
      <w:r w:rsidRPr="00FB18DC">
        <w:t xml:space="preserve"> Government Securities - 2013 to Current', daily yields on CGSs for dates within the service provider's averaging period. </w:t>
      </w:r>
    </w:p>
    <w:p w:rsidR="00972CF8" w:rsidRPr="00FB18DC" w:rsidRDefault="00972CF8" w:rsidP="00972CF8">
      <w:pPr>
        <w:numPr>
          <w:ilvl w:val="1"/>
          <w:numId w:val="25"/>
        </w:numPr>
      </w:pPr>
      <w:r w:rsidRPr="00FB18DC">
        <w:t>Linearly interpolate between the two nearest bonds straddling 7 years remaining term to maturity,</w:t>
      </w:r>
      <w:r w:rsidRPr="00FB18DC">
        <w:rPr>
          <w:rStyle w:val="AERsuperscript"/>
        </w:rPr>
        <w:footnoteReference w:id="1272"/>
      </w:r>
      <w:r w:rsidRPr="00FB18DC">
        <w:t xml:space="preserve"> and the two nearest CGS bonds straddling 10 years remaining term to maturity. This should be done using the following formula: </w:t>
      </w:r>
      <w:r w:rsidRPr="00FB18DC">
        <w:rPr>
          <w:rStyle w:val="AERsuperscript"/>
        </w:rPr>
        <w:footnoteReference w:id="1273"/>
      </w:r>
    </w:p>
    <w:p w:rsidR="00972CF8" w:rsidRPr="00FB18DC" w:rsidRDefault="00972CF8" w:rsidP="00972CF8">
      <w:pPr>
        <w:pStyle w:val="AERquote"/>
      </w:pPr>
      <w:proofErr w:type="gramStart"/>
      <w:r w:rsidRPr="00FB18DC">
        <w:t>yield</w:t>
      </w:r>
      <w:proofErr w:type="gramEnd"/>
      <w:r w:rsidRPr="00FB18DC">
        <w:t xml:space="preserve"> interpolated = yield lower straddle bond + (yield upper straddle bond - yield lower straddle bond) * (date 10 years from interpolation date - maturity date lower straddle bond) / (maturity date upper straddle bond - maturity date lower straddle bond).</w:t>
      </w:r>
    </w:p>
    <w:p w:rsidR="00972CF8" w:rsidRPr="00FB18DC" w:rsidRDefault="00972CF8" w:rsidP="00972CF8">
      <w:pPr>
        <w:numPr>
          <w:ilvl w:val="1"/>
          <w:numId w:val="25"/>
        </w:numPr>
      </w:pPr>
      <w:r w:rsidRPr="00FB18DC">
        <w:t>Linearly extrapolate the published RBA 10 year yield (from step 2) from its published effective term to an effective term of 10 years using the formula below:</w:t>
      </w:r>
      <w:r w:rsidRPr="00FB18DC">
        <w:rPr>
          <w:rStyle w:val="AERsuperscript"/>
        </w:rPr>
        <w:footnoteReference w:id="1274"/>
      </w:r>
    </w:p>
    <w:p w:rsidR="00972CF8" w:rsidRPr="00FB18DC" w:rsidRDefault="00972CF8" w:rsidP="00972CF8">
      <w:pPr>
        <w:pStyle w:val="AERquote"/>
      </w:pPr>
      <w:r w:rsidRPr="00FB18DC">
        <w:t>yield</w:t>
      </w:r>
      <w:r w:rsidRPr="00FB18DC">
        <w:rPr>
          <w:rStyle w:val="AERsubscript"/>
        </w:rPr>
        <w:t>10</w:t>
      </w:r>
      <w:r w:rsidRPr="00FB18DC">
        <w:t xml:space="preserve"> = yield</w:t>
      </w:r>
      <w:r w:rsidRPr="00FB18DC">
        <w:rPr>
          <w:rStyle w:val="AERsubscript"/>
        </w:rPr>
        <w:t>10</w:t>
      </w:r>
      <w:r w:rsidRPr="00FB18DC">
        <w:t xml:space="preserve"> </w:t>
      </w:r>
      <w:r w:rsidRPr="004842DA">
        <w:rPr>
          <w:rStyle w:val="AERsubscript"/>
        </w:rPr>
        <w:t>year published</w:t>
      </w:r>
      <w:r w:rsidRPr="00FB18DC">
        <w:t xml:space="preserve"> + [(spread to swap</w:t>
      </w:r>
      <w:r w:rsidRPr="004842DA">
        <w:rPr>
          <w:rStyle w:val="AERsubscript"/>
        </w:rPr>
        <w:t xml:space="preserve">10 year published </w:t>
      </w:r>
      <w:r w:rsidRPr="00FB18DC">
        <w:t>- spread to swap</w:t>
      </w:r>
      <w:r w:rsidRPr="00FB18DC">
        <w:rPr>
          <w:rStyle w:val="AERsubscript"/>
        </w:rPr>
        <w:t>7</w:t>
      </w:r>
      <w:r w:rsidRPr="00FB18DC">
        <w:t xml:space="preserve"> </w:t>
      </w:r>
      <w:r w:rsidRPr="004842DA">
        <w:rPr>
          <w:rStyle w:val="AERsubscript"/>
        </w:rPr>
        <w:t>year published</w:t>
      </w:r>
      <w:r w:rsidRPr="00FB18DC">
        <w:t>)</w:t>
      </w:r>
      <w:proofErr w:type="gramStart"/>
      <w:r w:rsidRPr="00FB18DC">
        <w:t>/(</w:t>
      </w:r>
      <w:proofErr w:type="gramEnd"/>
      <w:r w:rsidRPr="00FB18DC">
        <w:t>effective term</w:t>
      </w:r>
      <w:r w:rsidRPr="004842DA">
        <w:rPr>
          <w:rStyle w:val="AERsubscript"/>
        </w:rPr>
        <w:t xml:space="preserve">10 year published  </w:t>
      </w:r>
      <w:r w:rsidRPr="00FB18DC">
        <w:t>- effective term</w:t>
      </w:r>
      <w:r w:rsidRPr="00FB18DC">
        <w:rPr>
          <w:rStyle w:val="AERsubscript"/>
        </w:rPr>
        <w:t>7</w:t>
      </w:r>
      <w:r w:rsidRPr="00FB18DC">
        <w:t xml:space="preserve"> </w:t>
      </w:r>
      <w:r w:rsidRPr="004842DA">
        <w:rPr>
          <w:rStyle w:val="AERsubscript"/>
        </w:rPr>
        <w:t>year published</w:t>
      </w:r>
      <w:r w:rsidRPr="00FB18DC">
        <w:t>)] * (10 - effective term</w:t>
      </w:r>
      <w:r w:rsidRPr="00FB18DC">
        <w:rPr>
          <w:rStyle w:val="AERsubscript"/>
        </w:rPr>
        <w:t>10</w:t>
      </w:r>
      <w:r w:rsidRPr="00FB18DC">
        <w:t xml:space="preserve"> </w:t>
      </w:r>
      <w:r w:rsidRPr="004842DA">
        <w:rPr>
          <w:rStyle w:val="AERsubscript"/>
        </w:rPr>
        <w:t>year published</w:t>
      </w:r>
      <w:r w:rsidRPr="00FB18DC">
        <w:t>).</w:t>
      </w:r>
    </w:p>
    <w:p w:rsidR="00972CF8" w:rsidRPr="00FB18DC" w:rsidRDefault="00972CF8" w:rsidP="00972CF8">
      <w:pPr>
        <w:numPr>
          <w:ilvl w:val="1"/>
          <w:numId w:val="25"/>
        </w:numPr>
      </w:pPr>
      <w:r w:rsidRPr="00FB18DC">
        <w:t>Linearly extrapolate the published RBA 7 year yield (from step 2) from its published effective term to an effective term of 7 years using the formula below:</w:t>
      </w:r>
      <w:r w:rsidRPr="00FB18DC">
        <w:rPr>
          <w:rStyle w:val="AERsuperscript"/>
        </w:rPr>
        <w:footnoteReference w:id="1275"/>
      </w:r>
    </w:p>
    <w:p w:rsidR="00972CF8" w:rsidRPr="00FB18DC" w:rsidRDefault="00972CF8" w:rsidP="00972CF8">
      <w:pPr>
        <w:pStyle w:val="AERquote"/>
      </w:pPr>
      <w:r w:rsidRPr="00FB18DC">
        <w:t>yield</w:t>
      </w:r>
      <w:r w:rsidRPr="00FB18DC">
        <w:rPr>
          <w:rStyle w:val="AERsubscript"/>
        </w:rPr>
        <w:t>7</w:t>
      </w:r>
      <w:r w:rsidRPr="00FB18DC">
        <w:t xml:space="preserve"> = yield</w:t>
      </w:r>
      <w:r w:rsidRPr="00FB18DC">
        <w:rPr>
          <w:rStyle w:val="AERsubscript"/>
        </w:rPr>
        <w:t>7</w:t>
      </w:r>
      <w:r w:rsidRPr="00FB18DC">
        <w:t xml:space="preserve"> year published + [(spread to swap</w:t>
      </w:r>
      <w:r w:rsidRPr="00FB18DC">
        <w:rPr>
          <w:rStyle w:val="AERsubscript"/>
        </w:rPr>
        <w:t>10</w:t>
      </w:r>
      <w:r w:rsidRPr="00FB18DC">
        <w:t xml:space="preserve"> year published - spread to swap</w:t>
      </w:r>
      <w:r w:rsidRPr="00FB18DC">
        <w:rPr>
          <w:rStyle w:val="AERsubscript"/>
        </w:rPr>
        <w:t>7</w:t>
      </w:r>
      <w:r w:rsidRPr="00FB18DC">
        <w:t xml:space="preserve"> year published)</w:t>
      </w:r>
      <w:proofErr w:type="gramStart"/>
      <w:r w:rsidRPr="00FB18DC">
        <w:t>/(</w:t>
      </w:r>
      <w:proofErr w:type="gramEnd"/>
      <w:r w:rsidRPr="00FB18DC">
        <w:t>effective term</w:t>
      </w:r>
      <w:r w:rsidRPr="00FB18DC">
        <w:rPr>
          <w:rStyle w:val="AERsubscript"/>
        </w:rPr>
        <w:t>10</w:t>
      </w:r>
      <w:r w:rsidRPr="00FB18DC">
        <w:t xml:space="preserve"> year published  - effective term</w:t>
      </w:r>
      <w:r w:rsidRPr="00FB18DC">
        <w:rPr>
          <w:rStyle w:val="AERsubscript"/>
        </w:rPr>
        <w:t>7</w:t>
      </w:r>
      <w:r w:rsidRPr="00FB18DC">
        <w:t xml:space="preserve"> year published)] * (7 - effective term</w:t>
      </w:r>
      <w:r w:rsidRPr="00FB18DC">
        <w:rPr>
          <w:rStyle w:val="AERsubscript"/>
        </w:rPr>
        <w:t>7</w:t>
      </w:r>
      <w:r w:rsidRPr="00FB18DC">
        <w:t xml:space="preserve"> year published).</w:t>
      </w:r>
    </w:p>
    <w:p w:rsidR="00972CF8" w:rsidRPr="00FB18DC" w:rsidRDefault="00972CF8" w:rsidP="00972CF8">
      <w:pPr>
        <w:numPr>
          <w:ilvl w:val="1"/>
          <w:numId w:val="25"/>
        </w:numPr>
      </w:pPr>
      <w:r w:rsidRPr="00FB18DC">
        <w:t>Subtract from the extrapolated 10 year RBA yield on each publication date the interpolated CGS yield on that date. For the 10 year term, use the RBA series as adjusted in step 5. These are the adjusted RBA 10 year spreads.</w:t>
      </w:r>
      <w:r w:rsidRPr="00FB18DC">
        <w:rPr>
          <w:rStyle w:val="AERsuperscript"/>
        </w:rPr>
        <w:footnoteReference w:id="1276"/>
      </w:r>
    </w:p>
    <w:p w:rsidR="00972CF8" w:rsidRPr="00FB18DC" w:rsidRDefault="00972CF8" w:rsidP="00972CF8">
      <w:pPr>
        <w:numPr>
          <w:ilvl w:val="1"/>
          <w:numId w:val="25"/>
        </w:numPr>
      </w:pPr>
      <w:r w:rsidRPr="00FB18DC">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972CF8" w:rsidRPr="00FB18DC" w:rsidRDefault="00972CF8" w:rsidP="00972CF8">
      <w:pPr>
        <w:pStyle w:val="AERquote"/>
      </w:pPr>
      <w:proofErr w:type="gramStart"/>
      <w:r w:rsidRPr="00FB18DC">
        <w:t>spread</w:t>
      </w:r>
      <w:proofErr w:type="gramEnd"/>
      <w:r w:rsidRPr="00FB18DC">
        <w:t xml:space="preserve"> </w:t>
      </w:r>
      <w:r w:rsidRPr="004842DA">
        <w:rPr>
          <w:rStyle w:val="AERsubscript"/>
        </w:rPr>
        <w:t>interpolated</w:t>
      </w:r>
      <w:r w:rsidRPr="00FB18DC">
        <w:t xml:space="preserve"> = spread </w:t>
      </w:r>
      <w:r w:rsidRPr="004842DA">
        <w:rPr>
          <w:rStyle w:val="AERsubscript"/>
        </w:rPr>
        <w:t>first straddling publication date</w:t>
      </w:r>
      <w:r w:rsidRPr="00FB18DC">
        <w:t xml:space="preserve"> + (date </w:t>
      </w:r>
      <w:r w:rsidRPr="004842DA">
        <w:rPr>
          <w:rStyle w:val="AERsubscript"/>
        </w:rPr>
        <w:t>interpolation</w:t>
      </w:r>
      <w:r w:rsidRPr="00FB18DC">
        <w:t xml:space="preserve"> - date </w:t>
      </w:r>
      <w:r w:rsidRPr="004842DA">
        <w:rPr>
          <w:rStyle w:val="AERsubscript"/>
        </w:rPr>
        <w:t>first straddling publication date</w:t>
      </w:r>
      <w:r w:rsidRPr="00FB18DC">
        <w:t xml:space="preserve">) * (spread </w:t>
      </w:r>
      <w:r w:rsidRPr="004842DA">
        <w:rPr>
          <w:rStyle w:val="AERsubscript"/>
        </w:rPr>
        <w:t>second straddling publication date</w:t>
      </w:r>
      <w:r w:rsidRPr="00FB18DC">
        <w:t xml:space="preserve"> - spread </w:t>
      </w:r>
      <w:r w:rsidRPr="004842DA">
        <w:rPr>
          <w:rStyle w:val="AERsubscript"/>
        </w:rPr>
        <w:t>first straddling publication date</w:t>
      </w:r>
      <w:r w:rsidRPr="00FB18DC">
        <w:t xml:space="preserve">) / (date </w:t>
      </w:r>
      <w:r w:rsidRPr="004842DA">
        <w:rPr>
          <w:rStyle w:val="AERsubscript"/>
        </w:rPr>
        <w:t>second straddling publication date</w:t>
      </w:r>
      <w:r w:rsidRPr="00FB18DC">
        <w:t xml:space="preserve"> - date </w:t>
      </w:r>
      <w:r w:rsidRPr="004842DA">
        <w:rPr>
          <w:rStyle w:val="AERsubscript"/>
        </w:rPr>
        <w:t>first straddling publication date</w:t>
      </w:r>
      <w:r w:rsidRPr="00FB18DC">
        <w:t>)</w:t>
      </w:r>
    </w:p>
    <w:p w:rsidR="00972CF8" w:rsidRPr="00FB18DC" w:rsidRDefault="00972CF8" w:rsidP="00972CF8">
      <w:pPr>
        <w:pStyle w:val="AERquote"/>
      </w:pPr>
      <w:r w:rsidRPr="00FB18DC">
        <w:t xml:space="preserve">Note: If the annual return on debt estimate must be finalised before a final published RBA month-end estimate is available, hold the last observed RBA spread constant to the end of the averaging period. </w:t>
      </w:r>
    </w:p>
    <w:p w:rsidR="00972CF8" w:rsidRPr="00FB18DC" w:rsidRDefault="00972CF8" w:rsidP="00972CF8">
      <w:pPr>
        <w:numPr>
          <w:ilvl w:val="1"/>
          <w:numId w:val="25"/>
        </w:numPr>
      </w:pPr>
      <w:r w:rsidRPr="00FB18DC">
        <w:t>Add to these daily spreads (from step 8), daily interpolated estimates of the CGS (from step 4) for all business days in the service providers averaging period. Specifically:</w:t>
      </w:r>
    </w:p>
    <w:p w:rsidR="00972CF8" w:rsidRPr="00FB18DC" w:rsidRDefault="00972CF8" w:rsidP="00972CF8">
      <w:pPr>
        <w:numPr>
          <w:ilvl w:val="2"/>
          <w:numId w:val="25"/>
        </w:numPr>
      </w:pPr>
      <w:r w:rsidRPr="00FB18DC">
        <w:t xml:space="preserve"> </w:t>
      </w:r>
      <w:proofErr w:type="gramStart"/>
      <w:r w:rsidRPr="00FB18DC">
        <w:t>add</w:t>
      </w:r>
      <w:proofErr w:type="gramEnd"/>
      <w:r w:rsidRPr="00FB18DC">
        <w:t xml:space="preserve"> the 7 year interpolated CGS estimates to the 7 year interpolated RBA spreads. These are the interpolated RBA daily 7-year yield estimates.</w:t>
      </w:r>
    </w:p>
    <w:p w:rsidR="00972CF8" w:rsidRPr="00FB18DC" w:rsidRDefault="00972CF8" w:rsidP="00972CF8">
      <w:pPr>
        <w:numPr>
          <w:ilvl w:val="2"/>
          <w:numId w:val="25"/>
        </w:numPr>
      </w:pPr>
      <w:r w:rsidRPr="00FB18DC">
        <w:t xml:space="preserve"> </w:t>
      </w:r>
      <w:proofErr w:type="gramStart"/>
      <w:r w:rsidRPr="00FB18DC">
        <w:t>add</w:t>
      </w:r>
      <w:proofErr w:type="gramEnd"/>
      <w:r w:rsidRPr="00FB18DC">
        <w:t xml:space="preserve"> the 10 year interpolated CGS estimate to the 10 year interpolated RBA spread. These are the interpolated RBA daily 10-year yield estimates.</w:t>
      </w:r>
    </w:p>
    <w:p w:rsidR="00972CF8" w:rsidRPr="00FB18DC" w:rsidRDefault="00972CF8" w:rsidP="00972CF8">
      <w:pPr>
        <w:numPr>
          <w:ilvl w:val="1"/>
          <w:numId w:val="25"/>
        </w:numPr>
      </w:pPr>
      <w:r w:rsidRPr="00FB18DC">
        <w:t>Convert the interpolated daily yield estimates (from step 9) to effective annual rates, using the formula:</w:t>
      </w:r>
      <w:r w:rsidRPr="004842DA">
        <w:rPr>
          <w:rStyle w:val="AERsuperscript"/>
        </w:rPr>
        <w:footnoteReference w:id="1277"/>
      </w:r>
    </w:p>
    <w:p w:rsidR="00972CF8" w:rsidRPr="00FB18DC" w:rsidRDefault="00972CF8" w:rsidP="00972CF8">
      <w:pPr>
        <w:pStyle w:val="AERquote"/>
      </w:pPr>
      <w:proofErr w:type="gramStart"/>
      <w:r w:rsidRPr="00FB18DC">
        <w:t>effective</w:t>
      </w:r>
      <w:proofErr w:type="gramEnd"/>
      <w:r w:rsidRPr="00FB18DC">
        <w:t xml:space="preserve"> annual rate = ((1 + yield / 200)</w:t>
      </w:r>
      <w:r w:rsidRPr="00FB18DC">
        <w:rPr>
          <w:rStyle w:val="AERsuperscript"/>
        </w:rPr>
        <w:t>2</w:t>
      </w:r>
      <w:r w:rsidRPr="00FB18DC">
        <w:t xml:space="preserve"> - 1)*100</w:t>
      </w:r>
    </w:p>
    <w:p w:rsidR="00972CF8" w:rsidRPr="00FB18DC" w:rsidRDefault="00972CF8" w:rsidP="00972CF8">
      <w:pPr>
        <w:numPr>
          <w:ilvl w:val="1"/>
          <w:numId w:val="25"/>
        </w:numPr>
      </w:pPr>
      <w:r w:rsidRPr="00FB18DC">
        <w:t xml:space="preserve">Average the yield estimate for the 10 year RBA yield estimate over all business days in </w:t>
      </w:r>
      <w:r w:rsidR="00DB49B0">
        <w:t>AusNet Services'</w:t>
      </w:r>
      <w:r w:rsidRPr="00FB18DC">
        <w:t xml:space="preserve"> averaging period. This is our adjusted RBA estimate.</w:t>
      </w:r>
    </w:p>
    <w:p w:rsidR="00972CF8" w:rsidRPr="00FB18DC" w:rsidRDefault="00972CF8" w:rsidP="00972CF8">
      <w:pPr>
        <w:numPr>
          <w:ilvl w:val="0"/>
          <w:numId w:val="25"/>
        </w:numPr>
        <w:rPr>
          <w:rStyle w:val="AERtextitalic"/>
        </w:rPr>
      </w:pPr>
      <w:r w:rsidRPr="00FB18DC">
        <w:rPr>
          <w:rStyle w:val="AERtextitalic"/>
        </w:rPr>
        <w:t>Calculation of the adjusted BVAL estimate</w:t>
      </w:r>
    </w:p>
    <w:p w:rsidR="00972CF8" w:rsidRPr="00FB18DC" w:rsidRDefault="00972CF8" w:rsidP="00DC0445">
      <w:pPr>
        <w:numPr>
          <w:ilvl w:val="1"/>
          <w:numId w:val="25"/>
        </w:numPr>
      </w:pPr>
      <w:r w:rsidRPr="00FB18DC">
        <w:t>For dates after 14 April 2015, download the 10 year Corporate BBB rated Australian BVAL curve (BVC</w:t>
      </w:r>
      <w:r>
        <w:t>S</w:t>
      </w:r>
      <w:r w:rsidRPr="00FB18DC">
        <w:t>AB10).</w:t>
      </w:r>
      <w:r w:rsidR="00DB49B0">
        <w:rPr>
          <w:rStyle w:val="FootnoteReference"/>
        </w:rPr>
        <w:footnoteReference w:id="1278"/>
      </w:r>
      <w:r w:rsidRPr="00FB18DC">
        <w:t xml:space="preserve"> </w:t>
      </w:r>
    </w:p>
    <w:p w:rsidR="00972CF8" w:rsidRPr="00FB18DC" w:rsidRDefault="00DB49B0" w:rsidP="00972CF8">
      <w:pPr>
        <w:numPr>
          <w:ilvl w:val="1"/>
          <w:numId w:val="25"/>
        </w:numPr>
      </w:pPr>
      <w:r>
        <w:t>C</w:t>
      </w:r>
      <w:r w:rsidR="00972CF8" w:rsidRPr="00FB18DC">
        <w:t xml:space="preserve">onvert the 10 year yields into effective annual rates, using the formula: </w:t>
      </w:r>
    </w:p>
    <w:p w:rsidR="00972CF8" w:rsidRPr="00FB18DC" w:rsidRDefault="00972CF8" w:rsidP="00972CF8">
      <w:pPr>
        <w:pStyle w:val="AERquote"/>
      </w:pPr>
      <w:proofErr w:type="gramStart"/>
      <w:r w:rsidRPr="00FB18DC">
        <w:t>effective</w:t>
      </w:r>
      <w:proofErr w:type="gramEnd"/>
      <w:r w:rsidRPr="00FB18DC">
        <w:t xml:space="preserve"> annual rate = ((1 + yield / 200 )</w:t>
      </w:r>
      <w:r w:rsidRPr="00FB18DC">
        <w:rPr>
          <w:rStyle w:val="AERsuperscript"/>
        </w:rPr>
        <w:t>2</w:t>
      </w:r>
      <w:r w:rsidRPr="00FB18DC">
        <w:t xml:space="preserve"> - 1)*100</w:t>
      </w:r>
    </w:p>
    <w:p w:rsidR="00972CF8" w:rsidRPr="00FB18DC" w:rsidRDefault="00972CF8" w:rsidP="00972CF8">
      <w:pPr>
        <w:numPr>
          <w:ilvl w:val="1"/>
          <w:numId w:val="25"/>
        </w:numPr>
      </w:pPr>
      <w:r w:rsidRPr="00FB18DC">
        <w:t xml:space="preserve">Average the extrapolated daily estimates of the BVAL 10 year yield over all business days in the </w:t>
      </w:r>
      <w:r w:rsidR="00DB49B0">
        <w:t>AusNet Services'</w:t>
      </w:r>
      <w:r w:rsidRPr="00FB18DC">
        <w:t xml:space="preserve"> averaging period. This is our adjusted BVAL estimate.</w:t>
      </w:r>
    </w:p>
    <w:p w:rsidR="00972CF8" w:rsidRPr="00FB18DC" w:rsidRDefault="00972CF8" w:rsidP="00972CF8">
      <w:pPr>
        <w:numPr>
          <w:ilvl w:val="0"/>
          <w:numId w:val="25"/>
        </w:numPr>
        <w:rPr>
          <w:rStyle w:val="AERtextitalic"/>
        </w:rPr>
      </w:pPr>
      <w:r w:rsidRPr="00FB18DC">
        <w:rPr>
          <w:rStyle w:val="AERtextitalic"/>
        </w:rPr>
        <w:t>Final estimate</w:t>
      </w:r>
    </w:p>
    <w:p w:rsidR="00972CF8" w:rsidRPr="00FB18DC" w:rsidRDefault="00972CF8" w:rsidP="00972CF8">
      <w:pPr>
        <w:numPr>
          <w:ilvl w:val="0"/>
          <w:numId w:val="25"/>
        </w:numPr>
      </w:pPr>
      <w:r w:rsidRPr="00FB18DC">
        <w:t>Take the simple average of the adjusted RBA estimate (from step 11 in the RBA data section) and the adjusted BVAL estimate (from step 4 in the BVAL data section). This is the annual estimate of the return on debt.</w:t>
      </w:r>
    </w:p>
    <w:p w:rsidR="00972CF8" w:rsidRPr="00FB18DC" w:rsidRDefault="00972CF8" w:rsidP="00972CF8">
      <w:pPr>
        <w:pStyle w:val="Heading9"/>
      </w:pPr>
      <w:bookmarkStart w:id="451" w:name="_Toc433457170"/>
      <w:bookmarkStart w:id="452" w:name="_Toc450916274"/>
      <w:bookmarkStart w:id="453" w:name="_Ref451901059"/>
      <w:bookmarkStart w:id="454" w:name="_Toc452629170"/>
      <w:bookmarkStart w:id="455" w:name="_Toc456686787"/>
      <w:r w:rsidRPr="00FB18DC">
        <w:t>Choice of data series—Contingencies</w:t>
      </w:r>
      <w:bookmarkEnd w:id="451"/>
      <w:bookmarkEnd w:id="452"/>
      <w:bookmarkEnd w:id="453"/>
      <w:bookmarkEnd w:id="454"/>
      <w:bookmarkEnd w:id="455"/>
    </w:p>
    <w:p w:rsidR="00972CF8" w:rsidRPr="00FB18DC" w:rsidRDefault="00972CF8" w:rsidP="00972CF8">
      <w:r w:rsidRPr="00FB18DC">
        <w:t xml:space="preserve">Our </w:t>
      </w:r>
      <w:r w:rsidR="00330D30">
        <w:t xml:space="preserve">draft </w:t>
      </w:r>
      <w:r w:rsidRPr="00FB18DC">
        <w:t xml:space="preserve">decision is to largely maintain the set of contingencies as set out in our recent decisions. </w:t>
      </w:r>
    </w:p>
    <w:p w:rsidR="00972CF8" w:rsidRPr="00FB18DC" w:rsidRDefault="00972CF8" w:rsidP="00972CF8">
      <w:r w:rsidRPr="00FB18DC">
        <w:t>We have made our decision based on the information and third party data that is currently available</w:t>
      </w:r>
      <w:r>
        <w:t>, subject to consultation and review</w:t>
      </w:r>
      <w:r w:rsidRPr="00FB18DC">
        <w:t>.</w:t>
      </w:r>
      <w:r w:rsidRPr="00FB18DC">
        <w:rPr>
          <w:rStyle w:val="FootnoteReference"/>
        </w:rPr>
        <w:footnoteReference w:id="1279"/>
      </w:r>
      <w:r w:rsidRPr="00FB18DC">
        <w:t xml:space="preserve"> </w:t>
      </w:r>
      <w:r>
        <w:t xml:space="preserve"> For clarity, we do not estimate the allowed return on debt with reference to one particular third party data series (the Reuters curve), which we have had limited opportunity to consult on using or to review.</w:t>
      </w:r>
      <w:r>
        <w:rPr>
          <w:rStyle w:val="FootnoteReference"/>
        </w:rPr>
        <w:footnoteReference w:id="1280"/>
      </w:r>
      <w:r>
        <w:t xml:space="preserve">  </w:t>
      </w:r>
    </w:p>
    <w:p w:rsidR="00972CF8" w:rsidRPr="00FB18DC" w:rsidRDefault="00972CF8" w:rsidP="00972CF8">
      <w:r w:rsidRPr="00FB18DC">
        <w:t>We have set out a series of contingencies</w:t>
      </w:r>
      <w:r>
        <w:t xml:space="preserve">. This is important because </w:t>
      </w:r>
      <w:r w:rsidRPr="00FB18DC">
        <w:t xml:space="preserve">the availability of third party data </w:t>
      </w:r>
      <w:r>
        <w:t xml:space="preserve">can </w:t>
      </w:r>
      <w:r w:rsidRPr="00FB18DC">
        <w:t>change</w:t>
      </w:r>
      <w:r>
        <w:t xml:space="preserve"> and we have determined to</w:t>
      </w:r>
      <w:r w:rsidRPr="00FB18DC">
        <w:t xml:space="preserve"> annually update the trailing average portfolio return on debt. Under the rules, the change in revenue resulting from the annual update must occur by automatic application of a formula that is specified in the</w:t>
      </w:r>
      <w:r w:rsidR="00330D30">
        <w:t xml:space="preserve"> revenue determination</w:t>
      </w:r>
      <w:r w:rsidRPr="00FB18DC">
        <w:t>.</w:t>
      </w:r>
      <w:r w:rsidRPr="00FB18DC">
        <w:rPr>
          <w:rStyle w:val="AERsuperscript"/>
        </w:rPr>
        <w:t xml:space="preserve"> </w:t>
      </w:r>
      <w:r w:rsidRPr="00FB18DC">
        <w:rPr>
          <w:rStyle w:val="AERsuperscript"/>
        </w:rPr>
        <w:footnoteReference w:id="1281"/>
      </w:r>
      <w:r w:rsidRPr="00FB18DC">
        <w:t xml:space="preserve"> This means that our decision on how to apply these third party data sources must be fully specified upfront in the determination, and must be capable of application over the regulatory control period without the use of subsequent judgement or discretion. For this reason, we have set out a series of contingencies in </w:t>
      </w:r>
      <w:r>
        <w:fldChar w:fldCharType="begin"/>
      </w:r>
      <w:r>
        <w:instrText xml:space="preserve"> REF  _Ref450564000 \* Lower \h </w:instrText>
      </w:r>
      <w:r>
        <w:fldChar w:fldCharType="separate"/>
      </w:r>
      <w:r w:rsidR="003F1AAB" w:rsidRPr="00FB18DC">
        <w:t xml:space="preserve">table </w:t>
      </w:r>
      <w:r w:rsidR="003F1AAB">
        <w:rPr>
          <w:noProof/>
        </w:rPr>
        <w:t>3</w:t>
      </w:r>
      <w:r w:rsidR="003F1AAB">
        <w:noBreakHyphen/>
      </w:r>
      <w:r w:rsidR="003F1AAB">
        <w:rPr>
          <w:noProof/>
        </w:rPr>
        <w:t>44</w:t>
      </w:r>
      <w:r>
        <w:fldChar w:fldCharType="end"/>
      </w:r>
      <w:r>
        <w:t xml:space="preserve"> </w:t>
      </w:r>
      <w:r w:rsidRPr="00FB18DC">
        <w:t>below. These describe how we propose to estimate the annual return on debt in the event of revisions in the RBA's or Bloomberg's methodologies or other changes to data availability.</w:t>
      </w:r>
    </w:p>
    <w:p w:rsidR="00972CF8" w:rsidRPr="00FB18DC" w:rsidRDefault="00972CF8" w:rsidP="00972CF8">
      <w:pPr>
        <w:pStyle w:val="Caption"/>
      </w:pPr>
      <w:bookmarkStart w:id="456" w:name="_Ref450564000"/>
      <w:r w:rsidRPr="00FB18DC">
        <w:t xml:space="preserve">Table </w:t>
      </w:r>
      <w:fldSimple w:instr=" STYLEREF 1 \s ">
        <w:r w:rsidR="003F1AAB">
          <w:rPr>
            <w:noProof/>
          </w:rPr>
          <w:t>3</w:t>
        </w:r>
      </w:fldSimple>
      <w:r>
        <w:noBreakHyphen/>
      </w:r>
      <w:fldSimple w:instr=" SEQ Table \* ARABIC \s 1 ">
        <w:r w:rsidR="003F1AAB">
          <w:rPr>
            <w:noProof/>
          </w:rPr>
          <w:t>44</w:t>
        </w:r>
      </w:fldSimple>
      <w:bookmarkEnd w:id="456"/>
      <w:r w:rsidRPr="00FB18DC">
        <w:tab/>
        <w:t>Contingency approaches to choice of data series</w:t>
      </w:r>
    </w:p>
    <w:tbl>
      <w:tblPr>
        <w:tblStyle w:val="AERtable-text0"/>
        <w:tblW w:w="4966" w:type="pct"/>
        <w:tblLook w:val="04A0" w:firstRow="1" w:lastRow="0" w:firstColumn="1" w:lastColumn="0" w:noHBand="0" w:noVBand="1"/>
      </w:tblPr>
      <w:tblGrid>
        <w:gridCol w:w="2523"/>
        <w:gridCol w:w="6111"/>
      </w:tblGrid>
      <w:tr w:rsidR="00972CF8" w:rsidRPr="00BB7AB1" w:rsidTr="00E42A91">
        <w:trPr>
          <w:cnfStyle w:val="100000000000" w:firstRow="1" w:lastRow="0" w:firstColumn="0" w:lastColumn="0" w:oddVBand="0" w:evenVBand="0" w:oddHBand="0" w:evenHBand="0" w:firstRowFirstColumn="0" w:firstRowLastColumn="0" w:lastRowFirstColumn="0" w:lastRowLastColumn="0"/>
          <w:tblHeader/>
        </w:trPr>
        <w:tc>
          <w:tcPr>
            <w:tcW w:w="1461" w:type="pct"/>
          </w:tcPr>
          <w:p w:rsidR="00972CF8" w:rsidRPr="00FB18DC" w:rsidRDefault="00972CF8" w:rsidP="00972CF8">
            <w:pPr>
              <w:numPr>
                <w:ilvl w:val="0"/>
                <w:numId w:val="25"/>
              </w:numPr>
            </w:pPr>
            <w:r w:rsidRPr="00FB18DC">
              <w:t>Event</w:t>
            </w:r>
          </w:p>
        </w:tc>
        <w:tc>
          <w:tcPr>
            <w:tcW w:w="3539" w:type="pct"/>
          </w:tcPr>
          <w:p w:rsidR="00972CF8" w:rsidRPr="00FB18DC" w:rsidRDefault="00972CF8" w:rsidP="00972CF8">
            <w:pPr>
              <w:numPr>
                <w:ilvl w:val="0"/>
                <w:numId w:val="25"/>
              </w:numPr>
            </w:pPr>
            <w:r w:rsidRPr="00FB18DC">
              <w:t>Changes to approach</w:t>
            </w:r>
          </w:p>
        </w:tc>
      </w:tr>
      <w:tr w:rsidR="00972CF8" w:rsidRPr="00BB7AB1" w:rsidTr="00E42A91">
        <w:tc>
          <w:tcPr>
            <w:tcW w:w="1461" w:type="pct"/>
          </w:tcPr>
          <w:p w:rsidR="00972CF8" w:rsidRPr="00FB18DC" w:rsidRDefault="00972CF8" w:rsidP="00972CF8">
            <w:pPr>
              <w:numPr>
                <w:ilvl w:val="0"/>
                <w:numId w:val="25"/>
              </w:numPr>
            </w:pPr>
            <w:r w:rsidRPr="00FB18DC">
              <w:t>Either the RBA or Bloomberg ceases publication of Australian yield curves that reflect a broad BBB rating.</w:t>
            </w:r>
          </w:p>
        </w:tc>
        <w:tc>
          <w:tcPr>
            <w:tcW w:w="3539" w:type="pct"/>
          </w:tcPr>
          <w:p w:rsidR="00972CF8" w:rsidRPr="00FB18DC" w:rsidRDefault="00972CF8" w:rsidP="00972CF8">
            <w:pPr>
              <w:numPr>
                <w:ilvl w:val="0"/>
                <w:numId w:val="25"/>
              </w:numPr>
            </w:pPr>
            <w:r w:rsidRPr="00FB18DC">
              <w:t>We will estimate the annual return on debt using the remaining curve.</w:t>
            </w:r>
          </w:p>
        </w:tc>
      </w:tr>
      <w:tr w:rsidR="00972CF8" w:rsidRPr="00BB7AB1" w:rsidTr="00E42A91">
        <w:trPr>
          <w:cnfStyle w:val="000000010000" w:firstRow="0" w:lastRow="0" w:firstColumn="0" w:lastColumn="0" w:oddVBand="0" w:evenVBand="0" w:oddHBand="0" w:evenHBand="1" w:firstRowFirstColumn="0" w:firstRowLastColumn="0" w:lastRowFirstColumn="0" w:lastRowLastColumn="0"/>
        </w:trPr>
        <w:tc>
          <w:tcPr>
            <w:tcW w:w="1461" w:type="pct"/>
          </w:tcPr>
          <w:p w:rsidR="00972CF8" w:rsidRPr="00FB18DC" w:rsidRDefault="00972CF8" w:rsidP="00972CF8">
            <w:pPr>
              <w:numPr>
                <w:ilvl w:val="0"/>
                <w:numId w:val="25"/>
              </w:numPr>
            </w:pPr>
            <w:r w:rsidRPr="00FB18DC">
              <w:t>A different third party commences publication of a 10 year yield estimate</w:t>
            </w:r>
            <w:r>
              <w:t xml:space="preserve"> (or we are made aware of a different third party publishing a 10 year yield estimate)</w:t>
            </w:r>
            <w:r w:rsidRPr="00FB18DC">
              <w:t>.</w:t>
            </w:r>
            <w:r>
              <w:rPr>
                <w:rStyle w:val="FootnoteReference"/>
              </w:rPr>
              <w:footnoteReference w:id="1282"/>
            </w:r>
          </w:p>
        </w:tc>
        <w:tc>
          <w:tcPr>
            <w:tcW w:w="3539" w:type="pct"/>
          </w:tcPr>
          <w:p w:rsidR="00972CF8" w:rsidRPr="00FB18DC" w:rsidRDefault="00972CF8" w:rsidP="00972CF8">
            <w:pPr>
              <w:numPr>
                <w:ilvl w:val="0"/>
                <w:numId w:val="25"/>
              </w:numPr>
            </w:pPr>
            <w:r w:rsidRPr="00FB18DC">
              <w:t xml:space="preserve">We will not apply estimates from a third party data provider that we have not evaluated and included in our final decision approach. We will consider any new data sources in future determinations. </w:t>
            </w:r>
          </w:p>
        </w:tc>
      </w:tr>
      <w:tr w:rsidR="00972CF8" w:rsidRPr="00BB7AB1" w:rsidTr="00E42A91">
        <w:tc>
          <w:tcPr>
            <w:tcW w:w="1461" w:type="pct"/>
          </w:tcPr>
          <w:p w:rsidR="00972CF8" w:rsidRPr="00FB18DC" w:rsidRDefault="00972CF8" w:rsidP="00972CF8">
            <w:pPr>
              <w:numPr>
                <w:ilvl w:val="0"/>
                <w:numId w:val="25"/>
              </w:numPr>
            </w:pPr>
            <w:r w:rsidRPr="00FB18DC">
              <w:t>Either Bloomberg or RBA substitutes its current methodology for a revised or updated methodology.</w:t>
            </w:r>
          </w:p>
        </w:tc>
        <w:tc>
          <w:tcPr>
            <w:tcW w:w="3539" w:type="pct"/>
          </w:tcPr>
          <w:p w:rsidR="00972CF8" w:rsidRPr="00FB18DC" w:rsidRDefault="00972CF8" w:rsidP="00972CF8">
            <w:pPr>
              <w:numPr>
                <w:ilvl w:val="0"/>
                <w:numId w:val="25"/>
              </w:numPr>
            </w:pPr>
            <w:r w:rsidRPr="00FB18DC">
              <w:t>We will adopt the revised or updated methodology. Then, at the next regulatory determination, we will review this updated methodology. As noted above, we would also review any new data sources.</w:t>
            </w:r>
          </w:p>
          <w:p w:rsidR="00972CF8" w:rsidRPr="00FB18DC" w:rsidRDefault="00972CF8" w:rsidP="00330D30">
            <w:pPr>
              <w:numPr>
                <w:ilvl w:val="0"/>
                <w:numId w:val="25"/>
              </w:numPr>
            </w:pPr>
            <w:r w:rsidRPr="00FB18DC">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p>
        </w:tc>
      </w:tr>
      <w:tr w:rsidR="00972CF8" w:rsidRPr="00BB7AB1" w:rsidTr="00E42A91">
        <w:trPr>
          <w:cnfStyle w:val="000000010000" w:firstRow="0" w:lastRow="0" w:firstColumn="0" w:lastColumn="0" w:oddVBand="0" w:evenVBand="0" w:oddHBand="0" w:evenHBand="1" w:firstRowFirstColumn="0" w:firstRowLastColumn="0" w:lastRowFirstColumn="0" w:lastRowLastColumn="0"/>
        </w:trPr>
        <w:tc>
          <w:tcPr>
            <w:tcW w:w="1461" w:type="pct"/>
          </w:tcPr>
          <w:p w:rsidR="00972CF8" w:rsidRPr="00FB18DC" w:rsidRDefault="00972CF8" w:rsidP="00972CF8">
            <w:pPr>
              <w:numPr>
                <w:ilvl w:val="0"/>
                <w:numId w:val="25"/>
              </w:numPr>
            </w:pPr>
            <w:r w:rsidRPr="00FB18DC">
              <w:t>Bloomberg reduces the maximum published BVAL term from 10 years</w:t>
            </w:r>
            <w:r>
              <w:t>.</w:t>
            </w:r>
          </w:p>
        </w:tc>
        <w:tc>
          <w:tcPr>
            <w:tcW w:w="3539" w:type="pct"/>
          </w:tcPr>
          <w:p w:rsidR="00972CF8" w:rsidRPr="00FB18DC" w:rsidRDefault="00972CF8" w:rsidP="00972CF8">
            <w:pPr>
              <w:numPr>
                <w:ilvl w:val="0"/>
                <w:numId w:val="25"/>
              </w:numPr>
            </w:pPr>
            <w:r w:rsidRPr="00FB18DC">
              <w:t>If Bloomberg still publishes the BVAL curve to 5 or more years, we will extrapolate the BVAL curve from the longest published term</w:t>
            </w:r>
            <w:r w:rsidR="00FD1D42">
              <w:t xml:space="preserve"> to 10 years</w:t>
            </w:r>
            <w:r w:rsidRPr="00FB18DC">
              <w:t xml:space="preserve"> using the </w:t>
            </w:r>
            <w:r w:rsidR="00FD1D42">
              <w:t xml:space="preserve">corresponding </w:t>
            </w:r>
            <w:r w:rsidRPr="00FB18DC">
              <w:t xml:space="preserve">yield margin from the RBA curve. </w:t>
            </w:r>
            <w:r w:rsidR="00FD1D42">
              <w:rPr>
                <w:rStyle w:val="FootnoteReference"/>
              </w:rPr>
              <w:footnoteReference w:id="1283"/>
            </w:r>
          </w:p>
          <w:p w:rsidR="00972CF8" w:rsidRPr="00FB18DC" w:rsidRDefault="00972CF8" w:rsidP="00972CF8">
            <w:pPr>
              <w:numPr>
                <w:ilvl w:val="0"/>
                <w:numId w:val="25"/>
              </w:numPr>
            </w:pPr>
            <w:r w:rsidRPr="00FB18DC">
              <w:t>If Bloomberg no longer publishes the BVAL curve to 5 years, we will rely entirely on the RBA curve.</w:t>
            </w:r>
          </w:p>
        </w:tc>
      </w:tr>
      <w:tr w:rsidR="00972CF8" w:rsidRPr="00BB7AB1" w:rsidTr="00E42A91">
        <w:tc>
          <w:tcPr>
            <w:tcW w:w="1461" w:type="pct"/>
          </w:tcPr>
          <w:p w:rsidR="00972CF8" w:rsidRPr="00FB18DC" w:rsidRDefault="00972CF8" w:rsidP="00972CF8">
            <w:pPr>
              <w:numPr>
                <w:ilvl w:val="0"/>
                <w:numId w:val="25"/>
              </w:numPr>
            </w:pPr>
            <w:r w:rsidRPr="00FB18DC">
              <w:t>The RBA ceases publication of a 10 year yield estimate.</w:t>
            </w:r>
            <w:r w:rsidRPr="00FB18DC">
              <w:tab/>
            </w:r>
          </w:p>
        </w:tc>
        <w:tc>
          <w:tcPr>
            <w:tcW w:w="3539" w:type="pct"/>
          </w:tcPr>
          <w:p w:rsidR="00972CF8" w:rsidRPr="00FB18DC" w:rsidRDefault="00972CF8" w:rsidP="00972CF8">
            <w:pPr>
              <w:numPr>
                <w:ilvl w:val="0"/>
                <w:numId w:val="25"/>
              </w:numPr>
            </w:pPr>
            <w:r w:rsidRPr="00FB18DC">
              <w:t>If the RBA ceases publication of a 10 year yield estimate, we will extrapolate the RBA estimate to 10 years using:</w:t>
            </w:r>
          </w:p>
          <w:p w:rsidR="00972CF8" w:rsidRPr="00972CF8" w:rsidRDefault="00972CF8" w:rsidP="00972CF8">
            <w:pPr>
              <w:pStyle w:val="AERbulletlistfirststyle"/>
            </w:pPr>
            <w:r w:rsidRPr="00FB18DC">
              <w:t>if available, the margin between spreads in the Bloomberg curve,</w:t>
            </w:r>
            <w:r w:rsidRPr="00972CF8">
              <w:rPr>
                <w:rStyle w:val="FootnoteReference"/>
              </w:rPr>
              <w:footnoteReference w:id="1284"/>
            </w:r>
            <w:r w:rsidRPr="00972CF8">
              <w:t xml:space="preserve"> from the RBA's longest published target term to 10 years</w:t>
            </w:r>
          </w:p>
          <w:p w:rsidR="00972CF8" w:rsidRPr="00972CF8" w:rsidRDefault="00972CF8" w:rsidP="00972CF8">
            <w:pPr>
              <w:pStyle w:val="AERbulletlistfirststyle"/>
            </w:pPr>
            <w:proofErr w:type="gramStart"/>
            <w:r w:rsidRPr="00FB18DC">
              <w:t>otherwise</w:t>
            </w:r>
            <w:proofErr w:type="gramEnd"/>
            <w:r w:rsidRPr="00FB18DC">
              <w:t>, the actual CGS margin from the RBA's longest published estimate to 10 years, plus the average DRP spread for the same term margin over the last month prior to the end of its publication.</w:t>
            </w:r>
          </w:p>
        </w:tc>
      </w:tr>
      <w:tr w:rsidR="00972CF8" w:rsidRPr="00BB7AB1" w:rsidTr="00E42A91">
        <w:trPr>
          <w:cnfStyle w:val="000000010000" w:firstRow="0" w:lastRow="0" w:firstColumn="0" w:lastColumn="0" w:oddVBand="0" w:evenVBand="0" w:oddHBand="0" w:evenHBand="1" w:firstRowFirstColumn="0" w:firstRowLastColumn="0" w:lastRowFirstColumn="0" w:lastRowLastColumn="0"/>
        </w:trPr>
        <w:tc>
          <w:tcPr>
            <w:tcW w:w="1461" w:type="pct"/>
          </w:tcPr>
          <w:p w:rsidR="00972CF8" w:rsidRPr="00FB18DC" w:rsidRDefault="00972CF8" w:rsidP="00972CF8">
            <w:pPr>
              <w:numPr>
                <w:ilvl w:val="0"/>
                <w:numId w:val="25"/>
              </w:numPr>
            </w:pPr>
            <w:r w:rsidRPr="00FB18DC">
              <w:t>The RBA commences publication of daily estimates.</w:t>
            </w:r>
          </w:p>
        </w:tc>
        <w:tc>
          <w:tcPr>
            <w:tcW w:w="3539" w:type="pct"/>
          </w:tcPr>
          <w:p w:rsidR="00972CF8" w:rsidRPr="00FB18DC" w:rsidRDefault="00972CF8" w:rsidP="00972CF8">
            <w:pPr>
              <w:numPr>
                <w:ilvl w:val="0"/>
                <w:numId w:val="25"/>
              </w:numPr>
            </w:pPr>
            <w:r w:rsidRPr="00FB18DC">
              <w:t>We will cease interpolating the RBA monthly yields. Instead, we will estimate both the RBA yield and the RBA year extrapolation margin (used with the BVAL curve) using these daily estimates.</w:t>
            </w:r>
          </w:p>
        </w:tc>
      </w:tr>
      <w:tr w:rsidR="00972CF8" w:rsidRPr="00BB7AB1" w:rsidTr="00E42A91">
        <w:tc>
          <w:tcPr>
            <w:tcW w:w="1461" w:type="pct"/>
          </w:tcPr>
          <w:p w:rsidR="00972CF8" w:rsidRPr="00FB18DC" w:rsidRDefault="00972CF8" w:rsidP="00972CF8">
            <w:pPr>
              <w:numPr>
                <w:ilvl w:val="0"/>
                <w:numId w:val="25"/>
              </w:numPr>
            </w:pPr>
            <w:r w:rsidRPr="00FB18DC">
              <w:t>Either Bloomberg or the RBA publishes a BBB+ or utilities specific yield curve.</w:t>
            </w:r>
          </w:p>
        </w:tc>
        <w:tc>
          <w:tcPr>
            <w:tcW w:w="3539" w:type="pct"/>
          </w:tcPr>
          <w:p w:rsidR="00972CF8" w:rsidRPr="00FB18DC" w:rsidRDefault="00972CF8" w:rsidP="00972CF8">
            <w:pPr>
              <w:numPr>
                <w:ilvl w:val="0"/>
                <w:numId w:val="25"/>
              </w:numPr>
            </w:pPr>
            <w:r w:rsidRPr="00FB18DC">
              <w:t>We will adopt the BBB+ or utilities curve in place of the provider's existing curve, on the basis that it is a closer fit to our benchmark efficient entity.</w:t>
            </w:r>
          </w:p>
        </w:tc>
      </w:tr>
    </w:tbl>
    <w:p w:rsidR="00972CF8" w:rsidRPr="00FB18DC" w:rsidRDefault="00972CF8" w:rsidP="00972CF8">
      <w:pPr>
        <w:pStyle w:val="AERtablesource"/>
      </w:pPr>
      <w:r w:rsidRPr="00FB18DC">
        <w:t>Source:</w:t>
      </w:r>
      <w:r w:rsidRPr="00FB18DC">
        <w:tab/>
        <w:t>AER analysis</w:t>
      </w:r>
    </w:p>
    <w:p w:rsidR="00972CF8" w:rsidRPr="00FB18DC" w:rsidRDefault="00972CF8" w:rsidP="00972CF8">
      <w:r w:rsidRPr="00FB18DC">
        <w:t>In general, we have decided on these contingencies based on a series of guiding principles. These are that the contingency must:</w:t>
      </w:r>
    </w:p>
    <w:p w:rsidR="00972CF8" w:rsidRPr="00FB18DC" w:rsidRDefault="00972CF8" w:rsidP="00972CF8">
      <w:pPr>
        <w:pStyle w:val="AERbulletlistfirststyle"/>
      </w:pPr>
      <w:r w:rsidRPr="00FB18DC">
        <w:t xml:space="preserve">Be practically implementable—the </w:t>
      </w:r>
      <w:r w:rsidR="00330D30">
        <w:t>NER</w:t>
      </w:r>
      <w:r w:rsidR="00330D30" w:rsidRPr="00FB18DC">
        <w:t xml:space="preserve"> </w:t>
      </w:r>
      <w:r w:rsidRPr="00FB18DC">
        <w:t>require the automatic application of a formula to update the trailing average portfolio return on debt. As a result, we will be unable to analyse changes to the approaches or new approaches during the regulatory control period. Therefore, it is important that any contingency be practical and easily implementable.</w:t>
      </w:r>
    </w:p>
    <w:p w:rsidR="00972CF8" w:rsidRPr="00FB18DC" w:rsidRDefault="00972CF8" w:rsidP="00972CF8">
      <w:pPr>
        <w:pStyle w:val="AERbulletlistfirststyle"/>
      </w:pPr>
      <w:r w:rsidRPr="00FB18DC">
        <w:t>Use the curve in a form as close as possible to its published form—for example, in April 2015 Bloomberg commenced publication of a 10 year BVAL curve. Accordingly, for averaging periods where the 10 year estimate is available, we will adopt this estimate rather than the 7 year BVAL curve extrapolated with RBA data.</w:t>
      </w:r>
    </w:p>
    <w:p w:rsidR="00972CF8" w:rsidRPr="00A42A22" w:rsidRDefault="00972CF8" w:rsidP="00972CF8">
      <w:pPr>
        <w:pStyle w:val="AERbulletlistfirststyle"/>
      </w:pPr>
      <w:r w:rsidRPr="00FB18DC">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A42A22">
        <w:rPr>
          <w:rStyle w:val="FootnoteReference"/>
        </w:rPr>
        <w:footnoteReference w:id="1285"/>
      </w:r>
      <w:r w:rsidRPr="00A42A22">
        <w:t xml:space="preserve"> However, this is not possible during the regulatory control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972CF8" w:rsidRPr="00FB18DC" w:rsidRDefault="00972CF8" w:rsidP="00972CF8">
      <w:pPr>
        <w:pStyle w:val="Heading9"/>
      </w:pPr>
      <w:bookmarkStart w:id="457" w:name="_Toc433457171"/>
      <w:bookmarkStart w:id="458" w:name="_Toc450916275"/>
      <w:bookmarkStart w:id="459" w:name="_Toc452629171"/>
      <w:bookmarkStart w:id="460" w:name="_Toc456686788"/>
      <w:r w:rsidRPr="00FB18DC">
        <w:t>Timing of annual updates</w:t>
      </w:r>
      <w:bookmarkEnd w:id="457"/>
      <w:bookmarkEnd w:id="458"/>
      <w:bookmarkEnd w:id="459"/>
      <w:bookmarkEnd w:id="460"/>
    </w:p>
    <w:p w:rsidR="00972CF8" w:rsidRPr="00FB18DC" w:rsidRDefault="00972CF8" w:rsidP="00972CF8">
      <w:pPr>
        <w:pStyle w:val="ListParagraph"/>
        <w:numPr>
          <w:ilvl w:val="0"/>
          <w:numId w:val="25"/>
        </w:numPr>
      </w:pPr>
      <w:r w:rsidRPr="00FB18DC">
        <w:t xml:space="preserve">Our </w:t>
      </w:r>
      <w:r w:rsidR="00330D30">
        <w:t xml:space="preserve">draft </w:t>
      </w:r>
      <w:r w:rsidRPr="00FB18DC">
        <w:t xml:space="preserve">decision </w:t>
      </w:r>
      <w:r w:rsidR="00F02BF9">
        <w:t xml:space="preserve">is to </w:t>
      </w:r>
      <w:r w:rsidR="00F02BF9" w:rsidRPr="004F2787">
        <w:t xml:space="preserve">complete our annual update debt process by </w:t>
      </w:r>
      <w:r w:rsidR="00F02BF9" w:rsidRPr="00062D9F">
        <w:t>the 6th business day of February</w:t>
      </w:r>
      <w:r w:rsidR="00F02BF9">
        <w:t>. This will allow AusNet to finalise</w:t>
      </w:r>
      <w:r w:rsidR="00F02BF9" w:rsidRPr="004F2787">
        <w:t xml:space="preserve"> transmission prices and </w:t>
      </w:r>
      <w:r w:rsidR="00F02BF9">
        <w:t>notify</w:t>
      </w:r>
      <w:r w:rsidR="00F02BF9" w:rsidRPr="004F2787">
        <w:t xml:space="preserve"> </w:t>
      </w:r>
      <w:r w:rsidR="00F02BF9">
        <w:t>its customers of updated charges. Additionally, we consider this is consistent with the period for notifying other service providers of their updated</w:t>
      </w:r>
      <w:r w:rsidR="00F02BF9" w:rsidRPr="000E04F3">
        <w:t xml:space="preserve"> </w:t>
      </w:r>
      <w:r w:rsidR="00F02BF9">
        <w:t xml:space="preserve">return on </w:t>
      </w:r>
      <w:r w:rsidR="00F02BF9" w:rsidRPr="000E04F3">
        <w:t>debt allowance</w:t>
      </w:r>
      <w:r w:rsidR="00F02BF9">
        <w:t xml:space="preserve"> prior to the start of the regulatory year. </w:t>
      </w:r>
    </w:p>
    <w:p w:rsidR="00972CF8" w:rsidRPr="00FB18DC" w:rsidRDefault="00F02BF9" w:rsidP="00972CF8">
      <w:pPr>
        <w:numPr>
          <w:ilvl w:val="0"/>
          <w:numId w:val="25"/>
        </w:numPr>
      </w:pPr>
      <w:r>
        <w:t xml:space="preserve">The general </w:t>
      </w:r>
      <w:r w:rsidRPr="004057C7">
        <w:t xml:space="preserve">process </w:t>
      </w:r>
      <w:r>
        <w:t>we propose to adopt for the annual debt update</w:t>
      </w:r>
      <w:r w:rsidRPr="004057C7">
        <w:t xml:space="preserve"> </w:t>
      </w:r>
      <w:r>
        <w:t>f</w:t>
      </w:r>
      <w:r w:rsidRPr="004057C7">
        <w:t>or</w:t>
      </w:r>
      <w:r>
        <w:t xml:space="preserve"> AusNet Services is set out in </w:t>
      </w:r>
      <w:r>
        <w:fldChar w:fldCharType="begin"/>
      </w:r>
      <w:r>
        <w:instrText xml:space="preserve"> REF _Ref417964671 \h </w:instrText>
      </w:r>
      <w:r>
        <w:fldChar w:fldCharType="separate"/>
      </w:r>
      <w:r w:rsidR="003F1AAB">
        <w:t xml:space="preserve">Table </w:t>
      </w:r>
      <w:r w:rsidR="003F1AAB">
        <w:rPr>
          <w:noProof/>
        </w:rPr>
        <w:t>3</w:t>
      </w:r>
      <w:r w:rsidR="003F1AAB">
        <w:noBreakHyphen/>
      </w:r>
      <w:r w:rsidR="003F1AAB">
        <w:rPr>
          <w:noProof/>
        </w:rPr>
        <w:t>16</w:t>
      </w:r>
      <w:r>
        <w:fldChar w:fldCharType="end"/>
      </w:r>
      <w:r w:rsidR="00972CF8" w:rsidRPr="00FB18DC">
        <w:t xml:space="preserve">. </w:t>
      </w:r>
      <w:r w:rsidR="002B0A8A">
        <w:t xml:space="preserve">We have </w:t>
      </w:r>
      <w:r w:rsidR="002B0A8A" w:rsidRPr="00FB18DC">
        <w:t xml:space="preserve">considered this process </w:t>
      </w:r>
      <w:r w:rsidR="002B0A8A">
        <w:t>when assessing AusNet Services'</w:t>
      </w:r>
      <w:r w:rsidR="00972CF8" w:rsidRPr="00FB18DC">
        <w:t xml:space="preserve"> proposed averaging periods. </w:t>
      </w:r>
    </w:p>
    <w:p w:rsidR="00F02BF9" w:rsidRPr="004057C7" w:rsidRDefault="00F02BF9" w:rsidP="00F02BF9">
      <w:pPr>
        <w:pStyle w:val="Caption"/>
      </w:pPr>
      <w:r>
        <w:t xml:space="preserve">Table </w:t>
      </w:r>
      <w:fldSimple w:instr=" STYLEREF 1 \s ">
        <w:r w:rsidR="003F1AAB">
          <w:rPr>
            <w:noProof/>
          </w:rPr>
          <w:t>3</w:t>
        </w:r>
      </w:fldSimple>
      <w:r>
        <w:noBreakHyphen/>
      </w:r>
      <w:fldSimple w:instr=" SEQ Table \* ARABIC \s 1 ">
        <w:r w:rsidR="003F1AAB">
          <w:rPr>
            <w:noProof/>
          </w:rPr>
          <w:t>45</w:t>
        </w:r>
      </w:fldSimple>
      <w:r w:rsidRPr="00FB18DC">
        <w:tab/>
        <w:t xml:space="preserve">Annual </w:t>
      </w:r>
      <w:r>
        <w:t>transmission</w:t>
      </w:r>
      <w:r w:rsidRPr="00FB18DC">
        <w:t xml:space="preserve"> </w:t>
      </w:r>
      <w:r>
        <w:t>debt update process</w:t>
      </w:r>
    </w:p>
    <w:tbl>
      <w:tblPr>
        <w:tblStyle w:val="AERtable-text0"/>
        <w:tblW w:w="5000" w:type="pct"/>
        <w:tblLook w:val="04A0" w:firstRow="1" w:lastRow="0" w:firstColumn="1" w:lastColumn="0" w:noHBand="0" w:noVBand="1"/>
      </w:tblPr>
      <w:tblGrid>
        <w:gridCol w:w="650"/>
        <w:gridCol w:w="2144"/>
        <w:gridCol w:w="2655"/>
        <w:gridCol w:w="3244"/>
      </w:tblGrid>
      <w:tr w:rsidR="00F02BF9" w:rsidRPr="00616FA2" w:rsidTr="00592600">
        <w:trPr>
          <w:cnfStyle w:val="100000000000" w:firstRow="1" w:lastRow="0" w:firstColumn="0" w:lastColumn="0" w:oddVBand="0" w:evenVBand="0" w:oddHBand="0" w:evenHBand="0" w:firstRowFirstColumn="0" w:firstRowLastColumn="0" w:lastRowFirstColumn="0" w:lastRowLastColumn="0"/>
        </w:trPr>
        <w:tc>
          <w:tcPr>
            <w:tcW w:w="374" w:type="pct"/>
          </w:tcPr>
          <w:p w:rsidR="00F02BF9" w:rsidRPr="00F02BF9" w:rsidRDefault="00F02BF9" w:rsidP="00F02BF9">
            <w:pPr>
              <w:pStyle w:val="AERtabletextleft"/>
            </w:pPr>
            <w:r w:rsidRPr="00616FA2">
              <w:t>Step</w:t>
            </w:r>
          </w:p>
        </w:tc>
        <w:tc>
          <w:tcPr>
            <w:tcW w:w="1233" w:type="pct"/>
          </w:tcPr>
          <w:p w:rsidR="00F02BF9" w:rsidRPr="00F02BF9" w:rsidRDefault="00F02BF9" w:rsidP="00F02BF9">
            <w:pPr>
              <w:pStyle w:val="AERtabletextleft"/>
            </w:pPr>
            <w:r w:rsidRPr="00616FA2">
              <w:t>Timing</w:t>
            </w:r>
          </w:p>
        </w:tc>
        <w:tc>
          <w:tcPr>
            <w:tcW w:w="1527" w:type="pct"/>
          </w:tcPr>
          <w:p w:rsidR="00F02BF9" w:rsidRPr="00F02BF9" w:rsidRDefault="00F02BF9" w:rsidP="00F02BF9">
            <w:pPr>
              <w:pStyle w:val="AERtabletextleft"/>
            </w:pPr>
            <w:r w:rsidRPr="00616FA2">
              <w:t>Description of step</w:t>
            </w:r>
          </w:p>
        </w:tc>
        <w:tc>
          <w:tcPr>
            <w:tcW w:w="1867" w:type="pct"/>
          </w:tcPr>
          <w:p w:rsidR="00F02BF9" w:rsidRPr="00F02BF9" w:rsidRDefault="00F02BF9" w:rsidP="00F02BF9">
            <w:pPr>
              <w:pStyle w:val="AERtabletextleft"/>
            </w:pPr>
            <w:r w:rsidRPr="00616FA2">
              <w:t>Reasons for timing</w:t>
            </w:r>
          </w:p>
        </w:tc>
      </w:tr>
      <w:tr w:rsidR="00F02BF9" w:rsidRPr="00616FA2" w:rsidTr="00592600">
        <w:tc>
          <w:tcPr>
            <w:tcW w:w="374" w:type="pct"/>
          </w:tcPr>
          <w:p w:rsidR="00F02BF9" w:rsidRPr="00F02BF9" w:rsidRDefault="00F02BF9" w:rsidP="00F02BF9">
            <w:pPr>
              <w:pStyle w:val="AERtabletextleft"/>
            </w:pPr>
            <w:r w:rsidRPr="00616FA2">
              <w:t>1</w:t>
            </w:r>
          </w:p>
        </w:tc>
        <w:tc>
          <w:tcPr>
            <w:tcW w:w="1233" w:type="pct"/>
          </w:tcPr>
          <w:p w:rsidR="00F02BF9" w:rsidRPr="00F02BF9" w:rsidRDefault="00AB74A2" w:rsidP="00F02BF9">
            <w:pPr>
              <w:pStyle w:val="AERtabletextleft"/>
            </w:pPr>
            <w:r>
              <w:t>15</w:t>
            </w:r>
            <w:r w:rsidR="00F02BF9" w:rsidRPr="00E74B28">
              <w:t xml:space="preserve"> business days prior </w:t>
            </w:r>
            <w:r w:rsidR="00F02BF9" w:rsidRPr="00F02BF9">
              <w:t>the 6th business day of February each year.</w:t>
            </w:r>
            <w:r w:rsidR="00F02BF9" w:rsidRPr="00F02BF9">
              <w:rPr>
                <w:rStyle w:val="FootnoteReference"/>
              </w:rPr>
              <w:footnoteReference w:id="1286"/>
            </w:r>
            <w:r w:rsidR="00F02BF9" w:rsidRPr="00F02BF9">
              <w:t xml:space="preserve"> </w:t>
            </w:r>
          </w:p>
        </w:tc>
        <w:tc>
          <w:tcPr>
            <w:tcW w:w="1527" w:type="pct"/>
          </w:tcPr>
          <w:p w:rsidR="00F02BF9" w:rsidRPr="00F02BF9" w:rsidRDefault="00F02BF9" w:rsidP="00F02BF9">
            <w:pPr>
              <w:pStyle w:val="AERtabletextleft"/>
            </w:pPr>
            <w:r w:rsidRPr="00616FA2">
              <w:t>Averaging period ends on or before this date</w:t>
            </w:r>
          </w:p>
        </w:tc>
        <w:tc>
          <w:tcPr>
            <w:tcW w:w="1867" w:type="pct"/>
          </w:tcPr>
          <w:p w:rsidR="00F02BF9" w:rsidRPr="00F02BF9" w:rsidRDefault="00F02BF9" w:rsidP="00F02BF9">
            <w:pPr>
              <w:pStyle w:val="AERtabletextleft"/>
            </w:pPr>
            <w:r w:rsidRPr="00616FA2">
              <w:t xml:space="preserve">We determine the maximum practical end date of the averaging </w:t>
            </w:r>
            <w:r w:rsidRPr="00F02BF9">
              <w:t>period from the timing of step 2.</w:t>
            </w:r>
          </w:p>
        </w:tc>
      </w:tr>
      <w:tr w:rsidR="00F02BF9" w:rsidRPr="00616FA2" w:rsidTr="00592600">
        <w:trPr>
          <w:cnfStyle w:val="000000010000" w:firstRow="0" w:lastRow="0" w:firstColumn="0" w:lastColumn="0" w:oddVBand="0" w:evenVBand="0" w:oddHBand="0" w:evenHBand="1" w:firstRowFirstColumn="0" w:firstRowLastColumn="0" w:lastRowFirstColumn="0" w:lastRowLastColumn="0"/>
        </w:trPr>
        <w:tc>
          <w:tcPr>
            <w:tcW w:w="374" w:type="pct"/>
          </w:tcPr>
          <w:p w:rsidR="00F02BF9" w:rsidRPr="00F02BF9" w:rsidRDefault="00F02BF9" w:rsidP="00F02BF9">
            <w:pPr>
              <w:pStyle w:val="AERtabletextleft"/>
            </w:pPr>
            <w:r w:rsidRPr="00616FA2">
              <w:t>2</w:t>
            </w:r>
          </w:p>
        </w:tc>
        <w:tc>
          <w:tcPr>
            <w:tcW w:w="1233" w:type="pct"/>
          </w:tcPr>
          <w:p w:rsidR="00F02BF9" w:rsidRPr="00F02BF9" w:rsidRDefault="00F02BF9" w:rsidP="00F02BF9">
            <w:pPr>
              <w:pStyle w:val="AERtabletextleft"/>
            </w:pPr>
            <w:r>
              <w:t xml:space="preserve">The </w:t>
            </w:r>
            <w:r w:rsidRPr="00F02BF9">
              <w:t>6th business day of February each year.</w:t>
            </w:r>
          </w:p>
        </w:tc>
        <w:tc>
          <w:tcPr>
            <w:tcW w:w="1527" w:type="pct"/>
          </w:tcPr>
          <w:p w:rsidR="00F02BF9" w:rsidRPr="00F02BF9" w:rsidRDefault="00F02BF9" w:rsidP="00F02BF9">
            <w:pPr>
              <w:pStyle w:val="AERtabletextleft"/>
            </w:pPr>
            <w:r w:rsidRPr="00616FA2">
              <w:t xml:space="preserve">So </w:t>
            </w:r>
            <w:r w:rsidRPr="00F02BF9">
              <w:t>AusNet Services can factor this into its transmission prices, we inform it of updates on the return on debt, annual building block revenue requirement and X factor</w:t>
            </w:r>
            <w:r w:rsidRPr="00F02BF9" w:rsidDel="00665E6A">
              <w:t xml:space="preserve"> </w:t>
            </w:r>
            <w:r w:rsidRPr="00F02BF9">
              <w:t>that incorporates the updated return on debt</w:t>
            </w:r>
            <w:r w:rsidRPr="00F02BF9" w:rsidDel="00665E6A">
              <w:t xml:space="preserve"> </w:t>
            </w:r>
          </w:p>
        </w:tc>
        <w:tc>
          <w:tcPr>
            <w:tcW w:w="1867" w:type="pct"/>
          </w:tcPr>
          <w:p w:rsidR="00F02BF9" w:rsidRPr="00F02BF9" w:rsidRDefault="00F02BF9" w:rsidP="00F02BF9">
            <w:pPr>
              <w:pStyle w:val="AERtabletextleft"/>
            </w:pPr>
            <w:r w:rsidRPr="00616FA2">
              <w:t>15 business days between steps 1 and 2 provides sufficient time for us to calculate (and provide quality assurance checks on) the updated return on debt, revenue and X factor.</w:t>
            </w:r>
          </w:p>
        </w:tc>
      </w:tr>
    </w:tbl>
    <w:p w:rsidR="00F02BF9" w:rsidRDefault="00F02BF9" w:rsidP="00F02BF9">
      <w:pPr>
        <w:pStyle w:val="AERtablesource"/>
      </w:pPr>
      <w:r>
        <w:t xml:space="preserve">Source: </w:t>
      </w:r>
      <w:r>
        <w:tab/>
        <w:t>AER analysis.</w:t>
      </w:r>
    </w:p>
    <w:p w:rsidR="00F02BF9" w:rsidRPr="00E761F9" w:rsidRDefault="00F02BF9" w:rsidP="00F02BF9">
      <w:r w:rsidRPr="004057C7">
        <w:t xml:space="preserve">The timing of </w:t>
      </w:r>
      <w:r>
        <w:t>publishing</w:t>
      </w:r>
      <w:r w:rsidRPr="004057C7">
        <w:t xml:space="preserve"> </w:t>
      </w:r>
      <w:r>
        <w:t>transmission</w:t>
      </w:r>
      <w:r w:rsidRPr="004057C7">
        <w:t xml:space="preserve"> prices </w:t>
      </w:r>
      <w:r>
        <w:t>affects</w:t>
      </w:r>
      <w:r w:rsidRPr="004057C7">
        <w:t xml:space="preserve"> how late an averaging period can end and still </w:t>
      </w:r>
      <w:proofErr w:type="gramStart"/>
      <w:r w:rsidRPr="004057C7">
        <w:t>be</w:t>
      </w:r>
      <w:proofErr w:type="gramEnd"/>
      <w:r w:rsidRPr="004057C7">
        <w:t xml:space="preserve"> implemented in practice.</w:t>
      </w:r>
      <w:r>
        <w:t xml:space="preserve"> In order to implement the </w:t>
      </w:r>
      <w:r w:rsidRPr="00E761F9">
        <w:t>process outlined in</w:t>
      </w:r>
      <w:r w:rsidR="006A0187">
        <w:t xml:space="preserve"> </w:t>
      </w:r>
      <w:r w:rsidR="006A0187">
        <w:fldChar w:fldCharType="begin"/>
      </w:r>
      <w:r w:rsidR="006A0187">
        <w:instrText xml:space="preserve"> REF _Ref446197176 \h </w:instrText>
      </w:r>
      <w:r w:rsidR="006A0187">
        <w:fldChar w:fldCharType="separate"/>
      </w:r>
      <w:r w:rsidR="006A0187">
        <w:t xml:space="preserve">Table </w:t>
      </w:r>
      <w:r w:rsidR="006A0187">
        <w:rPr>
          <w:noProof/>
        </w:rPr>
        <w:t>3</w:t>
      </w:r>
      <w:r w:rsidR="006A0187">
        <w:noBreakHyphen/>
      </w:r>
      <w:r w:rsidR="006A0187">
        <w:rPr>
          <w:noProof/>
        </w:rPr>
        <w:t>31</w:t>
      </w:r>
      <w:r w:rsidR="006A0187">
        <w:fldChar w:fldCharType="end"/>
      </w:r>
      <w:r w:rsidRPr="00E761F9">
        <w:t xml:space="preserve">, we consider an averaging period for estimating </w:t>
      </w:r>
      <w:r>
        <w:t>AusNet Services' allowed</w:t>
      </w:r>
      <w:r w:rsidRPr="00E761F9">
        <w:t xml:space="preserve"> return on debt for regulatory year t should fall within the following timeframe:</w:t>
      </w:r>
    </w:p>
    <w:p w:rsidR="00F02BF9" w:rsidRPr="00E761F9" w:rsidRDefault="00F02BF9" w:rsidP="00F02BF9">
      <w:pPr>
        <w:pStyle w:val="AERbulletlistfirststyle"/>
      </w:pPr>
      <w:r w:rsidRPr="00E761F9">
        <w:t xml:space="preserve">end no later than </w:t>
      </w:r>
      <w:r w:rsidR="00AB74A2">
        <w:t>15</w:t>
      </w:r>
      <w:r w:rsidRPr="00E761F9">
        <w:t xml:space="preserve"> business days before </w:t>
      </w:r>
      <w:r>
        <w:t xml:space="preserve">the </w:t>
      </w:r>
      <w:r w:rsidRPr="00AC72AE">
        <w:t>6th business day of February</w:t>
      </w:r>
      <w:r>
        <w:t xml:space="preserve"> in regulatory year t-1</w:t>
      </w:r>
    </w:p>
    <w:p w:rsidR="002046A9" w:rsidRDefault="00F02BF9" w:rsidP="002046A9">
      <w:pPr>
        <w:pStyle w:val="AERbulletlistfirststyle"/>
      </w:pPr>
      <w:proofErr w:type="gramStart"/>
      <w:r w:rsidRPr="00E761F9">
        <w:t>commence</w:t>
      </w:r>
      <w:proofErr w:type="gramEnd"/>
      <w:r w:rsidRPr="00E761F9">
        <w:t xml:space="preserve"> no earlier than 12 months plus </w:t>
      </w:r>
      <w:r w:rsidR="00AB74A2">
        <w:t>15</w:t>
      </w:r>
      <w:r w:rsidRPr="00E761F9">
        <w:t xml:space="preserve"> business days before </w:t>
      </w:r>
      <w:r w:rsidRPr="00AC72AE">
        <w:t xml:space="preserve">the 6th business day of February </w:t>
      </w:r>
      <w:r>
        <w:t>in regulatory year t-1</w:t>
      </w:r>
      <w:r w:rsidRPr="00E761F9">
        <w:t>.</w:t>
      </w:r>
      <w:r w:rsidRPr="00E761F9">
        <w:rPr>
          <w:rStyle w:val="FootnoteReference"/>
        </w:rPr>
        <w:footnoteReference w:id="1287"/>
      </w:r>
    </w:p>
    <w:p w:rsidR="002046A9" w:rsidRPr="002046A9" w:rsidRDefault="00D96EE9" w:rsidP="00DC0445">
      <w:pPr>
        <w:pStyle w:val="AERbulletlistfirststyle"/>
        <w:numPr>
          <w:ilvl w:val="0"/>
          <w:numId w:val="0"/>
        </w:numPr>
      </w:pPr>
      <w:r>
        <w:t>S</w:t>
      </w:r>
      <w:r w:rsidR="002046A9">
        <w:t xml:space="preserve">ee </w:t>
      </w:r>
      <w:r w:rsidR="002046A9" w:rsidRPr="002046A9">
        <w:t>the</w:t>
      </w:r>
      <w:r w:rsidR="002046A9">
        <w:t xml:space="preserve"> 'annual </w:t>
      </w:r>
      <w:proofErr w:type="gramStart"/>
      <w:r w:rsidR="002046A9">
        <w:t>debt update</w:t>
      </w:r>
      <w:proofErr w:type="gramEnd"/>
      <w:r w:rsidR="002046A9">
        <w:t xml:space="preserve"> process' and</w:t>
      </w:r>
      <w:r w:rsidR="002046A9" w:rsidRPr="002046A9">
        <w:t xml:space="preserve"> 'averaging periods' section</w:t>
      </w:r>
      <w:r w:rsidR="002046A9">
        <w:t>s</w:t>
      </w:r>
      <w:r w:rsidR="002046A9" w:rsidRPr="002046A9">
        <w:t xml:space="preserve"> of 3.4.2 </w:t>
      </w:r>
      <w:r w:rsidR="002046A9">
        <w:t xml:space="preserve">for further discussion. </w:t>
      </w:r>
    </w:p>
    <w:p w:rsidR="002046A9" w:rsidRDefault="002046A9" w:rsidP="00DC0445">
      <w:pPr>
        <w:pStyle w:val="AERbulletlistfirststyle"/>
        <w:numPr>
          <w:ilvl w:val="0"/>
          <w:numId w:val="0"/>
        </w:numPr>
      </w:pPr>
      <w:bookmarkStart w:id="461" w:name="_GoBack"/>
      <w:bookmarkEnd w:id="461"/>
    </w:p>
    <w:p w:rsidR="00254561" w:rsidRDefault="00254561" w:rsidP="00254561">
      <w:pPr>
        <w:pStyle w:val="Heading7"/>
      </w:pPr>
      <w:bookmarkStart w:id="462" w:name="_Toc456686789"/>
      <w:r>
        <w:t>Equity and debt raising costs</w:t>
      </w:r>
      <w:bookmarkEnd w:id="462"/>
    </w:p>
    <w:p w:rsidR="00254561" w:rsidRPr="00AA2065" w:rsidRDefault="00254561" w:rsidP="00254561">
      <w:r>
        <w:t>I</w:t>
      </w:r>
      <w:r w:rsidRPr="00AA2065">
        <w:t>n addition to compensating for the required rate of return on debt and equity</w:t>
      </w:r>
      <w:r>
        <w:t xml:space="preserve">, we provide an allowance for the transaction costs associated </w:t>
      </w:r>
      <w:r w:rsidRPr="00AA2065">
        <w:t>with raising debt and equity.</w:t>
      </w:r>
      <w:r>
        <w:t xml:space="preserve"> W</w:t>
      </w:r>
      <w:r w:rsidRPr="00AA2065">
        <w:t xml:space="preserve">e include debt raising costs in the opex forecast because these are regular and ongoing costs which are likely to be incurred each time service providers refinance their debt. </w:t>
      </w:r>
      <w:r>
        <w:t>On the other hand, w</w:t>
      </w:r>
      <w:r w:rsidRPr="00AA2065">
        <w:t>e include equity raising costs in the capex forecast because these costs are only incurred once and would be associated with funding the particular capital investments</w:t>
      </w:r>
      <w:r>
        <w:t>.</w:t>
      </w:r>
    </w:p>
    <w:p w:rsidR="00254561" w:rsidRPr="001A2C20" w:rsidRDefault="00254561" w:rsidP="00254561">
      <w:r w:rsidRPr="00AA2065">
        <w:t xml:space="preserve">Our </w:t>
      </w:r>
      <w:r w:rsidR="007D2051">
        <w:t xml:space="preserve">draft </w:t>
      </w:r>
      <w:r w:rsidRPr="00AA2065">
        <w:t>decision forecast</w:t>
      </w:r>
      <w:r>
        <w:t>s</w:t>
      </w:r>
      <w:r w:rsidRPr="00AA2065">
        <w:t xml:space="preserve"> for debt </w:t>
      </w:r>
      <w:r>
        <w:t xml:space="preserve">and equity raising costs are included in </w:t>
      </w:r>
      <w:r w:rsidRPr="00AA2065">
        <w:t>the opex</w:t>
      </w:r>
      <w:r>
        <w:t xml:space="preserve"> and capex attachments, respectively. </w:t>
      </w:r>
      <w:r w:rsidRPr="00AA2065">
        <w:t xml:space="preserve">In this appendix, we set out our assessment approach and the reasons for </w:t>
      </w:r>
      <w:r>
        <w:t>those forecasts</w:t>
      </w:r>
      <w:r w:rsidRPr="00AA2065">
        <w:t>.</w:t>
      </w:r>
    </w:p>
    <w:p w:rsidR="00254561" w:rsidRPr="00254561" w:rsidRDefault="00254561" w:rsidP="00DC0445">
      <w:pPr>
        <w:pStyle w:val="Heading8"/>
        <w:numPr>
          <w:ilvl w:val="1"/>
          <w:numId w:val="65"/>
        </w:numPr>
      </w:pPr>
      <w:bookmarkStart w:id="463" w:name="_Toc451939040"/>
      <w:bookmarkStart w:id="464" w:name="_Toc456686790"/>
      <w:r>
        <w:t>Equity raising costs</w:t>
      </w:r>
      <w:bookmarkEnd w:id="463"/>
      <w:bookmarkEnd w:id="464"/>
      <w:r>
        <w:t xml:space="preserve"> </w:t>
      </w:r>
    </w:p>
    <w:p w:rsidR="00254561" w:rsidRDefault="00254561" w:rsidP="00254561">
      <w:r>
        <w:t xml:space="preserve">We determine zero equity raising costs for the 2017–22 </w:t>
      </w:r>
      <w:proofErr w:type="gramStart"/>
      <w:r>
        <w:t>period</w:t>
      </w:r>
      <w:proofErr w:type="gramEnd"/>
      <w:r>
        <w:t xml:space="preserve">. AusNet adopted our approach and submitted it will not incur equity raising costs over the 2017–22 </w:t>
      </w:r>
      <w:proofErr w:type="gramStart"/>
      <w:r>
        <w:t>period</w:t>
      </w:r>
      <w:proofErr w:type="gramEnd"/>
      <w:r>
        <w:t>.</w:t>
      </w:r>
      <w:r w:rsidR="00FF73C1">
        <w:rPr>
          <w:rStyle w:val="FootnoteReference"/>
        </w:rPr>
        <w:footnoteReference w:id="1288"/>
      </w:r>
      <w:r>
        <w:t xml:space="preserve"> Therefore, we accept its proposal.</w:t>
      </w:r>
    </w:p>
    <w:p w:rsidR="00254561" w:rsidRPr="00C024A8" w:rsidRDefault="00254561" w:rsidP="00254561">
      <w:r w:rsidRPr="00C24E0F">
        <w:t xml:space="preserve">Equity raising costs are transaction costs incurred when </w:t>
      </w:r>
      <w:r>
        <w:t xml:space="preserve">a </w:t>
      </w:r>
      <w:r w:rsidRPr="00C24E0F">
        <w:t>service provider raise</w:t>
      </w:r>
      <w:r>
        <w:t>s</w:t>
      </w:r>
      <w:r w:rsidRPr="00C24E0F">
        <w:t xml:space="preserve"> new equity from outside </w:t>
      </w:r>
      <w:r>
        <w:t>its</w:t>
      </w:r>
      <w:r w:rsidRPr="00C24E0F">
        <w:t xml:space="preserve"> business. </w:t>
      </w:r>
      <w:r>
        <w:t>We use a benchmark approach to determine these costs and this approach allows</w:t>
      </w:r>
      <w:r w:rsidRPr="00C24E0F">
        <w:t xml:space="preserve"> the costs of </w:t>
      </w:r>
      <w:r>
        <w:t>two means by which a service provider could raise equity from outside its business—</w:t>
      </w:r>
      <w:r w:rsidRPr="00C24E0F">
        <w:t xml:space="preserve">dividend reinvestment plans and seasoned equity offerings. </w:t>
      </w:r>
      <w:r w:rsidRPr="00C024A8">
        <w:t>Equity raising costs are an unavoidable aspect of raising equity that a prudent service provider acting efficiently</w:t>
      </w:r>
      <w:r w:rsidRPr="00C024A8" w:rsidDel="009A34A7">
        <w:t xml:space="preserve"> </w:t>
      </w:r>
      <w:r>
        <w:t>would incur</w:t>
      </w:r>
      <w:r w:rsidRPr="00C024A8">
        <w:t xml:space="preserve">. Accordingly, we </w:t>
      </w:r>
      <w:r>
        <w:t>provide an allowance to recover</w:t>
      </w:r>
      <w:r w:rsidRPr="00C024A8">
        <w:t xml:space="preserve"> an efficient amount of </w:t>
      </w:r>
      <w:r>
        <w:t>equity raising</w:t>
      </w:r>
      <w:r w:rsidRPr="00C024A8">
        <w:t xml:space="preserve"> costs. This is where a service provider's capex forecast is large enough to require an external equity injection to maintain the benchmark gearing of 60 per cent.</w:t>
      </w:r>
    </w:p>
    <w:p w:rsidR="00254561" w:rsidRDefault="00254561" w:rsidP="00254561">
      <w:r>
        <w:t xml:space="preserve">While </w:t>
      </w:r>
      <w:r w:rsidRPr="00C024A8">
        <w:t xml:space="preserve">the </w:t>
      </w:r>
      <w:r>
        <w:t>rate of return g</w:t>
      </w:r>
      <w:r w:rsidRPr="00C024A8">
        <w:t>uideline does not set out an approach for estimating these costs</w:t>
      </w:r>
      <w:r>
        <w:t>,</w:t>
      </w:r>
      <w:r w:rsidRPr="00C024A8">
        <w:t xml:space="preserve"> </w:t>
      </w:r>
      <w:r>
        <w:t>w</w:t>
      </w:r>
      <w:r w:rsidRPr="00C024A8">
        <w:t>e appl</w:t>
      </w:r>
      <w:r>
        <w:t>y</w:t>
      </w:r>
      <w:r w:rsidRPr="00C024A8">
        <w:t xml:space="preserve"> an established method for estimating equity raising costs. We initially based our method for determining benchmark equity raising costs on </w:t>
      </w:r>
      <w:r>
        <w:t>the</w:t>
      </w:r>
      <w:r w:rsidRPr="00C024A8">
        <w:t xml:space="preserve"> 2007 advice from Allen Consulting Group (ACG).</w:t>
      </w:r>
      <w:r w:rsidRPr="00C024A8">
        <w:rPr>
          <w:rStyle w:val="FootnoteReference"/>
        </w:rPr>
        <w:footnoteReference w:id="1289"/>
      </w:r>
      <w:r w:rsidRPr="00C024A8">
        <w:t xml:space="preserve"> We amended this method in our </w:t>
      </w:r>
      <w:r>
        <w:t xml:space="preserve">2009 </w:t>
      </w:r>
      <w:r w:rsidRPr="00C024A8">
        <w:t>decisions for the ACT, NSW and Tasmanian electricity service providers.</w:t>
      </w:r>
      <w:r w:rsidRPr="00C024A8">
        <w:rPr>
          <w:rStyle w:val="FootnoteReference"/>
        </w:rPr>
        <w:footnoteReference w:id="1290"/>
      </w:r>
      <w:r w:rsidRPr="00C024A8">
        <w:t xml:space="preserve"> </w:t>
      </w:r>
      <w:r>
        <w:t xml:space="preserve">We </w:t>
      </w:r>
      <w:r w:rsidRPr="00C024A8">
        <w:t>further refined</w:t>
      </w:r>
      <w:r>
        <w:t xml:space="preserve"> this approach</w:t>
      </w:r>
      <w:r w:rsidRPr="00C024A8">
        <w:t xml:space="preserve">, as discussed and applied in the </w:t>
      </w:r>
      <w:r>
        <w:t xml:space="preserve">2012 </w:t>
      </w:r>
      <w:r w:rsidRPr="00C024A8">
        <w:t>Powerlink decision.</w:t>
      </w:r>
      <w:r w:rsidRPr="00C024A8">
        <w:rPr>
          <w:rStyle w:val="FootnoteReference"/>
        </w:rPr>
        <w:footnoteReference w:id="1291"/>
      </w:r>
    </w:p>
    <w:p w:rsidR="00254561" w:rsidRDefault="00254561" w:rsidP="00254561">
      <w:pPr>
        <w:pStyle w:val="Heading8"/>
      </w:pPr>
      <w:bookmarkStart w:id="465" w:name="_Toc456686791"/>
      <w:r>
        <w:t>Debt raising costs</w:t>
      </w:r>
      <w:bookmarkEnd w:id="465"/>
      <w:r>
        <w:t xml:space="preserve"> </w:t>
      </w:r>
    </w:p>
    <w:p w:rsidR="00254561" w:rsidRPr="00F83415" w:rsidRDefault="00254561" w:rsidP="00254561">
      <w:pPr>
        <w:numPr>
          <w:ilvl w:val="0"/>
          <w:numId w:val="25"/>
        </w:numPr>
      </w:pPr>
      <w:r w:rsidRPr="00C43648">
        <w:t xml:space="preserve">Debt raising costs are transaction costs incurred each time debt is raised or refinanced. These costs may include arrangement fees, legal fees, company credit rating fees and other transaction costs. Debt raising costs are an unavoidable </w:t>
      </w:r>
      <w:r>
        <w:t>cost</w:t>
      </w:r>
      <w:r w:rsidRPr="00C43648">
        <w:t xml:space="preserve"> of raising debt that would be incurred by a prudent service provider, and data exists such that we can estimate the</w:t>
      </w:r>
      <w:r>
        <w:t>m</w:t>
      </w:r>
      <w:r w:rsidRPr="00C43648">
        <w:t xml:space="preserve">. Accordingly, we provide an allowance to recover an efficient amount of </w:t>
      </w:r>
      <w:r>
        <w:t>debt raising</w:t>
      </w:r>
      <w:r w:rsidRPr="00C43648">
        <w:t xml:space="preserve"> costs.</w:t>
      </w:r>
    </w:p>
    <w:p w:rsidR="00254561" w:rsidRDefault="00254561" w:rsidP="00254561">
      <w:pPr>
        <w:pStyle w:val="Heading9"/>
      </w:pPr>
      <w:bookmarkStart w:id="466" w:name="_Toc456686792"/>
      <w:r>
        <w:t>Draft decision</w:t>
      </w:r>
      <w:bookmarkEnd w:id="466"/>
      <w:r>
        <w:t xml:space="preserve"> </w:t>
      </w:r>
    </w:p>
    <w:p w:rsidR="00254561" w:rsidRDefault="00254561" w:rsidP="00254561">
      <w:r w:rsidRPr="00C43648">
        <w:t xml:space="preserve">We </w:t>
      </w:r>
      <w:r>
        <w:t>determine</w:t>
      </w:r>
      <w:r w:rsidRPr="00C43648">
        <w:t xml:space="preserve"> debt raising costs of $</w:t>
      </w:r>
      <w:r w:rsidR="00CC7E65">
        <w:t>7.</w:t>
      </w:r>
      <w:r w:rsidR="00C931A2">
        <w:t>8</w:t>
      </w:r>
      <w:r w:rsidR="00CC7E65">
        <w:t xml:space="preserve"> </w:t>
      </w:r>
      <w:r>
        <w:t>million ($ 2016–17) over the 2017</w:t>
      </w:r>
      <w:r w:rsidRPr="00413171">
        <w:t>–</w:t>
      </w:r>
      <w:r>
        <w:t>22</w:t>
      </w:r>
      <w:r w:rsidRPr="00C43648">
        <w:t xml:space="preserve"> </w:t>
      </w:r>
      <w:proofErr w:type="gramStart"/>
      <w:r w:rsidRPr="00C43648">
        <w:t>period</w:t>
      </w:r>
      <w:proofErr w:type="gramEnd"/>
      <w:r w:rsidRPr="00C43648">
        <w:t>, as set out in</w:t>
      </w:r>
      <w:r>
        <w:t xml:space="preserve"> </w:t>
      </w:r>
      <w:r>
        <w:fldChar w:fldCharType="begin"/>
      </w:r>
      <w:r>
        <w:instrText xml:space="preserve"> REF _Ref449602003 \h </w:instrText>
      </w:r>
      <w:r>
        <w:fldChar w:fldCharType="separate"/>
      </w:r>
      <w:r w:rsidR="003F1AAB">
        <w:t xml:space="preserve">Table </w:t>
      </w:r>
      <w:r w:rsidR="003F1AAB">
        <w:rPr>
          <w:noProof/>
        </w:rPr>
        <w:t>3</w:t>
      </w:r>
      <w:r w:rsidR="003F1AAB">
        <w:noBreakHyphen/>
      </w:r>
      <w:r w:rsidR="003F1AAB">
        <w:rPr>
          <w:noProof/>
        </w:rPr>
        <w:t>46</w:t>
      </w:r>
      <w:r>
        <w:fldChar w:fldCharType="end"/>
      </w:r>
      <w:r>
        <w:t xml:space="preserve">. </w:t>
      </w:r>
      <w:r w:rsidRPr="00C43648">
        <w:t>We are satisfied this estimate contributes towards a total opex forecast that reasonably reflects efficient, prudent and realistic costs.</w:t>
      </w:r>
      <w:r>
        <w:t xml:space="preserve"> Consistent with the approach</w:t>
      </w:r>
      <w:r w:rsidR="002970AE">
        <w:t xml:space="preserve"> applied to recent decisions (including AusNet Services distribution)</w:t>
      </w:r>
      <w:r>
        <w:t>, we consider that it is important to forecast debt raising costs based on a benchmark approach rather than a service provider's actual costs.</w:t>
      </w:r>
      <w:r w:rsidR="002970AE">
        <w:rPr>
          <w:rStyle w:val="FootnoteReference"/>
        </w:rPr>
        <w:footnoteReference w:id="1292"/>
      </w:r>
      <w:r>
        <w:t xml:space="preserve"> This is to be consistent with the benchmark based forecast of the cost of debt used in the rate of return building block. This should give AusNet a reasonable opportunity to recover its efficient costs.</w:t>
      </w:r>
    </w:p>
    <w:p w:rsidR="00254561" w:rsidRPr="00413171" w:rsidRDefault="00254561" w:rsidP="00254561">
      <w:pPr>
        <w:pStyle w:val="Caption"/>
      </w:pPr>
      <w:bookmarkStart w:id="467" w:name="_Ref449602003"/>
      <w:r>
        <w:t xml:space="preserve">Table </w:t>
      </w:r>
      <w:r w:rsidRPr="00254561">
        <w:fldChar w:fldCharType="begin"/>
      </w:r>
      <w:r>
        <w:instrText xml:space="preserve"> STYLEREF 1 \s </w:instrText>
      </w:r>
      <w:r w:rsidRPr="00254561">
        <w:fldChar w:fldCharType="separate"/>
      </w:r>
      <w:r w:rsidR="003F1AAB">
        <w:rPr>
          <w:noProof/>
        </w:rPr>
        <w:t>3</w:t>
      </w:r>
      <w:r w:rsidRPr="00254561">
        <w:fldChar w:fldCharType="end"/>
      </w:r>
      <w:r>
        <w:noBreakHyphen/>
      </w:r>
      <w:r w:rsidRPr="00254561">
        <w:fldChar w:fldCharType="begin"/>
      </w:r>
      <w:r>
        <w:instrText xml:space="preserve"> SEQ Table \* ARABIC \s 1 </w:instrText>
      </w:r>
      <w:r w:rsidRPr="00254561">
        <w:fldChar w:fldCharType="separate"/>
      </w:r>
      <w:r w:rsidR="003F1AAB">
        <w:rPr>
          <w:noProof/>
        </w:rPr>
        <w:t>46</w:t>
      </w:r>
      <w:r w:rsidRPr="00254561">
        <w:fldChar w:fldCharType="end"/>
      </w:r>
      <w:bookmarkEnd w:id="467"/>
      <w:r>
        <w:tab/>
      </w:r>
      <w:r w:rsidRPr="00413171">
        <w:t xml:space="preserve">AER's </w:t>
      </w:r>
      <w:r>
        <w:t>draft</w:t>
      </w:r>
      <w:r w:rsidRPr="00413171">
        <w:t xml:space="preserve"> decision on debt raising costs (million, $ </w:t>
      </w:r>
      <w:r>
        <w:t>2016–17</w:t>
      </w:r>
      <w:r w:rsidRPr="00413171">
        <w:t>)</w:t>
      </w:r>
    </w:p>
    <w:tbl>
      <w:tblPr>
        <w:tblStyle w:val="AERtable-text0"/>
        <w:tblW w:w="5000" w:type="pct"/>
        <w:tblLook w:val="04A0" w:firstRow="1" w:lastRow="0" w:firstColumn="1" w:lastColumn="0" w:noHBand="0" w:noVBand="1"/>
      </w:tblPr>
      <w:tblGrid>
        <w:gridCol w:w="1242"/>
        <w:gridCol w:w="1242"/>
        <w:gridCol w:w="1241"/>
        <w:gridCol w:w="1241"/>
        <w:gridCol w:w="1241"/>
        <w:gridCol w:w="1243"/>
        <w:gridCol w:w="1243"/>
      </w:tblGrid>
      <w:tr w:rsidR="00254561" w:rsidRPr="00C43648" w:rsidTr="00FB2460">
        <w:trPr>
          <w:cnfStyle w:val="100000000000" w:firstRow="1" w:lastRow="0" w:firstColumn="0" w:lastColumn="0" w:oddVBand="0" w:evenVBand="0" w:oddHBand="0" w:evenHBand="0" w:firstRowFirstColumn="0" w:firstRowLastColumn="0" w:lastRowFirstColumn="0" w:lastRowLastColumn="0"/>
        </w:trPr>
        <w:tc>
          <w:tcPr>
            <w:tcW w:w="714" w:type="pct"/>
          </w:tcPr>
          <w:p w:rsidR="00254561" w:rsidRDefault="00254561" w:rsidP="00254561"/>
        </w:tc>
        <w:tc>
          <w:tcPr>
            <w:tcW w:w="714" w:type="pct"/>
          </w:tcPr>
          <w:p w:rsidR="00254561" w:rsidRPr="00254561" w:rsidRDefault="00254561" w:rsidP="00254561">
            <w:r>
              <w:t>2017</w:t>
            </w:r>
            <w:r w:rsidRPr="00254561">
              <w:t>-18</w:t>
            </w:r>
          </w:p>
        </w:tc>
        <w:tc>
          <w:tcPr>
            <w:tcW w:w="714" w:type="pct"/>
          </w:tcPr>
          <w:p w:rsidR="00254561" w:rsidRPr="00254561" w:rsidRDefault="00254561" w:rsidP="00254561">
            <w:r>
              <w:t>2018</w:t>
            </w:r>
            <w:r w:rsidRPr="00254561">
              <w:t>-19</w:t>
            </w:r>
          </w:p>
        </w:tc>
        <w:tc>
          <w:tcPr>
            <w:tcW w:w="714" w:type="pct"/>
          </w:tcPr>
          <w:p w:rsidR="00254561" w:rsidRPr="00254561" w:rsidRDefault="00254561" w:rsidP="00254561">
            <w:r>
              <w:t>2019</w:t>
            </w:r>
            <w:r w:rsidRPr="00254561">
              <w:t>-20</w:t>
            </w:r>
          </w:p>
        </w:tc>
        <w:tc>
          <w:tcPr>
            <w:tcW w:w="714" w:type="pct"/>
          </w:tcPr>
          <w:p w:rsidR="00254561" w:rsidRPr="00254561" w:rsidRDefault="00254561" w:rsidP="00254561">
            <w:r w:rsidRPr="00C43648">
              <w:t>20</w:t>
            </w:r>
            <w:r w:rsidRPr="00254561">
              <w:t>20-21</w:t>
            </w:r>
          </w:p>
        </w:tc>
        <w:tc>
          <w:tcPr>
            <w:tcW w:w="715" w:type="pct"/>
          </w:tcPr>
          <w:p w:rsidR="00254561" w:rsidRPr="00254561" w:rsidRDefault="00254561" w:rsidP="00254561">
            <w:r w:rsidRPr="00C43648">
              <w:t>20</w:t>
            </w:r>
            <w:r w:rsidRPr="00254561">
              <w:t>21-22</w:t>
            </w:r>
          </w:p>
        </w:tc>
        <w:tc>
          <w:tcPr>
            <w:tcW w:w="715" w:type="pct"/>
          </w:tcPr>
          <w:p w:rsidR="00254561" w:rsidRPr="00254561" w:rsidRDefault="00254561" w:rsidP="00254561">
            <w:r w:rsidRPr="00C43648">
              <w:t>Total</w:t>
            </w:r>
          </w:p>
        </w:tc>
      </w:tr>
      <w:tr w:rsidR="00254561" w:rsidRPr="00C43648" w:rsidTr="00FB2460">
        <w:tc>
          <w:tcPr>
            <w:tcW w:w="714" w:type="pct"/>
          </w:tcPr>
          <w:p w:rsidR="00254561" w:rsidRPr="00254561" w:rsidRDefault="00254561" w:rsidP="00254561"/>
        </w:tc>
        <w:tc>
          <w:tcPr>
            <w:tcW w:w="714" w:type="pct"/>
            <w:vAlign w:val="top"/>
          </w:tcPr>
          <w:p w:rsidR="00254561" w:rsidRPr="00254561" w:rsidRDefault="00254561" w:rsidP="00CC7E65">
            <w:r w:rsidRPr="004045B4">
              <w:t xml:space="preserve"> </w:t>
            </w:r>
            <w:r w:rsidRPr="00254561">
              <w:t>1.</w:t>
            </w:r>
            <w:r w:rsidR="00CC7E65">
              <w:t>6</w:t>
            </w:r>
            <w:r w:rsidR="00CC7E65" w:rsidRPr="00254561">
              <w:t xml:space="preserve"> </w:t>
            </w:r>
          </w:p>
        </w:tc>
        <w:tc>
          <w:tcPr>
            <w:tcW w:w="714" w:type="pct"/>
            <w:vAlign w:val="top"/>
          </w:tcPr>
          <w:p w:rsidR="00254561" w:rsidRPr="00254561" w:rsidRDefault="00254561" w:rsidP="00CC7E65">
            <w:r w:rsidRPr="004045B4">
              <w:t xml:space="preserve"> </w:t>
            </w:r>
            <w:r w:rsidRPr="00254561">
              <w:t>1.</w:t>
            </w:r>
            <w:r w:rsidR="00CC7E65">
              <w:t>6</w:t>
            </w:r>
            <w:r w:rsidR="00CC7E65" w:rsidRPr="00254561">
              <w:t xml:space="preserve"> </w:t>
            </w:r>
          </w:p>
        </w:tc>
        <w:tc>
          <w:tcPr>
            <w:tcW w:w="714" w:type="pct"/>
            <w:vAlign w:val="top"/>
          </w:tcPr>
          <w:p w:rsidR="00254561" w:rsidRPr="00254561" w:rsidRDefault="00254561" w:rsidP="00CC7E65">
            <w:r>
              <w:t>1.</w:t>
            </w:r>
            <w:r w:rsidR="00CC7E65">
              <w:t>6</w:t>
            </w:r>
            <w:r w:rsidR="00CC7E65" w:rsidRPr="00254561">
              <w:t xml:space="preserve"> </w:t>
            </w:r>
          </w:p>
        </w:tc>
        <w:tc>
          <w:tcPr>
            <w:tcW w:w="714" w:type="pct"/>
            <w:vAlign w:val="top"/>
          </w:tcPr>
          <w:p w:rsidR="00254561" w:rsidRPr="00254561" w:rsidRDefault="00254561" w:rsidP="00CC7E65">
            <w:r w:rsidRPr="004045B4">
              <w:t xml:space="preserve"> </w:t>
            </w:r>
            <w:r w:rsidRPr="00254561">
              <w:t>1.</w:t>
            </w:r>
            <w:r w:rsidR="00CC7E65">
              <w:t>5</w:t>
            </w:r>
            <w:r w:rsidR="00CC7E65" w:rsidRPr="00254561">
              <w:t xml:space="preserve"> </w:t>
            </w:r>
          </w:p>
        </w:tc>
        <w:tc>
          <w:tcPr>
            <w:tcW w:w="715" w:type="pct"/>
            <w:vAlign w:val="top"/>
          </w:tcPr>
          <w:p w:rsidR="00254561" w:rsidRPr="00254561" w:rsidRDefault="00254561" w:rsidP="00CC7E65">
            <w:r w:rsidRPr="004045B4">
              <w:t xml:space="preserve"> </w:t>
            </w:r>
            <w:r w:rsidR="00CC7E65">
              <w:t>1</w:t>
            </w:r>
            <w:r w:rsidRPr="00254561">
              <w:t>.</w:t>
            </w:r>
            <w:r w:rsidR="00CC7E65">
              <w:t>5</w:t>
            </w:r>
            <w:r w:rsidR="00CC7E65" w:rsidRPr="00254561">
              <w:t xml:space="preserve"> </w:t>
            </w:r>
          </w:p>
        </w:tc>
        <w:tc>
          <w:tcPr>
            <w:tcW w:w="715" w:type="pct"/>
          </w:tcPr>
          <w:p w:rsidR="00254561" w:rsidRPr="00254561" w:rsidRDefault="00CC7E65" w:rsidP="00CC7E65">
            <w:r>
              <w:t>7.</w:t>
            </w:r>
            <w:r w:rsidR="00C931A2">
              <w:t>8</w:t>
            </w:r>
          </w:p>
        </w:tc>
      </w:tr>
    </w:tbl>
    <w:p w:rsidR="00254561" w:rsidRDefault="00254561" w:rsidP="00254561">
      <w:pPr>
        <w:pStyle w:val="AERtablesource"/>
      </w:pPr>
      <w:r w:rsidRPr="00C43648">
        <w:t xml:space="preserve">Source: </w:t>
      </w:r>
      <w:r>
        <w:tab/>
      </w:r>
      <w:r w:rsidRPr="00C43648">
        <w:t>AER analysis.</w:t>
      </w:r>
    </w:p>
    <w:p w:rsidR="00254561" w:rsidRDefault="00254561" w:rsidP="00254561">
      <w:pPr>
        <w:pStyle w:val="AERtablesource"/>
      </w:pPr>
      <w:r>
        <w:t xml:space="preserve">Note: </w:t>
      </w:r>
      <w:r>
        <w:tab/>
        <w:t>Columns may not add to total due to rounding for presentation in table.</w:t>
      </w:r>
    </w:p>
    <w:p w:rsidR="00254561" w:rsidRDefault="00254561" w:rsidP="00254561">
      <w:r>
        <w:t xml:space="preserve">In contrast, </w:t>
      </w:r>
      <w:r w:rsidRPr="00C43648">
        <w:t xml:space="preserve">we are not satisfied that </w:t>
      </w:r>
      <w:r>
        <w:t>AusNet's</w:t>
      </w:r>
      <w:r w:rsidRPr="00C43648">
        <w:t xml:space="preserve"> proposed total debt raising cost forecast of $</w:t>
      </w:r>
      <w:r w:rsidR="002970AE">
        <w:t>16.8</w:t>
      </w:r>
      <w:r>
        <w:t xml:space="preserve"> million</w:t>
      </w:r>
      <w:r w:rsidRPr="00C43648">
        <w:t xml:space="preserve"> (</w:t>
      </w:r>
      <w:r>
        <w:t>$ 2016–17</w:t>
      </w:r>
      <w:r w:rsidRPr="00C43648">
        <w:t xml:space="preserve">) contributes to a total opex forecast that reasonably reflects </w:t>
      </w:r>
      <w:r>
        <w:t xml:space="preserve">the </w:t>
      </w:r>
      <w:r w:rsidRPr="00C43648">
        <w:t>efficient</w:t>
      </w:r>
      <w:r>
        <w:t xml:space="preserve"> costs of a </w:t>
      </w:r>
      <w:r w:rsidRPr="00C43648">
        <w:t xml:space="preserve">prudent </w:t>
      </w:r>
      <w:r>
        <w:t xml:space="preserve">operator with a </w:t>
      </w:r>
      <w:r w:rsidRPr="00C43648">
        <w:t xml:space="preserve">realistic </w:t>
      </w:r>
      <w:r>
        <w:t xml:space="preserve">expectation of the </w:t>
      </w:r>
      <w:r w:rsidRPr="00C43648">
        <w:t>cost</w:t>
      </w:r>
      <w:r>
        <w:t xml:space="preserve"> inputs required to achieve the opex objectives</w:t>
      </w:r>
      <w:r w:rsidRPr="00C43648">
        <w:t>.</w:t>
      </w:r>
      <w:r w:rsidRPr="001321B2">
        <w:rPr>
          <w:rStyle w:val="AERsuperscript"/>
        </w:rPr>
        <w:footnoteReference w:id="1293"/>
      </w:r>
      <w:r w:rsidRPr="00C43648">
        <w:t xml:space="preserve"> </w:t>
      </w:r>
      <w:r>
        <w:t xml:space="preserve">We consider it is important to forecast debt raising costs based on a benchmark approach rather than a service provider's actual costs. This is to be consistent with the benchmark based forecast of the cost of debt used in the rate of return building block. We </w:t>
      </w:r>
      <w:r w:rsidRPr="00062FCD">
        <w:t>discuss</w:t>
      </w:r>
      <w:r>
        <w:t xml:space="preserve"> our reasons further below.</w:t>
      </w:r>
    </w:p>
    <w:p w:rsidR="002A032E" w:rsidRPr="00E64828" w:rsidRDefault="002A032E" w:rsidP="002A032E">
      <w:pPr>
        <w:pStyle w:val="Heading9"/>
      </w:pPr>
      <w:bookmarkStart w:id="468" w:name="_Toc456686793"/>
      <w:r w:rsidRPr="00E64828">
        <w:t>AER's assessment approach</w:t>
      </w:r>
      <w:bookmarkEnd w:id="468"/>
      <w:r>
        <w:t xml:space="preserve"> </w:t>
      </w:r>
    </w:p>
    <w:p w:rsidR="002A032E" w:rsidRPr="00E64828" w:rsidRDefault="002A032E" w:rsidP="002A032E">
      <w:r w:rsidRPr="00E64828">
        <w:t>Our standard approach to forecasting debt raising costs is based on the approach in a report from the Allen Consulting Group (ACG), commissioned by the ACCC in 2004.</w:t>
      </w:r>
      <w:r>
        <w:rPr>
          <w:rStyle w:val="FootnoteReference"/>
        </w:rPr>
        <w:footnoteReference w:id="1294"/>
      </w:r>
      <w:r w:rsidRPr="00E64828">
        <w:t xml:space="preserve"> However, we relied on updated market data from 2008–13, as submitted in a recent report by PricewaterhouseCoopers (PwC) during the rate of return guideline process.</w:t>
      </w:r>
      <w:r>
        <w:rPr>
          <w:rStyle w:val="FootnoteReference"/>
        </w:rPr>
        <w:footnoteReference w:id="1295"/>
      </w:r>
      <w:r w:rsidRPr="00E64828">
        <w:t xml:space="preserve"> The approach uses a five year window of up to date bond data to reflect current market conditions. Where PwC has updated the data or the method, we have compared it against our standard approach and we are broadly satisfied it is reasonable.</w:t>
      </w:r>
    </w:p>
    <w:p w:rsidR="002A032E" w:rsidRDefault="002A032E" w:rsidP="002A032E">
      <w:r w:rsidRPr="00E64828">
        <w:t>The ACG method involves calculating the benchmark bond size, and the number of bond issues required to rollover the benchmark debt share (60 per cent) of the RAB. Our standard approach is to amortise the upfront costs that are incurred using the relevant nominal vanilla WACC over a ten year amortisation period. This is then expressed in basis points per annum (bppa) as an input into the post-tax revenue model (PTRM). This rate is multiplied by the debt component of a service provider's projected RAB to determine the debt raising cost allowance. The ACG approach recognises that credit rating costs can be spread across multiple bond issues, which lowers the benchmark allowance (as expressed in bppa) as the number of bond issues increases.</w:t>
      </w:r>
    </w:p>
    <w:p w:rsidR="002A032E" w:rsidRDefault="002A032E" w:rsidP="002A032E">
      <w:pPr>
        <w:pStyle w:val="Heading9"/>
      </w:pPr>
      <w:bookmarkStart w:id="469" w:name="_Toc456686794"/>
      <w:r>
        <w:t>Reasons for draft decision</w:t>
      </w:r>
      <w:bookmarkEnd w:id="469"/>
      <w:r>
        <w:t xml:space="preserve"> </w:t>
      </w:r>
    </w:p>
    <w:p w:rsidR="002A032E" w:rsidRPr="003A2229" w:rsidRDefault="002A032E" w:rsidP="002A032E">
      <w:r w:rsidRPr="00C43648">
        <w:t xml:space="preserve">We </w:t>
      </w:r>
      <w:r>
        <w:t>are not persuaded</w:t>
      </w:r>
      <w:r w:rsidRPr="00C43648">
        <w:t xml:space="preserve"> </w:t>
      </w:r>
      <w:r>
        <w:t>AusNet's</w:t>
      </w:r>
      <w:r w:rsidRPr="00C43648">
        <w:t xml:space="preserve"> method for determining debt raising transaction costs provides a realistic estimate of the efficient costs required to meet the operating expenditure objectives</w:t>
      </w:r>
      <w:r>
        <w:t>.</w:t>
      </w:r>
      <w:r w:rsidRPr="001321B2">
        <w:rPr>
          <w:rStyle w:val="AERsuperscript"/>
        </w:rPr>
        <w:footnoteReference w:id="1296"/>
      </w:r>
      <w:r w:rsidRPr="00413171">
        <w:t xml:space="preserve"> </w:t>
      </w:r>
      <w:r w:rsidRPr="003A2229">
        <w:t xml:space="preserve">Our decision on the unit costs and components of </w:t>
      </w:r>
      <w:r>
        <w:t>AusNet</w:t>
      </w:r>
      <w:r w:rsidRPr="003A2229">
        <w:t>'s benchmark rate of debt raising transaction costs is set out in</w:t>
      </w:r>
      <w:r>
        <w:t xml:space="preserve"> </w:t>
      </w:r>
      <w:r>
        <w:fldChar w:fldCharType="begin"/>
      </w:r>
      <w:r>
        <w:instrText xml:space="preserve"> REF _Ref449602773 \h </w:instrText>
      </w:r>
      <w:r>
        <w:fldChar w:fldCharType="separate"/>
      </w:r>
      <w:r w:rsidR="003F1AAB">
        <w:t xml:space="preserve">Table </w:t>
      </w:r>
      <w:r w:rsidR="003F1AAB">
        <w:rPr>
          <w:noProof/>
        </w:rPr>
        <w:t>3</w:t>
      </w:r>
      <w:r w:rsidR="003F1AAB">
        <w:noBreakHyphen/>
      </w:r>
      <w:r w:rsidR="003F1AAB">
        <w:rPr>
          <w:noProof/>
        </w:rPr>
        <w:t>47</w:t>
      </w:r>
      <w:r>
        <w:fldChar w:fldCharType="end"/>
      </w:r>
      <w:r w:rsidRPr="003A2229">
        <w:t>.</w:t>
      </w:r>
    </w:p>
    <w:p w:rsidR="002A032E" w:rsidRPr="00413171" w:rsidRDefault="002A032E" w:rsidP="002A032E">
      <w:pPr>
        <w:pStyle w:val="Caption"/>
      </w:pPr>
      <w:bookmarkStart w:id="470" w:name="_Ref449602773"/>
      <w:r>
        <w:t xml:space="preserve">Table </w:t>
      </w:r>
      <w:r w:rsidRPr="002A032E">
        <w:fldChar w:fldCharType="begin"/>
      </w:r>
      <w:r>
        <w:instrText xml:space="preserve"> STYLEREF 1 \s </w:instrText>
      </w:r>
      <w:r w:rsidRPr="002A032E">
        <w:fldChar w:fldCharType="separate"/>
      </w:r>
      <w:r w:rsidR="003F1AAB">
        <w:rPr>
          <w:noProof/>
        </w:rPr>
        <w:t>3</w:t>
      </w:r>
      <w:r w:rsidRPr="002A032E">
        <w:fldChar w:fldCharType="end"/>
      </w:r>
      <w:r>
        <w:noBreakHyphen/>
      </w:r>
      <w:r w:rsidRPr="002A032E">
        <w:fldChar w:fldCharType="begin"/>
      </w:r>
      <w:r>
        <w:instrText xml:space="preserve"> SEQ Table \* ARABIC \s 1 </w:instrText>
      </w:r>
      <w:r w:rsidRPr="002A032E">
        <w:fldChar w:fldCharType="separate"/>
      </w:r>
      <w:r w:rsidR="003F1AAB">
        <w:rPr>
          <w:noProof/>
        </w:rPr>
        <w:t>47</w:t>
      </w:r>
      <w:r w:rsidRPr="002A032E">
        <w:fldChar w:fldCharType="end"/>
      </w:r>
      <w:bookmarkEnd w:id="470"/>
      <w:r w:rsidRPr="00413171">
        <w:tab/>
      </w:r>
      <w:r w:rsidRPr="00413171">
        <w:tab/>
        <w:t>Benchmark debt raising costs (basis points per annum)</w:t>
      </w:r>
    </w:p>
    <w:tbl>
      <w:tblPr>
        <w:tblStyle w:val="AERtable-text0"/>
        <w:tblW w:w="0" w:type="auto"/>
        <w:tblLook w:val="04A0" w:firstRow="1" w:lastRow="0" w:firstColumn="1" w:lastColumn="0" w:noHBand="0" w:noVBand="1"/>
      </w:tblPr>
      <w:tblGrid>
        <w:gridCol w:w="2373"/>
        <w:gridCol w:w="2252"/>
        <w:gridCol w:w="2034"/>
        <w:gridCol w:w="2034"/>
      </w:tblGrid>
      <w:tr w:rsidR="002A032E" w:rsidRPr="00C43648" w:rsidTr="00FB2460">
        <w:trPr>
          <w:cnfStyle w:val="100000000000" w:firstRow="1" w:lastRow="0" w:firstColumn="0" w:lastColumn="0" w:oddVBand="0" w:evenVBand="0" w:oddHBand="0" w:evenHBand="0" w:firstRowFirstColumn="0" w:firstRowLastColumn="0" w:lastRowFirstColumn="0" w:lastRowLastColumn="0"/>
          <w:tblHeader/>
        </w:trPr>
        <w:tc>
          <w:tcPr>
            <w:tcW w:w="2373" w:type="dxa"/>
          </w:tcPr>
          <w:p w:rsidR="002A032E" w:rsidRPr="002A032E" w:rsidRDefault="002A032E" w:rsidP="002A032E">
            <w:r w:rsidRPr="00C43648">
              <w:t xml:space="preserve">Number of </w:t>
            </w:r>
            <w:r w:rsidRPr="002A032E">
              <w:t>bonds</w:t>
            </w:r>
          </w:p>
        </w:tc>
        <w:tc>
          <w:tcPr>
            <w:tcW w:w="2252" w:type="dxa"/>
          </w:tcPr>
          <w:p w:rsidR="002A032E" w:rsidRPr="002A032E" w:rsidRDefault="002A032E" w:rsidP="002A032E">
            <w:r w:rsidRPr="00C43648">
              <w:t>Value</w:t>
            </w:r>
          </w:p>
        </w:tc>
        <w:tc>
          <w:tcPr>
            <w:tcW w:w="2034" w:type="dxa"/>
            <w:vAlign w:val="top"/>
          </w:tcPr>
          <w:p w:rsidR="002A032E" w:rsidRPr="002A032E" w:rsidRDefault="002A032E" w:rsidP="002A032E">
            <w:r w:rsidRPr="00C43648">
              <w:t>1 bond issued</w:t>
            </w:r>
          </w:p>
        </w:tc>
        <w:tc>
          <w:tcPr>
            <w:tcW w:w="2034" w:type="dxa"/>
            <w:vAlign w:val="top"/>
          </w:tcPr>
          <w:p w:rsidR="002A032E" w:rsidRPr="002A032E" w:rsidRDefault="00987484" w:rsidP="002A032E">
            <w:r>
              <w:t>8</w:t>
            </w:r>
            <w:r w:rsidRPr="002A032E">
              <w:t xml:space="preserve"> </w:t>
            </w:r>
            <w:r w:rsidR="002A032E" w:rsidRPr="002A032E">
              <w:t>bonds issued</w:t>
            </w:r>
          </w:p>
        </w:tc>
      </w:tr>
      <w:tr w:rsidR="002A032E" w:rsidRPr="00C43648" w:rsidTr="00FB2460">
        <w:tc>
          <w:tcPr>
            <w:tcW w:w="2373" w:type="dxa"/>
          </w:tcPr>
          <w:p w:rsidR="002A032E" w:rsidRPr="002A032E" w:rsidRDefault="002A032E" w:rsidP="002A032E">
            <w:r w:rsidRPr="00C43648">
              <w:t>Amount raised</w:t>
            </w:r>
          </w:p>
        </w:tc>
        <w:tc>
          <w:tcPr>
            <w:tcW w:w="2252" w:type="dxa"/>
          </w:tcPr>
          <w:p w:rsidR="002A032E" w:rsidRPr="00C43648" w:rsidRDefault="002A032E" w:rsidP="002A032E"/>
        </w:tc>
        <w:tc>
          <w:tcPr>
            <w:tcW w:w="2034" w:type="dxa"/>
            <w:vAlign w:val="top"/>
          </w:tcPr>
          <w:p w:rsidR="002A032E" w:rsidRPr="002A032E" w:rsidRDefault="002A032E" w:rsidP="002A032E">
            <w:r w:rsidRPr="00C43648">
              <w:t>$250m</w:t>
            </w:r>
          </w:p>
        </w:tc>
        <w:tc>
          <w:tcPr>
            <w:tcW w:w="2034" w:type="dxa"/>
            <w:vAlign w:val="top"/>
          </w:tcPr>
          <w:p w:rsidR="002A032E" w:rsidRPr="002A032E" w:rsidRDefault="002A032E" w:rsidP="00987484">
            <w:r w:rsidRPr="00C43648">
              <w:t>$</w:t>
            </w:r>
            <w:r w:rsidR="00987484" w:rsidRPr="002A032E">
              <w:t>2</w:t>
            </w:r>
            <w:r w:rsidR="00987484">
              <w:t>00</w:t>
            </w:r>
            <w:r w:rsidR="00987484" w:rsidRPr="002A032E">
              <w:t>0m</w:t>
            </w:r>
          </w:p>
        </w:tc>
      </w:tr>
      <w:tr w:rsidR="002A032E" w:rsidRPr="00C43648" w:rsidTr="00FB2460">
        <w:trPr>
          <w:cnfStyle w:val="000000010000" w:firstRow="0" w:lastRow="0" w:firstColumn="0" w:lastColumn="0" w:oddVBand="0" w:evenVBand="0" w:oddHBand="0" w:evenHBand="1" w:firstRowFirstColumn="0" w:firstRowLastColumn="0" w:lastRowFirstColumn="0" w:lastRowLastColumn="0"/>
        </w:trPr>
        <w:tc>
          <w:tcPr>
            <w:tcW w:w="2373" w:type="dxa"/>
          </w:tcPr>
          <w:p w:rsidR="002A032E" w:rsidRPr="002A032E" w:rsidRDefault="002A032E" w:rsidP="002A032E">
            <w:r w:rsidRPr="00C43648">
              <w:t>Arrangement fee</w:t>
            </w:r>
          </w:p>
        </w:tc>
        <w:tc>
          <w:tcPr>
            <w:tcW w:w="2252" w:type="dxa"/>
          </w:tcPr>
          <w:p w:rsidR="002A032E" w:rsidRPr="00C43648" w:rsidRDefault="002A032E" w:rsidP="002A032E"/>
        </w:tc>
        <w:tc>
          <w:tcPr>
            <w:tcW w:w="2034" w:type="dxa"/>
            <w:vAlign w:val="top"/>
          </w:tcPr>
          <w:p w:rsidR="002A032E" w:rsidRPr="002A032E" w:rsidRDefault="002A032E" w:rsidP="00987484">
            <w:r>
              <w:t>7.</w:t>
            </w:r>
            <w:r w:rsidR="00987484">
              <w:t>16</w:t>
            </w:r>
          </w:p>
        </w:tc>
        <w:tc>
          <w:tcPr>
            <w:tcW w:w="2034" w:type="dxa"/>
            <w:vAlign w:val="top"/>
          </w:tcPr>
          <w:p w:rsidR="002A032E" w:rsidRPr="002A032E" w:rsidRDefault="002A032E" w:rsidP="00987484">
            <w:r>
              <w:t>7.</w:t>
            </w:r>
            <w:r w:rsidR="00987484">
              <w:t>16</w:t>
            </w:r>
          </w:p>
        </w:tc>
      </w:tr>
      <w:tr w:rsidR="002A032E" w:rsidRPr="00C43648" w:rsidTr="00FB2460">
        <w:tc>
          <w:tcPr>
            <w:tcW w:w="2373" w:type="dxa"/>
          </w:tcPr>
          <w:p w:rsidR="002A032E" w:rsidRPr="002A032E" w:rsidRDefault="002A032E" w:rsidP="002A032E">
            <w:r w:rsidRPr="00DA7B4A">
              <w:t>Bond Master Program (per program)</w:t>
            </w:r>
          </w:p>
        </w:tc>
        <w:tc>
          <w:tcPr>
            <w:tcW w:w="2252" w:type="dxa"/>
            <w:vAlign w:val="top"/>
          </w:tcPr>
          <w:p w:rsidR="002A032E" w:rsidRPr="002A032E" w:rsidRDefault="002A032E" w:rsidP="002A032E">
            <w:r w:rsidRPr="00DA7B4A">
              <w:t>$56,250</w:t>
            </w:r>
          </w:p>
        </w:tc>
        <w:tc>
          <w:tcPr>
            <w:tcW w:w="2034" w:type="dxa"/>
            <w:vAlign w:val="top"/>
          </w:tcPr>
          <w:p w:rsidR="002A032E" w:rsidRPr="002A032E" w:rsidRDefault="002A032E" w:rsidP="002A032E">
            <w:r w:rsidRPr="00DA7B4A">
              <w:t>0.3</w:t>
            </w:r>
            <w:r w:rsidRPr="002A032E">
              <w:t>1</w:t>
            </w:r>
          </w:p>
        </w:tc>
        <w:tc>
          <w:tcPr>
            <w:tcW w:w="2034" w:type="dxa"/>
            <w:vAlign w:val="top"/>
          </w:tcPr>
          <w:p w:rsidR="002A032E" w:rsidRPr="002A032E" w:rsidRDefault="002A032E" w:rsidP="00987484">
            <w:r w:rsidRPr="00DA7B4A">
              <w:t>0.</w:t>
            </w:r>
            <w:r w:rsidR="00987484" w:rsidRPr="00DA7B4A">
              <w:t>0</w:t>
            </w:r>
            <w:r w:rsidR="00987484">
              <w:t>4</w:t>
            </w:r>
          </w:p>
        </w:tc>
      </w:tr>
      <w:tr w:rsidR="002A032E" w:rsidRPr="00C43648" w:rsidTr="00FB2460">
        <w:trPr>
          <w:cnfStyle w:val="000000010000" w:firstRow="0" w:lastRow="0" w:firstColumn="0" w:lastColumn="0" w:oddVBand="0" w:evenVBand="0" w:oddHBand="0" w:evenHBand="1" w:firstRowFirstColumn="0" w:firstRowLastColumn="0" w:lastRowFirstColumn="0" w:lastRowLastColumn="0"/>
        </w:trPr>
        <w:tc>
          <w:tcPr>
            <w:tcW w:w="2373" w:type="dxa"/>
          </w:tcPr>
          <w:p w:rsidR="002A032E" w:rsidRPr="002A032E" w:rsidRDefault="002A032E" w:rsidP="002A032E">
            <w:r w:rsidRPr="00DA7B4A">
              <w:t xml:space="preserve">Issuer's </w:t>
            </w:r>
            <w:r w:rsidRPr="002A032E">
              <w:t>legal counsel</w:t>
            </w:r>
          </w:p>
        </w:tc>
        <w:tc>
          <w:tcPr>
            <w:tcW w:w="2252" w:type="dxa"/>
            <w:vAlign w:val="top"/>
          </w:tcPr>
          <w:p w:rsidR="002A032E" w:rsidRPr="002A032E" w:rsidRDefault="002A032E" w:rsidP="002A032E">
            <w:r w:rsidRPr="00DA7B4A">
              <w:t>$15,265</w:t>
            </w:r>
          </w:p>
        </w:tc>
        <w:tc>
          <w:tcPr>
            <w:tcW w:w="2034" w:type="dxa"/>
            <w:vAlign w:val="top"/>
          </w:tcPr>
          <w:p w:rsidR="002A032E" w:rsidRPr="002A032E" w:rsidRDefault="002A032E" w:rsidP="002A032E">
            <w:r w:rsidRPr="00DA7B4A">
              <w:t>0.0</w:t>
            </w:r>
            <w:r w:rsidRPr="002A032E">
              <w:t>9</w:t>
            </w:r>
          </w:p>
        </w:tc>
        <w:tc>
          <w:tcPr>
            <w:tcW w:w="2034" w:type="dxa"/>
            <w:vAlign w:val="top"/>
          </w:tcPr>
          <w:p w:rsidR="002A032E" w:rsidRPr="002A032E" w:rsidRDefault="002A032E" w:rsidP="002A032E">
            <w:r w:rsidRPr="00DA7B4A">
              <w:t>0.0</w:t>
            </w:r>
            <w:r w:rsidRPr="002A032E">
              <w:t>9</w:t>
            </w:r>
          </w:p>
        </w:tc>
      </w:tr>
      <w:tr w:rsidR="002A032E" w:rsidRPr="00C43648" w:rsidTr="00FB2460">
        <w:tc>
          <w:tcPr>
            <w:tcW w:w="2373" w:type="dxa"/>
          </w:tcPr>
          <w:p w:rsidR="002A032E" w:rsidRPr="002A032E" w:rsidRDefault="002A032E" w:rsidP="002A032E">
            <w:r w:rsidRPr="00DA7B4A">
              <w:t>Company credit rating</w:t>
            </w:r>
          </w:p>
        </w:tc>
        <w:tc>
          <w:tcPr>
            <w:tcW w:w="2252" w:type="dxa"/>
            <w:vAlign w:val="top"/>
          </w:tcPr>
          <w:p w:rsidR="002A032E" w:rsidRPr="002A032E" w:rsidRDefault="002A032E" w:rsidP="002A032E">
            <w:r w:rsidRPr="00DA7B4A">
              <w:t>$77,500</w:t>
            </w:r>
          </w:p>
        </w:tc>
        <w:tc>
          <w:tcPr>
            <w:tcW w:w="2034" w:type="dxa"/>
            <w:vAlign w:val="top"/>
          </w:tcPr>
          <w:p w:rsidR="002A032E" w:rsidRPr="002A032E" w:rsidRDefault="002A032E" w:rsidP="002A032E">
            <w:r w:rsidRPr="00DA7B4A">
              <w:t>0.4</w:t>
            </w:r>
            <w:r w:rsidRPr="002A032E">
              <w:t>2</w:t>
            </w:r>
          </w:p>
        </w:tc>
        <w:tc>
          <w:tcPr>
            <w:tcW w:w="2034" w:type="dxa"/>
            <w:vAlign w:val="top"/>
          </w:tcPr>
          <w:p w:rsidR="002A032E" w:rsidRPr="002A032E" w:rsidRDefault="002A032E" w:rsidP="002A032E">
            <w:r w:rsidRPr="00DA7B4A">
              <w:t>0.05</w:t>
            </w:r>
          </w:p>
        </w:tc>
      </w:tr>
      <w:tr w:rsidR="002A032E" w:rsidRPr="00C43648" w:rsidTr="00FB2460">
        <w:trPr>
          <w:cnfStyle w:val="000000010000" w:firstRow="0" w:lastRow="0" w:firstColumn="0" w:lastColumn="0" w:oddVBand="0" w:evenVBand="0" w:oddHBand="0" w:evenHBand="1" w:firstRowFirstColumn="0" w:firstRowLastColumn="0" w:lastRowFirstColumn="0" w:lastRowLastColumn="0"/>
        </w:trPr>
        <w:tc>
          <w:tcPr>
            <w:tcW w:w="2373" w:type="dxa"/>
          </w:tcPr>
          <w:p w:rsidR="002A032E" w:rsidRPr="002A032E" w:rsidRDefault="002A032E" w:rsidP="002A032E">
            <w:r w:rsidRPr="00DA7B4A">
              <w:t xml:space="preserve">Annual surveillance </w:t>
            </w:r>
            <w:r w:rsidRPr="002A032E">
              <w:t>fee</w:t>
            </w:r>
          </w:p>
        </w:tc>
        <w:tc>
          <w:tcPr>
            <w:tcW w:w="2252" w:type="dxa"/>
            <w:vAlign w:val="top"/>
          </w:tcPr>
          <w:p w:rsidR="002A032E" w:rsidRPr="002A032E" w:rsidRDefault="002A032E" w:rsidP="002A032E">
            <w:r w:rsidRPr="00DA7B4A">
              <w:t>$35,500</w:t>
            </w:r>
          </w:p>
        </w:tc>
        <w:tc>
          <w:tcPr>
            <w:tcW w:w="2034" w:type="dxa"/>
            <w:vAlign w:val="top"/>
          </w:tcPr>
          <w:p w:rsidR="002A032E" w:rsidRPr="002A032E" w:rsidRDefault="002A032E" w:rsidP="002A032E">
            <w:r w:rsidRPr="00DA7B4A">
              <w:t>0.14</w:t>
            </w:r>
          </w:p>
        </w:tc>
        <w:tc>
          <w:tcPr>
            <w:tcW w:w="2034" w:type="dxa"/>
            <w:vAlign w:val="top"/>
          </w:tcPr>
          <w:p w:rsidR="002A032E" w:rsidRPr="002A032E" w:rsidRDefault="002A032E" w:rsidP="002A032E">
            <w:r w:rsidRPr="00DA7B4A">
              <w:t>0.02</w:t>
            </w:r>
          </w:p>
        </w:tc>
      </w:tr>
      <w:tr w:rsidR="002A032E" w:rsidRPr="00C43648" w:rsidTr="00FB2460">
        <w:tc>
          <w:tcPr>
            <w:tcW w:w="2373" w:type="dxa"/>
          </w:tcPr>
          <w:p w:rsidR="002A032E" w:rsidRPr="002A032E" w:rsidRDefault="002A032E" w:rsidP="002A032E">
            <w:r w:rsidRPr="00DA7B4A">
              <w:t>Up-front issuance fee</w:t>
            </w:r>
          </w:p>
        </w:tc>
        <w:tc>
          <w:tcPr>
            <w:tcW w:w="2252" w:type="dxa"/>
            <w:vAlign w:val="top"/>
          </w:tcPr>
          <w:p w:rsidR="002A032E" w:rsidRPr="002A032E" w:rsidRDefault="002A032E" w:rsidP="002A032E">
            <w:r w:rsidRPr="00DA7B4A">
              <w:t>5.20bp</w:t>
            </w:r>
          </w:p>
        </w:tc>
        <w:tc>
          <w:tcPr>
            <w:tcW w:w="2034" w:type="dxa"/>
            <w:vAlign w:val="top"/>
          </w:tcPr>
          <w:p w:rsidR="002A032E" w:rsidRPr="002A032E" w:rsidRDefault="002A032E" w:rsidP="002A032E">
            <w:r w:rsidRPr="00DA7B4A">
              <w:t>0.</w:t>
            </w:r>
            <w:r w:rsidRPr="002A032E">
              <w:t>71</w:t>
            </w:r>
          </w:p>
        </w:tc>
        <w:tc>
          <w:tcPr>
            <w:tcW w:w="2034" w:type="dxa"/>
            <w:vAlign w:val="top"/>
          </w:tcPr>
          <w:p w:rsidR="002A032E" w:rsidRPr="002A032E" w:rsidRDefault="002A032E" w:rsidP="002A032E">
            <w:r w:rsidRPr="00DA7B4A">
              <w:t>0.</w:t>
            </w:r>
            <w:r w:rsidRPr="002A032E">
              <w:t>71</w:t>
            </w:r>
          </w:p>
        </w:tc>
      </w:tr>
      <w:tr w:rsidR="002A032E" w:rsidRPr="00C43648" w:rsidTr="00FB2460">
        <w:trPr>
          <w:cnfStyle w:val="000000010000" w:firstRow="0" w:lastRow="0" w:firstColumn="0" w:lastColumn="0" w:oddVBand="0" w:evenVBand="0" w:oddHBand="0" w:evenHBand="1" w:firstRowFirstColumn="0" w:firstRowLastColumn="0" w:lastRowFirstColumn="0" w:lastRowLastColumn="0"/>
        </w:trPr>
        <w:tc>
          <w:tcPr>
            <w:tcW w:w="2373" w:type="dxa"/>
          </w:tcPr>
          <w:p w:rsidR="002A032E" w:rsidRPr="002A032E" w:rsidRDefault="002A032E" w:rsidP="002A032E">
            <w:r w:rsidRPr="00DA7B4A">
              <w:t>Registration up-front (per program)</w:t>
            </w:r>
          </w:p>
        </w:tc>
        <w:tc>
          <w:tcPr>
            <w:tcW w:w="2252" w:type="dxa"/>
            <w:vAlign w:val="top"/>
          </w:tcPr>
          <w:p w:rsidR="002A032E" w:rsidRPr="002A032E" w:rsidRDefault="002A032E" w:rsidP="002A032E">
            <w:r w:rsidRPr="00DA7B4A">
              <w:t>$20,850</w:t>
            </w:r>
          </w:p>
        </w:tc>
        <w:tc>
          <w:tcPr>
            <w:tcW w:w="2034" w:type="dxa"/>
            <w:vAlign w:val="top"/>
          </w:tcPr>
          <w:p w:rsidR="002A032E" w:rsidRPr="002A032E" w:rsidRDefault="002A032E" w:rsidP="002A032E">
            <w:r w:rsidRPr="00DA7B4A">
              <w:t>0.11</w:t>
            </w:r>
          </w:p>
        </w:tc>
        <w:tc>
          <w:tcPr>
            <w:tcW w:w="2034" w:type="dxa"/>
            <w:vAlign w:val="top"/>
          </w:tcPr>
          <w:p w:rsidR="002A032E" w:rsidRPr="002A032E" w:rsidRDefault="002A032E" w:rsidP="002A032E">
            <w:r w:rsidRPr="00DA7B4A">
              <w:t>0.01</w:t>
            </w:r>
          </w:p>
        </w:tc>
      </w:tr>
      <w:tr w:rsidR="002A032E" w:rsidRPr="00C43648" w:rsidTr="00FB2460">
        <w:tc>
          <w:tcPr>
            <w:tcW w:w="2373" w:type="dxa"/>
          </w:tcPr>
          <w:p w:rsidR="002A032E" w:rsidRPr="002A032E" w:rsidRDefault="002A032E" w:rsidP="002A032E">
            <w:r w:rsidRPr="00DA7B4A">
              <w:t>Registration- annual</w:t>
            </w:r>
          </w:p>
        </w:tc>
        <w:tc>
          <w:tcPr>
            <w:tcW w:w="2252" w:type="dxa"/>
            <w:vAlign w:val="top"/>
          </w:tcPr>
          <w:p w:rsidR="002A032E" w:rsidRPr="002A032E" w:rsidRDefault="002A032E" w:rsidP="002A032E">
            <w:r w:rsidRPr="00DA7B4A">
              <w:t>$7,825</w:t>
            </w:r>
          </w:p>
        </w:tc>
        <w:tc>
          <w:tcPr>
            <w:tcW w:w="2034" w:type="dxa"/>
            <w:vAlign w:val="top"/>
          </w:tcPr>
          <w:p w:rsidR="002A032E" w:rsidRPr="002A032E" w:rsidRDefault="002A032E" w:rsidP="002A032E">
            <w:r w:rsidRPr="00DA7B4A">
              <w:t>0.31</w:t>
            </w:r>
          </w:p>
        </w:tc>
        <w:tc>
          <w:tcPr>
            <w:tcW w:w="2034" w:type="dxa"/>
            <w:vAlign w:val="top"/>
          </w:tcPr>
          <w:p w:rsidR="002A032E" w:rsidRPr="002A032E" w:rsidRDefault="002A032E" w:rsidP="002A032E">
            <w:r w:rsidRPr="00DA7B4A">
              <w:t>0.31</w:t>
            </w:r>
          </w:p>
        </w:tc>
      </w:tr>
      <w:tr w:rsidR="002A032E" w:rsidRPr="00C43648" w:rsidTr="00FB2460">
        <w:trPr>
          <w:cnfStyle w:val="000000010000" w:firstRow="0" w:lastRow="0" w:firstColumn="0" w:lastColumn="0" w:oddVBand="0" w:evenVBand="0" w:oddHBand="0" w:evenHBand="1" w:firstRowFirstColumn="0" w:firstRowLastColumn="0" w:lastRowFirstColumn="0" w:lastRowLastColumn="0"/>
        </w:trPr>
        <w:tc>
          <w:tcPr>
            <w:tcW w:w="2373" w:type="dxa"/>
          </w:tcPr>
          <w:p w:rsidR="002A032E" w:rsidRPr="002A032E" w:rsidRDefault="002A032E" w:rsidP="002A032E">
            <w:r w:rsidRPr="00DA7B4A">
              <w:t>Agents out-of-pockets</w:t>
            </w:r>
          </w:p>
        </w:tc>
        <w:tc>
          <w:tcPr>
            <w:tcW w:w="2252" w:type="dxa"/>
            <w:vAlign w:val="top"/>
          </w:tcPr>
          <w:p w:rsidR="002A032E" w:rsidRPr="002A032E" w:rsidRDefault="002A032E" w:rsidP="002A032E">
            <w:r w:rsidRPr="00DA7B4A">
              <w:t>$3,000</w:t>
            </w:r>
          </w:p>
        </w:tc>
        <w:tc>
          <w:tcPr>
            <w:tcW w:w="2034" w:type="dxa"/>
            <w:vAlign w:val="top"/>
          </w:tcPr>
          <w:p w:rsidR="002A032E" w:rsidRPr="002A032E" w:rsidRDefault="002A032E" w:rsidP="002A032E">
            <w:r w:rsidRPr="00DA7B4A">
              <w:t>0.02</w:t>
            </w:r>
          </w:p>
        </w:tc>
        <w:tc>
          <w:tcPr>
            <w:tcW w:w="2034" w:type="dxa"/>
            <w:vAlign w:val="top"/>
          </w:tcPr>
          <w:p w:rsidR="002A032E" w:rsidRPr="002A032E" w:rsidRDefault="002A032E" w:rsidP="002A032E">
            <w:r w:rsidRPr="00DA7B4A">
              <w:t>0.02</w:t>
            </w:r>
          </w:p>
        </w:tc>
      </w:tr>
      <w:tr w:rsidR="002A032E" w:rsidRPr="00C43648" w:rsidTr="00FB2460">
        <w:tc>
          <w:tcPr>
            <w:tcW w:w="2373" w:type="dxa"/>
          </w:tcPr>
          <w:p w:rsidR="002A032E" w:rsidRPr="002A032E" w:rsidRDefault="002A032E" w:rsidP="002A032E">
            <w:r w:rsidRPr="00C43648">
              <w:t>Total (basis points per annum)</w:t>
            </w:r>
          </w:p>
        </w:tc>
        <w:tc>
          <w:tcPr>
            <w:tcW w:w="2252" w:type="dxa"/>
            <w:vAlign w:val="top"/>
          </w:tcPr>
          <w:p w:rsidR="002A032E" w:rsidRPr="00C43648" w:rsidRDefault="002A032E" w:rsidP="002A032E"/>
        </w:tc>
        <w:tc>
          <w:tcPr>
            <w:tcW w:w="2034" w:type="dxa"/>
            <w:vAlign w:val="top"/>
          </w:tcPr>
          <w:p w:rsidR="002A032E" w:rsidRPr="002A032E" w:rsidRDefault="002A032E" w:rsidP="00987484">
            <w:r w:rsidRPr="00C43648">
              <w:t>9.</w:t>
            </w:r>
            <w:r w:rsidR="00987484">
              <w:t>3</w:t>
            </w:r>
          </w:p>
        </w:tc>
        <w:tc>
          <w:tcPr>
            <w:tcW w:w="2034" w:type="dxa"/>
            <w:vAlign w:val="top"/>
          </w:tcPr>
          <w:p w:rsidR="002A032E" w:rsidRPr="002A032E" w:rsidRDefault="002A032E" w:rsidP="002A032E">
            <w:r>
              <w:t>8</w:t>
            </w:r>
            <w:r w:rsidRPr="002A032E">
              <w:t>.4</w:t>
            </w:r>
          </w:p>
        </w:tc>
      </w:tr>
    </w:tbl>
    <w:p w:rsidR="002A032E" w:rsidRDefault="002A032E" w:rsidP="00C931A2">
      <w:pPr>
        <w:pStyle w:val="AERtablesource"/>
        <w:tabs>
          <w:tab w:val="left" w:pos="5205"/>
        </w:tabs>
      </w:pPr>
      <w:r w:rsidRPr="00C43648">
        <w:t xml:space="preserve">Source: </w:t>
      </w:r>
      <w:r>
        <w:tab/>
      </w:r>
      <w:r w:rsidRPr="00C43648">
        <w:t>AER, Incenta.</w:t>
      </w:r>
      <w:r>
        <w:rPr>
          <w:rStyle w:val="FootnoteReference"/>
        </w:rPr>
        <w:footnoteReference w:id="1297"/>
      </w:r>
      <w:r w:rsidR="00C931A2">
        <w:tab/>
      </w:r>
    </w:p>
    <w:p w:rsidR="002A032E" w:rsidRDefault="002A032E" w:rsidP="002A032E">
      <w:r>
        <w:t xml:space="preserve">AusNet used a revealed costs approach to estimate its proposed debt raising costs of </w:t>
      </w:r>
      <w:r w:rsidR="004A5187">
        <w:t>16.8</w:t>
      </w:r>
      <w:r>
        <w:t xml:space="preserve"> million ($ 2016–17). Specifically, to forecast these costs, AusNet started with the actual debt raising costs for 2014–15, which it rolled forward as part of its base year opex.</w:t>
      </w:r>
      <w:r>
        <w:rPr>
          <w:rStyle w:val="FootnoteReference"/>
        </w:rPr>
        <w:footnoteReference w:id="1298"/>
      </w:r>
      <w:r>
        <w:t xml:space="preserve"> We do not accept AusNet proposal for the following reasons:</w:t>
      </w:r>
    </w:p>
    <w:p w:rsidR="002A032E" w:rsidRDefault="002A032E" w:rsidP="002A032E">
      <w:pPr>
        <w:pStyle w:val="AERbulletlistfirststyle"/>
      </w:pPr>
      <w:r w:rsidRPr="00333970">
        <w:t>Our approach and its resulting benchmark estimates are supported by the original advice from ACG. Recently, Incenta recommended a method for calculating debt raising transaction costs that is largely consistent with the ACG approach to debt raising transaction costs. Most service providers in the current determination process relied on Incenta's updates to inform their proposed benchmark estimates.</w:t>
      </w:r>
      <w:r>
        <w:rPr>
          <w:rStyle w:val="FootnoteReference"/>
        </w:rPr>
        <w:footnoteReference w:id="1299"/>
      </w:r>
    </w:p>
    <w:p w:rsidR="002A032E" w:rsidRDefault="002A032E" w:rsidP="002A032E">
      <w:pPr>
        <w:pStyle w:val="AERbulletlistfirststyle"/>
      </w:pPr>
      <w:r>
        <w:t>The fact that AusNet's debt raising costs for the current period are approximately 2.5 times the</w:t>
      </w:r>
      <w:r w:rsidRPr="00333970">
        <w:t xml:space="preserve"> benchmark allowance suggests that either AusNet's actual debt raising costs are inefficient; or they do not capture the same scope of costs that are captured by our benchmark</w:t>
      </w:r>
      <w:r>
        <w:t xml:space="preserve">. </w:t>
      </w:r>
    </w:p>
    <w:p w:rsidR="002A032E" w:rsidRDefault="002A032E" w:rsidP="002A032E">
      <w:pPr>
        <w:pStyle w:val="AERbulletlistfirststyle"/>
      </w:pPr>
      <w:r>
        <w:t>AusNet's proposal lacks transparency. AusNet sourced its 2014–15 actual debt raising costs from its financial systems.</w:t>
      </w:r>
      <w:r>
        <w:rPr>
          <w:rStyle w:val="FootnoteReference"/>
        </w:rPr>
        <w:footnoteReference w:id="1300"/>
      </w:r>
      <w:r>
        <w:t xml:space="preserve"> We are unable to verify AusNet's financial systems.</w:t>
      </w:r>
    </w:p>
    <w:p w:rsidR="002A032E" w:rsidRPr="00B121F3" w:rsidRDefault="002A032E" w:rsidP="002A032E"/>
    <w:p w:rsidR="006A0187" w:rsidRPr="006A0187" w:rsidRDefault="006A0187" w:rsidP="006A0187">
      <w:pPr>
        <w:pStyle w:val="Heading7"/>
      </w:pPr>
      <w:bookmarkStart w:id="471" w:name="_Ref456703498"/>
      <w:bookmarkEnd w:id="123"/>
      <w:bookmarkEnd w:id="124"/>
      <w:bookmarkEnd w:id="125"/>
      <w:bookmarkEnd w:id="126"/>
      <w:r>
        <w:t>Averaging periods - confidential appendix</w:t>
      </w:r>
      <w:bookmarkEnd w:id="471"/>
    </w:p>
    <w:p w:rsidR="00254561" w:rsidRPr="00254561" w:rsidRDefault="00254561" w:rsidP="00254561"/>
    <w:sectPr w:rsidR="00254561" w:rsidRPr="00254561" w:rsidSect="00EE50D1">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AAB" w:rsidRPr="00290C63" w:rsidRDefault="003F1AAB" w:rsidP="00290C63">
      <w:r>
        <w:separator/>
      </w:r>
    </w:p>
    <w:p w:rsidR="003F1AAB" w:rsidRDefault="003F1AAB"/>
  </w:endnote>
  <w:endnote w:type="continuationSeparator" w:id="0">
    <w:p w:rsidR="003F1AAB" w:rsidRPr="00290C63" w:rsidRDefault="003F1AAB" w:rsidP="00290C63">
      <w:r>
        <w:continuationSeparator/>
      </w:r>
    </w:p>
    <w:p w:rsidR="003F1AAB" w:rsidRDefault="003F1A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utami">
    <w:panose1 w:val="020B0502040204020203"/>
    <w:charset w:val="00"/>
    <w:family w:val="swiss"/>
    <w:pitch w:val="variable"/>
    <w:sig w:usb0="002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AAB" w:rsidRPr="00290C63" w:rsidRDefault="003F1AAB"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3F1AAB" w:rsidRDefault="003F1AAB"/>
  <w:p w:rsidR="003F1AAB" w:rsidRDefault="003F1AAB"/>
  <w:p w:rsidR="003F1AAB" w:rsidRDefault="003F1AAB"/>
  <w:p w:rsidR="003F1AAB" w:rsidRDefault="003F1AAB"/>
  <w:p w:rsidR="003F1AAB" w:rsidRDefault="003F1AAB"/>
  <w:p w:rsidR="003F1AAB" w:rsidRDefault="003F1AAB"/>
  <w:p w:rsidR="003F1AAB" w:rsidRDefault="003F1AA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368395"/>
      <w:docPartObj>
        <w:docPartGallery w:val="Page Numbers (Bottom of Page)"/>
        <w:docPartUnique/>
      </w:docPartObj>
    </w:sdtPr>
    <w:sdtEndPr>
      <w:rPr>
        <w:noProof/>
        <w:sz w:val="16"/>
        <w:szCs w:val="16"/>
      </w:rPr>
    </w:sdtEndPr>
    <w:sdtContent>
      <w:p w:rsidR="003F1AAB" w:rsidRDefault="003F1AAB">
        <w:pPr>
          <w:pStyle w:val="Footer"/>
        </w:pPr>
        <w:r>
          <w:fldChar w:fldCharType="begin"/>
        </w:r>
        <w:r>
          <w:instrText xml:space="preserve"> PAGE   \* MERGEFORMAT </w:instrText>
        </w:r>
        <w:r>
          <w:fldChar w:fldCharType="separate"/>
        </w:r>
        <w:r w:rsidR="00CD72C4">
          <w:rPr>
            <w:noProof/>
          </w:rPr>
          <w:t>3-1</w:t>
        </w:r>
        <w:r>
          <w:rPr>
            <w:noProof/>
          </w:rPr>
          <w:fldChar w:fldCharType="end"/>
        </w:r>
        <w:r>
          <w:rPr>
            <w:noProof/>
          </w:rPr>
          <w:t xml:space="preserve">          </w:t>
        </w:r>
        <w:r w:rsidRPr="00FD5E78">
          <w:rPr>
            <w:noProof/>
            <w:sz w:val="16"/>
            <w:szCs w:val="16"/>
          </w:rPr>
          <w:t xml:space="preserve">Attachment </w:t>
        </w:r>
        <w:r>
          <w:rPr>
            <w:noProof/>
            <w:sz w:val="16"/>
            <w:szCs w:val="16"/>
          </w:rPr>
          <w:t>3</w:t>
        </w:r>
        <w:r w:rsidRPr="00FD5E78">
          <w:rPr>
            <w:noProof/>
            <w:sz w:val="16"/>
            <w:szCs w:val="16"/>
          </w:rPr>
          <w:t xml:space="preserve"> </w:t>
        </w:r>
        <w:r w:rsidRPr="00FD5E78">
          <w:rPr>
            <w:rFonts w:cs="Gautami"/>
            <w:noProof/>
            <w:sz w:val="16"/>
            <w:szCs w:val="16"/>
          </w:rPr>
          <w:t xml:space="preserve">– </w:t>
        </w:r>
        <w:r>
          <w:rPr>
            <w:sz w:val="16"/>
            <w:szCs w:val="16"/>
          </w:rPr>
          <w:t>Rate of return</w:t>
        </w:r>
        <w:r w:rsidRPr="00631982">
          <w:rPr>
            <w:sz w:val="16"/>
            <w:szCs w:val="16"/>
          </w:rPr>
          <w:t xml:space="preserve"> </w:t>
        </w:r>
        <w:r w:rsidRPr="00FD5E78">
          <w:rPr>
            <w:rFonts w:cs="Gautami"/>
            <w:noProof/>
            <w:sz w:val="16"/>
            <w:szCs w:val="16"/>
          </w:rPr>
          <w:t xml:space="preserve">| </w:t>
        </w:r>
        <w:r>
          <w:rPr>
            <w:rFonts w:cs="Gautami"/>
            <w:noProof/>
            <w:sz w:val="16"/>
            <w:szCs w:val="16"/>
          </w:rPr>
          <w:t>Draft</w:t>
        </w:r>
        <w:r w:rsidRPr="00FD5E78">
          <w:rPr>
            <w:rFonts w:cs="Gautami"/>
            <w:noProof/>
            <w:sz w:val="16"/>
            <w:szCs w:val="16"/>
          </w:rPr>
          <w:t xml:space="preserve"> decision</w:t>
        </w:r>
        <w:r>
          <w:rPr>
            <w:rFonts w:cs="Gautami"/>
            <w:noProof/>
            <w:sz w:val="16"/>
            <w:szCs w:val="16"/>
          </w:rPr>
          <w:t>:</w:t>
        </w:r>
        <w:r w:rsidRPr="00FD5E78">
          <w:rPr>
            <w:rFonts w:cs="Gautami"/>
            <w:noProof/>
            <w:sz w:val="16"/>
            <w:szCs w:val="16"/>
          </w:rPr>
          <w:t xml:space="preserve"> </w:t>
        </w:r>
        <w:r>
          <w:rPr>
            <w:rFonts w:cs="Gautami"/>
            <w:noProof/>
            <w:sz w:val="16"/>
            <w:szCs w:val="16"/>
          </w:rPr>
          <w:t>AusNet Serices</w:t>
        </w:r>
        <w:r w:rsidRPr="00FD5E78">
          <w:rPr>
            <w:sz w:val="16"/>
            <w:szCs w:val="16"/>
          </w:rPr>
          <w:t xml:space="preserve"> transmission</w:t>
        </w:r>
        <w:r w:rsidRPr="00FD5E78">
          <w:rPr>
            <w:rFonts w:cs="Gautami"/>
            <w:noProof/>
            <w:sz w:val="16"/>
            <w:szCs w:val="16"/>
          </w:rPr>
          <w:t xml:space="preserve"> determination 201</w:t>
        </w:r>
        <w:r>
          <w:rPr>
            <w:rFonts w:cs="Gautami"/>
            <w:noProof/>
            <w:sz w:val="16"/>
            <w:szCs w:val="16"/>
          </w:rPr>
          <w:t>7</w:t>
        </w:r>
        <w:r w:rsidRPr="00FD5E78">
          <w:rPr>
            <w:rFonts w:cs="Gautami"/>
            <w:noProof/>
            <w:sz w:val="16"/>
            <w:szCs w:val="16"/>
          </w:rPr>
          <w:t>–</w:t>
        </w:r>
        <w:r>
          <w:rPr>
            <w:rFonts w:cs="Gautami"/>
            <w:noProof/>
            <w:sz w:val="16"/>
            <w:szCs w:val="16"/>
          </w:rPr>
          <w:t>22</w:t>
        </w:r>
      </w:p>
    </w:sdtContent>
  </w:sdt>
  <w:p w:rsidR="003F1AAB" w:rsidRDefault="003F1A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AAB" w:rsidRPr="00290C63" w:rsidRDefault="003F1AAB"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3F1AAB" w:rsidRDefault="003F1AAB">
    <w:pPr>
      <w:pStyle w:val="Footer"/>
    </w:pPr>
  </w:p>
  <w:p w:rsidR="003F1AAB" w:rsidRDefault="003F1AAB"/>
  <w:p w:rsidR="003F1AAB" w:rsidRDefault="003F1AAB"/>
  <w:p w:rsidR="003F1AAB" w:rsidRDefault="003F1AAB"/>
  <w:p w:rsidR="003F1AAB" w:rsidRDefault="003F1AAB"/>
  <w:p w:rsidR="003F1AAB" w:rsidRDefault="003F1AAB"/>
  <w:p w:rsidR="003F1AAB" w:rsidRDefault="003F1AAB"/>
  <w:p w:rsidR="003F1AAB" w:rsidRDefault="003F1AA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AAB" w:rsidRPr="00290C63" w:rsidRDefault="003F1AAB" w:rsidP="00290C63">
      <w:r>
        <w:separator/>
      </w:r>
    </w:p>
    <w:p w:rsidR="003F1AAB" w:rsidRDefault="003F1AAB"/>
  </w:footnote>
  <w:footnote w:type="continuationSeparator" w:id="0">
    <w:p w:rsidR="003F1AAB" w:rsidRPr="00290C63" w:rsidRDefault="003F1AAB" w:rsidP="00290C63">
      <w:r>
        <w:continuationSeparator/>
      </w:r>
    </w:p>
    <w:p w:rsidR="003F1AAB" w:rsidRDefault="003F1AAB"/>
  </w:footnote>
  <w:footnote w:id="1">
    <w:p w:rsidR="003F1AAB" w:rsidRDefault="003F1AAB" w:rsidP="00933E3E">
      <w:pPr>
        <w:pStyle w:val="FootnoteText"/>
      </w:pPr>
      <w:r>
        <w:rPr>
          <w:rStyle w:val="FootnoteReference"/>
        </w:rPr>
        <w:footnoteRef/>
      </w:r>
      <w:r>
        <w:t xml:space="preserve"> </w:t>
      </w:r>
      <w:r>
        <w:tab/>
        <w:t>The term network service provider relates to service providers that provide gas and electricity transmission and distribution services.</w:t>
      </w:r>
    </w:p>
  </w:footnote>
  <w:footnote w:id="2">
    <w:p w:rsidR="003F1AAB" w:rsidRDefault="003F1AAB" w:rsidP="00933E3E">
      <w:pPr>
        <w:pStyle w:val="FootnoteText"/>
      </w:pPr>
      <w:r>
        <w:rPr>
          <w:rStyle w:val="FootnoteReference"/>
        </w:rPr>
        <w:footnoteRef/>
      </w:r>
      <w:r>
        <w:t xml:space="preserve"> </w:t>
      </w:r>
      <w:r>
        <w:tab/>
        <w:t xml:space="preserve">NER, cl. 6.5.2(b); cl. </w:t>
      </w:r>
      <w:proofErr w:type="gramStart"/>
      <w:r>
        <w:t>6A.6.2(</w:t>
      </w:r>
      <w:proofErr w:type="gramEnd"/>
      <w:r>
        <w:t>b).</w:t>
      </w:r>
    </w:p>
  </w:footnote>
  <w:footnote w:id="3">
    <w:p w:rsidR="003F1AAB" w:rsidRDefault="003F1AAB" w:rsidP="00933E3E">
      <w:pPr>
        <w:pStyle w:val="FootnoteText"/>
      </w:pPr>
      <w:r>
        <w:rPr>
          <w:rStyle w:val="FootnoteReference"/>
        </w:rPr>
        <w:footnoteRef/>
      </w:r>
      <w:r>
        <w:t xml:space="preserve"> </w:t>
      </w:r>
      <w:r>
        <w:tab/>
        <w:t>NER, cl. 6.5.2(c); cl. 6A.6.2(c)</w:t>
      </w:r>
      <w:proofErr w:type="gramStart"/>
      <w:r>
        <w:t>..</w:t>
      </w:r>
      <w:proofErr w:type="gramEnd"/>
    </w:p>
  </w:footnote>
  <w:footnote w:id="4">
    <w:p w:rsidR="003F1AAB" w:rsidRDefault="003F1AAB" w:rsidP="00933E3E">
      <w:pPr>
        <w:pStyle w:val="FootnoteText"/>
      </w:pPr>
      <w:r>
        <w:rPr>
          <w:rStyle w:val="FootnoteReference"/>
        </w:rPr>
        <w:footnoteRef/>
      </w:r>
      <w:r>
        <w:t xml:space="preserve"> </w:t>
      </w:r>
      <w:r>
        <w:tab/>
        <w:t xml:space="preserve">AusNet Services, </w:t>
      </w:r>
      <w:r w:rsidRPr="006C0405">
        <w:rPr>
          <w:rStyle w:val="AERtextitalic"/>
        </w:rPr>
        <w:t>Transmission Revenue Review 2017–2022 regulatory proposal</w:t>
      </w:r>
      <w:r>
        <w:t>, 30 October 2015, p. 191.</w:t>
      </w:r>
    </w:p>
  </w:footnote>
  <w:footnote w:id="5">
    <w:p w:rsidR="003F1AAB" w:rsidRDefault="003F1AAB" w:rsidP="00933E3E">
      <w:pPr>
        <w:pStyle w:val="FootnoteText"/>
      </w:pPr>
      <w:r>
        <w:rPr>
          <w:rStyle w:val="FootnoteReference"/>
        </w:rPr>
        <w:footnoteRef/>
      </w:r>
      <w:r>
        <w:t xml:space="preserve"> </w:t>
      </w:r>
      <w:r>
        <w:tab/>
        <w:t>NER, cl. 6.5.2(d</w:t>
      </w:r>
      <w:proofErr w:type="gramStart"/>
      <w:r>
        <w:t>)(</w:t>
      </w:r>
      <w:proofErr w:type="gramEnd"/>
      <w:r>
        <w:t>1) and (2); cl. 6A.6.2(d)(1) and (2).</w:t>
      </w:r>
    </w:p>
  </w:footnote>
  <w:footnote w:id="6">
    <w:p w:rsidR="003F1AAB" w:rsidRDefault="003F1AAB" w:rsidP="00933E3E">
      <w:pPr>
        <w:pStyle w:val="FootnoteText"/>
      </w:pPr>
      <w:r>
        <w:rPr>
          <w:rStyle w:val="FootnoteReference"/>
        </w:rPr>
        <w:footnoteRef/>
      </w:r>
      <w:r>
        <w:t xml:space="preserve"> </w:t>
      </w:r>
      <w:r>
        <w:tab/>
        <w:t xml:space="preserve">NER, cl. 6.5.2(b); NER, cl. </w:t>
      </w:r>
      <w:proofErr w:type="gramStart"/>
      <w:r>
        <w:t>6A.6.2(</w:t>
      </w:r>
      <w:proofErr w:type="gramEnd"/>
      <w:r>
        <w:t xml:space="preserve">b); NGR, r. 87(2). </w:t>
      </w:r>
    </w:p>
  </w:footnote>
  <w:footnote w:id="7">
    <w:p w:rsidR="003F1AAB" w:rsidRDefault="003F1AAB" w:rsidP="00933E3E">
      <w:pPr>
        <w:pStyle w:val="FootnoteText"/>
      </w:pPr>
      <w:r>
        <w:rPr>
          <w:rStyle w:val="FootnoteReference"/>
        </w:rPr>
        <w:footnoteRef/>
      </w:r>
      <w:r>
        <w:t xml:space="preserve"> </w:t>
      </w:r>
      <w:r>
        <w:tab/>
      </w:r>
      <w:proofErr w:type="gramStart"/>
      <w:r>
        <w:t>NEL, s.16.</w:t>
      </w:r>
      <w:proofErr w:type="gramEnd"/>
    </w:p>
  </w:footnote>
  <w:footnote w:id="8">
    <w:p w:rsidR="003F1AAB" w:rsidRDefault="003F1AAB" w:rsidP="00933E3E">
      <w:pPr>
        <w:pStyle w:val="FootnoteText"/>
      </w:pPr>
      <w:r>
        <w:rPr>
          <w:rStyle w:val="FootnoteReference"/>
        </w:rPr>
        <w:footnoteRef/>
      </w:r>
      <w:r>
        <w:t xml:space="preserve"> </w:t>
      </w:r>
      <w:r>
        <w:tab/>
        <w:t xml:space="preserve">For example, see AER, </w:t>
      </w:r>
      <w:r>
        <w:rPr>
          <w:rStyle w:val="AERtextitalic"/>
        </w:rPr>
        <w:t>Final decision: AusNet Services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May 2016.</w:t>
      </w:r>
    </w:p>
  </w:footnote>
  <w:footnote w:id="9">
    <w:p w:rsidR="003F1AAB" w:rsidRDefault="003F1AAB" w:rsidP="00933E3E">
      <w:pPr>
        <w:pStyle w:val="FootnoteText"/>
      </w:pPr>
      <w:r>
        <w:rPr>
          <w:rStyle w:val="FootnoteReference"/>
        </w:rPr>
        <w:footnoteRef/>
      </w:r>
      <w:r>
        <w:t xml:space="preserve"> </w:t>
      </w:r>
      <w:r>
        <w:tab/>
        <w:t xml:space="preserve">For example, see Australian Competition Tribunal, </w:t>
      </w:r>
      <w:r w:rsidRPr="005772E3">
        <w:rPr>
          <w:rStyle w:val="AERtextitalic"/>
        </w:rPr>
        <w:t>Applications by Public Interest Advocacy Centre Ltd and Ausgrid [2016] ACompT 1</w:t>
      </w:r>
      <w:r>
        <w:t xml:space="preserve">, 26 February 2016, para 813. </w:t>
      </w:r>
    </w:p>
  </w:footnote>
  <w:footnote w:id="10">
    <w:p w:rsidR="003F1AAB" w:rsidRDefault="003F1AAB" w:rsidP="00933E3E">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1">
    <w:p w:rsidR="003F1AAB" w:rsidRDefault="003F1AAB" w:rsidP="00933E3E">
      <w:pPr>
        <w:pStyle w:val="FootnoteText"/>
      </w:pPr>
      <w:r>
        <w:rPr>
          <w:rStyle w:val="FootnoteReference"/>
        </w:rPr>
        <w:footnoteRef/>
      </w:r>
      <w:r>
        <w:t xml:space="preserve"> </w:t>
      </w:r>
      <w:r>
        <w:tab/>
      </w:r>
      <w:proofErr w:type="gramStart"/>
      <w:r>
        <w:t>NER, cl. 6.2.8(c); cl.6A.2.3(c).</w:t>
      </w:r>
      <w:proofErr w:type="gramEnd"/>
    </w:p>
  </w:footnote>
  <w:footnote w:id="12">
    <w:p w:rsidR="003F1AAB" w:rsidRDefault="003F1AAB" w:rsidP="00933E3E">
      <w:pPr>
        <w:pStyle w:val="FootnoteText"/>
      </w:pPr>
      <w:r>
        <w:rPr>
          <w:rStyle w:val="FootnoteReference"/>
        </w:rPr>
        <w:footnoteRef/>
      </w:r>
      <w:r>
        <w:t xml:space="preserve"> </w:t>
      </w:r>
      <w:r>
        <w:tab/>
        <w:t xml:space="preserve">AusNet Services, </w:t>
      </w:r>
      <w:r w:rsidRPr="006C0405">
        <w:rPr>
          <w:rStyle w:val="AERtextitalic"/>
        </w:rPr>
        <w:t>Transmission Revenue Review 2017–2022 regulatory proposal</w:t>
      </w:r>
      <w:r>
        <w:t>, 30 October 2015, pp. 191-195.</w:t>
      </w:r>
    </w:p>
  </w:footnote>
  <w:footnote w:id="13">
    <w:p w:rsidR="003F1AAB" w:rsidRDefault="003F1AAB" w:rsidP="00933E3E">
      <w:pPr>
        <w:pStyle w:val="FootnoteText"/>
      </w:pPr>
      <w:r>
        <w:rPr>
          <w:rStyle w:val="FootnoteReference"/>
        </w:rPr>
        <w:footnoteRef/>
      </w:r>
      <w:r>
        <w:t xml:space="preserve">     This draft decision determines the return on debt methodology for the 2017-22 regulatory control </w:t>
      </w:r>
      <w:proofErr w:type="gramStart"/>
      <w:r>
        <w:t>period</w:t>
      </w:r>
      <w:proofErr w:type="gramEnd"/>
      <w:r>
        <w:t>.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must be determined in future decisions that relate to that period.</w:t>
      </w:r>
    </w:p>
  </w:footnote>
  <w:footnote w:id="14">
    <w:p w:rsidR="003F1AAB" w:rsidRDefault="003F1AAB" w:rsidP="00933E3E">
      <w:pPr>
        <w:pStyle w:val="FootnoteText"/>
      </w:pPr>
      <w:r>
        <w:rPr>
          <w:rStyle w:val="FootnoteReference"/>
        </w:rPr>
        <w:footnoteRef/>
      </w:r>
      <w:r>
        <w:t xml:space="preserve"> </w:t>
      </w:r>
      <w:r>
        <w:tab/>
        <w:t xml:space="preserve">By entire return on debt, we mean 100% of the base rate and debt risk premium (DRP) </w:t>
      </w:r>
      <w:r w:rsidRPr="006013BC">
        <w:t>components of the allowed return on debt</w:t>
      </w:r>
      <w:r>
        <w:t>.</w:t>
      </w:r>
    </w:p>
  </w:footnote>
  <w:footnote w:id="15">
    <w:p w:rsidR="003F1AAB" w:rsidRDefault="003F1AAB" w:rsidP="00933E3E">
      <w:pPr>
        <w:pStyle w:val="FootnoteText"/>
      </w:pPr>
      <w:r>
        <w:rPr>
          <w:rStyle w:val="FootnoteReference"/>
        </w:rPr>
        <w:footnoteRef/>
      </w:r>
      <w:r>
        <w:t xml:space="preserve"> </w:t>
      </w:r>
      <w:r>
        <w:tab/>
        <w:t>For the RBA curve, our draft decision is to interpolate the monthly data points to produce daily estimates, to extrapolate the curve to an effective term of 10 years, and to convert it to an effective annual rate. For the Bloomberg curve, our draft decision is to extrapolate it to 10 years using the spread between the extrapolated RBA seven and 10 year curves (where Bloomberg has not published a 10 year estimate), and to convert it to an effective annual rate.</w:t>
      </w:r>
      <w:r w:rsidRPr="00A9156E">
        <w:t xml:space="preserve"> </w:t>
      </w:r>
      <w:r>
        <w:t xml:space="preserve">While we do not propose estimating the return on debt by reference to the Reuters curve, we do not </w:t>
      </w:r>
      <w:r w:rsidRPr="002E41F8">
        <w:t xml:space="preserve">rule out </w:t>
      </w:r>
      <w:r>
        <w:t xml:space="preserve">including doing so </w:t>
      </w:r>
      <w:r w:rsidRPr="002E41F8">
        <w:t>in future determinations following a proper period of consultation</w:t>
      </w:r>
      <w:r>
        <w:t>.</w:t>
      </w:r>
    </w:p>
  </w:footnote>
  <w:footnote w:id="16">
    <w:p w:rsidR="003F1AAB" w:rsidRDefault="003F1AAB" w:rsidP="00933E3E">
      <w:pPr>
        <w:pStyle w:val="FootnoteText"/>
      </w:pPr>
      <w:r>
        <w:rPr>
          <w:rStyle w:val="FootnoteReference"/>
        </w:rPr>
        <w:footnoteRef/>
      </w:r>
      <w:r>
        <w:t xml:space="preserve"> </w:t>
      </w:r>
      <w:r>
        <w:tab/>
      </w:r>
      <w:proofErr w:type="gramStart"/>
      <w:r>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roofErr w:type="gramEnd"/>
    </w:p>
  </w:footnote>
  <w:footnote w:id="17">
    <w:p w:rsidR="003F1AAB" w:rsidRDefault="003F1AAB" w:rsidP="00933E3E">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993.</w:t>
      </w:r>
    </w:p>
  </w:footnote>
  <w:footnote w:id="18">
    <w:p w:rsidR="003F1AAB" w:rsidRDefault="003F1AAB" w:rsidP="00933E3E">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983.</w:t>
      </w:r>
    </w:p>
  </w:footnote>
  <w:footnote w:id="19">
    <w:p w:rsidR="003F1AAB" w:rsidRDefault="003F1AAB" w:rsidP="00933E3E">
      <w:pPr>
        <w:pStyle w:val="FootnoteText"/>
      </w:pPr>
      <w:r>
        <w:rPr>
          <w:rStyle w:val="FootnoteReference"/>
        </w:rPr>
        <w:footnoteRef/>
      </w:r>
      <w:r>
        <w:t xml:space="preserve"> </w:t>
      </w:r>
      <w:r>
        <w:tab/>
        <w:t>For clarity, that is 100% of the base rate and DRP components of the allowed return on debt.</w:t>
      </w:r>
    </w:p>
  </w:footnote>
  <w:footnote w:id="20">
    <w:p w:rsidR="003F1AAB" w:rsidRDefault="003F1AAB" w:rsidP="00933E3E">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1,227. The Tribunal's reasons are set out in paras 870 to 940.</w:t>
      </w:r>
    </w:p>
  </w:footnote>
  <w:footnote w:id="21">
    <w:p w:rsidR="003F1AAB" w:rsidRDefault="003F1AAB" w:rsidP="00933E3E">
      <w:pPr>
        <w:pStyle w:val="FootnoteText"/>
      </w:pPr>
      <w:r>
        <w:rPr>
          <w:rStyle w:val="FootnoteReference"/>
        </w:rPr>
        <w:footnoteRef/>
      </w:r>
      <w:r>
        <w:t xml:space="preserve"> </w:t>
      </w:r>
      <w:r>
        <w:tab/>
      </w:r>
      <w:r w:rsidRPr="002F39F8">
        <w:t xml:space="preserve">AER, </w:t>
      </w:r>
      <w:r w:rsidRPr="00BC1CD1">
        <w:rPr>
          <w:rStyle w:val="AERtextitalic"/>
        </w:rPr>
        <w:t>Explanatory statement</w:t>
      </w:r>
      <w:r>
        <w:rPr>
          <w:rStyle w:val="AERtextitalic"/>
          <w:rFonts w:asciiTheme="minorHAnsi" w:hAnsiTheme="minorHAnsi" w:cstheme="minorHAnsi"/>
        </w:rPr>
        <w:t>—</w:t>
      </w:r>
      <w:r w:rsidRPr="00BC1CD1">
        <w:rPr>
          <w:rStyle w:val="AERtextitalic"/>
        </w:rPr>
        <w:t>Rate of return guideline</w:t>
      </w:r>
      <w:r w:rsidRPr="002F39F8">
        <w:t>, December 2013, p</w:t>
      </w:r>
      <w:r>
        <w:t>p. 23–24</w:t>
      </w:r>
      <w:r w:rsidRPr="002F39F8">
        <w:t>.</w:t>
      </w:r>
    </w:p>
  </w:footnote>
  <w:footnote w:id="22">
    <w:p w:rsidR="003F1AAB" w:rsidRDefault="003F1AAB" w:rsidP="00933E3E">
      <w:pPr>
        <w:pStyle w:val="FootnoteText"/>
      </w:pPr>
      <w:r>
        <w:rPr>
          <w:rStyle w:val="FootnoteReference"/>
        </w:rPr>
        <w:footnoteRef/>
      </w:r>
      <w:r>
        <w:t xml:space="preserve"> </w:t>
      </w:r>
      <w:r>
        <w:tab/>
      </w:r>
      <w:r w:rsidRPr="002F39F8">
        <w:t>AER,</w:t>
      </w:r>
      <w:r>
        <w:t xml:space="preserve"> </w:t>
      </w:r>
      <w:r w:rsidRPr="0077279F">
        <w:rPr>
          <w:rStyle w:val="Emphasis"/>
        </w:rPr>
        <w:t>Issues Paper - Return on debt: Choice of third party data service provider</w:t>
      </w:r>
      <w:r>
        <w:t xml:space="preserve">, April 2014. </w:t>
      </w:r>
    </w:p>
  </w:footnote>
  <w:footnote w:id="23">
    <w:p w:rsidR="003F1AAB" w:rsidRDefault="003F1AAB" w:rsidP="00A06474">
      <w:pPr>
        <w:pStyle w:val="FootnoteText"/>
      </w:pPr>
      <w:r>
        <w:rPr>
          <w:rStyle w:val="FootnoteReference"/>
        </w:rPr>
        <w:footnoteRef/>
      </w:r>
      <w:r>
        <w:t xml:space="preserve"> </w:t>
      </w:r>
      <w:r>
        <w:tab/>
        <w:t xml:space="preserve">AusNet Services, </w:t>
      </w:r>
      <w:r>
        <w:rPr>
          <w:rStyle w:val="AERtextitalic"/>
        </w:rPr>
        <w:t>Transmission revenue review 2017-22</w:t>
      </w:r>
      <w:r>
        <w:t>, 30 October 2015, p. 191.</w:t>
      </w:r>
    </w:p>
  </w:footnote>
  <w:footnote w:id="24">
    <w:p w:rsidR="003F1AAB" w:rsidRDefault="003F1AAB" w:rsidP="00A06474">
      <w:pPr>
        <w:pStyle w:val="FootnoteText"/>
      </w:pPr>
      <w:r>
        <w:rPr>
          <w:rStyle w:val="FootnoteReference"/>
        </w:rPr>
        <w:footnoteRef/>
      </w:r>
      <w:r>
        <w:t xml:space="preserve"> </w:t>
      </w:r>
      <w:r>
        <w:tab/>
        <w:t xml:space="preserve">As per: </w:t>
      </w:r>
      <w:r w:rsidRPr="00EC5E93">
        <w:t xml:space="preserve">SFG Consulting; </w:t>
      </w:r>
      <w:r w:rsidRPr="00EC5E93">
        <w:rPr>
          <w:rStyle w:val="AERtextitalic"/>
        </w:rPr>
        <w:t>The required return on equity for the benchmark efficient entity, Report for Jemena Gas Networks, Jemena Electricity Networks, ActewAGL, APA AusNet Services, Australian Gas N</w:t>
      </w:r>
      <w:r>
        <w:rPr>
          <w:rStyle w:val="AERtextitalic"/>
        </w:rPr>
        <w:t>etworks, CitiPower, Endeavour Energy</w:t>
      </w:r>
      <w:r w:rsidRPr="00EC5E93">
        <w:rPr>
          <w:rStyle w:val="AERtextitalic"/>
        </w:rPr>
        <w:t>, Energex, Ergon, Essential Energy, Powercor, SA Power Network and United Energy</w:t>
      </w:r>
      <w:r w:rsidRPr="00EC5E93">
        <w:t xml:space="preserve">; </w:t>
      </w:r>
      <w:r>
        <w:t>25 February 2015.</w:t>
      </w:r>
    </w:p>
  </w:footnote>
  <w:footnote w:id="25">
    <w:p w:rsidR="003F1AAB" w:rsidRDefault="003F1AAB" w:rsidP="001D6815">
      <w:pPr>
        <w:pStyle w:val="FootnoteText"/>
      </w:pPr>
      <w:r>
        <w:rPr>
          <w:rStyle w:val="FootnoteReference"/>
        </w:rPr>
        <w:footnoteRef/>
      </w:r>
      <w:r>
        <w:t xml:space="preserve"> </w:t>
      </w:r>
      <w:r>
        <w:tab/>
        <w:t xml:space="preserve">AusNet Services, </w:t>
      </w:r>
      <w:r w:rsidRPr="006C0405">
        <w:rPr>
          <w:rStyle w:val="AERtextitalic"/>
        </w:rPr>
        <w:t>Transmission Revenue Review 2017–2022 regulatory proposal</w:t>
      </w:r>
      <w:r>
        <w:t>, 30 October 2015, p. 191</w:t>
      </w:r>
    </w:p>
  </w:footnote>
  <w:footnote w:id="26">
    <w:p w:rsidR="003F1AAB" w:rsidRDefault="003F1AAB" w:rsidP="00A06474">
      <w:pPr>
        <w:pStyle w:val="FootnoteText"/>
      </w:pPr>
      <w:r>
        <w:rPr>
          <w:rStyle w:val="FootnoteReference"/>
        </w:rPr>
        <w:footnoteRef/>
      </w:r>
      <w:r>
        <w:t xml:space="preserve"> </w:t>
      </w:r>
      <w:r>
        <w:tab/>
        <w:t xml:space="preserve">AusNet Services, </w:t>
      </w:r>
      <w:r w:rsidRPr="006C0405">
        <w:rPr>
          <w:rStyle w:val="AERtextitalic"/>
        </w:rPr>
        <w:t>Transmission Revenue Review 2017–2022 regulatory proposal</w:t>
      </w:r>
      <w:r>
        <w:t>, 30 October 2015, p. 191.</w:t>
      </w:r>
    </w:p>
  </w:footnote>
  <w:footnote w:id="27">
    <w:p w:rsidR="003F1AAB" w:rsidRDefault="003F1AAB" w:rsidP="00A06474">
      <w:pPr>
        <w:pStyle w:val="FootnoteText"/>
      </w:pPr>
      <w:r>
        <w:rPr>
          <w:rStyle w:val="FootnoteReference"/>
        </w:rPr>
        <w:footnoteRef/>
      </w:r>
      <w:r>
        <w:t xml:space="preserve"> </w:t>
      </w:r>
      <w:r>
        <w:tab/>
        <w:t xml:space="preserve">AusNet Services, </w:t>
      </w:r>
      <w:r w:rsidRPr="006C0405">
        <w:rPr>
          <w:rStyle w:val="AERtextitalic"/>
        </w:rPr>
        <w:t>Transmission Revenue Review 2017–2022 regulatory proposal</w:t>
      </w:r>
      <w:r>
        <w:t>, 30 October 2015, p. 191.</w:t>
      </w:r>
    </w:p>
  </w:footnote>
  <w:footnote w:id="28">
    <w:p w:rsidR="003F1AAB" w:rsidRDefault="003F1AAB" w:rsidP="008A6729">
      <w:pPr>
        <w:pStyle w:val="FootnoteText"/>
      </w:pPr>
      <w:r>
        <w:rPr>
          <w:rStyle w:val="FootnoteReference"/>
        </w:rPr>
        <w:footnoteRef/>
      </w:r>
      <w:r>
        <w:t xml:space="preserve"> </w:t>
      </w:r>
      <w:r>
        <w:tab/>
        <w:t>NEL, s. 16(1</w:t>
      </w:r>
      <w:proofErr w:type="gramStart"/>
      <w:r>
        <w:t>)(</w:t>
      </w:r>
      <w:proofErr w:type="gramEnd"/>
      <w:r>
        <w:t>a), NGL, s. 23.</w:t>
      </w:r>
    </w:p>
  </w:footnote>
  <w:footnote w:id="29">
    <w:p w:rsidR="003F1AAB" w:rsidRDefault="003F1AAB" w:rsidP="008A6729">
      <w:pPr>
        <w:pStyle w:val="FootnoteText"/>
      </w:pPr>
      <w:r>
        <w:rPr>
          <w:rStyle w:val="FootnoteReference"/>
        </w:rPr>
        <w:footnoteRef/>
      </w:r>
      <w:r>
        <w:t xml:space="preserve"> </w:t>
      </w:r>
      <w:r>
        <w:tab/>
        <w:t>NEL, s. 16(2); NGL, s. 28(2</w:t>
      </w:r>
      <w:proofErr w:type="gramStart"/>
      <w:r>
        <w:t>)(</w:t>
      </w:r>
      <w:proofErr w:type="gramEnd"/>
      <w:r>
        <w:t>a)(i).</w:t>
      </w:r>
    </w:p>
  </w:footnote>
  <w:footnote w:id="30">
    <w:p w:rsidR="003F1AAB" w:rsidRDefault="003F1AAB" w:rsidP="008A6729">
      <w:pPr>
        <w:pStyle w:val="FootnoteText"/>
      </w:pPr>
      <w:r>
        <w:rPr>
          <w:rStyle w:val="FootnoteReference"/>
        </w:rPr>
        <w:footnoteRef/>
      </w:r>
      <w:r>
        <w:t xml:space="preserve"> </w:t>
      </w:r>
      <w:r>
        <w:tab/>
        <w:t xml:space="preserve">NEL, s. </w:t>
      </w:r>
      <w:proofErr w:type="gramStart"/>
      <w:r>
        <w:t>7A(</w:t>
      </w:r>
      <w:proofErr w:type="gramEnd"/>
      <w:r>
        <w:t>2); NGL, s. 24(2)(a).</w:t>
      </w:r>
    </w:p>
  </w:footnote>
  <w:footnote w:id="31">
    <w:p w:rsidR="003F1AAB" w:rsidRDefault="003F1AAB" w:rsidP="008A6729">
      <w:pPr>
        <w:pStyle w:val="FootnoteText"/>
      </w:pPr>
      <w:r>
        <w:rPr>
          <w:rStyle w:val="FootnoteReference"/>
        </w:rPr>
        <w:footnoteRef/>
      </w:r>
      <w:r>
        <w:t xml:space="preserve"> </w:t>
      </w:r>
      <w:r>
        <w:tab/>
        <w:t xml:space="preserve">NEL, s. </w:t>
      </w:r>
      <w:proofErr w:type="gramStart"/>
      <w:r>
        <w:t>7A(</w:t>
      </w:r>
      <w:proofErr w:type="gramEnd"/>
      <w:r>
        <w:t>3);</w:t>
      </w:r>
      <w:r w:rsidRPr="0016130C">
        <w:t xml:space="preserve"> </w:t>
      </w:r>
      <w:r>
        <w:t>NGL, s. 24(3).</w:t>
      </w:r>
    </w:p>
  </w:footnote>
  <w:footnote w:id="32">
    <w:p w:rsidR="003F1AAB" w:rsidRDefault="003F1AAB" w:rsidP="008A6729">
      <w:pPr>
        <w:pStyle w:val="FootnoteText"/>
      </w:pPr>
      <w:r>
        <w:rPr>
          <w:rStyle w:val="FootnoteReference"/>
        </w:rPr>
        <w:footnoteRef/>
      </w:r>
      <w:r>
        <w:t xml:space="preserve"> </w:t>
      </w:r>
      <w:r>
        <w:tab/>
        <w:t xml:space="preserve">NEL, s. </w:t>
      </w:r>
      <w:proofErr w:type="gramStart"/>
      <w:r>
        <w:t>7A(</w:t>
      </w:r>
      <w:proofErr w:type="gramEnd"/>
      <w:r>
        <w:t>5); NGL, s. 24(5).</w:t>
      </w:r>
    </w:p>
  </w:footnote>
  <w:footnote w:id="33">
    <w:p w:rsidR="003F1AAB" w:rsidRDefault="003F1AAB" w:rsidP="008A6729">
      <w:pPr>
        <w:pStyle w:val="FootnoteText"/>
      </w:pPr>
      <w:r>
        <w:rPr>
          <w:rStyle w:val="FootnoteReference"/>
        </w:rPr>
        <w:footnoteRef/>
      </w:r>
      <w:r>
        <w:t xml:space="preserve"> </w:t>
      </w:r>
      <w:r>
        <w:tab/>
        <w:t xml:space="preserve">NEL, s. </w:t>
      </w:r>
      <w:proofErr w:type="gramStart"/>
      <w:r>
        <w:t>7A(</w:t>
      </w:r>
      <w:proofErr w:type="gramEnd"/>
      <w:r>
        <w:t>6); NGL, s. 24(6).</w:t>
      </w:r>
    </w:p>
  </w:footnote>
  <w:footnote w:id="34">
    <w:p w:rsidR="003F1AAB" w:rsidRDefault="003F1AAB" w:rsidP="008A6729">
      <w:pPr>
        <w:pStyle w:val="FootnoteText"/>
      </w:pPr>
      <w:r>
        <w:rPr>
          <w:rStyle w:val="FootnoteReference"/>
        </w:rPr>
        <w:footnoteRef/>
      </w:r>
      <w:r>
        <w:t xml:space="preserve"> </w:t>
      </w:r>
      <w:r>
        <w:tab/>
        <w:t xml:space="preserve">NEL, s. </w:t>
      </w:r>
      <w:proofErr w:type="gramStart"/>
      <w:r>
        <w:t>7A(</w:t>
      </w:r>
      <w:proofErr w:type="gramEnd"/>
      <w:r>
        <w:t>7); NGL, s. 24(7).</w:t>
      </w:r>
    </w:p>
  </w:footnote>
  <w:footnote w:id="35">
    <w:p w:rsidR="003F1AAB" w:rsidRPr="00D5405B" w:rsidRDefault="003F1AAB" w:rsidP="008A6729">
      <w:pPr>
        <w:pStyle w:val="FootnoteText"/>
        <w:rPr>
          <w:rStyle w:val="AERtexthighlight"/>
        </w:rPr>
      </w:pPr>
      <w:r>
        <w:rPr>
          <w:rStyle w:val="FootnoteReference"/>
        </w:rPr>
        <w:footnoteRef/>
      </w:r>
      <w:r>
        <w:t xml:space="preserve"> </w:t>
      </w:r>
      <w:r>
        <w:tab/>
        <w:t xml:space="preserve">NER, cl. 6.5.2(d); NER, cl. </w:t>
      </w:r>
      <w:proofErr w:type="gramStart"/>
      <w:r>
        <w:t>6A.6.2(</w:t>
      </w:r>
      <w:proofErr w:type="gramEnd"/>
      <w:r>
        <w:t>d); NGR, r, 87(4).</w:t>
      </w:r>
    </w:p>
  </w:footnote>
  <w:footnote w:id="36">
    <w:p w:rsidR="003F1AAB" w:rsidRDefault="003F1AAB" w:rsidP="008A6729">
      <w:pPr>
        <w:pStyle w:val="FootnoteText"/>
      </w:pPr>
      <w:r>
        <w:rPr>
          <w:rStyle w:val="FootnoteReference"/>
        </w:rPr>
        <w:footnoteRef/>
      </w:r>
      <w:r>
        <w:t xml:space="preserve"> </w:t>
      </w:r>
      <w:r>
        <w:tab/>
        <w:t xml:space="preserve">NER, cl. 6.5.2(e), NER cl, </w:t>
      </w:r>
      <w:proofErr w:type="gramStart"/>
      <w:r>
        <w:t>6A.6.2(</w:t>
      </w:r>
      <w:proofErr w:type="gramEnd"/>
      <w:r>
        <w:t>e); NGR, r. 87(5).</w:t>
      </w:r>
    </w:p>
  </w:footnote>
  <w:footnote w:id="37">
    <w:p w:rsidR="003F1AAB" w:rsidRDefault="003F1AAB" w:rsidP="008A6729">
      <w:pPr>
        <w:pStyle w:val="FootnoteText"/>
      </w:pPr>
      <w:r>
        <w:rPr>
          <w:rStyle w:val="FootnoteReference"/>
        </w:rPr>
        <w:footnoteRef/>
      </w:r>
      <w:r>
        <w:t xml:space="preserve"> </w:t>
      </w:r>
      <w:r>
        <w:tab/>
        <w:t xml:space="preserve">NER, </w:t>
      </w:r>
      <w:proofErr w:type="gramStart"/>
      <w:r>
        <w:t>cl  6.5.2</w:t>
      </w:r>
      <w:proofErr w:type="gramEnd"/>
      <w:r w:rsidRPr="00A7067C">
        <w:t>(g)</w:t>
      </w:r>
      <w:r>
        <w:t xml:space="preserve">; NER, cl 6A.6.2(g); NGR, r. 87 (7). </w:t>
      </w:r>
    </w:p>
  </w:footnote>
  <w:footnote w:id="38">
    <w:p w:rsidR="003F1AAB" w:rsidRDefault="003F1AAB" w:rsidP="008A6729">
      <w:pPr>
        <w:pStyle w:val="FootnoteText"/>
      </w:pPr>
      <w:r>
        <w:rPr>
          <w:rStyle w:val="FootnoteReference"/>
        </w:rPr>
        <w:footnoteRef/>
      </w:r>
      <w:r>
        <w:t xml:space="preserve"> </w:t>
      </w:r>
      <w:r>
        <w:tab/>
        <w:t xml:space="preserve">NER, cl. 6.5.2 (h); NER, cl. </w:t>
      </w:r>
      <w:proofErr w:type="gramStart"/>
      <w:r>
        <w:t>6A.6.2(</w:t>
      </w:r>
      <w:proofErr w:type="gramEnd"/>
      <w:r>
        <w:t xml:space="preserve">h); NGR, cl. 87(8). </w:t>
      </w:r>
    </w:p>
  </w:footnote>
  <w:footnote w:id="39">
    <w:p w:rsidR="003F1AAB" w:rsidRDefault="003F1AAB" w:rsidP="008A6729">
      <w:pPr>
        <w:pStyle w:val="FootnoteText"/>
      </w:pPr>
      <w:r>
        <w:rPr>
          <w:rStyle w:val="FootnoteReference"/>
        </w:rPr>
        <w:footnoteRef/>
      </w:r>
      <w:r>
        <w:t xml:space="preserve"> </w:t>
      </w:r>
      <w:r>
        <w:tab/>
        <w:t xml:space="preserve">NER, cl. 6.5.2 (i); NER, cl. </w:t>
      </w:r>
      <w:proofErr w:type="gramStart"/>
      <w:r>
        <w:t>6A.6.2(</w:t>
      </w:r>
      <w:proofErr w:type="gramEnd"/>
      <w:r>
        <w:t>i)(2); NGR, cl. 87(9)(b).</w:t>
      </w:r>
    </w:p>
  </w:footnote>
  <w:footnote w:id="40">
    <w:p w:rsidR="003F1AAB" w:rsidRDefault="003F1AAB" w:rsidP="008A6729">
      <w:pPr>
        <w:pStyle w:val="FootnoteText"/>
      </w:pPr>
      <w:r>
        <w:rPr>
          <w:rStyle w:val="FootnoteReference"/>
        </w:rPr>
        <w:footnoteRef/>
      </w:r>
      <w:r>
        <w:t xml:space="preserve"> </w:t>
      </w:r>
      <w:r>
        <w:tab/>
        <w:t>NER, cl. 6.5.2 (k</w:t>
      </w:r>
      <w:proofErr w:type="gramStart"/>
      <w:r>
        <w:t>)(</w:t>
      </w:r>
      <w:proofErr w:type="gramEnd"/>
      <w:r>
        <w:t>4); NER, cl. 6A.6.2(k)(4); NGR, cl. 87(11)(d).</w:t>
      </w:r>
    </w:p>
  </w:footnote>
  <w:footnote w:id="41">
    <w:p w:rsidR="003F1AAB" w:rsidRDefault="003F1AAB" w:rsidP="008A6729">
      <w:pPr>
        <w:pStyle w:val="FootnoteText"/>
      </w:pPr>
      <w:r>
        <w:rPr>
          <w:rStyle w:val="FootnoteReference"/>
        </w:rPr>
        <w:footnoteRef/>
      </w:r>
      <w:r>
        <w:t xml:space="preserve"> </w:t>
      </w:r>
      <w:r>
        <w:tab/>
      </w:r>
      <w:proofErr w:type="gramStart"/>
      <w:r>
        <w:t>NER, cl. 6.5.2(c); NER, cl. 6A.6.2(c); NGR r. 87(3).</w:t>
      </w:r>
      <w:proofErr w:type="gramEnd"/>
      <w:r>
        <w:t xml:space="preserve"> </w:t>
      </w:r>
    </w:p>
  </w:footnote>
  <w:footnote w:id="42">
    <w:p w:rsidR="003F1AAB" w:rsidRDefault="003F1AAB" w:rsidP="008A6729">
      <w:pPr>
        <w:pStyle w:val="FootnoteText"/>
      </w:pPr>
      <w:r>
        <w:rPr>
          <w:rStyle w:val="FootnoteReference"/>
        </w:rPr>
        <w:footnoteRef/>
      </w:r>
      <w:r>
        <w:t xml:space="preserve"> </w:t>
      </w:r>
      <w:r>
        <w:tab/>
        <w:t>The AEMC describes, 'a</w:t>
      </w:r>
      <w:r w:rsidRPr="00FF263F">
        <w:t>llowed revenues for network businesses are now set using</w:t>
      </w:r>
      <w:r>
        <w:t xml:space="preserve"> </w:t>
      </w:r>
      <w:r w:rsidRPr="00FF263F">
        <w:t>the expenditure required by prudent, efficient operators as</w:t>
      </w:r>
      <w:r>
        <w:t xml:space="preserve"> </w:t>
      </w:r>
      <w:r w:rsidRPr="00FF263F">
        <w:t>a benchmark. Companies have incentives to beat the</w:t>
      </w:r>
      <w:r>
        <w:t xml:space="preserve"> </w:t>
      </w:r>
      <w:r w:rsidRPr="00FF263F">
        <w:t>benchmarks so they can keep some of their savings and</w:t>
      </w:r>
      <w:r>
        <w:t xml:space="preserve"> </w:t>
      </w:r>
      <w:r w:rsidRPr="00FF263F">
        <w:t>pass the rest on to customers</w:t>
      </w:r>
      <w:r>
        <w:t>'</w:t>
      </w:r>
      <w:r w:rsidRPr="00FF263F">
        <w:t>.</w:t>
      </w:r>
      <w:r>
        <w:t xml:space="preserve"> See AEMC, </w:t>
      </w:r>
      <w:r w:rsidRPr="00D001FE">
        <w:rPr>
          <w:rStyle w:val="AERtextitalic"/>
        </w:rPr>
        <w:t>Overview 2014–15</w:t>
      </w:r>
      <w:r>
        <w:t>.</w:t>
      </w:r>
    </w:p>
  </w:footnote>
  <w:footnote w:id="43">
    <w:p w:rsidR="003F1AAB" w:rsidRDefault="003F1AAB" w:rsidP="008A6729">
      <w:pPr>
        <w:pStyle w:val="FootnoteText"/>
      </w:pPr>
      <w:r>
        <w:rPr>
          <w:rStyle w:val="FootnoteReference"/>
        </w:rPr>
        <w:footnoteRef/>
      </w:r>
      <w:r>
        <w:t xml:space="preserve"> </w:t>
      </w:r>
      <w:r>
        <w:tab/>
        <w:t xml:space="preserve">See </w:t>
      </w:r>
      <w:proofErr w:type="gramStart"/>
      <w:r>
        <w:t>section  2.1</w:t>
      </w:r>
      <w:proofErr w:type="gramEnd"/>
      <w:r>
        <w:t xml:space="preserve"> of appendix </w:t>
      </w:r>
      <w:r>
        <w:fldChar w:fldCharType="begin"/>
      </w:r>
      <w:r>
        <w:instrText xml:space="preserve"> REF _Ref451267984 \r \h </w:instrText>
      </w:r>
      <w:r>
        <w:fldChar w:fldCharType="separate"/>
      </w:r>
      <w:r>
        <w:t>A</w:t>
      </w:r>
      <w:r>
        <w:fldChar w:fldCharType="end"/>
      </w:r>
      <w:r>
        <w:t>.</w:t>
      </w:r>
    </w:p>
  </w:footnote>
  <w:footnote w:id="44">
    <w:p w:rsidR="003F1AAB" w:rsidRDefault="003F1AAB" w:rsidP="008A6729">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45">
    <w:p w:rsidR="003F1AAB" w:rsidRDefault="003F1AAB" w:rsidP="008A6729">
      <w:pPr>
        <w:pStyle w:val="FootnoteText"/>
      </w:pPr>
      <w:r>
        <w:rPr>
          <w:rStyle w:val="FootnoteReference"/>
        </w:rPr>
        <w:footnoteRef/>
      </w:r>
      <w:r>
        <w:t xml:space="preserve"> </w:t>
      </w:r>
      <w:r>
        <w:tab/>
        <w:t xml:space="preserve">This includes both new and existing investment. </w:t>
      </w:r>
    </w:p>
  </w:footnote>
  <w:footnote w:id="46">
    <w:p w:rsidR="003F1AAB" w:rsidRDefault="003F1AAB" w:rsidP="008A6729">
      <w:pPr>
        <w:pStyle w:val="FootnoteText"/>
      </w:pPr>
      <w:r>
        <w:rPr>
          <w:rStyle w:val="FootnoteReference"/>
        </w:rPr>
        <w:footnoteRef/>
      </w:r>
      <w:r>
        <w:t xml:space="preserve"> </w:t>
      </w:r>
      <w:r>
        <w:tab/>
      </w:r>
      <w:r w:rsidRPr="001029A1">
        <w:t>This risk is based on the risk of the underlying assets (that is, the RAB</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pp. 18, 22.</w:t>
      </w:r>
    </w:p>
  </w:footnote>
  <w:footnote w:id="47">
    <w:p w:rsidR="003F1AAB" w:rsidRDefault="003F1AAB" w:rsidP="008A6729">
      <w:pPr>
        <w:pStyle w:val="FootnoteText"/>
      </w:pPr>
      <w:r>
        <w:rPr>
          <w:rStyle w:val="FootnoteReference"/>
        </w:rPr>
        <w:footnoteRef/>
      </w:r>
      <w:r>
        <w:t xml:space="preserve"> </w:t>
      </w:r>
      <w:r>
        <w:tab/>
      </w:r>
      <w:r w:rsidRPr="00702677">
        <w:t xml:space="preserve">See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r w:rsidRPr="00702677">
        <w:t>.</w:t>
      </w:r>
      <w:r>
        <w:t xml:space="preserve"> We note the cost of capital (from a firm's perspective) is also known as investors' required rate of return (from an investors' perspective).</w:t>
      </w:r>
    </w:p>
  </w:footnote>
  <w:footnote w:id="48">
    <w:p w:rsidR="003F1AAB" w:rsidRDefault="003F1AAB" w:rsidP="008A6729">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49">
    <w:p w:rsidR="003F1AAB" w:rsidRDefault="003F1AAB" w:rsidP="008A6729">
      <w:pPr>
        <w:pStyle w:val="FootnoteText"/>
      </w:pPr>
      <w:r>
        <w:rPr>
          <w:rStyle w:val="FootnoteReference"/>
        </w:rPr>
        <w:footnoteRef/>
      </w:r>
      <w:r>
        <w:t xml:space="preserve"> </w:t>
      </w:r>
      <w:r>
        <w:tab/>
        <w:t xml:space="preserve">See sections 1.1 and 2.1 of appendix </w:t>
      </w:r>
      <w:r>
        <w:fldChar w:fldCharType="begin"/>
      </w:r>
      <w:r>
        <w:instrText xml:space="preserve"> REF _Ref451268006 \r \h </w:instrText>
      </w:r>
      <w:r>
        <w:fldChar w:fldCharType="separate"/>
      </w:r>
      <w:r>
        <w:t>A</w:t>
      </w:r>
      <w:r>
        <w:fldChar w:fldCharType="end"/>
      </w:r>
      <w:r>
        <w:t>.</w:t>
      </w:r>
    </w:p>
  </w:footnote>
  <w:footnote w:id="50">
    <w:p w:rsidR="003F1AAB" w:rsidRDefault="003F1AAB" w:rsidP="008A6729">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51">
    <w:p w:rsidR="003F1AAB" w:rsidRDefault="003F1AAB" w:rsidP="008A6729">
      <w:pPr>
        <w:pStyle w:val="FootnoteText"/>
      </w:pPr>
      <w:r>
        <w:rPr>
          <w:rStyle w:val="FootnoteReference"/>
        </w:rPr>
        <w:footnoteRef/>
      </w:r>
      <w:r>
        <w:t xml:space="preserve"> </w:t>
      </w:r>
      <w:r>
        <w:tab/>
        <w:t>Bishop, S., Faff, R., Oliver, B., Twite, G., 'Corporate Finance', Ed. 5 Pearson Prentice Hall, 2004, p. 577.</w:t>
      </w:r>
    </w:p>
  </w:footnote>
  <w:footnote w:id="52">
    <w:p w:rsidR="003F1AAB" w:rsidRDefault="003F1AAB" w:rsidP="008A6729">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53">
    <w:p w:rsidR="003F1AAB" w:rsidRDefault="003F1AAB" w:rsidP="008A6729">
      <w:pPr>
        <w:pStyle w:val="FootnoteText"/>
      </w:pPr>
      <w:r>
        <w:rPr>
          <w:rStyle w:val="FootnoteReference"/>
        </w:rPr>
        <w:footnoteRef/>
      </w:r>
      <w:r>
        <w:t xml:space="preserve"> </w:t>
      </w:r>
      <w:r>
        <w:tab/>
        <w:t xml:space="preserve">McKenzie, M., Partington, G., </w:t>
      </w:r>
      <w:r w:rsidRPr="00D001FE">
        <w:rPr>
          <w:rStyle w:val="AERtextitalic"/>
        </w:rPr>
        <w:t>Risk, asset pricing models and WACC</w:t>
      </w:r>
      <w:r>
        <w:t>, June 2013, p. 10.</w:t>
      </w:r>
    </w:p>
  </w:footnote>
  <w:footnote w:id="54">
    <w:p w:rsidR="003F1AAB" w:rsidRDefault="003F1AAB" w:rsidP="008A6729">
      <w:pPr>
        <w:pStyle w:val="FootnoteText"/>
      </w:pPr>
      <w:r>
        <w:rPr>
          <w:rStyle w:val="FootnoteReference"/>
        </w:rPr>
        <w:footnoteRef/>
      </w:r>
      <w:r>
        <w:t xml:space="preserve"> </w:t>
      </w:r>
      <w:r>
        <w:tab/>
        <w:t xml:space="preserve">Theoretically, this asset or business is 'a benchmark efficient entity'. In practice, we use a sample of businesses we consider comparable to a benchmark efficient entity to calculate equity beta (see section 3.4.1). </w:t>
      </w:r>
    </w:p>
  </w:footnote>
  <w:footnote w:id="55">
    <w:p w:rsidR="003F1AAB" w:rsidRDefault="003F1AAB" w:rsidP="008A6729">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56">
    <w:p w:rsidR="003F1AAB" w:rsidRDefault="003F1AAB" w:rsidP="008A6729">
      <w:pPr>
        <w:pStyle w:val="FootnoteText"/>
      </w:pPr>
      <w:r>
        <w:rPr>
          <w:rStyle w:val="FootnoteReference"/>
        </w:rPr>
        <w:footnoteRef/>
      </w:r>
      <w:r>
        <w:t xml:space="preserve"> </w:t>
      </w:r>
      <w:r>
        <w:tab/>
        <w:t xml:space="preserve">McKenzie, M., Partington, G., </w:t>
      </w:r>
      <w:r w:rsidRPr="00196FB2">
        <w:rPr>
          <w:rStyle w:val="AERtextitalic"/>
        </w:rPr>
        <w:t>Risk, asset pricing models and WACC</w:t>
      </w:r>
      <w:r>
        <w:t>, June 2013, p. 14.</w:t>
      </w:r>
    </w:p>
  </w:footnote>
  <w:footnote w:id="57">
    <w:p w:rsidR="003F1AAB" w:rsidRDefault="003F1AAB" w:rsidP="008A6729">
      <w:pPr>
        <w:pStyle w:val="FootnoteText"/>
      </w:pPr>
      <w:r>
        <w:rPr>
          <w:rStyle w:val="FootnoteReference"/>
        </w:rPr>
        <w:footnoteRef/>
      </w:r>
      <w:r>
        <w:t xml:space="preserve"> </w:t>
      </w:r>
      <w:r>
        <w:tab/>
        <w:t>We observe the promised returns of debt issued by a sample of firms we consider comparable to a benchmark efficient entity based on the benchmark credit rating and term. In practice, we may overcompensate a benchmark efficient entity for these risks as we observe broad BBB debt whereas we consider a benchmark efficient entity would issue BBB+ debt.</w:t>
      </w:r>
    </w:p>
  </w:footnote>
  <w:footnote w:id="58">
    <w:p w:rsidR="003F1AAB" w:rsidRDefault="003F1AAB" w:rsidP="008A6729">
      <w:pPr>
        <w:pStyle w:val="FootnoteText"/>
      </w:pPr>
      <w:r>
        <w:rPr>
          <w:rStyle w:val="FootnoteReference"/>
        </w:rPr>
        <w:footnoteRef/>
      </w:r>
      <w:r>
        <w:t xml:space="preserve"> </w:t>
      </w:r>
      <w:r>
        <w:tab/>
        <w:t xml:space="preserve">Frontier, </w:t>
      </w:r>
      <w:r w:rsidRPr="000F4FF5">
        <w:rPr>
          <w:rStyle w:val="AERtextitalic"/>
        </w:rPr>
        <w:t>Assessing risk when determining the appropriate rate of return for regulated energy networks in Australia</w:t>
      </w:r>
      <w:r>
        <w:t xml:space="preserve">, July 2013. </w:t>
      </w:r>
    </w:p>
  </w:footnote>
  <w:footnote w:id="59">
    <w:p w:rsidR="003F1AAB" w:rsidRDefault="003F1AAB" w:rsidP="008A6729">
      <w:pPr>
        <w:pStyle w:val="FootnoteText"/>
      </w:pPr>
      <w:r>
        <w:rPr>
          <w:rStyle w:val="FootnoteReference"/>
        </w:rPr>
        <w:footnoteRef/>
      </w:r>
      <w:r>
        <w:t xml:space="preserve"> </w:t>
      </w:r>
      <w:r>
        <w:tab/>
      </w:r>
      <w:r w:rsidRPr="007D32F9">
        <w:t>NER, cl</w:t>
      </w:r>
      <w:r>
        <w:t>l</w:t>
      </w:r>
      <w:r w:rsidRPr="007D32F9">
        <w:t>. 6.5.2(c), 6A.6.2(c); NGR, r. 87(2)(3).</w:t>
      </w:r>
    </w:p>
  </w:footnote>
  <w:footnote w:id="60">
    <w:p w:rsidR="003F1AAB" w:rsidRPr="00151C8A" w:rsidRDefault="003F1AAB" w:rsidP="008A6729">
      <w:pPr>
        <w:pStyle w:val="FootnoteText"/>
        <w:rPr>
          <w:i/>
        </w:rPr>
      </w:pPr>
      <w:r>
        <w:rPr>
          <w:rStyle w:val="FootnoteReference"/>
        </w:rPr>
        <w:footnoteRef/>
      </w:r>
      <w:r>
        <w:t xml:space="preserve"> </w:t>
      </w:r>
      <w:r>
        <w:tab/>
      </w:r>
      <w:r w:rsidRPr="00D615EC">
        <w:t xml:space="preserve">Frontier Economics, </w:t>
      </w:r>
      <w:r w:rsidRPr="00D615EC">
        <w:rPr>
          <w:rStyle w:val="AERtextitalic"/>
        </w:rPr>
        <w:t>Assessing risk when determining the appropriate rate of return for regulated energy networks in</w:t>
      </w:r>
      <w:r>
        <w:rPr>
          <w:rStyle w:val="AERtextitalic"/>
        </w:rPr>
        <w:t xml:space="preserve"> </w:t>
      </w:r>
      <w:r w:rsidRPr="00D615EC">
        <w:rPr>
          <w:rStyle w:val="AERtextitalic"/>
        </w:rPr>
        <w:t>Australia</w:t>
      </w:r>
      <w:r w:rsidRPr="00D615EC">
        <w:t>, June 2013</w:t>
      </w:r>
      <w:r>
        <w:t>.</w:t>
      </w:r>
    </w:p>
  </w:footnote>
  <w:footnote w:id="61">
    <w:p w:rsidR="003F1AAB" w:rsidRDefault="003F1AAB" w:rsidP="008A6729">
      <w:pPr>
        <w:pStyle w:val="FootnoteText"/>
      </w:pPr>
      <w:r>
        <w:rPr>
          <w:rStyle w:val="FootnoteReference"/>
        </w:rPr>
        <w:footnoteRef/>
      </w:r>
      <w:r>
        <w:t xml:space="preserve"> </w:t>
      </w:r>
      <w:r>
        <w:tab/>
        <w:t xml:space="preserve">That is, </w:t>
      </w:r>
      <w:r w:rsidRPr="000904F0">
        <w:t>gas, electricity, transmission and distribution</w:t>
      </w:r>
      <w:r>
        <w:t xml:space="preserve"> service providers.</w:t>
      </w:r>
    </w:p>
  </w:footnote>
  <w:footnote w:id="62">
    <w:p w:rsidR="003F1AAB" w:rsidRDefault="003F1AAB" w:rsidP="008A6729">
      <w:pPr>
        <w:pStyle w:val="FootnoteText"/>
      </w:pPr>
      <w:r>
        <w:rPr>
          <w:rStyle w:val="FootnoteReference"/>
        </w:rPr>
        <w:footnoteRef/>
      </w:r>
      <w:r>
        <w:t xml:space="preserve"> </w:t>
      </w:r>
      <w:r>
        <w:tab/>
        <w:t xml:space="preserve">As discussed under the above heading 'similar', compensable risk refers to </w:t>
      </w:r>
      <w:r w:rsidRPr="0009064E">
        <w:t>risk that is to be compensated through the allowed rate of return</w:t>
      </w:r>
      <w:r>
        <w:t>.</w:t>
      </w:r>
    </w:p>
  </w:footnote>
  <w:footnote w:id="63">
    <w:p w:rsidR="003F1AAB" w:rsidRDefault="003F1AAB" w:rsidP="008A6729">
      <w:pPr>
        <w:pStyle w:val="FootnoteText"/>
      </w:pPr>
      <w:r>
        <w:rPr>
          <w:rStyle w:val="FootnoteReference"/>
        </w:rPr>
        <w:footnoteRef/>
      </w:r>
      <w:r>
        <w:t xml:space="preserve"> </w:t>
      </w:r>
      <w:r>
        <w:tab/>
        <w:t xml:space="preserve">AER, </w:t>
      </w:r>
      <w:r w:rsidRPr="005772E3">
        <w:rPr>
          <w:rStyle w:val="AERtextitalic"/>
        </w:rPr>
        <w:t>Better regulation: Explanatory statement to the rate of return guideline</w:t>
      </w:r>
      <w:r>
        <w:t>, December 2013, pp. 32</w:t>
      </w:r>
      <w:r>
        <w:rPr>
          <w:rFonts w:cs="Arial"/>
        </w:rPr>
        <w:t>–</w:t>
      </w:r>
      <w:r>
        <w:t>45.</w:t>
      </w:r>
    </w:p>
  </w:footnote>
  <w:footnote w:id="64">
    <w:p w:rsidR="003F1AAB" w:rsidRDefault="003F1AAB" w:rsidP="008A6729">
      <w:pPr>
        <w:pStyle w:val="FootnoteText"/>
      </w:pPr>
      <w:r>
        <w:rPr>
          <w:rStyle w:val="FootnoteReference"/>
        </w:rPr>
        <w:footnoteRef/>
      </w:r>
      <w:r>
        <w:t xml:space="preserve"> </w:t>
      </w:r>
      <w:r>
        <w:tab/>
        <w:t xml:space="preserve">See NER, cl. 6.5.2(c). Instead of 'standard control services', the transmission rules refer to 'prescribed transmission services' and the NGR refers to 'reference services'. See NER cl. 6A.6.2(c), NGR r. 87(3). </w:t>
      </w:r>
    </w:p>
  </w:footnote>
  <w:footnote w:id="65">
    <w:p w:rsidR="003F1AAB" w:rsidRDefault="003F1AAB" w:rsidP="008A6729">
      <w:pPr>
        <w:pStyle w:val="FootnoteText"/>
      </w:pPr>
      <w:r>
        <w:rPr>
          <w:rStyle w:val="FootnoteReference"/>
        </w:rPr>
        <w:footnoteRef/>
      </w:r>
      <w:r>
        <w:t xml:space="preserve"> </w:t>
      </w:r>
      <w:r>
        <w:tab/>
        <w:t>See NER v. 79, Chapter 10: 'Glossary', p. 1224. The NER describes 'prescribed transmission services under NER v. 79, Chapter 10: 'Glossary', p. 1201.</w:t>
      </w:r>
    </w:p>
  </w:footnote>
  <w:footnote w:id="66">
    <w:p w:rsidR="003F1AAB" w:rsidRDefault="003F1AAB" w:rsidP="008A6729">
      <w:pPr>
        <w:pStyle w:val="FootnoteText"/>
      </w:pPr>
      <w:r>
        <w:rPr>
          <w:rStyle w:val="FootnoteReference"/>
        </w:rPr>
        <w:footnoteRef/>
      </w:r>
      <w:r>
        <w:t xml:space="preserve"> </w:t>
      </w:r>
      <w:r>
        <w:tab/>
        <w:t>NER v. 79, Chapter 10: 'Glossary', p. 1151.</w:t>
      </w:r>
    </w:p>
  </w:footnote>
  <w:footnote w:id="67">
    <w:p w:rsidR="003F1AAB" w:rsidRDefault="003F1AAB" w:rsidP="008A6729">
      <w:pPr>
        <w:pStyle w:val="FootnoteText"/>
      </w:pPr>
      <w:r>
        <w:rPr>
          <w:rStyle w:val="FootnoteReference"/>
        </w:rPr>
        <w:footnoteRef/>
      </w:r>
      <w:r>
        <w:t xml:space="preserve"> </w:t>
      </w:r>
      <w:r>
        <w:tab/>
        <w:t>NEL, s. 2B.</w:t>
      </w:r>
    </w:p>
  </w:footnote>
  <w:footnote w:id="68">
    <w:p w:rsidR="003F1AAB" w:rsidRDefault="003F1AAB" w:rsidP="008A6729">
      <w:pPr>
        <w:pStyle w:val="FootnoteText"/>
      </w:pPr>
      <w:r>
        <w:rPr>
          <w:rStyle w:val="FootnoteReference"/>
        </w:rPr>
        <w:footnoteRef/>
      </w:r>
      <w:r>
        <w:t xml:space="preserve"> </w:t>
      </w:r>
      <w:r>
        <w:tab/>
        <w:t xml:space="preserve">See NER, cl. 6.5.2(c). Instead of 'standard control services', the transmission rules refer to 'prescribed transmission services' and the NGR refers to 'reference services'. See NER  6A.6.2(c), NGR  87(3). Also see </w:t>
      </w:r>
      <w:r w:rsidRPr="000466C9">
        <w:t xml:space="preserve">section 2B of the </w:t>
      </w:r>
      <w:r>
        <w:t>NEL.</w:t>
      </w:r>
    </w:p>
  </w:footnote>
  <w:footnote w:id="69">
    <w:p w:rsidR="003F1AAB" w:rsidRDefault="003F1AAB" w:rsidP="00725729">
      <w:pPr>
        <w:pStyle w:val="FootnoteText"/>
      </w:pPr>
      <w:r>
        <w:rPr>
          <w:rStyle w:val="FootnoteReference"/>
        </w:rPr>
        <w:footnoteRef/>
      </w:r>
      <w:r>
        <w:t xml:space="preserve"> </w:t>
      </w:r>
      <w:r>
        <w:tab/>
        <w:t>The NER defines standard control services as: 'a</w:t>
      </w:r>
      <w:r w:rsidRPr="00512092">
        <w:t xml:space="preserve"> direct control service that is subject to a control mechanism based on a Distribution Network Service Provider's total revenue requirement</w:t>
      </w:r>
      <w:r>
        <w:t xml:space="preserve">'. Instead of 'standard control services', the transmission rules refer to 'prescribed transmission services' and the NGR refers to 'reference services'. See NER  6A.6.2(c), NGR  87(3). Also see </w:t>
      </w:r>
      <w:r w:rsidRPr="000466C9">
        <w:t xml:space="preserve">section 2B of the </w:t>
      </w:r>
      <w:r>
        <w:t>NEL.</w:t>
      </w:r>
    </w:p>
  </w:footnote>
  <w:footnote w:id="70">
    <w:p w:rsidR="003F1AAB" w:rsidRDefault="003F1AAB" w:rsidP="008A6729">
      <w:pPr>
        <w:pStyle w:val="FootnoteText"/>
      </w:pPr>
      <w:r>
        <w:rPr>
          <w:rStyle w:val="FootnoteReference"/>
        </w:rPr>
        <w:footnoteRef/>
      </w:r>
      <w:r>
        <w:t xml:space="preserve"> </w:t>
      </w:r>
      <w:r>
        <w:tab/>
        <w:t>Bishop, S., Faff, R., Oliver, B., Twite, G., 'Corporate Finance', Ed. 5 Pearson Prentice Hall, 2004, p. 577.</w:t>
      </w:r>
    </w:p>
  </w:footnote>
  <w:footnote w:id="71">
    <w:p w:rsidR="003F1AAB" w:rsidRDefault="003F1AAB" w:rsidP="008A6729">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72">
    <w:p w:rsidR="003F1AAB" w:rsidRDefault="003F1AAB" w:rsidP="008A6729">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73">
    <w:p w:rsidR="003F1AAB" w:rsidRDefault="003F1AAB" w:rsidP="008A6729">
      <w:pPr>
        <w:pStyle w:val="FootnoteText"/>
      </w:pPr>
      <w:r>
        <w:rPr>
          <w:rStyle w:val="FootnoteReference"/>
        </w:rPr>
        <w:footnoteRef/>
      </w:r>
      <w:r>
        <w:t xml:space="preserve"> </w:t>
      </w:r>
      <w:r>
        <w:tab/>
        <w:t>Brealey, R., Myers, S., Allen, F., 'Principles of corporate finance', 2011, Ed. 10, McGraw-Hill Irwin, Figure 8.2, p. 187.</w:t>
      </w:r>
    </w:p>
  </w:footnote>
  <w:footnote w:id="74">
    <w:p w:rsidR="003F1AAB" w:rsidRDefault="003F1AAB" w:rsidP="008A672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75">
    <w:p w:rsidR="003F1AAB" w:rsidRDefault="003F1AAB" w:rsidP="008A6729">
      <w:pPr>
        <w:pStyle w:val="FootnoteText"/>
      </w:pPr>
      <w:r>
        <w:rPr>
          <w:rStyle w:val="FootnoteReference"/>
        </w:rPr>
        <w:footnoteRef/>
      </w:r>
      <w:r>
        <w:t xml:space="preserve"> </w:t>
      </w:r>
      <w:r>
        <w:tab/>
        <w:t xml:space="preserve">AER: </w:t>
      </w:r>
      <w:r w:rsidRPr="009E1E6C">
        <w:rPr>
          <w:rStyle w:val="AERtextitalic"/>
        </w:rPr>
        <w:t>Better regulation: Explanatory statement to the rate of return guideline</w:t>
      </w:r>
      <w:r>
        <w:t>, December 2013, pp. 32</w:t>
      </w:r>
      <w:r>
        <w:rPr>
          <w:rFonts w:cs="Arial"/>
        </w:rPr>
        <w:t>–</w:t>
      </w:r>
      <w:r>
        <w:t>45.</w:t>
      </w:r>
    </w:p>
  </w:footnote>
  <w:footnote w:id="76">
    <w:p w:rsidR="003F1AAB" w:rsidRDefault="003F1AAB" w:rsidP="008A6729">
      <w:pPr>
        <w:pStyle w:val="FootnoteText"/>
      </w:pPr>
      <w:r>
        <w:rPr>
          <w:rStyle w:val="FootnoteReference"/>
        </w:rPr>
        <w:footnoteRef/>
      </w:r>
      <w:r>
        <w:t xml:space="preserve"> </w:t>
      </w:r>
      <w:r>
        <w:tab/>
        <w:t xml:space="preserve">Frontier Economics, </w:t>
      </w:r>
      <w:r w:rsidRPr="00151C8A">
        <w:rPr>
          <w:rStyle w:val="AERtextitalic"/>
        </w:rPr>
        <w:t>Assessing risk when determining the appropriate rate of return for regulated energy networks in Australia</w:t>
      </w:r>
      <w:r>
        <w:t xml:space="preserve">, July 2013, p. 4. </w:t>
      </w:r>
    </w:p>
  </w:footnote>
  <w:footnote w:id="77">
    <w:p w:rsidR="003F1AAB" w:rsidRDefault="003F1AAB" w:rsidP="008A6729">
      <w:pPr>
        <w:pStyle w:val="FootnoteText"/>
      </w:pPr>
      <w:r>
        <w:rPr>
          <w:rStyle w:val="FootnoteReference"/>
        </w:rPr>
        <w:footnoteRef/>
      </w:r>
      <w:r>
        <w:t xml:space="preserve"> </w:t>
      </w:r>
      <w:r>
        <w:tab/>
        <w:t xml:space="preserve">See CCP3, </w:t>
      </w:r>
      <w:r w:rsidRPr="00A30733">
        <w:rPr>
          <w:rStyle w:val="AERtextitalic"/>
        </w:rPr>
        <w:t xml:space="preserve">Submission to the AER:  </w:t>
      </w:r>
      <w:r>
        <w:rPr>
          <w:rStyle w:val="AERtextitalic"/>
        </w:rPr>
        <w:t>A</w:t>
      </w:r>
      <w:r w:rsidRPr="00A30733">
        <w:rPr>
          <w:rStyle w:val="AERtextitalic"/>
        </w:rPr>
        <w:t>n Overview ― Response to AER Preliminary Decisions and revised proposals from Victorian electricity DNSPs for a revenue reset for the 2016</w:t>
      </w:r>
      <w:r w:rsidRPr="003E0036">
        <w:rPr>
          <w:rStyle w:val="AERtextitalic"/>
          <w:rFonts w:ascii="Cambria Math" w:hAnsi="Cambria Math" w:cs="Cambria Math"/>
        </w:rPr>
        <w:t>‐</w:t>
      </w:r>
      <w:r w:rsidRPr="00A30733">
        <w:rPr>
          <w:rStyle w:val="AERtextitalic"/>
        </w:rPr>
        <w:t>2020 regulatory period</w:t>
      </w:r>
      <w:r>
        <w:t>, 22 February 2016, p. 31.</w:t>
      </w:r>
    </w:p>
  </w:footnote>
  <w:footnote w:id="78">
    <w:p w:rsidR="003F1AAB" w:rsidRDefault="003F1AAB" w:rsidP="008A6729">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Pr>
          <w:rFonts w:cs="Arial"/>
        </w:rPr>
        <w:t>–</w:t>
      </w:r>
      <w:r>
        <w:t xml:space="preserve">13. </w:t>
      </w:r>
    </w:p>
  </w:footnote>
  <w:footnote w:id="79">
    <w:p w:rsidR="003F1AAB" w:rsidRDefault="003F1AAB" w:rsidP="008A6729">
      <w:pPr>
        <w:pStyle w:val="FootnoteText"/>
      </w:pPr>
      <w:r>
        <w:rPr>
          <w:rStyle w:val="FootnoteReference"/>
        </w:rPr>
        <w:footnoteRef/>
      </w:r>
      <w:r>
        <w:t xml:space="preserve"> </w:t>
      </w:r>
      <w:r>
        <w:tab/>
        <w:t xml:space="preserve">Hindriks, J., Myles, G.D., </w:t>
      </w:r>
      <w:r w:rsidRPr="00732E2F">
        <w:rPr>
          <w:rStyle w:val="AERtextitalic"/>
        </w:rPr>
        <w:t>Intermediate public economics</w:t>
      </w:r>
      <w:r>
        <w:t>, The MIT Press, 2006, p. 232.</w:t>
      </w:r>
    </w:p>
  </w:footnote>
  <w:footnote w:id="80">
    <w:p w:rsidR="003F1AAB" w:rsidRDefault="003F1AAB" w:rsidP="008A6729">
      <w:pPr>
        <w:pStyle w:val="FootnoteText"/>
      </w:pPr>
      <w:r>
        <w:rPr>
          <w:rStyle w:val="FootnoteReference"/>
        </w:rPr>
        <w:footnoteRef/>
      </w:r>
      <w:r>
        <w:t xml:space="preserve"> </w:t>
      </w:r>
      <w:r>
        <w:tab/>
        <w:t xml:space="preserve">That is, standard control services as referred to in NER, cl. 6.5.2(c), prescribed transmission services as referred to in NER, cl. 6A.6.2(c), or 'reference services' as referred to in NGR, r. 87(3). </w:t>
      </w:r>
    </w:p>
  </w:footnote>
  <w:footnote w:id="81">
    <w:p w:rsidR="003F1AAB" w:rsidRDefault="003F1AAB" w:rsidP="008A6729">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82">
    <w:p w:rsidR="003F1AAB" w:rsidRDefault="003F1AAB" w:rsidP="008A6729">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83">
    <w:p w:rsidR="003F1AAB" w:rsidRDefault="003F1AAB" w:rsidP="008A6729">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49.</w:t>
      </w:r>
    </w:p>
  </w:footnote>
  <w:footnote w:id="84">
    <w:p w:rsidR="003F1AAB" w:rsidRDefault="003F1AAB" w:rsidP="008A6729">
      <w:pPr>
        <w:pStyle w:val="FootnoteText"/>
      </w:pPr>
      <w:r>
        <w:rPr>
          <w:rStyle w:val="FootnoteReference"/>
        </w:rPr>
        <w:footnoteRef/>
      </w:r>
      <w:r>
        <w:t xml:space="preserve"> </w:t>
      </w:r>
      <w:r>
        <w:tab/>
        <w:t>NER, cl. 6.5.2(k) and cl. 6A.6.2(k); NGR, r.87(11).</w:t>
      </w:r>
    </w:p>
  </w:footnote>
  <w:footnote w:id="85">
    <w:p w:rsidR="003F1AAB" w:rsidRDefault="003F1AAB" w:rsidP="008A6729">
      <w:pPr>
        <w:pStyle w:val="FootnoteText"/>
      </w:pPr>
      <w:r>
        <w:rPr>
          <w:rStyle w:val="FootnoteReference"/>
        </w:rPr>
        <w:footnoteRef/>
      </w:r>
      <w:r>
        <w:t xml:space="preserve"> </w:t>
      </w:r>
      <w:r>
        <w:tab/>
      </w:r>
      <w:r w:rsidRPr="00F64E97">
        <w:t>NER</w:t>
      </w:r>
      <w:r>
        <w:t>,</w:t>
      </w:r>
      <w:r w:rsidRPr="00F64E97">
        <w:t xml:space="preserve"> </w:t>
      </w:r>
      <w:r>
        <w:t>cl</w:t>
      </w:r>
      <w:r w:rsidRPr="00F64E97">
        <w:t>.6.5.2(k)</w:t>
      </w:r>
      <w:r>
        <w:t>(1)</w:t>
      </w:r>
      <w:r w:rsidRPr="00F64E97">
        <w:t xml:space="preserve"> and </w:t>
      </w:r>
      <w:r>
        <w:t>cl</w:t>
      </w:r>
      <w:r w:rsidRPr="00F64E97">
        <w:t>.6A.6.2(k)</w:t>
      </w:r>
      <w:r>
        <w:t>(1); NGR, r.87(11)(a).</w:t>
      </w:r>
    </w:p>
  </w:footnote>
  <w:footnote w:id="86">
    <w:p w:rsidR="003F1AAB" w:rsidRDefault="003F1AAB" w:rsidP="008A6729">
      <w:pPr>
        <w:pStyle w:val="FootnoteText"/>
      </w:pPr>
      <w:r>
        <w:rPr>
          <w:rStyle w:val="FootnoteReference"/>
        </w:rPr>
        <w:footnoteRef/>
      </w:r>
      <w:r>
        <w:t xml:space="preserve"> </w:t>
      </w:r>
      <w:r>
        <w:tab/>
      </w:r>
      <w:r w:rsidRPr="00F64E97">
        <w:t>NER</w:t>
      </w:r>
      <w:r>
        <w:t>,</w:t>
      </w:r>
      <w:r w:rsidRPr="00F64E97">
        <w:t xml:space="preserve"> </w:t>
      </w:r>
      <w:r>
        <w:t>cl</w:t>
      </w:r>
      <w:r w:rsidRPr="00F64E97">
        <w:t>.6.5.2(k)</w:t>
      </w:r>
      <w:r>
        <w:t>(2)</w:t>
      </w:r>
      <w:r w:rsidRPr="00F64E97">
        <w:t xml:space="preserve"> and </w:t>
      </w:r>
      <w:r>
        <w:t>cl</w:t>
      </w:r>
      <w:r w:rsidRPr="00F64E97">
        <w:t>.6A.6.2(k)</w:t>
      </w:r>
      <w:r>
        <w:t>(2); NGR, r.87(11)(b).</w:t>
      </w:r>
    </w:p>
  </w:footnote>
  <w:footnote w:id="87">
    <w:p w:rsidR="003F1AAB" w:rsidRDefault="003F1AAB" w:rsidP="008A6729">
      <w:pPr>
        <w:pStyle w:val="FootnoteText"/>
      </w:pPr>
      <w:r>
        <w:rPr>
          <w:rStyle w:val="FootnoteReference"/>
        </w:rPr>
        <w:footnoteRef/>
      </w:r>
      <w:r>
        <w:t xml:space="preserve"> </w:t>
      </w:r>
      <w:r>
        <w:tab/>
      </w:r>
      <w:r w:rsidRPr="00F64E97">
        <w:t>NER</w:t>
      </w:r>
      <w:r>
        <w:t>,</w:t>
      </w:r>
      <w:r w:rsidRPr="00F64E97">
        <w:t xml:space="preserve"> </w:t>
      </w:r>
      <w:r>
        <w:t>cl</w:t>
      </w:r>
      <w:r w:rsidRPr="00F64E97">
        <w:t>.6.5.2(k)</w:t>
      </w:r>
      <w:r>
        <w:t>(3)</w:t>
      </w:r>
      <w:r w:rsidRPr="00F64E97">
        <w:t xml:space="preserve"> and </w:t>
      </w:r>
      <w:r>
        <w:t>cl</w:t>
      </w:r>
      <w:r w:rsidRPr="00F64E97">
        <w:t>.6A.6.2(k)</w:t>
      </w:r>
      <w:r>
        <w:t>(3); NGR, r.87(11)(c).</w:t>
      </w:r>
    </w:p>
  </w:footnote>
  <w:footnote w:id="88">
    <w:p w:rsidR="003F1AAB" w:rsidRDefault="003F1AAB" w:rsidP="008A6729">
      <w:pPr>
        <w:pStyle w:val="FootnoteText"/>
      </w:pPr>
      <w:r>
        <w:rPr>
          <w:rStyle w:val="FootnoteReference"/>
        </w:rPr>
        <w:footnoteRef/>
      </w:r>
      <w:r>
        <w:t xml:space="preserve"> </w:t>
      </w:r>
      <w:r>
        <w:tab/>
      </w:r>
      <w:r w:rsidRPr="00F64E97">
        <w:t>NER</w:t>
      </w:r>
      <w:r>
        <w:t>,</w:t>
      </w:r>
      <w:r w:rsidRPr="00F64E97">
        <w:t xml:space="preserve"> </w:t>
      </w:r>
      <w:r>
        <w:t>cl</w:t>
      </w:r>
      <w:r w:rsidRPr="00F64E97">
        <w:t>.6.5.2(k)</w:t>
      </w:r>
      <w:r>
        <w:t>(4)</w:t>
      </w:r>
      <w:r w:rsidRPr="00F64E97">
        <w:t xml:space="preserve"> and </w:t>
      </w:r>
      <w:r>
        <w:t>cl</w:t>
      </w:r>
      <w:r w:rsidRPr="00F64E97">
        <w:t>.6A.6.2(k)</w:t>
      </w:r>
      <w:r>
        <w:t>(4); NGR, r.87(11)(d).</w:t>
      </w:r>
    </w:p>
  </w:footnote>
  <w:footnote w:id="89">
    <w:p w:rsidR="003F1AAB" w:rsidRDefault="003F1AAB" w:rsidP="008A6729">
      <w:pPr>
        <w:pStyle w:val="FootnoteText"/>
      </w:pPr>
      <w:r>
        <w:rPr>
          <w:rStyle w:val="FootnoteReference"/>
        </w:rPr>
        <w:footnoteRef/>
      </w:r>
      <w:r>
        <w:t xml:space="preserve"> </w:t>
      </w:r>
      <w:r>
        <w:tab/>
        <w:t xml:space="preserve">AER, </w:t>
      </w:r>
      <w:r w:rsidRPr="00DB7606">
        <w:rPr>
          <w:rStyle w:val="AERtextitalic"/>
        </w:rPr>
        <w:t>Final decision—Queensland distribution determination 2010–11 to 2014–15</w:t>
      </w:r>
      <w:r>
        <w:t xml:space="preserve">, May 2010, pp. 252–253; AER, </w:t>
      </w:r>
      <w:r w:rsidRPr="00DB7606">
        <w:rPr>
          <w:rStyle w:val="AERtextitalic"/>
        </w:rPr>
        <w:t>Final decision—Victorian electricity network distribution service providers: Distribution determination 2011–2015</w:t>
      </w:r>
      <w:r>
        <w:t xml:space="preserve">, p. 496; AER, </w:t>
      </w:r>
      <w:r w:rsidRPr="00DB7606">
        <w:rPr>
          <w:rStyle w:val="AERtextitalic"/>
        </w:rPr>
        <w:t>Final decision— Envestra Ltd: Access arrangement proposal for the SA gas network</w:t>
      </w:r>
      <w:r>
        <w:rPr>
          <w:rStyle w:val="AERtextitalic"/>
        </w:rPr>
        <w:t xml:space="preserve">, </w:t>
      </w:r>
      <w:r w:rsidRPr="00DB7606">
        <w:t>June 2011</w:t>
      </w:r>
      <w:r>
        <w:rPr>
          <w:rStyle w:val="AERtextitalic"/>
        </w:rPr>
        <w:t xml:space="preserve">, </w:t>
      </w:r>
      <w:r>
        <w:t>pp. 55, 58; AER, Final decision—</w:t>
      </w:r>
      <w:r w:rsidRPr="00270572">
        <w:t xml:space="preserve"> </w:t>
      </w:r>
      <w:r w:rsidRPr="00270572">
        <w:rPr>
          <w:rStyle w:val="AERtextitalic"/>
        </w:rPr>
        <w:t>Access arrangement proposal: ACT, Queanbeyan and Palerang gas distribution network</w:t>
      </w:r>
      <w:r>
        <w:t xml:space="preserve">, March 2010, pp. 40, 57; AER, </w:t>
      </w:r>
      <w:r w:rsidRPr="00151C8A">
        <w:rPr>
          <w:rStyle w:val="AERtextitalic"/>
        </w:rPr>
        <w:t>Final decision—NT Gas: Access arrangement proposal for the Amadeus Gas Pipeline August 2011 to June 2016</w:t>
      </w:r>
      <w:r>
        <w:t>, July 2011, p. 78.</w:t>
      </w:r>
    </w:p>
  </w:footnote>
  <w:footnote w:id="90">
    <w:p w:rsidR="003F1AAB" w:rsidRDefault="003F1AAB" w:rsidP="008A6729">
      <w:pPr>
        <w:pStyle w:val="FootnoteText"/>
      </w:pPr>
      <w:r>
        <w:rPr>
          <w:rStyle w:val="FootnoteReference"/>
        </w:rPr>
        <w:footnoteRef/>
      </w:r>
      <w:r>
        <w:t xml:space="preserve"> </w:t>
      </w:r>
      <w:r>
        <w:tab/>
        <w:t xml:space="preserve">See Partington, G., Satchel, S., </w:t>
      </w:r>
      <w:r w:rsidRPr="0055554C">
        <w:rPr>
          <w:rStyle w:val="AERtextitalic"/>
        </w:rPr>
        <w:t>Report to the AER: Discussion on the allowed cost of debt</w:t>
      </w:r>
      <w:r>
        <w:t>, 5 May 2016, pp. 41, 52.</w:t>
      </w:r>
    </w:p>
  </w:footnote>
  <w:footnote w:id="91">
    <w:p w:rsidR="003F1AAB" w:rsidRDefault="003F1AAB" w:rsidP="008A6729">
      <w:pPr>
        <w:pStyle w:val="FootnoteText"/>
      </w:pPr>
      <w:r>
        <w:rPr>
          <w:rStyle w:val="FootnoteReference"/>
        </w:rPr>
        <w:footnoteRef/>
      </w:r>
      <w:r>
        <w:t xml:space="preserve"> </w:t>
      </w:r>
      <w:r>
        <w:tab/>
        <w:t>NER cl. 6.5.2(l) and cl. 6A.6.2(l), NGR, r. 87(12).</w:t>
      </w:r>
    </w:p>
  </w:footnote>
  <w:footnote w:id="92">
    <w:p w:rsidR="003F1AAB" w:rsidRDefault="003F1AAB" w:rsidP="008A6729">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1" w:history="1">
        <w:r w:rsidRPr="009E0A46">
          <w:rPr>
            <w:rStyle w:val="Hyperlink"/>
            <w:color w:val="auto"/>
            <w:sz w:val="16"/>
            <w:u w:val="none"/>
          </w:rPr>
          <w:t>http://www.aer.gov.au/node/18859</w:t>
        </w:r>
      </w:hyperlink>
      <w:r>
        <w:t>.</w:t>
      </w:r>
    </w:p>
  </w:footnote>
  <w:footnote w:id="93">
    <w:p w:rsidR="003F1AAB" w:rsidRDefault="003F1AAB" w:rsidP="008A6729">
      <w:pPr>
        <w:pStyle w:val="FootnoteText"/>
      </w:pPr>
      <w:r>
        <w:rPr>
          <w:rStyle w:val="FootnoteReference"/>
        </w:rPr>
        <w:footnoteRef/>
      </w:r>
      <w:r>
        <w:t xml:space="preserve"> </w:t>
      </w:r>
      <w:r>
        <w:tab/>
        <w:t>NGR, cl. 87(18); NER, cl. 6.2.8(c); NER, cl.6A.2.3(c).</w:t>
      </w:r>
    </w:p>
  </w:footnote>
  <w:footnote w:id="94">
    <w:p w:rsidR="003F1AAB" w:rsidRDefault="003F1AAB" w:rsidP="008A6729">
      <w:pPr>
        <w:pStyle w:val="FootnoteText"/>
      </w:pPr>
      <w:r>
        <w:rPr>
          <w:rStyle w:val="FootnoteReference"/>
        </w:rPr>
        <w:footnoteRef/>
      </w:r>
      <w:r>
        <w:t xml:space="preserve"> </w:t>
      </w:r>
      <w:r>
        <w:tab/>
        <w:t>NER, cll. S6.1.3(9),(9A),(9B); NER, cll.S6A.1.3.(4A), (4b), (4c).</w:t>
      </w:r>
    </w:p>
  </w:footnote>
  <w:footnote w:id="95">
    <w:p w:rsidR="003F1AAB" w:rsidRDefault="003F1AAB" w:rsidP="008A6729">
      <w:pPr>
        <w:pStyle w:val="FootnoteText"/>
      </w:pPr>
      <w:r>
        <w:rPr>
          <w:rStyle w:val="FootnoteReference"/>
        </w:rPr>
        <w:footnoteRef/>
      </w:r>
      <w:r>
        <w:t xml:space="preserve"> </w:t>
      </w:r>
      <w:r>
        <w:tab/>
        <w:t>A</w:t>
      </w:r>
      <w:r w:rsidRPr="00DA2018">
        <w:t xml:space="preserve"> group of investors and ENA again raised the importance of certainty</w:t>
      </w:r>
      <w:r>
        <w:t xml:space="preserve"> in Financial Investors Group</w:t>
      </w:r>
      <w:r w:rsidRPr="007D4575">
        <w:rPr>
          <w:rStyle w:val="AERtextitalic"/>
        </w:rPr>
        <w:t>, Submission on AER’s equity beta issues paper</w:t>
      </w:r>
      <w:r>
        <w:t xml:space="preserve">, 29 October 2013; ENA, </w:t>
      </w:r>
      <w:r w:rsidRPr="00E67A17">
        <w:rPr>
          <w:rStyle w:val="AERtextitalic"/>
        </w:rPr>
        <w:t>Response to the Draft Rate of Return Guideline of the AER</w:t>
      </w:r>
      <w:r>
        <w:t>, 11 October 2013, p. 1.</w:t>
      </w:r>
    </w:p>
  </w:footnote>
  <w:footnote w:id="96">
    <w:p w:rsidR="003F1AAB" w:rsidRDefault="003F1AAB" w:rsidP="008A6729">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 15 November 2012, p. 28.</w:t>
      </w:r>
    </w:p>
  </w:footnote>
  <w:footnote w:id="97">
    <w:p w:rsidR="003F1AAB" w:rsidRDefault="003F1AAB" w:rsidP="008A6729">
      <w:pPr>
        <w:pStyle w:val="FootnoteText"/>
      </w:pPr>
      <w:r>
        <w:rPr>
          <w:rStyle w:val="FootnoteReference"/>
        </w:rPr>
        <w:footnoteRef/>
      </w:r>
      <w:r>
        <w:t xml:space="preserve"> </w:t>
      </w:r>
      <w:r>
        <w:tab/>
        <w:t>NER, cl. 6..5.2 (n)(2); NER, cl. 6A.6.2(n)(2); NGR, cl. 87(14)(b).</w:t>
      </w:r>
      <w:r w:rsidRPr="00C368FC">
        <w:t xml:space="preserve"> </w:t>
      </w:r>
      <w:r>
        <w:t xml:space="preserve">See </w:t>
      </w:r>
      <w:hyperlink r:id="rId2" w:history="1">
        <w:r w:rsidRPr="00C368FC">
          <w:rPr>
            <w:rStyle w:val="Hyperlink"/>
            <w:color w:val="auto"/>
            <w:sz w:val="16"/>
            <w:u w:val="none"/>
          </w:rPr>
          <w:t>http://www.aer.gov.au/node/18859</w:t>
        </w:r>
      </w:hyperlink>
      <w:r>
        <w:t>.</w:t>
      </w:r>
    </w:p>
  </w:footnote>
  <w:footnote w:id="98">
    <w:p w:rsidR="003F1AAB" w:rsidRDefault="003F1AAB" w:rsidP="008A6729">
      <w:pPr>
        <w:pStyle w:val="FootnoteText"/>
      </w:pPr>
      <w:r>
        <w:rPr>
          <w:rStyle w:val="FootnoteReference"/>
        </w:rPr>
        <w:footnoteRef/>
      </w:r>
      <w:r>
        <w:t xml:space="preserve"> </w:t>
      </w:r>
      <w:r>
        <w:tab/>
        <w:t>NER, cl. 6.5.2 (n), NER, cl. 6A.6.2(n);</w:t>
      </w:r>
      <w:r w:rsidRPr="009416A4">
        <w:t xml:space="preserve"> </w:t>
      </w:r>
      <w:r>
        <w:t>NGR, cl. 87(14).</w:t>
      </w:r>
    </w:p>
  </w:footnote>
  <w:footnote w:id="99">
    <w:p w:rsidR="003F1AAB" w:rsidRDefault="003F1AAB" w:rsidP="008A6729">
      <w:pPr>
        <w:pStyle w:val="FootnoteText"/>
      </w:pPr>
      <w:r>
        <w:rPr>
          <w:rStyle w:val="FootnoteReference"/>
        </w:rPr>
        <w:footnoteRef/>
      </w:r>
      <w:r>
        <w:t xml:space="preserve"> </w:t>
      </w:r>
      <w:r>
        <w:tab/>
        <w:t xml:space="preserve">For example, see AER, </w:t>
      </w:r>
      <w:r w:rsidRPr="00C146A6">
        <w:rPr>
          <w:rStyle w:val="AERtextitalic"/>
        </w:rPr>
        <w:t>Final decision: Energex determination 2015–16 to 2019–20, Attachment 3―Rate of return</w:t>
      </w:r>
      <w:r>
        <w:t>, October 2015, pp. 22</w:t>
      </w:r>
      <w:r>
        <w:rPr>
          <w:rFonts w:cs="Arial"/>
        </w:rPr>
        <w:t>–</w:t>
      </w:r>
      <w:r>
        <w:t>24.</w:t>
      </w:r>
    </w:p>
  </w:footnote>
  <w:footnote w:id="100">
    <w:p w:rsidR="003F1AAB" w:rsidRDefault="003F1AAB" w:rsidP="008A6729">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3" w:history="1">
        <w:r w:rsidRPr="00C368FC">
          <w:rPr>
            <w:rStyle w:val="Hyperlink"/>
            <w:color w:val="auto"/>
            <w:sz w:val="16"/>
            <w:u w:val="none"/>
          </w:rPr>
          <w:t>http://www.aer.gov.au/node/18859</w:t>
        </w:r>
      </w:hyperlink>
      <w:r w:rsidRPr="00C368FC">
        <w:t>.</w:t>
      </w:r>
    </w:p>
  </w:footnote>
  <w:footnote w:id="101">
    <w:p w:rsidR="003F1AAB" w:rsidRDefault="003F1AAB" w:rsidP="008A672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ch.2.</w:t>
      </w:r>
    </w:p>
  </w:footnote>
  <w:footnote w:id="102">
    <w:p w:rsidR="003F1AAB" w:rsidRDefault="003F1AAB" w:rsidP="008A672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 ch.3; </w:t>
      </w:r>
      <w:r w:rsidRPr="000C1311">
        <w:t xml:space="preserve">AER, </w:t>
      </w:r>
      <w:r w:rsidRPr="000C1311">
        <w:rPr>
          <w:i/>
        </w:rPr>
        <w:t xml:space="preserve">Better regulation: Rate of Return Guideline, </w:t>
      </w:r>
      <w:r>
        <w:t>December 2013, section 3.</w:t>
      </w:r>
    </w:p>
  </w:footnote>
  <w:footnote w:id="103">
    <w:p w:rsidR="003F1AAB" w:rsidRDefault="003F1AAB" w:rsidP="008A672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104">
    <w:p w:rsidR="003F1AAB" w:rsidRDefault="003F1AAB" w:rsidP="008A6729">
      <w:pPr>
        <w:pStyle w:val="FootnoteText"/>
      </w:pPr>
      <w:r>
        <w:rPr>
          <w:rStyle w:val="FootnoteReference"/>
        </w:rPr>
        <w:footnoteRef/>
      </w:r>
      <w:r>
        <w:t xml:space="preserve"> </w:t>
      </w:r>
      <w:r>
        <w:tab/>
        <w:t xml:space="preserve">Available at, </w:t>
      </w:r>
      <w:hyperlink r:id="rId4" w:history="1">
        <w:r w:rsidRPr="009E0A46">
          <w:rPr>
            <w:rStyle w:val="Hyperlink"/>
            <w:color w:val="auto"/>
            <w:sz w:val="16"/>
            <w:u w:val="none"/>
          </w:rPr>
          <w:t>http://www.aer.gov.au/node/18859</w:t>
        </w:r>
      </w:hyperlink>
      <w:r>
        <w:t>.</w:t>
      </w:r>
    </w:p>
    <w:p w:rsidR="003F1AAB" w:rsidRDefault="003F1AAB" w:rsidP="008A6729">
      <w:pPr>
        <w:pStyle w:val="FootnoteText"/>
      </w:pPr>
    </w:p>
  </w:footnote>
  <w:footnote w:id="105">
    <w:p w:rsidR="003F1AAB" w:rsidRDefault="003F1AAB" w:rsidP="008A6729">
      <w:pPr>
        <w:pStyle w:val="FootnoteText"/>
      </w:pPr>
      <w:r>
        <w:rPr>
          <w:rStyle w:val="FootnoteReference"/>
        </w:rPr>
        <w:footnoteRef/>
      </w:r>
      <w:r>
        <w:t xml:space="preserve"> </w:t>
      </w:r>
      <w:r>
        <w:tab/>
        <w:t>This final decision determines the return on debt methodology for the 2016–20 period. This period covers the first five years of the 10 year transition period. This decision also sets out our intended return on debt methodology for the remaining six years. However, we do not have the power to determine in this decision the return on debt methodology for those years. Under the NER, the return on debt methodology must be determined in future decisions that relate to that period.</w:t>
      </w:r>
    </w:p>
  </w:footnote>
  <w:footnote w:id="106">
    <w:p w:rsidR="003F1AAB" w:rsidRDefault="003F1AAB" w:rsidP="008A6729">
      <w:pPr>
        <w:pStyle w:val="FootnoteText"/>
      </w:pPr>
      <w:r>
        <w:rPr>
          <w:rStyle w:val="FootnoteReference"/>
        </w:rPr>
        <w:footnoteRef/>
      </w:r>
      <w:r>
        <w:t xml:space="preserve"> </w:t>
      </w:r>
      <w:r>
        <w:tab/>
      </w:r>
      <w:r w:rsidRPr="00B02218">
        <w:t>In the Guideline, we proposed to use one or more third party data series to estimate of the return on</w:t>
      </w:r>
      <w:r>
        <w:t xml:space="preserve"> </w:t>
      </w:r>
      <w:r w:rsidRPr="00B02218">
        <w:t xml:space="preserve">debt. However, at that time we had not formed a view on which data series to use. </w:t>
      </w:r>
      <w:r>
        <w:t xml:space="preserve">We form our view following a separate consultative process. This consultative process started with the release of an issues paper in </w:t>
      </w:r>
      <w:r w:rsidRPr="00B02218">
        <w:t>April 2014</w:t>
      </w:r>
      <w:r>
        <w:t>.</w:t>
      </w:r>
      <w:r w:rsidRPr="00162C44">
        <w:t xml:space="preserve"> </w:t>
      </w:r>
      <w:r>
        <w:t xml:space="preserve">We do not propose estimating the return on debt by reference to the Reuters curve that was first proposed in the recent revised proposals. However, we will consider using this new source of information </w:t>
      </w:r>
      <w:r w:rsidRPr="002E41F8">
        <w:t>in future determinations following a proper period of consultation</w:t>
      </w:r>
      <w:r>
        <w:t>.</w:t>
      </w:r>
    </w:p>
  </w:footnote>
  <w:footnote w:id="107">
    <w:p w:rsidR="003F1AAB" w:rsidRDefault="003F1AAB" w:rsidP="008A6729">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‒2</w:t>
      </w:r>
      <w:r>
        <w:t xml:space="preserve">2; AER, </w:t>
      </w:r>
      <w:r w:rsidRPr="00142BD4">
        <w:rPr>
          <w:i/>
        </w:rPr>
        <w:t>Explanatory statement—Rate of return guideline</w:t>
      </w:r>
      <w:r>
        <w:t>, December 2013, p. 126.</w:t>
      </w:r>
    </w:p>
  </w:footnote>
  <w:footnote w:id="108">
    <w:p w:rsidR="003F1AAB" w:rsidRDefault="003F1AAB" w:rsidP="008A6729">
      <w:pPr>
        <w:pStyle w:val="FootnoteText"/>
      </w:pPr>
      <w:r>
        <w:rPr>
          <w:rStyle w:val="FootnoteReference"/>
        </w:rPr>
        <w:footnoteRef/>
      </w:r>
      <w:r>
        <w:t xml:space="preserve"> </w:t>
      </w:r>
      <w:r>
        <w:tab/>
        <w:t>NER, cl. 6.5.2(i); NER, cl. 6A.6.2(i); NGR r. 87(9).</w:t>
      </w:r>
    </w:p>
  </w:footnote>
  <w:footnote w:id="109">
    <w:p w:rsidR="003F1AAB" w:rsidRDefault="003F1AAB" w:rsidP="008A6729">
      <w:pPr>
        <w:pStyle w:val="FootnoteText"/>
      </w:pPr>
      <w:r>
        <w:rPr>
          <w:rStyle w:val="FootnoteReference"/>
        </w:rPr>
        <w:footnoteRef/>
      </w:r>
      <w:r>
        <w:t xml:space="preserve"> </w:t>
      </w:r>
      <w:r>
        <w:tab/>
        <w:t xml:space="preserve">Available at </w:t>
      </w:r>
      <w:hyperlink r:id="rId5" w:history="1">
        <w:r w:rsidRPr="009E0A46">
          <w:rPr>
            <w:rStyle w:val="Hyperlink"/>
            <w:color w:val="auto"/>
            <w:sz w:val="16"/>
            <w:u w:val="none"/>
          </w:rPr>
          <w:t>http://www.aer.gov.au/node/27616</w:t>
        </w:r>
      </w:hyperlink>
      <w:r>
        <w:t>.</w:t>
      </w:r>
    </w:p>
  </w:footnote>
  <w:footnote w:id="110">
    <w:p w:rsidR="003F1AAB" w:rsidRDefault="003F1AAB" w:rsidP="008A6729">
      <w:pPr>
        <w:pStyle w:val="FootnoteText"/>
      </w:pPr>
      <w:r>
        <w:rPr>
          <w:rStyle w:val="FootnoteReference"/>
        </w:rPr>
        <w:footnoteRef/>
      </w:r>
      <w:r>
        <w:t xml:space="preserve"> </w:t>
      </w:r>
      <w:r>
        <w:tab/>
        <w:t>NER, cl. 6.5.2(e); NER, cl. 6A.6.2(e); NGR r. 87(9).</w:t>
      </w:r>
    </w:p>
  </w:footnote>
  <w:footnote w:id="111">
    <w:p w:rsidR="003F1AAB" w:rsidRDefault="003F1AAB" w:rsidP="008A672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 3.</w:t>
      </w:r>
    </w:p>
  </w:footnote>
  <w:footnote w:id="112">
    <w:p w:rsidR="003F1AAB" w:rsidRDefault="003F1AAB" w:rsidP="008A6729">
      <w:pPr>
        <w:pStyle w:val="FootnoteText"/>
      </w:pPr>
      <w:r>
        <w:rPr>
          <w:rStyle w:val="FootnoteReference"/>
        </w:rPr>
        <w:footnoteRef/>
      </w:r>
      <w:r>
        <w:t xml:space="preserve"> </w:t>
      </w:r>
      <w:r>
        <w:tab/>
        <w:t>NEL, s. 7A(2); NGL s. 24(2)(a).</w:t>
      </w:r>
    </w:p>
  </w:footnote>
  <w:footnote w:id="113">
    <w:p w:rsidR="003F1AAB" w:rsidRDefault="003F1AAB" w:rsidP="008A6729">
      <w:pPr>
        <w:pStyle w:val="FootnoteText"/>
      </w:pPr>
      <w:r>
        <w:rPr>
          <w:rStyle w:val="FootnoteReference"/>
        </w:rPr>
        <w:footnoteRef/>
      </w:r>
      <w:r>
        <w:t xml:space="preserve"> </w:t>
      </w:r>
      <w:r>
        <w:tab/>
        <w:t>NEL, s. 7A(3);</w:t>
      </w:r>
      <w:r w:rsidRPr="00002EB2">
        <w:t xml:space="preserve"> </w:t>
      </w:r>
      <w:r>
        <w:t>NGL s. 24(2)(b).</w:t>
      </w:r>
    </w:p>
  </w:footnote>
  <w:footnote w:id="114">
    <w:p w:rsidR="003F1AAB" w:rsidRDefault="003F1AAB" w:rsidP="008A672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 33.</w:t>
      </w:r>
    </w:p>
  </w:footnote>
  <w:footnote w:id="115">
    <w:p w:rsidR="003F1AAB" w:rsidRDefault="003F1AAB" w:rsidP="008A6729">
      <w:pPr>
        <w:pStyle w:val="FootnoteText"/>
      </w:pPr>
      <w:r>
        <w:rPr>
          <w:rStyle w:val="FootnoteReference"/>
        </w:rPr>
        <w:footnoteRef/>
      </w:r>
      <w:r>
        <w:t xml:space="preserve"> </w:t>
      </w:r>
      <w:r>
        <w:tab/>
        <w:t>See AER,</w:t>
      </w:r>
      <w:r w:rsidRPr="00831925">
        <w:t xml:space="preserve"> </w:t>
      </w:r>
      <w:r w:rsidRPr="00831925">
        <w:rPr>
          <w:rStyle w:val="AERtextitalic"/>
        </w:rPr>
        <w:t xml:space="preserve">Better regulation: </w:t>
      </w:r>
      <w:r>
        <w:rPr>
          <w:rStyle w:val="AERtextitalic"/>
        </w:rPr>
        <w:t>Rate of return guideline</w:t>
      </w:r>
      <w:r w:rsidRPr="00831925">
        <w:rPr>
          <w:rStyle w:val="AERtextitalic"/>
        </w:rPr>
        <w:t xml:space="preserve"> </w:t>
      </w:r>
      <w:r>
        <w:rPr>
          <w:rStyle w:val="AERtextitalic"/>
        </w:rPr>
        <w:t>e</w:t>
      </w:r>
      <w:r w:rsidRPr="00831925">
        <w:rPr>
          <w:rStyle w:val="AERtextitalic"/>
        </w:rPr>
        <w:t>xplanatory stat</w:t>
      </w:r>
      <w:r>
        <w:rPr>
          <w:rStyle w:val="AERtextitalic"/>
        </w:rPr>
        <w:t xml:space="preserve">ement, </w:t>
      </w:r>
      <w:r>
        <w:t>December 2013, ch.3.3</w:t>
      </w:r>
    </w:p>
  </w:footnote>
  <w:footnote w:id="116">
    <w:p w:rsidR="003F1AAB" w:rsidRDefault="003F1AAB" w:rsidP="008A6729">
      <w:pPr>
        <w:pStyle w:val="FootnoteText"/>
      </w:pPr>
      <w:r>
        <w:rPr>
          <w:rStyle w:val="FootnoteReference"/>
        </w:rPr>
        <w:footnoteRef/>
      </w:r>
      <w:r>
        <w:t xml:space="preserve"> </w:t>
      </w:r>
      <w:r>
        <w:tab/>
        <w:t xml:space="preserve">AER, </w:t>
      </w:r>
      <w:r w:rsidRPr="00FB00AB">
        <w:rPr>
          <w:rStyle w:val="AERtextitalic"/>
        </w:rPr>
        <w:t xml:space="preserve">Better Regulation, </w:t>
      </w:r>
      <w:r>
        <w:rPr>
          <w:rStyle w:val="AERtextitalic"/>
        </w:rPr>
        <w:t>Rate of return guideline</w:t>
      </w:r>
      <w:r w:rsidRPr="00831925">
        <w:rPr>
          <w:rStyle w:val="AERtextitalic"/>
        </w:rPr>
        <w:t xml:space="preserve"> </w:t>
      </w:r>
      <w:r>
        <w:rPr>
          <w:rStyle w:val="AERtextitalic"/>
        </w:rPr>
        <w:t>e</w:t>
      </w:r>
      <w:r w:rsidRPr="00831925">
        <w:rPr>
          <w:rStyle w:val="AERtextitalic"/>
        </w:rPr>
        <w:t>xplanatory stat</w:t>
      </w:r>
      <w:r>
        <w:rPr>
          <w:rStyle w:val="AERtextitalic"/>
        </w:rPr>
        <w:t>ement</w:t>
      </w:r>
      <w:r>
        <w:t>, December 2013, ch.8.34 and appendix F.</w:t>
      </w:r>
    </w:p>
  </w:footnote>
  <w:footnote w:id="117">
    <w:p w:rsidR="003F1AAB" w:rsidRDefault="003F1AAB" w:rsidP="008A672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ch.4.3.4.</w:t>
      </w:r>
    </w:p>
  </w:footnote>
  <w:footnote w:id="118">
    <w:p w:rsidR="003F1AAB" w:rsidRDefault="003F1AAB" w:rsidP="008A6729">
      <w:pPr>
        <w:pStyle w:val="FootnoteText"/>
      </w:pPr>
      <w:r>
        <w:rPr>
          <w:rStyle w:val="FootnoteReference"/>
        </w:rPr>
        <w:footnoteRef/>
      </w:r>
      <w:r>
        <w:t xml:space="preserve"> </w:t>
      </w:r>
      <w:r>
        <w:tab/>
        <w:t xml:space="preserve">NER, cl. 6.11.1(b); NER, cl. 6A.13.1(a1). NGR, cl. 59(1), 62(1) states we are to consider submissions before making our regulatory decisions NGR, cl, 64(2) states that our proposal for an access arrangement or revisions is to be formulated with regard to the service providers proposal (among other things). </w:t>
      </w:r>
    </w:p>
  </w:footnote>
  <w:footnote w:id="119">
    <w:p w:rsidR="003F1AAB" w:rsidRDefault="003F1AAB" w:rsidP="008A6729">
      <w:pPr>
        <w:pStyle w:val="FootnoteText"/>
      </w:pPr>
      <w:r>
        <w:rPr>
          <w:rStyle w:val="FootnoteReference"/>
        </w:rPr>
        <w:footnoteRef/>
      </w:r>
      <w:r>
        <w:t xml:space="preserve"> </w:t>
      </w:r>
      <w:r>
        <w:tab/>
        <w:t xml:space="preserve">NGR, r. 87(5)(a) and NER clause 6.5.2(e).  </w:t>
      </w:r>
    </w:p>
  </w:footnote>
  <w:footnote w:id="120">
    <w:p w:rsidR="003F1AAB" w:rsidRDefault="003F1AAB" w:rsidP="008A6729">
      <w:pPr>
        <w:pStyle w:val="FootnoteText"/>
      </w:pPr>
      <w:r>
        <w:rPr>
          <w:rStyle w:val="FootnoteReference"/>
        </w:rPr>
        <w:footnoteRef/>
      </w:r>
      <w:r>
        <w:t xml:space="preserve"> </w:t>
      </w:r>
      <w:r>
        <w:tab/>
      </w:r>
      <w:r w:rsidRPr="00BB36FA">
        <w:t xml:space="preserve">AEMC, </w:t>
      </w:r>
      <w:r w:rsidRPr="00151C8A">
        <w:rPr>
          <w:rStyle w:val="AERtextitalic"/>
        </w:rPr>
        <w:t>Rule determination: National electricity amendment (Economic regulation of network service providers) Rule 2012: National gas amendment (Price and revenue regulation of gas services) Rule 2012</w:t>
      </w:r>
      <w:r w:rsidRPr="00BB36FA">
        <w:t>, 29 November 2012, p. 67</w:t>
      </w:r>
      <w:r>
        <w:t xml:space="preserve"> (AEMC, </w:t>
      </w:r>
      <w:r w:rsidRPr="00CB6337">
        <w:rPr>
          <w:rStyle w:val="AERtextitalic"/>
        </w:rPr>
        <w:t>Final rule change determination</w:t>
      </w:r>
      <w:r>
        <w:t>, November 2012)</w:t>
      </w:r>
      <w:r w:rsidRPr="00BB36FA">
        <w:t>.</w:t>
      </w:r>
    </w:p>
  </w:footnote>
  <w:footnote w:id="121">
    <w:p w:rsidR="003F1AAB" w:rsidRDefault="003F1AAB">
      <w:pPr>
        <w:pStyle w:val="FootnoteText"/>
      </w:pPr>
      <w:r>
        <w:rPr>
          <w:rStyle w:val="FootnoteReference"/>
        </w:rPr>
        <w:footnoteRef/>
      </w:r>
      <w:r>
        <w:t xml:space="preserve"> </w:t>
      </w:r>
      <w:r>
        <w:tab/>
        <w:t>AusNet Services</w:t>
      </w:r>
      <w:r w:rsidRPr="005C6992">
        <w:rPr>
          <w:rStyle w:val="AERtextitalic"/>
        </w:rPr>
        <w:t>, AusNet Transmission Group Pty Ltd transmission revenue review 2017–2022</w:t>
      </w:r>
      <w:r>
        <w:t>, 30 October 2015.</w:t>
      </w:r>
    </w:p>
  </w:footnote>
  <w:footnote w:id="122">
    <w:p w:rsidR="003F1AAB" w:rsidRDefault="003F1AAB" w:rsidP="00223D31">
      <w:pPr>
        <w:pStyle w:val="FootnoteText"/>
      </w:pPr>
      <w:r>
        <w:rPr>
          <w:rStyle w:val="FootnoteReference"/>
        </w:rPr>
        <w:footnoteRef/>
      </w:r>
      <w:r>
        <w:t xml:space="preserve"> </w:t>
      </w:r>
      <w:r>
        <w:tab/>
      </w:r>
      <w:r w:rsidRPr="007520DA">
        <w:t xml:space="preserve">CitiPower, </w:t>
      </w:r>
      <w:r w:rsidRPr="007520DA">
        <w:rPr>
          <w:rStyle w:val="Emphasis"/>
        </w:rPr>
        <w:t>Revised regulatory proposal 2016–2020</w:t>
      </w:r>
      <w:r>
        <w:t>, January 2016</w:t>
      </w:r>
      <w:r w:rsidRPr="007520DA">
        <w:t xml:space="preserve">; Powercor, </w:t>
      </w:r>
      <w:r w:rsidRPr="007520DA">
        <w:rPr>
          <w:rStyle w:val="Emphasis"/>
        </w:rPr>
        <w:t>Revised regulatory proposal 2016–2020,</w:t>
      </w:r>
      <w:r>
        <w:t xml:space="preserve"> January 2016; </w:t>
      </w:r>
      <w:r w:rsidRPr="007520DA">
        <w:t>ActewAGL</w:t>
      </w:r>
      <w:r>
        <w:t>;</w:t>
      </w:r>
      <w:r w:rsidRPr="007520DA">
        <w:t xml:space="preserve">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t>, January 2016</w:t>
      </w:r>
      <w:r w:rsidRPr="007520DA">
        <w:t xml:space="preserve">; United Energy, </w:t>
      </w:r>
      <w:r w:rsidRPr="007520DA">
        <w:rPr>
          <w:rStyle w:val="Emphasis"/>
        </w:rPr>
        <w:t>Response to AER preliminary determination–Re: rate of return and gamma</w:t>
      </w:r>
      <w:r>
        <w:t>, 6 January 2016</w:t>
      </w:r>
      <w:r w:rsidRPr="007520DA">
        <w:t xml:space="preserve">; AGN, </w:t>
      </w:r>
      <w:r w:rsidRPr="007520DA">
        <w:rPr>
          <w:rStyle w:val="Emphasis"/>
        </w:rPr>
        <w:t>2016–17 to 2020/21 Access Arrangement information response to draft decision: Attachment 10.26 Response to draft decision: rate of return</w:t>
      </w:r>
      <w:r w:rsidRPr="007520DA">
        <w:t xml:space="preserve">, January 2016; JEN (Vic), </w:t>
      </w:r>
      <w:r w:rsidRPr="007520DA">
        <w:rPr>
          <w:rStyle w:val="Emphasis"/>
        </w:rPr>
        <w:t>2016–20 Electricity distribution price review regulatory proposal revocation and substitution submission: Attachment 6–1 Rate of return, gamma, forecast inflation, and debt and equity raising costs,</w:t>
      </w:r>
      <w:r>
        <w:t xml:space="preserve"> 6 January 2016</w:t>
      </w:r>
      <w:r w:rsidRPr="007520DA">
        <w:t xml:space="preserve">; AusNet Services, </w:t>
      </w:r>
      <w:r w:rsidRPr="007520DA">
        <w:rPr>
          <w:rStyle w:val="Emphasis"/>
        </w:rPr>
        <w:t>Electricity distribution price review 2016–20 Revised regulatory proposal: Chapter 7 Rate of return &amp; gamma</w:t>
      </w:r>
      <w:r>
        <w:t>, 6 January 2016</w:t>
      </w:r>
      <w:r w:rsidRPr="007520DA">
        <w:t xml:space="preserve">; APTNT, </w:t>
      </w:r>
      <w:r w:rsidRPr="007520DA">
        <w:rPr>
          <w:rStyle w:val="Emphasis"/>
        </w:rPr>
        <w:t>Amadeus Gas Pipeline Access arrangement revised proposal: response to Draft Decision,</w:t>
      </w:r>
      <w:r w:rsidRPr="007520DA">
        <w:t xml:space="preserve"> January 2016</w:t>
      </w:r>
      <w:r>
        <w:t>.</w:t>
      </w:r>
    </w:p>
  </w:footnote>
  <w:footnote w:id="123">
    <w:p w:rsidR="003F1AAB" w:rsidRDefault="003F1AAB" w:rsidP="008A6729">
      <w:pPr>
        <w:pStyle w:val="FootnoteText"/>
      </w:pPr>
      <w:r>
        <w:rPr>
          <w:rStyle w:val="FootnoteReference"/>
        </w:rPr>
        <w:footnoteRef/>
      </w:r>
      <w:r>
        <w:t xml:space="preserve">     The service providers are: ActewAGL Gas Distribution, APTNT, Australian Gas Networks, AusNet Services distribution, AusNet Services Transmission, CitiPower, Jemena Electricity Networks, Powercor, Powerlink.</w:t>
      </w:r>
    </w:p>
  </w:footnote>
  <w:footnote w:id="124">
    <w:p w:rsidR="003F1AAB" w:rsidRDefault="003F1AAB" w:rsidP="008A6729">
      <w:pPr>
        <w:pStyle w:val="FootnoteText"/>
      </w:pPr>
      <w:r>
        <w:rPr>
          <w:rStyle w:val="FootnoteReference"/>
        </w:rPr>
        <w:footnoteRef/>
      </w:r>
      <w:r>
        <w:t xml:space="preserve"> </w:t>
      </w:r>
      <w:r>
        <w:tab/>
        <w:t xml:space="preserve">For material on an April 2015 decision (TransGrid), see </w:t>
      </w:r>
      <w:hyperlink r:id="rId6" w:history="1">
        <w:r w:rsidRPr="00B97459">
          <w:rPr>
            <w:rStyle w:val="Hyperlink"/>
            <w:sz w:val="16"/>
          </w:rPr>
          <w:t>https://www.aer.gov.au/networks-pipelines/determinations-access-arrangements/transgrid-determination-2014-18</w:t>
        </w:r>
      </w:hyperlink>
      <w:r>
        <w:t xml:space="preserve">. </w:t>
      </w:r>
      <w:r w:rsidRPr="00104D5E">
        <w:t xml:space="preserve">For material on </w:t>
      </w:r>
      <w:r>
        <w:t>an October</w:t>
      </w:r>
      <w:r w:rsidRPr="00104D5E">
        <w:t xml:space="preserve"> 2015 decision</w:t>
      </w:r>
      <w:r>
        <w:t xml:space="preserve"> (Energex), see </w:t>
      </w:r>
      <w:hyperlink r:id="rId7" w:history="1">
        <w:r w:rsidRPr="00B97459">
          <w:rPr>
            <w:rStyle w:val="Hyperlink"/>
            <w:sz w:val="16"/>
          </w:rPr>
          <w:t>https://www.aer.gov.au/networks-pipelines/determinations-access-arrangements/energex-determination-2015-2020/final-decision</w:t>
        </w:r>
      </w:hyperlink>
      <w:r>
        <w:t>. For similar material, see our decisions in 2015 on ActewAGL distribution, Ausgrid, Directlink, Endeavour Energy, Ergon Energy, Essential Energy, JGN, SAPN and TasNetworks.</w:t>
      </w:r>
    </w:p>
  </w:footnote>
  <w:footnote w:id="125">
    <w:p w:rsidR="003F1AAB" w:rsidRDefault="003F1AAB" w:rsidP="008A6729">
      <w:pPr>
        <w:pStyle w:val="FootnoteText"/>
      </w:pPr>
      <w:r>
        <w:rPr>
          <w:rStyle w:val="FootnoteReference"/>
        </w:rPr>
        <w:footnoteRef/>
      </w:r>
      <w:r>
        <w:t xml:space="preserve"> </w:t>
      </w:r>
      <w:r>
        <w:tab/>
        <w:t xml:space="preserve">That is, AER, </w:t>
      </w:r>
      <w:r>
        <w:rPr>
          <w:rStyle w:val="AERtextitalic"/>
        </w:rPr>
        <w:t>Final decision: SA Power Networks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October 2015. Also see our decisions for Ergon Energy and Energex.</w:t>
      </w:r>
    </w:p>
  </w:footnote>
  <w:footnote w:id="126">
    <w:p w:rsidR="003F1AAB" w:rsidRDefault="003F1AAB" w:rsidP="008A6729">
      <w:pPr>
        <w:pStyle w:val="FootnoteText"/>
      </w:pPr>
      <w:r>
        <w:rPr>
          <w:rStyle w:val="FootnoteReference"/>
        </w:rPr>
        <w:footnoteRef/>
      </w:r>
      <w:r>
        <w:t xml:space="preserve"> </w:t>
      </w:r>
      <w:r>
        <w:tab/>
        <w:t xml:space="preserve">That is, AER, </w:t>
      </w:r>
      <w:r>
        <w:rPr>
          <w:rStyle w:val="AERtextitalic"/>
        </w:rPr>
        <w:t>Final decision: SA Power Networks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October 2015. Also see our decisions for Ergon Energy and Energex.</w:t>
      </w:r>
    </w:p>
  </w:footnote>
  <w:footnote w:id="127">
    <w:p w:rsidR="003F1AAB" w:rsidRDefault="003F1AAB" w:rsidP="008A6729">
      <w:pPr>
        <w:pStyle w:val="FootnoteText"/>
      </w:pPr>
      <w:r>
        <w:rPr>
          <w:rStyle w:val="FootnoteReference"/>
        </w:rPr>
        <w:footnoteRef/>
      </w:r>
      <w:r>
        <w:t xml:space="preserve"> </w:t>
      </w:r>
      <w:r>
        <w:tab/>
        <w:t>For example, revised proposals from Ausgrid, Endeavour Energy, Essential Energy, TasNetworks (adopted the Guideline), ActewAGL, TransGrid, Directlink and Jemena Gas Networks (NSW).</w:t>
      </w:r>
    </w:p>
  </w:footnote>
  <w:footnote w:id="128">
    <w:p w:rsidR="003F1AAB" w:rsidRDefault="003F1AAB" w:rsidP="008A6729">
      <w:pPr>
        <w:pStyle w:val="FootnoteText"/>
      </w:pPr>
      <w:r>
        <w:rPr>
          <w:rStyle w:val="FootnoteReference"/>
        </w:rPr>
        <w:footnoteRef/>
      </w:r>
      <w:r>
        <w:t xml:space="preserve"> </w:t>
      </w:r>
      <w:r>
        <w:tab/>
        <w:t xml:space="preserve">For material on an April 2015 decision (TransGrid), see </w:t>
      </w:r>
      <w:hyperlink r:id="rId8" w:history="1">
        <w:r w:rsidRPr="00B97459">
          <w:rPr>
            <w:rStyle w:val="Hyperlink"/>
            <w:sz w:val="16"/>
          </w:rPr>
          <w:t>https://www.aer.gov.au/networks-pipelines/determinations-access-arrangements/transgrid-determination-2014-18</w:t>
        </w:r>
      </w:hyperlink>
      <w:r>
        <w:t xml:space="preserve">. </w:t>
      </w:r>
      <w:r w:rsidRPr="00104D5E">
        <w:t xml:space="preserve">For material on </w:t>
      </w:r>
      <w:r>
        <w:t>an October</w:t>
      </w:r>
      <w:r w:rsidRPr="00104D5E">
        <w:t xml:space="preserve"> 2015 decision</w:t>
      </w:r>
      <w:r>
        <w:t xml:space="preserve"> (Energex), see </w:t>
      </w:r>
      <w:hyperlink r:id="rId9" w:history="1">
        <w:r w:rsidRPr="00B97459">
          <w:rPr>
            <w:rStyle w:val="Hyperlink"/>
            <w:sz w:val="16"/>
          </w:rPr>
          <w:t>https://www.aer.gov.au/networks-pipelines/determinations-access-arrangements/energex-determination-2015-2020/final-decision</w:t>
        </w:r>
      </w:hyperlink>
      <w:r>
        <w:t>. For similar material, see our decisions in 2015 on ActewAGL distribution, Ausgrid, Directlink, Endeavour Energy, Ergon Energy, Essential Energy, JGN, SAPN and TasNetworks.</w:t>
      </w:r>
    </w:p>
  </w:footnote>
  <w:footnote w:id="129">
    <w:p w:rsidR="003F1AAB" w:rsidRDefault="003F1AAB" w:rsidP="008A6729">
      <w:pPr>
        <w:pStyle w:val="FootnoteText"/>
      </w:pPr>
      <w:r>
        <w:rPr>
          <w:rStyle w:val="FootnoteReference"/>
        </w:rPr>
        <w:footnoteRef/>
      </w:r>
      <w:r>
        <w:t xml:space="preserve"> </w:t>
      </w:r>
      <w:r>
        <w:tab/>
        <w:t xml:space="preserve">McKenzie, M., Partington, G., </w:t>
      </w:r>
      <w:r w:rsidRPr="007F1F50">
        <w:rPr>
          <w:rStyle w:val="AERtextitalic"/>
        </w:rPr>
        <w:t>Report to the AER Part A: Return on Equity</w:t>
      </w:r>
      <w:r>
        <w:t xml:space="preserve">, October 2014. </w:t>
      </w:r>
    </w:p>
  </w:footnote>
  <w:footnote w:id="130">
    <w:p w:rsidR="003F1AAB" w:rsidRDefault="003F1AAB" w:rsidP="008A6729">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xml:space="preserve">, April 2016; Partington and Satchell, </w:t>
      </w:r>
      <w:r w:rsidRPr="00023030">
        <w:rPr>
          <w:rStyle w:val="AERtextitalic"/>
        </w:rPr>
        <w:t>Report to the AER:</w:t>
      </w:r>
      <w:r>
        <w:rPr>
          <w:rStyle w:val="AERtextitalic"/>
        </w:rPr>
        <w:t xml:space="preserve"> Analysis of criticisms of 2015 determination, </w:t>
      </w:r>
      <w:r>
        <w:t>October</w:t>
      </w:r>
      <w:r w:rsidRPr="00023030">
        <w:t xml:space="preserve"> 2015</w:t>
      </w:r>
      <w:r>
        <w:t xml:space="preserve">; Partington, G., Satchell, S., </w:t>
      </w:r>
      <w:r w:rsidRPr="0048510C">
        <w:rPr>
          <w:rStyle w:val="AERtextitalic"/>
        </w:rPr>
        <w:t>Report to the AER: Return on equity and comment on submissions in relation to JGN</w:t>
      </w:r>
      <w:r>
        <w:t>, May 2015.</w:t>
      </w:r>
    </w:p>
  </w:footnote>
  <w:footnote w:id="131">
    <w:p w:rsidR="003F1AAB" w:rsidRDefault="003F1AAB" w:rsidP="008A6729">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April 2016; Partington, G., Satchell, S.</w:t>
      </w:r>
      <w:r w:rsidRPr="002E1270">
        <w:t xml:space="preserve">, </w:t>
      </w:r>
      <w:r w:rsidRPr="002E1270">
        <w:rPr>
          <w:rStyle w:val="AERtextitalic"/>
        </w:rPr>
        <w:t xml:space="preserve">Report to the AER: Analysis of criticisms of 2015 determination, </w:t>
      </w:r>
      <w:r w:rsidRPr="002E1270">
        <w:t>October 2015</w:t>
      </w:r>
      <w:r>
        <w:t>; Partington, G., Satchell, S.</w:t>
      </w:r>
      <w:r w:rsidRPr="002E1270">
        <w:t xml:space="preserve">, </w:t>
      </w:r>
      <w:r w:rsidRPr="002E1270">
        <w:rPr>
          <w:rStyle w:val="AERtextitalic"/>
        </w:rPr>
        <w:t>Report to the AER: Return on equity and comment on submissions in relation to JGN</w:t>
      </w:r>
      <w:r w:rsidRPr="002E1270">
        <w:t>, May 2015</w:t>
      </w:r>
      <w:r>
        <w:t xml:space="preserve">; </w:t>
      </w:r>
      <w:r w:rsidRPr="002F6091">
        <w:t>Partington</w:t>
      </w:r>
      <w:r>
        <w:t>, G.</w:t>
      </w:r>
      <w:r w:rsidRPr="002F6091">
        <w:t xml:space="preserve">, </w:t>
      </w:r>
      <w:r w:rsidRPr="002F6091">
        <w:rPr>
          <w:rStyle w:val="AERtextitalic"/>
        </w:rPr>
        <w:t>Report to the AER: Return on equity (Updated)</w:t>
      </w:r>
      <w:r w:rsidRPr="00151C8A">
        <w:rPr>
          <w:rStyle w:val="AERtextitalic"/>
        </w:rPr>
        <w:t>, April 2015</w:t>
      </w:r>
      <w:r>
        <w:t xml:space="preserve">; McKenzie, M., Partington, G., </w:t>
      </w:r>
      <w:r w:rsidRPr="007F1F50">
        <w:rPr>
          <w:rStyle w:val="AERtextitalic"/>
        </w:rPr>
        <w:t>Report to the AER Part A: Return on Equity</w:t>
      </w:r>
      <w:r>
        <w:t>, October 2014</w:t>
      </w:r>
      <w:r w:rsidRPr="002E1270">
        <w:t>.</w:t>
      </w:r>
    </w:p>
  </w:footnote>
  <w:footnote w:id="132">
    <w:p w:rsidR="003F1AAB" w:rsidRDefault="003F1AAB" w:rsidP="008A6729">
      <w:pPr>
        <w:pStyle w:val="FootnoteText"/>
      </w:pPr>
      <w:r>
        <w:rPr>
          <w:rStyle w:val="FootnoteReference"/>
        </w:rPr>
        <w:footnoteRef/>
      </w:r>
      <w:r>
        <w:t xml:space="preserve"> </w:t>
      </w:r>
      <w:r>
        <w:tab/>
        <w:t>Handley, J.</w:t>
      </w:r>
      <w:r w:rsidRPr="002F6091">
        <w:t xml:space="preserve">, </w:t>
      </w:r>
      <w:r>
        <w:t>Further a</w:t>
      </w:r>
      <w:r w:rsidRPr="002F6091">
        <w:rPr>
          <w:rStyle w:val="AERtextitalic"/>
        </w:rPr>
        <w:t xml:space="preserve">dvice on return on equity, </w:t>
      </w:r>
      <w:r>
        <w:rPr>
          <w:rStyle w:val="AERtextitalic"/>
        </w:rPr>
        <w:t xml:space="preserve">April </w:t>
      </w:r>
      <w:r w:rsidRPr="002F6091">
        <w:t>201</w:t>
      </w:r>
      <w:r>
        <w:t xml:space="preserve">5; Handley, J., </w:t>
      </w:r>
      <w:r w:rsidRPr="00450C4F">
        <w:rPr>
          <w:rStyle w:val="AERtextitalic"/>
        </w:rPr>
        <w:t>Advice on return on equity, Report prepared for the AER</w:t>
      </w:r>
      <w:r>
        <w:t>, 16 October 2014; Handley, J.</w:t>
      </w:r>
      <w:r w:rsidRPr="00582678">
        <w:t xml:space="preserve">, </w:t>
      </w:r>
      <w:r w:rsidRPr="00582678">
        <w:rPr>
          <w:rStyle w:val="AERtextitalic"/>
        </w:rPr>
        <w:t>Report prepared for the Australian Energy Regulator: Advice on the value of imputation credits</w:t>
      </w:r>
      <w:r w:rsidRPr="00582678">
        <w:t>, 29 September 2014</w:t>
      </w:r>
      <w:r>
        <w:t>.</w:t>
      </w:r>
    </w:p>
  </w:footnote>
  <w:footnote w:id="133">
    <w:p w:rsidR="003F1AAB" w:rsidRDefault="003F1AAB" w:rsidP="008A6729">
      <w:pPr>
        <w:pStyle w:val="FootnoteText"/>
      </w:pPr>
      <w:r>
        <w:rPr>
          <w:rStyle w:val="FootnoteReference"/>
        </w:rPr>
        <w:footnoteRef/>
      </w:r>
      <w:r>
        <w:t xml:space="preserve"> </w:t>
      </w:r>
      <w:r>
        <w:tab/>
        <w:t xml:space="preserve">Lally, M., </w:t>
      </w:r>
      <w:r>
        <w:rPr>
          <w:rStyle w:val="AERtextitalic"/>
        </w:rPr>
        <w:t>Gamma and the ACT decision</w:t>
      </w:r>
      <w:r>
        <w:t xml:space="preserve">, May 2016; </w:t>
      </w:r>
      <w:r>
        <w:tab/>
        <w:t xml:space="preserve">Lally, M., </w:t>
      </w:r>
      <w:r w:rsidRPr="006D500C">
        <w:rPr>
          <w:rStyle w:val="AERtextitalic"/>
        </w:rPr>
        <w:t>Review of submissions on implementation issues for the cost of debt</w:t>
      </w:r>
      <w:r>
        <w:t xml:space="preserve">, October 2015; Lally, M., </w:t>
      </w:r>
      <w:r w:rsidRPr="006D500C">
        <w:rPr>
          <w:rStyle w:val="AERtextitalic"/>
        </w:rPr>
        <w:t>Review of submissions on transition issues for the cost of debt</w:t>
      </w:r>
      <w:r>
        <w:t>, October 2015;</w:t>
      </w:r>
      <w:r w:rsidRPr="00F50B9A">
        <w:t xml:space="preserve"> </w:t>
      </w:r>
      <w:r>
        <w:t xml:space="preserve">Lally, M., </w:t>
      </w:r>
      <w:r w:rsidRPr="00A96A09">
        <w:rPr>
          <w:rStyle w:val="AERtextitalic"/>
        </w:rPr>
        <w:t>Review of submissions on the cost of debt</w:t>
      </w:r>
      <w:r>
        <w:t xml:space="preserve">, April 2015; Lally, M., </w:t>
      </w:r>
      <w:r w:rsidRPr="001D4D95">
        <w:rPr>
          <w:rStyle w:val="AERtextitalic"/>
        </w:rPr>
        <w:t>Transitional arrangements for the cost of debt</w:t>
      </w:r>
      <w:r>
        <w:t xml:space="preserve">, November 2014; Lally, M., </w:t>
      </w:r>
      <w:r w:rsidRPr="005A40AF">
        <w:rPr>
          <w:rStyle w:val="AERtextitalic"/>
        </w:rPr>
        <w:t>Implementation issues with the cost of debt</w:t>
      </w:r>
      <w:r>
        <w:t>, November 2014.</w:t>
      </w:r>
    </w:p>
  </w:footnote>
  <w:footnote w:id="134">
    <w:p w:rsidR="003F1AAB" w:rsidRDefault="003F1AAB" w:rsidP="008A6729">
      <w:pPr>
        <w:pStyle w:val="FootnoteText"/>
      </w:pPr>
      <w:r>
        <w:rPr>
          <w:rStyle w:val="FootnoteReference"/>
        </w:rPr>
        <w:footnoteRef/>
      </w:r>
      <w:r>
        <w:t xml:space="preserve"> </w:t>
      </w:r>
      <w:r>
        <w:tab/>
        <w:t xml:space="preserve">Chairmont, </w:t>
      </w:r>
      <w:r w:rsidRPr="00A96A09">
        <w:rPr>
          <w:rStyle w:val="AERtextitalic"/>
        </w:rPr>
        <w:t>Cost of debt: Transitional analysis</w:t>
      </w:r>
      <w:r>
        <w:t xml:space="preserve">, April 2015; Chairmont, </w:t>
      </w:r>
      <w:r w:rsidRPr="006D500C">
        <w:rPr>
          <w:rStyle w:val="AERtextitalic"/>
        </w:rPr>
        <w:t>Financial practices under regulation: past and transitional</w:t>
      </w:r>
      <w:r>
        <w:t>, October 2015.</w:t>
      </w:r>
    </w:p>
  </w:footnote>
  <w:footnote w:id="135">
    <w:p w:rsidR="003F1AAB" w:rsidRDefault="003F1AAB" w:rsidP="008A6729">
      <w:pPr>
        <w:pStyle w:val="FootnoteText"/>
      </w:pPr>
      <w:r>
        <w:rPr>
          <w:rStyle w:val="FootnoteReference"/>
        </w:rPr>
        <w:footnoteRef/>
      </w:r>
      <w:r>
        <w:t xml:space="preserve"> </w:t>
      </w:r>
      <w:r>
        <w:tab/>
        <w:t xml:space="preserve">Henry, O.,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136">
    <w:p w:rsidR="003F1AAB" w:rsidRDefault="003F1AAB" w:rsidP="008A6729">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137">
    <w:p w:rsidR="003F1AAB" w:rsidRDefault="003F1AAB" w:rsidP="00707478">
      <w:pPr>
        <w:pStyle w:val="FootnoteText"/>
      </w:pPr>
      <w:r>
        <w:rPr>
          <w:rStyle w:val="FootnoteReference"/>
        </w:rPr>
        <w:footnoteRef/>
      </w:r>
      <w:r>
        <w:t xml:space="preserve"> </w:t>
      </w:r>
      <w:r>
        <w:tab/>
        <w:t>Recent</w:t>
      </w:r>
      <w:r w:rsidRPr="0078505C">
        <w:t xml:space="preserve"> regulatory </w:t>
      </w:r>
      <w:r>
        <w:t>determination</w:t>
      </w:r>
      <w:r w:rsidRPr="0078505C">
        <w:t xml:space="preserve">s are for the following </w:t>
      </w:r>
      <w:r>
        <w:t xml:space="preserve">service providers: </w:t>
      </w:r>
      <w:r w:rsidRPr="0078505C">
        <w:t>ActewAGL, Ausgrid, Endeavour Energy, Energex</w:t>
      </w:r>
      <w:r>
        <w:t xml:space="preserve">, </w:t>
      </w:r>
      <w:r w:rsidRPr="0078505C">
        <w:t>Ergon Energy</w:t>
      </w:r>
      <w:r>
        <w:t xml:space="preserve">, </w:t>
      </w:r>
      <w:r w:rsidRPr="0078505C">
        <w:t>Essential Energy</w:t>
      </w:r>
      <w:r>
        <w:t>,</w:t>
      </w:r>
      <w:r w:rsidRPr="0078505C">
        <w:t xml:space="preserve"> Directlink, </w:t>
      </w:r>
      <w:r>
        <w:t>Jemena Gas Networks, SA Power Networks, TasNetworks, TransGrid, Citipower, Powercor, United Energy, AusNet Services (distribution), ActewAGL, AGN &amp; APTNT.</w:t>
      </w:r>
    </w:p>
  </w:footnote>
  <w:footnote w:id="138">
    <w:p w:rsidR="003F1AAB" w:rsidRDefault="003F1AAB" w:rsidP="00707478">
      <w:pPr>
        <w:pStyle w:val="FootnoteText"/>
      </w:pPr>
      <w:r>
        <w:rPr>
          <w:rStyle w:val="FootnoteReference"/>
        </w:rPr>
        <w:footnoteRef/>
      </w:r>
      <w:r>
        <w:t xml:space="preserve"> </w:t>
      </w:r>
      <w:r>
        <w:tab/>
        <w:t xml:space="preserve">Appendix F of our October and November 2015 decisions list submissions relating to AusNet Services' regulatory proposal and our recent decisions. We have also received and considered a number of new submissions since the October and November 2015 decisions. For example, </w:t>
      </w:r>
      <w:r w:rsidRPr="0083726D">
        <w:t xml:space="preserve">CCP ( panel 8), </w:t>
      </w:r>
      <w:r w:rsidRPr="0083726D">
        <w:rPr>
          <w:rStyle w:val="AERtextitalic"/>
        </w:rPr>
        <w:t>Advice to AER from Consumer Challenge Panel sub-panel 8 regarding the AER Daft Decision and Australian Gas Networks' (SA) revised access arrangement 2016–2021 proposal</w:t>
      </w:r>
      <w:r w:rsidRPr="0083726D">
        <w:t>, 32 March 2016, p. 2.</w:t>
      </w:r>
    </w:p>
  </w:footnote>
  <w:footnote w:id="139">
    <w:p w:rsidR="003F1AAB" w:rsidRDefault="003F1AAB">
      <w:pPr>
        <w:pStyle w:val="FootnoteText"/>
      </w:pPr>
      <w:r>
        <w:rPr>
          <w:rStyle w:val="FootnoteReference"/>
        </w:rPr>
        <w:footnoteRef/>
      </w:r>
      <w:r>
        <w:t xml:space="preserve"> </w:t>
      </w:r>
      <w:r>
        <w:tab/>
        <w:t xml:space="preserve">For example, see page 143 of our October 2015 final decision for SA Power Networks;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 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 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 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xml:space="preserve">, p. 38; </w:t>
      </w:r>
      <w:r w:rsidRPr="0083726D">
        <w:t xml:space="preserve">Origin Energy, </w:t>
      </w:r>
      <w:r w:rsidRPr="0083726D">
        <w:rPr>
          <w:rStyle w:val="AERtextitalic"/>
        </w:rPr>
        <w:t>Submission on ActewAGL’s revised access arrangement for 2016–21</w:t>
      </w:r>
      <w:r w:rsidRPr="0083726D">
        <w:t xml:space="preserve">, 4 February 2016, p. 3; Origin Energy, </w:t>
      </w:r>
      <w:r w:rsidRPr="0083726D">
        <w:rPr>
          <w:rStyle w:val="AERtextitalic"/>
        </w:rPr>
        <w:t>Submission on AGN’s revised access arrangement for 2016–21</w:t>
      </w:r>
      <w:r w:rsidRPr="0083726D">
        <w:t xml:space="preserve">, February 2016; Origin Energy, </w:t>
      </w:r>
      <w:r w:rsidRPr="0083726D">
        <w:rPr>
          <w:rStyle w:val="AERtextitalic"/>
        </w:rPr>
        <w:t>Submission on the AER’s preliminary decisions on the Victorian distribution network service providers for 2016–20</w:t>
      </w:r>
      <w:r w:rsidRPr="0083726D">
        <w:t xml:space="preserve">, 6 January 2016, p. 3; Origin Energy, </w:t>
      </w:r>
      <w:r w:rsidRPr="0083726D">
        <w:rPr>
          <w:rStyle w:val="AERtextitalic"/>
        </w:rPr>
        <w:t>Submission on the Victorian networks’ revised proposals (for 2016–21</w:t>
      </w:r>
      <w:r w:rsidRPr="0083726D">
        <w:t xml:space="preserve">), 4 February 2016; AGL, </w:t>
      </w:r>
      <w:r w:rsidRPr="0083726D">
        <w:rPr>
          <w:rStyle w:val="AERtextitalic"/>
        </w:rPr>
        <w:t>Submission on the AER’s draft decision on AGN’s 2016–21 access arrangement</w:t>
      </w:r>
      <w:r w:rsidRPr="0083726D">
        <w:t>, 4 February 2016, p. 2; Victorian Government, S</w:t>
      </w:r>
      <w:r w:rsidRPr="0083726D">
        <w:rPr>
          <w:rStyle w:val="AERtextitalic"/>
        </w:rPr>
        <w:t>ubmission on the Victorian electricity distribution network service providers’ revised regulatory proposals for 2016–20</w:t>
      </w:r>
      <w:r w:rsidRPr="0083726D">
        <w:t xml:space="preserve">, 12 February 2016, p. 1–2; CCP (panel 5), </w:t>
      </w:r>
      <w:r w:rsidRPr="0083726D">
        <w:rPr>
          <w:rStyle w:val="AERtextitalic"/>
        </w:rPr>
        <w:t>Transmission for the generations: Response to proposal by AusNet Services transmission group pty ltd and AER issues paper for AusNet Services transmission revenue review 2017–22</w:t>
      </w:r>
      <w:r w:rsidRPr="0083726D">
        <w:t xml:space="preserve">, February 2016, p. 41; CCP (panel 3), </w:t>
      </w:r>
      <w:r w:rsidRPr="0083726D">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rsidRPr="0083726D">
        <w:t>, 25 February 2016, p. 30; EUCV</w:t>
      </w:r>
      <w:r w:rsidRPr="0083726D">
        <w:rPr>
          <w:rStyle w:val="AERtextitalic"/>
        </w:rPr>
        <w:t>, A response to AusNet revenue reset proposal for the 2017–2022 period</w:t>
      </w:r>
      <w:r w:rsidRPr="0083726D">
        <w:t xml:space="preserve">, 9 February 2016, p. 40; CCP ( panel 8), </w:t>
      </w:r>
      <w:r w:rsidRPr="0083726D">
        <w:rPr>
          <w:rStyle w:val="AERtextitalic"/>
        </w:rPr>
        <w:t>Advice to AER from Consumer Challenge Panel sub-panel 8 regarding the AER Daft Decision and Australian Gas Networks' (SA) revised access arrangement 2016–2021 proposal</w:t>
      </w:r>
      <w:r w:rsidRPr="0083726D">
        <w:t>, 32 March 2016, p. 2.</w:t>
      </w:r>
    </w:p>
  </w:footnote>
  <w:footnote w:id="140">
    <w:p w:rsidR="003F1AAB" w:rsidRDefault="003F1AAB" w:rsidP="008A6729">
      <w:pPr>
        <w:pStyle w:val="FootnoteText"/>
      </w:pPr>
      <w:r>
        <w:rPr>
          <w:rStyle w:val="FootnoteReference"/>
        </w:rPr>
        <w:footnoteRef/>
      </w:r>
      <w:r>
        <w:t xml:space="preserve"> </w:t>
      </w:r>
      <w:r>
        <w:tab/>
        <w:t xml:space="preserve">Australian Competition Tribunal, </w:t>
      </w:r>
      <w:r w:rsidRPr="008405A1">
        <w:rPr>
          <w:rStyle w:val="AERtextitalic"/>
        </w:rPr>
        <w:t>Applications by Public Interest Advocacy Centre Ltd and Ausgrid [2016] ACompT 1</w:t>
      </w:r>
      <w:r>
        <w:t xml:space="preserve">, 26 February 2016, paras 813, 993, 983;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47, 49, 95.</w:t>
      </w:r>
    </w:p>
  </w:footnote>
  <w:footnote w:id="141">
    <w:p w:rsidR="003F1AAB" w:rsidRDefault="003F1AAB" w:rsidP="008A6729">
      <w:pPr>
        <w:pStyle w:val="FootnoteText"/>
      </w:pPr>
      <w:r>
        <w:rPr>
          <w:rStyle w:val="FootnoteReference"/>
        </w:rPr>
        <w:footnoteRef/>
      </w:r>
      <w:r>
        <w:t xml:space="preserve"> </w:t>
      </w:r>
      <w:r>
        <w:tab/>
        <w:t xml:space="preserve">Australian Competition Tribunal, </w:t>
      </w:r>
      <w:r w:rsidRPr="000756FD">
        <w:rPr>
          <w:rStyle w:val="AERtextitalic"/>
        </w:rPr>
        <w:t>Applications by Public Interest Advocacy Centre Ltd and Ausgrid [2016] ACompT 1</w:t>
      </w:r>
      <w:r>
        <w:t xml:space="preserve">, 26 February 2016, para 1,227. The Tribunal's reasons are set out in paras 870 to 940. Also see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80</w:t>
      </w:r>
      <w:r>
        <w:rPr>
          <w:rFonts w:cs="Arial"/>
        </w:rPr>
        <w:t>–</w:t>
      </w:r>
      <w:r>
        <w:t>83.</w:t>
      </w:r>
    </w:p>
  </w:footnote>
  <w:footnote w:id="142">
    <w:p w:rsidR="003F1AAB" w:rsidRDefault="003F1AAB" w:rsidP="008A6729">
      <w:pPr>
        <w:pStyle w:val="FootnoteText"/>
      </w:pPr>
      <w:r>
        <w:rPr>
          <w:rStyle w:val="FootnoteReference"/>
        </w:rPr>
        <w:footnoteRef/>
      </w:r>
      <w:r>
        <w:t xml:space="preserve"> </w:t>
      </w:r>
      <w:r>
        <w:tab/>
        <w:t>NGR, cl. 87(3); NER, cl. 6A.6.2(c) include similar provisions.</w:t>
      </w:r>
    </w:p>
  </w:footnote>
  <w:footnote w:id="143">
    <w:p w:rsidR="003F1AAB" w:rsidRDefault="003F1AAB" w:rsidP="008A6729">
      <w:pPr>
        <w:pStyle w:val="FootnoteText"/>
      </w:pPr>
      <w:r>
        <w:rPr>
          <w:rStyle w:val="FootnoteReference"/>
        </w:rPr>
        <w:footnoteRef/>
      </w:r>
      <w:r>
        <w:t xml:space="preserve"> </w:t>
      </w:r>
      <w:r>
        <w:tab/>
        <w:t>The transmission and gas rules mirror this provision in NER, cl. 6A.6.2(k)(4); NGR, cl. 87(11)(d).</w:t>
      </w:r>
    </w:p>
  </w:footnote>
  <w:footnote w:id="144">
    <w:p w:rsidR="003F1AAB" w:rsidRPr="00D5405B" w:rsidRDefault="003F1AAB" w:rsidP="002F6FA6">
      <w:pPr>
        <w:pStyle w:val="FootnoteText"/>
        <w:rPr>
          <w:rStyle w:val="AERtexthighlight"/>
        </w:rPr>
      </w:pPr>
      <w:r>
        <w:rPr>
          <w:rStyle w:val="FootnoteReference"/>
        </w:rPr>
        <w:footnoteRef/>
      </w:r>
      <w:r>
        <w:t xml:space="preserve"> </w:t>
      </w:r>
      <w:r>
        <w:tab/>
        <w:t>NER, cl. 6.</w:t>
      </w:r>
      <w:r w:rsidRPr="00DD0982">
        <w:t>5.2(d)</w:t>
      </w:r>
      <w:r>
        <w:t xml:space="preserve">; NER, cl. 6A.6.2(d); NGR, r. 87(4). </w:t>
      </w:r>
    </w:p>
  </w:footnote>
  <w:footnote w:id="145">
    <w:p w:rsidR="003F1AAB" w:rsidRDefault="003F1AAB" w:rsidP="002F6FA6">
      <w:pPr>
        <w:pStyle w:val="FootnoteText"/>
      </w:pPr>
      <w:r>
        <w:rPr>
          <w:rStyle w:val="FootnoteReference"/>
        </w:rPr>
        <w:footnoteRef/>
      </w:r>
      <w:r>
        <w:t xml:space="preserve"> </w:t>
      </w:r>
      <w:r>
        <w:tab/>
        <w:t xml:space="preserve">All the NSPs whose original and revised proposals we are currently assessing have proposed a gearing ratio consistent with the Guideline. </w:t>
      </w:r>
    </w:p>
  </w:footnote>
  <w:footnote w:id="146">
    <w:p w:rsidR="003F1AAB" w:rsidRDefault="003F1AAB" w:rsidP="002F6FA6">
      <w:pPr>
        <w:pStyle w:val="FootnoteText"/>
      </w:pPr>
      <w:r>
        <w:rPr>
          <w:rStyle w:val="FootnoteReference"/>
        </w:rPr>
        <w:footnoteRef/>
      </w:r>
      <w:r>
        <w:t xml:space="preserve"> </w:t>
      </w:r>
      <w:r>
        <w:tab/>
        <w:t>NER, cl. 6.5.2(c); NER, cl. 6A.6.2(c); NGR, r. 87(3).</w:t>
      </w:r>
    </w:p>
  </w:footnote>
  <w:footnote w:id="147">
    <w:p w:rsidR="003F1AAB" w:rsidRDefault="003F1AAB" w:rsidP="002F6FA6">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48">
    <w:p w:rsidR="003F1AAB" w:rsidRDefault="003F1AAB" w:rsidP="002F6FA6">
      <w:pPr>
        <w:pStyle w:val="FootnoteText"/>
      </w:pPr>
      <w:r>
        <w:rPr>
          <w:rStyle w:val="FootnoteReference"/>
        </w:rPr>
        <w:footnoteRef/>
      </w:r>
      <w:r>
        <w:t xml:space="preserve"> </w:t>
      </w:r>
      <w:r>
        <w:tab/>
        <w:t>As set out in NER cl.6; NER cl. 6A; NGR.</w:t>
      </w:r>
    </w:p>
  </w:footnote>
  <w:footnote w:id="149">
    <w:p w:rsidR="003F1AAB" w:rsidRDefault="003F1AAB" w:rsidP="002F6FA6">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50">
    <w:p w:rsidR="003F1AAB" w:rsidRDefault="003F1AAB" w:rsidP="002F6FA6">
      <w:pPr>
        <w:pStyle w:val="FootnoteText"/>
      </w:pPr>
      <w:r>
        <w:rPr>
          <w:rStyle w:val="FootnoteReference"/>
        </w:rPr>
        <w:footnoteRef/>
      </w:r>
      <w:r>
        <w:t xml:space="preserve"> </w:t>
      </w:r>
      <w:r>
        <w:tab/>
        <w:t xml:space="preserve">Our regulatory determinations and rate of return guidelines since 2009 have set an equity risk premium ranging from 5.2 per cent to 4.55 per cent [AER, </w:t>
      </w:r>
      <w:r w:rsidRPr="006C6F04">
        <w:rPr>
          <w:rStyle w:val="AERtextitalic"/>
        </w:rPr>
        <w:t>Final Decision</w:t>
      </w:r>
      <w:r>
        <w:t>, Electricity transmission and distribution network service providers, Review of the weighted average cost of capital (WACC) parameters, 1 May 2009].</w:t>
      </w:r>
    </w:p>
  </w:footnote>
  <w:footnote w:id="151">
    <w:p w:rsidR="003F1AAB" w:rsidRDefault="003F1AAB" w:rsidP="002F6FA6">
      <w:pPr>
        <w:pStyle w:val="FootnoteText"/>
      </w:pPr>
      <w:r>
        <w:rPr>
          <w:rStyle w:val="FootnoteReference"/>
        </w:rPr>
        <w:footnoteRef/>
      </w:r>
      <w:r>
        <w:t xml:space="preserve"> </w:t>
      </w:r>
      <w:r>
        <w:tab/>
        <w:t>Between 2007–08 and 2013–14, t</w:t>
      </w:r>
      <w:r w:rsidRPr="00B005DF">
        <w:t xml:space="preserve">he </w:t>
      </w:r>
      <w:r>
        <w:t xml:space="preserve">regulated </w:t>
      </w:r>
      <w:r w:rsidRPr="00B005DF">
        <w:t xml:space="preserve">transmission and distribution </w:t>
      </w:r>
      <w:r>
        <w:t>service providers</w:t>
      </w:r>
      <w:r w:rsidRPr="00B005DF">
        <w:t xml:space="preserve"> across t</w:t>
      </w:r>
      <w:r>
        <w:t>he national electricity market</w:t>
      </w:r>
      <w:r w:rsidRPr="00B005DF">
        <w:t xml:space="preserve"> have invested</w:t>
      </w:r>
      <w:r>
        <w:t xml:space="preserve"> in the order of more than</w:t>
      </w:r>
      <w:r w:rsidRPr="00B005DF">
        <w:t xml:space="preserve"> </w:t>
      </w:r>
      <w:r>
        <w:t xml:space="preserve">$44 billion in capital expenditure. The annual capital expenditure has remained largely stable at around </w:t>
      </w:r>
      <w:r w:rsidRPr="00B005DF">
        <w:t>$6 billion</w:t>
      </w:r>
      <w:r>
        <w:t xml:space="preserve"> per year.</w:t>
      </w:r>
    </w:p>
  </w:footnote>
  <w:footnote w:id="152">
    <w:p w:rsidR="003F1AAB" w:rsidRDefault="003F1AAB" w:rsidP="002F6FA6">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section pages 96 to 99 of Attachment 3 to our preliminary decision for AusNet Services' 2016-20 distribution determination.</w:t>
      </w:r>
    </w:p>
  </w:footnote>
  <w:footnote w:id="153">
    <w:p w:rsidR="003F1AAB" w:rsidRDefault="003F1AAB" w:rsidP="002F6FA6">
      <w:pPr>
        <w:pStyle w:val="FootnoteText"/>
      </w:pPr>
      <w:r>
        <w:rPr>
          <w:rStyle w:val="FootnoteReference"/>
        </w:rPr>
        <w:footnoteRef/>
      </w:r>
      <w:r>
        <w:t xml:space="preserve"> </w:t>
      </w:r>
      <w:r>
        <w:tab/>
        <w:t xml:space="preserve">For more information on the Sharpe-Lintner CAPM, see section </w:t>
      </w:r>
      <w:r>
        <w:fldChar w:fldCharType="begin"/>
      </w:r>
      <w:r>
        <w:instrText xml:space="preserve"> REF _Ref451414916 \r \h </w:instrText>
      </w:r>
      <w:r>
        <w:fldChar w:fldCharType="separate"/>
      </w:r>
      <w:r>
        <w:t>B</w:t>
      </w:r>
      <w:r>
        <w:fldChar w:fldCharType="end"/>
      </w:r>
      <w:r>
        <w:t>.</w:t>
      </w:r>
    </w:p>
  </w:footnote>
  <w:footnote w:id="154">
    <w:p w:rsidR="003F1AAB" w:rsidRDefault="003F1AAB" w:rsidP="002F6FA6">
      <w:pPr>
        <w:pStyle w:val="FootnoteText"/>
        <w:numPr>
          <w:ilvl w:val="0"/>
          <w:numId w:val="25"/>
        </w:numPr>
      </w:pPr>
      <w:r>
        <w:rPr>
          <w:rStyle w:val="FootnoteReference"/>
        </w:rPr>
        <w:footnoteRef/>
      </w:r>
      <w:r>
        <w:t xml:space="preserve"> </w:t>
      </w:r>
      <w:r>
        <w:tab/>
        <w:t>Calculated as: 7.1% = 2.57% + 0.7 * 6.</w:t>
      </w:r>
      <w:r w:rsidRPr="000A1A8C">
        <w:t>5%</w:t>
      </w:r>
      <w:r>
        <w:t xml:space="preserve">. For more information on the Sharpe-Lintner CAPM, see section </w:t>
      </w:r>
      <w:r>
        <w:fldChar w:fldCharType="begin"/>
      </w:r>
      <w:r>
        <w:instrText xml:space="preserve"> REF _Ref451414916 \r \h </w:instrText>
      </w:r>
      <w:r>
        <w:fldChar w:fldCharType="separate"/>
      </w:r>
      <w:r>
        <w:t>B</w:t>
      </w:r>
      <w:r>
        <w:fldChar w:fldCharType="end"/>
      </w:r>
      <w:r>
        <w:t>.</w:t>
      </w:r>
    </w:p>
  </w:footnote>
  <w:footnote w:id="155">
    <w:p w:rsidR="003F1AAB" w:rsidRDefault="003F1AAB" w:rsidP="002F6FA6">
      <w:pPr>
        <w:pStyle w:val="FootnoteText"/>
      </w:pPr>
      <w:r>
        <w:rPr>
          <w:rStyle w:val="FootnoteReference"/>
        </w:rPr>
        <w:footnoteRef/>
      </w:r>
      <w:r>
        <w:t xml:space="preserve"> </w:t>
      </w:r>
      <w:r>
        <w:tab/>
        <w:t>Appendix K sets out the averaging period used in this decision.</w:t>
      </w:r>
    </w:p>
  </w:footnote>
  <w:footnote w:id="156">
    <w:p w:rsidR="003F1AAB" w:rsidRDefault="003F1AAB" w:rsidP="002F6FA6">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2; </w:t>
      </w:r>
      <w:r w:rsidRPr="00D94BE5">
        <w:t xml:space="preserve">Origin Energy, </w:t>
      </w:r>
      <w:r w:rsidRPr="00D325AA">
        <w:rPr>
          <w:rStyle w:val="Emphasis"/>
        </w:rPr>
        <w:t>Submission on AGN’s revised access arrangement for 2016–21</w:t>
      </w:r>
      <w:r w:rsidRPr="00D94BE5">
        <w:t>, February 2016</w:t>
      </w:r>
      <w:r>
        <w:t xml:space="preserve">; </w:t>
      </w:r>
      <w:r w:rsidRPr="00D94BE5">
        <w:t xml:space="preserve">Victorian Government, </w:t>
      </w:r>
      <w:r w:rsidRPr="00D325AA">
        <w:rPr>
          <w:rStyle w:val="Emphasis"/>
        </w:rPr>
        <w:t>Submission on the Victorian electricity distribution network service providers’ revised regulatory proposals for 2016–20</w:t>
      </w:r>
      <w:r w:rsidRPr="00D94BE5">
        <w:t>, 12 February 2016, p. 1–2</w:t>
      </w:r>
      <w:r>
        <w:t xml:space="preserve">; </w:t>
      </w:r>
      <w:r w:rsidRPr="00D94BE5">
        <w:t xml:space="preserve">EUCV, </w:t>
      </w:r>
      <w:r w:rsidRPr="00D325AA">
        <w:rPr>
          <w:rStyle w:val="Emphasis"/>
        </w:rPr>
        <w:t>A response to AusNet revenue reset proposal for the 2017–2022 period</w:t>
      </w:r>
      <w:r w:rsidRPr="00D94BE5">
        <w:t>, 9 February 2016</w:t>
      </w:r>
      <w:r>
        <w:t xml:space="preserve">; AGL, </w:t>
      </w:r>
      <w:r w:rsidRPr="00D325AA">
        <w:rPr>
          <w:rStyle w:val="Emphasis"/>
        </w:rPr>
        <w:t>Submission on the AER’s draft decision on AGN’s 2016–21 access arrangement</w:t>
      </w:r>
      <w:r>
        <w:t xml:space="preserve">, 4 </w:t>
      </w:r>
      <w:r w:rsidRPr="00A553AC">
        <w:t>February</w:t>
      </w:r>
      <w:r>
        <w:t xml:space="preserve"> 2016, p. 2.</w:t>
      </w:r>
    </w:p>
  </w:footnote>
  <w:footnote w:id="157">
    <w:p w:rsidR="003F1AAB" w:rsidRDefault="003F1AAB" w:rsidP="002F6FA6">
      <w:pPr>
        <w:pStyle w:val="FootnoteText"/>
      </w:pPr>
      <w:r>
        <w:rPr>
          <w:rStyle w:val="FootnoteReference"/>
        </w:rPr>
        <w:footnoteRef/>
      </w:r>
      <w:r>
        <w:t xml:space="preserve"> </w:t>
      </w:r>
      <w:r>
        <w:tab/>
      </w:r>
      <w:r w:rsidRPr="007F7744">
        <w:t xml:space="preserve">ECCSA, </w:t>
      </w:r>
      <w:r w:rsidRPr="00D325AA">
        <w:rPr>
          <w:rStyle w:val="Emphasis"/>
        </w:rPr>
        <w:t xml:space="preserve">A response to the AER draft decision on AGN’s AA2016 revenue reset, </w:t>
      </w:r>
      <w:r w:rsidRPr="007F7744">
        <w:t>February 2016, p. 32</w:t>
      </w:r>
      <w:r>
        <w:t xml:space="preserve">–37; </w:t>
      </w:r>
      <w:r w:rsidRPr="007F7744">
        <w:t xml:space="preserve">VECUA, </w:t>
      </w:r>
      <w:r w:rsidRPr="00D325AA">
        <w:rPr>
          <w:rStyle w:val="Emphasis"/>
        </w:rPr>
        <w:t>Submission on the AER: AER preliminary 2016–20 revenue determinations for the Victorian DNSPs</w:t>
      </w:r>
      <w:r w:rsidRPr="007F7744">
        <w:t>, 6 January 2016</w:t>
      </w:r>
      <w:r>
        <w:t xml:space="preserve">, p. 2; </w:t>
      </w:r>
      <w:r w:rsidRPr="007F7744">
        <w:t xml:space="preserve">CCP (panel 5), </w:t>
      </w:r>
      <w:r w:rsidRPr="00D325AA">
        <w:rPr>
          <w:rStyle w:val="Emphasis"/>
        </w:rPr>
        <w:t xml:space="preserve">Transmission for the generations: Response to proposal by AusNet Services transmission group pty ltd and AER issues paper for AusNet Services transmission revenue </w:t>
      </w:r>
      <w:r>
        <w:rPr>
          <w:rStyle w:val="Emphasis"/>
        </w:rPr>
        <w:t>review</w:t>
      </w:r>
      <w:r w:rsidRPr="00D325AA">
        <w:rPr>
          <w:rStyle w:val="Emphasis"/>
        </w:rPr>
        <w:t xml:space="preserve"> 2017–22</w:t>
      </w:r>
      <w:r w:rsidRPr="007F7744">
        <w:t>, February 2016</w:t>
      </w:r>
      <w:r>
        <w:t xml:space="preserve">, p. 41; </w:t>
      </w:r>
      <w:r w:rsidRPr="007F7744">
        <w:t xml:space="preserve">CCP (panel 3), </w:t>
      </w:r>
      <w:r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7F7744">
        <w:t xml:space="preserve">, </w:t>
      </w:r>
      <w:r>
        <w:t xml:space="preserve">25 February 2016, </w:t>
      </w:r>
      <w:r w:rsidRPr="007F7744">
        <w:t>p</w:t>
      </w:r>
      <w:r>
        <w:t>p</w:t>
      </w:r>
      <w:r w:rsidRPr="007F7744">
        <w:t xml:space="preserve">. </w:t>
      </w:r>
      <w:r>
        <w:t xml:space="preserve">10, </w:t>
      </w:r>
      <w:r w:rsidRPr="007F7744">
        <w:t>30–31</w:t>
      </w:r>
      <w:r>
        <w:t>, 33</w:t>
      </w:r>
      <w:r w:rsidRPr="007F7744">
        <w:t>.</w:t>
      </w:r>
    </w:p>
  </w:footnote>
  <w:footnote w:id="158">
    <w:p w:rsidR="003F1AAB" w:rsidRPr="00E97B82" w:rsidRDefault="003F1AAB" w:rsidP="002F6FA6">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3; </w:t>
      </w:r>
      <w:r w:rsidRPr="00E435AE">
        <w:t xml:space="preserve">Origin Energy, </w:t>
      </w:r>
      <w:r w:rsidRPr="00D325AA">
        <w:rPr>
          <w:rStyle w:val="Emphasis"/>
        </w:rPr>
        <w:t>Submission on AGN’s revised access arrangement for 2016–21</w:t>
      </w:r>
      <w:r w:rsidRPr="00E435AE">
        <w:t>, February 2016</w:t>
      </w:r>
      <w:r>
        <w:t xml:space="preserve">; Origin Energy, </w:t>
      </w:r>
      <w:r w:rsidRPr="00D325AA">
        <w:rPr>
          <w:rStyle w:val="Emphasis"/>
        </w:rPr>
        <w:t>Submission on the AER’s preliminary decisions on the Victorian distribution network service providers for 2016–20</w:t>
      </w:r>
      <w:r>
        <w:t>, 6</w:t>
      </w:r>
      <w:r w:rsidRPr="006C5EF3">
        <w:t xml:space="preserve"> January 2016</w:t>
      </w:r>
      <w:r>
        <w:t xml:space="preserve">, p. 3; </w:t>
      </w:r>
      <w:r w:rsidRPr="004C3DA9">
        <w:t xml:space="preserve">Origin Energy, </w:t>
      </w:r>
      <w:r w:rsidRPr="00D325AA">
        <w:rPr>
          <w:rStyle w:val="Emphasis"/>
        </w:rPr>
        <w:t>Submission on the Victorian networks’ revised proposals (for 2016–21)</w:t>
      </w:r>
      <w:r w:rsidRPr="004C3DA9">
        <w:t xml:space="preserve">, </w:t>
      </w:r>
      <w:r>
        <w:t xml:space="preserve">4 </w:t>
      </w:r>
      <w:r w:rsidRPr="004C3DA9">
        <w:t>February 2016</w:t>
      </w:r>
      <w:r>
        <w:t>.</w:t>
      </w:r>
    </w:p>
  </w:footnote>
  <w:footnote w:id="159">
    <w:p w:rsidR="003F1AAB" w:rsidRDefault="003F1AAB" w:rsidP="002F6FA6">
      <w:pPr>
        <w:pStyle w:val="FootnoteText"/>
      </w:pPr>
      <w:r>
        <w:rPr>
          <w:rStyle w:val="FootnoteReference"/>
        </w:rPr>
        <w:footnoteRef/>
      </w:r>
      <w:r>
        <w:t xml:space="preserve"> </w:t>
      </w:r>
      <w:r>
        <w:tab/>
        <w:t xml:space="preserve">AGL, </w:t>
      </w:r>
      <w:r w:rsidRPr="00D325AA">
        <w:rPr>
          <w:rStyle w:val="Emphasis"/>
        </w:rPr>
        <w:t>Submission on the AER’s draft decision on AGN’s 2016–21 access arrangement</w:t>
      </w:r>
      <w:r>
        <w:t xml:space="preserve">, 4 </w:t>
      </w:r>
      <w:r w:rsidRPr="008F7C76">
        <w:t>February</w:t>
      </w:r>
      <w:r>
        <w:t xml:space="preserve"> 2016, p. 2.</w:t>
      </w:r>
    </w:p>
  </w:footnote>
  <w:footnote w:id="160">
    <w:p w:rsidR="003F1AAB" w:rsidRDefault="003F1AAB" w:rsidP="002F6FA6">
      <w:pPr>
        <w:pStyle w:val="FootnoteText"/>
      </w:pPr>
      <w:r>
        <w:rPr>
          <w:rStyle w:val="FootnoteReference"/>
        </w:rPr>
        <w:footnoteRef/>
      </w:r>
      <w:r>
        <w:t xml:space="preserve"> </w:t>
      </w:r>
      <w:r>
        <w:tab/>
      </w:r>
      <w:r w:rsidRPr="00D94BE5">
        <w:t xml:space="preserve">EUCV, </w:t>
      </w:r>
      <w:r w:rsidRPr="00D325AA">
        <w:rPr>
          <w:rStyle w:val="Emphasis"/>
        </w:rPr>
        <w:t>A response to AusNet revenue reset proposal for the 2017–2022 period</w:t>
      </w:r>
      <w:r w:rsidRPr="00D94BE5">
        <w:t>, 9 February 2016</w:t>
      </w:r>
      <w:r>
        <w:t>.</w:t>
      </w:r>
    </w:p>
  </w:footnote>
  <w:footnote w:id="161">
    <w:p w:rsidR="003F1AAB" w:rsidRDefault="003F1AAB" w:rsidP="002F6FA6">
      <w:pPr>
        <w:pStyle w:val="FootnoteText"/>
      </w:pPr>
      <w:r>
        <w:rPr>
          <w:rStyle w:val="FootnoteReference"/>
        </w:rPr>
        <w:footnoteRef/>
      </w:r>
      <w:r>
        <w:t xml:space="preserve"> </w:t>
      </w:r>
      <w:r>
        <w:tab/>
      </w:r>
      <w:r w:rsidRPr="00ED6D11">
        <w:t xml:space="preserve">CCP (panel 3), </w:t>
      </w:r>
      <w:r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ED6D11">
        <w:t xml:space="preserve">, </w:t>
      </w:r>
      <w:r>
        <w:t xml:space="preserve">February 2016, </w:t>
      </w:r>
      <w:r w:rsidRPr="00ED6D11">
        <w:t>p. 33</w:t>
      </w:r>
      <w:r>
        <w:t>.</w:t>
      </w:r>
    </w:p>
  </w:footnote>
  <w:footnote w:id="162">
    <w:p w:rsidR="003F1AAB" w:rsidRDefault="003F1AAB" w:rsidP="002F6FA6">
      <w:pPr>
        <w:pStyle w:val="FootnoteText"/>
      </w:pPr>
      <w:r>
        <w:rPr>
          <w:rStyle w:val="FootnoteReference"/>
        </w:rPr>
        <w:footnoteRef/>
      </w:r>
      <w:r>
        <w:t xml:space="preserve"> </w:t>
      </w:r>
      <w:r>
        <w:tab/>
      </w:r>
      <w:r w:rsidRPr="003F7C15">
        <w:t xml:space="preserve"> </w:t>
      </w:r>
      <w:r w:rsidRPr="00C81C9E">
        <w:t xml:space="preserve">ECCSA, </w:t>
      </w:r>
      <w:r w:rsidRPr="00D325AA">
        <w:rPr>
          <w:rStyle w:val="Emphasis"/>
        </w:rPr>
        <w:t>A response to the AER draft decision on AGN’s AA2016 revenue rese</w:t>
      </w:r>
      <w:r w:rsidRPr="00C81C9E">
        <w:t>t, February 2016, p. 36</w:t>
      </w:r>
      <w:r>
        <w:t xml:space="preserve">; CCP (panel 3), </w:t>
      </w:r>
      <w:r w:rsidRPr="003509CE">
        <w:t>S</w:t>
      </w:r>
      <w:r w:rsidRPr="00D325AA">
        <w:rPr>
          <w:rStyle w:val="Emphasis"/>
        </w:rPr>
        <w:t>ubmission to the Australian Energy Regulator (AER): An overview Response to AER Preliminary Decisions and revised proposals from Victorian electricity distribution network service providers for a revenue reset for the 2016–2020 regulatory perio</w:t>
      </w:r>
      <w:r w:rsidRPr="003509CE">
        <w:t>d</w:t>
      </w:r>
      <w:r>
        <w:t>, February 2016, pp. 10 &amp; 29.</w:t>
      </w:r>
    </w:p>
  </w:footnote>
  <w:footnote w:id="163">
    <w:p w:rsidR="003F1AAB" w:rsidRDefault="003F1AAB" w:rsidP="002F6FA6">
      <w:pPr>
        <w:pStyle w:val="FootnoteText"/>
      </w:pPr>
      <w:r>
        <w:rPr>
          <w:rStyle w:val="FootnoteReference"/>
        </w:rPr>
        <w:footnoteRef/>
      </w:r>
      <w:r>
        <w:t xml:space="preserve"> </w:t>
      </w:r>
      <w:r>
        <w:tab/>
      </w:r>
      <w:r w:rsidRPr="00C81C9E">
        <w:t xml:space="preserve">CCP (panel 5), </w:t>
      </w:r>
      <w:r w:rsidRPr="00D325AA">
        <w:rPr>
          <w:rStyle w:val="Emphasis"/>
        </w:rPr>
        <w:t xml:space="preserve">Transmission for the generations: Response to proposal by AusNet Services transmission group pty ltd and AER issues paper for AusNet Services transmission revenue </w:t>
      </w:r>
      <w:r>
        <w:rPr>
          <w:rStyle w:val="Emphasis"/>
        </w:rPr>
        <w:t>review</w:t>
      </w:r>
      <w:r w:rsidRPr="00D325AA">
        <w:rPr>
          <w:rStyle w:val="Emphasis"/>
        </w:rPr>
        <w:t xml:space="preserve"> 2017–22</w:t>
      </w:r>
      <w:r w:rsidRPr="00C81C9E">
        <w:t>, February 2016</w:t>
      </w:r>
      <w:r>
        <w:t xml:space="preserve">; </w:t>
      </w:r>
      <w:r w:rsidRPr="009751A6">
        <w:t xml:space="preserve">Origin Energy, </w:t>
      </w:r>
      <w:r w:rsidRPr="00D325AA">
        <w:rPr>
          <w:rStyle w:val="Emphasis"/>
        </w:rPr>
        <w:t>Submission on ActewAGL’s revised access arrangement for 2016–21</w:t>
      </w:r>
      <w:r w:rsidRPr="009751A6">
        <w:t>, 4 February 2016</w:t>
      </w:r>
      <w:r>
        <w:t xml:space="preserve">, p. 3; </w:t>
      </w:r>
      <w:r w:rsidRPr="00C81C9E">
        <w:t xml:space="preserve">Origin Energy, </w:t>
      </w:r>
      <w:r w:rsidRPr="00D325AA">
        <w:rPr>
          <w:rStyle w:val="Emphasis"/>
        </w:rPr>
        <w:t>Submission on AGN’s revised access arrangement for 2016–21</w:t>
      </w:r>
      <w:r w:rsidRPr="00C81C9E">
        <w:t xml:space="preserve">, February 2016; Origin Energy, </w:t>
      </w:r>
      <w:r w:rsidRPr="00D325AA">
        <w:rPr>
          <w:rStyle w:val="Emphasis"/>
        </w:rPr>
        <w:t>Submission on the AER’s preliminary decisions on the Victorian distribution network service providers for 2016–20</w:t>
      </w:r>
      <w:r w:rsidRPr="00C81C9E">
        <w:t>, 6 January 2016, p. 3</w:t>
      </w:r>
      <w:r>
        <w:t xml:space="preserve">; </w:t>
      </w:r>
      <w:r w:rsidRPr="00C81C9E">
        <w:t xml:space="preserve">Origin Energy, </w:t>
      </w:r>
      <w:r w:rsidRPr="00D325AA">
        <w:rPr>
          <w:rStyle w:val="Emphasis"/>
        </w:rPr>
        <w:t>Submission on the Victorian networks’ revised proposals (for 2016–21</w:t>
      </w:r>
      <w:r w:rsidRPr="00C81C9E">
        <w:t>), 4 February 2016</w:t>
      </w:r>
      <w:r>
        <w:t xml:space="preserve">; </w:t>
      </w:r>
      <w:r w:rsidRPr="00C81C9E">
        <w:t>VECUA</w:t>
      </w:r>
      <w:r w:rsidRPr="00D325AA">
        <w:rPr>
          <w:rStyle w:val="Emphasis"/>
        </w:rPr>
        <w:t>, Submission on the AER: AER preliminary 2016–20 revenue determinations for the Victorian DNSPs</w:t>
      </w:r>
      <w:r w:rsidRPr="00C81C9E">
        <w:t>, 6 January 2016, p</w:t>
      </w:r>
      <w:r>
        <w:t>p</w:t>
      </w:r>
      <w:r w:rsidRPr="00C81C9E">
        <w:t>. 2</w:t>
      </w:r>
      <w:r>
        <w:t xml:space="preserve">, 11–12; </w:t>
      </w:r>
      <w:r w:rsidRPr="00BA5498">
        <w:t xml:space="preserve">CCP (panel 3), </w:t>
      </w:r>
      <w:r w:rsidRPr="00BA5498">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BA5498">
        <w:t xml:space="preserve">, </w:t>
      </w:r>
      <w:r>
        <w:t xml:space="preserve">25 February 2016, </w:t>
      </w:r>
      <w:r w:rsidRPr="00BA5498">
        <w:t>p</w:t>
      </w:r>
      <w:r>
        <w:t>p</w:t>
      </w:r>
      <w:r w:rsidRPr="00BA5498">
        <w:t>. 30–31.</w:t>
      </w:r>
    </w:p>
  </w:footnote>
  <w:footnote w:id="164">
    <w:p w:rsidR="003F1AAB" w:rsidRDefault="003F1AAB" w:rsidP="002F6FA6">
      <w:pPr>
        <w:pStyle w:val="FootnoteText"/>
      </w:pPr>
      <w:r>
        <w:rPr>
          <w:rStyle w:val="FootnoteReference"/>
        </w:rPr>
        <w:footnoteRef/>
      </w:r>
      <w:r>
        <w:t xml:space="preserve"> </w:t>
      </w:r>
      <w:r>
        <w:tab/>
        <w:t>Our</w:t>
      </w:r>
      <w:r w:rsidRPr="006657C4">
        <w:t xml:space="preserve"> conceptual </w:t>
      </w:r>
      <w:r>
        <w:t>analysis is a qualitative exploration</w:t>
      </w:r>
      <w:r w:rsidRPr="006657C4">
        <w:t xml:space="preserve"> </w:t>
      </w:r>
      <w:r>
        <w:t xml:space="preserve">of </w:t>
      </w:r>
      <w:r w:rsidRPr="006657C4">
        <w:t xml:space="preserve">the systematic risk for </w:t>
      </w:r>
      <w:r>
        <w:t>a</w:t>
      </w:r>
      <w:r w:rsidRPr="006657C4">
        <w:t xml:space="preserve"> benchmark efficient entity relative to the market average firm.</w:t>
      </w:r>
    </w:p>
  </w:footnote>
  <w:footnote w:id="165">
    <w:p w:rsidR="003F1AAB" w:rsidRDefault="003F1AAB" w:rsidP="002F6FA6">
      <w:pPr>
        <w:pStyle w:val="FootnoteText"/>
      </w:pPr>
      <w:r>
        <w:rPr>
          <w:rStyle w:val="FootnoteReference"/>
        </w:rPr>
        <w:footnoteRef/>
      </w:r>
      <w:r>
        <w:t xml:space="preserve"> </w:t>
      </w:r>
      <w:r>
        <w:tab/>
        <w:t xml:space="preserve">We received many stakeholder submissions supporting our guideline approach including: </w:t>
      </w:r>
      <w:r w:rsidRPr="009751A6">
        <w:t>Origin Energy</w:t>
      </w:r>
      <w:r w:rsidRPr="00D325AA">
        <w:rPr>
          <w:rStyle w:val="Emphasis"/>
        </w:rPr>
        <w:t>, Submission on ActewAGL’s revised access arrangement for 2016–21</w:t>
      </w:r>
      <w:r w:rsidRPr="009751A6">
        <w:t>, 4 February 2016</w:t>
      </w:r>
      <w:r>
        <w:t xml:space="preserve">, p. 3; </w:t>
      </w:r>
      <w:r w:rsidRPr="003D4E86">
        <w:t xml:space="preserve">Origin Energy, </w:t>
      </w:r>
      <w:r w:rsidRPr="00D325AA">
        <w:rPr>
          <w:rStyle w:val="Emphasis"/>
        </w:rPr>
        <w:t>Submission on AGN’s revised access arrangement for 2016–21</w:t>
      </w:r>
      <w:r w:rsidRPr="003D4E86">
        <w:t xml:space="preserve">, February 2016; Origin Energy, </w:t>
      </w:r>
      <w:r w:rsidRPr="00D325AA">
        <w:rPr>
          <w:rStyle w:val="Emphasis"/>
        </w:rPr>
        <w:t>Submission on the AER’s preliminary decisions on the Victorian distribution network service providers for 2016–20</w:t>
      </w:r>
      <w:r w:rsidRPr="003D4E86">
        <w:t>, 6 January 2016, p. 3</w:t>
      </w:r>
      <w:r>
        <w:t xml:space="preserve">; </w:t>
      </w:r>
      <w:r w:rsidRPr="003D4E86">
        <w:t xml:space="preserve">Origin Energy, </w:t>
      </w:r>
      <w:r w:rsidRPr="00D325AA">
        <w:rPr>
          <w:rStyle w:val="Emphasis"/>
        </w:rPr>
        <w:t>Submission on the Victorian networks’ revised proposals (for 2016–21</w:t>
      </w:r>
      <w:r w:rsidRPr="003D4E86">
        <w:t>), 4 February 2016</w:t>
      </w:r>
      <w:r>
        <w:t xml:space="preserve">; AGL, </w:t>
      </w:r>
      <w:r w:rsidRPr="00D325AA">
        <w:rPr>
          <w:rStyle w:val="Emphasis"/>
        </w:rPr>
        <w:t>Submission on the AER’s draft decision on AGN’s 2016–21 access arrangement</w:t>
      </w:r>
      <w:r w:rsidRPr="003D4E86">
        <w:t>, 4 February 2016, p. 2</w:t>
      </w:r>
      <w:r>
        <w:t xml:space="preserve">; </w:t>
      </w:r>
      <w:r w:rsidRPr="00192848">
        <w:t xml:space="preserve">Victorian Government, </w:t>
      </w:r>
      <w:r w:rsidRPr="00D325AA">
        <w:rPr>
          <w:rStyle w:val="Emphasis"/>
        </w:rPr>
        <w:t>Submission on the Victorian electricity distribution network service providers’ revised regulatory proposals for 2016–20</w:t>
      </w:r>
      <w:r w:rsidRPr="00192848">
        <w:t>, 12 February 2016</w:t>
      </w:r>
      <w:r>
        <w:t xml:space="preserve">, p. 1–2; </w:t>
      </w:r>
      <w:r w:rsidRPr="00192848">
        <w:t xml:space="preserve">EUCV, </w:t>
      </w:r>
      <w:r w:rsidRPr="00D325AA">
        <w:rPr>
          <w:rStyle w:val="Emphasis"/>
        </w:rPr>
        <w:t>A response to AusNet revenue reset proposal for the 2017–2022 period</w:t>
      </w:r>
      <w:r w:rsidRPr="00192848">
        <w:t>, 9 February 2016</w:t>
      </w:r>
      <w:r>
        <w:t xml:space="preserve">; </w:t>
      </w:r>
      <w:r w:rsidRPr="00192848">
        <w:t xml:space="preserve">CCP (panel 5), </w:t>
      </w:r>
      <w:r w:rsidRPr="00D325AA">
        <w:rPr>
          <w:rStyle w:val="Emphasis"/>
        </w:rPr>
        <w:t xml:space="preserve">Transmission for the generations: Response to proposal by AusNet Services transmission group pty ltd and AER issues paper for AusNet Services transmission revenue </w:t>
      </w:r>
      <w:r>
        <w:rPr>
          <w:rStyle w:val="Emphasis"/>
        </w:rPr>
        <w:t>review</w:t>
      </w:r>
      <w:r w:rsidRPr="00D325AA">
        <w:rPr>
          <w:rStyle w:val="Emphasis"/>
        </w:rPr>
        <w:t xml:space="preserve"> 2017–22</w:t>
      </w:r>
      <w:r w:rsidRPr="00192848">
        <w:t>, February 2016</w:t>
      </w:r>
      <w:r>
        <w:t xml:space="preserve">;  CCP (panel 3), </w:t>
      </w:r>
      <w:r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CCP (panel 8), </w:t>
      </w:r>
      <w:r w:rsidRPr="00D325AA">
        <w:rPr>
          <w:rStyle w:val="Emphasis"/>
        </w:rPr>
        <w:t>Advice to AER from Consumer Challenger Panel sub-panel 8 regarding the AER Draft Decision and Australian Gas Networks’ (SA) Revised Access Arrangement 2016–21 Proposal</w:t>
      </w:r>
      <w:r>
        <w:t>, 31 March 2016, p. 2.</w:t>
      </w:r>
    </w:p>
  </w:footnote>
  <w:footnote w:id="166">
    <w:p w:rsidR="003F1AAB" w:rsidRDefault="003F1AAB" w:rsidP="007D4F36">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67">
    <w:p w:rsidR="003F1AAB" w:rsidRDefault="003F1AAB" w:rsidP="007D4F36">
      <w:pPr>
        <w:pStyle w:val="FootnoteText"/>
      </w:pPr>
      <w:r>
        <w:rPr>
          <w:rStyle w:val="FootnoteReference"/>
        </w:rPr>
        <w:footnoteRef/>
      </w:r>
      <w:r>
        <w:t xml:space="preserve"> </w:t>
      </w:r>
      <w:r>
        <w:tab/>
        <w:t>As set out in NER cl.6; NER cl. 6A; NGR r.87.</w:t>
      </w:r>
    </w:p>
  </w:footnote>
  <w:footnote w:id="168">
    <w:p w:rsidR="003F1AAB" w:rsidRDefault="003F1AAB" w:rsidP="007D4F36">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69">
    <w:p w:rsidR="003F1AAB" w:rsidRDefault="003F1AAB" w:rsidP="002F6FA6">
      <w:pPr>
        <w:pStyle w:val="FootnoteText"/>
      </w:pPr>
      <w:r>
        <w:rPr>
          <w:rStyle w:val="FootnoteReference"/>
        </w:rPr>
        <w:footnoteRef/>
      </w:r>
      <w:r>
        <w:t xml:space="preserve"> </w:t>
      </w:r>
      <w:r>
        <w:tab/>
      </w:r>
      <w:r w:rsidRPr="00C73AC0">
        <w:t xml:space="preserve">Handley, </w:t>
      </w:r>
      <w:r>
        <w:rPr>
          <w:rStyle w:val="AERtextitalic"/>
        </w:rPr>
        <w:t>Advice on the return on e</w:t>
      </w:r>
      <w:r w:rsidRPr="00C73AC0">
        <w:rPr>
          <w:rStyle w:val="AERtextitalic"/>
        </w:rPr>
        <w:t>quity</w:t>
      </w:r>
      <w:r w:rsidRPr="00C73AC0">
        <w:t>, 16 October 2014, p</w:t>
      </w:r>
      <w:r>
        <w:t xml:space="preserve">. </w:t>
      </w:r>
      <w:r w:rsidRPr="00C73AC0">
        <w:t>4</w:t>
      </w:r>
      <w:r>
        <w:t>.</w:t>
      </w:r>
    </w:p>
  </w:footnote>
  <w:footnote w:id="170">
    <w:p w:rsidR="003F1AAB" w:rsidRDefault="003F1AAB" w:rsidP="002F6FA6">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w:t>
      </w:r>
      <w:r>
        <w:t xml:space="preserve">. </w:t>
      </w:r>
      <w:r w:rsidRPr="00C73AC0">
        <w:t>9.</w:t>
      </w:r>
      <w:r>
        <w:t xml:space="preserve"> This position was also supported by Partington, </w:t>
      </w:r>
      <w:r w:rsidRPr="00D325AA">
        <w:rPr>
          <w:rStyle w:val="AERtextitalic"/>
        </w:rPr>
        <w:t>Report to the AER: Return on equity (updated)</w:t>
      </w:r>
      <w:r>
        <w:t xml:space="preserve">, April 2015, p. 29; Partington and Satchell, </w:t>
      </w:r>
      <w:r w:rsidRPr="00D325AA">
        <w:rPr>
          <w:rStyle w:val="AERtextitalic"/>
        </w:rPr>
        <w:t>Report to the AER: Return of equity and comment on submissions in relation to JGN</w:t>
      </w:r>
      <w:r>
        <w:t xml:space="preserve">, May 2015, p. 7; and Partington and Satchell, </w:t>
      </w:r>
      <w:r w:rsidRPr="00D325AA">
        <w:rPr>
          <w:rStyle w:val="AERtextitalic"/>
        </w:rPr>
        <w:t>Report to the AER: Analysis of criticism of 2015 determinations</w:t>
      </w:r>
      <w:r>
        <w:t>, October 2015, pp. 17, 21.</w:t>
      </w:r>
    </w:p>
  </w:footnote>
  <w:footnote w:id="171">
    <w:p w:rsidR="003F1AAB" w:rsidRDefault="003F1AAB" w:rsidP="002F6FA6">
      <w:pPr>
        <w:pStyle w:val="FootnoteText"/>
      </w:pPr>
      <w:r>
        <w:rPr>
          <w:rStyle w:val="FootnoteReference"/>
        </w:rPr>
        <w:footnoteRef/>
      </w:r>
      <w:r>
        <w:t xml:space="preserve"> </w:t>
      </w:r>
      <w:r>
        <w:tab/>
        <w:t>We note that our specification of these models (particularly the dividend growth model) may differ from that proposed by the service providers.</w:t>
      </w:r>
    </w:p>
  </w:footnote>
  <w:footnote w:id="172">
    <w:p w:rsidR="003F1AAB" w:rsidRDefault="003F1AAB" w:rsidP="002F6FA6">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2; </w:t>
      </w:r>
      <w:r w:rsidRPr="00D94BE5">
        <w:t xml:space="preserve">Origin Energy, </w:t>
      </w:r>
      <w:r w:rsidRPr="00D325AA">
        <w:rPr>
          <w:rStyle w:val="Emphasis"/>
        </w:rPr>
        <w:t>Submission on AGN’s revised access arrangement for 2016–21</w:t>
      </w:r>
      <w:r w:rsidRPr="00D94BE5">
        <w:t>, February 2016</w:t>
      </w:r>
      <w:r>
        <w:t xml:space="preserve">; </w:t>
      </w:r>
      <w:r w:rsidRPr="00D94BE5">
        <w:t xml:space="preserve">Victorian Government, </w:t>
      </w:r>
      <w:r w:rsidRPr="00D325AA">
        <w:rPr>
          <w:rStyle w:val="Emphasis"/>
        </w:rPr>
        <w:t>Submission on the Victorian electricity distribution network service providers’ revised regulatory proposals for 2016–20</w:t>
      </w:r>
      <w:r w:rsidRPr="00D94BE5">
        <w:t>, 12 February 2016, p. 1–2</w:t>
      </w:r>
      <w:r>
        <w:t xml:space="preserve">; </w:t>
      </w:r>
      <w:r w:rsidRPr="00D94BE5">
        <w:t xml:space="preserve">EUCV, </w:t>
      </w:r>
      <w:r w:rsidRPr="00D325AA">
        <w:rPr>
          <w:rStyle w:val="Emphasis"/>
        </w:rPr>
        <w:t>A response to AusNet revenue reset proposal for the 2017–2022 period</w:t>
      </w:r>
      <w:r w:rsidRPr="00D94BE5">
        <w:t>, 9 February 2016</w:t>
      </w:r>
      <w:r>
        <w:t xml:space="preserve">; AGL, </w:t>
      </w:r>
      <w:r w:rsidRPr="00D325AA">
        <w:rPr>
          <w:rStyle w:val="Emphasis"/>
        </w:rPr>
        <w:t>Submission on the AER’s draft decision on AGN’s 2016–21 access arrangement</w:t>
      </w:r>
      <w:r>
        <w:t xml:space="preserve">, 4 </w:t>
      </w:r>
      <w:r w:rsidRPr="00A553AC">
        <w:t>February</w:t>
      </w:r>
      <w:r>
        <w:t xml:space="preserve"> 2016, p. 2</w:t>
      </w:r>
    </w:p>
  </w:footnote>
  <w:footnote w:id="173">
    <w:p w:rsidR="003F1AAB" w:rsidRDefault="003F1AAB" w:rsidP="002F6FA6">
      <w:pPr>
        <w:pStyle w:val="FootnoteText"/>
      </w:pPr>
      <w:r>
        <w:rPr>
          <w:rStyle w:val="FootnoteReference"/>
        </w:rPr>
        <w:footnoteRef/>
      </w:r>
      <w:r>
        <w:t xml:space="preserve"> </w:t>
      </w:r>
      <w:r>
        <w:tab/>
      </w:r>
      <w:r w:rsidRPr="00177FBB">
        <w:t xml:space="preserve">There are some variations between the service providers </w:t>
      </w:r>
      <w:r>
        <w:t>on</w:t>
      </w:r>
      <w:r w:rsidRPr="00177FBB">
        <w:t xml:space="preserve"> weighting the estimates </w:t>
      </w:r>
      <w:r>
        <w:t xml:space="preserve">from the </w:t>
      </w:r>
      <w:r w:rsidRPr="00177FBB">
        <w:t xml:space="preserve">different </w:t>
      </w:r>
      <w:r>
        <w:t xml:space="preserve">models, </w:t>
      </w:r>
      <w:r w:rsidRPr="00177FBB">
        <w:t>but the general approach and rationale remain broadly consistent.</w:t>
      </w:r>
      <w:r>
        <w:t xml:space="preserve"> </w:t>
      </w:r>
    </w:p>
  </w:footnote>
  <w:footnote w:id="174">
    <w:p w:rsidR="003F1AAB" w:rsidRDefault="003F1AAB" w:rsidP="002F6FA6">
      <w:pPr>
        <w:pStyle w:val="FootnoteText"/>
      </w:pPr>
      <w:r>
        <w:rPr>
          <w:rStyle w:val="FootnoteReference"/>
        </w:rPr>
        <w:footnoteRef/>
      </w:r>
      <w:r>
        <w:t xml:space="preserve"> </w:t>
      </w:r>
      <w:r>
        <w:tab/>
        <w:t xml:space="preserve">CitiPower, </w:t>
      </w:r>
      <w:r w:rsidRPr="001A0C41">
        <w:rPr>
          <w:rStyle w:val="AERtextitalic"/>
        </w:rPr>
        <w:t>Revised Regulatory Proposal 2016</w:t>
      </w:r>
      <w:r w:rsidRPr="001A0C41">
        <w:rPr>
          <w:rStyle w:val="AERtextitalic"/>
        </w:rPr>
        <w:softHyphen/>
        <w:t>–2020</w:t>
      </w:r>
      <w:r>
        <w:t>, January 2016, p. 284</w:t>
      </w:r>
      <w:r w:rsidRPr="00791180">
        <w:t xml:space="preserve">; Powercor, </w:t>
      </w:r>
      <w:r w:rsidRPr="00791180">
        <w:rPr>
          <w:rStyle w:val="Emphasis"/>
        </w:rPr>
        <w:t>Revised regulatory proposal 2016–2020,</w:t>
      </w:r>
      <w:r w:rsidRPr="00791180">
        <w:t xml:space="preserve"> January 2016, p. 278; ActewAGL, </w:t>
      </w:r>
      <w:r w:rsidRPr="00791180">
        <w:rPr>
          <w:rStyle w:val="Emphasis"/>
        </w:rPr>
        <w:t>Revised 2016–21 access ar</w:t>
      </w:r>
      <w:r>
        <w:rPr>
          <w:rStyle w:val="Emphasis"/>
        </w:rPr>
        <w:t>r</w:t>
      </w:r>
      <w:r w:rsidRPr="00791180">
        <w:rPr>
          <w:rStyle w:val="Emphasis"/>
        </w:rPr>
        <w:t>angement proposal Response to the AER's draft decision, Appendix 5.01 Detailed response to rate of return, gamma and inflation</w:t>
      </w:r>
      <w:r w:rsidRPr="00791180">
        <w:t xml:space="preserve">, January 2016, p. 54; United Energy, </w:t>
      </w:r>
      <w:r w:rsidRPr="00791180">
        <w:rPr>
          <w:rStyle w:val="Emphasis"/>
        </w:rPr>
        <w:t>Response to AER preliminary determination–Re: rate of return and gamma</w:t>
      </w:r>
      <w:r w:rsidRPr="00791180">
        <w:t xml:space="preserve">, 6 January 2016, pp. 77–78; AGN, </w:t>
      </w:r>
      <w:r w:rsidRPr="00791180">
        <w:rPr>
          <w:rStyle w:val="Emphasis"/>
        </w:rPr>
        <w:t>2016–17 to 2020/21 Access Arrangement information response to draft decision: Attachment 10.26 Response to draft decision: rate of return</w:t>
      </w:r>
      <w:r w:rsidRPr="00791180">
        <w:t xml:space="preserve">, January 2016, pp. 44–45;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43–44;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6 January 2016, pp. 38–39</w:t>
      </w:r>
      <w:r>
        <w:t>.</w:t>
      </w:r>
    </w:p>
  </w:footnote>
  <w:footnote w:id="175">
    <w:p w:rsidR="003F1AAB" w:rsidRDefault="003F1AAB" w:rsidP="002F6FA6">
      <w:pPr>
        <w:pStyle w:val="FootnoteText"/>
      </w:pPr>
      <w:r>
        <w:rPr>
          <w:rStyle w:val="FootnoteReference"/>
        </w:rPr>
        <w:footnoteRef/>
      </w:r>
      <w:r>
        <w:t xml:space="preserve"> </w:t>
      </w:r>
      <w:r>
        <w:tab/>
        <w:t xml:space="preserve">Frontier, </w:t>
      </w:r>
      <w:r>
        <w:rPr>
          <w:rStyle w:val="Emphasis"/>
        </w:rPr>
        <w:t>The r</w:t>
      </w:r>
      <w:r w:rsidRPr="00D325AA">
        <w:rPr>
          <w:rStyle w:val="Emphasis"/>
        </w:rPr>
        <w:t>equired return on equity under a foundation model approach</w:t>
      </w:r>
      <w:r>
        <w:t>, January 2016, p. 55.</w:t>
      </w:r>
    </w:p>
  </w:footnote>
  <w:footnote w:id="176">
    <w:p w:rsidR="003F1AAB" w:rsidRDefault="003F1AAB" w:rsidP="002F6FA6">
      <w:pPr>
        <w:pStyle w:val="FootnoteText"/>
      </w:pPr>
      <w:r>
        <w:rPr>
          <w:rStyle w:val="FootnoteReference"/>
        </w:rPr>
        <w:footnoteRef/>
      </w:r>
      <w:r>
        <w:t xml:space="preserve"> </w:t>
      </w:r>
      <w:r>
        <w:tab/>
        <w:t xml:space="preserve">See, for example, CitiPower, </w:t>
      </w:r>
      <w:r w:rsidRPr="001A0C41">
        <w:rPr>
          <w:rStyle w:val="AERtextitalic"/>
        </w:rPr>
        <w:t>Regulatory proposal 2016–2020</w:t>
      </w:r>
      <w:r>
        <w:t xml:space="preserve">, April 2015, p. 198–204 &amp; 224; </w:t>
      </w:r>
      <w:r w:rsidRPr="00791180">
        <w:t xml:space="preserve">CitiPower, </w:t>
      </w:r>
      <w:r w:rsidRPr="00791180">
        <w:rPr>
          <w:rStyle w:val="AERtextitalic"/>
        </w:rPr>
        <w:t>Revised regulatory proposal 2016–2020</w:t>
      </w:r>
      <w:r w:rsidRPr="00791180">
        <w:t xml:space="preserve">, January 2016, pp. 267, 284–286, 324–326; Powercor, </w:t>
      </w:r>
      <w:r w:rsidRPr="00791180">
        <w:rPr>
          <w:rStyle w:val="Emphasis"/>
        </w:rPr>
        <w:t>Revised regulatory proposal 2016–2020,</w:t>
      </w:r>
      <w:r w:rsidRPr="00791180">
        <w:t xml:space="preserve"> January 2016, pp. 261, 278–280, 318–320; ActewAGL, </w:t>
      </w:r>
      <w:r w:rsidRPr="00791180">
        <w:rPr>
          <w:rStyle w:val="Emphasis"/>
        </w:rPr>
        <w:t>Revised 2016–21 access a</w:t>
      </w:r>
      <w:r>
        <w:rPr>
          <w:rStyle w:val="Emphasis"/>
        </w:rPr>
        <w:t>r</w:t>
      </w:r>
      <w:r w:rsidRPr="00791180">
        <w:rPr>
          <w:rStyle w:val="Emphasis"/>
        </w:rPr>
        <w:t>rangement proposal Response to the AER's draft decision, Appendix 5.01 Detailed response to rate of return, gamma and inflation</w:t>
      </w:r>
      <w:r w:rsidRPr="00791180">
        <w:t xml:space="preserve">, January 2016, pp. 52–72, 94–105; United Energy, </w:t>
      </w:r>
      <w:r w:rsidRPr="00791180">
        <w:rPr>
          <w:rStyle w:val="Emphasis"/>
        </w:rPr>
        <w:t>Response to AER preliminary determination–Re: rate of return and gamma</w:t>
      </w:r>
      <w:r w:rsidRPr="00791180">
        <w:t xml:space="preserve">, 6 January 2016, pp. 38–40, 77–78; AGN, </w:t>
      </w:r>
      <w:r w:rsidRPr="00791180">
        <w:rPr>
          <w:rStyle w:val="Emphasis"/>
        </w:rPr>
        <w:t>2016–17 to 2020/21 Access Arrangement information response to draft decision: Attachment 10.26 Response to draft decision: rate of return</w:t>
      </w:r>
      <w:r w:rsidRPr="00791180">
        <w:t xml:space="preserve">, January 2016, pp. 81–82;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43–45;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xml:space="preserve">, 6 January 2016, pp. 38–46, 50–52; APTNT, </w:t>
      </w:r>
      <w:r w:rsidRPr="00791180">
        <w:rPr>
          <w:rStyle w:val="Emphasis"/>
        </w:rPr>
        <w:t>Amadeus Gas Pipeline Access arrangement revised proposal: response to Draft Decision,</w:t>
      </w:r>
      <w:r w:rsidRPr="00791180">
        <w:t xml:space="preserve"> January 2016, pp. 56, 69–73.</w:t>
      </w:r>
    </w:p>
  </w:footnote>
  <w:footnote w:id="177">
    <w:p w:rsidR="003F1AAB" w:rsidRDefault="003F1AAB" w:rsidP="002F6FA6">
      <w:pPr>
        <w:pStyle w:val="FootnoteText"/>
      </w:pPr>
      <w:r>
        <w:rPr>
          <w:rStyle w:val="FootnoteReference"/>
        </w:rPr>
        <w:footnoteRef/>
      </w:r>
      <w:r>
        <w:t xml:space="preserve"> </w:t>
      </w:r>
      <w:r>
        <w:tab/>
        <w:t xml:space="preserve">See, for example, CitiPower, </w:t>
      </w:r>
      <w:r w:rsidRPr="001A0C41">
        <w:rPr>
          <w:rStyle w:val="AERtextitalic"/>
        </w:rPr>
        <w:t>Regulatory proposal 2016–2020</w:t>
      </w:r>
      <w:r>
        <w:t xml:space="preserve">, April 2015, p. 198–204 &amp; 224; </w:t>
      </w:r>
      <w:r w:rsidRPr="00791180">
        <w:t xml:space="preserve">Powercor, </w:t>
      </w:r>
      <w:r w:rsidRPr="00791180">
        <w:rPr>
          <w:rStyle w:val="Emphasis"/>
        </w:rPr>
        <w:t>Regulatory proposal 2016–2020,</w:t>
      </w:r>
      <w:r w:rsidRPr="00791180">
        <w:t xml:space="preserve"> April 2015, p</w:t>
      </w:r>
      <w:r>
        <w:t>p. 2</w:t>
      </w:r>
      <w:r w:rsidRPr="00791180">
        <w:t xml:space="preserve">06–210, 218, 227, 232–234; ActewAGL, </w:t>
      </w:r>
      <w:r w:rsidRPr="00791180">
        <w:rPr>
          <w:rStyle w:val="AERtextitalic"/>
        </w:rPr>
        <w:t>Access Arrangement Information for the 2016-21 ACT, Queanbeyan and Palerang Access Arrangement, Appendix 8.02: Return on equity-detailed proposal</w:t>
      </w:r>
      <w:r w:rsidRPr="00791180">
        <w:t xml:space="preserve">,  June 2015, pp. 1–5, 19–49; United Energy, </w:t>
      </w:r>
      <w:r w:rsidRPr="00791180">
        <w:rPr>
          <w:rStyle w:val="Emphasis"/>
        </w:rPr>
        <w:t>2016 to 2020 regulatory proposal</w:t>
      </w:r>
      <w:r w:rsidRPr="00791180">
        <w:t xml:space="preserve">, April 2015, pp. 113–123; AGN, </w:t>
      </w:r>
      <w:r w:rsidRPr="00791180">
        <w:rPr>
          <w:rStyle w:val="Emphasis"/>
        </w:rPr>
        <w:t>2016/17 to 2020/21 Access Arrangement information: Attachment 10.1 Rate of return</w:t>
      </w:r>
      <w:r w:rsidRPr="00791180">
        <w:t xml:space="preserve">, July 2015, pp. 8–27, 39–42; JEN (Vic), </w:t>
      </w:r>
      <w:r w:rsidRPr="00791180">
        <w:rPr>
          <w:rStyle w:val="Emphasis"/>
        </w:rPr>
        <w:t>2016–20 Electricity distribution price review regulatory proposal: Attachment 9-2 Rate of return proposal</w:t>
      </w:r>
      <w:r w:rsidRPr="00791180">
        <w:t>, 30 Ap</w:t>
      </w:r>
      <w:r>
        <w:t>ril 2015, pp. 19–20, 20–58; AusN</w:t>
      </w:r>
      <w:r w:rsidRPr="00791180">
        <w:t xml:space="preserve">et Services, </w:t>
      </w:r>
      <w:r w:rsidRPr="00791180">
        <w:rPr>
          <w:rStyle w:val="Emphasis"/>
        </w:rPr>
        <w:t>Regulatory proposal 2016–20</w:t>
      </w:r>
      <w:r w:rsidRPr="00791180">
        <w:t xml:space="preserve">, 30 April 2015, pp. 280–314; APTNT, </w:t>
      </w:r>
      <w:r w:rsidRPr="00791180">
        <w:rPr>
          <w:rStyle w:val="Emphasis"/>
        </w:rPr>
        <w:t>Amadeus Gas Pipeline access arrangement revision proposal</w:t>
      </w:r>
      <w:r w:rsidRPr="00791180">
        <w:t>, August 2015, pp. 112–131</w:t>
      </w:r>
      <w:r>
        <w:t>.</w:t>
      </w:r>
    </w:p>
  </w:footnote>
  <w:footnote w:id="178">
    <w:p w:rsidR="003F1AAB" w:rsidRDefault="003F1AAB" w:rsidP="002F6FA6">
      <w:pPr>
        <w:pStyle w:val="FootnoteText"/>
      </w:pPr>
      <w:r>
        <w:rPr>
          <w:rStyle w:val="FootnoteReference"/>
        </w:rPr>
        <w:footnoteRef/>
      </w:r>
      <w:r>
        <w:t xml:space="preserve"> </w:t>
      </w:r>
      <w:r>
        <w:tab/>
        <w:t xml:space="preserve">CitiPower, </w:t>
      </w:r>
      <w:r w:rsidRPr="001A0C41">
        <w:rPr>
          <w:rStyle w:val="AERtextitalic"/>
        </w:rPr>
        <w:t>Revised Regulatory Proposal 2016</w:t>
      </w:r>
      <w:r w:rsidRPr="001A0C41">
        <w:rPr>
          <w:rStyle w:val="AERtextitalic"/>
        </w:rPr>
        <w:softHyphen/>
        <w:t>–2020</w:t>
      </w:r>
      <w:r>
        <w:t xml:space="preserve">, January 2016, p. 287; </w:t>
      </w:r>
      <w:r w:rsidRPr="00791180">
        <w:t xml:space="preserve">Powercor, </w:t>
      </w:r>
      <w:r w:rsidRPr="00791180">
        <w:rPr>
          <w:rStyle w:val="Emphasis"/>
        </w:rPr>
        <w:t>Revised regulatory proposal 2016–2020,</w:t>
      </w:r>
      <w:r w:rsidRPr="00791180">
        <w:t xml:space="preserve"> January 2016, p. 281; ActewAGL, </w:t>
      </w:r>
      <w:r w:rsidRPr="00791180">
        <w:rPr>
          <w:rStyle w:val="Emphasis"/>
        </w:rPr>
        <w:t xml:space="preserve">Revised 2016–21 access </w:t>
      </w:r>
      <w:r>
        <w:rPr>
          <w:rStyle w:val="Emphasis"/>
        </w:rPr>
        <w:t>arrangement</w:t>
      </w:r>
      <w:r w:rsidRPr="00791180">
        <w:rPr>
          <w:rStyle w:val="Emphasis"/>
        </w:rPr>
        <w:t xml:space="preserve"> proposal Response to the AER's draft decision, Appendix 5.01 Detailed response to rate of return, gamma and inflation</w:t>
      </w:r>
      <w:r w:rsidRPr="00791180">
        <w:t xml:space="preserve">, January 2016, pp. 54–65; United Energy, </w:t>
      </w:r>
      <w:r w:rsidRPr="00791180">
        <w:rPr>
          <w:rStyle w:val="Emphasis"/>
        </w:rPr>
        <w:t>Response to AER preliminary determination–Re: rate of return and gamma</w:t>
      </w:r>
      <w:r w:rsidRPr="00791180">
        <w:t xml:space="preserve">, 6 January 2016, pp. 40–46; AGN, </w:t>
      </w:r>
      <w:r w:rsidRPr="00791180">
        <w:rPr>
          <w:rStyle w:val="Emphasis"/>
        </w:rPr>
        <w:t xml:space="preserve">2016–17 to 2020/21 Access Arrangement </w:t>
      </w:r>
      <w:r>
        <w:rPr>
          <w:rStyle w:val="Emphasis"/>
        </w:rPr>
        <w:t>information</w:t>
      </w:r>
      <w:r w:rsidRPr="00791180">
        <w:rPr>
          <w:rStyle w:val="Emphasis"/>
        </w:rPr>
        <w:t xml:space="preserve"> response to draft decision: Attachment 10.26 Response to draft decision: rate of return</w:t>
      </w:r>
      <w:r w:rsidRPr="00791180">
        <w:t xml:space="preserve">, January 2016, pp. 47–49;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46–47; AusN</w:t>
      </w:r>
      <w:r w:rsidRPr="00791180">
        <w:t xml:space="preserve">et Services, </w:t>
      </w:r>
      <w:r w:rsidRPr="00791180">
        <w:rPr>
          <w:rStyle w:val="Emphasis"/>
        </w:rPr>
        <w:t xml:space="preserve">Electricity distribution price review 2016–20 Revised regulatory proposal: </w:t>
      </w:r>
      <w:r>
        <w:rPr>
          <w:rStyle w:val="Emphasis"/>
        </w:rPr>
        <w:t>Chapter</w:t>
      </w:r>
      <w:r w:rsidRPr="00791180">
        <w:rPr>
          <w:rStyle w:val="Emphasis"/>
        </w:rPr>
        <w:t xml:space="preserve"> 7 Rate of return &amp; gamma</w:t>
      </w:r>
      <w:r w:rsidRPr="00791180">
        <w:t xml:space="preserve">, 6 January 2016, pp. 41–46; APTNT, </w:t>
      </w:r>
      <w:r w:rsidRPr="00791180">
        <w:rPr>
          <w:rStyle w:val="Emphasis"/>
        </w:rPr>
        <w:t>Amadeus Gas Pipeline Access arrangement revised proposal: response to Draft Decision,</w:t>
      </w:r>
      <w:r w:rsidRPr="00791180">
        <w:t xml:space="preserve"> January 2016, pp. 69–73</w:t>
      </w:r>
      <w:r>
        <w:t>.</w:t>
      </w:r>
    </w:p>
  </w:footnote>
  <w:footnote w:id="179">
    <w:p w:rsidR="003F1AAB" w:rsidRDefault="003F1AAB" w:rsidP="002F6FA6">
      <w:pPr>
        <w:pStyle w:val="FootnoteText"/>
      </w:pPr>
      <w:r>
        <w:rPr>
          <w:rStyle w:val="FootnoteReference"/>
        </w:rPr>
        <w:footnoteRef/>
      </w:r>
      <w:r>
        <w:t xml:space="preserve"> </w:t>
      </w:r>
      <w:r>
        <w:tab/>
      </w:r>
      <w:r w:rsidRPr="00177FBB">
        <w:t xml:space="preserve">Frontier Economics, The </w:t>
      </w:r>
      <w:r w:rsidRPr="00177FBB">
        <w:rPr>
          <w:rStyle w:val="AERtextitalic"/>
        </w:rPr>
        <w:t xml:space="preserve">required return on equity under a foundation model approach – Report prepared for Jemena </w:t>
      </w:r>
      <w:r>
        <w:rPr>
          <w:rStyle w:val="AERtextitalic"/>
        </w:rPr>
        <w:t>Electricity</w:t>
      </w:r>
      <w:r w:rsidRPr="00177FBB">
        <w:rPr>
          <w:rStyle w:val="AERtextitalic"/>
        </w:rPr>
        <w:t xml:space="preserve">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180">
    <w:p w:rsidR="003F1AAB" w:rsidRDefault="003F1AAB" w:rsidP="002F6FA6">
      <w:pPr>
        <w:pStyle w:val="FootnoteText"/>
      </w:pPr>
      <w:r>
        <w:rPr>
          <w:rStyle w:val="FootnoteReference"/>
        </w:rPr>
        <w:footnoteRef/>
      </w:r>
      <w:r>
        <w:t xml:space="preserve"> </w:t>
      </w:r>
      <w:r>
        <w:tab/>
        <w:t>For both the construction of individual models, and the quantitative and/or qualitative methods to give weight to the models.</w:t>
      </w:r>
    </w:p>
  </w:footnote>
  <w:footnote w:id="181">
    <w:p w:rsidR="003F1AAB" w:rsidRDefault="003F1AAB" w:rsidP="002F6FA6">
      <w:pPr>
        <w:pStyle w:val="FootnoteText"/>
      </w:pPr>
      <w:r>
        <w:rPr>
          <w:rStyle w:val="FootnoteReference"/>
        </w:rPr>
        <w:footnoteRef/>
      </w:r>
      <w:r>
        <w:t xml:space="preserve"> </w:t>
      </w:r>
      <w:r>
        <w:tab/>
        <w:t xml:space="preserve">For example, Partington noted that any return on equity estimate could be obtained from SFG’s DGM construction through judicious choice of input assumptions [Partington, </w:t>
      </w:r>
      <w:r w:rsidRPr="00E529BF">
        <w:rPr>
          <w:rStyle w:val="AERtextitalic"/>
        </w:rPr>
        <w:t>Report to the AER</w:t>
      </w:r>
      <w:r>
        <w:rPr>
          <w:rStyle w:val="AERtextitalic"/>
        </w:rPr>
        <w:t>: Return</w:t>
      </w:r>
      <w:r w:rsidRPr="00E529BF">
        <w:rPr>
          <w:rStyle w:val="AERtextitalic"/>
        </w:rPr>
        <w:t xml:space="preserve"> on </w:t>
      </w:r>
      <w:r>
        <w:rPr>
          <w:rStyle w:val="AERtextitalic"/>
        </w:rPr>
        <w:t>e</w:t>
      </w:r>
      <w:r w:rsidRPr="00E529BF">
        <w:rPr>
          <w:rStyle w:val="AERtextitalic"/>
        </w:rPr>
        <w:t>quity</w:t>
      </w:r>
      <w:r>
        <w:rPr>
          <w:rStyle w:val="AERtextitalic"/>
        </w:rPr>
        <w:t xml:space="preserve"> (updated)</w:t>
      </w:r>
      <w:r>
        <w:t xml:space="preserve">, April 2015, p. 54]. </w:t>
      </w:r>
    </w:p>
  </w:footnote>
  <w:footnote w:id="182">
    <w:p w:rsidR="003F1AAB" w:rsidRDefault="003F1AAB" w:rsidP="002F6FA6">
      <w:pPr>
        <w:pStyle w:val="FootnoteText"/>
      </w:pPr>
      <w:r>
        <w:rPr>
          <w:rStyle w:val="FootnoteReference"/>
        </w:rPr>
        <w:footnoteRef/>
      </w:r>
      <w:r>
        <w:t xml:space="preserve"> </w:t>
      </w:r>
      <w:r>
        <w:tab/>
      </w:r>
      <w:r w:rsidRPr="00387DCE">
        <w:t xml:space="preserve">Partington and Satchell, </w:t>
      </w:r>
      <w:r w:rsidRPr="00D325AA">
        <w:rPr>
          <w:rStyle w:val="Emphasis"/>
        </w:rPr>
        <w:t>Report to the AER: Cost of equity issues–</w:t>
      </w:r>
      <w:r>
        <w:rPr>
          <w:rStyle w:val="Emphasis"/>
        </w:rPr>
        <w:t>2016 electricity and gas determinations</w:t>
      </w:r>
      <w:r w:rsidRPr="00387DCE">
        <w:t>, April 201</w:t>
      </w:r>
      <w:r>
        <w:t>6</w:t>
      </w:r>
      <w:r w:rsidRPr="00387DCE">
        <w:t>,</w:t>
      </w:r>
      <w:r>
        <w:t xml:space="preserve"> p. 47.</w:t>
      </w:r>
    </w:p>
  </w:footnote>
  <w:footnote w:id="183">
    <w:p w:rsidR="003F1AAB" w:rsidRDefault="003F1AAB" w:rsidP="002F6FA6">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184">
    <w:p w:rsidR="003F1AAB" w:rsidRDefault="003F1AAB" w:rsidP="002F6FA6">
      <w:pPr>
        <w:pStyle w:val="FootnoteText"/>
      </w:pPr>
      <w:r>
        <w:rPr>
          <w:rStyle w:val="FootnoteReference"/>
        </w:rPr>
        <w:footnoteRef/>
      </w:r>
      <w:r>
        <w:t xml:space="preserve"> </w:t>
      </w:r>
      <w:r>
        <w:tab/>
      </w:r>
      <w:r w:rsidRPr="000A57D5">
        <w:t xml:space="preserve">For example, see AER, </w:t>
      </w:r>
      <w:r w:rsidRPr="000A57D5">
        <w:rPr>
          <w:rStyle w:val="AERtextitalic"/>
        </w:rPr>
        <w:t>Preliminary decision: CitPower Determination 2016 to 2020: Attachment 3–Rate of return</w:t>
      </w:r>
      <w:r w:rsidRPr="000A57D5">
        <w:t>, October 2015, pp. 257–323</w:t>
      </w:r>
      <w:r>
        <w:t>;</w:t>
      </w:r>
      <w:r w:rsidRPr="000A57D5">
        <w:t>.</w:t>
      </w:r>
      <w:r>
        <w:t xml:space="preserve"> </w:t>
      </w:r>
      <w:r w:rsidRPr="00B55FA0">
        <w:t xml:space="preserve">AER, </w:t>
      </w:r>
      <w:r w:rsidRPr="00B55FA0">
        <w:rPr>
          <w:rStyle w:val="AERtextitalic"/>
        </w:rPr>
        <w:t>Powercor Preliminary Decision - Attachment 3: Rate of Return</w:t>
      </w:r>
      <w:r w:rsidRPr="00B55FA0">
        <w:t xml:space="preserve">, October 2015, pp. </w:t>
      </w:r>
      <w:r>
        <w:t>257–323</w:t>
      </w:r>
      <w:r w:rsidRPr="00B55FA0">
        <w:t xml:space="preserve">;  AER, </w:t>
      </w:r>
      <w:r w:rsidRPr="00B55FA0">
        <w:rPr>
          <w:rStyle w:val="Emphasis"/>
        </w:rPr>
        <w:t>Draft decision ActewAGL distribution determination 2016 to 2021: Attachment 3 – Rate of return</w:t>
      </w:r>
      <w:r w:rsidRPr="00B55FA0">
        <w:t xml:space="preserve">, November 2015, p. </w:t>
      </w:r>
      <w:r>
        <w:t>265–331</w:t>
      </w:r>
      <w:r w:rsidRPr="00B55FA0">
        <w:t xml:space="preserve">; AER, </w:t>
      </w:r>
      <w:r w:rsidRPr="00B55FA0">
        <w:rPr>
          <w:rStyle w:val="Emphasis"/>
        </w:rPr>
        <w:t>Preliminary decision United Energy determination 2016 to 2020: Attachment 3 – Rate of return</w:t>
      </w:r>
      <w:r w:rsidRPr="00B55FA0">
        <w:t xml:space="preserve">, October 2015, pp. </w:t>
      </w:r>
      <w:r>
        <w:t>253–320</w:t>
      </w:r>
      <w:r w:rsidRPr="00B55FA0">
        <w:t xml:space="preserve">; AER, </w:t>
      </w:r>
      <w:r w:rsidRPr="00B55FA0">
        <w:rPr>
          <w:rStyle w:val="Emphasis"/>
        </w:rPr>
        <w:t>Draft decision Australian Gas Networks access arrangement 2016 to 2021–Attachment 3: rate of return</w:t>
      </w:r>
      <w:r w:rsidRPr="00B55FA0">
        <w:t xml:space="preserve">, November 2015, pp. </w:t>
      </w:r>
      <w:r>
        <w:t>267</w:t>
      </w:r>
      <w:r w:rsidRPr="00B55FA0">
        <w:t>–</w:t>
      </w:r>
      <w:r>
        <w:t>333</w:t>
      </w:r>
      <w:r w:rsidRPr="00B55FA0">
        <w:t xml:space="preserve">; AER, </w:t>
      </w:r>
      <w:r w:rsidRPr="00B55FA0">
        <w:rPr>
          <w:rStyle w:val="Emphasis"/>
        </w:rPr>
        <w:t>Preliminary decision Jemena distribution determination 2016 to 2020: Attachment 3–Rate of return</w:t>
      </w:r>
      <w:r w:rsidRPr="00B55FA0">
        <w:t>, October 2015, pp. 2</w:t>
      </w:r>
      <w:r>
        <w:t>31</w:t>
      </w:r>
      <w:r w:rsidRPr="00B55FA0">
        <w:t>–</w:t>
      </w:r>
      <w:r>
        <w:t>327</w:t>
      </w:r>
      <w:r w:rsidRPr="00B55FA0">
        <w:t>; AER</w:t>
      </w:r>
      <w:r w:rsidRPr="00B55FA0">
        <w:rPr>
          <w:rStyle w:val="Emphasis"/>
        </w:rPr>
        <w:t>, Preliminary decision AusNet Services determination 2016 to 2020: Attachment 3–Rate of return</w:t>
      </w:r>
      <w:r w:rsidRPr="00B55FA0">
        <w:t xml:space="preserve">, October 2015, pp. </w:t>
      </w:r>
      <w:r>
        <w:t>260–326</w:t>
      </w:r>
      <w:r w:rsidRPr="00B55FA0">
        <w:t xml:space="preserve">; AER, </w:t>
      </w:r>
      <w:r w:rsidRPr="00B55FA0">
        <w:rPr>
          <w:rStyle w:val="Emphasis"/>
        </w:rPr>
        <w:t>Draft decision Amadeus Gas Pipeline access arrangement 2016 to 2021: Attachment 3</w:t>
      </w:r>
      <w:r w:rsidRPr="00B55FA0">
        <w:rPr>
          <w:rStyle w:val="Emphasis"/>
        </w:rPr>
        <w:softHyphen/>
        <w:t>–Rate of return</w:t>
      </w:r>
      <w:r w:rsidRPr="00B55FA0">
        <w:t xml:space="preserve">, November 2015, pp. </w:t>
      </w:r>
      <w:r>
        <w:t>264–330.</w:t>
      </w:r>
    </w:p>
  </w:footnote>
  <w:footnote w:id="185">
    <w:p w:rsidR="003F1AAB" w:rsidRDefault="003F1AAB" w:rsidP="002F6FA6">
      <w:pPr>
        <w:pStyle w:val="FootnoteText"/>
      </w:pPr>
      <w:r>
        <w:rPr>
          <w:rStyle w:val="FootnoteReference"/>
        </w:rPr>
        <w:footnoteRef/>
      </w:r>
      <w:r>
        <w:t xml:space="preserve"> </w:t>
      </w:r>
      <w:r>
        <w:tab/>
      </w:r>
      <w:r w:rsidRPr="000A57D5">
        <w:t xml:space="preserve">See Brealey, Myers, Partington and Robinson, </w:t>
      </w:r>
      <w:r w:rsidRPr="000A57D5">
        <w:rPr>
          <w:rStyle w:val="AERtextitalic"/>
        </w:rPr>
        <w:t>Principles of corporate finance</w:t>
      </w:r>
      <w:r w:rsidRPr="000A57D5">
        <w:t xml:space="preserve">, McGraw Hill Australia, 2007, p. 216; Stephan Schaeffler and Christoph Weber, ‘The Cost of Equity of Network Operators – Empirical Evidence and Regulatory Practice’, </w:t>
      </w:r>
      <w:r w:rsidRPr="000A57D5">
        <w:rPr>
          <w:rStyle w:val="AERtextitalic"/>
        </w:rPr>
        <w:t>Competition and Regulation in Network Industries</w:t>
      </w:r>
      <w:r w:rsidRPr="000A57D5">
        <w:t xml:space="preserve">, 14(4), 2013, p. 386; McKenzie and Partington, </w:t>
      </w:r>
      <w:r w:rsidRPr="000A57D5">
        <w:rPr>
          <w:rStyle w:val="AERtextitalic"/>
        </w:rPr>
        <w:t>Report to the AER part A: Return on equity</w:t>
      </w:r>
      <w:r w:rsidRPr="000A57D5">
        <w:t xml:space="preserve">, October 2014, pp. 9–10; AER, </w:t>
      </w:r>
      <w:r w:rsidRPr="000A57D5">
        <w:rPr>
          <w:rStyle w:val="AERtextitalic"/>
        </w:rPr>
        <w:t>Explanatory statement rate of return guideline (appendices)</w:t>
      </w:r>
      <w:r w:rsidRPr="000A57D5">
        <w:t>, 17 December 2013, pp. 13–14.</w:t>
      </w:r>
    </w:p>
  </w:footnote>
  <w:footnote w:id="186">
    <w:p w:rsidR="003F1AAB" w:rsidRDefault="003F1AAB" w:rsidP="002F6FA6">
      <w:pPr>
        <w:pStyle w:val="FootnoteText"/>
      </w:pPr>
      <w:r>
        <w:rPr>
          <w:rStyle w:val="FootnoteReference"/>
        </w:rPr>
        <w:footnoteRef/>
      </w:r>
      <w:r>
        <w:t xml:space="preserve"> </w:t>
      </w:r>
      <w:r>
        <w:tab/>
        <w:t xml:space="preserve">AusNet Services, </w:t>
      </w:r>
      <w:r w:rsidRPr="006C0405">
        <w:rPr>
          <w:rStyle w:val="AERtextitalic"/>
        </w:rPr>
        <w:t>Transmission Revenue Review 2017–2022 regulatory proposal</w:t>
      </w:r>
      <w:r>
        <w:t xml:space="preserve">, 30 October 2015, p. 191; CitiPower, </w:t>
      </w:r>
      <w:r w:rsidRPr="001A0C41">
        <w:rPr>
          <w:rStyle w:val="AERtextitalic"/>
        </w:rPr>
        <w:t>Revised regulatory proposal 2016–2020</w:t>
      </w:r>
      <w:r>
        <w:t>, January  2016, pp. 292–298, 325–326</w:t>
      </w:r>
      <w:r w:rsidRPr="00791180">
        <w:t xml:space="preserve"> ; Powercor, </w:t>
      </w:r>
      <w:r w:rsidRPr="00791180">
        <w:rPr>
          <w:rStyle w:val="AERtextitalic"/>
        </w:rPr>
        <w:t>Revised regulatory proposal 2016–2020</w:t>
      </w:r>
      <w:r w:rsidRPr="00791180">
        <w:t xml:space="preserve">, January  2016, pp. 286–292, 319–320; ActewAGL, </w:t>
      </w:r>
      <w:r w:rsidRPr="00791180">
        <w:rPr>
          <w:rStyle w:val="Emphasis"/>
        </w:rPr>
        <w:t>Revised 2016–21 access a</w:t>
      </w:r>
      <w:r>
        <w:rPr>
          <w:rStyle w:val="Emphasis"/>
        </w:rPr>
        <w:t>r</w:t>
      </w:r>
      <w:r w:rsidRPr="00791180">
        <w:rPr>
          <w:rStyle w:val="Emphasis"/>
        </w:rPr>
        <w:t>rangement proposal Response to the AER's draft decision, Appendix 5.01 Detailed response to rate of return, gamma and inflation</w:t>
      </w:r>
      <w:r w:rsidRPr="00791180">
        <w:t xml:space="preserve">, January 2016, pp. 53–54, 64–72, 104–105; United Energy, </w:t>
      </w:r>
      <w:r w:rsidRPr="00791180">
        <w:rPr>
          <w:rStyle w:val="Emphasis"/>
        </w:rPr>
        <w:t>Response to AER preliminary determination–Re: rate of return and gamma</w:t>
      </w:r>
      <w:r w:rsidRPr="00791180">
        <w:t xml:space="preserve">, 6 January 2016, pp. 38–46, 77–78; AGN, </w:t>
      </w:r>
      <w:r w:rsidRPr="00791180">
        <w:rPr>
          <w:rStyle w:val="Emphasis"/>
        </w:rPr>
        <w:t>2016–17 to 2020/21 Access Arrangement information response to draft decision: Attachment 10.26 Response to draft decision: rate of return</w:t>
      </w:r>
      <w:r w:rsidRPr="00791180">
        <w:t xml:space="preserve">, January 2016, pp. 44–52, 81–82; ; JEN (Vic), </w:t>
      </w:r>
      <w:r w:rsidRPr="00791180">
        <w:rPr>
          <w:rStyle w:val="Emphasis"/>
        </w:rPr>
        <w:t>2016–20 Electricity distribution price review regulatory proposal revocation and substitution submission: Attachment 6–1 Rate of return, gamma, forecast inflation, and debt and equity raising costs,</w:t>
      </w:r>
      <w:r w:rsidRPr="00791180">
        <w:t xml:space="preserve"> 6 Janua</w:t>
      </w:r>
      <w:r>
        <w:t>ry 2016, pp. 43– 57, 83–84;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6 January 2016, p</w:t>
      </w:r>
      <w:r>
        <w:t>p. 3</w:t>
      </w:r>
      <w:r w:rsidRPr="00791180">
        <w:t xml:space="preserve">8–46; APTNT, </w:t>
      </w:r>
      <w:r w:rsidRPr="00791180">
        <w:rPr>
          <w:rStyle w:val="Emphasis"/>
        </w:rPr>
        <w:t>Amadeus Gas Pipeline access arrangement revision proposal</w:t>
      </w:r>
      <w:r w:rsidRPr="00791180">
        <w:t>, August 2015, pp. 128–131.</w:t>
      </w:r>
    </w:p>
  </w:footnote>
  <w:footnote w:id="187">
    <w:p w:rsidR="003F1AAB" w:rsidRDefault="003F1AAB" w:rsidP="002F6FA6">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pp. 292–298;</w:t>
      </w:r>
      <w:r w:rsidRPr="00791180">
        <w:t xml:space="preserve"> Powercor, </w:t>
      </w:r>
      <w:r w:rsidRPr="00791180">
        <w:rPr>
          <w:rStyle w:val="AERtextitalic"/>
        </w:rPr>
        <w:t>Revised regulatory proposal 2016–2020</w:t>
      </w:r>
      <w:r w:rsidRPr="00791180">
        <w:t xml:space="preserve">, January  2016, pp. 286–292; ; ActewAGL, </w:t>
      </w:r>
      <w:r w:rsidRPr="00791180">
        <w:rPr>
          <w:rStyle w:val="Emphasis"/>
        </w:rPr>
        <w:t>Revised 2016–21 access ar</w:t>
      </w:r>
      <w:r>
        <w:rPr>
          <w:rStyle w:val="Emphasis"/>
        </w:rPr>
        <w:t>r</w:t>
      </w:r>
      <w:r w:rsidRPr="00791180">
        <w:rPr>
          <w:rStyle w:val="Emphasis"/>
        </w:rPr>
        <w:t>angement proposal Response to the AER's draft decision, Appendix 5.01 Detailed response to rate of return, gamma and inflation</w:t>
      </w:r>
      <w:r w:rsidRPr="00791180">
        <w:t xml:space="preserve">, January 2016, pp. 64–72; United Energy, </w:t>
      </w:r>
      <w:r w:rsidRPr="00791180">
        <w:rPr>
          <w:rStyle w:val="Emphasis"/>
        </w:rPr>
        <w:t>Response to AER preliminary determination–Re: rate of return and gamma</w:t>
      </w:r>
      <w:r w:rsidRPr="00791180">
        <w:t xml:space="preserve">, 6 January 2016, pp. 38, 52; AGN, </w:t>
      </w:r>
      <w:r w:rsidRPr="00791180">
        <w:rPr>
          <w:rStyle w:val="Emphasis"/>
        </w:rPr>
        <w:t>2016–17 to 2020/21 Access Arrangement information response to draft decision: Attachment 10.26 Response to draft decision: rate of return</w:t>
      </w:r>
      <w:r w:rsidRPr="00791180">
        <w:t xml:space="preserve">, January 2016, pp. 47–52, 73–74; JEN (Vic), </w:t>
      </w:r>
      <w:r w:rsidRPr="00791180">
        <w:rPr>
          <w:rStyle w:val="Emphasis"/>
        </w:rPr>
        <w:t>2016–20 Electricity distribution price review regulatory proposal revocation and substitution submission: Attachment 6–1 Rate of return, gamma, forecast inflation, and debt and equity raising costs,</w:t>
      </w:r>
      <w:r w:rsidRPr="00791180">
        <w:t xml:space="preserve"> 6 Janua</w:t>
      </w:r>
      <w:r>
        <w:t>ry 2016, pp. 46–51, 51–57 ;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xml:space="preserve">, 6 January 2016, pp. 44–52; APTNT, </w:t>
      </w:r>
      <w:r w:rsidRPr="00791180">
        <w:rPr>
          <w:rStyle w:val="Emphasis"/>
        </w:rPr>
        <w:t>Amadeus Gas Pipeline Access arrangement revised proposal: response to Draft Decision,</w:t>
      </w:r>
      <w:r w:rsidRPr="00791180">
        <w:t xml:space="preserve"> January 2016, pp. 73; APTNT, </w:t>
      </w:r>
      <w:r w:rsidRPr="00791180">
        <w:rPr>
          <w:rStyle w:val="Emphasis"/>
        </w:rPr>
        <w:t>Amadeus Gas Pipeline access arrangement revision proposal</w:t>
      </w:r>
      <w:r w:rsidRPr="00791180">
        <w:t xml:space="preserve">, August 2015, pp. 128–131;  </w:t>
      </w:r>
      <w:r>
        <w:t xml:space="preserve">Frontier Economics, </w:t>
      </w:r>
      <w:r w:rsidRPr="001A0C41">
        <w:rPr>
          <w:rStyle w:val="AERtextitalic"/>
        </w:rPr>
        <w:t xml:space="preserve">The required return on equity under a foundation model approach – Report prepared for Jemena </w:t>
      </w:r>
      <w:r>
        <w:rPr>
          <w:rStyle w:val="AERtextitalic"/>
        </w:rPr>
        <w:t>Electricity</w:t>
      </w:r>
      <w:r w:rsidRPr="001A0C41">
        <w:rPr>
          <w:rStyle w:val="AERtextitalic"/>
        </w:rPr>
        <w:t xml:space="preserve"> Networks, ACTEWAGL Distribution, AusNet Services, Australian Gas Networks, Cit</w:t>
      </w:r>
      <w:r>
        <w:rPr>
          <w:rStyle w:val="AERtextitalic"/>
        </w:rPr>
        <w:t>iP</w:t>
      </w:r>
      <w:r w:rsidRPr="001A0C41">
        <w:rPr>
          <w:rStyle w:val="AERtextitalic"/>
        </w:rPr>
        <w:t>ower, Powercor and United Energy</w:t>
      </w:r>
      <w:r>
        <w:t>, January 2016, p. 21.</w:t>
      </w:r>
      <w:r w:rsidRPr="00C23257">
        <w:t xml:space="preserve"> </w:t>
      </w:r>
      <w:r>
        <w:t xml:space="preserve">AusNet Services, </w:t>
      </w:r>
      <w:r w:rsidRPr="006C0405">
        <w:rPr>
          <w:rStyle w:val="AERtextitalic"/>
        </w:rPr>
        <w:t>Transmission Revenue Review 2017–2022 regulatory proposal</w:t>
      </w:r>
      <w:r>
        <w:t>, 30 October 2015, pp. 196–197.</w:t>
      </w:r>
    </w:p>
  </w:footnote>
  <w:footnote w:id="188">
    <w:p w:rsidR="003F1AAB" w:rsidRDefault="003F1AAB" w:rsidP="002F6FA6">
      <w:pPr>
        <w:pStyle w:val="FootnoteText"/>
      </w:pPr>
      <w:r>
        <w:rPr>
          <w:rStyle w:val="FootnoteReference"/>
        </w:rPr>
        <w:footnoteRef/>
      </w:r>
      <w:r>
        <w:t xml:space="preserve"> </w:t>
      </w:r>
      <w:r>
        <w:tab/>
        <w:t>A</w:t>
      </w:r>
      <w:r w:rsidRPr="002A6826">
        <w:t xml:space="preserve">s indicated by our approach to estimating the return on debt using a simple average of the RBA and Bloomberg </w:t>
      </w:r>
      <w:r>
        <w:t>yield to maturity</w:t>
      </w:r>
      <w:r w:rsidRPr="002A6826">
        <w:t xml:space="preserve"> estimates extrapolated out to ten years.</w:t>
      </w:r>
    </w:p>
  </w:footnote>
  <w:footnote w:id="189">
    <w:p w:rsidR="003F1AAB" w:rsidRDefault="003F1AAB" w:rsidP="002F6FA6">
      <w:pPr>
        <w:pStyle w:val="FootnoteText"/>
      </w:pPr>
      <w:r>
        <w:rPr>
          <w:rStyle w:val="FootnoteReference"/>
        </w:rPr>
        <w:footnoteRef/>
      </w:r>
      <w:r>
        <w:t xml:space="preserve"> </w:t>
      </w:r>
      <w:r>
        <w:tab/>
      </w:r>
      <w:r w:rsidRPr="00463A41">
        <w:t>Partington</w:t>
      </w:r>
      <w:r>
        <w:t xml:space="preserve">, </w:t>
      </w:r>
      <w:r>
        <w:rPr>
          <w:rStyle w:val="AERtextitalic"/>
        </w:rPr>
        <w:t xml:space="preserve">Report to the AER: Return on equity (updated), </w:t>
      </w:r>
      <w:r w:rsidRPr="004F7EF6">
        <w:rPr>
          <w:rStyle w:val="AERtextitalic"/>
          <w:i w:val="0"/>
        </w:rPr>
        <w:t>April 2015</w:t>
      </w:r>
      <w:r>
        <w:t>, p. 14.</w:t>
      </w:r>
    </w:p>
  </w:footnote>
  <w:footnote w:id="190">
    <w:p w:rsidR="003F1AAB" w:rsidRDefault="003F1AAB" w:rsidP="002F6FA6">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33, 40.</w:t>
      </w:r>
    </w:p>
  </w:footnote>
  <w:footnote w:id="191">
    <w:p w:rsidR="003F1AAB" w:rsidRDefault="003F1AAB" w:rsidP="002F6FA6">
      <w:pPr>
        <w:pStyle w:val="FootnoteText"/>
      </w:pPr>
      <w:r>
        <w:rPr>
          <w:rStyle w:val="FootnoteReference"/>
        </w:rPr>
        <w:footnoteRef/>
      </w:r>
      <w:r>
        <w:t xml:space="preserve"> </w:t>
      </w:r>
      <w:r>
        <w:tab/>
        <w:t>The latter point was supported by the Australian Competition Tribunal ([2016] ACT 1 at 210). See Appendix A for more detail.</w:t>
      </w:r>
    </w:p>
  </w:footnote>
  <w:footnote w:id="192">
    <w:p w:rsidR="003F1AAB" w:rsidRDefault="003F1AAB" w:rsidP="002F6FA6">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pp. 286–298;</w:t>
      </w:r>
      <w:r w:rsidRPr="00CE5AD1">
        <w:t xml:space="preserve"> Powercor, </w:t>
      </w:r>
      <w:r w:rsidRPr="00CE5AD1">
        <w:rPr>
          <w:rStyle w:val="AERtextitalic"/>
        </w:rPr>
        <w:t>Revised regulatory proposal 2016–2020</w:t>
      </w:r>
      <w:r w:rsidRPr="00CE5AD1">
        <w:t xml:space="preserve">, January  2016, pp. 280–292; ActewAGL, </w:t>
      </w:r>
      <w:r w:rsidRPr="00CE5AD1">
        <w:rPr>
          <w:rStyle w:val="Emphasis"/>
        </w:rPr>
        <w:t>Revised 2016–21 access a</w:t>
      </w:r>
      <w:r>
        <w:rPr>
          <w:rStyle w:val="Emphasis"/>
        </w:rPr>
        <w:t>r</w:t>
      </w:r>
      <w:r w:rsidRPr="00CE5AD1">
        <w:rPr>
          <w:rStyle w:val="Emphasis"/>
        </w:rPr>
        <w:t>rangement proposal Response to the AER's draft decision, Appendix 5.01 Detailed response to rate of return, gamma and inflation</w:t>
      </w:r>
      <w:r w:rsidRPr="00CE5AD1">
        <w:t xml:space="preserve">, January 2016, pp. 64–72; United Energy, </w:t>
      </w:r>
      <w:r w:rsidRPr="00CE5AD1">
        <w:rPr>
          <w:rStyle w:val="Emphasis"/>
        </w:rPr>
        <w:t>Response to AER preliminary determination–Re: rate of return and gamma</w:t>
      </w:r>
      <w:r w:rsidRPr="00CE5AD1">
        <w:t>, 6 January 2016, p</w:t>
      </w:r>
      <w:r>
        <w:t>p. 4</w:t>
      </w:r>
      <w:r w:rsidRPr="00CE5AD1">
        <w:t xml:space="preserve">0–46; AGN, </w:t>
      </w:r>
      <w:r w:rsidRPr="00CE5AD1">
        <w:rPr>
          <w:rStyle w:val="Emphasis"/>
        </w:rPr>
        <w:t>2016–17 to 2020/21 Access Arrangement information response to draft decision: Attachment 10.26 Response to draft decision: rate of return</w:t>
      </w:r>
      <w:r w:rsidRPr="00CE5AD1">
        <w:t xml:space="preserve">, January 2016, pp. pp. 47–52, 73–74; JEN (Vic), </w:t>
      </w:r>
      <w:r w:rsidRPr="00CE5AD1">
        <w:rPr>
          <w:rStyle w:val="Emphasis"/>
        </w:rPr>
        <w:t>2016–20 Electricity distribution price review regulatory proposal revocation and substitution submission: Attachment 6–1 Rate of return, gamma, forecast inflation, and debt and equity raising costs,</w:t>
      </w:r>
      <w:r>
        <w:t xml:space="preserve"> 6 January 2016, pp. 46–51; AusN</w:t>
      </w:r>
      <w:r w:rsidRPr="00CE5AD1">
        <w:t xml:space="preserve">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41–46; APTNT, </w:t>
      </w:r>
      <w:r w:rsidRPr="00CE5AD1">
        <w:rPr>
          <w:rStyle w:val="Emphasis"/>
        </w:rPr>
        <w:t>Amadeus Gas Pipeline Access arrangement revised proposal: response to Draft Decision,</w:t>
      </w:r>
      <w:r w:rsidRPr="00CE5AD1">
        <w:t xml:space="preserve"> January 2016, p. 70, 73; APTNT, </w:t>
      </w:r>
      <w:r w:rsidRPr="00CE5AD1">
        <w:rPr>
          <w:rStyle w:val="Emphasis"/>
        </w:rPr>
        <w:t>Amadeus Gas Pipeline access arrangement revision proposal</w:t>
      </w:r>
      <w:r w:rsidRPr="00CE5AD1">
        <w:t>, August 2015, p. 115–120</w:t>
      </w:r>
      <w:r>
        <w:t>.</w:t>
      </w:r>
      <w:r w:rsidRPr="00CE5AD1">
        <w:t xml:space="preserve">  </w:t>
      </w:r>
    </w:p>
    <w:p w:rsidR="003F1AAB" w:rsidRDefault="003F1AAB" w:rsidP="002F6FA6">
      <w:pPr>
        <w:pStyle w:val="FootnoteText"/>
      </w:pPr>
      <w:r>
        <w:tab/>
        <w:t xml:space="preserve">AusNet Services, </w:t>
      </w:r>
      <w:r w:rsidRPr="006C0405">
        <w:rPr>
          <w:rStyle w:val="AERtextitalic"/>
        </w:rPr>
        <w:t>Transmission Revenue Review 2017–2022 regulatory proposal</w:t>
      </w:r>
      <w:r>
        <w:t>, 30 October 2015, pp. 253–259.</w:t>
      </w:r>
    </w:p>
  </w:footnote>
  <w:footnote w:id="193">
    <w:p w:rsidR="003F1AAB" w:rsidRDefault="003F1AAB" w:rsidP="002F6FA6">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34–37 &amp; 39–45.</w:t>
      </w:r>
    </w:p>
  </w:footnote>
  <w:footnote w:id="194">
    <w:p w:rsidR="003F1AAB" w:rsidRDefault="003F1AAB" w:rsidP="002F6FA6">
      <w:pPr>
        <w:pStyle w:val="FootnoteText"/>
      </w:pPr>
      <w:r>
        <w:rPr>
          <w:rStyle w:val="FootnoteReference"/>
        </w:rPr>
        <w:footnoteRef/>
      </w:r>
      <w:r>
        <w:t xml:space="preserve"> </w:t>
      </w:r>
      <w:r>
        <w:tab/>
      </w:r>
      <w:r w:rsidRPr="00387DCE">
        <w:t xml:space="preserve">Partington and Satchell, </w:t>
      </w:r>
      <w:r w:rsidRPr="00693E77">
        <w:rPr>
          <w:rStyle w:val="Emphasis"/>
        </w:rPr>
        <w:t>Report to the AER: Cost of equity issues–2016 electricity and gas determinations</w:t>
      </w:r>
      <w:r w:rsidRPr="00387DCE">
        <w:t>, April 201</w:t>
      </w:r>
      <w:r>
        <w:t>6</w:t>
      </w:r>
      <w:r w:rsidRPr="00387DCE">
        <w:t>,</w:t>
      </w:r>
      <w:r>
        <w:t xml:space="preserve"> p. 43.</w:t>
      </w:r>
    </w:p>
  </w:footnote>
  <w:footnote w:id="195">
    <w:p w:rsidR="003F1AAB" w:rsidRDefault="003F1AAB" w:rsidP="002F6FA6">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 290</w:t>
      </w:r>
      <w:r w:rsidRPr="00CE5AD1">
        <w:t xml:space="preserve">; Powercor, </w:t>
      </w:r>
      <w:r w:rsidRPr="00CE5AD1">
        <w:rPr>
          <w:rStyle w:val="AERtextitalic"/>
        </w:rPr>
        <w:t>Revised regulatory proposal 2016–2020</w:t>
      </w:r>
      <w:r w:rsidRPr="00CE5AD1">
        <w:t xml:space="preserve">, January  2016, p. 284;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January 2016, p</w:t>
      </w:r>
      <w:r>
        <w:t>p. 6</w:t>
      </w:r>
      <w:r w:rsidRPr="00CE5AD1">
        <w:t xml:space="preserve">2–64; United Energy, </w:t>
      </w:r>
      <w:r w:rsidRPr="00CE5AD1">
        <w:rPr>
          <w:rStyle w:val="Emphasis"/>
        </w:rPr>
        <w:t>Response to AER preliminary determination–Re: rate of return and gamma</w:t>
      </w:r>
      <w:r w:rsidRPr="00CE5AD1">
        <w:t xml:space="preserve">, 6 January 2016, pp. 45–46, 51; AGN, </w:t>
      </w:r>
      <w:r w:rsidRPr="00CE5AD1">
        <w:rPr>
          <w:rStyle w:val="Emphasis"/>
        </w:rPr>
        <w:t>2016–17 to 2020/21 Access Arrangement information response to draft decision: Attachment 10.26 Response to draft decision: rate of return</w:t>
      </w:r>
      <w:r w:rsidRPr="00CE5AD1">
        <w:t xml:space="preserve">, January 2016, pp. 49–52; JEN (Vic), </w:t>
      </w:r>
      <w:r w:rsidRPr="00CE5AD1">
        <w:rPr>
          <w:rStyle w:val="Emphasis"/>
        </w:rPr>
        <w:t>2016–20 Electricity distribution price review regulatory proposal revocation and substitution submission: Attachment 6–1 Rate of return, gamma, forecast inflation, and debt and equity raising costs,</w:t>
      </w:r>
      <w:r>
        <w:t xml:space="preserve"> 6 January 2016, pp. 48–51; AusN</w:t>
      </w:r>
      <w:r w:rsidRPr="00CE5AD1">
        <w:t xml:space="preserve">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45–46; APTNT, </w:t>
      </w:r>
      <w:r w:rsidRPr="00CE5AD1">
        <w:rPr>
          <w:rStyle w:val="Emphasis"/>
        </w:rPr>
        <w:t>Amadeus Gas Pipeline Access arrangement revised proposal: response to Draft Decision,</w:t>
      </w:r>
      <w:r w:rsidRPr="00CE5AD1">
        <w:t xml:space="preserve"> January 2016, p. 75</w:t>
      </w:r>
      <w:r>
        <w:t>.</w:t>
      </w:r>
    </w:p>
    <w:p w:rsidR="003F1AAB" w:rsidRDefault="003F1AAB" w:rsidP="002F6FA6">
      <w:pPr>
        <w:pStyle w:val="FootnoteText"/>
      </w:pPr>
      <w:r>
        <w:tab/>
        <w:t xml:space="preserve">AusNet Services, </w:t>
      </w:r>
      <w:r w:rsidRPr="006C0405">
        <w:rPr>
          <w:rStyle w:val="AERtextitalic"/>
        </w:rPr>
        <w:t>Transmission Revenue Review 2017–2022 regulatory proposal</w:t>
      </w:r>
      <w:r>
        <w:t>, 30 October 2015, pp. 223, 230–231.</w:t>
      </w:r>
    </w:p>
  </w:footnote>
  <w:footnote w:id="196">
    <w:p w:rsidR="003F1AAB" w:rsidRDefault="003F1AAB" w:rsidP="002F6FA6">
      <w:pPr>
        <w:pStyle w:val="FootnoteText"/>
      </w:pPr>
      <w:r>
        <w:rPr>
          <w:rStyle w:val="FootnoteReference"/>
        </w:rPr>
        <w:footnoteRef/>
      </w:r>
      <w:r>
        <w:t xml:space="preserve"> </w:t>
      </w:r>
      <w:r>
        <w:tab/>
      </w:r>
      <w:r w:rsidRPr="00AE0672">
        <w:t xml:space="preserve">Incenta Economic Consulting, </w:t>
      </w:r>
      <w:r w:rsidRPr="00FD6327">
        <w:rPr>
          <w:rStyle w:val="AERtextitalic"/>
        </w:rPr>
        <w:t>Further update on the required return on equity from independent expert reports</w:t>
      </w:r>
      <w:r w:rsidRPr="00AE0672">
        <w:t>, February 2015, p. 3</w:t>
      </w:r>
      <w:r>
        <w:t>1.</w:t>
      </w:r>
    </w:p>
  </w:footnote>
  <w:footnote w:id="197">
    <w:p w:rsidR="003F1AAB" w:rsidRDefault="003F1AAB" w:rsidP="002F6FA6">
      <w:pPr>
        <w:pStyle w:val="FootnoteText"/>
      </w:pPr>
      <w:r>
        <w:rPr>
          <w:rStyle w:val="FootnoteReference"/>
        </w:rPr>
        <w:footnoteRef/>
      </w:r>
      <w:r>
        <w:t xml:space="preserve"> </w:t>
      </w:r>
      <w:r>
        <w:tab/>
        <w:t>Frontier submitted that brokers do not mechanistically apply the Sharpe-Lintner CAPM and that this was evidenced by</w:t>
      </w:r>
      <w:r w:rsidRPr="0047603E">
        <w:t xml:space="preserve"> broker reports tend</w:t>
      </w:r>
      <w:r>
        <w:t>ing</w:t>
      </w:r>
      <w:r w:rsidRPr="0047603E">
        <w:t xml:space="preserve"> to estimate a higher risk free rate than the prevailing yield on Australian government securities </w:t>
      </w:r>
      <w:r>
        <w:t xml:space="preserve">with a 10-year term to maturity. Frontier Economics, </w:t>
      </w:r>
      <w:r w:rsidRPr="00FC730B">
        <w:rPr>
          <w:rStyle w:val="AERtextitalic"/>
        </w:rPr>
        <w:t>Key issues in estimating the return on equity for the benchmark efficient entity</w:t>
      </w:r>
      <w:r>
        <w:t>, June 2015, p. 58.</w:t>
      </w:r>
    </w:p>
  </w:footnote>
  <w:footnote w:id="198">
    <w:p w:rsidR="003F1AAB" w:rsidRDefault="003F1AAB" w:rsidP="002F6FA6">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 286–298</w:t>
      </w:r>
      <w:r w:rsidRPr="00CE5AD1">
        <w:t xml:space="preserve">; Powercor, </w:t>
      </w:r>
      <w:r w:rsidRPr="00CE5AD1">
        <w:rPr>
          <w:rStyle w:val="AERtextitalic"/>
        </w:rPr>
        <w:t>Revised regulatory proposal 2016–2020</w:t>
      </w:r>
      <w:r w:rsidRPr="00CE5AD1">
        <w:t xml:space="preserve">, January  2016, pp. 280–292;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56–72; United Energy, </w:t>
      </w:r>
      <w:r w:rsidRPr="00CE5AD1">
        <w:rPr>
          <w:rStyle w:val="Emphasis"/>
        </w:rPr>
        <w:t>Response to AER preliminary determination–Re: rate of return and gamma</w:t>
      </w:r>
      <w:r w:rsidRPr="00CE5AD1">
        <w:t xml:space="preserve">, 6 January 2016, pp. 40–50; AGN, </w:t>
      </w:r>
      <w:r w:rsidRPr="00CE5AD1">
        <w:rPr>
          <w:rStyle w:val="Emphasis"/>
        </w:rPr>
        <w:t>2016–17 to 2020/21 Access Arrangement information response to draft decision: Attachment 10.26 Response to draft decision: rate of return</w:t>
      </w:r>
      <w:r w:rsidRPr="00CE5AD1">
        <w:t xml:space="preserve">, January 2016, pp. 47–49, 54–56;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46–48, 54–55;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41–46; APTNT, </w:t>
      </w:r>
      <w:r w:rsidRPr="00CE5AD1">
        <w:rPr>
          <w:rStyle w:val="Emphasis"/>
        </w:rPr>
        <w:t>Amadeus Gas Pipeline Access arrangement revised proposal: response to Draft Decision,</w:t>
      </w:r>
      <w:r w:rsidRPr="00CE5AD1">
        <w:t xml:space="preserve"> January 2016, p. 70–73</w:t>
      </w:r>
      <w:r>
        <w:t>.</w:t>
      </w:r>
    </w:p>
    <w:p w:rsidR="003F1AAB" w:rsidRDefault="003F1AAB" w:rsidP="00C23257">
      <w:pPr>
        <w:pStyle w:val="FootnoteText"/>
      </w:pPr>
      <w:r>
        <w:tab/>
        <w:t xml:space="preserve">AusNet Services, </w:t>
      </w:r>
      <w:r w:rsidRPr="006C0405">
        <w:rPr>
          <w:rStyle w:val="AERtextitalic"/>
        </w:rPr>
        <w:t>Transmission Revenue Review 2017–2022 regulatory proposal</w:t>
      </w:r>
      <w:r>
        <w:t>, 30 October 2015, pp. 259–263.</w:t>
      </w:r>
    </w:p>
  </w:footnote>
  <w:footnote w:id="199">
    <w:p w:rsidR="003F1AAB" w:rsidRDefault="003F1AAB" w:rsidP="002F6FA6">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33–34 &amp; 47.</w:t>
      </w:r>
    </w:p>
  </w:footnote>
  <w:footnote w:id="200">
    <w:p w:rsidR="003F1AAB" w:rsidRDefault="003F1AAB" w:rsidP="002F6FA6">
      <w:pPr>
        <w:pStyle w:val="FootnoteText"/>
      </w:pPr>
      <w:r>
        <w:rPr>
          <w:rStyle w:val="FootnoteReference"/>
        </w:rPr>
        <w:footnoteRef/>
      </w:r>
      <w:r>
        <w:t xml:space="preserve"> </w:t>
      </w:r>
      <w:r>
        <w:tab/>
        <w:t>CitiPower</w:t>
      </w:r>
      <w:r w:rsidRPr="001A0C41">
        <w:rPr>
          <w:rStyle w:val="AERtextitalic"/>
        </w:rPr>
        <w:t>, Revised regulatory proposal 2016–2020</w:t>
      </w:r>
      <w:r>
        <w:t>, January 2016, p. 296</w:t>
      </w:r>
      <w:r w:rsidRPr="00CE5AD1">
        <w:t xml:space="preserve">; Powercor, </w:t>
      </w:r>
      <w:r w:rsidRPr="00CE5AD1">
        <w:rPr>
          <w:rStyle w:val="AERtextitalic"/>
        </w:rPr>
        <w:t>Revised regulatory proposal 2016–2020</w:t>
      </w:r>
      <w:r w:rsidRPr="00CE5AD1">
        <w:t xml:space="preserve">, January  2016, p. 290;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69–70; United Energy, </w:t>
      </w:r>
      <w:r w:rsidRPr="00CE5AD1">
        <w:rPr>
          <w:rStyle w:val="Emphasis"/>
        </w:rPr>
        <w:t>Response to AER preliminary determination–Re: rate of return and gamma</w:t>
      </w:r>
      <w:r w:rsidRPr="00CE5AD1">
        <w:t>, 6 January 2016, p</w:t>
      </w:r>
      <w:r>
        <w:t>p. 5</w:t>
      </w:r>
      <w:r w:rsidRPr="00CE5AD1">
        <w:t xml:space="preserve">0–51; AGN, </w:t>
      </w:r>
      <w:r w:rsidRPr="00CE5AD1">
        <w:rPr>
          <w:rStyle w:val="Emphasis"/>
        </w:rPr>
        <w:t>2016–17 to 2020/21 Access Arrangement information response to draft decision: Attachment 10.26 Response to draft decision: rate of return</w:t>
      </w:r>
      <w:r w:rsidRPr="00CE5AD1">
        <w:t xml:space="preserve">, January 2016, pp. 48–49, 55–56;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54–56;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49–50; APTNT, </w:t>
      </w:r>
      <w:r w:rsidRPr="00CE5AD1">
        <w:rPr>
          <w:rStyle w:val="Emphasis"/>
        </w:rPr>
        <w:t>Amadeus Gas Pipeline access arrangement revision proposal</w:t>
      </w:r>
      <w:r w:rsidRPr="00CE5AD1">
        <w:t>, August 2015, p. 115–120, 123–128, 128–131</w:t>
      </w:r>
      <w:r>
        <w:t>.</w:t>
      </w:r>
    </w:p>
    <w:p w:rsidR="003F1AAB" w:rsidRDefault="003F1AAB" w:rsidP="00C23257">
      <w:pPr>
        <w:pStyle w:val="FootnoteText"/>
      </w:pPr>
      <w:r>
        <w:tab/>
        <w:t xml:space="preserve">AusNet Services, </w:t>
      </w:r>
      <w:r w:rsidRPr="006C0405">
        <w:rPr>
          <w:rStyle w:val="AERtextitalic"/>
        </w:rPr>
        <w:t>Transmission Revenue Review 2017–2022 regulatory proposal</w:t>
      </w:r>
      <w:r>
        <w:t>, 30 October 2015, pp. 255–263.</w:t>
      </w:r>
    </w:p>
  </w:footnote>
  <w:footnote w:id="201">
    <w:p w:rsidR="003F1AAB" w:rsidRDefault="003F1AAB" w:rsidP="002F6FA6">
      <w:pPr>
        <w:pStyle w:val="FootnoteText"/>
      </w:pPr>
      <w:r>
        <w:rPr>
          <w:rStyle w:val="FootnoteReference"/>
        </w:rPr>
        <w:footnoteRef/>
      </w:r>
      <w:r>
        <w:t xml:space="preserve"> </w:t>
      </w:r>
      <w:r>
        <w:tab/>
        <w:t xml:space="preserve">Service providers have previously submitted on the use of the Black CAPM by other regulators. For example, AusNet Services, </w:t>
      </w:r>
      <w:r w:rsidRPr="00D325AA">
        <w:rPr>
          <w:rStyle w:val="Emphasis"/>
        </w:rPr>
        <w:t>Regulatory proposal 2017–22</w:t>
      </w:r>
      <w:r>
        <w:t>, 30 October 2015, pp. 258–259.</w:t>
      </w:r>
    </w:p>
  </w:footnote>
  <w:footnote w:id="202">
    <w:p w:rsidR="003F1AAB" w:rsidRDefault="003F1AAB" w:rsidP="002F6FA6">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33–34, 40 &amp; 47.</w:t>
      </w:r>
    </w:p>
  </w:footnote>
  <w:footnote w:id="203">
    <w:p w:rsidR="003F1AAB" w:rsidRDefault="003F1AAB" w:rsidP="002F6FA6">
      <w:pPr>
        <w:pStyle w:val="FootnoteText"/>
      </w:pPr>
      <w:r>
        <w:rPr>
          <w:rStyle w:val="FootnoteReference"/>
        </w:rPr>
        <w:footnoteRef/>
      </w:r>
      <w:r>
        <w:t xml:space="preserve"> </w:t>
      </w:r>
      <w:r>
        <w:tab/>
      </w:r>
      <w:r w:rsidRPr="00CE5AD1">
        <w:t xml:space="preserve">CitiPower, </w:t>
      </w:r>
      <w:r w:rsidRPr="00CE5AD1">
        <w:rPr>
          <w:rStyle w:val="Emphasis"/>
        </w:rPr>
        <w:t>Revised regulatory proposal 2016–2020</w:t>
      </w:r>
      <w:r w:rsidRPr="00CE5AD1">
        <w:t xml:space="preserve">, January 2016, pp. 285, 297–298, 324–326; Powercor, </w:t>
      </w:r>
      <w:r w:rsidRPr="00CE5AD1">
        <w:rPr>
          <w:rStyle w:val="AERtextitalic"/>
        </w:rPr>
        <w:t>Revised regulatory proposal 2016–2020</w:t>
      </w:r>
      <w:r w:rsidRPr="00CE5AD1">
        <w:t xml:space="preserve">, January  2016, pp. 279, 291–292, 318–320;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54–56, 70–72, 104–106; United Energy, </w:t>
      </w:r>
      <w:r w:rsidRPr="00CE5AD1">
        <w:rPr>
          <w:rStyle w:val="Emphasis"/>
        </w:rPr>
        <w:t>Response to AER preliminary determination–Re: rate of return and gamma</w:t>
      </w:r>
      <w:r w:rsidRPr="00CE5AD1">
        <w:t xml:space="preserve">, 6 January 2016, pp. 38–40, 51–52, 77–78; AGN, </w:t>
      </w:r>
      <w:r w:rsidRPr="00CE5AD1">
        <w:rPr>
          <w:rStyle w:val="Emphasis"/>
        </w:rPr>
        <w:t>2016–17 to 2020/21 Access Arrangement information response to draft decision: Attachment 10.26 Response to draft decision: rate of return</w:t>
      </w:r>
      <w:r w:rsidRPr="00CE5AD1">
        <w:t xml:space="preserve">, January 2016, pp. 44–46, 56–58, 81–82;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42–45;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39–40; APTNT, </w:t>
      </w:r>
      <w:r w:rsidRPr="00CE5AD1">
        <w:rPr>
          <w:rStyle w:val="Emphasis"/>
        </w:rPr>
        <w:t>Amadeus Gas Pipeline access arrangement revision proposal</w:t>
      </w:r>
      <w:r w:rsidRPr="00CE5AD1">
        <w:t>, August 2015, pp. 122–123</w:t>
      </w:r>
      <w:r>
        <w:t>.</w:t>
      </w:r>
    </w:p>
    <w:p w:rsidR="003F1AAB" w:rsidRDefault="003F1AAB" w:rsidP="002F6FA6">
      <w:pPr>
        <w:pStyle w:val="FootnoteText"/>
      </w:pPr>
      <w:r>
        <w:tab/>
      </w:r>
    </w:p>
  </w:footnote>
  <w:footnote w:id="204">
    <w:p w:rsidR="003F1AAB" w:rsidRDefault="003F1AAB" w:rsidP="002F6FA6">
      <w:pPr>
        <w:pStyle w:val="FootnoteText"/>
      </w:pPr>
      <w:r>
        <w:rPr>
          <w:rStyle w:val="FootnoteReference"/>
        </w:rPr>
        <w:footnoteRef/>
      </w:r>
      <w:r>
        <w:t xml:space="preserve"> </w:t>
      </w:r>
      <w:r>
        <w:tab/>
      </w:r>
      <w:r w:rsidRPr="00387DCE">
        <w:t xml:space="preserve">Partington and Satchell, </w:t>
      </w:r>
      <w:r w:rsidRPr="0033149E">
        <w:rPr>
          <w:rStyle w:val="Emphasis"/>
        </w:rPr>
        <w:t>Report to the AER: Cost of equity issues–2016 electricity and gas determinations</w:t>
      </w:r>
      <w:r w:rsidRPr="00387DCE">
        <w:t>, April 201</w:t>
      </w:r>
      <w:r>
        <w:t>6</w:t>
      </w:r>
      <w:r w:rsidRPr="00387DCE">
        <w:t>,</w:t>
      </w:r>
      <w:r>
        <w:t xml:space="preserve"> pp. 27–30.</w:t>
      </w:r>
    </w:p>
  </w:footnote>
  <w:footnote w:id="205">
    <w:p w:rsidR="003F1AAB" w:rsidRDefault="003F1AAB" w:rsidP="00F46DA8">
      <w:pPr>
        <w:pStyle w:val="FootnoteText"/>
      </w:pPr>
      <w:r>
        <w:rPr>
          <w:rStyle w:val="FootnoteReference"/>
        </w:rPr>
        <w:footnoteRef/>
      </w:r>
      <w:r>
        <w:t xml:space="preserve"> </w:t>
      </w:r>
      <w:r>
        <w:tab/>
        <w:t>CitiP</w:t>
      </w:r>
      <w:r w:rsidRPr="00CE5AD1">
        <w:t xml:space="preserve">ower, Revised regulatory proposal 2016–2020, January 2016, p. 286–326; Powercor, </w:t>
      </w:r>
      <w:r w:rsidRPr="00CE5AD1">
        <w:rPr>
          <w:rStyle w:val="AERtextitalic"/>
        </w:rPr>
        <w:t>Revised regulatory proposal 2016–2020</w:t>
      </w:r>
      <w:r w:rsidRPr="00CE5AD1">
        <w:t xml:space="preserve">, January  2016, pp. 280–320;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56–105; United Energy, </w:t>
      </w:r>
      <w:r w:rsidRPr="00CE5AD1">
        <w:rPr>
          <w:rStyle w:val="Emphasis"/>
        </w:rPr>
        <w:t>Response to AER preliminary determination–Re: rate of return and gamma</w:t>
      </w:r>
      <w:r w:rsidRPr="00CE5AD1">
        <w:t xml:space="preserve">, 6 January 2016, pp. 40–78; AGN, </w:t>
      </w:r>
      <w:r w:rsidRPr="00CE5AD1">
        <w:rPr>
          <w:rStyle w:val="Emphasis"/>
        </w:rPr>
        <w:t>2016–17 to 2020/21 Access Arrangement information response to draft decision: Attachment 10.26 Response to draft decision: rate of return</w:t>
      </w:r>
      <w:r w:rsidRPr="00CE5AD1">
        <w:t xml:space="preserve">, January 2016, pp. 46–82;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46–84;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38–77; APTNT, </w:t>
      </w:r>
      <w:r w:rsidRPr="00CE5AD1">
        <w:rPr>
          <w:rStyle w:val="Emphasis"/>
        </w:rPr>
        <w:t>Amadeus Gas Pipeline Access arrangement revised proposal: response to Draft Decision,</w:t>
      </w:r>
      <w:r w:rsidRPr="00CE5AD1">
        <w:t xml:space="preserve"> January 2016, pp. 68–73</w:t>
      </w:r>
      <w:r>
        <w:t xml:space="preserve">.; AusNet Services, </w:t>
      </w:r>
      <w:r w:rsidRPr="006C0405">
        <w:rPr>
          <w:rStyle w:val="AERtextitalic"/>
        </w:rPr>
        <w:t>Transmission Revenue Review 2017–2022 regulatory proposal</w:t>
      </w:r>
      <w:r>
        <w:t>, 30 October 2015, pp. 204–223.</w:t>
      </w:r>
    </w:p>
    <w:p w:rsidR="003F1AAB" w:rsidRDefault="003F1AAB" w:rsidP="002F6FA6">
      <w:pPr>
        <w:pStyle w:val="FootnoteText"/>
      </w:pPr>
    </w:p>
  </w:footnote>
  <w:footnote w:id="206">
    <w:p w:rsidR="003F1AAB" w:rsidRDefault="003F1AAB" w:rsidP="000A61FA">
      <w:pPr>
        <w:pStyle w:val="FootnoteText"/>
      </w:pPr>
      <w:r>
        <w:rPr>
          <w:rStyle w:val="FootnoteReference"/>
        </w:rPr>
        <w:footnoteRef/>
      </w:r>
      <w:r>
        <w:t xml:space="preserve"> </w:t>
      </w:r>
      <w:r>
        <w:tab/>
      </w:r>
      <w:r w:rsidRPr="00507540">
        <w:t>See section C.5 of appendix C—</w:t>
      </w:r>
      <w:r>
        <w:t>Market Risk Premium</w:t>
      </w:r>
      <w:r w:rsidRPr="00507540">
        <w:t xml:space="preserve"> for full reference list.</w:t>
      </w:r>
    </w:p>
  </w:footnote>
  <w:footnote w:id="207">
    <w:p w:rsidR="003F1AAB" w:rsidRDefault="003F1AAB" w:rsidP="000A61FA">
      <w:pPr>
        <w:pStyle w:val="FootnoteText"/>
      </w:pPr>
      <w:r>
        <w:rPr>
          <w:rStyle w:val="FootnoteReference"/>
        </w:rPr>
        <w:footnoteRef/>
      </w:r>
      <w:r>
        <w:t xml:space="preserve"> </w:t>
      </w:r>
      <w:r>
        <w:tab/>
      </w:r>
      <w:r w:rsidRPr="00507540">
        <w:t xml:space="preserve">VECUA, </w:t>
      </w:r>
      <w:r w:rsidRPr="00507540">
        <w:rPr>
          <w:rStyle w:val="Emphasis"/>
        </w:rPr>
        <w:t>Submission to the AER: AER preliminary 2016-20 revenue determinations for the Victorian DNSPs</w:t>
      </w:r>
      <w:r w:rsidRPr="00507540">
        <w:t>, 6 January 2016, p. 17</w:t>
      </w:r>
      <w:r>
        <w:t xml:space="preserve">; ECCSA, </w:t>
      </w:r>
      <w:r w:rsidRPr="00DA67DD">
        <w:rPr>
          <w:rStyle w:val="AERtextitalic"/>
        </w:rPr>
        <w:t>A response to the Australian Energy Regulator draft decision on Australian Gas Networks AA2016 revenue reset</w:t>
      </w:r>
      <w:r>
        <w:t xml:space="preserve">, February 2016, p. 36; </w:t>
      </w:r>
      <w:r w:rsidRPr="004D154B">
        <w:t xml:space="preserve">Origin Energy, </w:t>
      </w:r>
      <w:r w:rsidRPr="001C360C">
        <w:rPr>
          <w:rStyle w:val="AERtextitalic"/>
        </w:rPr>
        <w:t xml:space="preserve">Re: </w:t>
      </w:r>
      <w:r w:rsidRPr="00015F48">
        <w:rPr>
          <w:rStyle w:val="AERtextitalic"/>
        </w:rPr>
        <w:t>Submission to AER preliminary decision Victorian networks</w:t>
      </w:r>
      <w:r w:rsidRPr="004D154B">
        <w:t xml:space="preserve">, </w:t>
      </w:r>
      <w:r>
        <w:t>6 January 2016</w:t>
      </w:r>
      <w:r w:rsidRPr="004D154B">
        <w:t xml:space="preserve">, </w:t>
      </w:r>
      <w:r>
        <w:t xml:space="preserve">p. 3; CCP (subpanel 5), </w:t>
      </w:r>
      <w:r w:rsidRPr="00DA67DD">
        <w:rPr>
          <w:rStyle w:val="AERtextitalic"/>
        </w:rPr>
        <w:t>Transmission for the generations: Response to proposal by AusNet Services Transmission Group and AER issues paper</w:t>
      </w:r>
      <w:r>
        <w:t>, February 2016, p. 6</w:t>
      </w:r>
      <w:r w:rsidRPr="00507540">
        <w:t>. </w:t>
      </w:r>
    </w:p>
  </w:footnote>
  <w:footnote w:id="208">
    <w:p w:rsidR="003F1AAB" w:rsidRDefault="003F1AAB" w:rsidP="000A61FA">
      <w:pPr>
        <w:pStyle w:val="FootnoteText"/>
      </w:pPr>
      <w:r>
        <w:rPr>
          <w:rStyle w:val="FootnoteReference"/>
        </w:rPr>
        <w:footnoteRef/>
      </w:r>
      <w:r>
        <w:t xml:space="preserve"> </w:t>
      </w:r>
      <w:r>
        <w:tab/>
      </w:r>
      <w:r w:rsidRPr="00507540">
        <w:t xml:space="preserve">APTNT proposed a </w:t>
      </w:r>
      <w:r>
        <w:t>market risk premium</w:t>
      </w:r>
      <w:r w:rsidRPr="00507540">
        <w:t xml:space="preserve"> range of 7.48 to 8.58 per cent. See: APTNT, </w:t>
      </w:r>
      <w:r w:rsidRPr="00507540">
        <w:rPr>
          <w:rStyle w:val="Emphasis"/>
        </w:rPr>
        <w:t>Amadeus gas pipeline: revised proposal (AA information)</w:t>
      </w:r>
      <w:r w:rsidRPr="00507540">
        <w:t>, January 2016, p. 21.</w:t>
      </w:r>
    </w:p>
  </w:footnote>
  <w:footnote w:id="209">
    <w:p w:rsidR="003F1AAB" w:rsidRDefault="003F1AAB" w:rsidP="002F6FA6">
      <w:pPr>
        <w:pStyle w:val="FootnoteText"/>
      </w:pPr>
      <w:r>
        <w:rPr>
          <w:rStyle w:val="FootnoteReference"/>
        </w:rPr>
        <w:footnoteRef/>
      </w:r>
      <w:r>
        <w:t xml:space="preserve"> </w:t>
      </w:r>
      <w:r>
        <w:tab/>
        <w:t xml:space="preserve">For more detail. See: section </w:t>
      </w:r>
      <w:r>
        <w:fldChar w:fldCharType="begin"/>
      </w:r>
      <w:r>
        <w:instrText xml:space="preserve"> REF _Ref448320174 \r \h </w:instrText>
      </w:r>
      <w:r>
        <w:fldChar w:fldCharType="separate"/>
      </w:r>
      <w:r>
        <w:t>0</w:t>
      </w:r>
      <w:r>
        <w:fldChar w:fldCharType="end"/>
      </w:r>
      <w:r>
        <w:t xml:space="preserve"> of this attachment; AER, </w:t>
      </w:r>
      <w:r w:rsidRPr="00AD44F5">
        <w:rPr>
          <w:rStyle w:val="Emphasis"/>
        </w:rPr>
        <w:t>Explanatory statement: Rate of return guideline (appendices)</w:t>
      </w:r>
      <w:r>
        <w:t xml:space="preserve">, 17 December 2013, p. 83; AER, </w:t>
      </w:r>
      <w:r w:rsidRPr="00AD44F5">
        <w:rPr>
          <w:rStyle w:val="Emphasis"/>
        </w:rPr>
        <w:t>Draft decision: SPI Networks access arrangement</w:t>
      </w:r>
      <w:r>
        <w:t xml:space="preserve">, September 2012, Appendix B.2.1. </w:t>
      </w:r>
    </w:p>
  </w:footnote>
  <w:footnote w:id="210">
    <w:p w:rsidR="003F1AAB" w:rsidRDefault="003F1AAB" w:rsidP="002F6FA6">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26–30;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46–50, 59; Lally, </w:t>
      </w:r>
      <w:r>
        <w:rPr>
          <w:rStyle w:val="AERtextitalic"/>
        </w:rPr>
        <w:t>Review of the AER’s proposed dividend growth model</w:t>
      </w:r>
      <w:r>
        <w:t>, 16 December 2013, pp. 11</w:t>
      </w:r>
      <w:r w:rsidRPr="00A973E8">
        <w:t>–</w:t>
      </w:r>
      <w:r>
        <w:t xml:space="preserve">12; Partington and Satchell, </w:t>
      </w:r>
      <w:r w:rsidRPr="00DB2844">
        <w:rPr>
          <w:rStyle w:val="AERtextitalic"/>
        </w:rPr>
        <w:t>Report to the AER: Return on equity and comment on submissions in relation to JGN</w:t>
      </w:r>
      <w:r>
        <w:t xml:space="preserve">, May 2015, p. 6; </w:t>
      </w:r>
      <w:r w:rsidRPr="00BA33A5">
        <w:t xml:space="preserve">Partington &amp; Satchell, </w:t>
      </w:r>
      <w:r w:rsidRPr="00BA33A5">
        <w:rPr>
          <w:rStyle w:val="AERtextitalic"/>
        </w:rPr>
        <w:t>Report to the AER: Analysis of criticism of 2015 determinations</w:t>
      </w:r>
      <w:r w:rsidRPr="00BA33A5">
        <w:t>, October 2015</w:t>
      </w:r>
      <w:r>
        <w:t>, p. 43.</w:t>
      </w:r>
    </w:p>
  </w:footnote>
  <w:footnote w:id="211">
    <w:p w:rsidR="003F1AAB" w:rsidRDefault="003F1AAB" w:rsidP="002F6FA6">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31–32;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51. Also see </w:t>
      </w:r>
      <w:r w:rsidRPr="00BA33A5">
        <w:t xml:space="preserve">Partington &amp; Satchell, </w:t>
      </w:r>
      <w:r w:rsidRPr="00BA33A5">
        <w:rPr>
          <w:rStyle w:val="AERtextitalic"/>
        </w:rPr>
        <w:t>Report to the AER: Analysis of criticism of 2015 determinations</w:t>
      </w:r>
      <w:r w:rsidRPr="00BA33A5">
        <w:t>, October 2015</w:t>
      </w:r>
      <w:r>
        <w:t>, p. 43.</w:t>
      </w:r>
    </w:p>
  </w:footnote>
  <w:footnote w:id="212">
    <w:p w:rsidR="003F1AAB" w:rsidRDefault="003F1AAB" w:rsidP="002F6FA6">
      <w:pPr>
        <w:pStyle w:val="FootnoteText"/>
      </w:pPr>
      <w:r>
        <w:rPr>
          <w:rStyle w:val="FootnoteReference"/>
        </w:rPr>
        <w:footnoteRef/>
      </w:r>
      <w:r>
        <w:t xml:space="preserve"> </w:t>
      </w:r>
      <w:r>
        <w:tab/>
        <w:t>VECUA</w:t>
      </w:r>
      <w:r w:rsidRPr="006B6C65">
        <w:t xml:space="preserve">, </w:t>
      </w:r>
      <w:r w:rsidRPr="00AF0D78">
        <w:rPr>
          <w:rStyle w:val="AERtextitalic"/>
        </w:rPr>
        <w:t>Submission to the AER</w:t>
      </w:r>
      <w:r>
        <w:rPr>
          <w:rStyle w:val="AERtextitalic"/>
        </w:rPr>
        <w:t>: AER preliminary 2016-20 revenue determinations for the</w:t>
      </w:r>
      <w:r w:rsidRPr="00AF0D78">
        <w:rPr>
          <w:rStyle w:val="AERtextitalic"/>
        </w:rPr>
        <w:t xml:space="preserve"> Victorian D</w:t>
      </w:r>
      <w:r>
        <w:rPr>
          <w:rStyle w:val="AERtextitalic"/>
        </w:rPr>
        <w:t>NSPs</w:t>
      </w:r>
      <w:r w:rsidRPr="006B6C65">
        <w:t xml:space="preserve">, </w:t>
      </w:r>
      <w:r>
        <w:t>6</w:t>
      </w:r>
      <w:r w:rsidRPr="006B6C65">
        <w:t xml:space="preserve"> J</w:t>
      </w:r>
      <w:r>
        <w:t>anuary</w:t>
      </w:r>
      <w:r w:rsidRPr="006B6C65">
        <w:t xml:space="preserve"> 201</w:t>
      </w:r>
      <w:r>
        <w:t xml:space="preserve">6, p. 17. </w:t>
      </w:r>
    </w:p>
  </w:footnote>
  <w:footnote w:id="213">
    <w:p w:rsidR="003F1AAB" w:rsidRDefault="003F1AAB" w:rsidP="002F6FA6">
      <w:pPr>
        <w:pStyle w:val="FootnoteText"/>
      </w:pPr>
      <w:r>
        <w:rPr>
          <w:rStyle w:val="FootnoteReference"/>
        </w:rPr>
        <w:footnoteRef/>
      </w:r>
      <w:r>
        <w:t xml:space="preserve"> </w:t>
      </w:r>
      <w:r>
        <w:tab/>
        <w:t>VECUA</w:t>
      </w:r>
      <w:r w:rsidRPr="006B6C65">
        <w:t xml:space="preserve">, </w:t>
      </w:r>
      <w:r w:rsidRPr="00AF0D78">
        <w:rPr>
          <w:rStyle w:val="AERtextitalic"/>
        </w:rPr>
        <w:t>Submission to the AER</w:t>
      </w:r>
      <w:r>
        <w:rPr>
          <w:rStyle w:val="AERtextitalic"/>
        </w:rPr>
        <w:t>: AER preliminary 2016-20 revenue determinations for the</w:t>
      </w:r>
      <w:r w:rsidRPr="00AF0D78">
        <w:rPr>
          <w:rStyle w:val="AERtextitalic"/>
        </w:rPr>
        <w:t xml:space="preserve"> Victorian D</w:t>
      </w:r>
      <w:r>
        <w:rPr>
          <w:rStyle w:val="AERtextitalic"/>
        </w:rPr>
        <w:t>NSPs</w:t>
      </w:r>
      <w:r w:rsidRPr="006B6C65">
        <w:t xml:space="preserve">, </w:t>
      </w:r>
      <w:r>
        <w:t>6</w:t>
      </w:r>
      <w:r w:rsidRPr="006B6C65">
        <w:t xml:space="preserve"> J</w:t>
      </w:r>
      <w:r>
        <w:t>anuary</w:t>
      </w:r>
      <w:r w:rsidRPr="006B6C65">
        <w:t xml:space="preserve"> 201</w:t>
      </w:r>
      <w:r>
        <w:t>6.</w:t>
      </w:r>
    </w:p>
  </w:footnote>
  <w:footnote w:id="214">
    <w:p w:rsidR="003F1AAB" w:rsidRDefault="003F1AAB" w:rsidP="002F6FA6">
      <w:pPr>
        <w:pStyle w:val="FootnoteText"/>
      </w:pPr>
      <w:r>
        <w:rPr>
          <w:rStyle w:val="FootnoteReference"/>
        </w:rPr>
        <w:footnoteRef/>
      </w:r>
      <w:r>
        <w:t xml:space="preserve"> </w:t>
      </w:r>
      <w:r>
        <w:tab/>
        <w:t xml:space="preserve">ECCSA, </w:t>
      </w:r>
      <w:r w:rsidRPr="00DA67DD">
        <w:rPr>
          <w:rStyle w:val="AERtextitalic"/>
        </w:rPr>
        <w:t>A response to the Australian Energy Regulator draft decision on Australian Gas Networks AA2016 revenue reset</w:t>
      </w:r>
      <w:r>
        <w:t>, February 2016, p. 36.</w:t>
      </w:r>
    </w:p>
  </w:footnote>
  <w:footnote w:id="215">
    <w:p w:rsidR="003F1AAB" w:rsidRDefault="003F1AAB" w:rsidP="002F6FA6">
      <w:pPr>
        <w:pStyle w:val="FootnoteText"/>
      </w:pPr>
      <w:r>
        <w:rPr>
          <w:rStyle w:val="FootnoteReference"/>
        </w:rPr>
        <w:footnoteRef/>
      </w:r>
      <w:r>
        <w:t xml:space="preserve"> </w:t>
      </w:r>
      <w:r>
        <w:tab/>
      </w:r>
      <w:r w:rsidRPr="004D154B">
        <w:t xml:space="preserve">Origin Energy, </w:t>
      </w:r>
      <w:r w:rsidRPr="001C360C">
        <w:rPr>
          <w:rStyle w:val="AERtextitalic"/>
        </w:rPr>
        <w:t xml:space="preserve">Re: </w:t>
      </w:r>
      <w:r w:rsidRPr="00015F48">
        <w:rPr>
          <w:rStyle w:val="AERtextitalic"/>
        </w:rPr>
        <w:t>Submission to AER preliminary decision Victorian networks</w:t>
      </w:r>
      <w:r w:rsidRPr="004D154B">
        <w:t xml:space="preserve">, </w:t>
      </w:r>
      <w:r>
        <w:t>6 January 2016</w:t>
      </w:r>
      <w:r w:rsidRPr="004D154B">
        <w:t xml:space="preserve">, </w:t>
      </w:r>
      <w:r>
        <w:t>p. 3.</w:t>
      </w:r>
    </w:p>
  </w:footnote>
  <w:footnote w:id="216">
    <w:p w:rsidR="003F1AAB" w:rsidRDefault="003F1AAB" w:rsidP="002F6FA6">
      <w:pPr>
        <w:pStyle w:val="FootnoteText"/>
      </w:pPr>
      <w:r>
        <w:rPr>
          <w:rStyle w:val="FootnoteReference"/>
        </w:rPr>
        <w:footnoteRef/>
      </w:r>
      <w:r>
        <w:t xml:space="preserve"> </w:t>
      </w:r>
      <w:r>
        <w:tab/>
        <w:t xml:space="preserve">CCP (subpanel 5), </w:t>
      </w:r>
      <w:r w:rsidRPr="00DA67DD">
        <w:rPr>
          <w:rStyle w:val="AERtextitalic"/>
        </w:rPr>
        <w:t>Transmission for the generations: Response to proposal by AusNet Services Transmission Group and AER issues paper</w:t>
      </w:r>
      <w:r>
        <w:t>, February 2016, p. 6.</w:t>
      </w:r>
    </w:p>
  </w:footnote>
  <w:footnote w:id="217">
    <w:p w:rsidR="003F1AAB" w:rsidRDefault="003F1AAB" w:rsidP="002F6FA6">
      <w:pPr>
        <w:pStyle w:val="FootnoteText"/>
      </w:pPr>
      <w:r>
        <w:rPr>
          <w:rStyle w:val="FootnoteReference"/>
        </w:rPr>
        <w:footnoteRef/>
      </w:r>
      <w:r>
        <w:t xml:space="preserve"> </w:t>
      </w:r>
      <w:r>
        <w:tab/>
        <w:t xml:space="preserve">See, for example, </w:t>
      </w:r>
      <w:r w:rsidRPr="00312C8A">
        <w:t xml:space="preserve">SFG, </w:t>
      </w:r>
      <w:r w:rsidRPr="00312C8A">
        <w:rPr>
          <w:rStyle w:val="AERtextitalic"/>
        </w:rPr>
        <w:t>The required return on equity for regulated gas and electricity network businesses</w:t>
      </w:r>
      <w:r>
        <w:t xml:space="preserve">, May 2014, pp. 8, 84. Service providers typically provided updated estimates based on this SFG approach and updated by Frontier Economics - see: Frontier Economics, </w:t>
      </w:r>
      <w:r w:rsidRPr="00DA67DD">
        <w:rPr>
          <w:rStyle w:val="AERtextitalic"/>
        </w:rPr>
        <w:t>The required return on equity under a foundation model approach</w:t>
      </w:r>
      <w:r>
        <w:t>, January 2016, p. 34.</w:t>
      </w:r>
    </w:p>
  </w:footnote>
  <w:footnote w:id="218">
    <w:p w:rsidR="003F1AAB" w:rsidRDefault="003F1AAB" w:rsidP="002F6FA6">
      <w:pPr>
        <w:pStyle w:val="FootnoteText"/>
      </w:pPr>
      <w:r>
        <w:rPr>
          <w:rStyle w:val="FootnoteReference"/>
        </w:rPr>
        <w:footnoteRef/>
      </w:r>
      <w:r>
        <w:t xml:space="preserve"> </w:t>
      </w:r>
      <w:r>
        <w:tab/>
        <w:t>APTNT submitted that it did not use the Wright approach but rather "</w:t>
      </w:r>
      <w:r w:rsidRPr="00537CD2">
        <w:t>applies the model by making estimates of the expected return on the market, and of the risk free rate, and by estimating the market risk premium as the difference between the two</w:t>
      </w:r>
      <w:r>
        <w:t xml:space="preserve">". We do not consider that there is any substantive difference between APTNT's approach and the Wright approach. See: APTNT, </w:t>
      </w:r>
      <w:r w:rsidRPr="001C360C">
        <w:rPr>
          <w:rStyle w:val="AERtextitalic"/>
        </w:rPr>
        <w:t>Amadeus gas pipeline: Access arrangement revised proposal response to draft decision</w:t>
      </w:r>
      <w:r>
        <w:t>, January 2016, pp. 68, 75-77.</w:t>
      </w:r>
    </w:p>
  </w:footnote>
  <w:footnote w:id="219">
    <w:p w:rsidR="003F1AAB" w:rsidRDefault="003F1AAB" w:rsidP="002F6FA6">
      <w:pPr>
        <w:pStyle w:val="FootnoteText"/>
      </w:pPr>
      <w:r>
        <w:rPr>
          <w:rStyle w:val="FootnoteReference"/>
        </w:rPr>
        <w:footnoteRef/>
      </w:r>
      <w:r>
        <w:t xml:space="preserve"> </w:t>
      </w:r>
      <w:r>
        <w:tab/>
        <w:t xml:space="preserve">APTNT, </w:t>
      </w:r>
      <w:r w:rsidRPr="001C360C">
        <w:rPr>
          <w:rStyle w:val="AERtextitalic"/>
        </w:rPr>
        <w:t>Amadeus gas pipeline: Access arrangement revised proposal response to draft decision</w:t>
      </w:r>
      <w:r>
        <w:t>, January 2016, pp. 75–77.</w:t>
      </w:r>
    </w:p>
  </w:footnote>
  <w:footnote w:id="220">
    <w:p w:rsidR="003F1AAB" w:rsidRDefault="003F1AAB">
      <w:pPr>
        <w:pStyle w:val="FootnoteText"/>
      </w:pPr>
      <w:r>
        <w:rPr>
          <w:rStyle w:val="FootnoteReference"/>
        </w:rPr>
        <w:footnoteRef/>
      </w:r>
      <w:r>
        <w:t xml:space="preserve"> </w:t>
      </w:r>
      <w:r>
        <w:tab/>
        <w:t xml:space="preserve">AusNet Services, </w:t>
      </w:r>
      <w:r>
        <w:rPr>
          <w:rStyle w:val="Emphasis"/>
        </w:rPr>
        <w:t>AusNet Transmission Group Pty Ltd Transmission revenue review</w:t>
      </w:r>
      <w:r w:rsidRPr="00D325AA">
        <w:rPr>
          <w:rStyle w:val="Emphasis"/>
        </w:rPr>
        <w:t xml:space="preserve"> 2017–22</w:t>
      </w:r>
      <w:r>
        <w:t>, 30 October 2015, p. 234.</w:t>
      </w:r>
    </w:p>
  </w:footnote>
  <w:footnote w:id="221">
    <w:p w:rsidR="003F1AAB" w:rsidRDefault="003F1AAB">
      <w:pPr>
        <w:pStyle w:val="FootnoteText"/>
      </w:pPr>
      <w:r>
        <w:rPr>
          <w:rStyle w:val="FootnoteReference"/>
        </w:rPr>
        <w:footnoteRef/>
      </w:r>
      <w:r>
        <w:t xml:space="preserve"> </w:t>
      </w:r>
      <w:r>
        <w:tab/>
        <w:t xml:space="preserve">AusNet Services, </w:t>
      </w:r>
      <w:r>
        <w:rPr>
          <w:rStyle w:val="Emphasis"/>
        </w:rPr>
        <w:t>AusNet Transmission Group Pty Ltd Transmission revenue review</w:t>
      </w:r>
      <w:r w:rsidRPr="00D325AA">
        <w:rPr>
          <w:rStyle w:val="Emphasis"/>
        </w:rPr>
        <w:t xml:space="preserve"> 2017–22</w:t>
      </w:r>
      <w:r>
        <w:t>, 30 October 2015, p. 197.</w:t>
      </w:r>
    </w:p>
  </w:footnote>
  <w:footnote w:id="222">
    <w:p w:rsidR="003F1AAB" w:rsidRDefault="003F1AAB" w:rsidP="002F6FA6">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53.</w:t>
      </w:r>
    </w:p>
  </w:footnote>
  <w:footnote w:id="223">
    <w:p w:rsidR="003F1AAB" w:rsidRDefault="003F1AAB">
      <w:pPr>
        <w:pStyle w:val="FootnoteText"/>
      </w:pPr>
      <w:r>
        <w:rPr>
          <w:rStyle w:val="FootnoteReference"/>
        </w:rPr>
        <w:footnoteRef/>
      </w:r>
      <w:r>
        <w:t xml:space="preserve"> </w:t>
      </w:r>
      <w:r>
        <w:tab/>
        <w:t xml:space="preserve">AusNet Services, </w:t>
      </w:r>
      <w:r>
        <w:rPr>
          <w:rStyle w:val="Emphasis"/>
        </w:rPr>
        <w:t>AusNet Transmission Group Pty Ltd Transmission revenue review</w:t>
      </w:r>
      <w:r w:rsidRPr="00D325AA">
        <w:rPr>
          <w:rStyle w:val="Emphasis"/>
        </w:rPr>
        <w:t xml:space="preserve"> 2017–22</w:t>
      </w:r>
      <w:r>
        <w:t>, 30 October 2015, p. 263.</w:t>
      </w:r>
    </w:p>
  </w:footnote>
  <w:footnote w:id="224">
    <w:p w:rsidR="003F1AAB" w:rsidRDefault="003F1AAB">
      <w:pPr>
        <w:pStyle w:val="FootnoteText"/>
      </w:pPr>
      <w:r>
        <w:rPr>
          <w:rStyle w:val="FootnoteReference"/>
        </w:rPr>
        <w:footnoteRef/>
      </w:r>
      <w:r>
        <w:t xml:space="preserve"> </w:t>
      </w:r>
      <w:r>
        <w:tab/>
        <w:t xml:space="preserve">AusNet Services, </w:t>
      </w:r>
      <w:r>
        <w:rPr>
          <w:rStyle w:val="Emphasis"/>
        </w:rPr>
        <w:t>AusNet Transmission Group Pty Ltd Transmission revenue review</w:t>
      </w:r>
      <w:r w:rsidRPr="00D325AA">
        <w:rPr>
          <w:rStyle w:val="Emphasis"/>
        </w:rPr>
        <w:t xml:space="preserve"> 2017–22</w:t>
      </w:r>
      <w:r>
        <w:t>, 30 October 2015, p. 235.</w:t>
      </w:r>
    </w:p>
  </w:footnote>
  <w:footnote w:id="225">
    <w:p w:rsidR="003F1AAB" w:rsidRDefault="003F1AAB" w:rsidP="002F6FA6">
      <w:pPr>
        <w:pStyle w:val="FootnoteText"/>
      </w:pPr>
      <w:r>
        <w:rPr>
          <w:rStyle w:val="FootnoteReference"/>
        </w:rPr>
        <w:footnoteRef/>
      </w:r>
      <w:r>
        <w:t xml:space="preserve"> </w:t>
      </w:r>
      <w:r>
        <w:tab/>
        <w:t xml:space="preserve">HoustonKemp, </w:t>
      </w:r>
      <w:r w:rsidRPr="009D472A">
        <w:rPr>
          <w:rStyle w:val="AERtextitalic"/>
        </w:rPr>
        <w:t>The cost of equity: Response to the AER's draft decisions for the Victorian electricity distributors, ActewAGL Distribution and Australian Gas Networks</w:t>
      </w:r>
      <w:r>
        <w:t>, January 2016, pp. 48.</w:t>
      </w:r>
    </w:p>
  </w:footnote>
  <w:footnote w:id="226">
    <w:p w:rsidR="003F1AAB" w:rsidRDefault="003F1AAB" w:rsidP="002F6FA6">
      <w:pPr>
        <w:pStyle w:val="FootnoteText"/>
      </w:pPr>
      <w:r>
        <w:rPr>
          <w:rStyle w:val="FootnoteReference"/>
        </w:rPr>
        <w:footnoteRef/>
      </w:r>
      <w:r>
        <w:t xml:space="preserve"> </w:t>
      </w:r>
      <w:r>
        <w:tab/>
        <w:t>Frontier Economics, The relationship between government bond yields and the market risk premium, January 2016, p. 39.</w:t>
      </w:r>
    </w:p>
  </w:footnote>
  <w:footnote w:id="227">
    <w:p w:rsidR="003F1AAB" w:rsidRDefault="003F1AAB" w:rsidP="002F6FA6">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rsidRPr="000C6847">
        <w:t>February 2016</w:t>
      </w:r>
      <w:r>
        <w:t>, p. 24.</w:t>
      </w:r>
    </w:p>
  </w:footnote>
  <w:footnote w:id="228">
    <w:p w:rsidR="003F1AAB" w:rsidRDefault="003F1AAB" w:rsidP="002F6FA6">
      <w:pPr>
        <w:pStyle w:val="FootnoteText"/>
      </w:pPr>
      <w:r>
        <w:rPr>
          <w:rStyle w:val="FootnoteReference"/>
        </w:rPr>
        <w:footnoteRef/>
      </w:r>
      <w:r>
        <w:t xml:space="preserve"> </w:t>
      </w:r>
      <w:r>
        <w:tab/>
      </w:r>
      <w:r w:rsidRPr="00652E04">
        <w:t xml:space="preserve">McKenzie and Partington, </w:t>
      </w:r>
      <w:r w:rsidRPr="00652E04">
        <w:rPr>
          <w:rStyle w:val="AERtextitalic"/>
        </w:rPr>
        <w:t>Report to the AER, Part A: Return on equity</w:t>
      </w:r>
      <w:r w:rsidRPr="00652E04">
        <w:t xml:space="preserve"> October</w:t>
      </w:r>
      <w:r w:rsidRPr="00652E04" w:rsidDel="008662AA">
        <w:t xml:space="preserve"> </w:t>
      </w:r>
      <w:r w:rsidRPr="00652E04">
        <w:t xml:space="preserve">2014, pp. 26, 31; Partington, </w:t>
      </w:r>
      <w:r w:rsidRPr="00652E04">
        <w:rPr>
          <w:rStyle w:val="AERtextitalic"/>
        </w:rPr>
        <w:t>Report to the AER: Return on equity (Updated)</w:t>
      </w:r>
      <w:r w:rsidRPr="00652E04">
        <w:t xml:space="preserve">, April 2015, pp. 46, 51; McKenzie and Partington, </w:t>
      </w:r>
      <w:r w:rsidRPr="00652E04">
        <w:rPr>
          <w:rStyle w:val="AERtextitalic"/>
        </w:rPr>
        <w:t>The DGM</w:t>
      </w:r>
      <w:r w:rsidRPr="00652E04">
        <w:t xml:space="preserve">, December 2013, pp. 8–9. Also see Partington &amp; Satchell, </w:t>
      </w:r>
      <w:r w:rsidRPr="00652E04">
        <w:rPr>
          <w:rStyle w:val="AERtextitalic"/>
        </w:rPr>
        <w:t>Report to the AER: Analysis of criticism of 2015 determinations</w:t>
      </w:r>
      <w:r w:rsidRPr="00652E04">
        <w:t>, October 2015, p. 43.</w:t>
      </w:r>
    </w:p>
  </w:footnote>
  <w:footnote w:id="229">
    <w:p w:rsidR="003F1AAB" w:rsidRDefault="003F1AAB" w:rsidP="002F6FA6">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230">
    <w:p w:rsidR="003F1AAB" w:rsidRDefault="003F1AAB">
      <w:pPr>
        <w:pStyle w:val="FootnoteText"/>
      </w:pPr>
      <w:r>
        <w:rPr>
          <w:rStyle w:val="FootnoteReference"/>
        </w:rPr>
        <w:footnoteRef/>
      </w:r>
      <w:r>
        <w:t xml:space="preserve"> </w:t>
      </w:r>
      <w:r>
        <w:tab/>
        <w:t xml:space="preserve">AusNet Services, </w:t>
      </w:r>
      <w:r>
        <w:rPr>
          <w:rStyle w:val="Emphasis"/>
        </w:rPr>
        <w:t>AusNet Transmission Group Pty Ltd Transmission revenue review</w:t>
      </w:r>
      <w:r w:rsidRPr="00D325AA">
        <w:rPr>
          <w:rStyle w:val="Emphasis"/>
        </w:rPr>
        <w:t xml:space="preserve"> 2017–22</w:t>
      </w:r>
      <w:r>
        <w:t>, 30 October 2015, pp. 232–234.</w:t>
      </w:r>
    </w:p>
  </w:footnote>
  <w:footnote w:id="231">
    <w:p w:rsidR="003F1AAB" w:rsidRDefault="003F1AAB">
      <w:pPr>
        <w:pStyle w:val="FootnoteText"/>
      </w:pPr>
      <w:r>
        <w:rPr>
          <w:rStyle w:val="FootnoteReference"/>
        </w:rPr>
        <w:footnoteRef/>
      </w:r>
      <w:r>
        <w:t xml:space="preserve"> </w:t>
      </w:r>
      <w:r>
        <w:tab/>
        <w:t xml:space="preserve">AusNet Services, </w:t>
      </w:r>
      <w:r>
        <w:rPr>
          <w:rStyle w:val="Emphasis"/>
        </w:rPr>
        <w:t>AusNet Transmission Group Pty Ltd Transmission revenue review</w:t>
      </w:r>
      <w:r w:rsidRPr="00D325AA">
        <w:rPr>
          <w:rStyle w:val="Emphasis"/>
        </w:rPr>
        <w:t xml:space="preserve"> 2017–22</w:t>
      </w:r>
      <w:r>
        <w:t>, 30 October 2015, p. 232.</w:t>
      </w:r>
    </w:p>
  </w:footnote>
  <w:footnote w:id="232">
    <w:p w:rsidR="003F1AAB" w:rsidRDefault="003F1AAB" w:rsidP="002F6FA6">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xml:space="preserve">, 22 February 2012, p. 5; Partington and Satchell, </w:t>
      </w:r>
      <w:r w:rsidRPr="00F15DCC">
        <w:rPr>
          <w:rStyle w:val="AERtextitalic"/>
        </w:rPr>
        <w:t>Report to the AER: Return on equity and comment on submissions in relation to JGN</w:t>
      </w:r>
      <w:r>
        <w:t xml:space="preserve">, May 2015, pp. 16–17; </w:t>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233">
    <w:p w:rsidR="003F1AAB" w:rsidRDefault="003F1AAB" w:rsidP="002F6FA6">
      <w:pPr>
        <w:pStyle w:val="FootnoteText"/>
      </w:pPr>
      <w:r>
        <w:rPr>
          <w:rStyle w:val="FootnoteReference"/>
        </w:rPr>
        <w:footnoteRef/>
      </w:r>
      <w:r>
        <w:t xml:space="preserve"> </w:t>
      </w:r>
      <w:r>
        <w:tab/>
        <w:t xml:space="preserve">Partington and Satchell, </w:t>
      </w:r>
      <w:r w:rsidRPr="00024F5D">
        <w:rPr>
          <w:rStyle w:val="Emphasis"/>
        </w:rPr>
        <w:t>Report to the AER: Cost of equity issues–Final decisions for the VIC DNSPs</w:t>
      </w:r>
      <w:r>
        <w:t xml:space="preserve">, April 2016, pp. 49–52. </w:t>
      </w:r>
    </w:p>
  </w:footnote>
  <w:footnote w:id="234">
    <w:p w:rsidR="003F1AAB" w:rsidRDefault="003F1AAB">
      <w:pPr>
        <w:pStyle w:val="FootnoteText"/>
      </w:pPr>
      <w:r>
        <w:rPr>
          <w:rStyle w:val="FootnoteReference"/>
        </w:rPr>
        <w:footnoteRef/>
      </w:r>
      <w:r>
        <w:t xml:space="preserve"> </w:t>
      </w:r>
      <w:r>
        <w:tab/>
        <w:t xml:space="preserve">AusNet Services, </w:t>
      </w:r>
      <w:r>
        <w:rPr>
          <w:rStyle w:val="Emphasis"/>
        </w:rPr>
        <w:t>AusNet Transmission Group Pty Ltd Transmission revenue review</w:t>
      </w:r>
      <w:r w:rsidRPr="00D325AA">
        <w:rPr>
          <w:rStyle w:val="Emphasis"/>
        </w:rPr>
        <w:t xml:space="preserve"> 2017–22</w:t>
      </w:r>
      <w:r>
        <w:t>, 30 October 2015, p. 232.</w:t>
      </w:r>
    </w:p>
  </w:footnote>
  <w:footnote w:id="235">
    <w:p w:rsidR="003F1AAB" w:rsidRDefault="003F1AAB" w:rsidP="002F6FA6">
      <w:pPr>
        <w:pStyle w:val="FootnoteText"/>
      </w:pPr>
      <w:r>
        <w:rPr>
          <w:rStyle w:val="FootnoteReference"/>
        </w:rPr>
        <w:footnoteRef/>
      </w:r>
      <w:r>
        <w:t xml:space="preserve"> </w:t>
      </w:r>
      <w:r>
        <w:tab/>
      </w:r>
      <w:r w:rsidRPr="00D52A4F">
        <w:t xml:space="preserve">Partington &amp; Satchell, </w:t>
      </w:r>
      <w:r w:rsidRPr="00D52A4F">
        <w:rPr>
          <w:rStyle w:val="AERtextitalic"/>
        </w:rPr>
        <w:t>Report to the AER: Analysis of criticism of 2015 determinations</w:t>
      </w:r>
      <w:r w:rsidRPr="00D52A4F">
        <w:t>, October 2015, pp. 45–46.</w:t>
      </w:r>
    </w:p>
  </w:footnote>
  <w:footnote w:id="236">
    <w:p w:rsidR="003F1AAB" w:rsidRDefault="003F1AAB" w:rsidP="002F6FA6">
      <w:pPr>
        <w:pStyle w:val="FootnoteText"/>
      </w:pPr>
      <w:r>
        <w:rPr>
          <w:rStyle w:val="FootnoteReference"/>
        </w:rPr>
        <w:footnoteRef/>
      </w:r>
      <w:r>
        <w:t xml:space="preserve"> </w:t>
      </w:r>
      <w:r>
        <w:tab/>
      </w:r>
      <w:r w:rsidRPr="004F4F21">
        <w:t xml:space="preserve">SFG, </w:t>
      </w:r>
      <w:r w:rsidRPr="00900963">
        <w:rPr>
          <w:rStyle w:val="AERtextitalic"/>
        </w:rPr>
        <w:t>Alternative versions of the dividend discount model and the implied cost of equity</w:t>
      </w:r>
      <w:r w:rsidRPr="004F4F21">
        <w:t>, 15 May 2014</w:t>
      </w:r>
      <w:r>
        <w:t xml:space="preserve">, p. 62–63;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xml:space="preserve">, p. 17; </w:t>
      </w:r>
      <w:r w:rsidRPr="004354C1">
        <w:t xml:space="preserve">SFG, </w:t>
      </w:r>
      <w:r w:rsidRPr="004354C1">
        <w:rPr>
          <w:rStyle w:val="AERtextitalic"/>
        </w:rPr>
        <w:t>The required return on equity for regulated gas and electricity network businesses</w:t>
      </w:r>
      <w:r w:rsidRPr="004354C1">
        <w:t xml:space="preserve">, 27 </w:t>
      </w:r>
      <w:r>
        <w:t>M</w:t>
      </w:r>
      <w:r w:rsidRPr="004354C1">
        <w:t>ay 2</w:t>
      </w:r>
      <w:r>
        <w:t>014, p. 41.</w:t>
      </w:r>
    </w:p>
  </w:footnote>
  <w:footnote w:id="237">
    <w:p w:rsidR="003F1AAB" w:rsidRDefault="003F1AAB">
      <w:pPr>
        <w:pStyle w:val="FootnoteText"/>
      </w:pPr>
      <w:r>
        <w:rPr>
          <w:rStyle w:val="FootnoteReference"/>
        </w:rPr>
        <w:footnoteRef/>
      </w:r>
      <w:r>
        <w:t xml:space="preserve"> </w:t>
      </w:r>
      <w:r>
        <w:tab/>
        <w:t xml:space="preserve">AusNet Services, </w:t>
      </w:r>
      <w:r w:rsidRPr="006C0405">
        <w:rPr>
          <w:rStyle w:val="AERtextitalic"/>
        </w:rPr>
        <w:t>Transmission Revenue Review 2017–2022 regulatory proposal</w:t>
      </w:r>
      <w:r>
        <w:t>, 30 October 2015, p. 238–239.</w:t>
      </w:r>
    </w:p>
  </w:footnote>
  <w:footnote w:id="238">
    <w:p w:rsidR="003F1AAB" w:rsidRDefault="003F1AAB" w:rsidP="002F6FA6">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239">
    <w:p w:rsidR="003F1AAB" w:rsidRDefault="003F1AAB" w:rsidP="002F6FA6">
      <w:pPr>
        <w:pStyle w:val="FootnoteText"/>
      </w:pPr>
      <w:r>
        <w:rPr>
          <w:rStyle w:val="FootnoteReference"/>
        </w:rPr>
        <w:footnoteRef/>
      </w:r>
      <w:r>
        <w:t xml:space="preserve"> </w:t>
      </w:r>
      <w:r>
        <w:tab/>
        <w:t>More precisely, prescribed transmission services, see: NER, cl. 6A.6.2(c). For distribution network service providers the rules refer to standard control services, see NER, cl. 6.5.2(c). For gas network service providers the rules refer to reference services, see NGR, r. 87(3).</w:t>
      </w:r>
    </w:p>
  </w:footnote>
  <w:footnote w:id="240">
    <w:p w:rsidR="003F1AAB" w:rsidRDefault="003F1AAB" w:rsidP="002F6FA6">
      <w:pPr>
        <w:pStyle w:val="FootnoteText"/>
      </w:pPr>
      <w:r>
        <w:rPr>
          <w:rStyle w:val="FootnoteReference"/>
        </w:rPr>
        <w:footnoteRef/>
      </w:r>
      <w:r>
        <w:t xml:space="preserve"> </w:t>
      </w:r>
      <w:r>
        <w:tab/>
        <w:t>More precisely, an efficient business (or benchmark efficient entity) with a similar degree of risk as that which applies to AusNet Services in the provision of standard control or prescribed transmission services.</w:t>
      </w:r>
    </w:p>
  </w:footnote>
  <w:footnote w:id="241">
    <w:p w:rsidR="003F1AAB" w:rsidRDefault="003F1AAB" w:rsidP="002F6FA6">
      <w:pPr>
        <w:pStyle w:val="FootnoteText"/>
      </w:pPr>
      <w:r>
        <w:rPr>
          <w:rStyle w:val="FootnoteReference"/>
        </w:rPr>
        <w:footnoteRef/>
      </w:r>
      <w:r>
        <w:t xml:space="preserve"> </w:t>
      </w:r>
      <w:r>
        <w:tab/>
        <w:t xml:space="preserve">See: </w:t>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10–12;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31; Partington and Satchell, </w:t>
      </w:r>
      <w:r w:rsidRPr="00DB2844">
        <w:rPr>
          <w:rStyle w:val="AERtextitalic"/>
        </w:rPr>
        <w:t>Report to the AER: Return on equity and comment on submissions in relation to JGN</w:t>
      </w:r>
      <w:r>
        <w:t xml:space="preserve">, May 2015, p. 6; </w:t>
      </w:r>
      <w:r w:rsidRPr="00BA33A5">
        <w:t xml:space="preserve">Partington &amp; Satchell, </w:t>
      </w:r>
      <w:r w:rsidRPr="00BA33A5">
        <w:rPr>
          <w:rStyle w:val="AERtextitalic"/>
        </w:rPr>
        <w:t>Report to the AER: Analysis of criticism of 2015 determinations</w:t>
      </w:r>
      <w:r w:rsidRPr="00BA33A5">
        <w:t>, October 2015</w:t>
      </w:r>
      <w:r>
        <w:t>.</w:t>
      </w:r>
    </w:p>
  </w:footnote>
  <w:footnote w:id="242">
    <w:p w:rsidR="003F1AAB" w:rsidRDefault="003F1AAB" w:rsidP="002F6FA6">
      <w:pPr>
        <w:pStyle w:val="FootnoteText"/>
      </w:pPr>
      <w:r>
        <w:rPr>
          <w:rStyle w:val="FootnoteReference"/>
        </w:rPr>
        <w:footnoteRef/>
      </w:r>
      <w:r>
        <w:t xml:space="preserve"> </w:t>
      </w:r>
      <w:r>
        <w:tab/>
        <w:t>However, the Black CAPM replaces this with an assumption of unlimited ability to short sell stocks.</w:t>
      </w:r>
    </w:p>
  </w:footnote>
  <w:footnote w:id="243">
    <w:p w:rsidR="003F1AAB" w:rsidRDefault="003F1AAB" w:rsidP="002F6FA6">
      <w:pPr>
        <w:pStyle w:val="FootnoteText"/>
      </w:pPr>
      <w:r>
        <w:rPr>
          <w:rStyle w:val="FootnoteReference"/>
        </w:rPr>
        <w:footnoteRef/>
      </w:r>
      <w:r>
        <w:t xml:space="preserve"> </w:t>
      </w:r>
      <w:r>
        <w:tab/>
      </w:r>
      <w:r w:rsidRPr="002B7E9B">
        <w:rPr>
          <w:rStyle w:val="AERbody"/>
          <w:sz w:val="16"/>
        </w:rPr>
        <w:t xml:space="preserve">Stakeholders, particularly service providers, sought greater certainty of process. See: </w:t>
      </w:r>
      <w:r w:rsidRPr="002B7E9B">
        <w:t xml:space="preserve">AER, </w:t>
      </w:r>
      <w:r w:rsidRPr="002B7E9B">
        <w:rPr>
          <w:rStyle w:val="AERtextitalic"/>
        </w:rPr>
        <w:t>Explanatory statement: Rate of return guideline</w:t>
      </w:r>
      <w:r w:rsidRPr="002B7E9B">
        <w:t xml:space="preserve">, December 2013, p. 51; AEMC, </w:t>
      </w:r>
      <w:r w:rsidRPr="002B7E9B">
        <w:rPr>
          <w:rStyle w:val="AERtextitalic"/>
        </w:rPr>
        <w:t>Final rule determination</w:t>
      </w:r>
      <w:r w:rsidRPr="002B7E9B">
        <w:t xml:space="preserve">, November 2012, pp. 42–43, 45, 50; RARE Infrastructure Limited, </w:t>
      </w:r>
      <w:r w:rsidRPr="002B7E9B">
        <w:rPr>
          <w:rStyle w:val="AERtextitalic"/>
        </w:rPr>
        <w:t>Submission to AER’s rate of return guidelines consultation paper</w:t>
      </w:r>
      <w:r w:rsidRPr="002B7E9B">
        <w:t xml:space="preserve">, June 2013; The Financial Investor Group, </w:t>
      </w:r>
      <w:r w:rsidRPr="002B7E9B">
        <w:rPr>
          <w:rStyle w:val="AERtextitalic"/>
        </w:rPr>
        <w:t>Response to the AER’s rate of return guidelines consultation paper</w:t>
      </w:r>
      <w:r w:rsidRPr="002B7E9B">
        <w:t xml:space="preserve">, June 2013, p. 1; ENA, </w:t>
      </w:r>
      <w:r w:rsidRPr="002B7E9B">
        <w:rPr>
          <w:rStyle w:val="AERtextitalic"/>
        </w:rPr>
        <w:t>Submission to AER’s rate of return guidelines issues paper</w:t>
      </w:r>
      <w:r w:rsidRPr="002B7E9B">
        <w:t xml:space="preserve">, February 2013, p. 4; PIAC, </w:t>
      </w:r>
      <w:r w:rsidRPr="002B7E9B">
        <w:rPr>
          <w:rStyle w:val="AERtextitalic"/>
        </w:rPr>
        <w:t>Submission to AER’s rate of return guidelines issues paper</w:t>
      </w:r>
      <w:r w:rsidRPr="002B7E9B">
        <w:t>, February 2013, p. 17.</w:t>
      </w:r>
    </w:p>
  </w:footnote>
  <w:footnote w:id="244">
    <w:p w:rsidR="003F1AAB" w:rsidRDefault="003F1AAB" w:rsidP="002F6FA6">
      <w:pPr>
        <w:pStyle w:val="FootnoteText"/>
      </w:pPr>
      <w:r>
        <w:rPr>
          <w:rStyle w:val="FootnoteReference"/>
        </w:rPr>
        <w:footnoteRef/>
      </w:r>
      <w:r>
        <w:t xml:space="preserve"> </w:t>
      </w:r>
      <w:r>
        <w:tab/>
        <w:t xml:space="preserve">That is, determinations prior to the 2012 Rule change. From 2010 to early 2014,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245">
    <w:p w:rsidR="003F1AAB" w:rsidRDefault="003F1AAB" w:rsidP="002F6FA6">
      <w:pPr>
        <w:pStyle w:val="FootnoteText"/>
      </w:pPr>
      <w:r>
        <w:rPr>
          <w:rStyle w:val="FootnoteReference"/>
        </w:rPr>
        <w:footnoteRef/>
      </w:r>
      <w:r>
        <w:t xml:space="preserve"> </w:t>
      </w:r>
      <w:r>
        <w:tab/>
        <w:t xml:space="preserve">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 9.</w:t>
      </w:r>
      <w:r w:rsidRPr="00F05F37">
        <w:t xml:space="preserve"> </w:t>
      </w:r>
    </w:p>
  </w:footnote>
  <w:footnote w:id="246">
    <w:p w:rsidR="003F1AAB" w:rsidRDefault="003F1AAB" w:rsidP="002F6FA6">
      <w:pPr>
        <w:pStyle w:val="FootnoteText"/>
      </w:pPr>
      <w:r>
        <w:rPr>
          <w:rStyle w:val="FootnoteReference"/>
        </w:rPr>
        <w:footnoteRef/>
      </w:r>
      <w:r>
        <w:t xml:space="preserve"> </w:t>
      </w:r>
      <w:r>
        <w:tab/>
        <w:t xml:space="preserve">As discussed in detail in section </w:t>
      </w:r>
      <w:r>
        <w:fldChar w:fldCharType="begin"/>
      </w:r>
      <w:r>
        <w:instrText xml:space="preserve"> REF _Ref446255169 \r \h </w:instrText>
      </w:r>
      <w:r>
        <w:fldChar w:fldCharType="separate"/>
      </w:r>
      <w:r>
        <w:t>G.1</w:t>
      </w:r>
      <w:r>
        <w:fldChar w:fldCharType="end"/>
      </w:r>
      <w:r>
        <w:t>, we do not consider individual firm equity beta estimates in isolation. This is because no particular energy network firm in our comparator set is perfectly representative of the benchmark efficient entity. We consider averages of individual firm estimates and estimates from various portfolios of firms are more likely to be reflective of the benchmark efficient entity. However, we place no material reliance on time varying portfolio estimates, as according to Henry, they are not grounded in financial theory and are prone to measurement error. See:</w:t>
      </w:r>
      <w:r w:rsidRPr="00847899">
        <w:t xml:space="preserve"> </w:t>
      </w:r>
      <w:r w:rsidRPr="005070D6">
        <w:t xml:space="preserve">Henry, </w:t>
      </w:r>
      <w:r w:rsidRPr="00B4312A">
        <w:rPr>
          <w:rStyle w:val="AERtextitalic"/>
        </w:rPr>
        <w:t xml:space="preserve">Estimating </w:t>
      </w:r>
      <w:r>
        <w:rPr>
          <w:rStyle w:val="AERtextitalic"/>
          <w:rFonts w:asciiTheme="minorHAnsi" w:hAnsiTheme="minorHAnsi" w:cstheme="minorHAnsi"/>
        </w:rPr>
        <w:t>β</w:t>
      </w:r>
      <w:r w:rsidRPr="00B4312A">
        <w:rPr>
          <w:rStyle w:val="AERtextitalic"/>
        </w:rPr>
        <w:t>: an update</w:t>
      </w:r>
      <w:r w:rsidRPr="005070D6">
        <w:t>, April 2014, p. 52.</w:t>
      </w:r>
      <w:r>
        <w:t xml:space="preserve"> </w:t>
      </w:r>
    </w:p>
  </w:footnote>
  <w:footnote w:id="247">
    <w:p w:rsidR="003F1AAB" w:rsidRDefault="003F1AAB" w:rsidP="002F6FA6">
      <w:pPr>
        <w:pStyle w:val="FootnoteText"/>
      </w:pPr>
      <w:r>
        <w:rPr>
          <w:rStyle w:val="FootnoteReference"/>
        </w:rPr>
        <w:footnoteRef/>
      </w:r>
      <w:r>
        <w:t xml:space="preserve"> </w:t>
      </w:r>
      <w:r>
        <w:tab/>
        <w:t>But does not support an estimate beyond our range. We hold this view based on:</w:t>
      </w:r>
    </w:p>
    <w:p w:rsidR="003F1AAB" w:rsidRDefault="003F1AAB" w:rsidP="002F6FA6">
      <w:pPr>
        <w:pStyle w:val="FootnoteText"/>
      </w:pPr>
      <w:r>
        <w:tab/>
        <w:t>(1) the outcome of our conceptual analysis that a business with a similar degree of risk as AusNet Services (in providing regulated services) is likely to have an equity beta less than one;</w:t>
      </w:r>
    </w:p>
    <w:p w:rsidR="003F1AAB" w:rsidRDefault="003F1AAB" w:rsidP="002F6FA6">
      <w:pPr>
        <w:pStyle w:val="FootnoteText"/>
      </w:pPr>
      <w:r>
        <w:tab/>
        <w:t>(2) our assessment of the relative merits of the material, and conclusion that greater weight should be placed on Australian empirical estimates than international estimates or the theory of the Black CAPM.</w:t>
      </w:r>
    </w:p>
  </w:footnote>
  <w:footnote w:id="248">
    <w:p w:rsidR="003F1AAB" w:rsidRDefault="003F1AAB" w:rsidP="002F6FA6">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CCP2 (Bruce Mountain), </w:t>
      </w:r>
      <w:r w:rsidRPr="002A70E8">
        <w:rPr>
          <w:rStyle w:val="AERtextitalic"/>
        </w:rPr>
        <w:t>Submission on the AER’s preliminary decisions for the Qld/SA distribution network service providers (2015-20</w:t>
      </w:r>
      <w:r>
        <w:rPr>
          <w:rStyle w:val="AERtextitalic"/>
        </w:rPr>
        <w:t>)</w:t>
      </w:r>
      <w:r w:rsidRPr="002A70E8">
        <w:rPr>
          <w:rStyle w:val="AERtextitalic"/>
        </w:rPr>
        <w:t xml:space="preserve">, </w:t>
      </w:r>
      <w:r w:rsidRPr="00E4101F">
        <w:rPr>
          <w:rStyle w:val="AERtextitalic"/>
          <w:i w:val="0"/>
        </w:rPr>
        <w:t>29 July 2015, pp</w:t>
      </w:r>
      <w:r w:rsidRPr="002A70E8">
        <w:rPr>
          <w:rStyle w:val="AERtextitalic"/>
          <w:i w:val="0"/>
        </w:rPr>
        <w:t>. 10-11</w:t>
      </w:r>
      <w:r>
        <w:t xml:space="preserve">; </w:t>
      </w:r>
      <w:r w:rsidRPr="004A4DF6">
        <w:t xml:space="preserve">Origin Energy, </w:t>
      </w:r>
      <w:r w:rsidRPr="004A4DF6">
        <w:rPr>
          <w:rStyle w:val="AERtextitalic"/>
        </w:rPr>
        <w:t>Submission on the AER’s preliminary decisions on the Victorian distribution network service providers for 2016–20</w:t>
      </w:r>
      <w:r w:rsidRPr="004A4DF6">
        <w:t>, 6 January 2016, p. 3</w:t>
      </w:r>
      <w:r>
        <w:t xml:space="preserve">. SFG/Frontier submitted 0.82 (under multiple model approach for return on equity) in SFG, </w:t>
      </w:r>
      <w:r w:rsidRPr="002C4DC1">
        <w:rPr>
          <w:rStyle w:val="AERtextitalic"/>
        </w:rPr>
        <w:t>The required return on equity for the benchmark efficient entity</w:t>
      </w:r>
      <w:r>
        <w:t xml:space="preserve">, 25 February 2015, p. 20; SFG, </w:t>
      </w:r>
      <w:r w:rsidRPr="0082349C">
        <w:rPr>
          <w:rStyle w:val="AERtextitalic"/>
        </w:rPr>
        <w:t>Beta and the Black capital asset pricing model</w:t>
      </w:r>
      <w:r>
        <w:t xml:space="preserve">, 13 February 2015, p. 4; and </w:t>
      </w:r>
      <w:r w:rsidRPr="004A4DF6">
        <w:t xml:space="preserve">Frontier, </w:t>
      </w:r>
      <w:r w:rsidRPr="004A4DF6">
        <w:rPr>
          <w:rStyle w:val="AERtextitalic"/>
        </w:rPr>
        <w:t>Estimating the equity beta for the benchmark efficient entity</w:t>
      </w:r>
      <w:r w:rsidRPr="004A4DF6">
        <w:t>, January 2016, p. 3</w:t>
      </w:r>
      <w:r>
        <w:t xml:space="preserve">. SFG/Frontier submitted 0.91 (under alternative 'foundation model' approaches for return on equity) in SFG, </w:t>
      </w:r>
      <w:r w:rsidRPr="008347D0">
        <w:rPr>
          <w:rStyle w:val="AERtextitalic"/>
        </w:rPr>
        <w:t>Beta and the Black capital asset pricing model</w:t>
      </w:r>
      <w:r w:rsidRPr="009B7797">
        <w:t>, 13 February 2015, p. 35</w:t>
      </w:r>
      <w:r>
        <w:t xml:space="preserve">; </w:t>
      </w:r>
      <w:r w:rsidRPr="004A4DF6">
        <w:t xml:space="preserve">Frontier, </w:t>
      </w:r>
      <w:r w:rsidRPr="004A4DF6">
        <w:rPr>
          <w:rStyle w:val="AERtextitalic"/>
        </w:rPr>
        <w:t>The required return on equity under a foundation model approach</w:t>
      </w:r>
      <w:r w:rsidRPr="004A4DF6">
        <w:t>, January 2016, p. 11</w:t>
      </w:r>
      <w:r>
        <w:t>.</w:t>
      </w:r>
    </w:p>
  </w:footnote>
  <w:footnote w:id="249">
    <w:p w:rsidR="003F1AAB" w:rsidRDefault="003F1AAB" w:rsidP="002F6FA6">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8.</w:t>
      </w:r>
    </w:p>
  </w:footnote>
  <w:footnote w:id="250">
    <w:p w:rsidR="003F1AAB" w:rsidRDefault="003F1AAB" w:rsidP="002F6FA6">
      <w:pPr>
        <w:pStyle w:val="FootnoteText"/>
      </w:pPr>
      <w:r>
        <w:rPr>
          <w:rStyle w:val="FootnoteReference"/>
        </w:rPr>
        <w:footnoteRef/>
      </w:r>
      <w:r>
        <w:t xml:space="preserve"> </w:t>
      </w:r>
      <w:r>
        <w:tab/>
        <w:t>NER, cl. 6.5.2(f); NER, cl. 6A.6.2(f); NGR, r. 87(6). NEL, s.16; NGL, s. 23.</w:t>
      </w:r>
    </w:p>
  </w:footnote>
  <w:footnote w:id="251">
    <w:p w:rsidR="003F1AAB" w:rsidRDefault="003F1AAB" w:rsidP="002F6FA6">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10–11; Frontier Economics, </w:t>
      </w:r>
      <w:r w:rsidRPr="00331E87">
        <w:rPr>
          <w:rStyle w:val="AERtextitalic"/>
        </w:rPr>
        <w:t>Estimating the equity beta for the benchmark efficient entity</w:t>
      </w:r>
      <w:r>
        <w:t xml:space="preserve">, January 2016, pp. 13–19. CitiPower, Powercor, United Energy, JEN, AusNet, AGN and ActewAGL submitted these reports with their initial and revised proposals respectively. Also see CitiPower, </w:t>
      </w:r>
      <w:r w:rsidRPr="0063316D">
        <w:rPr>
          <w:rStyle w:val="AERtextitalic"/>
        </w:rPr>
        <w:t>Revised proposal</w:t>
      </w:r>
      <w:r>
        <w:t xml:space="preserve">, January 2016, p. 311–312; Powercor, </w:t>
      </w:r>
      <w:r w:rsidRPr="00525CDC">
        <w:rPr>
          <w:rStyle w:val="AERtextitalic"/>
        </w:rPr>
        <w:t>Revised proposal</w:t>
      </w:r>
      <w:r>
        <w:t xml:space="preserve">, January 2016, pp. 305-306; United Energy, </w:t>
      </w:r>
      <w:r w:rsidRPr="00A2228D">
        <w:rPr>
          <w:rStyle w:val="AERtextitalic"/>
        </w:rPr>
        <w:t>Response to AER Preliminary Determination Re: Rate of return and gamma</w:t>
      </w:r>
      <w:r>
        <w:t xml:space="preserve">, January 2016, pp. 65-66; JEN, </w:t>
      </w:r>
      <w:r w:rsidRPr="00AC149B">
        <w:rPr>
          <w:rStyle w:val="AERtextitalic"/>
        </w:rPr>
        <w:t>Revocation and substitution submission attachment 6-1</w:t>
      </w:r>
      <w:r>
        <w:t xml:space="preserve">, January 2016, pp. 70-71; AusNet, </w:t>
      </w:r>
      <w:r w:rsidRPr="00CD12C8">
        <w:rPr>
          <w:rStyle w:val="AERtextitalic"/>
        </w:rPr>
        <w:t>Revised regulatory proposal</w:t>
      </w:r>
      <w:r>
        <w:t xml:space="preserve">, January 2016, pp. 64-65; AGN, </w:t>
      </w:r>
      <w:r w:rsidRPr="00CD12C8">
        <w:rPr>
          <w:rStyle w:val="AERtextitalic"/>
        </w:rPr>
        <w:t>Revised SA access arrangement information</w:t>
      </w:r>
      <w:r>
        <w:t xml:space="preserve"> attachment 10.26, January 2016, pp. 69–70; and ActewAGL, </w:t>
      </w:r>
      <w:r w:rsidRPr="00CD12C8">
        <w:rPr>
          <w:rStyle w:val="AERtextitalic"/>
        </w:rPr>
        <w:t>Revised 2016-21 access arrangement proposal appendix 5.01</w:t>
      </w:r>
      <w:r>
        <w:t>, January 2016, pp. 87–88.</w:t>
      </w:r>
    </w:p>
    <w:p w:rsidR="003F1AAB" w:rsidRDefault="003F1AAB" w:rsidP="002F6FA6">
      <w:pPr>
        <w:pStyle w:val="FootnoteText"/>
      </w:pPr>
      <w:r>
        <w:tab/>
        <w:t xml:space="preserve">AusNet Services, </w:t>
      </w:r>
      <w:r w:rsidRPr="006C0405">
        <w:rPr>
          <w:rStyle w:val="AERtextitalic"/>
        </w:rPr>
        <w:t>Transmission Revenue Review 2017–2022 regulatory proposal</w:t>
      </w:r>
      <w:r>
        <w:t>, 30 October 2015, pp. 227–230.</w:t>
      </w:r>
    </w:p>
  </w:footnote>
  <w:footnote w:id="252">
    <w:p w:rsidR="003F1AAB" w:rsidRDefault="003F1AAB" w:rsidP="002F6FA6">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xml:space="preserve">, January 2016, pp. 26–34. Also see CitiPower, </w:t>
      </w:r>
      <w:r w:rsidRPr="00525CDC">
        <w:rPr>
          <w:rStyle w:val="AERtextitalic"/>
        </w:rPr>
        <w:t>Revised proposal</w:t>
      </w:r>
      <w:r>
        <w:t>, January 2016, p. 312–314.</w:t>
      </w:r>
      <w:r w:rsidRPr="004855F0">
        <w:t xml:space="preserve"> </w:t>
      </w:r>
      <w:r>
        <w:t>Powercor, United Energy, JEN, AusNet, AGN and ActewAGL's revised proposals contain similar reasoning.</w:t>
      </w:r>
    </w:p>
    <w:p w:rsidR="003F1AAB" w:rsidRDefault="003F1AAB" w:rsidP="002F6FA6">
      <w:pPr>
        <w:pStyle w:val="FootnoteText"/>
      </w:pPr>
      <w:r>
        <w:tab/>
      </w:r>
      <w:r w:rsidRPr="00745914">
        <w:t xml:space="preserve">Powercor, </w:t>
      </w:r>
      <w:r w:rsidRPr="00745914">
        <w:rPr>
          <w:rStyle w:val="Emphasis"/>
        </w:rPr>
        <w:t>Revised regulatory proposal 2016–2020,</w:t>
      </w:r>
      <w:r w:rsidRPr="00745914">
        <w:t xml:space="preserve"> January 2016, pp. 306–308; ActewAGL, </w:t>
      </w:r>
      <w:r w:rsidRPr="00745914">
        <w:rPr>
          <w:rStyle w:val="Emphasis"/>
        </w:rPr>
        <w:t>Revised 2016–21 access arrangement proposal Response to the AER's draft decision, Appendix 5.01 Detailed response to rate of return, gamma and inflation</w:t>
      </w:r>
      <w:r w:rsidRPr="00745914">
        <w:t xml:space="preserve">, January 2016, pp. 88–91; United Energy, </w:t>
      </w:r>
      <w:r w:rsidRPr="00745914">
        <w:rPr>
          <w:rStyle w:val="Emphasis"/>
        </w:rPr>
        <w:t>Response to AER preliminary determination–Re: rate of return and gamma</w:t>
      </w:r>
      <w:r w:rsidRPr="00745914">
        <w:t xml:space="preserve">, 6 January 2016, pp. 66–68; AGN, </w:t>
      </w:r>
      <w:r w:rsidRPr="00745914">
        <w:rPr>
          <w:rStyle w:val="Emphasis"/>
        </w:rPr>
        <w:t>2016–17 to 2020/21 Access Arrangement information response to draft decision: Attachment 10.26 Response to draft decision: rate of return</w:t>
      </w:r>
      <w:r w:rsidRPr="00745914">
        <w:t xml:space="preserve">, January 2016, pp. 70–72; JEN (Vic), </w:t>
      </w:r>
      <w:r w:rsidRPr="00745914">
        <w:rPr>
          <w:rStyle w:val="Emphasis"/>
        </w:rPr>
        <w:t>2016–20 Electricity distribution price review regulatory proposal revocation and substitution submission: Attachment 6–1 Rate of return, gamma, forecast inflation, and debt and equity raising costs,</w:t>
      </w:r>
      <w:r w:rsidRPr="00745914">
        <w:t xml:space="preserve"> 6 January 2016, pp. 71–73; AusNet Services, </w:t>
      </w:r>
      <w:r w:rsidRPr="00745914">
        <w:rPr>
          <w:rStyle w:val="Emphasis"/>
        </w:rPr>
        <w:t>Electricity distribution price review 2016–20 Revised regulatory proposal: Chapter 7 Rate of return &amp; gamma</w:t>
      </w:r>
      <w:r w:rsidRPr="00745914">
        <w:t>, 6 January 2016, pp. 65–67.</w:t>
      </w:r>
    </w:p>
    <w:p w:rsidR="003F1AAB" w:rsidRDefault="003F1AAB" w:rsidP="002F6FA6">
      <w:pPr>
        <w:pStyle w:val="FootnoteText"/>
      </w:pPr>
      <w:r>
        <w:tab/>
        <w:t xml:space="preserve">AusNet Services, </w:t>
      </w:r>
      <w:r w:rsidRPr="006C0405">
        <w:rPr>
          <w:rStyle w:val="AERtextitalic"/>
        </w:rPr>
        <w:t>Transmission Revenue Review 2017–2022 regulatory proposal</w:t>
      </w:r>
      <w:r>
        <w:t xml:space="preserve">, 30 October 2015, p. 265; SFG, </w:t>
      </w:r>
      <w:r w:rsidRPr="00AD327C">
        <w:rPr>
          <w:rStyle w:val="AERtextitalic"/>
        </w:rPr>
        <w:t>The required return on equity for the benchmark efficient entity</w:t>
      </w:r>
      <w:r>
        <w:t>, 25 February 2015, pp. 20–21</w:t>
      </w:r>
    </w:p>
  </w:footnote>
  <w:footnote w:id="253">
    <w:p w:rsidR="003F1AAB" w:rsidRDefault="003F1AAB" w:rsidP="002F6FA6">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310. Powercor, United Energy, JEN, AusNet, AGN and ActewAGL's revised proposals contain similar reasoning . </w:t>
      </w:r>
    </w:p>
  </w:footnote>
  <w:footnote w:id="254">
    <w:p w:rsidR="003F1AAB" w:rsidRDefault="003F1AAB" w:rsidP="002F6FA6">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xml:space="preserve">, August 2015, pp. 75–77, </w:t>
      </w:r>
      <w:r w:rsidRPr="00265193">
        <w:t xml:space="preserve">CCP2 (Bruce Mountain), </w:t>
      </w:r>
      <w:r w:rsidRPr="00EC2AA5">
        <w:rPr>
          <w:rStyle w:val="AERtextitalic"/>
        </w:rPr>
        <w:t>Submission on the AER’s preliminary decisions for the Qld/SA distribution network service providers (2015-20)</w:t>
      </w:r>
      <w:r>
        <w:t xml:space="preserve">, </w:t>
      </w:r>
      <w:r w:rsidRPr="00265193">
        <w:t>July 2015</w:t>
      </w:r>
      <w:r>
        <w:t xml:space="preserve">, pp. 9–10; CCP3, </w:t>
      </w:r>
      <w:r w:rsidRPr="005A113D">
        <w:rPr>
          <w:rStyle w:val="AERtextitalic"/>
        </w:rPr>
        <w:t>Response to AER preliminary decisions and revised proposals for Victorian electricity distribution network service providers for a revenue reset for the 2016-2020 regulatory period</w:t>
      </w:r>
      <w:r>
        <w:t xml:space="preserve">, </w:t>
      </w:r>
      <w:r w:rsidRPr="005A113D">
        <w:t>February 2016</w:t>
      </w:r>
      <w:r>
        <w:t>, pp. 92–93.</w:t>
      </w:r>
    </w:p>
  </w:footnote>
  <w:footnote w:id="255">
    <w:p w:rsidR="003F1AAB" w:rsidRDefault="003F1AAB" w:rsidP="002F6FA6">
      <w:pPr>
        <w:pStyle w:val="FootnoteText"/>
      </w:pPr>
      <w:r>
        <w:rPr>
          <w:rStyle w:val="FootnoteReference"/>
        </w:rPr>
        <w:footnoteRef/>
      </w:r>
      <w:r>
        <w:t xml:space="preserve"> </w:t>
      </w:r>
      <w:r>
        <w:tab/>
        <w:t xml:space="preserve">CitiPower, </w:t>
      </w:r>
      <w:r w:rsidRPr="00525CDC">
        <w:rPr>
          <w:rStyle w:val="AERtextitalic"/>
        </w:rPr>
        <w:t>Revised proposal</w:t>
      </w:r>
      <w:r>
        <w:t>, January 2016, pp. 310–311. Powercor, United Energy, JEN, AusNet, AGN and ActewAGL's revised proposals contain similar reasoning.</w:t>
      </w:r>
    </w:p>
    <w:p w:rsidR="003F1AAB" w:rsidRDefault="003F1AAB" w:rsidP="002F6FA6">
      <w:pPr>
        <w:pStyle w:val="FootnoteText"/>
      </w:pPr>
      <w:r>
        <w:tab/>
      </w:r>
      <w:r w:rsidRPr="00745914">
        <w:t xml:space="preserve">Powercor, </w:t>
      </w:r>
      <w:r w:rsidRPr="00745914">
        <w:rPr>
          <w:rStyle w:val="Emphasis"/>
        </w:rPr>
        <w:t>Revised regulatory proposal 2016–2020,</w:t>
      </w:r>
      <w:r w:rsidRPr="00745914">
        <w:t xml:space="preserve"> January 2016, pp. 304–305; ActewAGL, </w:t>
      </w:r>
      <w:r w:rsidRPr="00745914">
        <w:rPr>
          <w:rStyle w:val="Emphasis"/>
        </w:rPr>
        <w:t>Revised 2016–21 access arrangement proposal Response to the AER's draft decision, Appendix 5.01 Detailed response to rate of return, gamma and inflation</w:t>
      </w:r>
      <w:r w:rsidRPr="00745914">
        <w:t xml:space="preserve">, January 2016, pp. 87–88; United Energy, </w:t>
      </w:r>
      <w:r w:rsidRPr="00745914">
        <w:rPr>
          <w:rStyle w:val="Emphasis"/>
        </w:rPr>
        <w:t>Response to AER preliminary determination–Re: rate of return and gamma</w:t>
      </w:r>
      <w:r w:rsidRPr="00745914">
        <w:t xml:space="preserve">, 6 January 2016, pp. 64–65; AGN, </w:t>
      </w:r>
      <w:r w:rsidRPr="00745914">
        <w:rPr>
          <w:rStyle w:val="Emphasis"/>
        </w:rPr>
        <w:t>2016–17 to 2020/21 Access Arrangement information response to draft decision: Attachment 10.26 Response to draft decision: rate of return</w:t>
      </w:r>
      <w:r w:rsidRPr="00745914">
        <w:t xml:space="preserve">, January 2016, pp. 69–70; JEN (Vic), </w:t>
      </w:r>
      <w:r w:rsidRPr="00745914">
        <w:rPr>
          <w:rStyle w:val="Emphasis"/>
        </w:rPr>
        <w:t>2016–20 Electricity distribution price review regulatory proposal revocation and substitution submission: Attachment 6–1 Rate of return, gamma, forecast inflation, and debt and equity raising costs,</w:t>
      </w:r>
      <w:r w:rsidRPr="00745914">
        <w:t xml:space="preserve"> 6 January 2016, pp. 69–70; AusNet Services, </w:t>
      </w:r>
      <w:r w:rsidRPr="00745914">
        <w:rPr>
          <w:rStyle w:val="Emphasis"/>
        </w:rPr>
        <w:t>Electricity distribution price review 2016–20 Revised regulatory proposal: Chapter 7 Rate of return &amp; gamma</w:t>
      </w:r>
      <w:r w:rsidRPr="00745914">
        <w:t>, 6 January 2016, pp. 63–64.</w:t>
      </w:r>
    </w:p>
  </w:footnote>
  <w:footnote w:id="256">
    <w:p w:rsidR="003F1AAB" w:rsidRDefault="003F1AAB" w:rsidP="002F6FA6">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xml:space="preserve">, January 2016, p. 4. </w:t>
      </w:r>
    </w:p>
  </w:footnote>
  <w:footnote w:id="257">
    <w:p w:rsidR="003F1AAB" w:rsidRDefault="003F1AAB" w:rsidP="002F6FA6">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33–34, 46–58. APTNT submitted this report with its initial proposal.</w:t>
      </w:r>
    </w:p>
  </w:footnote>
  <w:footnote w:id="258">
    <w:p w:rsidR="003F1AAB" w:rsidRDefault="003F1AAB" w:rsidP="002F6FA6">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29–30. </w:t>
      </w:r>
    </w:p>
  </w:footnote>
  <w:footnote w:id="259">
    <w:p w:rsidR="003F1AAB" w:rsidRDefault="003F1AAB" w:rsidP="002F6FA6">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46. CitiPower, Powercor, United Energy, JEN, AusNet, AGN and ActewAGL submitted this report with their revised proposals. Also see Frontier Economics, </w:t>
      </w:r>
      <w:r w:rsidRPr="00331E87">
        <w:rPr>
          <w:rStyle w:val="AERtextitalic"/>
        </w:rPr>
        <w:t>Estimating the equity beta for the benchmark efficient entity</w:t>
      </w:r>
      <w:r>
        <w:t>, January 2016, pp. 5–6.</w:t>
      </w:r>
    </w:p>
    <w:p w:rsidR="003F1AAB" w:rsidRDefault="003F1AAB" w:rsidP="002F6FA6">
      <w:pPr>
        <w:pStyle w:val="FootnoteText"/>
      </w:pPr>
      <w:r>
        <w:tab/>
        <w:t xml:space="preserve">AusNet Services, </w:t>
      </w:r>
      <w:r w:rsidRPr="006C0405">
        <w:rPr>
          <w:rStyle w:val="AERtextitalic"/>
        </w:rPr>
        <w:t>Transmission Revenue Review 2017–2022 regulatory proposal</w:t>
      </w:r>
      <w:r>
        <w:t xml:space="preserve">, 30 October 2015, p. 265; SFG, </w:t>
      </w:r>
      <w:r>
        <w:rPr>
          <w:rStyle w:val="AERtextitalic"/>
        </w:rPr>
        <w:t>Beta and the Black capital asset pricing model</w:t>
      </w:r>
      <w:r>
        <w:t>, 13 February 2015, pp.31–32.</w:t>
      </w:r>
    </w:p>
  </w:footnote>
  <w:footnote w:id="260">
    <w:p w:rsidR="003F1AAB" w:rsidRDefault="003F1AAB" w:rsidP="002F6FA6">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10.</w:t>
      </w:r>
    </w:p>
  </w:footnote>
  <w:footnote w:id="261">
    <w:p w:rsidR="003F1AAB" w:rsidRDefault="003F1AAB" w:rsidP="002F6FA6">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314; Powercor, </w:t>
      </w:r>
      <w:r w:rsidRPr="00525CDC">
        <w:rPr>
          <w:rStyle w:val="AERtextitalic"/>
        </w:rPr>
        <w:t>Revised proposal</w:t>
      </w:r>
      <w:r>
        <w:t xml:space="preserve">, January 2016, p. 308; United Energy, </w:t>
      </w:r>
      <w:r w:rsidRPr="00AC149B">
        <w:rPr>
          <w:rStyle w:val="AERtextitalic"/>
        </w:rPr>
        <w:t>Response to AER preliminary decision re rate of return, gamma</w:t>
      </w:r>
      <w:r>
        <w:t xml:space="preserve">, January 2016, p. 68; JEN, </w:t>
      </w:r>
      <w:r w:rsidRPr="00AC149B">
        <w:rPr>
          <w:rStyle w:val="AERtextitalic"/>
        </w:rPr>
        <w:t>Revocation and substitution submission attachment 6-1</w:t>
      </w:r>
      <w:r>
        <w:t xml:space="preserve">, January 2016, p. 73; AusNet, </w:t>
      </w:r>
      <w:r w:rsidRPr="00CD12C8">
        <w:rPr>
          <w:rStyle w:val="AERtextitalic"/>
        </w:rPr>
        <w:t>Revised regulatory proposal</w:t>
      </w:r>
      <w:r>
        <w:t xml:space="preserve">, January 2016, p. 7-67; AGN, </w:t>
      </w:r>
      <w:r w:rsidRPr="00CD12C8">
        <w:rPr>
          <w:rStyle w:val="AERtextitalic"/>
        </w:rPr>
        <w:t>Revised SA access arrangement information</w:t>
      </w:r>
      <w:r>
        <w:t xml:space="preserve">, January 2016, p. 72; ActewAGL, </w:t>
      </w:r>
      <w:r w:rsidRPr="00CD12C8">
        <w:rPr>
          <w:rStyle w:val="AERtextitalic"/>
        </w:rPr>
        <w:t>Revised 2016-21 access arrangement proposal appendix 5.01</w:t>
      </w:r>
      <w:r>
        <w:t>, January 2016, p. 91.</w:t>
      </w:r>
    </w:p>
  </w:footnote>
  <w:footnote w:id="262">
    <w:p w:rsidR="003F1AAB" w:rsidRDefault="003F1AAB" w:rsidP="002F6FA6">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xml:space="preserve">, June 2013, pp. 2, 13; Frontier Economics, </w:t>
      </w:r>
      <w:r w:rsidRPr="00A357BE">
        <w:rPr>
          <w:rStyle w:val="AERtextitalic"/>
        </w:rPr>
        <w:t>Estimating the equity beta for the benchmark efficient entity</w:t>
      </w:r>
      <w:r>
        <w:t>, January 2016, p</w:t>
      </w:r>
      <w:r w:rsidRPr="00A357BE">
        <w:t xml:space="preserve">. </w:t>
      </w:r>
      <w:r>
        <w:t xml:space="preserve">6; CEG, </w:t>
      </w:r>
      <w:r w:rsidRPr="00E8797D">
        <w:rPr>
          <w:rStyle w:val="AERtextitalic"/>
        </w:rPr>
        <w:t>Estimating the cost of equity, equity beta and MRP</w:t>
      </w:r>
      <w:r>
        <w:t xml:space="preserve">, January 2015, p. 58; NERA, </w:t>
      </w:r>
      <w:r w:rsidRPr="009A4E12">
        <w:rPr>
          <w:rStyle w:val="AERtextitalic"/>
        </w:rPr>
        <w:t>Return on capital of a regulated electricity network</w:t>
      </w:r>
      <w:r>
        <w:t>, May 2014, pp. 79–81.</w:t>
      </w:r>
    </w:p>
  </w:footnote>
  <w:footnote w:id="263">
    <w:p w:rsidR="003F1AAB" w:rsidRDefault="003F1AAB" w:rsidP="002F6FA6">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314; Powercor, </w:t>
      </w:r>
      <w:r w:rsidRPr="00525CDC">
        <w:rPr>
          <w:rStyle w:val="AERtextitalic"/>
        </w:rPr>
        <w:t>Revised proposal</w:t>
      </w:r>
      <w:r>
        <w:t xml:space="preserve">, January 2016, p. 308; United Energy, </w:t>
      </w:r>
      <w:r w:rsidRPr="00AC149B">
        <w:rPr>
          <w:rStyle w:val="AERtextitalic"/>
        </w:rPr>
        <w:t>Response to AER preliminary decision re rate of return, gamma</w:t>
      </w:r>
      <w:r>
        <w:t xml:space="preserve">, January 2016, p. 68; JEN, </w:t>
      </w:r>
      <w:r w:rsidRPr="00AC149B">
        <w:rPr>
          <w:rStyle w:val="AERtextitalic"/>
        </w:rPr>
        <w:t>Revocation and substitution submission attachment 6-1</w:t>
      </w:r>
      <w:r>
        <w:t xml:space="preserve">, January 2016, p. 73; AusNet, </w:t>
      </w:r>
      <w:r w:rsidRPr="00CD12C8">
        <w:rPr>
          <w:rStyle w:val="AERtextitalic"/>
        </w:rPr>
        <w:t>Revised regulatory proposal</w:t>
      </w:r>
      <w:r>
        <w:t xml:space="preserve">, January 2016, p. 7-67; AGN, </w:t>
      </w:r>
      <w:r w:rsidRPr="00CD12C8">
        <w:rPr>
          <w:rStyle w:val="AERtextitalic"/>
        </w:rPr>
        <w:t>Revised SA access arrangement information</w:t>
      </w:r>
      <w:r>
        <w:t xml:space="preserve">, January 2016, p. 72; ActewAGL, </w:t>
      </w:r>
      <w:r w:rsidRPr="00CD12C8">
        <w:rPr>
          <w:rStyle w:val="AERtextitalic"/>
        </w:rPr>
        <w:t>Revised 2016-21 access arrangement proposal appendix 5.01</w:t>
      </w:r>
      <w:r>
        <w:t>, January 2016, pp. 91–92.</w:t>
      </w:r>
    </w:p>
  </w:footnote>
  <w:footnote w:id="264">
    <w:p w:rsidR="003F1AAB" w:rsidRDefault="003F1AAB" w:rsidP="002F6FA6">
      <w:pPr>
        <w:pStyle w:val="FootnoteText"/>
      </w:pPr>
      <w:r>
        <w:rPr>
          <w:rStyle w:val="FootnoteReference"/>
        </w:rPr>
        <w:footnoteRef/>
      </w:r>
      <w:r>
        <w:t xml:space="preserve"> </w:t>
      </w:r>
      <w:r>
        <w:tab/>
        <w:t xml:space="preserve">See Henry, </w:t>
      </w:r>
      <w:r w:rsidRPr="00880024">
        <w:rPr>
          <w:rStyle w:val="AERtextitalic"/>
        </w:rPr>
        <w:t xml:space="preserve">Estimating </w:t>
      </w:r>
      <w:r w:rsidRPr="00316ED3">
        <w:rPr>
          <w:rStyle w:val="AERtextitalic"/>
        </w:rPr>
        <w:t>β</w:t>
      </w:r>
      <w:r w:rsidRPr="00880024">
        <w:rPr>
          <w:rStyle w:val="AERtextitalic"/>
        </w:rPr>
        <w:t>: An update</w:t>
      </w:r>
      <w:r>
        <w:t>, April 2014, p. 35.</w:t>
      </w:r>
    </w:p>
  </w:footnote>
  <w:footnote w:id="265">
    <w:p w:rsidR="003F1AAB" w:rsidRDefault="003F1AAB" w:rsidP="002F6FA6">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 31; Frontier Economics, </w:t>
      </w:r>
      <w:r w:rsidRPr="00331E87">
        <w:rPr>
          <w:rStyle w:val="AERtextitalic"/>
        </w:rPr>
        <w:t>Estimating the equity beta for the benchmark efficient entity</w:t>
      </w:r>
      <w:r>
        <w:t xml:space="preserve">, January 2016, pp. 4–5. </w:t>
      </w:r>
    </w:p>
  </w:footnote>
  <w:footnote w:id="266">
    <w:p w:rsidR="003F1AAB" w:rsidRDefault="003F1AAB" w:rsidP="002F6FA6">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39. Also see CitiPower, </w:t>
      </w:r>
      <w:r w:rsidRPr="00525CDC">
        <w:rPr>
          <w:rStyle w:val="AERtextitalic"/>
        </w:rPr>
        <w:t>Revised proposal</w:t>
      </w:r>
      <w:r>
        <w:t>, January 2016, pp. 314–315. Powercor, United Energy, JEN, AusNet, AGN and ActewAGL's revised proposals contain similar reasoning.</w:t>
      </w:r>
    </w:p>
    <w:p w:rsidR="003F1AAB" w:rsidRDefault="003F1AAB" w:rsidP="002F6FA6">
      <w:pPr>
        <w:pStyle w:val="FootnoteText"/>
      </w:pPr>
      <w:r>
        <w:tab/>
      </w:r>
      <w:r w:rsidRPr="00745914">
        <w:t xml:space="preserve">Powercor, </w:t>
      </w:r>
      <w:r w:rsidRPr="00745914">
        <w:rPr>
          <w:rStyle w:val="Emphasis"/>
        </w:rPr>
        <w:t>Revised regulatory proposal 2016–2020,</w:t>
      </w:r>
      <w:r w:rsidRPr="00745914">
        <w:t xml:space="preserve"> January 2016, pp. 308–309; ActewAGL, </w:t>
      </w:r>
      <w:r w:rsidRPr="00745914">
        <w:rPr>
          <w:rStyle w:val="Emphasis"/>
        </w:rPr>
        <w:t>Revised 2016–21 access arrangement proposal Response to the AER's draft decision, Appendix 5.01 Detailed response to rate of return, gamma and inflation</w:t>
      </w:r>
      <w:r w:rsidRPr="00745914">
        <w:t xml:space="preserve">, January 2016, pp. 91–92; United Energy, </w:t>
      </w:r>
      <w:r w:rsidRPr="00745914">
        <w:rPr>
          <w:rStyle w:val="Emphasis"/>
        </w:rPr>
        <w:t>Response to AER preliminary determination–Re: rate of return and gamma</w:t>
      </w:r>
      <w:r w:rsidRPr="00745914">
        <w:t xml:space="preserve">, 6 January 2016, p. 68; AGN, </w:t>
      </w:r>
      <w:r w:rsidRPr="00745914">
        <w:rPr>
          <w:rStyle w:val="Emphasis"/>
        </w:rPr>
        <w:t>2016–17 to 2020/21 Access Arrangement information response to draft decision: Attachment 10.26 Response to draft decision: rate of return</w:t>
      </w:r>
      <w:r w:rsidRPr="00745914">
        <w:t xml:space="preserve">, January 2016, pp. 72–73; JEN (Vic), </w:t>
      </w:r>
      <w:r w:rsidRPr="00745914">
        <w:rPr>
          <w:rStyle w:val="Emphasis"/>
        </w:rPr>
        <w:t>2016–20 Electricity distribution price review regulatory proposal revocation and substitution submission: Attachment 6–1 Rate of return, gamma, forecast inflation, and debt and equity raising costs,</w:t>
      </w:r>
      <w:r w:rsidRPr="00745914">
        <w:t xml:space="preserve"> 6 January 2016, pp. 73–74; AusNet Services, </w:t>
      </w:r>
      <w:r w:rsidRPr="00745914">
        <w:rPr>
          <w:rStyle w:val="Emphasis"/>
        </w:rPr>
        <w:t>Electricity distribution price review 2016–20 Revised regulatory proposal: Chapter 7 Rate of return &amp; gamma</w:t>
      </w:r>
      <w:r w:rsidRPr="00745914">
        <w:t>, 6 January 2016, p. 67.</w:t>
      </w:r>
    </w:p>
    <w:p w:rsidR="003F1AAB" w:rsidRDefault="003F1AAB" w:rsidP="002F6FA6">
      <w:pPr>
        <w:pStyle w:val="FootnoteText"/>
      </w:pPr>
      <w:r>
        <w:tab/>
        <w:t xml:space="preserve">AusNet Services, </w:t>
      </w:r>
      <w:r w:rsidRPr="006C0405">
        <w:rPr>
          <w:rStyle w:val="AERtextitalic"/>
        </w:rPr>
        <w:t>Transmission Revenue Review 2017–2022 regulatory proposal</w:t>
      </w:r>
      <w:r>
        <w:t>, 30 October 2015, pp. 228–229.</w:t>
      </w:r>
    </w:p>
  </w:footnote>
  <w:footnote w:id="267">
    <w:p w:rsidR="003F1AAB" w:rsidRDefault="003F1AAB" w:rsidP="002F6FA6">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10–11. Also see CitiPower, </w:t>
      </w:r>
      <w:r w:rsidRPr="00525CDC">
        <w:rPr>
          <w:rStyle w:val="AERtextitalic"/>
        </w:rPr>
        <w:t>Revised proposal</w:t>
      </w:r>
      <w:r>
        <w:t>, January 2016, p. 311–312.</w:t>
      </w:r>
      <w:r w:rsidRPr="004855F0">
        <w:t xml:space="preserve"> </w:t>
      </w:r>
      <w:r>
        <w:t>Powercor, United Energy, JEN, AusNet, AGN and ActewAGL's revised proposals contain similar reasoning.</w:t>
      </w:r>
    </w:p>
    <w:p w:rsidR="003F1AAB" w:rsidRDefault="003F1AAB" w:rsidP="002F6FA6">
      <w:pPr>
        <w:pStyle w:val="FootnoteText"/>
      </w:pPr>
      <w:r>
        <w:tab/>
      </w:r>
      <w:r w:rsidRPr="00745914">
        <w:t xml:space="preserve">Powercor, </w:t>
      </w:r>
      <w:r w:rsidRPr="00745914">
        <w:rPr>
          <w:rStyle w:val="Emphasis"/>
        </w:rPr>
        <w:t>Revised regulatory proposal 2016–2020,</w:t>
      </w:r>
      <w:r w:rsidRPr="00745914">
        <w:t xml:space="preserve"> January 2016, pp. 305–308; ActewAGL, </w:t>
      </w:r>
      <w:r w:rsidRPr="00745914">
        <w:rPr>
          <w:rStyle w:val="Emphasis"/>
        </w:rPr>
        <w:t>Revised 2016–21 access arrangement proposal Response to the AER's draft decision, Appendix 5.01 Detailed response to rate of return, gamma and inflation</w:t>
      </w:r>
      <w:r w:rsidRPr="00745914">
        <w:t xml:space="preserve">, January 2016, pp. 87–89; United Energy, </w:t>
      </w:r>
      <w:r w:rsidRPr="00745914">
        <w:rPr>
          <w:rStyle w:val="Emphasis"/>
        </w:rPr>
        <w:t>Response to AER preliminary determination–Re: rate of return and gamma</w:t>
      </w:r>
      <w:r w:rsidRPr="00745914">
        <w:t xml:space="preserve">, 6 January 2016, pp. 65–66; AGN, </w:t>
      </w:r>
      <w:r w:rsidRPr="00745914">
        <w:rPr>
          <w:rStyle w:val="Emphasis"/>
        </w:rPr>
        <w:t>2016–17 to 2020/21 Access Arrangement information response to draft decision: Attachment 10.26 Response to draft decision: rate of return</w:t>
      </w:r>
      <w:r w:rsidRPr="00745914">
        <w:t xml:space="preserve">, January 2016, pp. 69–71; JEN (Vic), </w:t>
      </w:r>
      <w:r w:rsidRPr="00745914">
        <w:rPr>
          <w:rStyle w:val="Emphasis"/>
        </w:rPr>
        <w:t>2016–20 Electricity distribution price review regulatory proposal revocation and substitution submission: Attachment 6–1 Rate of return, gamma, forecast inflation, and debt and equity raising costs,</w:t>
      </w:r>
      <w:r w:rsidRPr="00745914">
        <w:t xml:space="preserve"> 6 January 2016, pp. 70–72; AusNet Services, </w:t>
      </w:r>
      <w:r w:rsidRPr="00745914">
        <w:rPr>
          <w:rStyle w:val="Emphasis"/>
        </w:rPr>
        <w:t>Electricity distribution price review 2016–20 Revised regulatory proposal: Chapter 7 Rate of return &amp; gamma</w:t>
      </w:r>
      <w:r w:rsidRPr="00745914">
        <w:t>, 6 January 2016, pp. 64–65.</w:t>
      </w:r>
    </w:p>
    <w:p w:rsidR="003F1AAB" w:rsidRDefault="003F1AAB" w:rsidP="002F6FA6">
      <w:pPr>
        <w:pStyle w:val="FootnoteText"/>
      </w:pPr>
      <w:r>
        <w:tab/>
        <w:t xml:space="preserve">AusNet Services, </w:t>
      </w:r>
      <w:r w:rsidRPr="006C0405">
        <w:rPr>
          <w:rStyle w:val="AERtextitalic"/>
        </w:rPr>
        <w:t>Transmission Revenue Review 2017–2022 regulatory proposal</w:t>
      </w:r>
      <w:r>
        <w:t>, 30 October 2015, pp. 264–265.</w:t>
      </w:r>
    </w:p>
  </w:footnote>
  <w:footnote w:id="268">
    <w:p w:rsidR="003F1AAB" w:rsidRDefault="003F1AAB" w:rsidP="002F6FA6">
      <w:pPr>
        <w:pStyle w:val="FootnoteText"/>
      </w:pPr>
      <w:r>
        <w:rPr>
          <w:rStyle w:val="FootnoteReference"/>
        </w:rPr>
        <w:footnoteRef/>
      </w:r>
      <w:r>
        <w:t xml:space="preserve"> </w:t>
      </w:r>
      <w:r>
        <w:tab/>
      </w:r>
      <w:r w:rsidRPr="00C54839">
        <w:t xml:space="preserve">VECUA, </w:t>
      </w:r>
      <w:r w:rsidRPr="0063316D">
        <w:rPr>
          <w:rStyle w:val="AERtextitalic"/>
        </w:rPr>
        <w:t>Submission on the AER: AER preliminary 2016–20 revenue determinations for the Victorian DNSPs</w:t>
      </w:r>
      <w:r w:rsidRPr="00C54839">
        <w:t>, January 2016</w:t>
      </w:r>
      <w:r>
        <w:t>, pp. 17–18.</w:t>
      </w:r>
    </w:p>
  </w:footnote>
  <w:footnote w:id="269">
    <w:p w:rsidR="003F1AAB" w:rsidRDefault="003F1AAB" w:rsidP="002F6FA6">
      <w:pPr>
        <w:pStyle w:val="FootnoteText"/>
      </w:pPr>
      <w:r>
        <w:rPr>
          <w:rStyle w:val="FootnoteReference"/>
        </w:rPr>
        <w:footnoteRef/>
      </w:r>
      <w:r>
        <w:t xml:space="preserve"> </w:t>
      </w:r>
      <w:r>
        <w:tab/>
        <w:t xml:space="preserve">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pp. 89–94.</w:t>
      </w:r>
    </w:p>
  </w:footnote>
  <w:footnote w:id="270">
    <w:p w:rsidR="003F1AAB" w:rsidRDefault="003F1AAB" w:rsidP="002F6FA6">
      <w:pPr>
        <w:pStyle w:val="FootnoteText"/>
      </w:pPr>
      <w:r>
        <w:rPr>
          <w:rStyle w:val="FootnoteReference"/>
        </w:rPr>
        <w:footnoteRef/>
      </w:r>
      <w:r>
        <w:t xml:space="preserve"> </w:t>
      </w:r>
      <w:r>
        <w:tab/>
        <w:t xml:space="preserve">See Vo, Mero, Gellard, </w:t>
      </w:r>
      <w:r w:rsidRPr="005A113D">
        <w:rPr>
          <w:rStyle w:val="AERtextitalic"/>
        </w:rPr>
        <w:t>Equity beta for the Australian utilities is well below 1.0</w:t>
      </w:r>
      <w:r>
        <w:t xml:space="preserve">, March 2014. In this report, tables 1–12 and figures 1–8 appear to be the same as tables 19–29, 37, and figures 19–26 in the ERA's rate of return guideline (see ERA, </w:t>
      </w:r>
      <w:r w:rsidRPr="005A113D">
        <w:rPr>
          <w:rStyle w:val="AERtextitalic"/>
        </w:rPr>
        <w:t>Explanatory statement for the rate of return guidelines</w:t>
      </w:r>
      <w:r>
        <w:t xml:space="preserve">, December 2013, pp. 167–196).  </w:t>
      </w:r>
    </w:p>
  </w:footnote>
  <w:footnote w:id="271">
    <w:p w:rsidR="003F1AAB" w:rsidRDefault="003F1AAB" w:rsidP="002F6FA6">
      <w:pPr>
        <w:pStyle w:val="FootnoteText"/>
      </w:pPr>
      <w:r>
        <w:rPr>
          <w:rStyle w:val="FootnoteReference"/>
        </w:rPr>
        <w:footnoteRef/>
      </w:r>
      <w:r>
        <w:t xml:space="preserve"> </w:t>
      </w:r>
      <w:r>
        <w:tab/>
        <w:t xml:space="preserve">Grant Samuel and Associates, </w:t>
      </w:r>
      <w:r>
        <w:rPr>
          <w:rStyle w:val="AERtextitalic"/>
        </w:rPr>
        <w:t>Letter—Grant Samuel response to AER draft decision</w:t>
      </w:r>
      <w:r>
        <w:t>, 12 January 2015, p. 8. CitiPower, Powercor, JEN and United Energy submitted this report with their initial proposals.</w:t>
      </w:r>
    </w:p>
  </w:footnote>
  <w:footnote w:id="272">
    <w:p w:rsidR="003F1AAB" w:rsidRDefault="003F1AAB" w:rsidP="002F6FA6">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46–50. </w:t>
      </w:r>
    </w:p>
  </w:footnote>
  <w:footnote w:id="273">
    <w:p w:rsidR="003F1AAB" w:rsidRDefault="003F1AAB" w:rsidP="002F6FA6">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50–51. </w:t>
      </w:r>
    </w:p>
    <w:p w:rsidR="003F1AAB" w:rsidRDefault="003F1AAB" w:rsidP="002F6FA6">
      <w:pPr>
        <w:pStyle w:val="FootnoteText"/>
      </w:pPr>
      <w:r>
        <w:tab/>
        <w:t xml:space="preserve">AusNet Services, </w:t>
      </w:r>
      <w:r w:rsidRPr="006C0405">
        <w:rPr>
          <w:rStyle w:val="AERtextitalic"/>
        </w:rPr>
        <w:t>Transmission Revenue Review 2017–2022 regulatory proposal</w:t>
      </w:r>
      <w:r>
        <w:t>, 30 October 2015, p. 229.</w:t>
      </w:r>
    </w:p>
  </w:footnote>
  <w:footnote w:id="274">
    <w:p w:rsidR="003F1AAB" w:rsidRDefault="003F1AAB" w:rsidP="002F6FA6">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pp. 40–41. Also see CitiPower, </w:t>
      </w:r>
      <w:r w:rsidRPr="00525CDC">
        <w:rPr>
          <w:rStyle w:val="AERtextitalic"/>
        </w:rPr>
        <w:t>Revised proposal</w:t>
      </w:r>
      <w:r>
        <w:t xml:space="preserve">, January 2016, pp. 315–316; Powercor, </w:t>
      </w:r>
      <w:r w:rsidRPr="00525CDC">
        <w:rPr>
          <w:rStyle w:val="AERtextitalic"/>
        </w:rPr>
        <w:t>Revised proposal</w:t>
      </w:r>
      <w:r>
        <w:t xml:space="preserve">, January 2016, pp. 309–310; United Energy, </w:t>
      </w:r>
      <w:r w:rsidRPr="00AC149B">
        <w:rPr>
          <w:rStyle w:val="AERtextitalic"/>
        </w:rPr>
        <w:t>Response to AER preliminary decision re rate of return, gamma</w:t>
      </w:r>
      <w:r>
        <w:t xml:space="preserve">, January 2016, pp. 68–70; JEN, </w:t>
      </w:r>
      <w:r w:rsidRPr="00AC149B">
        <w:rPr>
          <w:rStyle w:val="AERtextitalic"/>
        </w:rPr>
        <w:t>Revocation and substitution submission attachment 6-1</w:t>
      </w:r>
      <w:r>
        <w:t xml:space="preserve">, January 2016, pp. 74–75; AusNet, </w:t>
      </w:r>
      <w:r w:rsidRPr="00CD12C8">
        <w:rPr>
          <w:rStyle w:val="AERtextitalic"/>
        </w:rPr>
        <w:t>Revised regulatory proposal</w:t>
      </w:r>
      <w:r>
        <w:t xml:space="preserve">, January 2016, pp. 7-67 to 7-69; AGN, </w:t>
      </w:r>
      <w:r w:rsidRPr="00CD12C8">
        <w:rPr>
          <w:rStyle w:val="AERtextitalic"/>
        </w:rPr>
        <w:t>Revised SA access arrangement information</w:t>
      </w:r>
      <w:r>
        <w:t>, January 2016, pp. 73–74;</w:t>
      </w:r>
      <w:r w:rsidRPr="009C72A1">
        <w:t xml:space="preserve"> </w:t>
      </w:r>
      <w:r>
        <w:t xml:space="preserve">ActewAGL, </w:t>
      </w:r>
      <w:r w:rsidRPr="00CD12C8">
        <w:rPr>
          <w:rStyle w:val="AERtextitalic"/>
        </w:rPr>
        <w:t>Revised 2016-21 access arrangement proposal appendix 5.01</w:t>
      </w:r>
      <w:r>
        <w:t>, January 2016, pp. 92–94.</w:t>
      </w:r>
    </w:p>
    <w:p w:rsidR="003F1AAB" w:rsidRDefault="003F1AAB" w:rsidP="002F6FA6">
      <w:pPr>
        <w:pStyle w:val="FootnoteText"/>
      </w:pPr>
      <w:r>
        <w:tab/>
        <w:t xml:space="preserve">AusNet Services, </w:t>
      </w:r>
      <w:r w:rsidRPr="006C0405">
        <w:rPr>
          <w:rStyle w:val="AERtextitalic"/>
        </w:rPr>
        <w:t>Transmission Revenue Review 2017–2022 regulatory proposal</w:t>
      </w:r>
      <w:r>
        <w:t>, 30 October 2015, pp. 230–231.</w:t>
      </w:r>
    </w:p>
  </w:footnote>
  <w:footnote w:id="275">
    <w:p w:rsidR="003F1AAB" w:rsidRDefault="003F1AAB" w:rsidP="002F6FA6">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Frontier Economics, </w:t>
      </w:r>
      <w:r>
        <w:rPr>
          <w:rStyle w:val="AERtextitalic"/>
        </w:rPr>
        <w:t>The required return on equity under a foundation model approach</w:t>
      </w:r>
      <w:r>
        <w:t xml:space="preserve">, January 2016, pp. 40–41. Also see CitiPower, </w:t>
      </w:r>
      <w:r w:rsidRPr="00525CDC">
        <w:rPr>
          <w:rStyle w:val="AERtextitalic"/>
        </w:rPr>
        <w:t>Revised proposal</w:t>
      </w:r>
      <w:r>
        <w:t>, January 2016, pp. 315–316. Powercor, United Energy, JEN, AusNet, AGN and ActewAGL's revised proposals contain similar reasoning.</w:t>
      </w:r>
    </w:p>
    <w:p w:rsidR="003F1AAB" w:rsidRDefault="003F1AAB" w:rsidP="002F6FA6">
      <w:pPr>
        <w:pStyle w:val="FootnoteText"/>
      </w:pPr>
      <w:r>
        <w:tab/>
      </w:r>
      <w:r w:rsidRPr="00745914">
        <w:t xml:space="preserve">Powercor, </w:t>
      </w:r>
      <w:r w:rsidRPr="00745914">
        <w:rPr>
          <w:rStyle w:val="Emphasis"/>
        </w:rPr>
        <w:t>Revised regulatory proposal 2016–2020,</w:t>
      </w:r>
      <w:r w:rsidRPr="00745914">
        <w:t xml:space="preserve"> January 2016, pp. 309–310; ActewAGL, </w:t>
      </w:r>
      <w:r w:rsidRPr="00745914">
        <w:rPr>
          <w:rStyle w:val="Emphasis"/>
        </w:rPr>
        <w:t>Revised 2016–21 access arrangement proposal Response to the AER's draft decision, Appendix 5.01 Detailed response to rate of return, gamma and inflation</w:t>
      </w:r>
      <w:r w:rsidRPr="00745914">
        <w:t xml:space="preserve">, January 2016, pp. 93–94; United Energy, </w:t>
      </w:r>
      <w:r w:rsidRPr="00745914">
        <w:rPr>
          <w:rStyle w:val="Emphasis"/>
        </w:rPr>
        <w:t>Response to AER preliminary determination–Re: rate of return and gamma</w:t>
      </w:r>
      <w:r w:rsidRPr="00745914">
        <w:t xml:space="preserve">, 6 January 2016, pp. 69–70; AGN, </w:t>
      </w:r>
      <w:r w:rsidRPr="00745914">
        <w:rPr>
          <w:rStyle w:val="Emphasis"/>
        </w:rPr>
        <w:t>2016–17 to 2020/21 Access Arrangement information response to draft decision: Attachment 10.26 Response to draft decision: rate of return</w:t>
      </w:r>
      <w:r w:rsidRPr="00745914">
        <w:t xml:space="preserve">, January 2016, pp. 73–74; JEN (Vic), </w:t>
      </w:r>
      <w:r w:rsidRPr="00745914">
        <w:rPr>
          <w:rStyle w:val="Emphasis"/>
        </w:rPr>
        <w:t>2016–20 Electricity distribution price review regulatory proposal revocation and substitution submission: Attachment 6–1 Rate of return, gamma, forecast inflation, and debt and equity raising costs,</w:t>
      </w:r>
      <w:r w:rsidRPr="00745914">
        <w:t xml:space="preserve"> 6 January 2016, pp. 74–75; AusNet Services, </w:t>
      </w:r>
      <w:r w:rsidRPr="00745914">
        <w:rPr>
          <w:rStyle w:val="Emphasis"/>
        </w:rPr>
        <w:t>Electricity distribution price review 2016–20 Revised regulatory proposal: Chapter 7 Rate of return &amp; gamma</w:t>
      </w:r>
      <w:r w:rsidRPr="00745914">
        <w:t>, 6 January 2016, pp. 68–69.</w:t>
      </w:r>
    </w:p>
    <w:p w:rsidR="003F1AAB" w:rsidRDefault="003F1AAB" w:rsidP="002F6FA6">
      <w:pPr>
        <w:pStyle w:val="FootnoteText"/>
      </w:pPr>
      <w:r>
        <w:tab/>
        <w:t xml:space="preserve">AusNet Services, </w:t>
      </w:r>
      <w:r w:rsidRPr="006C0405">
        <w:rPr>
          <w:rStyle w:val="AERtextitalic"/>
        </w:rPr>
        <w:t>Transmission Revenue Review 2017–2022 regulatory proposal</w:t>
      </w:r>
      <w:r>
        <w:t>, 30 October 2015, pp. 218–219.</w:t>
      </w:r>
    </w:p>
  </w:footnote>
  <w:footnote w:id="276">
    <w:p w:rsidR="003F1AAB" w:rsidRDefault="003F1AAB" w:rsidP="002F6FA6">
      <w:pPr>
        <w:pStyle w:val="FootnoteText"/>
      </w:pPr>
      <w:r>
        <w:rPr>
          <w:rStyle w:val="FootnoteReference"/>
        </w:rPr>
        <w:footnoteRef/>
      </w:r>
      <w:r>
        <w:t xml:space="preserve"> </w:t>
      </w:r>
      <w:r>
        <w:tab/>
        <w:t xml:space="preserve">In its report 'Beta and the Black CAPM', SFG recommends using empirical results from the Black CAPM to adjust the Sharpe-Lintner CAPM equity beta estimate to 0.91 (see SFG, </w:t>
      </w:r>
      <w:r w:rsidRPr="007D21B8">
        <w:rPr>
          <w:rStyle w:val="AERtextitalic"/>
        </w:rPr>
        <w:t>Beta and the Black capital asset pricing model</w:t>
      </w:r>
      <w:r>
        <w:t xml:space="preserve">, February 2015, pp. 32–35). In its report 'The required return on equity under a foundation model approach', Frontier Economics (previously SFG) recommends using empirical results from the Black CAPM to adjust the Sharpe-Lintner CAPM equity beta estimate for 'low beta bias', which results in an equity beta estimate of 0.88 (this excludes the subsequent adjustment for 'book-to-market bias using the Fama French model) (see Frontier, </w:t>
      </w:r>
      <w:r w:rsidRPr="00134A40">
        <w:rPr>
          <w:rStyle w:val="AERtextitalic"/>
        </w:rPr>
        <w:t>The required return on equity under a foundation model approach</w:t>
      </w:r>
      <w:r>
        <w:t>, January 2016, pp. 52–57).</w:t>
      </w:r>
    </w:p>
    <w:p w:rsidR="003F1AAB" w:rsidRDefault="003F1AAB" w:rsidP="002F6FA6">
      <w:pPr>
        <w:pStyle w:val="FootnoteText"/>
      </w:pPr>
      <w:r>
        <w:tab/>
        <w:t xml:space="preserve">AusNet Services, </w:t>
      </w:r>
      <w:r w:rsidRPr="006C0405">
        <w:rPr>
          <w:rStyle w:val="AERtextitalic"/>
        </w:rPr>
        <w:t>Transmission Revenue Review 2017–2022 regulatory proposal</w:t>
      </w:r>
      <w:r>
        <w:t>, 30 October 2015, pp. 230–231, 256–257.</w:t>
      </w:r>
    </w:p>
  </w:footnote>
  <w:footnote w:id="277">
    <w:p w:rsidR="003F1AAB" w:rsidRDefault="003F1AAB" w:rsidP="002F6FA6">
      <w:pPr>
        <w:pStyle w:val="FootnoteText"/>
      </w:pPr>
      <w:r>
        <w:rPr>
          <w:rStyle w:val="FootnoteReference"/>
        </w:rPr>
        <w:footnoteRef/>
      </w:r>
      <w:r>
        <w:t xml:space="preserve"> </w:t>
      </w:r>
      <w:r>
        <w:tab/>
        <w:t xml:space="preserve">See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xml:space="preserve">, p. 10;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89–90. </w:t>
      </w:r>
    </w:p>
  </w:footnote>
  <w:footnote w:id="278">
    <w:p w:rsidR="003F1AAB" w:rsidRDefault="003F1AAB" w:rsidP="002F6FA6">
      <w:pPr>
        <w:pStyle w:val="FootnoteText"/>
      </w:pPr>
      <w:r>
        <w:rPr>
          <w:rStyle w:val="FootnoteReference"/>
        </w:rPr>
        <w:footnoteRef/>
      </w:r>
      <w:r>
        <w:t xml:space="preserve"> </w:t>
      </w:r>
      <w:r>
        <w:tab/>
        <w:t>This assumption</w:t>
      </w:r>
      <w:r w:rsidRPr="00A55687">
        <w:t xml:space="preserve"> allows for unlimited borrowing and lending at the risk free rate.</w:t>
      </w:r>
      <w:r>
        <w:t xml:space="preserve"> However, the Black CAPM replaces this with an assumption of unlimited ability to short sell stocks.</w:t>
      </w:r>
    </w:p>
  </w:footnote>
  <w:footnote w:id="279">
    <w:p w:rsidR="003F1AAB" w:rsidRDefault="003F1AAB" w:rsidP="002F6FA6">
      <w:pPr>
        <w:pStyle w:val="FootnoteText"/>
      </w:pPr>
      <w:r>
        <w:rPr>
          <w:rStyle w:val="FootnoteReference"/>
        </w:rPr>
        <w:footnoteRef/>
      </w:r>
      <w:r>
        <w:t xml:space="preserve"> </w:t>
      </w:r>
      <w:r>
        <w:tab/>
        <w:t xml:space="preserve">Partington, </w:t>
      </w:r>
      <w:r w:rsidRPr="00E02203">
        <w:rPr>
          <w:rStyle w:val="AERtextitalic"/>
        </w:rPr>
        <w:t>Report to the AER: Return on equity (updated)</w:t>
      </w:r>
      <w:r>
        <w:t xml:space="preserve">, April 2015, p. 33; Handley, </w:t>
      </w:r>
      <w:r w:rsidRPr="00E02203">
        <w:rPr>
          <w:rStyle w:val="AERtextitalic"/>
        </w:rPr>
        <w:t>Advice on the return on equity</w:t>
      </w:r>
      <w:r>
        <w:t xml:space="preserve">, October 2014, p. 5. Both consultants reiterated their support for our foundation model approach in their subsequent reports (see Partington and Satchell, </w:t>
      </w:r>
      <w:r w:rsidRPr="00E02203">
        <w:rPr>
          <w:rStyle w:val="AERtextitalic"/>
        </w:rPr>
        <w:t>Return on equity and comment on submissions in relation to JGN</w:t>
      </w:r>
      <w:r>
        <w:t xml:space="preserve">, May 2015, p. 6; Partington and Satchell, </w:t>
      </w:r>
      <w:r w:rsidRPr="00E02203">
        <w:rPr>
          <w:rStyle w:val="AERtextitalic"/>
        </w:rPr>
        <w:t>Report to the AER: Analysis of criticism of 2015 determinations</w:t>
      </w:r>
      <w:r>
        <w:t xml:space="preserve">, October 2015, p. 15; Handley, </w:t>
      </w:r>
      <w:r w:rsidRPr="00E02203">
        <w:rPr>
          <w:rStyle w:val="AERtextitalic"/>
        </w:rPr>
        <w:t>Advice on the rate of return for the 2015 AER energy network determination for Jemena Gas Networks</w:t>
      </w:r>
      <w:r>
        <w:t xml:space="preserve">, May 2015, p. 28). </w:t>
      </w:r>
    </w:p>
  </w:footnote>
  <w:footnote w:id="280">
    <w:p w:rsidR="003F1AAB" w:rsidRDefault="003F1AAB" w:rsidP="002F6FA6">
      <w:pPr>
        <w:pStyle w:val="FootnoteText"/>
      </w:pPr>
      <w:r>
        <w:rPr>
          <w:rStyle w:val="FootnoteReference"/>
        </w:rPr>
        <w:footnoteRef/>
      </w:r>
      <w:r>
        <w:t xml:space="preserve"> </w:t>
      </w:r>
      <w:r>
        <w:tab/>
        <w:t xml:space="preserve">See </w:t>
      </w:r>
      <w:r w:rsidRPr="005C696D">
        <w:t xml:space="preserve">VECUA, </w:t>
      </w:r>
      <w:r w:rsidRPr="0063316D">
        <w:rPr>
          <w:rStyle w:val="AERtextitalic"/>
        </w:rPr>
        <w:t>Submission on the AER: AER preliminary 2016–20 revenue determinations for the Victorian DNSPs</w:t>
      </w:r>
      <w:r w:rsidRPr="005C696D">
        <w:t>, January 2016</w:t>
      </w:r>
      <w:r>
        <w:t xml:space="preserve">, p. 18;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 94–95.  </w:t>
      </w:r>
    </w:p>
  </w:footnote>
  <w:footnote w:id="281">
    <w:p w:rsidR="003F1AAB" w:rsidRDefault="003F1AAB" w:rsidP="002F6FA6">
      <w:pPr>
        <w:pStyle w:val="FootnoteText"/>
      </w:pPr>
      <w:r>
        <w:rPr>
          <w:rStyle w:val="FootnoteReference"/>
        </w:rPr>
        <w:footnoteRef/>
      </w:r>
      <w:r>
        <w:t xml:space="preserve"> </w:t>
      </w:r>
      <w:r>
        <w:tab/>
        <w:t xml:space="preserve">AER, </w:t>
      </w:r>
      <w:r w:rsidRPr="00B4312A">
        <w:rPr>
          <w:rStyle w:val="AERtextitalic"/>
        </w:rPr>
        <w:t xml:space="preserve">Explanatory statement to the </w:t>
      </w:r>
      <w:r w:rsidRPr="00F22701">
        <w:rPr>
          <w:rStyle w:val="AERtextitalic"/>
        </w:rPr>
        <w:t>rate</w:t>
      </w:r>
      <w:r w:rsidRPr="002A6BBF">
        <w:rPr>
          <w:rStyle w:val="AERtextitalic"/>
        </w:rPr>
        <w:t xml:space="preserve"> of return guideline</w:t>
      </w:r>
      <w:r>
        <w:t>, December 2013, p. 33.</w:t>
      </w:r>
    </w:p>
  </w:footnote>
  <w:footnote w:id="282">
    <w:p w:rsidR="003F1AAB" w:rsidRDefault="003F1AAB" w:rsidP="002F6FA6">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r>
        <w:t>CitiPower, Powercor, United Energy, JEN, AGN and ActewAGL submitted this report during the decision process.</w:t>
      </w:r>
    </w:p>
    <w:p w:rsidR="003F1AAB" w:rsidRDefault="003F1AAB" w:rsidP="002E7389">
      <w:pPr>
        <w:pStyle w:val="FootnoteText"/>
      </w:pPr>
      <w:r>
        <w:tab/>
        <w:t xml:space="preserve">AusNet Services, </w:t>
      </w:r>
      <w:r w:rsidRPr="006C0405">
        <w:rPr>
          <w:rStyle w:val="AERtextitalic"/>
        </w:rPr>
        <w:t>Transmission Revenue Review 2017–2022 regulatory proposal</w:t>
      </w:r>
      <w:r>
        <w:t>, 30 October 2015, p. 199.</w:t>
      </w:r>
    </w:p>
    <w:p w:rsidR="003F1AAB" w:rsidRDefault="003F1AAB" w:rsidP="00DC0445">
      <w:pPr>
        <w:pStyle w:val="FootnoteText"/>
        <w:ind w:left="0" w:firstLine="0"/>
      </w:pPr>
    </w:p>
  </w:footnote>
  <w:footnote w:id="283">
    <w:p w:rsidR="003F1AAB" w:rsidRDefault="003F1AAB" w:rsidP="002F6FA6">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p>
    <w:p w:rsidR="003F1AAB" w:rsidRDefault="003F1AAB" w:rsidP="002F6FA6">
      <w:pPr>
        <w:pStyle w:val="FootnoteText"/>
      </w:pPr>
      <w:r>
        <w:tab/>
        <w:t xml:space="preserve">AusNet Services, </w:t>
      </w:r>
      <w:r w:rsidRPr="006C0405">
        <w:rPr>
          <w:rStyle w:val="AERtextitalic"/>
        </w:rPr>
        <w:t>Transmission Revenue Review 2017–2022 regulatory proposal</w:t>
      </w:r>
      <w:r>
        <w:t>, 30 October 2015, pp. 199, 229.</w:t>
      </w:r>
    </w:p>
  </w:footnote>
  <w:footnote w:id="284">
    <w:p w:rsidR="003F1AAB" w:rsidRDefault="003F1AAB" w:rsidP="002F6FA6">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6–7.</w:t>
      </w:r>
    </w:p>
  </w:footnote>
  <w:footnote w:id="285">
    <w:p w:rsidR="003F1AAB" w:rsidRDefault="003F1AAB" w:rsidP="002F6FA6">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xml:space="preserve">, June 2015, pp. 20–26. </w:t>
      </w:r>
    </w:p>
    <w:p w:rsidR="003F1AAB" w:rsidRDefault="003F1AAB" w:rsidP="002F6FA6">
      <w:pPr>
        <w:pStyle w:val="FootnoteText"/>
      </w:pPr>
      <w:r>
        <w:tab/>
        <w:t xml:space="preserve">AusNet Services, </w:t>
      </w:r>
      <w:r w:rsidRPr="006C0405">
        <w:rPr>
          <w:rStyle w:val="AERtextitalic"/>
        </w:rPr>
        <w:t>Transmission Revenue Review 2017–2022 regulatory proposal</w:t>
      </w:r>
      <w:r>
        <w:t>, 30 October 2015, pp. 199–200.</w:t>
      </w:r>
    </w:p>
  </w:footnote>
  <w:footnote w:id="286">
    <w:p w:rsidR="003F1AAB" w:rsidRDefault="003F1AAB" w:rsidP="002F6FA6">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pp. 24–25.</w:t>
      </w:r>
    </w:p>
  </w:footnote>
  <w:footnote w:id="287">
    <w:p w:rsidR="003F1AAB" w:rsidRDefault="003F1AAB" w:rsidP="002F6FA6">
      <w:pPr>
        <w:pStyle w:val="FootnoteText"/>
      </w:pPr>
      <w:r>
        <w:rPr>
          <w:rStyle w:val="FootnoteReference"/>
        </w:rPr>
        <w:footnoteRef/>
      </w:r>
      <w:r>
        <w:t xml:space="preserve"> </w:t>
      </w:r>
      <w:r>
        <w:tab/>
        <w:t xml:space="preserve">AER, </w:t>
      </w:r>
      <w:r w:rsidRPr="008347D0">
        <w:rPr>
          <w:rStyle w:val="AERtextitalic"/>
        </w:rPr>
        <w:t>Equity beta issues paper</w:t>
      </w:r>
      <w:r>
        <w:t xml:space="preserve">, October 2013, p. 7. We provided similar reasoning in the final Guideline. See: AER, </w:t>
      </w:r>
      <w:r w:rsidRPr="008347D0">
        <w:rPr>
          <w:rStyle w:val="AERtextitalic"/>
        </w:rPr>
        <w:t>Explanatory statement to the rate of return guideline</w:t>
      </w:r>
      <w:r>
        <w:t>, December 2013, pp. 84–85.</w:t>
      </w:r>
    </w:p>
  </w:footnote>
  <w:footnote w:id="288">
    <w:p w:rsidR="003F1AAB" w:rsidRDefault="003F1AAB" w:rsidP="002F6FA6">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 entity</w:t>
      </w:r>
      <w:r>
        <w:t xml:space="preserve">, June 2015, pp. 20–25, 47–54. CitiPower, Powercor, United Energy, JEN, AGN and ActewAGL submitted this report during the decision process. </w:t>
      </w:r>
    </w:p>
    <w:p w:rsidR="003F1AAB" w:rsidRDefault="003F1AAB" w:rsidP="002F6FA6">
      <w:pPr>
        <w:pStyle w:val="FootnoteText"/>
      </w:pPr>
      <w:r>
        <w:tab/>
      </w:r>
      <w:r w:rsidRPr="00745914">
        <w:t xml:space="preserve">CitiPower, </w:t>
      </w:r>
      <w:r w:rsidRPr="00745914">
        <w:rPr>
          <w:rStyle w:val="AERtextitalic"/>
        </w:rPr>
        <w:t>Revised proposal</w:t>
      </w:r>
      <w:r w:rsidRPr="00745914">
        <w:t xml:space="preserve">, January 2016, pp. 311–313; Powercor, </w:t>
      </w:r>
      <w:r w:rsidRPr="00745914">
        <w:rPr>
          <w:rStyle w:val="Emphasis"/>
        </w:rPr>
        <w:t>Revised regulatory proposal 2016–2020,</w:t>
      </w:r>
      <w:r w:rsidRPr="00745914">
        <w:t xml:space="preserve"> January 2016, pp. 305–307; ActewAGL, </w:t>
      </w:r>
      <w:r w:rsidRPr="00745914">
        <w:rPr>
          <w:rStyle w:val="Emphasis"/>
        </w:rPr>
        <w:t>Revised 2016–21 access arrangement proposal Response to the AER's draft decision, Appendix 5.01 Detailed response to rate of return, gamma and inflation</w:t>
      </w:r>
      <w:r w:rsidRPr="00745914">
        <w:t xml:space="preserve">, January 2016, pp. 87–91; United Energy, </w:t>
      </w:r>
      <w:r w:rsidRPr="00745914">
        <w:rPr>
          <w:rStyle w:val="Emphasis"/>
        </w:rPr>
        <w:t>Response to AER preliminary determination–Re: rate of return and gamma</w:t>
      </w:r>
      <w:r w:rsidRPr="00745914">
        <w:t xml:space="preserve">, 6 January 2016, pp. 65–67; AGN, </w:t>
      </w:r>
      <w:r w:rsidRPr="00745914">
        <w:rPr>
          <w:rStyle w:val="Emphasis"/>
        </w:rPr>
        <w:t>2016–17 to 2020/21 Access Arrangement information response to draft decision: Attachment 10.26 Response to draft decision: rate of return</w:t>
      </w:r>
      <w:r w:rsidRPr="00745914">
        <w:t xml:space="preserve">, January 2016, pp. 69–71; JEN (Vic), </w:t>
      </w:r>
      <w:r w:rsidRPr="00745914">
        <w:rPr>
          <w:rStyle w:val="Emphasis"/>
        </w:rPr>
        <w:t>2016–20 Electricity distribution price review regulatory proposal revocation and substitution submission: Attachment 6–1 Rate of return, gamma, forecast inflation, and debt and equity raising costs,</w:t>
      </w:r>
      <w:r w:rsidRPr="00745914">
        <w:t xml:space="preserve"> 6 January 2016, pp. 70–72; AusNet Services, </w:t>
      </w:r>
      <w:r w:rsidRPr="00745914">
        <w:rPr>
          <w:rStyle w:val="Emphasis"/>
        </w:rPr>
        <w:t>Electricity distribution price review 2016–20 Revised regulatory proposal: Chapter 7 Rate of return &amp; gamma</w:t>
      </w:r>
      <w:r w:rsidRPr="00745914">
        <w:t>, 6 January 2016, pp. 64–66.</w:t>
      </w:r>
    </w:p>
    <w:p w:rsidR="003F1AAB" w:rsidRDefault="003F1AAB" w:rsidP="002F6FA6">
      <w:pPr>
        <w:pStyle w:val="FootnoteText"/>
      </w:pPr>
      <w:r>
        <w:tab/>
        <w:t xml:space="preserve">Also see Frontier Economics, </w:t>
      </w:r>
      <w:r>
        <w:rPr>
          <w:rStyle w:val="AERtextitalic"/>
        </w:rPr>
        <w:t>The required return on equity under a foundation model approach</w:t>
      </w:r>
      <w:r>
        <w:t>, January 2016, p. 39.</w:t>
      </w:r>
    </w:p>
  </w:footnote>
  <w:footnote w:id="289">
    <w:p w:rsidR="003F1AAB" w:rsidRDefault="003F1AAB" w:rsidP="002F6FA6">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January 2016, pp. 41–42, 65–66.</w:t>
      </w:r>
      <w:r w:rsidRPr="00BA2487">
        <w:t xml:space="preserve"> </w:t>
      </w:r>
      <w:r>
        <w:t xml:space="preserve">Also see CitiPower, </w:t>
      </w:r>
      <w:r w:rsidRPr="00525CDC">
        <w:rPr>
          <w:rStyle w:val="AERtextitalic"/>
        </w:rPr>
        <w:t>Revised proposal</w:t>
      </w:r>
      <w:r>
        <w:t xml:space="preserve">, January 2016, pp. 324–326; Powercor, </w:t>
      </w:r>
      <w:r w:rsidRPr="00525CDC">
        <w:rPr>
          <w:rStyle w:val="AERtextitalic"/>
        </w:rPr>
        <w:t>Revised proposal</w:t>
      </w:r>
      <w:r>
        <w:t xml:space="preserve">, January 2016, pp. 318–320; United Energy, </w:t>
      </w:r>
      <w:r w:rsidRPr="00A2228D">
        <w:rPr>
          <w:rStyle w:val="AERtextitalic"/>
        </w:rPr>
        <w:t>Response to AER Preliminary Determination Re: Rate of return and gamma</w:t>
      </w:r>
      <w:r>
        <w:t xml:space="preserve">, January 2016, pp. 77–78; JEN, </w:t>
      </w:r>
      <w:r w:rsidRPr="00AC149B">
        <w:rPr>
          <w:rStyle w:val="AERtextitalic"/>
        </w:rPr>
        <w:t>Revocation and substitution submission attachment 6-1</w:t>
      </w:r>
      <w:r>
        <w:t xml:space="preserve">, January 2016, pp. 83–84; AusNet, </w:t>
      </w:r>
      <w:r w:rsidRPr="00CD12C8">
        <w:rPr>
          <w:rStyle w:val="AERtextitalic"/>
        </w:rPr>
        <w:t>Revised regulatory proposal</w:t>
      </w:r>
      <w:r>
        <w:t xml:space="preserve">, January 2016, pp. 76-77; AGN, </w:t>
      </w:r>
      <w:r w:rsidRPr="00CD12C8">
        <w:rPr>
          <w:rStyle w:val="AERtextitalic"/>
        </w:rPr>
        <w:t>Revised SA access arrangement information</w:t>
      </w:r>
      <w:r>
        <w:t xml:space="preserve"> attachment 10.26, January 2016, pp. 81–82; and ActewAGL, </w:t>
      </w:r>
      <w:r w:rsidRPr="00CD12C8">
        <w:rPr>
          <w:rStyle w:val="AERtextitalic"/>
        </w:rPr>
        <w:t>Revised 2016-21 access arrangement proposal appendix 5.01</w:t>
      </w:r>
      <w:r>
        <w:t>, January 2016, pp. 104-105.</w:t>
      </w:r>
    </w:p>
    <w:p w:rsidR="003F1AAB" w:rsidRDefault="003F1AAB" w:rsidP="002F6FA6">
      <w:pPr>
        <w:pStyle w:val="FootnoteText"/>
      </w:pPr>
      <w:r>
        <w:tab/>
        <w:t xml:space="preserve">AusNet Services, </w:t>
      </w:r>
      <w:r w:rsidRPr="006C0405">
        <w:rPr>
          <w:rStyle w:val="AERtextitalic"/>
        </w:rPr>
        <w:t>Transmission Revenue Review 2017–2022 regulatory proposal</w:t>
      </w:r>
      <w:r>
        <w:t>, 30 October 2015, pp. 230–231, 239–266.</w:t>
      </w:r>
    </w:p>
  </w:footnote>
  <w:footnote w:id="290">
    <w:p w:rsidR="003F1AAB" w:rsidRDefault="003F1AAB" w:rsidP="002F6FA6">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January 2016, pp. 41–42, 64–65.</w:t>
      </w:r>
    </w:p>
  </w:footnote>
  <w:footnote w:id="291">
    <w:p w:rsidR="003F1AAB" w:rsidRDefault="003F1AAB" w:rsidP="002F6FA6">
      <w:pPr>
        <w:pStyle w:val="FootnoteText"/>
      </w:pPr>
      <w:r>
        <w:rPr>
          <w:rStyle w:val="FootnoteReference"/>
        </w:rPr>
        <w:footnoteRef/>
      </w:r>
      <w:r>
        <w:t xml:space="preserve"> </w:t>
      </w:r>
      <w:r>
        <w:tab/>
        <w:t xml:space="preserve">APTNT, </w:t>
      </w:r>
      <w:r w:rsidRPr="0063316D">
        <w:rPr>
          <w:rStyle w:val="AERtextitalic"/>
        </w:rPr>
        <w:t>Revised access arrangement proposal: Response to draft decision submission</w:t>
      </w:r>
      <w:r>
        <w:t xml:space="preserve">, January 2016, pp. 74–75. </w:t>
      </w:r>
    </w:p>
  </w:footnote>
  <w:footnote w:id="292">
    <w:p w:rsidR="003F1AAB" w:rsidRDefault="003F1AAB" w:rsidP="002F6FA6">
      <w:pPr>
        <w:pStyle w:val="FootnoteText"/>
      </w:pPr>
      <w:r>
        <w:rPr>
          <w:rStyle w:val="FootnoteReference"/>
        </w:rPr>
        <w:footnoteRef/>
      </w:r>
      <w:r>
        <w:t xml:space="preserve"> </w:t>
      </w:r>
      <w:r>
        <w:tab/>
        <w:t>This includes broker reports, independent valuation reports, other regulators' decisions, the Wright approach and comparison between the return on equity and return on debt.</w:t>
      </w:r>
    </w:p>
  </w:footnote>
  <w:footnote w:id="293">
    <w:p w:rsidR="003F1AAB" w:rsidRDefault="003F1AAB" w:rsidP="002F6FA6">
      <w:pPr>
        <w:pStyle w:val="FootnoteText"/>
      </w:pPr>
      <w:r>
        <w:rPr>
          <w:rStyle w:val="FootnoteReference"/>
        </w:rPr>
        <w:footnoteRef/>
      </w:r>
      <w:r>
        <w:t xml:space="preserve"> </w:t>
      </w:r>
      <w:r>
        <w:tab/>
        <w:t>In respect of the provision of network services. 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294">
    <w:p w:rsidR="003F1AAB" w:rsidRDefault="003F1AAB" w:rsidP="002F6FA6">
      <w:pPr>
        <w:pStyle w:val="FootnoteText"/>
      </w:pPr>
      <w:r>
        <w:rPr>
          <w:rStyle w:val="FootnoteReference"/>
        </w:rPr>
        <w:footnoteRef/>
      </w:r>
      <w:r>
        <w:t xml:space="preserve"> </w:t>
      </w:r>
      <w:r>
        <w:tab/>
        <w:t>Or more precisely, a benchmark efficient entity with a similar degree of risk as AusNet Services in respect of the provision of prescribed transmission services.</w:t>
      </w:r>
    </w:p>
  </w:footnote>
  <w:footnote w:id="295">
    <w:p w:rsidR="003F1AAB" w:rsidRDefault="003F1AAB" w:rsidP="002F6FA6">
      <w:pPr>
        <w:pStyle w:val="FootnoteText"/>
      </w:pPr>
      <w:r>
        <w:rPr>
          <w:rStyle w:val="FootnoteReference"/>
        </w:rPr>
        <w:footnoteRef/>
      </w:r>
      <w:r>
        <w:t xml:space="preserve"> </w:t>
      </w:r>
      <w:r>
        <w:tab/>
        <w:t xml:space="preserve">The Rate of Return Guideline outlines the use of certain other material to inform our final estimate of the return on equity: the Wright approach, other regulators' estimates, broker returns, independent export reports and comparison with return on debt. See: AER, </w:t>
      </w:r>
      <w:r w:rsidRPr="00074148">
        <w:rPr>
          <w:rStyle w:val="Emphasis"/>
        </w:rPr>
        <w:t>Better Regulation: Explanatory Statement, Rate of Return Guideline</w:t>
      </w:r>
      <w:r>
        <w:t xml:space="preserve">, December 2013, p. 61. </w:t>
      </w:r>
    </w:p>
  </w:footnote>
  <w:footnote w:id="296">
    <w:p w:rsidR="003F1AAB" w:rsidRDefault="003F1AAB" w:rsidP="002F6FA6">
      <w:pPr>
        <w:pStyle w:val="FootnoteText"/>
      </w:pPr>
      <w:r>
        <w:rPr>
          <w:rStyle w:val="FootnoteReference"/>
        </w:rPr>
        <w:footnoteRef/>
      </w:r>
      <w:r>
        <w:t xml:space="preserve"> </w:t>
      </w:r>
      <w:r>
        <w:tab/>
        <w:t>The other material include our construction of the Wright CAPM, other regulators' estimates, comparison with return on debt and relevant broker and independent expert reports.</w:t>
      </w:r>
    </w:p>
  </w:footnote>
  <w:footnote w:id="297">
    <w:p w:rsidR="003F1AAB" w:rsidRDefault="003F1AAB" w:rsidP="00651C15">
      <w:pPr>
        <w:pStyle w:val="FootnoteText"/>
      </w:pPr>
      <w:r>
        <w:rPr>
          <w:rStyle w:val="FootnoteReference"/>
        </w:rPr>
        <w:footnoteRef/>
      </w:r>
      <w:r>
        <w:t xml:space="preserve"> </w:t>
      </w:r>
      <w:r>
        <w:tab/>
      </w:r>
      <w:r w:rsidRPr="00E5005D">
        <w:t xml:space="preserve">Grant Samuel, </w:t>
      </w:r>
      <w:r w:rsidRPr="00E5005D">
        <w:rPr>
          <w:rStyle w:val="AERtextitalic"/>
        </w:rPr>
        <w:t>Envestra: Financial services guide and independent expert’s report</w:t>
      </w:r>
      <w:r w:rsidRPr="00E5005D">
        <w:t>, March 2014, Appendix 3.</w:t>
      </w:r>
    </w:p>
  </w:footnote>
  <w:footnote w:id="298">
    <w:p w:rsidR="003F1AAB" w:rsidRDefault="003F1AAB" w:rsidP="00D009F3">
      <w:pPr>
        <w:pStyle w:val="FootnoteText"/>
      </w:pPr>
      <w:r>
        <w:rPr>
          <w:rStyle w:val="FootnoteReference"/>
        </w:rPr>
        <w:footnoteRef/>
      </w:r>
      <w:r>
        <w:t xml:space="preserve"> </w:t>
      </w:r>
      <w:r>
        <w:tab/>
        <w:t>CitiPower, Powercor, United Energy, AusNet Services (distribution), JEN (Vic),</w:t>
      </w:r>
      <w:r w:rsidRPr="00B752EE">
        <w:t xml:space="preserve"> </w:t>
      </w:r>
      <w:r>
        <w:t xml:space="preserve">ActewAGL, APTNT (Amadeus Gas Pipeline) and AGN. </w:t>
      </w:r>
    </w:p>
  </w:footnote>
  <w:footnote w:id="299">
    <w:p w:rsidR="003F1AAB" w:rsidRDefault="003F1AAB" w:rsidP="00651C15">
      <w:pPr>
        <w:pStyle w:val="FootnoteText"/>
      </w:pPr>
      <w:r>
        <w:rPr>
          <w:rStyle w:val="FootnoteReference"/>
        </w:rPr>
        <w:footnoteRef/>
      </w:r>
      <w:r>
        <w:t xml:space="preserve"> </w:t>
      </w:r>
      <w:r>
        <w:tab/>
        <w:t xml:space="preserve">VECUA, </w:t>
      </w:r>
      <w:r w:rsidRPr="001A0C41">
        <w:rPr>
          <w:rStyle w:val="AERtextitalic"/>
        </w:rPr>
        <w:t>Submission to the AER: AER preliminary 2016–20 revenue determinations for the Victorian DNSPs</w:t>
      </w:r>
      <w:r>
        <w:t>, 6 January 2016.</w:t>
      </w:r>
    </w:p>
  </w:footnote>
  <w:footnote w:id="300">
    <w:p w:rsidR="003F1AAB" w:rsidRDefault="003F1AAB" w:rsidP="00651C15">
      <w:pPr>
        <w:pStyle w:val="FootnoteText"/>
      </w:pPr>
      <w:r>
        <w:rPr>
          <w:rStyle w:val="FootnoteReference"/>
        </w:rPr>
        <w:footnoteRef/>
      </w:r>
      <w:r>
        <w:t xml:space="preserve"> </w:t>
      </w:r>
      <w:r>
        <w:tab/>
      </w:r>
      <w:r w:rsidRPr="009751A6">
        <w:t xml:space="preserve">Origin Energy, </w:t>
      </w:r>
      <w:r w:rsidRPr="001A0C41">
        <w:rPr>
          <w:rStyle w:val="AERtextitalic"/>
        </w:rPr>
        <w:t>Submission on ActewAGL’s revised access arrangement for 2016–21</w:t>
      </w:r>
      <w:r w:rsidRPr="009751A6">
        <w:t>, 4 February 2016</w:t>
      </w:r>
      <w:r>
        <w:t xml:space="preserve">, p. 3; </w:t>
      </w:r>
      <w:r w:rsidRPr="00B23FAA">
        <w:t xml:space="preserve">Origin Energy, </w:t>
      </w:r>
      <w:r w:rsidRPr="001A0C41">
        <w:rPr>
          <w:rStyle w:val="AERtextitalic"/>
        </w:rPr>
        <w:t>Submission on AGN’s revised access arrangement for 2016–21</w:t>
      </w:r>
      <w:r w:rsidRPr="00B23FAA">
        <w:t>, February 2016; Origin Energy, S</w:t>
      </w:r>
      <w:r w:rsidRPr="001A0C41">
        <w:rPr>
          <w:rStyle w:val="AERtextitalic"/>
        </w:rPr>
        <w:t>ubmission on the AER’s preliminary decisions on the Victorian distribution network service providers for 2016–20</w:t>
      </w:r>
      <w:r w:rsidRPr="00B23FAA">
        <w:t>, 6 January 2016, p. 3</w:t>
      </w:r>
      <w:r>
        <w:t xml:space="preserve">; </w:t>
      </w:r>
      <w:r w:rsidRPr="00B23FAA">
        <w:t xml:space="preserve">Origin Energy, </w:t>
      </w:r>
      <w:r w:rsidRPr="001A0C41">
        <w:rPr>
          <w:rStyle w:val="AERtextitalic"/>
        </w:rPr>
        <w:t>Submission on the Victorian networks’ revised proposals (for 2016–21)</w:t>
      </w:r>
      <w:r w:rsidRPr="00B23FAA">
        <w:t>, 4 February 2016</w:t>
      </w:r>
      <w:r>
        <w:t xml:space="preserve">. </w:t>
      </w:r>
    </w:p>
  </w:footnote>
  <w:footnote w:id="301">
    <w:p w:rsidR="003F1AAB" w:rsidRDefault="003F1AAB" w:rsidP="00E21951">
      <w:pPr>
        <w:pStyle w:val="FootnoteText"/>
      </w:pPr>
      <w:r>
        <w:rPr>
          <w:rStyle w:val="FootnoteReference"/>
        </w:rPr>
        <w:footnoteRef/>
      </w:r>
      <w:r>
        <w:t xml:space="preserve"> </w:t>
      </w:r>
      <w:r>
        <w:tab/>
        <w:t xml:space="preserve">For more detail on our consideration of this material, see sections </w:t>
      </w:r>
      <w:r>
        <w:fldChar w:fldCharType="begin"/>
      </w:r>
      <w:r>
        <w:instrText xml:space="preserve"> REF _Ref445898024 \r \h </w:instrText>
      </w:r>
      <w:r>
        <w:fldChar w:fldCharType="separate"/>
      </w:r>
      <w:r>
        <w:t>F.2</w:t>
      </w:r>
      <w:r>
        <w:fldChar w:fldCharType="end"/>
      </w:r>
      <w:r>
        <w:t xml:space="preserve">, </w:t>
      </w:r>
      <w:r>
        <w:fldChar w:fldCharType="begin"/>
      </w:r>
      <w:r>
        <w:instrText xml:space="preserve"> REF _Ref451416171 \r \h </w:instrText>
      </w:r>
      <w:r>
        <w:fldChar w:fldCharType="separate"/>
      </w:r>
      <w:r>
        <w:t>F.3</w:t>
      </w:r>
      <w:r>
        <w:fldChar w:fldCharType="end"/>
      </w:r>
      <w:r>
        <w:t xml:space="preserve">, </w:t>
      </w:r>
      <w:r>
        <w:fldChar w:fldCharType="begin"/>
      </w:r>
      <w:r>
        <w:instrText xml:space="preserve"> REF _Ref451416189 \r \h </w:instrText>
      </w:r>
      <w:r>
        <w:fldChar w:fldCharType="separate"/>
      </w:r>
      <w:r>
        <w:t>F.4</w:t>
      </w:r>
      <w:r>
        <w:fldChar w:fldCharType="end"/>
      </w:r>
      <w:r>
        <w:t xml:space="preserve">, and </w:t>
      </w:r>
      <w:r>
        <w:fldChar w:fldCharType="begin"/>
      </w:r>
      <w:r>
        <w:instrText xml:space="preserve"> REF _Ref445926700 \r \h </w:instrText>
      </w:r>
      <w:r>
        <w:fldChar w:fldCharType="separate"/>
      </w:r>
      <w:r>
        <w:t>C.2</w:t>
      </w:r>
      <w:r>
        <w:fldChar w:fldCharType="end"/>
      </w:r>
      <w:r>
        <w:t xml:space="preserve"> respectively.</w:t>
      </w:r>
    </w:p>
  </w:footnote>
  <w:footnote w:id="302">
    <w:p w:rsidR="003F1AAB" w:rsidRDefault="003F1AAB" w:rsidP="002F6FA6">
      <w:pPr>
        <w:pStyle w:val="FootnoteText"/>
      </w:pPr>
      <w:r>
        <w:rPr>
          <w:rStyle w:val="FootnoteReference"/>
        </w:rPr>
        <w:footnoteRef/>
      </w:r>
      <w:r>
        <w:t xml:space="preserve"> </w:t>
      </w:r>
      <w:r>
        <w:tab/>
        <w:t>Estimated as the difference between our estimate of the equity risk premium and the prevailing debt risk premium for March 2016.</w:t>
      </w:r>
    </w:p>
  </w:footnote>
  <w:footnote w:id="303">
    <w:p w:rsidR="003F1AAB" w:rsidRDefault="003F1AAB" w:rsidP="002F6FA6">
      <w:pPr>
        <w:pStyle w:val="FootnoteText"/>
      </w:pPr>
      <w:r>
        <w:rPr>
          <w:rStyle w:val="FootnoteReference"/>
        </w:rPr>
        <w:footnoteRef/>
      </w:r>
      <w:r>
        <w:t xml:space="preserve"> </w:t>
      </w:r>
      <w:r>
        <w:tab/>
        <w:t xml:space="preserve">We consider that the expected return on debt is likely to exceed the expected return on equity during periods of financial distress because holders of debt are typically ranked ahead of equity holders in the event of bankruptcy. We also consider that </w:t>
      </w:r>
      <w:r w:rsidRPr="00B268EB">
        <w:t>equity and debt may face different types of risk. Inflation risk is one risk that is likely to affect debt more significantly than equity. Movements in the risk premia for these different types of risk may, theoretically, result in a</w:t>
      </w:r>
      <w:r>
        <w:t>n</w:t>
      </w:r>
      <w:r w:rsidRPr="00B268EB">
        <w:t xml:space="preserve"> </w:t>
      </w:r>
      <w:r>
        <w:t>expected return on debt that exceeds an expected return on equity.</w:t>
      </w:r>
    </w:p>
  </w:footnote>
  <w:footnote w:id="304">
    <w:p w:rsidR="003F1AAB" w:rsidRDefault="003F1AAB" w:rsidP="002F6FA6">
      <w:pPr>
        <w:pStyle w:val="FootnoteText"/>
      </w:pPr>
      <w:r>
        <w:rPr>
          <w:rStyle w:val="FootnoteReference"/>
        </w:rPr>
        <w:footnoteRef/>
      </w:r>
      <w:r>
        <w:t xml:space="preserve"> </w:t>
      </w:r>
      <w:r>
        <w:tab/>
        <w:t xml:space="preserve">Due to the regulatory regime and the businesses' monopoly positions shielding them from systematic risk; as well as the measured prevailing debt yields likely overstating the expected return on debt due to default risk. For more information, see section pages 96 to 99 of Attachment 3 to our preliminary decision for </w:t>
      </w:r>
      <w:r w:rsidRPr="000F3DDE">
        <w:t>AusNet Services</w:t>
      </w:r>
      <w:r>
        <w:t>' 2016-20 distribution determination. And for example pages 78–80 of our final decision for AusNet Services (distribution) in May 2016.</w:t>
      </w:r>
    </w:p>
  </w:footnote>
  <w:footnote w:id="305">
    <w:p w:rsidR="003F1AAB" w:rsidRDefault="003F1AAB" w:rsidP="002F6FA6">
      <w:pPr>
        <w:pStyle w:val="FootnoteText"/>
      </w:pPr>
      <w:r>
        <w:rPr>
          <w:rStyle w:val="FootnoteReference"/>
        </w:rPr>
        <w:footnoteRef/>
      </w:r>
      <w:r>
        <w:t xml:space="preserve"> </w:t>
      </w:r>
      <w:r>
        <w:tab/>
        <w:t xml:space="preserve">Due to the regulatory regime and the businesses' monopoly positions shielding them from systematic risk. For more information, see pages 96 to 99 of Attachment 3 to our preliminary decision for </w:t>
      </w:r>
      <w:r w:rsidRPr="000F3DDE">
        <w:t>AusNet Services</w:t>
      </w:r>
      <w:r>
        <w:t>' 2016-20 distribution determination. And for example pages 78–80 of our final decision for AusNet Services (distribution) in May 2016.</w:t>
      </w:r>
    </w:p>
  </w:footnote>
  <w:footnote w:id="306">
    <w:p w:rsidR="003F1AAB" w:rsidRDefault="003F1AAB" w:rsidP="002F6FA6">
      <w:pPr>
        <w:pStyle w:val="FootnoteText"/>
      </w:pPr>
      <w:r>
        <w:rPr>
          <w:rStyle w:val="FootnoteReference"/>
        </w:rPr>
        <w:footnoteRef/>
      </w:r>
      <w:r>
        <w:t xml:space="preserve"> </w:t>
      </w:r>
      <w:r>
        <w:tab/>
        <w:t>The debt risk premium to CGS is calculated as the extrapolated effective annual yield to maturity on BBB related debt with 10 years to maturity less the effective annual yield to maturity on CGS with 10 years to maturity. BBB bond yields have been used instead of BBB+ because the RBA and Bloomberg quote BBB yields to maturity.</w:t>
      </w:r>
    </w:p>
  </w:footnote>
  <w:footnote w:id="307">
    <w:p w:rsidR="003F1AAB" w:rsidRDefault="003F1AAB" w:rsidP="002F6FA6">
      <w:pPr>
        <w:pStyle w:val="FootnoteText"/>
      </w:pPr>
      <w:r>
        <w:rPr>
          <w:rStyle w:val="FootnoteReference"/>
        </w:rPr>
        <w:footnoteRef/>
      </w:r>
      <w:r>
        <w:t xml:space="preserve"> </w:t>
      </w:r>
      <w:r>
        <w:tab/>
        <w:t xml:space="preserve">See, for example, DUET, </w:t>
      </w:r>
      <w:r w:rsidRPr="001A0C41">
        <w:rPr>
          <w:rStyle w:val="AERtextitalic"/>
        </w:rPr>
        <w:t>Successful comp</w:t>
      </w:r>
      <w:r>
        <w:rPr>
          <w:rStyle w:val="AERtextitalic"/>
        </w:rPr>
        <w:t>le</w:t>
      </w:r>
      <w:r w:rsidRPr="001A0C41">
        <w:rPr>
          <w:rStyle w:val="AERtextitalic"/>
        </w:rPr>
        <w:t>tion of DUET's $200 million placement offer</w:t>
      </w:r>
      <w:r>
        <w:t xml:space="preserve">, 1 April 2016;  DUET, </w:t>
      </w:r>
      <w:r w:rsidRPr="001A0C41">
        <w:rPr>
          <w:rStyle w:val="AERtextitalic"/>
        </w:rPr>
        <w:t>DUET completes $1.67 billion placement and entitlement offer</w:t>
      </w:r>
      <w:r>
        <w:t xml:space="preserve">, 13 August 2015; DUET, </w:t>
      </w:r>
      <w:r w:rsidRPr="001A0C41">
        <w:rPr>
          <w:rStyle w:val="AERtextitalic"/>
        </w:rPr>
        <w:t>DU</w:t>
      </w:r>
      <w:r>
        <w:rPr>
          <w:rStyle w:val="AERtextitalic"/>
        </w:rPr>
        <w:t>E</w:t>
      </w:r>
      <w:r w:rsidRPr="001A0C41">
        <w:rPr>
          <w:rStyle w:val="AERtextitalic"/>
        </w:rPr>
        <w:t>T completes $396.7 million entitlement offer</w:t>
      </w:r>
      <w:r>
        <w:t xml:space="preserve">, December 2014; SP AusNet, </w:t>
      </w:r>
      <w:r w:rsidRPr="001A0C41">
        <w:rPr>
          <w:rStyle w:val="AERtextitalic"/>
        </w:rPr>
        <w:t>SP AusNet completes A$434 million Entitlement Offer</w:t>
      </w:r>
      <w:r>
        <w:t>, 15 June 2012.</w:t>
      </w:r>
    </w:p>
  </w:footnote>
  <w:footnote w:id="308">
    <w:p w:rsidR="003F1AAB" w:rsidRDefault="003F1AAB" w:rsidP="002F6FA6">
      <w:pPr>
        <w:pStyle w:val="FootnoteText"/>
      </w:pPr>
      <w:r>
        <w:rPr>
          <w:rStyle w:val="FootnoteReference"/>
        </w:rPr>
        <w:footnoteRef/>
      </w:r>
      <w:r>
        <w:t xml:space="preserve"> </w:t>
      </w:r>
      <w:r>
        <w:tab/>
      </w:r>
      <w:r w:rsidRPr="003431CD">
        <w:t>RARE infrastructure submitted that "[t]here are many characteristics of the Australian Regulatory framework that makes its energy network potentially attractive investments" RARE Infrastructure, Letter to the AER, 13 February 2015</w:t>
      </w:r>
      <w:r>
        <w:t>.</w:t>
      </w:r>
    </w:p>
  </w:footnote>
  <w:footnote w:id="309">
    <w:p w:rsidR="003F1AAB" w:rsidRDefault="003F1AAB" w:rsidP="002F6FA6">
      <w:pPr>
        <w:pStyle w:val="FootnoteText"/>
      </w:pPr>
      <w:r>
        <w:rPr>
          <w:rStyle w:val="FootnoteReference"/>
        </w:rPr>
        <w:footnoteRef/>
      </w:r>
      <w:r>
        <w:t xml:space="preserve"> </w:t>
      </w:r>
      <w:r>
        <w:tab/>
        <w:t>For details, see section L.1 of Confidential Appendix L in Attachment 3 to our preliminary decision on AusNet Services' 2016-20 distribution determination.</w:t>
      </w:r>
    </w:p>
  </w:footnote>
  <w:footnote w:id="310">
    <w:p w:rsidR="003F1AAB" w:rsidRDefault="003F1AAB" w:rsidP="002F6FA6">
      <w:pPr>
        <w:pStyle w:val="FootnoteText"/>
      </w:pPr>
      <w:r>
        <w:rPr>
          <w:rStyle w:val="FootnoteReference"/>
        </w:rPr>
        <w:footnoteRef/>
      </w:r>
      <w:r>
        <w:t xml:space="preserve"> </w:t>
      </w:r>
      <w:r>
        <w:tab/>
        <w:t xml:space="preserve">See section </w:t>
      </w:r>
      <w:r>
        <w:fldChar w:fldCharType="begin"/>
      </w:r>
      <w:r>
        <w:instrText xml:space="preserve"> REF _Ref451685409 \r \h </w:instrText>
      </w:r>
      <w:r>
        <w:fldChar w:fldCharType="separate"/>
      </w:r>
      <w:r>
        <w:t>E</w:t>
      </w:r>
      <w:r>
        <w:fldChar w:fldCharType="end"/>
      </w:r>
      <w:r>
        <w:t xml:space="preserve"> for further discussion.</w:t>
      </w:r>
    </w:p>
  </w:footnote>
  <w:footnote w:id="311">
    <w:p w:rsidR="003F1AAB" w:rsidRDefault="003F1AAB" w:rsidP="002F6FA6">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312">
    <w:p w:rsidR="003F1AAB" w:rsidRDefault="003F1AAB" w:rsidP="002F6FA6">
      <w:pPr>
        <w:pStyle w:val="FootnoteText"/>
      </w:pPr>
      <w:r>
        <w:rPr>
          <w:rStyle w:val="FootnoteReference"/>
        </w:rPr>
        <w:footnoteRef/>
      </w:r>
      <w:r>
        <w:t xml:space="preserve"> </w:t>
      </w:r>
      <w:r>
        <w:tab/>
        <w:t>Broker reports, independent expert reports, other regulators' estimates, comparison with return on debt and our construction of the Wright CAPM.</w:t>
      </w:r>
    </w:p>
  </w:footnote>
  <w:footnote w:id="313">
    <w:p w:rsidR="003F1AAB" w:rsidRDefault="003F1AAB" w:rsidP="002F6FA6">
      <w:pPr>
        <w:pStyle w:val="FootnoteText"/>
      </w:pPr>
      <w:r>
        <w:rPr>
          <w:rStyle w:val="FootnoteReference"/>
        </w:rPr>
        <w:footnoteRef/>
      </w:r>
      <w:r>
        <w:t xml:space="preserve"> </w:t>
      </w:r>
      <w:r>
        <w:tab/>
      </w:r>
      <w:r w:rsidRPr="004177B1">
        <w:t xml:space="preserve">Origin Energy, </w:t>
      </w:r>
      <w:r w:rsidRPr="001A0C41">
        <w:rPr>
          <w:rStyle w:val="AERtextitalic"/>
        </w:rPr>
        <w:t>Submission on the AER’s preliminary decisions on the Victorian distribution network service providers for 2016–20</w:t>
      </w:r>
      <w:r w:rsidRPr="004177B1">
        <w:t>, 6 January 2016, p. 3</w:t>
      </w:r>
      <w:r>
        <w:t xml:space="preserve">; </w:t>
      </w:r>
      <w:r w:rsidRPr="004177B1">
        <w:t xml:space="preserve">Origin Energy, </w:t>
      </w:r>
      <w:r w:rsidRPr="001A0C41">
        <w:rPr>
          <w:rStyle w:val="AERtextitalic"/>
        </w:rPr>
        <w:t>Submission on the Victorian networks’ revised proposals (for 2016–21</w:t>
      </w:r>
      <w:r w:rsidRPr="004177B1">
        <w:t>), 4 February 2016</w:t>
      </w:r>
      <w:r>
        <w:t xml:space="preserve">; AGL, </w:t>
      </w:r>
      <w:r w:rsidRPr="001A0C41">
        <w:rPr>
          <w:rStyle w:val="AERtextitalic"/>
        </w:rPr>
        <w:t>Submission on the AER’s draft decision on AGN’s 2016–21 access arrangement</w:t>
      </w:r>
      <w:r w:rsidRPr="004177B1">
        <w:t>, 4 February 2016, p. 2</w:t>
      </w:r>
      <w:r>
        <w:t xml:space="preserve">; </w:t>
      </w:r>
      <w:r w:rsidRPr="004177B1">
        <w:t>Victorian Government, S</w:t>
      </w:r>
      <w:r w:rsidRPr="001A0C41">
        <w:rPr>
          <w:rStyle w:val="AERtextitalic"/>
        </w:rPr>
        <w:t>ubmission on the Victorian electricity distribution network service providers’ revised regulatory proposals for 2016–20</w:t>
      </w:r>
      <w:r w:rsidRPr="004177B1">
        <w:t>, 12 February 2016, p. 1–2</w:t>
      </w:r>
      <w:r>
        <w:t xml:space="preserve">; </w:t>
      </w:r>
      <w:r w:rsidRPr="004177B1">
        <w:t xml:space="preserve">CCP (panel 5), </w:t>
      </w:r>
      <w:r w:rsidRPr="001A0C41">
        <w:rPr>
          <w:rStyle w:val="AERtextitalic"/>
        </w:rPr>
        <w:t xml:space="preserve">Transmission for the generations: Response to proposal by AusNet Services transmission group pty ltd and AER issues paper for AusNet Services transmission revenue </w:t>
      </w:r>
      <w:r>
        <w:rPr>
          <w:rStyle w:val="AERtextitalic"/>
        </w:rPr>
        <w:t>review</w:t>
      </w:r>
      <w:r w:rsidRPr="001A0C41">
        <w:rPr>
          <w:rStyle w:val="AERtextitalic"/>
        </w:rPr>
        <w:t xml:space="preserve"> 2017–22</w:t>
      </w:r>
      <w:r w:rsidRPr="004177B1">
        <w:t>, February 2016</w:t>
      </w:r>
      <w:r>
        <w:t xml:space="preserve">, p. 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w:t>
      </w:r>
      <w:r w:rsidRPr="001876F5">
        <w:t>EUCV</w:t>
      </w:r>
      <w:r w:rsidRPr="001A0C41">
        <w:rPr>
          <w:rStyle w:val="AERtextitalic"/>
        </w:rPr>
        <w:t>, A response to AusNet revenue reset proposal for the 2017–2022 period</w:t>
      </w:r>
      <w:r w:rsidRPr="001876F5">
        <w:t>, 9 February 2016</w:t>
      </w:r>
      <w:r>
        <w:t xml:space="preserve">, p. 40; CCP ( panel 8), </w:t>
      </w:r>
      <w:r w:rsidRPr="001A0C41">
        <w:rPr>
          <w:rStyle w:val="AERtextitalic"/>
        </w:rPr>
        <w:t xml:space="preserve">Advice to AER from Consumer Challenge Panel sub-panel 8 regarding the AER Daft Decision and Australian Gas </w:t>
      </w:r>
      <w:r>
        <w:rPr>
          <w:rStyle w:val="AERtextitalic"/>
        </w:rPr>
        <w:t>Networks' (SA) revised access a</w:t>
      </w:r>
      <w:r w:rsidRPr="001A0C41">
        <w:rPr>
          <w:rStyle w:val="AERtextitalic"/>
        </w:rPr>
        <w:t>rrangement 2016–2021 proposal</w:t>
      </w:r>
      <w:r>
        <w:t>, 32 March 2016, p. 2.</w:t>
      </w:r>
    </w:p>
  </w:footnote>
  <w:footnote w:id="314">
    <w:p w:rsidR="003F1AAB" w:rsidRDefault="003F1AAB" w:rsidP="002F6FA6">
      <w:pPr>
        <w:pStyle w:val="FootnoteText"/>
      </w:pPr>
      <w:r>
        <w:rPr>
          <w:rStyle w:val="FootnoteReference"/>
        </w:rPr>
        <w:footnoteRef/>
      </w:r>
      <w:r>
        <w:t xml:space="preserve"> </w:t>
      </w:r>
      <w:r>
        <w:tab/>
      </w:r>
      <w:r w:rsidRPr="009751A6">
        <w:t xml:space="preserve">Origin Energy, </w:t>
      </w:r>
      <w:r w:rsidRPr="001A0C41">
        <w:rPr>
          <w:rStyle w:val="AERtextitalic"/>
        </w:rPr>
        <w:t>Submission on ActewAGL’s revised access arrangement for 2016–21</w:t>
      </w:r>
      <w:r w:rsidRPr="009751A6">
        <w:t>, 4 February 2016</w:t>
      </w:r>
      <w:r>
        <w:t xml:space="preserve">, p. 3; </w:t>
      </w:r>
      <w:r w:rsidRPr="004177B1">
        <w:t xml:space="preserve">Origin Energy, </w:t>
      </w:r>
      <w:r w:rsidRPr="001A0C41">
        <w:rPr>
          <w:rStyle w:val="AERtextitalic"/>
        </w:rPr>
        <w:t>Submission on AGN’s revised access arrangement for 2016–21</w:t>
      </w:r>
      <w:r w:rsidRPr="004177B1">
        <w:t xml:space="preserve">, February 2016; Origin Energy, </w:t>
      </w:r>
      <w:r w:rsidRPr="001A0C41">
        <w:rPr>
          <w:rStyle w:val="AERtextitalic"/>
        </w:rPr>
        <w:t>Submission on the AER’s preliminary decisions on the Victorian distribution network service providers for 2016–20</w:t>
      </w:r>
      <w:r w:rsidRPr="004177B1">
        <w:t>, 6 January 2016, p. 3</w:t>
      </w:r>
      <w:r>
        <w:t xml:space="preserve">; </w:t>
      </w:r>
      <w:r w:rsidRPr="004177B1">
        <w:t xml:space="preserve">Origin Energy, </w:t>
      </w:r>
      <w:r w:rsidRPr="001A0C41">
        <w:rPr>
          <w:rStyle w:val="AERtextitalic"/>
        </w:rPr>
        <w:t>Submission on the Victorian networks’ revised proposals (for 2016–21)</w:t>
      </w:r>
      <w:r w:rsidRPr="004177B1">
        <w:t>, 4 February 2016</w:t>
      </w:r>
      <w:r>
        <w:t xml:space="preserve">; </w:t>
      </w:r>
      <w:r w:rsidRPr="00F3489A">
        <w:t xml:space="preserve">CCP (panel 5), </w:t>
      </w:r>
      <w:r w:rsidRPr="001A0C41">
        <w:rPr>
          <w:rStyle w:val="AERtextitalic"/>
        </w:rPr>
        <w:t xml:space="preserve">Transmission for the generations: Response to proposal by AusNet Services transmission group pty ltd and AER issues paper for AusNet Services transmission revenue </w:t>
      </w:r>
      <w:r>
        <w:rPr>
          <w:rStyle w:val="AERtextitalic"/>
        </w:rPr>
        <w:t>review</w:t>
      </w:r>
      <w:r w:rsidRPr="001A0C41">
        <w:rPr>
          <w:rStyle w:val="AERtextitalic"/>
        </w:rPr>
        <w:t xml:space="preserve"> 2017–22</w:t>
      </w:r>
      <w:r w:rsidRPr="00F3489A">
        <w:t>, February 2016</w:t>
      </w:r>
      <w:r>
        <w:t xml:space="preserve">; </w:t>
      </w:r>
    </w:p>
  </w:footnote>
  <w:footnote w:id="315">
    <w:p w:rsidR="003F1AAB" w:rsidRDefault="003F1AAB" w:rsidP="002F6FA6">
      <w:pPr>
        <w:pStyle w:val="FootnoteText"/>
      </w:pPr>
      <w:r>
        <w:rPr>
          <w:rStyle w:val="FootnoteReference"/>
        </w:rPr>
        <w:footnoteRef/>
      </w:r>
      <w:r>
        <w:t xml:space="preserve"> </w:t>
      </w:r>
      <w:r>
        <w:tab/>
        <w:t xml:space="preserve">AGL, </w:t>
      </w:r>
      <w:r w:rsidRPr="001A0C41">
        <w:rPr>
          <w:rStyle w:val="AERtextitalic"/>
        </w:rPr>
        <w:t>Submission on the AER’s draft decision on AGN’s 2016–21 access arrangement</w:t>
      </w:r>
      <w:r w:rsidRPr="00940B70">
        <w:t>, 4 February 2016, p. 2</w:t>
      </w:r>
      <w:r>
        <w:t xml:space="preserve">; </w:t>
      </w:r>
      <w:r w:rsidRPr="00B94AEE">
        <w:t xml:space="preserve">ECCSA, </w:t>
      </w:r>
      <w:r w:rsidRPr="001A0C41">
        <w:rPr>
          <w:rStyle w:val="AERtextitalic"/>
        </w:rPr>
        <w:t>A response to the AER draft decision on AGN’s AA2016 revenue reset</w:t>
      </w:r>
      <w:r w:rsidRPr="00B94AEE">
        <w:t>, February 2016, p. 36</w:t>
      </w:r>
      <w:r>
        <w:t xml:space="preserve">; </w:t>
      </w:r>
      <w:r w:rsidRPr="00B94AEE">
        <w:t xml:space="preserve">EUCV, </w:t>
      </w:r>
      <w:r w:rsidRPr="001A0C41">
        <w:rPr>
          <w:rStyle w:val="AERtextitalic"/>
        </w:rPr>
        <w:t>A response to AusNet revenue reset proposal for the 2017–2022 period, 9 February 2016</w:t>
      </w:r>
      <w:r>
        <w:t xml:space="preserve">, p. 40; </w:t>
      </w:r>
      <w:r w:rsidRPr="00B94AEE">
        <w:t xml:space="preserve">CCP (panel 5), </w:t>
      </w:r>
      <w:r w:rsidRPr="001A0C41">
        <w:rPr>
          <w:rStyle w:val="AERtextitalic"/>
        </w:rPr>
        <w:t xml:space="preserve">Transmission for the generations: Response to proposal by AusNet Services transmission group pty ltd and AER issues paper for AusNet Services transmission revenue </w:t>
      </w:r>
      <w:r>
        <w:rPr>
          <w:rStyle w:val="AERtextitalic"/>
        </w:rPr>
        <w:t>review</w:t>
      </w:r>
      <w:r w:rsidRPr="001A0C41">
        <w:rPr>
          <w:rStyle w:val="AERtextitalic"/>
        </w:rPr>
        <w:t xml:space="preserve"> 2017–22</w:t>
      </w:r>
      <w:r w:rsidRPr="00B94AEE">
        <w:t>, February 2016</w:t>
      </w:r>
      <w:r>
        <w:t xml:space="preserve">, p. 41; </w:t>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25 February 2016. pp. 10 &amp; 29–30.</w:t>
      </w:r>
    </w:p>
  </w:footnote>
  <w:footnote w:id="316">
    <w:p w:rsidR="003F1AAB" w:rsidRDefault="003F1AAB" w:rsidP="002F6FA6">
      <w:pPr>
        <w:pStyle w:val="FootnoteText"/>
      </w:pPr>
      <w:r>
        <w:rPr>
          <w:rStyle w:val="FootnoteReference"/>
        </w:rPr>
        <w:footnoteRef/>
      </w:r>
      <w:r>
        <w:t xml:space="preserve"> </w:t>
      </w:r>
      <w:r>
        <w:tab/>
      </w:r>
      <w:r w:rsidRPr="00856793">
        <w:t xml:space="preserve">ECCSA, </w:t>
      </w:r>
      <w:r w:rsidRPr="001A0C41">
        <w:rPr>
          <w:rStyle w:val="AERtextitalic"/>
        </w:rPr>
        <w:t>A response to the AER draft decision on AGN’s AA2016 revenue reset, February 2016</w:t>
      </w:r>
      <w:r w:rsidRPr="00856793">
        <w:t>, p. 36–37</w:t>
      </w:r>
      <w:r>
        <w:t xml:space="preserve">; </w:t>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12, 17; </w:t>
      </w:r>
      <w:r w:rsidRPr="00856793">
        <w:t xml:space="preserve">CCP (panel 5), </w:t>
      </w:r>
      <w:r w:rsidRPr="001A0C41">
        <w:rPr>
          <w:rStyle w:val="AERtextitalic"/>
        </w:rPr>
        <w:t xml:space="preserve">Transmission for the generations: Response to proposal by AusNet Services transmission group pty ltd and AER issues paper for AusNet Services transmission revenue </w:t>
      </w:r>
      <w:r>
        <w:rPr>
          <w:rStyle w:val="AERtextitalic"/>
        </w:rPr>
        <w:t>review</w:t>
      </w:r>
      <w:r w:rsidRPr="001A0C41">
        <w:rPr>
          <w:rStyle w:val="AERtextitalic"/>
        </w:rPr>
        <w:t xml:space="preserve"> 2017–22</w:t>
      </w:r>
      <w:r w:rsidRPr="00856793">
        <w:t>, February 2016</w:t>
      </w:r>
      <w:r>
        <w:t xml:space="preserve">, p. 40;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10 &amp; 29. </w:t>
      </w:r>
    </w:p>
  </w:footnote>
  <w:footnote w:id="317">
    <w:p w:rsidR="003F1AAB" w:rsidRDefault="003F1AAB" w:rsidP="002F6FA6">
      <w:pPr>
        <w:pStyle w:val="FootnoteText"/>
      </w:pPr>
      <w:r>
        <w:rPr>
          <w:rStyle w:val="FootnoteReference"/>
        </w:rPr>
        <w:footnoteRef/>
      </w:r>
      <w:r>
        <w:t xml:space="preserve"> </w:t>
      </w:r>
      <w:r>
        <w:tab/>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12, 17; </w:t>
      </w:r>
      <w:r w:rsidRPr="00DD0D03">
        <w:t xml:space="preserve">EUCV, </w:t>
      </w:r>
      <w:r w:rsidRPr="001A0C41">
        <w:rPr>
          <w:rStyle w:val="AERtextitalic"/>
        </w:rPr>
        <w:t>A response to AusNet revenue reset proposal for the 2017–2022 period</w:t>
      </w:r>
      <w:r w:rsidRPr="00DD0D03">
        <w:t>, 9 February 2016</w:t>
      </w:r>
      <w:r>
        <w:t xml:space="preserve">, pp. 40–41;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10; </w:t>
      </w:r>
      <w:r w:rsidRPr="00CA64ED">
        <w:t xml:space="preserve">ECCSA, </w:t>
      </w:r>
      <w:r w:rsidRPr="001A0C41">
        <w:rPr>
          <w:rStyle w:val="AERtextitalic"/>
        </w:rPr>
        <w:t>A response to the AER draft decision on AGN’s AA2016 revenue reset,</w:t>
      </w:r>
      <w:r w:rsidRPr="00CA64ED">
        <w:t xml:space="preserve"> February 2016</w:t>
      </w:r>
      <w:r>
        <w:t>, pp. 36–37.</w:t>
      </w:r>
    </w:p>
  </w:footnote>
  <w:footnote w:id="318">
    <w:p w:rsidR="003F1AAB" w:rsidRDefault="003F1AAB" w:rsidP="002F6FA6">
      <w:pPr>
        <w:pStyle w:val="FootnoteText"/>
      </w:pPr>
      <w:r>
        <w:rPr>
          <w:rStyle w:val="FootnoteReference"/>
        </w:rPr>
        <w:footnoteRef/>
      </w:r>
      <w:r>
        <w:t xml:space="preserve"> </w:t>
      </w:r>
      <w:r>
        <w:tab/>
        <w:t xml:space="preserve">ActewAGL, </w:t>
      </w:r>
      <w:r w:rsidRPr="001A0C41">
        <w:rPr>
          <w:rStyle w:val="AERtextitalic"/>
        </w:rPr>
        <w:t>Access arrangement information for the 2016–21 ACT, Queanbeyan and Palerang Access Arrangement, Appendix 8.05: Return on equity – detailed proposal</w:t>
      </w:r>
      <w:r>
        <w:t>, June 2015, p. 48.</w:t>
      </w:r>
    </w:p>
  </w:footnote>
  <w:footnote w:id="319">
    <w:p w:rsidR="003F1AAB" w:rsidRDefault="003F1AAB" w:rsidP="002F6FA6">
      <w:pPr>
        <w:pStyle w:val="FootnoteText"/>
      </w:pPr>
      <w:r>
        <w:rPr>
          <w:rStyle w:val="FootnoteReference"/>
        </w:rPr>
        <w:footnoteRef/>
      </w:r>
      <w:r>
        <w:t xml:space="preserve"> </w:t>
      </w:r>
      <w:r>
        <w:tab/>
        <w:t xml:space="preserve">AER, </w:t>
      </w:r>
      <w:r w:rsidRPr="001A0C41">
        <w:rPr>
          <w:rStyle w:val="AERtextitalic"/>
        </w:rPr>
        <w:t>Preliminary decision: CitiPower determination 2016 to 2020: Attachment 3 – Rate of return</w:t>
      </w:r>
      <w:r>
        <w:t>, October 2015, p. 95;</w:t>
      </w:r>
      <w:r w:rsidRPr="00B55FA0">
        <w:t xml:space="preserve"> AER, </w:t>
      </w:r>
      <w:r w:rsidRPr="00B55FA0">
        <w:rPr>
          <w:rStyle w:val="AERtextitalic"/>
        </w:rPr>
        <w:t>Preliminary decision: Powercor determination 2016 to 2020: Attachment 3 – Rate of return</w:t>
      </w:r>
      <w:r w:rsidRPr="00B55FA0">
        <w:t xml:space="preserve">, November 2015, p. 95;  AER, </w:t>
      </w:r>
      <w:r w:rsidRPr="00B55FA0">
        <w:rPr>
          <w:rStyle w:val="Emphasis"/>
        </w:rPr>
        <w:t>Draft decision ActewAGL distribution determination 2016 to 2021: Attachment 3 – Rate of return</w:t>
      </w:r>
      <w:r w:rsidRPr="00B55FA0">
        <w:t xml:space="preserve">, November 2015, p. 97; AER, </w:t>
      </w:r>
      <w:r w:rsidRPr="00B55FA0">
        <w:rPr>
          <w:rStyle w:val="Emphasis"/>
        </w:rPr>
        <w:t>Preliminary decision United Energy determination 2016 to 2020: Attachment 3 – Rate of return</w:t>
      </w:r>
      <w:r w:rsidRPr="00B55FA0">
        <w:t xml:space="preserve">, October 2015, pp. 93–96; AER, </w:t>
      </w:r>
      <w:r w:rsidRPr="00B55FA0">
        <w:rPr>
          <w:rStyle w:val="Emphasis"/>
        </w:rPr>
        <w:t>Draft decision Australian Gas Networks access arrangement 2016 to 2021–Attachment 3: rate of return</w:t>
      </w:r>
      <w:r w:rsidRPr="00B55FA0">
        <w:t xml:space="preserve">, November 2015, pp. 95–100; AER, </w:t>
      </w:r>
      <w:r w:rsidRPr="00B55FA0">
        <w:rPr>
          <w:rStyle w:val="Emphasis"/>
        </w:rPr>
        <w:t>Preliminary decision Jemena distribution determination 2016 to 2020: Attachment 3–Rate of return</w:t>
      </w:r>
      <w:r w:rsidRPr="00B55FA0">
        <w:t>, October 2015, pp. 95–98; AER</w:t>
      </w:r>
      <w:r w:rsidRPr="00B55FA0">
        <w:rPr>
          <w:rStyle w:val="Emphasis"/>
        </w:rPr>
        <w:t>, Preliminary decision AusNet Services determination 2016 to 2020: Attachment 3–Rate of return</w:t>
      </w:r>
      <w:r w:rsidRPr="00B55FA0">
        <w:t>, October 2015, pp. 96–98</w:t>
      </w:r>
      <w:r>
        <w:t xml:space="preserve">; </w:t>
      </w:r>
      <w:r w:rsidRPr="00450194">
        <w:t xml:space="preserve">AER, </w:t>
      </w:r>
      <w:r w:rsidRPr="00450194">
        <w:rPr>
          <w:rStyle w:val="Emphasis"/>
        </w:rPr>
        <w:t>Draft decision Amadeus Gas Pipeline access arrangement 2016 to 2021: Attachment 3</w:t>
      </w:r>
      <w:r w:rsidRPr="00450194">
        <w:rPr>
          <w:rStyle w:val="Emphasis"/>
        </w:rPr>
        <w:softHyphen/>
        <w:t>–Rate of return</w:t>
      </w:r>
      <w:r w:rsidRPr="00450194">
        <w:t>, November 2015, pp</w:t>
      </w:r>
      <w:r>
        <w:t>. 97–101.</w:t>
      </w:r>
    </w:p>
  </w:footnote>
  <w:footnote w:id="320">
    <w:p w:rsidR="003F1AAB" w:rsidRDefault="003F1AAB" w:rsidP="002F6FA6">
      <w:pPr>
        <w:pStyle w:val="FootnoteText"/>
      </w:pPr>
      <w:r>
        <w:rPr>
          <w:rStyle w:val="FootnoteReference"/>
        </w:rPr>
        <w:footnoteRef/>
      </w:r>
      <w:r>
        <w:t xml:space="preserve"> </w:t>
      </w:r>
      <w:r>
        <w:tab/>
        <w:t xml:space="preserve">AER, </w:t>
      </w:r>
      <w:r w:rsidRPr="001A0C41">
        <w:rPr>
          <w:rStyle w:val="AERtextitalic"/>
        </w:rPr>
        <w:t>Better regulation: Explanatory statement–rate of return guideline, December 2013</w:t>
      </w:r>
      <w:r>
        <w:t xml:space="preserve">, p. 61; AER, </w:t>
      </w:r>
      <w:r w:rsidRPr="001A0C41">
        <w:rPr>
          <w:rStyle w:val="AERtextitalic"/>
        </w:rPr>
        <w:t>Preliminary decision: CitiPower determination 2016 to 2020: Attachment 3 – Rate of return</w:t>
      </w:r>
      <w:r>
        <w:t>, October 2015, p. 95;</w:t>
      </w:r>
      <w:r w:rsidRPr="00B55FA0">
        <w:t xml:space="preserve"> AER, </w:t>
      </w:r>
      <w:r w:rsidRPr="00B55FA0">
        <w:rPr>
          <w:rStyle w:val="AERtextitalic"/>
        </w:rPr>
        <w:t>Preliminary decision: Powercor determination 2016 to 2020: Attachment 3 – Rate of return</w:t>
      </w:r>
      <w:r w:rsidRPr="00B55FA0">
        <w:t xml:space="preserve">, November 2015, p. 95;  AER, </w:t>
      </w:r>
      <w:r w:rsidRPr="00B55FA0">
        <w:rPr>
          <w:rStyle w:val="Emphasis"/>
        </w:rPr>
        <w:t>Draft decision ActewAGL distribution determination 2016 to 2021: Attachment 3 – Rate of return</w:t>
      </w:r>
      <w:r w:rsidRPr="00B55FA0">
        <w:t xml:space="preserve">, November 2015, p. 97 AER, </w:t>
      </w:r>
      <w:r w:rsidRPr="00B55FA0">
        <w:rPr>
          <w:rStyle w:val="Emphasis"/>
        </w:rPr>
        <w:t>Preliminary decision United Energy determination 2016 to 2020: Attachment 3 – Rate of return</w:t>
      </w:r>
      <w:r w:rsidRPr="00B55FA0">
        <w:t xml:space="preserve">, October 2015, p. 93–96; AER, </w:t>
      </w:r>
      <w:r w:rsidRPr="00B55FA0">
        <w:rPr>
          <w:rStyle w:val="Emphasis"/>
        </w:rPr>
        <w:t>Draft decision Australian Gas Networks access arrangement 2016 to 2021–Attachment 3: rate of return</w:t>
      </w:r>
      <w:r w:rsidRPr="00B55FA0">
        <w:t xml:space="preserve">, November 2015, pp. 95–100;  AER, </w:t>
      </w:r>
      <w:r w:rsidRPr="00B55FA0">
        <w:rPr>
          <w:rStyle w:val="Emphasis"/>
        </w:rPr>
        <w:t>Preliminary decision Jemena distribution determination 2016 to 2020: Attachment 3–Rate of return</w:t>
      </w:r>
      <w:r w:rsidRPr="00B55FA0">
        <w:t xml:space="preserve">, October 2015, pp. 95–98; AER, </w:t>
      </w:r>
      <w:r w:rsidRPr="00B55FA0">
        <w:rPr>
          <w:rStyle w:val="Emphasis"/>
        </w:rPr>
        <w:t>Preliminary decision Jemena distribution determination 2016 to 2020: Attachment 3–Rate of return</w:t>
      </w:r>
      <w:r w:rsidRPr="00B55FA0">
        <w:t>, October 2015, pp. 95–98; AER</w:t>
      </w:r>
      <w:r w:rsidRPr="00B55FA0">
        <w:rPr>
          <w:rStyle w:val="Emphasis"/>
        </w:rPr>
        <w:t>, Preliminary decision AusNet Services determination 2016 to 2020: Attachment 3–Rate of return</w:t>
      </w:r>
      <w:r w:rsidRPr="00B55FA0">
        <w:t>, October 2015, pp. 94–98</w:t>
      </w:r>
      <w:r>
        <w:t xml:space="preserve">; </w:t>
      </w:r>
      <w:r w:rsidRPr="00450194">
        <w:t xml:space="preserve">AER, </w:t>
      </w:r>
      <w:r w:rsidRPr="00450194">
        <w:rPr>
          <w:rStyle w:val="Emphasis"/>
        </w:rPr>
        <w:t>Draft decision Amadeus Gas Pipeline access arrangement 2016 to 2021: Attachment 3</w:t>
      </w:r>
      <w:r w:rsidRPr="00450194">
        <w:rPr>
          <w:rStyle w:val="Emphasis"/>
        </w:rPr>
        <w:softHyphen/>
        <w:t>–Rate of return</w:t>
      </w:r>
      <w:r w:rsidRPr="00450194">
        <w:t>, November 2015, pp</w:t>
      </w:r>
      <w:r w:rsidRPr="00B55FA0">
        <w:t>.</w:t>
      </w:r>
      <w:r>
        <w:t xml:space="preserve"> 96–101.</w:t>
      </w:r>
    </w:p>
  </w:footnote>
  <w:footnote w:id="321">
    <w:p w:rsidR="003F1AAB" w:rsidRDefault="003F1AAB" w:rsidP="002F6FA6">
      <w:pPr>
        <w:pStyle w:val="FootnoteText"/>
      </w:pPr>
      <w:r>
        <w:rPr>
          <w:rStyle w:val="FootnoteReference"/>
        </w:rPr>
        <w:footnoteRef/>
      </w:r>
      <w:r>
        <w:t xml:space="preserve"> </w:t>
      </w:r>
      <w:r>
        <w:tab/>
      </w:r>
      <w:r w:rsidRPr="00831925">
        <w:t xml:space="preserve">AER, </w:t>
      </w:r>
      <w:r w:rsidRPr="00831925">
        <w:rPr>
          <w:rStyle w:val="AERtextitalic"/>
        </w:rPr>
        <w:t>Explanatory statement</w:t>
      </w:r>
      <w:r>
        <w:rPr>
          <w:rStyle w:val="AERtextitalic"/>
        </w:rPr>
        <w:t>:</w:t>
      </w:r>
      <w:r w:rsidRPr="00831925">
        <w:rPr>
          <w:rStyle w:val="AERtextitalic"/>
        </w:rPr>
        <w:t xml:space="preserve"> </w:t>
      </w:r>
      <w:r>
        <w:rPr>
          <w:rStyle w:val="AERtextitalic"/>
        </w:rPr>
        <w:t>R</w:t>
      </w:r>
      <w:r w:rsidRPr="00831925">
        <w:rPr>
          <w:rStyle w:val="AERtextitalic"/>
        </w:rPr>
        <w:t>ate of return guideline (appendices)</w:t>
      </w:r>
      <w:r>
        <w:t>, December 2013, pp. 46–48</w:t>
      </w:r>
      <w:r w:rsidRPr="00831925">
        <w:t>.</w:t>
      </w:r>
    </w:p>
  </w:footnote>
  <w:footnote w:id="322">
    <w:p w:rsidR="003F1AAB" w:rsidRDefault="003F1AAB" w:rsidP="002F6FA6">
      <w:pPr>
        <w:pStyle w:val="FootnoteText"/>
      </w:pPr>
      <w:r>
        <w:rPr>
          <w:rStyle w:val="FootnoteReference"/>
        </w:rPr>
        <w:footnoteRef/>
      </w:r>
      <w:r>
        <w:t xml:space="preserve"> </w:t>
      </w:r>
      <w:r>
        <w:tab/>
        <w:t xml:space="preserve">We consider that </w:t>
      </w:r>
      <w:r w:rsidRPr="000F3DDE">
        <w:t>AusNet Services</w:t>
      </w:r>
      <w:r w:rsidRPr="000F3DDE" w:rsidDel="000F3DDE">
        <w:t xml:space="preserve"> </w:t>
      </w:r>
      <w:r>
        <w:t xml:space="preserve"> would be shielded from systematic risk due to reasons such natural monopoly positions and limited demand risk.</w:t>
      </w:r>
    </w:p>
  </w:footnote>
  <w:footnote w:id="323">
    <w:p w:rsidR="003F1AAB" w:rsidRDefault="003F1AAB" w:rsidP="002F6FA6">
      <w:pPr>
        <w:pStyle w:val="FootnoteText"/>
      </w:pPr>
      <w:r>
        <w:rPr>
          <w:rStyle w:val="FootnoteReference"/>
        </w:rPr>
        <w:footnoteRef/>
      </w:r>
      <w:r>
        <w:t xml:space="preserve"> </w:t>
      </w:r>
      <w:r>
        <w:tab/>
        <w:t xml:space="preserve">Frontier Economics, </w:t>
      </w:r>
      <w:r w:rsidRPr="00AB7811">
        <w:rPr>
          <w:rStyle w:val="AERtextitalic"/>
        </w:rPr>
        <w:t>The relationship between government bond yields and the market risk premium</w:t>
      </w:r>
      <w:r>
        <w:t>, January 2016, pp. 25–26.</w:t>
      </w:r>
    </w:p>
  </w:footnote>
  <w:footnote w:id="324">
    <w:p w:rsidR="003F1AAB" w:rsidRDefault="003F1AAB" w:rsidP="002F6FA6">
      <w:pPr>
        <w:pStyle w:val="FootnoteText"/>
      </w:pPr>
      <w:r>
        <w:rPr>
          <w:rStyle w:val="FootnoteReference"/>
        </w:rPr>
        <w:footnoteRef/>
      </w:r>
      <w:r>
        <w:t xml:space="preserve"> </w:t>
      </w:r>
      <w:r>
        <w:tab/>
        <w:t xml:space="preserve">See: McKenzie &amp; Partington, </w:t>
      </w:r>
      <w:r w:rsidRPr="00C84E50">
        <w:rPr>
          <w:rStyle w:val="AERtextitalic"/>
        </w:rPr>
        <w:t>Report to the AER: relationship between the cost of debt and the cost of equity</w:t>
      </w:r>
      <w:r>
        <w:t xml:space="preserve">, 14 March 2013; Partington, </w:t>
      </w:r>
      <w:r w:rsidRPr="0092646A">
        <w:rPr>
          <w:rStyle w:val="AERtextitalic"/>
        </w:rPr>
        <w:t>Report to the AER: Return on Equity</w:t>
      </w:r>
      <w:r>
        <w:rPr>
          <w:rStyle w:val="AERtextitalic"/>
        </w:rPr>
        <w:t xml:space="preserve"> (updated)</w:t>
      </w:r>
      <w:r>
        <w:t>, April 2015, pp. 72–73.</w:t>
      </w:r>
    </w:p>
  </w:footnote>
  <w:footnote w:id="325">
    <w:p w:rsidR="003F1AAB" w:rsidRDefault="003F1AAB" w:rsidP="002F6FA6">
      <w:pPr>
        <w:pStyle w:val="FootnoteText"/>
      </w:pPr>
      <w:r>
        <w:rPr>
          <w:rStyle w:val="FootnoteReference"/>
        </w:rPr>
        <w:footnoteRef/>
      </w:r>
      <w:r>
        <w:t xml:space="preserve"> </w:t>
      </w:r>
      <w:r>
        <w:tab/>
        <w:t xml:space="preserve">Frontier Economics, </w:t>
      </w:r>
      <w:r w:rsidRPr="00C31257">
        <w:rPr>
          <w:rStyle w:val="AERtextitalic"/>
        </w:rPr>
        <w:t>The required return on equity under a foundation model approach</w:t>
      </w:r>
      <w:r>
        <w:t>, January 2016, p. 69.</w:t>
      </w:r>
    </w:p>
  </w:footnote>
  <w:footnote w:id="326">
    <w:p w:rsidR="003F1AAB" w:rsidRDefault="003F1AAB" w:rsidP="002F6FA6">
      <w:pPr>
        <w:pStyle w:val="FootnoteText"/>
      </w:pPr>
      <w:r>
        <w:rPr>
          <w:rStyle w:val="FootnoteReference"/>
        </w:rPr>
        <w:footnoteRef/>
      </w:r>
      <w:r>
        <w:t xml:space="preserve"> </w:t>
      </w:r>
      <w:r>
        <w:tab/>
        <w:t xml:space="preserve">Frontier Economics, </w:t>
      </w:r>
      <w:r w:rsidRPr="002F61BA">
        <w:rPr>
          <w:rStyle w:val="AERtextitalic"/>
        </w:rPr>
        <w:t>The required return on equity under a foundation model approach</w:t>
      </w:r>
      <w:r>
        <w:t>, January 2016, p. 34.</w:t>
      </w:r>
    </w:p>
  </w:footnote>
  <w:footnote w:id="327">
    <w:p w:rsidR="003F1AAB" w:rsidRDefault="003F1AAB" w:rsidP="002F6FA6">
      <w:pPr>
        <w:pStyle w:val="FootnoteText"/>
      </w:pPr>
      <w:r>
        <w:rPr>
          <w:rStyle w:val="FootnoteReference"/>
        </w:rPr>
        <w:footnoteRef/>
      </w:r>
      <w:r>
        <w:t xml:space="preserve"> </w:t>
      </w:r>
      <w:r>
        <w:tab/>
      </w:r>
      <w:r w:rsidRPr="00831925">
        <w:t xml:space="preserve">AER, </w:t>
      </w:r>
      <w:r w:rsidRPr="00831925">
        <w:rPr>
          <w:rStyle w:val="AERtextitalic"/>
        </w:rPr>
        <w:t>Explanatory statement</w:t>
      </w:r>
      <w:r>
        <w:rPr>
          <w:rStyle w:val="AERtextitalic"/>
        </w:rPr>
        <w:t>:</w:t>
      </w:r>
      <w:r w:rsidRPr="00831925">
        <w:rPr>
          <w:rStyle w:val="AERtextitalic"/>
        </w:rPr>
        <w:t xml:space="preserve"> </w:t>
      </w:r>
      <w:r>
        <w:rPr>
          <w:rStyle w:val="AERtextitalic"/>
        </w:rPr>
        <w:t>R</w:t>
      </w:r>
      <w:r w:rsidRPr="00831925">
        <w:rPr>
          <w:rStyle w:val="AERtextitalic"/>
        </w:rPr>
        <w:t>ate of return guideline (appendices)</w:t>
      </w:r>
      <w:r>
        <w:t>, December 2013, pp. 26</w:t>
      </w:r>
      <w:r>
        <w:rPr>
          <w:rFonts w:cs="Gautami"/>
        </w:rPr>
        <w:t>–</w:t>
      </w:r>
      <w:r>
        <w:t>27</w:t>
      </w:r>
      <w:r w:rsidRPr="00831925">
        <w:t>.</w:t>
      </w:r>
    </w:p>
  </w:footnote>
  <w:footnote w:id="328">
    <w:p w:rsidR="003F1AAB" w:rsidRDefault="003F1AAB" w:rsidP="002F6FA6">
      <w:pPr>
        <w:pStyle w:val="FootnoteText"/>
      </w:pPr>
      <w:r>
        <w:rPr>
          <w:rStyle w:val="FootnoteReference"/>
        </w:rPr>
        <w:footnoteRef/>
      </w:r>
      <w:r>
        <w:t xml:space="preserve"> </w:t>
      </w:r>
      <w:r>
        <w:tab/>
        <w:t xml:space="preserve">AER, </w:t>
      </w:r>
      <w:r w:rsidRPr="001A0C41">
        <w:rPr>
          <w:rStyle w:val="AERtextitalic"/>
        </w:rPr>
        <w:t>Explanatory statement: Rate of return guideline (appendices),</w:t>
      </w:r>
      <w:r>
        <w:t xml:space="preserve"> December 2013, pp. 37–39.</w:t>
      </w:r>
    </w:p>
  </w:footnote>
  <w:footnote w:id="329">
    <w:p w:rsidR="003F1AAB" w:rsidRDefault="003F1AAB" w:rsidP="002F6FA6">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299, 307–308; </w:t>
      </w:r>
      <w:r w:rsidRPr="00B55FA0">
        <w:t xml:space="preserve">Powercor, </w:t>
      </w:r>
      <w:r w:rsidRPr="00B55FA0">
        <w:rPr>
          <w:rStyle w:val="AERtextitalic"/>
        </w:rPr>
        <w:t>Revised regulatory proposal 2016–2020</w:t>
      </w:r>
      <w:r w:rsidRPr="00B55FA0">
        <w:t xml:space="preserve">, January  2016, pp. 293, 301–302; ActewAGL, </w:t>
      </w:r>
      <w:r w:rsidRPr="00B55FA0">
        <w:rPr>
          <w:rStyle w:val="Emphasis"/>
        </w:rPr>
        <w:t>Revised 2016–21 access ar</w:t>
      </w:r>
      <w:r>
        <w:rPr>
          <w:rStyle w:val="Emphasis"/>
        </w:rPr>
        <w:t>r</w:t>
      </w:r>
      <w:r w:rsidRPr="00B55FA0">
        <w:rPr>
          <w:rStyle w:val="Emphasis"/>
        </w:rPr>
        <w:t>angement proposal Response to the AER's draft decision, Appendix 5.01 Detailed response to rate of return, gamma and inflation</w:t>
      </w:r>
      <w:r w:rsidRPr="00B55FA0">
        <w:t xml:space="preserve">, January 2016, pp. 72–74, 83–84; United Energy, </w:t>
      </w:r>
      <w:r w:rsidRPr="00B55FA0">
        <w:rPr>
          <w:rStyle w:val="Emphasis"/>
        </w:rPr>
        <w:t>Response to AER preliminary determination–Re: rate of return and gamma</w:t>
      </w:r>
      <w:r w:rsidRPr="00B55FA0">
        <w:t>, 6 January 2016, p</w:t>
      </w:r>
      <w:r>
        <w:t>p. 5</w:t>
      </w:r>
      <w:r w:rsidRPr="00B55FA0">
        <w:t xml:space="preserve">3–54, 61–62; AGN, </w:t>
      </w:r>
      <w:r w:rsidRPr="00B55FA0">
        <w:rPr>
          <w:rStyle w:val="Emphasis"/>
        </w:rPr>
        <w:t>2016–17 to 2020/21 Access Arrangement information response to draft decision: Attachment 10.26 Response to draft decision: rate of return</w:t>
      </w:r>
      <w:r w:rsidRPr="00B55FA0">
        <w:t xml:space="preserve">, January 2016, pp, 75–78;  JEN (Vic), </w:t>
      </w:r>
      <w:r w:rsidRPr="00B55FA0">
        <w:rPr>
          <w:rStyle w:val="Emphasis"/>
        </w:rPr>
        <w:t>2016–20 Electricity distribution price review regulatory proposal revocation and substitution submission: Attachment 6–1 Rate of return, gamma, forecast inflation, and debt and equity raising costs,</w:t>
      </w:r>
      <w:r w:rsidRPr="00B55FA0">
        <w:t xml:space="preserve"> 6 January 2016, pp. 67, 76–79; AusNet Services, </w:t>
      </w:r>
      <w:r w:rsidRPr="00B55FA0">
        <w:rPr>
          <w:rStyle w:val="Emphasis"/>
        </w:rPr>
        <w:t>Electricity distribution price review 2016–20 Re</w:t>
      </w:r>
      <w:r>
        <w:rPr>
          <w:rStyle w:val="Emphasis"/>
        </w:rPr>
        <w:t>vised regulatory proposal: Chap</w:t>
      </w:r>
      <w:r w:rsidRPr="00B55FA0">
        <w:rPr>
          <w:rStyle w:val="Emphasis"/>
        </w:rPr>
        <w:t>ter 7 Rate of return &amp; gamma</w:t>
      </w:r>
      <w:r w:rsidRPr="00B55FA0">
        <w:t>, 6 January 2016, p</w:t>
      </w:r>
      <w:r>
        <w:t>p. 7</w:t>
      </w:r>
      <w:r w:rsidRPr="00B55FA0">
        <w:t>0–74.</w:t>
      </w:r>
    </w:p>
  </w:footnote>
  <w:footnote w:id="330">
    <w:p w:rsidR="003F1AAB" w:rsidRDefault="003F1AAB" w:rsidP="002F6FA6">
      <w:pPr>
        <w:pStyle w:val="FootnoteText"/>
      </w:pPr>
      <w:r>
        <w:rPr>
          <w:rStyle w:val="FootnoteReference"/>
        </w:rPr>
        <w:footnoteRef/>
      </w:r>
      <w:r>
        <w:t xml:space="preserve"> </w:t>
      </w:r>
      <w:r>
        <w:tab/>
        <w:t xml:space="preserve">HoustonKemp, </w:t>
      </w:r>
      <w:r w:rsidRPr="008860FD">
        <w:rPr>
          <w:rStyle w:val="AERtextitalic"/>
        </w:rPr>
        <w:t>The cost of equity: Response to the AER's draft decisions for the Victorian electricity distributors, ActewAGL Distribution and Australian Gas Networks</w:t>
      </w:r>
      <w:r>
        <w:t>, January 2016, p. 52–59.</w:t>
      </w:r>
    </w:p>
  </w:footnote>
  <w:footnote w:id="331">
    <w:p w:rsidR="003F1AAB" w:rsidRDefault="003F1AAB" w:rsidP="002F6FA6">
      <w:pPr>
        <w:pStyle w:val="FootnoteText"/>
      </w:pPr>
      <w:r>
        <w:rPr>
          <w:rStyle w:val="FootnoteReference"/>
        </w:rPr>
        <w:footnoteRef/>
      </w:r>
      <w:r>
        <w:t xml:space="preserve"> </w:t>
      </w:r>
      <w:r>
        <w:tab/>
        <w:t xml:space="preserve">AER, </w:t>
      </w:r>
      <w:r w:rsidRPr="001A0C41">
        <w:rPr>
          <w:rStyle w:val="AERtextitalic"/>
        </w:rPr>
        <w:t>Preliminary decision: CitiPower determination 2016 to 2020: Attachment 3 – Rate of return</w:t>
      </w:r>
      <w:r>
        <w:t xml:space="preserve">, October 2015, pp. 100, 516 &amp; 521–526; </w:t>
      </w:r>
      <w:r w:rsidRPr="00B55FA0">
        <w:t xml:space="preserve">AER, </w:t>
      </w:r>
      <w:r w:rsidRPr="00B55FA0">
        <w:rPr>
          <w:rStyle w:val="AERtextitalic"/>
        </w:rPr>
        <w:t>Powercor Preliminary Decision - Attachment 3: Rate of Return</w:t>
      </w:r>
      <w:r w:rsidRPr="00B55FA0">
        <w:t xml:space="preserve">, October 2015, pp. 100, 516 &amp; 521–526;. AER, </w:t>
      </w:r>
      <w:r w:rsidRPr="00B55FA0">
        <w:rPr>
          <w:rStyle w:val="Emphasis"/>
        </w:rPr>
        <w:t>Draft decision ActewAGL distribution determination 2016 to 2021: Attachment 3 – Rate of return,</w:t>
      </w:r>
      <w:r w:rsidRPr="00B55FA0">
        <w:t xml:space="preserve"> November 2015, p. 101–105, 525–530; AER, </w:t>
      </w:r>
      <w:r w:rsidRPr="00B55FA0">
        <w:rPr>
          <w:rStyle w:val="Emphasis"/>
        </w:rPr>
        <w:t>Preliminary decision United Energy determination 2016 to 2020: Attachment 3 – Rate of return</w:t>
      </w:r>
      <w:r w:rsidRPr="00B55FA0">
        <w:t xml:space="preserve">, October 2015, pp. 99–102, 516–520, 524–537; AER, </w:t>
      </w:r>
      <w:r w:rsidRPr="00B55FA0">
        <w:rPr>
          <w:rStyle w:val="Emphasis"/>
        </w:rPr>
        <w:t>Draft decision Australian Gas Networks access arrangement 2016 to 2021–Attachment 3: rate of return</w:t>
      </w:r>
      <w:r w:rsidRPr="00B55FA0">
        <w:t xml:space="preserve">, November 2015, pp. 100–103, 521, 526, 530–544; AER, </w:t>
      </w:r>
      <w:r w:rsidRPr="00B55FA0">
        <w:rPr>
          <w:rStyle w:val="Emphasis"/>
        </w:rPr>
        <w:t>Preliminary decision Jemena distribution determination 2016 to 2020: Attachment 3–Rate of return</w:t>
      </w:r>
      <w:r w:rsidRPr="00B55FA0">
        <w:t xml:space="preserve">, October 2015, pp. 99–102, 516–520, 525–537; ; AER, </w:t>
      </w:r>
      <w:r w:rsidRPr="00B55FA0">
        <w:rPr>
          <w:rStyle w:val="Emphasis"/>
        </w:rPr>
        <w:t>Preliminary decision Jemena distribution determination 2016 to 2020: Attachment 3–Rate of return</w:t>
      </w:r>
      <w:r w:rsidRPr="00B55FA0">
        <w:t>, October 2015, pp. 95–98; AER</w:t>
      </w:r>
      <w:r w:rsidRPr="00B55FA0">
        <w:rPr>
          <w:rStyle w:val="Emphasis"/>
        </w:rPr>
        <w:t>, Preliminary decision AusNet Services determination 2016 to 2020: Attachment 3–Rate of return</w:t>
      </w:r>
      <w:r w:rsidRPr="00B55FA0">
        <w:t xml:space="preserve">, October 2015, pp.  99–102, 522–529; </w:t>
      </w:r>
      <w:r w:rsidRPr="00450194">
        <w:t xml:space="preserve">AER, </w:t>
      </w:r>
      <w:r w:rsidRPr="00450194">
        <w:rPr>
          <w:rStyle w:val="Emphasis"/>
        </w:rPr>
        <w:t>Draft decision Amadeus Gas Pipeline access arrangement 2016 to 2021: Attachment 3</w:t>
      </w:r>
      <w:r w:rsidRPr="00450194">
        <w:rPr>
          <w:rStyle w:val="Emphasis"/>
        </w:rPr>
        <w:softHyphen/>
        <w:t>–Rate of return</w:t>
      </w:r>
      <w:r w:rsidRPr="00450194">
        <w:t>, November 2015, pp</w:t>
      </w:r>
      <w:r>
        <w:t xml:space="preserve">. 524–530; AER, </w:t>
      </w:r>
      <w:r w:rsidRPr="001A0C41">
        <w:rPr>
          <w:rStyle w:val="AERtextitalic"/>
        </w:rPr>
        <w:t>Explanatory statement: Rate of return guideline (appendices)</w:t>
      </w:r>
      <w:r>
        <w:t>, December 2013, pp. 40–42.</w:t>
      </w:r>
    </w:p>
  </w:footnote>
  <w:footnote w:id="332">
    <w:p w:rsidR="003F1AAB" w:rsidRDefault="003F1AAB" w:rsidP="002F6FA6">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317–321; </w:t>
      </w:r>
      <w:r w:rsidRPr="00B55FA0">
        <w:t xml:space="preserve">; Powercor, </w:t>
      </w:r>
      <w:r w:rsidRPr="00B55FA0">
        <w:rPr>
          <w:rStyle w:val="AERtextitalic"/>
        </w:rPr>
        <w:t>Revised regulatory proposal 2016–2020</w:t>
      </w:r>
      <w:r w:rsidRPr="00B55FA0">
        <w:t xml:space="preserve">, January  2016, pp. 311–315; ActewAGL, </w:t>
      </w:r>
      <w:r w:rsidRPr="00B55FA0">
        <w:rPr>
          <w:rStyle w:val="Emphasis"/>
        </w:rPr>
        <w:t>Revised 2016–21 access ar</w:t>
      </w:r>
      <w:r>
        <w:rPr>
          <w:rStyle w:val="Emphasis"/>
        </w:rPr>
        <w:t>r</w:t>
      </w:r>
      <w:r w:rsidRPr="00B55FA0">
        <w:rPr>
          <w:rStyle w:val="Emphasis"/>
        </w:rPr>
        <w:t>angement proposal Response to the AER's draft decision, Appendix 5.01 Detailed response to rate of return, gamma and inflation</w:t>
      </w:r>
      <w:r w:rsidRPr="00B55FA0">
        <w:t xml:space="preserve">, January 2016, pp. 96–101; United Energy, </w:t>
      </w:r>
      <w:r w:rsidRPr="00B55FA0">
        <w:rPr>
          <w:rStyle w:val="Emphasis"/>
        </w:rPr>
        <w:t>Response to AER preliminary determination–Re: rate of return and gamma</w:t>
      </w:r>
      <w:r w:rsidRPr="00B55FA0">
        <w:t xml:space="preserve">, 6 January 2016, pp. 71–74; AGN, </w:t>
      </w:r>
      <w:r w:rsidRPr="00B55FA0">
        <w:rPr>
          <w:rStyle w:val="Emphasis"/>
        </w:rPr>
        <w:t>2016–17 to 2020/21 Access Arrangement information response to draft decision: Attachment 10.26 Response to draft decision: rate of return</w:t>
      </w:r>
      <w:r w:rsidRPr="00B55FA0">
        <w:t xml:space="preserve">, January 2016, pp. 75–78 ; JEN (Vic), </w:t>
      </w:r>
      <w:r w:rsidRPr="00B55FA0">
        <w:rPr>
          <w:rStyle w:val="Emphasis"/>
        </w:rPr>
        <w:t>2016–20 Electricity distribution price review regulatory proposal revocation and substitution submission: Attachment 6–1 Rate of return, gamma, forecast inflation, and debt and equity raising costs,</w:t>
      </w:r>
      <w:r w:rsidRPr="00B55FA0">
        <w:t xml:space="preserve"> 6 January 2016, pp. 76–80; AusNet Services, </w:t>
      </w:r>
      <w:r w:rsidRPr="00B55FA0">
        <w:rPr>
          <w:rStyle w:val="Emphasis"/>
        </w:rPr>
        <w:t>Electricity distribution price review 2016–20 Re</w:t>
      </w:r>
      <w:r>
        <w:rPr>
          <w:rStyle w:val="Emphasis"/>
        </w:rPr>
        <w:t>vised regulatory proposal: Chap</w:t>
      </w:r>
      <w:r w:rsidRPr="00B55FA0">
        <w:rPr>
          <w:rStyle w:val="Emphasis"/>
        </w:rPr>
        <w:t>ter 7 Rate of return &amp; gamma</w:t>
      </w:r>
      <w:r w:rsidRPr="00B55FA0">
        <w:t>, 6 January 2016, pp. 70–74.</w:t>
      </w:r>
    </w:p>
  </w:footnote>
  <w:footnote w:id="333">
    <w:p w:rsidR="003F1AAB" w:rsidRDefault="003F1AAB" w:rsidP="002F6FA6">
      <w:pPr>
        <w:pStyle w:val="FootnoteText"/>
      </w:pPr>
      <w:r>
        <w:rPr>
          <w:rStyle w:val="FootnoteReference"/>
        </w:rPr>
        <w:footnoteRef/>
      </w:r>
      <w:r>
        <w:t xml:space="preserve"> </w:t>
      </w:r>
      <w:r>
        <w:tab/>
        <w:t xml:space="preserve">CitiPower, </w:t>
      </w:r>
      <w:r w:rsidRPr="00C31257">
        <w:rPr>
          <w:rStyle w:val="AERtextitalic"/>
        </w:rPr>
        <w:t>Revised regulatory proposal 2016–2020</w:t>
      </w:r>
      <w:r>
        <w:t>, p. 321</w:t>
      </w:r>
      <w:r w:rsidRPr="00B55FA0">
        <w:t xml:space="preserve">; Powercor, </w:t>
      </w:r>
      <w:r w:rsidRPr="00B55FA0">
        <w:rPr>
          <w:rStyle w:val="AERtextitalic"/>
        </w:rPr>
        <w:t>Revised regulatory proposal 2016–2020</w:t>
      </w:r>
      <w:r w:rsidRPr="00B55FA0">
        <w:t xml:space="preserve">, January  2016, p. 315; ActewAGL, </w:t>
      </w:r>
      <w:r w:rsidRPr="00B55FA0">
        <w:rPr>
          <w:rStyle w:val="Emphasis"/>
        </w:rPr>
        <w:t>Revised 2016–21 access ar</w:t>
      </w:r>
      <w:r>
        <w:rPr>
          <w:rStyle w:val="Emphasis"/>
        </w:rPr>
        <w:t>r</w:t>
      </w:r>
      <w:r w:rsidRPr="00B55FA0">
        <w:rPr>
          <w:rStyle w:val="Emphasis"/>
        </w:rPr>
        <w:t>angement proposal Response to the AER's draft decision, Appendix 5.01 Detailed response to rate of return, gamma and inflation</w:t>
      </w:r>
      <w:r w:rsidRPr="00B55FA0">
        <w:t xml:space="preserve">, January 2016, pp. 100–101; United Energy, </w:t>
      </w:r>
      <w:r w:rsidRPr="00B55FA0">
        <w:rPr>
          <w:rStyle w:val="Emphasis"/>
        </w:rPr>
        <w:t>Response to AER preliminary determination–Re: rate of return and gamma</w:t>
      </w:r>
      <w:r w:rsidRPr="00B55FA0">
        <w:t xml:space="preserve">, 6 January 2016, p. 74; AGN, </w:t>
      </w:r>
      <w:r w:rsidRPr="00B55FA0">
        <w:rPr>
          <w:rStyle w:val="Emphasis"/>
        </w:rPr>
        <w:t>2016–17 to 2020/21 Access Arrangement information response to draft decision: Attachment 10.26 Response to draft decision: rate of return</w:t>
      </w:r>
      <w:r w:rsidRPr="00B55FA0">
        <w:t xml:space="preserve">, January 2016, p. 78 ; JEN (Vic), </w:t>
      </w:r>
      <w:r w:rsidRPr="00B55FA0">
        <w:rPr>
          <w:rStyle w:val="Emphasis"/>
        </w:rPr>
        <w:t>2016–20 Electricity distribution price review regulatory proposal revocation and substitution submission: Attachment 6–1 Rate of return, gamma, forecast inflation, and debt and equity raising costs,</w:t>
      </w:r>
      <w:r w:rsidRPr="00B55FA0">
        <w:t xml:space="preserve"> 6 January 2016, pp. 80; AusNet Services, </w:t>
      </w:r>
      <w:r w:rsidRPr="00B55FA0">
        <w:rPr>
          <w:rStyle w:val="Emphasis"/>
        </w:rPr>
        <w:t>Electricity distribution price review 2016–20 Re</w:t>
      </w:r>
      <w:r>
        <w:rPr>
          <w:rStyle w:val="Emphasis"/>
        </w:rPr>
        <w:t>vised regulatory proposal: Chap</w:t>
      </w:r>
      <w:r w:rsidRPr="00B55FA0">
        <w:rPr>
          <w:rStyle w:val="Emphasis"/>
        </w:rPr>
        <w:t>ter 7 Rate of return &amp; gamma</w:t>
      </w:r>
      <w:r w:rsidRPr="00B55FA0">
        <w:t>, 6 January 2016, pp. 73–74.</w:t>
      </w:r>
    </w:p>
  </w:footnote>
  <w:footnote w:id="334">
    <w:p w:rsidR="003F1AAB" w:rsidRDefault="003F1AAB" w:rsidP="002F6FA6">
      <w:pPr>
        <w:pStyle w:val="FootnoteText"/>
      </w:pPr>
      <w:r>
        <w:rPr>
          <w:rStyle w:val="FootnoteReference"/>
        </w:rPr>
        <w:footnoteRef/>
      </w:r>
      <w:r>
        <w:t xml:space="preserve"> </w:t>
      </w:r>
      <w:r>
        <w:tab/>
        <w:t xml:space="preserve">Frontier Economics, </w:t>
      </w:r>
      <w:r w:rsidRPr="00AB7811">
        <w:rPr>
          <w:rStyle w:val="AERtextitalic"/>
        </w:rPr>
        <w:t>The relationship between government bond yields and the market risk premium</w:t>
      </w:r>
      <w:r>
        <w:t>, January 2016, pp. 19–20.</w:t>
      </w:r>
    </w:p>
  </w:footnote>
  <w:footnote w:id="335">
    <w:p w:rsidR="003F1AAB" w:rsidRDefault="003F1AAB" w:rsidP="002F6FA6">
      <w:pPr>
        <w:pStyle w:val="FootnoteText"/>
      </w:pPr>
      <w:r>
        <w:rPr>
          <w:rStyle w:val="FootnoteReference"/>
        </w:rPr>
        <w:footnoteRef/>
      </w:r>
      <w:r>
        <w:t xml:space="preserve"> </w:t>
      </w:r>
      <w:r>
        <w:tab/>
        <w:t xml:space="preserve">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w:t>
      </w:r>
      <w:r w:rsidRPr="001876F5">
        <w:t xml:space="preserve">EUCV, </w:t>
      </w:r>
      <w:r w:rsidRPr="001A0C41">
        <w:rPr>
          <w:rStyle w:val="AERtextitalic"/>
        </w:rPr>
        <w:t>A response to AusNet revenue reset proposal for the 2017–2022 period</w:t>
      </w:r>
      <w:r w:rsidRPr="001876F5">
        <w:t>, 9 February 2016</w:t>
      </w:r>
      <w:r>
        <w:t>, p. 40</w:t>
      </w:r>
    </w:p>
  </w:footnote>
  <w:footnote w:id="336">
    <w:p w:rsidR="003F1AAB" w:rsidRDefault="003F1AAB" w:rsidP="002F6FA6">
      <w:pPr>
        <w:pStyle w:val="FootnoteText"/>
      </w:pPr>
      <w:r>
        <w:rPr>
          <w:rStyle w:val="FootnoteReference"/>
        </w:rPr>
        <w:footnoteRef/>
      </w:r>
      <w:r>
        <w:t xml:space="preserve"> </w:t>
      </w:r>
      <w:r>
        <w:tab/>
        <w:t xml:space="preserve">Or more precisely, a benchmark efficient entity with a similar degree of risk as </w:t>
      </w:r>
      <w:r w:rsidRPr="000F3DDE">
        <w:t>AusNet Services</w:t>
      </w:r>
      <w:r>
        <w:t xml:space="preserve"> in respect of the provision of prescribed transmission services.</w:t>
      </w:r>
    </w:p>
  </w:footnote>
  <w:footnote w:id="337">
    <w:p w:rsidR="003F1AAB" w:rsidRDefault="003F1AAB" w:rsidP="002F6FA6">
      <w:pPr>
        <w:pStyle w:val="FootnoteText"/>
      </w:pPr>
      <w:r>
        <w:rPr>
          <w:rStyle w:val="FootnoteReference"/>
        </w:rPr>
        <w:footnoteRef/>
      </w:r>
      <w:r>
        <w:t xml:space="preserve"> </w:t>
      </w:r>
      <w:r>
        <w:tab/>
        <w:t>In accordance with our task under the NER and NGR.</w:t>
      </w:r>
      <w:r w:rsidRPr="00A71F09">
        <w:t xml:space="preserve"> </w:t>
      </w:r>
      <w:r>
        <w:t>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338">
    <w:p w:rsidR="003F1AAB" w:rsidRDefault="003F1AAB" w:rsidP="002F6FA6">
      <w:pPr>
        <w:pStyle w:val="FootnoteText"/>
      </w:pPr>
      <w:r>
        <w:rPr>
          <w:rStyle w:val="FootnoteReference"/>
        </w:rPr>
        <w:footnoteRef/>
      </w:r>
      <w:r>
        <w:t xml:space="preserve"> </w:t>
      </w:r>
      <w:r>
        <w:tab/>
      </w:r>
      <w:r w:rsidRPr="007F0B12">
        <w:t xml:space="preserve">For a discussion, see AER, </w:t>
      </w:r>
      <w:r w:rsidRPr="007F0B12">
        <w:rPr>
          <w:rStyle w:val="AERtextitalic"/>
        </w:rPr>
        <w:t>Explanatory statement to the rate of return guideline (appendices)</w:t>
      </w:r>
      <w:r w:rsidRPr="007F0B12">
        <w:t xml:space="preserve">, 17 December 2013, pp. 25–26. Also see CEPA, </w:t>
      </w:r>
      <w:r w:rsidRPr="007F0B12">
        <w:rPr>
          <w:rStyle w:val="AERtextitalic"/>
        </w:rPr>
        <w:t>AER: Victorian gas networks market evidence paper</w:t>
      </w:r>
      <w:r w:rsidRPr="007F0B12">
        <w:t xml:space="preserve">, February 2013; McKenzie and Partington, </w:t>
      </w:r>
      <w:r w:rsidRPr="007F0B12">
        <w:rPr>
          <w:rStyle w:val="AERtextitalic"/>
        </w:rPr>
        <w:t>Review of the AER’s overall approach to the risk free rate and MRP</w:t>
      </w:r>
      <w:r w:rsidRPr="007F0B12">
        <w:t xml:space="preserve">, February 2013; Lally, </w:t>
      </w:r>
      <w:r w:rsidRPr="007F0B12">
        <w:rPr>
          <w:rStyle w:val="AERtextitalic"/>
        </w:rPr>
        <w:t>Review of the AER’s methodology</w:t>
      </w:r>
      <w:r w:rsidRPr="007F0B12">
        <w:t>, March 2013.</w:t>
      </w:r>
    </w:p>
  </w:footnote>
  <w:footnote w:id="339">
    <w:p w:rsidR="003F1AAB" w:rsidRDefault="003F1AAB" w:rsidP="002F6FA6">
      <w:pPr>
        <w:pStyle w:val="FootnoteText"/>
      </w:pPr>
      <w:r>
        <w:rPr>
          <w:rStyle w:val="FootnoteReference"/>
        </w:rPr>
        <w:footnoteRef/>
      </w:r>
      <w:r>
        <w:t xml:space="preserve"> </w:t>
      </w:r>
      <w:r>
        <w:tab/>
        <w:t>Efficient financing costs for a benchmark efficient entity with a similar degree of risk as that which applies to the distribution or transmission network service provider in respect of the provision of standard control services or prescribed transmission services. See: NER, cl. 6.5.2(c); NER, cl. 6A.6.2(c); NGR, r.87(3).</w:t>
      </w:r>
    </w:p>
  </w:footnote>
  <w:footnote w:id="340">
    <w:p w:rsidR="003F1AAB" w:rsidRDefault="003F1AAB" w:rsidP="002F6FA6">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341">
    <w:p w:rsidR="003F1AAB" w:rsidRDefault="003F1AAB" w:rsidP="002F6FA6">
      <w:pPr>
        <w:pStyle w:val="FootnoteText"/>
      </w:pPr>
      <w:r>
        <w:rPr>
          <w:rStyle w:val="FootnoteReference"/>
        </w:rPr>
        <w:footnoteRef/>
      </w:r>
      <w:r>
        <w:t xml:space="preserve"> </w:t>
      </w:r>
      <w:r>
        <w:tab/>
        <w:t xml:space="preserve">See AER, </w:t>
      </w:r>
      <w:r w:rsidRPr="002868D4">
        <w:rPr>
          <w:rStyle w:val="AERtextitalic"/>
        </w:rPr>
        <w:t>Explanatory statement: Rate of return guideline (appendices)</w:t>
      </w:r>
      <w:r>
        <w:t xml:space="preserve">, 17 December 2013, pp. 104–110; AER, </w:t>
      </w:r>
      <w:r w:rsidRPr="006063CB">
        <w:rPr>
          <w:rStyle w:val="AERtextitalic"/>
        </w:rPr>
        <w:t xml:space="preserve">Access arrangement </w:t>
      </w:r>
      <w:r>
        <w:rPr>
          <w:rStyle w:val="AERtextitalic"/>
        </w:rPr>
        <w:t>draft</w:t>
      </w:r>
      <w:r w:rsidRPr="006063CB">
        <w:rPr>
          <w:rStyle w:val="AERtextitalic"/>
        </w:rPr>
        <w:t xml:space="preserve"> decision: Multinet Gas (DB No. 1) Pty Ltd Multinet Gas (DB No. 2) Pty Ltd 2013–17—Part </w:t>
      </w:r>
      <w:r>
        <w:rPr>
          <w:rStyle w:val="AERtextitalic"/>
        </w:rPr>
        <w:t>2</w:t>
      </w:r>
      <w:r w:rsidRPr="006063CB">
        <w:rPr>
          <w:rStyle w:val="AERtextitalic"/>
        </w:rPr>
        <w:t xml:space="preserve">: </w:t>
      </w:r>
      <w:r>
        <w:rPr>
          <w:rStyle w:val="AERtextitalic"/>
        </w:rPr>
        <w:t>Attachments</w:t>
      </w:r>
      <w:r>
        <w:t xml:space="preserve">, September 2012, pp. 100–107; AER, </w:t>
      </w:r>
      <w:r w:rsidRPr="006063CB">
        <w:rPr>
          <w:rStyle w:val="AERtextitalic"/>
        </w:rPr>
        <w:t>Access arrangement final decision: Multinet Gas (DB No. 1) Pty Ltd Multinet Gas (DB No. 2) Pty Ltd 2013–17—Part 3: Appendices</w:t>
      </w:r>
      <w:r>
        <w:t xml:space="preserve">, March 2013, pp. 31–35; AER, </w:t>
      </w:r>
      <w:r w:rsidRPr="009E1CF5">
        <w:rPr>
          <w:rStyle w:val="AERtextitalic"/>
        </w:rPr>
        <w:t>Access arrangement final decision: APA GasNet Australia (Operations) Pty Ltd 2013–17: Part 3—Appendices</w:t>
      </w:r>
      <w:r>
        <w:t xml:space="preserve">, March 2013, pp. 32–38. </w:t>
      </w:r>
      <w:r w:rsidRPr="00B55FA0">
        <w:t>AER</w:t>
      </w:r>
      <w:r w:rsidRPr="00B55FA0">
        <w:rPr>
          <w:rStyle w:val="Emphasis"/>
        </w:rPr>
        <w:t>, Preliminary decision AusNet Services determination 2016 to 2020: Attachment 3–Rate of return</w:t>
      </w:r>
      <w:r w:rsidRPr="00B55FA0">
        <w:t>, October 2015, pp. 268–270</w:t>
      </w:r>
      <w:r>
        <w:t>.</w:t>
      </w:r>
    </w:p>
    <w:p w:rsidR="003F1AAB" w:rsidRDefault="003F1AAB" w:rsidP="002F6FA6">
      <w:pPr>
        <w:pStyle w:val="FootnoteText"/>
      </w:pPr>
      <w:r>
        <w:tab/>
      </w:r>
      <w:r w:rsidRPr="003E0718">
        <w:t xml:space="preserve">McKenzie and Partington, </w:t>
      </w:r>
      <w:r w:rsidRPr="008347D0">
        <w:rPr>
          <w:rStyle w:val="AERtextitalic"/>
        </w:rPr>
        <w:t>Review of the AER’s overall approach to the risk free rate and market risk premium</w:t>
      </w:r>
      <w:r w:rsidRPr="003E0718">
        <w:t>, February 2013, pp. 6, 24.</w:t>
      </w:r>
    </w:p>
  </w:footnote>
  <w:footnote w:id="342">
    <w:p w:rsidR="003F1AAB" w:rsidRDefault="003F1AAB" w:rsidP="002F6FA6">
      <w:pPr>
        <w:pStyle w:val="FootnoteText"/>
      </w:pPr>
      <w:r>
        <w:rPr>
          <w:rStyle w:val="FootnoteReference"/>
        </w:rPr>
        <w:footnoteRef/>
      </w:r>
      <w:r>
        <w:t xml:space="preserve"> </w:t>
      </w:r>
      <w:r>
        <w:tab/>
        <w:t>A 'flight to quality'</w:t>
      </w:r>
      <w:r w:rsidRPr="0056174F">
        <w:t xml:space="preserve"> </w:t>
      </w:r>
      <w:r>
        <w:t xml:space="preserve">or 'flight to safety' </w:t>
      </w:r>
      <w:r w:rsidRPr="0056174F">
        <w:t xml:space="preserve">is usually associated with </w:t>
      </w:r>
      <w:r>
        <w:t>a view that there is increased</w:t>
      </w:r>
      <w:r w:rsidRPr="0056174F">
        <w:t xml:space="preserve"> risk aversion </w:t>
      </w:r>
      <w:r>
        <w:t xml:space="preserve">across the economy </w:t>
      </w:r>
      <w:r w:rsidRPr="0056174F">
        <w:t xml:space="preserve">and therefore an </w:t>
      </w:r>
      <w:r>
        <w:t>increased</w:t>
      </w:r>
      <w:r w:rsidRPr="0056174F">
        <w:t xml:space="preserve"> </w:t>
      </w:r>
      <w:r>
        <w:t>MRP expected by investors</w:t>
      </w:r>
      <w:r w:rsidRPr="0056174F">
        <w:t>.</w:t>
      </w:r>
    </w:p>
  </w:footnote>
  <w:footnote w:id="343">
    <w:p w:rsidR="003F1AAB" w:rsidRDefault="003F1AAB" w:rsidP="002F6FA6">
      <w:pPr>
        <w:pStyle w:val="FootnoteText"/>
      </w:pPr>
      <w:r>
        <w:rPr>
          <w:rStyle w:val="FootnoteReference"/>
        </w:rPr>
        <w:footnoteRef/>
      </w:r>
      <w:r>
        <w:t xml:space="preserve"> </w:t>
      </w:r>
      <w:r>
        <w:tab/>
        <w:t xml:space="preserve">Partington, </w:t>
      </w:r>
      <w:r w:rsidRPr="00B342F3">
        <w:rPr>
          <w:rStyle w:val="AERtextitalic"/>
        </w:rPr>
        <w:t>Report to the AER: Return on equity (</w:t>
      </w:r>
      <w:r>
        <w:rPr>
          <w:rStyle w:val="AERtextitalic"/>
        </w:rPr>
        <w:t>u</w:t>
      </w:r>
      <w:r w:rsidRPr="00B342F3">
        <w:rPr>
          <w:rStyle w:val="AERtextitalic"/>
        </w:rPr>
        <w:t>pdated)</w:t>
      </w:r>
      <w:r>
        <w:t>, April 2015, p. 72.</w:t>
      </w:r>
    </w:p>
  </w:footnote>
  <w:footnote w:id="344">
    <w:p w:rsidR="003F1AAB" w:rsidRDefault="003F1AAB" w:rsidP="002F6FA6">
      <w:pPr>
        <w:pStyle w:val="FootnoteText"/>
      </w:pPr>
      <w:r>
        <w:rPr>
          <w:rStyle w:val="FootnoteReference"/>
        </w:rPr>
        <w:footnoteRef/>
      </w:r>
      <w:r>
        <w:t xml:space="preserve"> </w:t>
      </w:r>
      <w:r>
        <w:tab/>
        <w:t xml:space="preserve">Partington, </w:t>
      </w:r>
      <w:r w:rsidRPr="00B27D98">
        <w:rPr>
          <w:rStyle w:val="AERtextitalic"/>
        </w:rPr>
        <w:t xml:space="preserve">Report to the AER: </w:t>
      </w:r>
      <w:r>
        <w:rPr>
          <w:rStyle w:val="AERtextitalic"/>
        </w:rPr>
        <w:t xml:space="preserve">Return on equity (updated), </w:t>
      </w:r>
      <w:r w:rsidRPr="00BF02BD">
        <w:t>April 2015</w:t>
      </w:r>
      <w:r>
        <w:t>, p. 72.</w:t>
      </w:r>
    </w:p>
  </w:footnote>
  <w:footnote w:id="345">
    <w:p w:rsidR="003F1AAB" w:rsidRDefault="003F1AAB" w:rsidP="002F6FA6">
      <w:pPr>
        <w:pStyle w:val="FootnoteText"/>
      </w:pPr>
      <w:r>
        <w:rPr>
          <w:rStyle w:val="FootnoteReference"/>
        </w:rPr>
        <w:footnoteRef/>
      </w:r>
      <w:r>
        <w:t xml:space="preserve"> </w:t>
      </w:r>
      <w:r>
        <w:tab/>
        <w:t xml:space="preserve">Partington, </w:t>
      </w:r>
      <w:r>
        <w:rPr>
          <w:rStyle w:val="AERtextitalic"/>
        </w:rPr>
        <w:t>Report to the AER: Return on equity (updated)</w:t>
      </w:r>
      <w:r>
        <w:t>, April 2015, p. 74.</w:t>
      </w:r>
    </w:p>
  </w:footnote>
  <w:footnote w:id="346">
    <w:p w:rsidR="003F1AAB" w:rsidRDefault="003F1AAB" w:rsidP="002F6FA6">
      <w:pPr>
        <w:pStyle w:val="FootnoteText"/>
      </w:pPr>
      <w:r>
        <w:rPr>
          <w:rStyle w:val="FootnoteReference"/>
        </w:rPr>
        <w:footnoteRef/>
      </w:r>
      <w:r>
        <w:t xml:space="preserve"> </w:t>
      </w:r>
      <w:r>
        <w:tab/>
      </w:r>
      <w:r w:rsidRPr="00F15FFD">
        <w:t xml:space="preserve">Partington &amp; Satchell, </w:t>
      </w:r>
      <w:r w:rsidRPr="00665803">
        <w:rPr>
          <w:rStyle w:val="AERtextitalic"/>
        </w:rPr>
        <w:t>Report to the AER: Analysis of criticism of 2015 determinations</w:t>
      </w:r>
      <w:r w:rsidRPr="00F15FFD">
        <w:t>, October 2015</w:t>
      </w:r>
      <w:r>
        <w:t>, p. 17.</w:t>
      </w:r>
    </w:p>
  </w:footnote>
  <w:footnote w:id="347">
    <w:p w:rsidR="003F1AAB" w:rsidRDefault="003F1AAB" w:rsidP="002F6FA6">
      <w:pPr>
        <w:pStyle w:val="FootnoteText"/>
      </w:pPr>
      <w:r>
        <w:rPr>
          <w:rStyle w:val="FootnoteReference"/>
        </w:rPr>
        <w:footnoteRef/>
      </w:r>
      <w:r>
        <w:t xml:space="preserve"> </w:t>
      </w:r>
      <w:r>
        <w:tab/>
        <w:t xml:space="preserve">For example, see </w:t>
      </w:r>
      <w:r w:rsidRPr="00C36099">
        <w:t>AER</w:t>
      </w:r>
      <w:r w:rsidRPr="00C36099">
        <w:rPr>
          <w:rStyle w:val="Emphasis"/>
        </w:rPr>
        <w:t>, Preliminary decision AusNet Services determination 2016 to 2020: Attachment 3–Rate of return</w:t>
      </w:r>
      <w:r w:rsidRPr="00C36099">
        <w:t>, October 2015, pp. 269–271.</w:t>
      </w:r>
    </w:p>
  </w:footnote>
  <w:footnote w:id="348">
    <w:p w:rsidR="003F1AAB" w:rsidRDefault="003F1AAB" w:rsidP="002F6FA6">
      <w:pPr>
        <w:pStyle w:val="FootnoteText"/>
      </w:pPr>
      <w:r>
        <w:rPr>
          <w:rStyle w:val="FootnoteReference"/>
        </w:rPr>
        <w:footnoteRef/>
      </w:r>
      <w:r>
        <w:t xml:space="preserve"> </w:t>
      </w:r>
      <w:r>
        <w:tab/>
        <w:t xml:space="preserve">CitiPower, </w:t>
      </w:r>
      <w:r w:rsidRPr="00074148">
        <w:rPr>
          <w:rStyle w:val="Emphasis"/>
        </w:rPr>
        <w:t>Revised regulatory proposal 2016–2020</w:t>
      </w:r>
      <w:r>
        <w:t>, January 2016, p. 285</w:t>
      </w:r>
      <w:r w:rsidRPr="00C36099">
        <w:t xml:space="preserve">; Powercor, </w:t>
      </w:r>
      <w:r w:rsidRPr="00C36099">
        <w:rPr>
          <w:rStyle w:val="AERtextitalic"/>
        </w:rPr>
        <w:t>Revised regulatory proposal 2016–2020</w:t>
      </w:r>
      <w:r w:rsidRPr="00C36099">
        <w:t xml:space="preserve">, January  2016, p. 219; ActewAGL, </w:t>
      </w:r>
      <w:r w:rsidRPr="00C36099">
        <w:rPr>
          <w:rStyle w:val="Emphasis"/>
        </w:rPr>
        <w:t>Revised 2016–21 access ar</w:t>
      </w:r>
      <w:r>
        <w:rPr>
          <w:rStyle w:val="Emphasis"/>
        </w:rPr>
        <w:t>r</w:t>
      </w:r>
      <w:r w:rsidRPr="00C36099">
        <w:rPr>
          <w:rStyle w:val="Emphasis"/>
        </w:rPr>
        <w:t>angement proposal Response to the AER's draft decision, Appendix 5.01 Detailed response to rate of return, gamma and inflation</w:t>
      </w:r>
      <w:r w:rsidRPr="00C36099">
        <w:t xml:space="preserve">, January 2016, pp. 54–56; United Energy, </w:t>
      </w:r>
      <w:r w:rsidRPr="00C36099">
        <w:rPr>
          <w:rStyle w:val="Emphasis"/>
        </w:rPr>
        <w:t>Response to AER preliminary determination–Re: rate of return and gamma</w:t>
      </w:r>
      <w:r w:rsidRPr="00C36099">
        <w:t xml:space="preserve">, 6 January 2016, pp. 38–40, 51–52; AGN, </w:t>
      </w:r>
      <w:r w:rsidRPr="00C36099">
        <w:rPr>
          <w:rStyle w:val="Emphasis"/>
        </w:rPr>
        <w:t>2016–17 to 2020/21 Access Arrangement information response to draft decision: Attachment 10.26 Response to draft decision: rate of return</w:t>
      </w:r>
      <w:r w:rsidRPr="00C36099">
        <w:t xml:space="preserve">, January 2016, pp. 45–46, 57–58 ; JEN (Vic), </w:t>
      </w:r>
      <w:r w:rsidRPr="00C36099">
        <w:rPr>
          <w:rStyle w:val="Emphasis"/>
        </w:rPr>
        <w:t>2016–20 Electricity distribution price review regulatory proposal revocation and substitution submission: Attachment 6–1 Rate of return, gamma, forecast inflation, and debt and equity raising costs,</w:t>
      </w:r>
      <w:r w:rsidRPr="00C36099">
        <w:t xml:space="preserve"> 6 January 2016, pp. 44–45, 56–58; AusNet Services, </w:t>
      </w:r>
      <w:r w:rsidRPr="00C36099">
        <w:rPr>
          <w:rStyle w:val="Emphasis"/>
        </w:rPr>
        <w:t>Electricity distribution price review 2016–20 Re</w:t>
      </w:r>
      <w:r>
        <w:rPr>
          <w:rStyle w:val="Emphasis"/>
        </w:rPr>
        <w:t>vised regulatory proposal: Chap</w:t>
      </w:r>
      <w:r w:rsidRPr="00C36099">
        <w:rPr>
          <w:rStyle w:val="Emphasis"/>
        </w:rPr>
        <w:t>ter 7 Rate of return &amp; gamma</w:t>
      </w:r>
      <w:r w:rsidRPr="00C36099">
        <w:t xml:space="preserve">, 6 January 2016, pp, 39–40, 50–52; APTNT, </w:t>
      </w:r>
      <w:r w:rsidRPr="00C36099">
        <w:rPr>
          <w:rStyle w:val="Emphasis"/>
        </w:rPr>
        <w:t>Amadeus Gas Pipeline Access arrangement revised proposal: response to Draft Decision,</w:t>
      </w:r>
      <w:r w:rsidRPr="00C36099">
        <w:t xml:space="preserve"> January 2016, pp. 76–77.</w:t>
      </w:r>
      <w:r>
        <w:t>.</w:t>
      </w:r>
    </w:p>
  </w:footnote>
  <w:footnote w:id="349">
    <w:p w:rsidR="003F1AAB" w:rsidRDefault="003F1AAB" w:rsidP="002F6FA6">
      <w:pPr>
        <w:pStyle w:val="FootnoteText"/>
      </w:pPr>
      <w:r>
        <w:rPr>
          <w:rStyle w:val="FootnoteReference"/>
        </w:rPr>
        <w:footnoteRef/>
      </w:r>
      <w:r>
        <w:t xml:space="preserve"> </w:t>
      </w:r>
      <w:r>
        <w:tab/>
        <w:t xml:space="preserve">A 2014 article from McKinsey and a 2012 article from JP Morgan. </w:t>
      </w:r>
    </w:p>
  </w:footnote>
  <w:footnote w:id="350">
    <w:p w:rsidR="003F1AAB" w:rsidRDefault="003F1AAB" w:rsidP="002F6FA6">
      <w:pPr>
        <w:pStyle w:val="FootnoteText"/>
      </w:pPr>
      <w:r>
        <w:rPr>
          <w:rStyle w:val="FootnoteReference"/>
        </w:rPr>
        <w:footnoteRef/>
      </w:r>
      <w:r>
        <w:t xml:space="preserve"> </w:t>
      </w:r>
      <w:r>
        <w:tab/>
        <w:t>A 2014 decision by the Federal Energy Regulatory Commission (FERC) in the United States.</w:t>
      </w:r>
    </w:p>
  </w:footnote>
  <w:footnote w:id="351">
    <w:p w:rsidR="003F1AAB" w:rsidRDefault="003F1AAB" w:rsidP="002F6FA6">
      <w:pPr>
        <w:pStyle w:val="FootnoteText"/>
      </w:pPr>
      <w:r>
        <w:rPr>
          <w:rStyle w:val="FootnoteReference"/>
        </w:rPr>
        <w:footnoteRef/>
      </w:r>
      <w:r>
        <w:t xml:space="preserve"> </w:t>
      </w:r>
      <w:r>
        <w:tab/>
        <w:t xml:space="preserve">Frontier Economics, </w:t>
      </w:r>
      <w:r w:rsidRPr="00C31257">
        <w:rPr>
          <w:rStyle w:val="AERtextitalic"/>
        </w:rPr>
        <w:t>The relationship between government bond yields and the market risk premium</w:t>
      </w:r>
      <w:r>
        <w:t>, January 2016, pp. 21–25.</w:t>
      </w:r>
    </w:p>
  </w:footnote>
  <w:footnote w:id="352">
    <w:p w:rsidR="003F1AAB" w:rsidRDefault="003F1AAB" w:rsidP="002F6FA6">
      <w:pPr>
        <w:pStyle w:val="FootnoteText"/>
      </w:pPr>
      <w:r>
        <w:rPr>
          <w:rStyle w:val="FootnoteReference"/>
        </w:rPr>
        <w:footnoteRef/>
      </w:r>
      <w:r>
        <w:t xml:space="preserve"> </w:t>
      </w:r>
      <w:r>
        <w:tab/>
      </w:r>
      <w:r w:rsidRPr="00C36099">
        <w:t xml:space="preserve">CitiPower, </w:t>
      </w:r>
      <w:r w:rsidRPr="00C36099">
        <w:rPr>
          <w:rStyle w:val="Emphasis"/>
        </w:rPr>
        <w:t>Revised regulatory proposal 2016–2020</w:t>
      </w:r>
      <w:r w:rsidRPr="00C36099">
        <w:t xml:space="preserve">, January 2016, pp. 307, 316; Powercor, </w:t>
      </w:r>
      <w:r w:rsidRPr="00C36099">
        <w:rPr>
          <w:rStyle w:val="AERtextitalic"/>
        </w:rPr>
        <w:t>Revised regulatory proposal 2016–2020</w:t>
      </w:r>
      <w:r w:rsidRPr="00C36099">
        <w:t xml:space="preserve">, January  2016, pp. 301, 310; ActewAGL, </w:t>
      </w:r>
      <w:r w:rsidRPr="00C36099">
        <w:rPr>
          <w:rStyle w:val="Emphasis"/>
        </w:rPr>
        <w:t>Revised 2016–21 access ar</w:t>
      </w:r>
      <w:r>
        <w:rPr>
          <w:rStyle w:val="Emphasis"/>
        </w:rPr>
        <w:t>r</w:t>
      </w:r>
      <w:r w:rsidRPr="00C36099">
        <w:rPr>
          <w:rStyle w:val="Emphasis"/>
        </w:rPr>
        <w:t>angement proposal Response to the AER's draft decision, Appendix 5.01 Detailed response to rate of return, gamma and inflation</w:t>
      </w:r>
      <w:r w:rsidRPr="00C36099">
        <w:t xml:space="preserve">, January 2016, pp. 82–83; United Energy, </w:t>
      </w:r>
      <w:r w:rsidRPr="00C36099">
        <w:rPr>
          <w:rStyle w:val="Emphasis"/>
        </w:rPr>
        <w:t>Response to AER preliminary determination–Re: rate of return and gamma</w:t>
      </w:r>
      <w:r w:rsidRPr="00C36099">
        <w:t xml:space="preserve">, 6 January 2016, p. 60; AGN, </w:t>
      </w:r>
      <w:r w:rsidRPr="00C36099">
        <w:rPr>
          <w:rStyle w:val="Emphasis"/>
        </w:rPr>
        <w:t>2016–17 to 2020/21 Access Arrangement information response to draft decision: Attachment 10.26 Response to draft decision: rate of return</w:t>
      </w:r>
      <w:r w:rsidRPr="00C36099">
        <w:t xml:space="preserve">, January 2016, pp. 66 ; JEN (Vic), </w:t>
      </w:r>
      <w:r w:rsidRPr="00C36099">
        <w:rPr>
          <w:rStyle w:val="Emphasis"/>
        </w:rPr>
        <w:t>2016–20 Electricity distribution price review regulatory proposal revocation and substitution submission: Attachment 6–1 Rate of return, gamma, forecast inflation, and debt and equity raising costs,</w:t>
      </w:r>
      <w:r w:rsidRPr="00C36099">
        <w:t xml:space="preserve"> 6 January 2016, pp. 66–67;  AusNet Services, </w:t>
      </w:r>
      <w:r w:rsidRPr="00C36099">
        <w:rPr>
          <w:rStyle w:val="Emphasis"/>
        </w:rPr>
        <w:t>Electricity distribution price review 2016–20 R</w:t>
      </w:r>
      <w:r>
        <w:rPr>
          <w:rStyle w:val="Emphasis"/>
        </w:rPr>
        <w:t>evised regulatory proposal: Chap</w:t>
      </w:r>
      <w:r w:rsidRPr="00C36099">
        <w:rPr>
          <w:rStyle w:val="Emphasis"/>
        </w:rPr>
        <w:t>ter 7 Rate of return &amp; gamma</w:t>
      </w:r>
      <w:r w:rsidRPr="00C36099">
        <w:t xml:space="preserve">, 6 January 2016, pp. 59–60; APTNT, </w:t>
      </w:r>
      <w:r w:rsidRPr="00C36099">
        <w:rPr>
          <w:rStyle w:val="Emphasis"/>
        </w:rPr>
        <w:t>Amadeus Gas Pipeline Access arrangement revised proposal: response to Draft Decision,</w:t>
      </w:r>
      <w:r w:rsidRPr="00C36099">
        <w:t xml:space="preserve"> January 2016, pp. 66–68.</w:t>
      </w:r>
    </w:p>
  </w:footnote>
  <w:footnote w:id="353">
    <w:p w:rsidR="003F1AAB" w:rsidRDefault="003F1AAB" w:rsidP="002F6FA6">
      <w:pPr>
        <w:pStyle w:val="FootnoteText"/>
      </w:pPr>
      <w:r>
        <w:rPr>
          <w:rStyle w:val="FootnoteReference"/>
        </w:rPr>
        <w:footnoteRef/>
      </w:r>
      <w:r>
        <w:t xml:space="preserve"> </w:t>
      </w:r>
      <w:r>
        <w:tab/>
        <w:t xml:space="preserve">Frontier, </w:t>
      </w:r>
      <w:r w:rsidRPr="00074148">
        <w:rPr>
          <w:rStyle w:val="Emphasis"/>
        </w:rPr>
        <w:t>The relationship between government bond yields and the market risk premium</w:t>
      </w:r>
      <w:r>
        <w:t>, January 2016, p. 13.</w:t>
      </w:r>
    </w:p>
  </w:footnote>
  <w:footnote w:id="354">
    <w:p w:rsidR="003F1AAB" w:rsidRDefault="003F1AAB" w:rsidP="002F6FA6">
      <w:pPr>
        <w:pStyle w:val="FootnoteText"/>
        <w:ind w:left="0" w:firstLine="0"/>
      </w:pPr>
      <w:r>
        <w:rPr>
          <w:rStyle w:val="FootnoteReference"/>
        </w:rPr>
        <w:footnoteRef/>
      </w:r>
      <w:r>
        <w:t xml:space="preserve"> </w:t>
      </w:r>
      <w:r>
        <w:tab/>
        <w:t xml:space="preserve">Frontier, </w:t>
      </w:r>
      <w:r w:rsidRPr="00074148">
        <w:rPr>
          <w:rStyle w:val="Emphasis"/>
        </w:rPr>
        <w:t>The relationship between government bond yields and the market risk premium</w:t>
      </w:r>
      <w:r>
        <w:t>, January 2016, p. 14.</w:t>
      </w:r>
    </w:p>
  </w:footnote>
  <w:footnote w:id="355">
    <w:p w:rsidR="003F1AAB" w:rsidRDefault="003F1AAB" w:rsidP="002F6FA6">
      <w:pPr>
        <w:pStyle w:val="FootnoteText"/>
      </w:pPr>
      <w:r>
        <w:rPr>
          <w:rStyle w:val="FootnoteReference"/>
        </w:rPr>
        <w:footnoteRef/>
      </w:r>
      <w:r>
        <w:t xml:space="preserve"> </w:t>
      </w:r>
      <w:r>
        <w:tab/>
        <w:t xml:space="preserve">Frontier Economics, </w:t>
      </w:r>
      <w:r w:rsidRPr="005666A5">
        <w:rPr>
          <w:rStyle w:val="AERtextitalic"/>
        </w:rPr>
        <w:t>The relationship between government bond yields and the market risk premium</w:t>
      </w:r>
      <w:r>
        <w:t>, January 2016, pp. 13–14.</w:t>
      </w:r>
    </w:p>
  </w:footnote>
  <w:footnote w:id="356">
    <w:p w:rsidR="003F1AAB" w:rsidRDefault="003F1AAB" w:rsidP="002F6FA6">
      <w:pPr>
        <w:pStyle w:val="FootnoteText"/>
      </w:pPr>
      <w:r>
        <w:rPr>
          <w:rStyle w:val="FootnoteReference"/>
        </w:rPr>
        <w:footnoteRef/>
      </w:r>
      <w:r>
        <w:t xml:space="preserve"> </w:t>
      </w:r>
      <w:r>
        <w:tab/>
        <w:t>Lally found t</w:t>
      </w:r>
      <w:r w:rsidRPr="00970B88">
        <w:t>he standard deviation of</w:t>
      </w:r>
      <w:r>
        <w:t xml:space="preserve"> average real market returns is 1.5 per cent. The standard deviation for the average real government bond yield is 1.4 per cent. For the estimate MRP time series, it is 0.9 per cent.  These standard deviations imply </w:t>
      </w:r>
      <w:r w:rsidRPr="00970B88">
        <w:t xml:space="preserve">the average real market return is </w:t>
      </w:r>
      <w:r>
        <w:t xml:space="preserve">considerably more volatile than that for the </w:t>
      </w:r>
      <w:r w:rsidRPr="00970B88">
        <w:t>estimated MRP</w:t>
      </w:r>
      <w:r>
        <w:t xml:space="preserve">. </w:t>
      </w:r>
      <w:r w:rsidRPr="006E7953">
        <w:t xml:space="preserve">Lally, </w:t>
      </w:r>
      <w:r w:rsidRPr="00E34B12">
        <w:rPr>
          <w:rStyle w:val="AERtextitalic"/>
        </w:rPr>
        <w:t>Review of the AER’s methodology</w:t>
      </w:r>
      <w:r w:rsidRPr="006E7953">
        <w:t xml:space="preserve">, </w:t>
      </w:r>
      <w:r>
        <w:t>March</w:t>
      </w:r>
      <w:r w:rsidRPr="006E7953">
        <w:t xml:space="preserve"> 2013</w:t>
      </w:r>
      <w:r>
        <w:t>, pp. 12–16.</w:t>
      </w:r>
    </w:p>
  </w:footnote>
  <w:footnote w:id="357">
    <w:p w:rsidR="003F1AAB" w:rsidRDefault="003F1AAB" w:rsidP="002F6FA6">
      <w:pPr>
        <w:pStyle w:val="FootnoteText"/>
      </w:pPr>
      <w:r>
        <w:rPr>
          <w:rStyle w:val="FootnoteReference"/>
        </w:rPr>
        <w:footnoteRef/>
      </w:r>
      <w:r>
        <w:t xml:space="preserve"> </w:t>
      </w:r>
      <w:r>
        <w:tab/>
      </w:r>
      <w:r w:rsidRPr="0063511B">
        <w:t xml:space="preserve">McKinsey, </w:t>
      </w:r>
      <w:r w:rsidRPr="00074148">
        <w:rPr>
          <w:rStyle w:val="Emphasis"/>
        </w:rPr>
        <w:t>What effect has quantitative easing had on your share price</w:t>
      </w:r>
      <w:r w:rsidRPr="00D73AF9">
        <w:t>,</w:t>
      </w:r>
      <w:r>
        <w:t>2014, p. 17.</w:t>
      </w:r>
    </w:p>
  </w:footnote>
  <w:footnote w:id="358">
    <w:p w:rsidR="003F1AAB" w:rsidRDefault="003F1AAB" w:rsidP="002F6FA6">
      <w:pPr>
        <w:pStyle w:val="FootnoteText"/>
      </w:pPr>
      <w:r>
        <w:rPr>
          <w:rStyle w:val="FootnoteReference"/>
        </w:rPr>
        <w:footnoteRef/>
      </w:r>
      <w:r>
        <w:t xml:space="preserve"> </w:t>
      </w:r>
      <w:r>
        <w:tab/>
        <w:t xml:space="preserve">See section C.7.2 of Attachment 3 to our preliminary decision for </w:t>
      </w:r>
      <w:r w:rsidRPr="00897F23">
        <w:t>AusNet Services</w:t>
      </w:r>
      <w:r>
        <w:t>' 2016-20 distribution determination.</w:t>
      </w:r>
    </w:p>
  </w:footnote>
  <w:footnote w:id="359">
    <w:p w:rsidR="003F1AAB" w:rsidRDefault="003F1AAB" w:rsidP="002F6FA6">
      <w:pPr>
        <w:pStyle w:val="FootnoteText"/>
      </w:pPr>
      <w:r>
        <w:rPr>
          <w:rStyle w:val="FootnoteReference"/>
        </w:rPr>
        <w:footnoteRef/>
      </w:r>
      <w:r>
        <w:t xml:space="preserve"> </w:t>
      </w:r>
      <w:r>
        <w:tab/>
        <w:t xml:space="preserve">RBA, </w:t>
      </w:r>
      <w:r w:rsidRPr="00074148">
        <w:rPr>
          <w:rStyle w:val="Emphasis"/>
        </w:rPr>
        <w:t>Bulletin - Firms' investment decisions and interest rates</w:t>
      </w:r>
      <w:r>
        <w:t>, June quarter 2015.</w:t>
      </w:r>
    </w:p>
  </w:footnote>
  <w:footnote w:id="360">
    <w:p w:rsidR="003F1AAB" w:rsidRDefault="003F1AAB" w:rsidP="002F6FA6">
      <w:pPr>
        <w:pStyle w:val="FootnoteText"/>
      </w:pPr>
      <w:r>
        <w:rPr>
          <w:rStyle w:val="FootnoteReference"/>
        </w:rPr>
        <w:footnoteRef/>
      </w:r>
      <w:r>
        <w:t xml:space="preserve"> </w:t>
      </w:r>
      <w:r>
        <w:tab/>
        <w:t xml:space="preserve">McDonald, </w:t>
      </w:r>
      <w:r w:rsidRPr="00C766A5">
        <w:rPr>
          <w:rStyle w:val="AERtextitalic"/>
        </w:rPr>
        <w:t>Real options and rules of thumb in capital budgeting</w:t>
      </w:r>
      <w:r>
        <w:t>, Oxford University, 2000, p. 1.</w:t>
      </w:r>
    </w:p>
  </w:footnote>
  <w:footnote w:id="361">
    <w:p w:rsidR="003F1AAB" w:rsidRDefault="003F1AAB" w:rsidP="002F6FA6">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xml:space="preserve">, June 2015, p. 3; 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362">
    <w:p w:rsidR="003F1AAB" w:rsidRDefault="003F1AAB" w:rsidP="002F6FA6">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517.</w:t>
      </w:r>
    </w:p>
  </w:footnote>
  <w:footnote w:id="363">
    <w:p w:rsidR="003F1AAB" w:rsidRDefault="003F1AAB" w:rsidP="002F6FA6">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364">
    <w:p w:rsidR="003F1AAB" w:rsidRDefault="003F1AAB" w:rsidP="002F6FA6">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June 2015, p. 4.</w:t>
      </w:r>
    </w:p>
  </w:footnote>
  <w:footnote w:id="365">
    <w:p w:rsidR="003F1AAB" w:rsidRDefault="003F1AAB" w:rsidP="002F6FA6">
      <w:pPr>
        <w:pStyle w:val="FootnoteText"/>
      </w:pPr>
      <w:r>
        <w:rPr>
          <w:rStyle w:val="FootnoteReference"/>
        </w:rPr>
        <w:footnoteRef/>
      </w:r>
      <w:r>
        <w:t xml:space="preserve"> </w:t>
      </w:r>
      <w:r>
        <w:tab/>
        <w:t>Assuming rational, well-functioning markets.</w:t>
      </w:r>
    </w:p>
  </w:footnote>
  <w:footnote w:id="366">
    <w:p w:rsidR="003F1AAB" w:rsidRDefault="003F1AAB" w:rsidP="002F6FA6">
      <w:pPr>
        <w:pStyle w:val="FootnoteText"/>
      </w:pPr>
      <w:r>
        <w:rPr>
          <w:rStyle w:val="FootnoteReference"/>
        </w:rPr>
        <w:footnoteRef/>
      </w:r>
      <w:r>
        <w:t xml:space="preserve"> </w:t>
      </w:r>
      <w:r>
        <w:tab/>
        <w:t xml:space="preserve">Frontier Economics, </w:t>
      </w:r>
      <w:r w:rsidRPr="00074148">
        <w:rPr>
          <w:rStyle w:val="Emphasis"/>
        </w:rPr>
        <w:t>The relationship between government bond yields an</w:t>
      </w:r>
      <w:r>
        <w:rPr>
          <w:rStyle w:val="Emphasis"/>
        </w:rPr>
        <w:t>d</w:t>
      </w:r>
      <w:r w:rsidRPr="00074148">
        <w:rPr>
          <w:rStyle w:val="Emphasis"/>
        </w:rPr>
        <w:t xml:space="preserve"> the market risk premium</w:t>
      </w:r>
      <w:r>
        <w:t>, January 2016, p. 21.</w:t>
      </w:r>
    </w:p>
  </w:footnote>
  <w:footnote w:id="367">
    <w:p w:rsidR="003F1AAB" w:rsidRDefault="003F1AAB" w:rsidP="002F6FA6">
      <w:pPr>
        <w:pStyle w:val="FootnoteText"/>
      </w:pPr>
      <w:r>
        <w:rPr>
          <w:rStyle w:val="FootnoteReference"/>
        </w:rPr>
        <w:footnoteRef/>
      </w:r>
      <w:r>
        <w:t xml:space="preserve"> </w:t>
      </w:r>
      <w:r>
        <w:tab/>
        <w:t xml:space="preserve">JP Morgan, </w:t>
      </w:r>
      <w:r w:rsidRPr="00074148">
        <w:rPr>
          <w:rStyle w:val="Emphasis"/>
        </w:rPr>
        <w:t>Musings on low cost of debt and high risk premia</w:t>
      </w:r>
      <w:r w:rsidRPr="003B72AC">
        <w:t xml:space="preserve">, </w:t>
      </w:r>
      <w:r>
        <w:t>April 2012, p. 2.</w:t>
      </w:r>
    </w:p>
  </w:footnote>
  <w:footnote w:id="368">
    <w:p w:rsidR="003F1AAB" w:rsidRDefault="003F1AAB" w:rsidP="002F6FA6">
      <w:pPr>
        <w:pStyle w:val="FootnoteText"/>
      </w:pPr>
      <w:r>
        <w:rPr>
          <w:rStyle w:val="FootnoteReference"/>
        </w:rPr>
        <w:footnoteRef/>
      </w:r>
      <w:r>
        <w:t xml:space="preserve"> </w:t>
      </w:r>
      <w:r>
        <w:tab/>
      </w:r>
      <w:r w:rsidRPr="00C36099">
        <w:t xml:space="preserve">CitiPower, </w:t>
      </w:r>
      <w:r w:rsidRPr="00C36099">
        <w:rPr>
          <w:rStyle w:val="Emphasis"/>
        </w:rPr>
        <w:t>Revised regulatory proposal 2016–2020</w:t>
      </w:r>
      <w:r w:rsidRPr="00C36099">
        <w:t xml:space="preserve">, January 2016, pp. 307, 316; Powercor, </w:t>
      </w:r>
      <w:r w:rsidRPr="00C36099">
        <w:rPr>
          <w:rStyle w:val="AERtextitalic"/>
        </w:rPr>
        <w:t>Revised regulatory proposal 2016–2020</w:t>
      </w:r>
      <w:r w:rsidRPr="00C36099">
        <w:t xml:space="preserve">, January  2016, pp. 301, 310; ActewAGL, </w:t>
      </w:r>
      <w:r w:rsidRPr="00C36099">
        <w:rPr>
          <w:rStyle w:val="Emphasis"/>
        </w:rPr>
        <w:t>Revised 2016–21 access ar</w:t>
      </w:r>
      <w:r>
        <w:rPr>
          <w:rStyle w:val="Emphasis"/>
        </w:rPr>
        <w:t>r</w:t>
      </w:r>
      <w:r w:rsidRPr="00C36099">
        <w:rPr>
          <w:rStyle w:val="Emphasis"/>
        </w:rPr>
        <w:t>angement proposal Response to the AER's draft decision, Appendix 5.01 Detailed response to rate of return, gamma and inflation</w:t>
      </w:r>
      <w:r w:rsidRPr="00C36099">
        <w:t xml:space="preserve">, January 2016, pp. 73–74, 83–84; United Energy, </w:t>
      </w:r>
      <w:r w:rsidRPr="00C36099">
        <w:rPr>
          <w:rStyle w:val="Emphasis"/>
        </w:rPr>
        <w:t>Response to AER preliminary determination–Re: rate of return and gamma</w:t>
      </w:r>
      <w:r w:rsidRPr="00C36099">
        <w:t xml:space="preserve">, 6 January 2016, pp. 53–54,61–62; AGN, </w:t>
      </w:r>
      <w:r w:rsidRPr="00C36099">
        <w:rPr>
          <w:rStyle w:val="Emphasis"/>
        </w:rPr>
        <w:t>2016–17 to 2020/21 Access Arrangement information response to draft decision: Attachment 10.26 Response to draft decision: rate of return</w:t>
      </w:r>
      <w:r w:rsidRPr="00C36099">
        <w:t xml:space="preserve">, January 2016, pp. 67 ; JEN (Vic), </w:t>
      </w:r>
      <w:r w:rsidRPr="00C36099">
        <w:rPr>
          <w:rStyle w:val="Emphasis"/>
        </w:rPr>
        <w:t>2016–20 Electricity distribution price review regulatory proposal revocation and substitution submission: Attachment 6–1 Rate of return, gamma, forecast inflation, and debt and equity raising costs,</w:t>
      </w:r>
      <w:r w:rsidRPr="00C36099">
        <w:t xml:space="preserve"> 6 January 2016, pp. 58–59, 67–68; AusNet Services, </w:t>
      </w:r>
      <w:r w:rsidRPr="00C36099">
        <w:rPr>
          <w:rStyle w:val="Emphasis"/>
        </w:rPr>
        <w:t>Electricity distribution price review 2016–20 Re</w:t>
      </w:r>
      <w:r>
        <w:rPr>
          <w:rStyle w:val="Emphasis"/>
        </w:rPr>
        <w:t>vised regulatory proposal: Chap</w:t>
      </w:r>
      <w:r w:rsidRPr="00C36099">
        <w:rPr>
          <w:rStyle w:val="Emphasis"/>
        </w:rPr>
        <w:t>ter 7 Rate of return &amp; gamma</w:t>
      </w:r>
      <w:r w:rsidRPr="00C36099">
        <w:t>, 6 January 2016, pp. 53, 70–73.</w:t>
      </w:r>
    </w:p>
  </w:footnote>
  <w:footnote w:id="369">
    <w:p w:rsidR="003F1AAB" w:rsidRDefault="003F1AAB" w:rsidP="002F6FA6">
      <w:pPr>
        <w:pStyle w:val="FootnoteText"/>
      </w:pPr>
      <w:r>
        <w:rPr>
          <w:rStyle w:val="FootnoteReference"/>
        </w:rPr>
        <w:footnoteRef/>
      </w:r>
      <w:r>
        <w:t xml:space="preserve"> </w:t>
      </w:r>
      <w:r>
        <w:tab/>
        <w:t xml:space="preserve">HoustonKemp, </w:t>
      </w:r>
      <w:r w:rsidRPr="002F61BA">
        <w:rPr>
          <w:rStyle w:val="AERtextitalic"/>
        </w:rPr>
        <w:t>The cost of equity: Response to the AER's draft decisions for the Victorian electricity distributors, ActewAGL Distribution and Australian Gas Networks</w:t>
      </w:r>
      <w:r>
        <w:t xml:space="preserve">, January 2016, pp. xiii–xiv. </w:t>
      </w:r>
    </w:p>
  </w:footnote>
  <w:footnote w:id="370">
    <w:p w:rsidR="003F1AAB" w:rsidRDefault="003F1AAB" w:rsidP="002F6FA6">
      <w:pPr>
        <w:pStyle w:val="FootnoteText"/>
      </w:pPr>
      <w:r>
        <w:rPr>
          <w:rStyle w:val="FootnoteReference"/>
        </w:rPr>
        <w:footnoteRef/>
      </w:r>
      <w:r>
        <w:t xml:space="preserve"> </w:t>
      </w:r>
      <w:r>
        <w:tab/>
      </w:r>
      <w:r w:rsidRPr="005D746C">
        <w:t xml:space="preserve">Partington, </w:t>
      </w:r>
      <w:r w:rsidRPr="00DB1D18">
        <w:rPr>
          <w:rStyle w:val="AERtextitalic"/>
        </w:rPr>
        <w:t>Report to the AER: Return on equity (Updated)</w:t>
      </w:r>
      <w:r w:rsidRPr="005D746C">
        <w:t>, April 2015, p. 28</w:t>
      </w:r>
      <w:r>
        <w:t xml:space="preserve">; </w:t>
      </w:r>
      <w:r w:rsidRPr="005D746C">
        <w:t xml:space="preserve">Partington &amp; Satchell, </w:t>
      </w:r>
      <w:r w:rsidRPr="00DB1D18">
        <w:rPr>
          <w:rStyle w:val="AERtextitalic"/>
        </w:rPr>
        <w:t>Report to the AER: Analysis of criticism of 2015 determinations</w:t>
      </w:r>
      <w:r w:rsidRPr="005D746C">
        <w:t>, October 2015, p. 36.</w:t>
      </w:r>
    </w:p>
  </w:footnote>
  <w:footnote w:id="371">
    <w:p w:rsidR="003F1AAB" w:rsidRDefault="003F1AAB" w:rsidP="009E2035">
      <w:pPr>
        <w:pStyle w:val="FootnoteText"/>
      </w:pPr>
      <w:r>
        <w:rPr>
          <w:rStyle w:val="FootnoteReference"/>
        </w:rPr>
        <w:footnoteRef/>
      </w:r>
      <w:r>
        <w:t xml:space="preserve"> </w:t>
      </w:r>
      <w:r>
        <w:tab/>
        <w:t xml:space="preserve">AusNet Transmission Group Pty Ltd, </w:t>
      </w:r>
      <w:r w:rsidRPr="00DC0445">
        <w:rPr>
          <w:rStyle w:val="AERtextitalic"/>
        </w:rPr>
        <w:t xml:space="preserve">Transmission </w:t>
      </w:r>
      <w:r>
        <w:rPr>
          <w:rStyle w:val="AERtextitalic"/>
        </w:rPr>
        <w:t>review</w:t>
      </w:r>
      <w:r w:rsidRPr="00497017">
        <w:rPr>
          <w:rStyle w:val="AERtextitalic"/>
        </w:rPr>
        <w:t xml:space="preserve"> </w:t>
      </w:r>
      <w:r>
        <w:rPr>
          <w:rStyle w:val="AERtextitalic"/>
        </w:rPr>
        <w:t>revenue</w:t>
      </w:r>
      <w:r w:rsidRPr="00DC0445">
        <w:rPr>
          <w:rStyle w:val="AERtextitalic"/>
        </w:rPr>
        <w:t xml:space="preserve"> 2017–2022 regulatory proposal</w:t>
      </w:r>
      <w:r>
        <w:t>, 30 October 2015, p. 191.</w:t>
      </w:r>
    </w:p>
  </w:footnote>
  <w:footnote w:id="372">
    <w:p w:rsidR="003F1AAB" w:rsidRDefault="003F1AAB" w:rsidP="009E2035">
      <w:pPr>
        <w:pStyle w:val="FootnoteText"/>
      </w:pPr>
      <w:r>
        <w:rPr>
          <w:rStyle w:val="FootnoteReference"/>
        </w:rPr>
        <w:footnoteRef/>
      </w:r>
      <w:r>
        <w:t xml:space="preserve"> </w:t>
      </w:r>
      <w:r>
        <w:tab/>
        <w:t>For clarity, that is 100% of the base rate and DRP components of the allowed return on debt.</w:t>
      </w:r>
    </w:p>
  </w:footnote>
  <w:footnote w:id="373">
    <w:p w:rsidR="003F1AAB" w:rsidRDefault="003F1AAB" w:rsidP="009E2035">
      <w:pPr>
        <w:pStyle w:val="FootnoteText"/>
      </w:pPr>
      <w:r>
        <w:rPr>
          <w:rStyle w:val="FootnoteReference"/>
        </w:rPr>
        <w:footnoteRef/>
      </w:r>
      <w:r>
        <w:t xml:space="preserve"> </w:t>
      </w:r>
      <w:r>
        <w:tab/>
      </w:r>
      <w:r w:rsidRPr="0039163B">
        <w:t xml:space="preserve">AER, </w:t>
      </w:r>
      <w:r w:rsidRPr="0039163B">
        <w:rPr>
          <w:rStyle w:val="AERtextitalic"/>
        </w:rPr>
        <w:t>Better regulation—Rate of return guideline</w:t>
      </w:r>
      <w:r w:rsidRPr="0039163B">
        <w:t>, December 2013, chapters 3,</w:t>
      </w:r>
      <w:r>
        <w:t xml:space="preserve"> </w:t>
      </w:r>
      <w:r w:rsidRPr="0039163B">
        <w:t>6 and appendix B</w:t>
      </w:r>
      <w:r>
        <w:t>.</w:t>
      </w:r>
      <w:r w:rsidRPr="00753644">
        <w:t xml:space="preserve"> </w:t>
      </w:r>
      <w:r>
        <w:t xml:space="preserve">AusNet Transmission Group Pty Ltd, </w:t>
      </w:r>
      <w:r w:rsidRPr="00104805">
        <w:rPr>
          <w:rStyle w:val="AERtextitalic"/>
        </w:rPr>
        <w:t>Transmission Revenue Review 2017–2022 regulatory proposal</w:t>
      </w:r>
      <w:r>
        <w:t>, 30 October 2015, p. 269.</w:t>
      </w:r>
    </w:p>
  </w:footnote>
  <w:footnote w:id="374">
    <w:p w:rsidR="003F1AAB" w:rsidRDefault="003F1AAB" w:rsidP="009E2035">
      <w:pPr>
        <w:pStyle w:val="FootnoteText"/>
      </w:pPr>
      <w:r>
        <w:rPr>
          <w:rStyle w:val="FootnoteReference"/>
        </w:rPr>
        <w:footnoteRef/>
      </w:r>
      <w:r>
        <w:t xml:space="preserve"> </w:t>
      </w:r>
      <w:r>
        <w:tab/>
        <w:t xml:space="preserve">AusNet Transmission Group Pty Ltd, </w:t>
      </w:r>
      <w:r w:rsidRPr="00104805">
        <w:rPr>
          <w:rStyle w:val="AERtextitalic"/>
        </w:rPr>
        <w:t>Transmission Revenue Review 2017–2022 regulatory proposal</w:t>
      </w:r>
      <w:r>
        <w:t xml:space="preserve">, 30 October 2015, p. 269. Australian Competition Tribunal, </w:t>
      </w:r>
      <w:r w:rsidRPr="000756FD">
        <w:rPr>
          <w:rStyle w:val="AERtextitalic"/>
        </w:rPr>
        <w:t>Applications by Public Interest Advocacy Centre Ltd and Ausgrid [2016] ACompT 1</w:t>
      </w:r>
      <w:r>
        <w:t xml:space="preserve">, 26 February 2016, para 1,227. The Tribunal's reasons are set out in paras 870 to 940. Also see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80</w:t>
      </w:r>
      <w:r w:rsidRPr="006E296C">
        <w:t>–</w:t>
      </w:r>
      <w:r>
        <w:t>83.</w:t>
      </w:r>
    </w:p>
  </w:footnote>
  <w:footnote w:id="375">
    <w:p w:rsidR="003F1AAB" w:rsidRDefault="003F1AAB" w:rsidP="009E2035">
      <w:pPr>
        <w:pStyle w:val="FootnoteText"/>
      </w:pPr>
      <w:r>
        <w:rPr>
          <w:rStyle w:val="FootnoteReference"/>
        </w:rPr>
        <w:footnoteRef/>
      </w:r>
      <w:r>
        <w:t xml:space="preserve"> </w:t>
      </w:r>
      <w:r>
        <w:tab/>
        <w:t>See attachment 3 of our final decisions published in May 2016 for ActewAGL distribution (gas), AGN, APTNT, AusNet Services (distribution), CitiPower, Jemena Electricity Networks, Powercor, United Energy</w:t>
      </w:r>
      <w:r w:rsidRPr="0039163B">
        <w:t>.</w:t>
      </w:r>
    </w:p>
  </w:footnote>
  <w:footnote w:id="376">
    <w:p w:rsidR="003F1AAB" w:rsidRDefault="003F1AAB" w:rsidP="009E2035">
      <w:pPr>
        <w:pStyle w:val="FootnoteText"/>
      </w:pPr>
      <w:r>
        <w:rPr>
          <w:rStyle w:val="FootnoteReference"/>
        </w:rPr>
        <w:footnoteRef/>
      </w:r>
      <w:r>
        <w:t xml:space="preserve"> </w:t>
      </w:r>
      <w:r>
        <w:tab/>
        <w:t>S</w:t>
      </w:r>
      <w:r w:rsidRPr="00AE0473">
        <w:t>uch as our full transition</w:t>
      </w:r>
      <w:r>
        <w:t>.</w:t>
      </w:r>
    </w:p>
  </w:footnote>
  <w:footnote w:id="377">
    <w:p w:rsidR="003F1AAB" w:rsidRDefault="003F1AAB" w:rsidP="009E2035">
      <w:pPr>
        <w:pStyle w:val="FootnoteText"/>
      </w:pPr>
      <w:r>
        <w:rPr>
          <w:rStyle w:val="FootnoteReference"/>
        </w:rPr>
        <w:footnoteRef/>
      </w:r>
      <w:r>
        <w:t xml:space="preserve"> </w:t>
      </w:r>
      <w:r>
        <w:tab/>
        <w:t xml:space="preserve">Australian Competition Tribunal, </w:t>
      </w:r>
      <w:r w:rsidRPr="000756FD">
        <w:rPr>
          <w:rStyle w:val="AERtextitalic"/>
        </w:rPr>
        <w:t>Applications by Public Interest Advocacy Centre Ltd and Ausgrid [2016] ACompT 1</w:t>
      </w:r>
      <w:r>
        <w:t xml:space="preserve">, 26 February 2016, para 1,227. The Tribunal's reasons are set out in paras 870 to 940. Also see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80</w:t>
      </w:r>
      <w:r>
        <w:rPr>
          <w:rFonts w:cs="Arial"/>
        </w:rPr>
        <w:t>–</w:t>
      </w:r>
      <w:r>
        <w:t>83.</w:t>
      </w:r>
    </w:p>
  </w:footnote>
  <w:footnote w:id="378">
    <w:p w:rsidR="003F1AAB" w:rsidRDefault="003F1AAB" w:rsidP="009E2035">
      <w:pPr>
        <w:pStyle w:val="FootnoteText"/>
      </w:pPr>
      <w:r>
        <w:rPr>
          <w:rStyle w:val="FootnoteReference"/>
        </w:rPr>
        <w:footnoteRef/>
      </w:r>
      <w:r>
        <w:t xml:space="preserve"> </w:t>
      </w:r>
      <w:r>
        <w:tab/>
      </w:r>
      <w:r w:rsidRPr="00F4618D">
        <w:t xml:space="preserve">This approach is consistent with the approach we proposed in the Guideline, and have maintained in determination processes since the Guideline. In the Guideline, we based our transition on the approach recommended by the Queensland Treasury Corporation (QTC) (see QTC, </w:t>
      </w:r>
      <w:r w:rsidRPr="00F4618D">
        <w:rPr>
          <w:rStyle w:val="AERtextitalic"/>
        </w:rPr>
        <w:t>Moving average approach–Detailed design issues</w:t>
      </w:r>
      <w:r w:rsidRPr="00F4618D">
        <w:t>, 8 June 2012). We refer to this as 'the QTC approach'.</w:t>
      </w:r>
    </w:p>
  </w:footnote>
  <w:footnote w:id="379">
    <w:p w:rsidR="003F1AAB" w:rsidRDefault="003F1AAB" w:rsidP="009E2035">
      <w:pPr>
        <w:pStyle w:val="FootnoteText"/>
      </w:pPr>
      <w:r>
        <w:rPr>
          <w:rStyle w:val="FootnoteReference"/>
        </w:rPr>
        <w:footnoteRef/>
      </w:r>
      <w:r>
        <w:t xml:space="preserve"> </w:t>
      </w:r>
      <w:r>
        <w:tab/>
        <w:t>This decision determines the return on debt methodology for the 2017–22 regulatory control period. This period covers the first five years of the 10 year transition period. This decision also sets out our intended return on debt methodology for the remaining five years.</w:t>
      </w:r>
    </w:p>
  </w:footnote>
  <w:footnote w:id="380">
    <w:p w:rsidR="003F1AAB" w:rsidRDefault="003F1AAB" w:rsidP="009E2035">
      <w:pPr>
        <w:pStyle w:val="FootnoteText"/>
      </w:pPr>
      <w:r>
        <w:rPr>
          <w:rStyle w:val="FootnoteReference"/>
        </w:rPr>
        <w:footnoteRef/>
      </w:r>
      <w:r>
        <w:t xml:space="preserve"> </w:t>
      </w:r>
      <w:r>
        <w:tab/>
      </w:r>
      <w:r w:rsidRPr="000938BF">
        <w:t>NER cl. 6.5.2(l) and cl. 6A.6.2(l)</w:t>
      </w:r>
      <w:r>
        <w:t xml:space="preserve">and NGR, r.87(12). The return on debt methodology for the purposes of the annual update is set out in </w:t>
      </w:r>
      <w:r w:rsidRPr="00901515">
        <w:t>appendix</w:t>
      </w:r>
      <w:r>
        <w:rPr>
          <w:rStyle w:val="AERbody"/>
          <w:sz w:val="16"/>
        </w:rPr>
        <w:t xml:space="preserve"> </w:t>
      </w:r>
      <w:r>
        <w:rPr>
          <w:rStyle w:val="AERbody"/>
          <w:sz w:val="16"/>
        </w:rPr>
        <w:fldChar w:fldCharType="begin"/>
      </w:r>
      <w:r>
        <w:rPr>
          <w:rStyle w:val="AERbody"/>
          <w:sz w:val="16"/>
        </w:rPr>
        <w:instrText xml:space="preserve"> REF _Ref451268021 \r \h </w:instrText>
      </w:r>
      <w:r>
        <w:rPr>
          <w:rStyle w:val="AERbody"/>
          <w:sz w:val="16"/>
        </w:rPr>
      </w:r>
      <w:r>
        <w:rPr>
          <w:rStyle w:val="AERbody"/>
          <w:sz w:val="16"/>
        </w:rPr>
        <w:fldChar w:fldCharType="separate"/>
      </w:r>
      <w:r>
        <w:rPr>
          <w:rStyle w:val="AERbody"/>
          <w:sz w:val="16"/>
        </w:rPr>
        <w:t>A</w:t>
      </w:r>
      <w:r>
        <w:rPr>
          <w:rStyle w:val="AERbody"/>
          <w:sz w:val="16"/>
        </w:rPr>
        <w:fldChar w:fldCharType="end"/>
      </w:r>
      <w:r w:rsidRPr="009114E9">
        <w:rPr>
          <w:rStyle w:val="AERbody"/>
          <w:sz w:val="16"/>
        </w:rPr>
        <w:t xml:space="preserve"> </w:t>
      </w:r>
      <w:r>
        <w:t>of this attachment 3.</w:t>
      </w:r>
    </w:p>
  </w:footnote>
  <w:footnote w:id="381">
    <w:p w:rsidR="003F1AAB" w:rsidRDefault="003F1AAB" w:rsidP="009E2035">
      <w:pPr>
        <w:pStyle w:val="FootnoteText"/>
      </w:pPr>
      <w:r>
        <w:rPr>
          <w:rStyle w:val="FootnoteReference"/>
        </w:rPr>
        <w:footnoteRef/>
      </w:r>
      <w:r>
        <w:t xml:space="preserve"> </w:t>
      </w:r>
      <w:r>
        <w:tab/>
      </w:r>
      <w:r w:rsidRPr="00F21B32">
        <w:t xml:space="preserve">By </w:t>
      </w:r>
      <w:r>
        <w:t xml:space="preserve">appropriate </w:t>
      </w:r>
      <w:r w:rsidRPr="00F21B32">
        <w:t xml:space="preserve">compensation we mean that the ex-ante return should be commensurate with the expected return in the capital market for an investment </w:t>
      </w:r>
      <w:r>
        <w:t>with</w:t>
      </w:r>
      <w:r w:rsidRPr="00F21B32">
        <w:t xml:space="preserve"> a similar degree of risk as that of a benchmark efficient entity in the position of the </w:t>
      </w:r>
      <w:r>
        <w:t>service provider</w:t>
      </w:r>
      <w:r w:rsidRPr="00F21B32">
        <w:t xml:space="preserve"> supplying </w:t>
      </w:r>
      <w:r>
        <w:t>regulated</w:t>
      </w:r>
      <w:r w:rsidRPr="00F21B32">
        <w:t xml:space="preserve"> services</w:t>
      </w:r>
      <w:r>
        <w:t>.</w:t>
      </w:r>
    </w:p>
  </w:footnote>
  <w:footnote w:id="382">
    <w:p w:rsidR="003F1AAB" w:rsidRDefault="003F1AAB" w:rsidP="009E2035">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383">
    <w:p w:rsidR="003F1AAB" w:rsidRDefault="003F1AAB" w:rsidP="009E2035">
      <w:pPr>
        <w:pStyle w:val="FootnoteText"/>
      </w:pPr>
      <w:r>
        <w:rPr>
          <w:rStyle w:val="FootnoteReference"/>
        </w:rPr>
        <w:footnoteRef/>
      </w:r>
      <w:r>
        <w:t xml:space="preserve"> </w:t>
      </w:r>
      <w:r>
        <w:tab/>
        <w:t>For the RPPs see NEL, s. 7A; NGL, s. 24.</w:t>
      </w:r>
    </w:p>
  </w:footnote>
  <w:footnote w:id="384">
    <w:p w:rsidR="003F1AAB" w:rsidRPr="00B57A7C" w:rsidRDefault="003F1AAB" w:rsidP="009E2035">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385">
    <w:p w:rsidR="003F1AAB" w:rsidRDefault="003F1AAB" w:rsidP="009E2035">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rPr>
          <w:rStyle w:val="AERtextitalic"/>
        </w:rPr>
        <w:t xml:space="preserve"> (Appendices)</w:t>
      </w:r>
      <w:r>
        <w:t>, December 2013, p. 38.</w:t>
      </w:r>
    </w:p>
  </w:footnote>
  <w:footnote w:id="386">
    <w:p w:rsidR="003F1AAB" w:rsidRDefault="003F1AAB" w:rsidP="009E2035">
      <w:pPr>
        <w:pStyle w:val="FootnoteText"/>
      </w:pPr>
      <w:r>
        <w:rPr>
          <w:rStyle w:val="FootnoteReference"/>
        </w:rPr>
        <w:footnoteRef/>
      </w:r>
      <w:r>
        <w:t xml:space="preserve"> </w:t>
      </w:r>
      <w:r>
        <w:tab/>
      </w:r>
      <w:r w:rsidRPr="00A31070">
        <w:t xml:space="preserve">MEU, </w:t>
      </w:r>
      <w:r w:rsidRPr="005772E3">
        <w:rPr>
          <w:rStyle w:val="AERtextitalic"/>
        </w:rPr>
        <w:t>Submission to beta issues paper</w:t>
      </w:r>
      <w:r w:rsidRPr="00A31070">
        <w:t>, October 2013, p. 5</w:t>
      </w:r>
      <w:r>
        <w:t xml:space="preserve">; </w:t>
      </w:r>
      <w:r w:rsidRPr="00A31070">
        <w:t xml:space="preserve">PIAC, </w:t>
      </w:r>
      <w:r w:rsidRPr="005772E3">
        <w:rPr>
          <w:rStyle w:val="AERtextitalic"/>
        </w:rPr>
        <w:t>Submission to beta issues paper</w:t>
      </w:r>
      <w:r w:rsidRPr="00A31070">
        <w:t>, October 2013, pp. 6–7, 9–10.</w:t>
      </w:r>
    </w:p>
  </w:footnote>
  <w:footnote w:id="387">
    <w:p w:rsidR="003F1AAB" w:rsidRDefault="003F1AAB" w:rsidP="009E2035">
      <w:pPr>
        <w:pStyle w:val="FootnoteText"/>
      </w:pPr>
      <w:r>
        <w:rPr>
          <w:rStyle w:val="FootnoteReference"/>
        </w:rPr>
        <w:footnoteRef/>
      </w:r>
      <w:r>
        <w:t xml:space="preserve"> </w:t>
      </w:r>
      <w:r>
        <w:tab/>
      </w:r>
      <w:r w:rsidRPr="00A31070">
        <w:t xml:space="preserve">Frontier Economics, </w:t>
      </w:r>
      <w:r w:rsidRPr="005772E3">
        <w:rPr>
          <w:rStyle w:val="AERtextitalic"/>
        </w:rPr>
        <w:t>Assessing risk for regulated energy networks</w:t>
      </w:r>
      <w:r w:rsidRPr="00A31070">
        <w:t>, July 2013, p. 74.</w:t>
      </w:r>
    </w:p>
  </w:footnote>
  <w:footnote w:id="388">
    <w:p w:rsidR="003F1AAB" w:rsidRDefault="003F1AAB" w:rsidP="009E2035">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t>, December 2013, pp. 108</w:t>
      </w:r>
      <w:r>
        <w:rPr>
          <w:rFonts w:cs="Arial"/>
        </w:rPr>
        <w:t>–</w:t>
      </w:r>
      <w:r>
        <w:t>111.</w:t>
      </w:r>
    </w:p>
  </w:footnote>
  <w:footnote w:id="389">
    <w:p w:rsidR="003F1AAB" w:rsidRDefault="003F1AAB" w:rsidP="009E2035">
      <w:pPr>
        <w:pStyle w:val="FootnoteText"/>
      </w:pPr>
      <w:r>
        <w:rPr>
          <w:rStyle w:val="FootnoteReference"/>
        </w:rPr>
        <w:footnoteRef/>
      </w:r>
      <w:r>
        <w:t xml:space="preserve"> </w:t>
      </w:r>
      <w:r>
        <w:tab/>
        <w:t>Only a full transition is revenue neutral</w:t>
      </w:r>
      <w:r w:rsidRPr="00E14029">
        <w:t xml:space="preserve"> </w:t>
      </w:r>
      <w:r>
        <w:t xml:space="preserve">of the different transition paths before us. However, there are other possible revenue paths that are revenue neutral (in a present value sense) from the change in methodology. For example, this could include a lump sum transfer (see Appendix </w:t>
      </w:r>
      <w:r>
        <w:fldChar w:fldCharType="begin"/>
      </w:r>
      <w:r>
        <w:instrText xml:space="preserve"> REF _Ref451268035 \r \h </w:instrText>
      </w:r>
      <w:r>
        <w:fldChar w:fldCharType="separate"/>
      </w:r>
      <w:r>
        <w:t>A</w:t>
      </w:r>
      <w:r>
        <w:fldChar w:fldCharType="end"/>
      </w:r>
      <w:r>
        <w:t xml:space="preserve">). </w:t>
      </w:r>
    </w:p>
  </w:footnote>
  <w:footnote w:id="390">
    <w:p w:rsidR="003F1AAB" w:rsidRDefault="003F1AAB" w:rsidP="009E2035">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391">
    <w:p w:rsidR="003F1AAB" w:rsidRDefault="003F1AAB" w:rsidP="009E2035">
      <w:pPr>
        <w:pStyle w:val="FootnoteText"/>
      </w:pPr>
      <w:r>
        <w:rPr>
          <w:rStyle w:val="FootnoteReference"/>
        </w:rPr>
        <w:footnoteRef/>
      </w:r>
      <w:r>
        <w:t xml:space="preserve"> </w:t>
      </w:r>
      <w:r>
        <w:tab/>
        <w:t xml:space="preserve">SFG, </w:t>
      </w:r>
      <w:r w:rsidRPr="002F34FF">
        <w:t xml:space="preserve">Rule change proposals relating to the debt component of the regulatory rate of </w:t>
      </w:r>
      <w:r w:rsidRPr="006441AF">
        <w:t>return</w:t>
      </w:r>
      <w:r>
        <w:t xml:space="preserve">, </w:t>
      </w:r>
      <w:r w:rsidRPr="006441AF">
        <w:t>August</w:t>
      </w:r>
      <w:r>
        <w:t xml:space="preserve"> 2012, p. 46.</w:t>
      </w:r>
    </w:p>
  </w:footnote>
  <w:footnote w:id="392">
    <w:p w:rsidR="003F1AAB" w:rsidRDefault="003F1AAB" w:rsidP="009E2035">
      <w:pPr>
        <w:pStyle w:val="FootnoteText"/>
      </w:pPr>
      <w:r>
        <w:rPr>
          <w:rStyle w:val="FootnoteReference"/>
        </w:rPr>
        <w:footnoteRef/>
      </w:r>
      <w:r>
        <w:t xml:space="preserve"> </w:t>
      </w:r>
      <w:r>
        <w:tab/>
        <w:t xml:space="preserve">NER, cl.  </w:t>
      </w:r>
      <w:r w:rsidRPr="00F21B32">
        <w:t>6.5.3(k)(4)</w:t>
      </w:r>
      <w:r>
        <w:t>, states '</w:t>
      </w:r>
      <w:r w:rsidRPr="004871A6">
        <w:t>(k) In estimating the return on debt under paragraph (h), regard must be had to the following factors…</w:t>
      </w:r>
      <w:r>
        <w:t xml:space="preserve"> (4) </w:t>
      </w:r>
      <w:r w:rsidRPr="004871A6">
        <w:t>any impacts (including in relation to the costs of servicing debt across regulatory control periods) on a benchmark efficient entity referred to in the allowed rate of return objective that could arise as a result of changing the methodology that is used to estimate the return on debt from one regulatory control period to the next.</w:t>
      </w:r>
      <w:r>
        <w:t xml:space="preserve"> Also see NER, cl. 6A.6.2 (k) (4); NGR, cl. 87(12) (d).</w:t>
      </w:r>
    </w:p>
  </w:footnote>
  <w:footnote w:id="393">
    <w:p w:rsidR="003F1AAB" w:rsidRDefault="003F1AAB" w:rsidP="009E2035">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 ember 2012, p. 85.</w:t>
      </w:r>
    </w:p>
  </w:footnote>
  <w:footnote w:id="394">
    <w:p w:rsidR="003F1AAB" w:rsidRDefault="003F1AAB" w:rsidP="009E2035">
      <w:pPr>
        <w:pStyle w:val="FootnoteText"/>
      </w:pPr>
      <w:r>
        <w:rPr>
          <w:rStyle w:val="FootnoteReference"/>
        </w:rPr>
        <w:footnoteRef/>
      </w:r>
      <w:r>
        <w:t xml:space="preserve"> </w:t>
      </w:r>
      <w:r>
        <w:tab/>
        <w:t>As required under NER, cl. 5.5.2(h); NER, cl. 6A.6.2(h); NGR, cl. 87(8).</w:t>
      </w:r>
    </w:p>
  </w:footnote>
  <w:footnote w:id="395">
    <w:p w:rsidR="003F1AAB" w:rsidRDefault="003F1AAB" w:rsidP="009E2035">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396">
    <w:p w:rsidR="003F1AAB" w:rsidRDefault="003F1AAB" w:rsidP="009E2035">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397">
    <w:p w:rsidR="003F1AAB" w:rsidRDefault="003F1AAB" w:rsidP="009E2035">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pp. 427, 434.</w:t>
      </w:r>
    </w:p>
  </w:footnote>
  <w:footnote w:id="398">
    <w:p w:rsidR="003F1AAB" w:rsidRDefault="003F1AAB" w:rsidP="009E2035">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399">
    <w:p w:rsidR="003F1AAB" w:rsidRDefault="003F1AAB" w:rsidP="009E2035">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400">
    <w:p w:rsidR="003F1AAB" w:rsidRDefault="003F1AAB" w:rsidP="009E2035">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401">
    <w:p w:rsidR="003F1AAB" w:rsidRDefault="003F1AAB" w:rsidP="009E2035">
      <w:pPr>
        <w:pStyle w:val="FootnoteText"/>
      </w:pPr>
      <w:r>
        <w:rPr>
          <w:rStyle w:val="FootnoteReference"/>
        </w:rPr>
        <w:footnoteRef/>
      </w:r>
      <w:r>
        <w:t xml:space="preserve"> </w:t>
      </w:r>
      <w:r>
        <w:tab/>
        <w:t>Proposed as a first preference in revised proposals from ActewAGL, AGN, APTNT, AusNet Services, CitiPower, JEN, Powercor, and United Energy.</w:t>
      </w:r>
    </w:p>
  </w:footnote>
  <w:footnote w:id="402">
    <w:p w:rsidR="003F1AAB" w:rsidRDefault="003F1AAB" w:rsidP="009E2035">
      <w:pPr>
        <w:pStyle w:val="FootnoteText"/>
      </w:pPr>
      <w:r>
        <w:rPr>
          <w:rStyle w:val="FootnoteReference"/>
        </w:rPr>
        <w:footnoteRef/>
      </w:r>
      <w:r>
        <w:t xml:space="preserve"> </w:t>
      </w:r>
      <w:r>
        <w:tab/>
        <w:t>Proposed in initial proposals from ActewAGL, AGN, AusNet Services, CitiPower, JEN, Powercor and United Energy. AGN also proposed this as a third preference in its revised proposal.</w:t>
      </w:r>
    </w:p>
  </w:footnote>
  <w:footnote w:id="403">
    <w:p w:rsidR="003F1AAB" w:rsidRDefault="003F1AAB" w:rsidP="009E2035">
      <w:pPr>
        <w:pStyle w:val="FootnoteText"/>
      </w:pPr>
      <w:r>
        <w:rPr>
          <w:rStyle w:val="FootnoteReference"/>
        </w:rPr>
        <w:footnoteRef/>
      </w:r>
      <w:r>
        <w:t xml:space="preserve"> </w:t>
      </w:r>
      <w:r>
        <w:tab/>
        <w:t>Proposed as a second preference in revised proposals from ActewAGL, AGN, AusNet Services distribution, CitiPower, JEN, Powercor and United Energy. APTNT proposed this in its initial proposal.</w:t>
      </w:r>
      <w:r w:rsidRPr="005D4B19">
        <w:t xml:space="preserve"> </w:t>
      </w:r>
    </w:p>
  </w:footnote>
  <w:footnote w:id="404">
    <w:p w:rsidR="003F1AAB" w:rsidRDefault="003F1AAB" w:rsidP="009E2035">
      <w:pPr>
        <w:pStyle w:val="FootnoteText"/>
      </w:pPr>
      <w:r>
        <w:rPr>
          <w:rStyle w:val="FootnoteReference"/>
        </w:rPr>
        <w:footnoteRef/>
      </w:r>
      <w:r>
        <w:t xml:space="preserve"> </w:t>
      </w:r>
      <w:r>
        <w:tab/>
        <w:t xml:space="preserve">See HoustonKemp, </w:t>
      </w:r>
      <w:r w:rsidRPr="006C2193">
        <w:rPr>
          <w:rStyle w:val="AERtextitalic"/>
        </w:rPr>
        <w:t>Appropriate objective to guide the setting of the cost of debt allowance</w:t>
      </w:r>
      <w:r>
        <w:t xml:space="preserve">, 3 March 2015, p. 5; Expert Panel on Energy Access Pricing, </w:t>
      </w:r>
      <w:r w:rsidRPr="0070748E">
        <w:rPr>
          <w:rStyle w:val="AERtextitalic"/>
        </w:rPr>
        <w:t>Report to the M</w:t>
      </w:r>
      <w:r>
        <w:rPr>
          <w:rStyle w:val="AERtextitalic"/>
        </w:rPr>
        <w:t>inisterial Council on Energy</w:t>
      </w:r>
      <w:r>
        <w:t>, April 2006, p. 59.</w:t>
      </w:r>
    </w:p>
  </w:footnote>
  <w:footnote w:id="405">
    <w:p w:rsidR="003F1AAB" w:rsidRDefault="003F1AAB" w:rsidP="009E2035">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406">
    <w:p w:rsidR="003F1AAB" w:rsidRDefault="003F1AAB" w:rsidP="009E2035">
      <w:pPr>
        <w:pStyle w:val="FootnoteText"/>
      </w:pPr>
      <w:r>
        <w:rPr>
          <w:rStyle w:val="FootnoteReference"/>
        </w:rPr>
        <w:footnoteRef/>
      </w:r>
      <w:r>
        <w:t xml:space="preserve"> </w:t>
      </w:r>
      <w:r>
        <w:tab/>
        <w:t>The RPPs require we have regard to this effect on incentives. See NEL, s. 7A(3)(b); NGL, s. 24(3)(b).</w:t>
      </w:r>
    </w:p>
  </w:footnote>
  <w:footnote w:id="407">
    <w:p w:rsidR="003F1AAB" w:rsidRDefault="003F1AAB" w:rsidP="009E2035">
      <w:pPr>
        <w:pStyle w:val="FootnoteText"/>
      </w:pPr>
      <w:r>
        <w:rPr>
          <w:rStyle w:val="FootnoteReference"/>
        </w:rPr>
        <w:footnoteRef/>
      </w:r>
      <w:r>
        <w:t xml:space="preserve"> </w:t>
      </w:r>
      <w:r>
        <w:tab/>
        <w:t xml:space="preserve">Lally, </w:t>
      </w:r>
      <w:r w:rsidRPr="006C2193">
        <w:rPr>
          <w:rStyle w:val="AERtextitalic"/>
        </w:rPr>
        <w:t>Review of submissions on the cost of debt</w:t>
      </w:r>
      <w:r>
        <w:t>, 21 April 2015, p. 25.</w:t>
      </w:r>
    </w:p>
  </w:footnote>
  <w:footnote w:id="408">
    <w:p w:rsidR="003F1AAB" w:rsidRDefault="003F1AAB" w:rsidP="009E2035">
      <w:pPr>
        <w:pStyle w:val="FootnoteText"/>
      </w:pPr>
      <w:r>
        <w:rPr>
          <w:rStyle w:val="FootnoteReference"/>
        </w:rPr>
        <w:footnoteRef/>
      </w:r>
      <w:r>
        <w:t xml:space="preserve"> </w:t>
      </w:r>
      <w:r>
        <w:tab/>
        <w:t xml:space="preserve">We have used the on-the-day approach to estimate the return on debt since 1998 where we interpreted our task as requiring us to derive a rate of return that was as up to date as possible at the time the access arrangement came into effect. See ACCC, </w:t>
      </w:r>
      <w:r w:rsidRPr="001C73AF">
        <w:rPr>
          <w:rStyle w:val="AERtextitalic"/>
        </w:rPr>
        <w:t>Victorian Gas Transmission Access Arrangements Final Decision</w:t>
      </w:r>
      <w:r>
        <w:t>, 6 October 1998, p. 49.</w:t>
      </w:r>
    </w:p>
  </w:footnote>
  <w:footnote w:id="409">
    <w:p w:rsidR="003F1AAB" w:rsidRDefault="003F1AAB" w:rsidP="009E2035">
      <w:pPr>
        <w:pStyle w:val="FootnoteText"/>
      </w:pPr>
      <w:r>
        <w:rPr>
          <w:rStyle w:val="FootnoteReference"/>
        </w:rPr>
        <w:footnoteRef/>
      </w:r>
      <w:r>
        <w:t xml:space="preserve"> </w:t>
      </w:r>
      <w:r>
        <w:tab/>
        <w:t>In particular, to the extent that the financial risks (including interest rate risk) arising from the on-the-day approach are systematic, they would be priced into investors' required return on equity. This would be compensated for in our equity beta estimate, which is calculated based on historical returns.</w:t>
      </w:r>
    </w:p>
  </w:footnote>
  <w:footnote w:id="410">
    <w:p w:rsidR="003F1AAB" w:rsidRDefault="003F1AAB" w:rsidP="009E2035">
      <w:pPr>
        <w:pStyle w:val="FootnoteText"/>
      </w:pPr>
      <w:r>
        <w:rPr>
          <w:rStyle w:val="FootnoteReference"/>
        </w:rPr>
        <w:footnoteRef/>
      </w:r>
      <w:r>
        <w:t xml:space="preserve"> </w:t>
      </w:r>
      <w:r>
        <w:tab/>
        <w:t xml:space="preserve">APA Group, </w:t>
      </w:r>
      <w:r w:rsidRPr="00EB2DC2">
        <w:rPr>
          <w:rStyle w:val="AERtextitalic"/>
        </w:rPr>
        <w:t>Annual report 2015</w:t>
      </w:r>
      <w:r>
        <w:t xml:space="preserve">, p. 14; DUET Group, </w:t>
      </w:r>
      <w:r w:rsidRPr="00125E39">
        <w:rPr>
          <w:rStyle w:val="AERtextitalic"/>
        </w:rPr>
        <w:t>Financial report for year ended 30 June 2015</w:t>
      </w:r>
      <w:r>
        <w:t xml:space="preserve"> , p. 61; Envestra Ltd, </w:t>
      </w:r>
      <w:r w:rsidRPr="008410DE">
        <w:rPr>
          <w:rStyle w:val="AERtextitalic"/>
        </w:rPr>
        <w:t>Directors' and financial report</w:t>
      </w:r>
      <w:r>
        <w:t xml:space="preserve">, 30 June 2014, p. 27; Spark Infrastructure, </w:t>
      </w:r>
      <w:r w:rsidRPr="00EB2DC2">
        <w:rPr>
          <w:rStyle w:val="AERtextitalic"/>
        </w:rPr>
        <w:t>Annual report 2012</w:t>
      </w:r>
      <w:r>
        <w:t xml:space="preserve">, p. 16; SP AusNet, </w:t>
      </w:r>
      <w:r w:rsidRPr="00012C61">
        <w:rPr>
          <w:rStyle w:val="AERtextitalic"/>
        </w:rPr>
        <w:t>Business review 2014: SP AusNet Distribution financial report</w:t>
      </w:r>
      <w:r>
        <w:t xml:space="preserve">, Note 19, p. 11. Spark Infrastructure cancelled its interest rate swaps in 2013. See Spark Infrastructure, </w:t>
      </w:r>
      <w:r w:rsidRPr="00BA1680">
        <w:rPr>
          <w:rStyle w:val="AERtextitalic"/>
        </w:rPr>
        <w:t>Annual Report 2013</w:t>
      </w:r>
      <w:r>
        <w:t>, p. 16.</w:t>
      </w:r>
    </w:p>
  </w:footnote>
  <w:footnote w:id="411">
    <w:p w:rsidR="003F1AAB" w:rsidRDefault="003F1AAB" w:rsidP="009E2035">
      <w:pPr>
        <w:pStyle w:val="FootnoteText"/>
      </w:pPr>
      <w:r>
        <w:rPr>
          <w:rStyle w:val="FootnoteReference"/>
        </w:rPr>
        <w:footnoteRef/>
      </w:r>
      <w:r>
        <w:t xml:space="preserve"> </w:t>
      </w:r>
      <w:r>
        <w:tab/>
        <w:t xml:space="preserve">For example, see AER, </w:t>
      </w:r>
      <w:r w:rsidRPr="00D1603D">
        <w:rPr>
          <w:rStyle w:val="AERtextitalic"/>
        </w:rPr>
        <w:t>Preliminary decision―CitiPower determination, Attachment 3: Rate of return</w:t>
      </w:r>
      <w:r>
        <w:t>, October 2015, pp. 190</w:t>
      </w:r>
      <w:r>
        <w:rPr>
          <w:rFonts w:cs="Arial"/>
        </w:rPr>
        <w:t>–</w:t>
      </w:r>
      <w:r>
        <w:t xml:space="preserve">2. Also see AER, </w:t>
      </w:r>
      <w:r w:rsidRPr="00D1603D">
        <w:rPr>
          <w:rStyle w:val="AERtextitalic"/>
        </w:rPr>
        <w:t>Explanatory statement to the rate of return guideline</w:t>
      </w:r>
      <w:r>
        <w:t xml:space="preserve">, December 2013, p. 166. </w:t>
      </w:r>
    </w:p>
  </w:footnote>
  <w:footnote w:id="412">
    <w:p w:rsidR="003F1AAB" w:rsidRDefault="003F1AAB" w:rsidP="009E2035">
      <w:pPr>
        <w:pStyle w:val="FootnoteText"/>
      </w:pPr>
      <w:r>
        <w:rPr>
          <w:rStyle w:val="FootnoteReference"/>
        </w:rPr>
        <w:footnoteRef/>
      </w:r>
      <w:r>
        <w:t xml:space="preserve"> </w:t>
      </w:r>
      <w:r>
        <w:tab/>
      </w:r>
      <w:r w:rsidRPr="00586A00">
        <w:t xml:space="preserve">Lally, M., </w:t>
      </w:r>
      <w:r w:rsidRPr="00586A00">
        <w:rPr>
          <w:rStyle w:val="AERtextitalic"/>
        </w:rPr>
        <w:t>Expert Report of Martin Thomas Lally</w:t>
      </w:r>
      <w:r>
        <w:t>, 13 February 2011, pp. 9</w:t>
      </w:r>
      <w:r>
        <w:rPr>
          <w:rFonts w:cs="Arial"/>
        </w:rPr>
        <w:t>–</w:t>
      </w:r>
      <w:r w:rsidRPr="00586A00">
        <w:t xml:space="preserve">10. </w:t>
      </w:r>
    </w:p>
  </w:footnote>
  <w:footnote w:id="413">
    <w:p w:rsidR="003F1AAB" w:rsidRDefault="003F1AAB" w:rsidP="009E2035">
      <w:pPr>
        <w:pStyle w:val="FootnoteText"/>
      </w:pPr>
      <w:r>
        <w:rPr>
          <w:rStyle w:val="FootnoteReference"/>
        </w:rPr>
        <w:footnoteRef/>
      </w:r>
      <w:r>
        <w:t xml:space="preserve"> </w:t>
      </w:r>
      <w:r>
        <w:tab/>
        <w:t xml:space="preserve">QTC, </w:t>
      </w:r>
      <w:r w:rsidRPr="00B306E9">
        <w:rPr>
          <w:rStyle w:val="AERtextitalic"/>
        </w:rPr>
        <w:t>Moving average approach–Detailed design issues</w:t>
      </w:r>
      <w:r>
        <w:t>, 8 June 2012.</w:t>
      </w:r>
    </w:p>
  </w:footnote>
  <w:footnote w:id="414">
    <w:p w:rsidR="003F1AAB" w:rsidRDefault="003F1AAB" w:rsidP="009E2035">
      <w:pPr>
        <w:pStyle w:val="FootnoteText"/>
      </w:pPr>
      <w:r>
        <w:rPr>
          <w:rStyle w:val="FootnoteReference"/>
        </w:rPr>
        <w:footnoteRef/>
      </w:r>
      <w:r>
        <w:t xml:space="preserve"> </w:t>
      </w:r>
      <w:r>
        <w:tab/>
        <w:t xml:space="preserve">For example, see AER, </w:t>
      </w:r>
      <w:r w:rsidRPr="00D1603D">
        <w:rPr>
          <w:rStyle w:val="AERtextitalic"/>
        </w:rPr>
        <w:t>Preliminary decision―</w:t>
      </w:r>
      <w:r>
        <w:rPr>
          <w:rStyle w:val="AERtextitalic"/>
        </w:rPr>
        <w:t xml:space="preserve">AusNet Services </w:t>
      </w:r>
      <w:r w:rsidRPr="00D1603D">
        <w:rPr>
          <w:rStyle w:val="AERtextitalic"/>
        </w:rPr>
        <w:t>determination, Attachment 3: Rate of return</w:t>
      </w:r>
      <w:r>
        <w:t>, October 2015, pp. 196</w:t>
      </w:r>
      <w:r w:rsidRPr="00D1603D">
        <w:t>–</w:t>
      </w:r>
      <w:r>
        <w:t xml:space="preserve">9; AER, </w:t>
      </w:r>
      <w:r w:rsidRPr="00DC0445">
        <w:rPr>
          <w:rStyle w:val="AERtextitalic"/>
        </w:rPr>
        <w:t>final decision-AusNet Services distribution determination 2016 to 2020, Attachment 3: Rate of return</w:t>
      </w:r>
      <w:r>
        <w:t xml:space="preserve">, May 2016, p. 106 . Also see AER, </w:t>
      </w:r>
      <w:r w:rsidRPr="00D1603D">
        <w:rPr>
          <w:rStyle w:val="AERtextitalic"/>
        </w:rPr>
        <w:t>Explanatory statement to the rate of return guideline</w:t>
      </w:r>
      <w:r>
        <w:t>, December 2013, pp. 166</w:t>
      </w:r>
      <w:r>
        <w:rPr>
          <w:rFonts w:cs="Arial"/>
        </w:rPr>
        <w:t>–16</w:t>
      </w:r>
      <w:r>
        <w:t>7.</w:t>
      </w:r>
    </w:p>
  </w:footnote>
  <w:footnote w:id="415">
    <w:p w:rsidR="003F1AAB" w:rsidRDefault="003F1AAB" w:rsidP="009E2035">
      <w:pPr>
        <w:pStyle w:val="FootnoteText"/>
      </w:pPr>
      <w:r>
        <w:rPr>
          <w:rStyle w:val="FootnoteReference"/>
        </w:rPr>
        <w:footnoteRef/>
      </w:r>
      <w:r>
        <w:t xml:space="preserve"> </w:t>
      </w:r>
      <w:r>
        <w:tab/>
      </w:r>
      <w:r w:rsidRPr="00756A0D">
        <w:t>No third party data series is available for the full 10 year historical period, meaning a mixture of data series for different time periods would be required. The RBA and Bloomberg (BVAL) data series commenced in January 2005 and April 2010 respectively.</w:t>
      </w:r>
      <w:r>
        <w:t xml:space="preserve"> The</w:t>
      </w:r>
      <w:r w:rsidRPr="00756A0D">
        <w:t xml:space="preserve"> Commonwealth Bank of Australia</w:t>
      </w:r>
      <w:r>
        <w:t xml:space="preserve"> </w:t>
      </w:r>
      <w:r w:rsidRPr="00756A0D">
        <w:t>Spectrum and Bloomberg fair value curve data series ceased publication in August 2010 and May 2014 respective</w:t>
      </w:r>
      <w:r>
        <w:t>ly.</w:t>
      </w:r>
    </w:p>
  </w:footnote>
  <w:footnote w:id="416">
    <w:p w:rsidR="003F1AAB" w:rsidRDefault="003F1AAB" w:rsidP="009E2035">
      <w:pPr>
        <w:pStyle w:val="FootnoteText"/>
      </w:pPr>
      <w:r>
        <w:rPr>
          <w:rStyle w:val="FootnoteReference"/>
        </w:rPr>
        <w:footnoteRef/>
      </w:r>
      <w:r>
        <w:t xml:space="preserve"> </w:t>
      </w:r>
      <w:r>
        <w:tab/>
      </w:r>
      <w:r w:rsidRPr="00756A0D">
        <w:t xml:space="preserve">Lally, M, </w:t>
      </w:r>
      <w:r w:rsidRPr="005772E3">
        <w:rPr>
          <w:rStyle w:val="AERtextitalic"/>
        </w:rPr>
        <w:t>Transitional arrangements for the cost of debt</w:t>
      </w:r>
      <w:r w:rsidRPr="00756A0D">
        <w:t>, November 2014, p. 15.</w:t>
      </w:r>
    </w:p>
  </w:footnote>
  <w:footnote w:id="417">
    <w:p w:rsidR="003F1AAB" w:rsidRDefault="003F1AAB" w:rsidP="009E2035">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 21; </w:t>
      </w:r>
      <w:r w:rsidRPr="002C1145">
        <w:t xml:space="preserve">AusNet Transmission Group Pty Ltd, </w:t>
      </w:r>
      <w:r w:rsidRPr="00DC0445">
        <w:rPr>
          <w:i/>
        </w:rPr>
        <w:t>Transmission Revenue Review 2017–2022 regulatory proposal</w:t>
      </w:r>
      <w:r w:rsidRPr="002C1145">
        <w:t>, 30 October 2015</w:t>
      </w:r>
      <w:r>
        <w:t>, p. 131.</w:t>
      </w:r>
    </w:p>
  </w:footnote>
  <w:footnote w:id="418">
    <w:p w:rsidR="003F1AAB" w:rsidRDefault="003F1AAB" w:rsidP="009E2035">
      <w:pPr>
        <w:pStyle w:val="FootnoteText"/>
      </w:pPr>
      <w:r>
        <w:rPr>
          <w:rStyle w:val="FootnoteReference"/>
        </w:rPr>
        <w:footnoteRef/>
      </w:r>
      <w:r>
        <w:t xml:space="preserve"> </w:t>
      </w:r>
      <w:r>
        <w:tab/>
        <w:t xml:space="preserve">For example, see AER, </w:t>
      </w:r>
      <w:r>
        <w:rPr>
          <w:rStyle w:val="AERtextitalic"/>
        </w:rPr>
        <w:t xml:space="preserve">preliminary </w:t>
      </w:r>
      <w:r w:rsidRPr="005C6992">
        <w:rPr>
          <w:rStyle w:val="AERtextitalic"/>
        </w:rPr>
        <w:t>decision-AusNet Services distribution determination 2016 to 2020, Attachment 3: Rate of return</w:t>
      </w:r>
      <w:r>
        <w:t xml:space="preserve">, October 2015, p. 11; AER, </w:t>
      </w:r>
      <w:r w:rsidRPr="005C6992">
        <w:rPr>
          <w:rStyle w:val="AERtextitalic"/>
        </w:rPr>
        <w:t>final decision-AusNet Services distribution determination 2016 to 2020, Attachment 3: Rate of return</w:t>
      </w:r>
      <w:r>
        <w:t>, May 2016, p. 11.</w:t>
      </w:r>
    </w:p>
  </w:footnote>
  <w:footnote w:id="419">
    <w:p w:rsidR="003F1AAB" w:rsidRDefault="003F1AAB" w:rsidP="009E2035">
      <w:pPr>
        <w:pStyle w:val="FootnoteText"/>
      </w:pPr>
      <w:r>
        <w:rPr>
          <w:rStyle w:val="FootnoteReference"/>
        </w:rPr>
        <w:footnoteRef/>
      </w:r>
      <w:r>
        <w:t xml:space="preserve"> </w:t>
      </w:r>
      <w:r>
        <w:tab/>
      </w:r>
      <w:r w:rsidRPr="007B13EA">
        <w:t>Information was received from APA Group, AusNet Services, CitiPower, Dampier to Bunbury Pipeline, ElectraNet, Envestra, Jemena, Multinet, Powercor, SA Power Networks and United Energy.</w:t>
      </w:r>
    </w:p>
  </w:footnote>
  <w:footnote w:id="420">
    <w:p w:rsidR="003F1AAB" w:rsidRDefault="003F1AAB" w:rsidP="009E2035">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December 2013, p. 136.</w:t>
      </w:r>
    </w:p>
  </w:footnote>
  <w:footnote w:id="421">
    <w:p w:rsidR="003F1AAB" w:rsidRDefault="003F1AAB" w:rsidP="009E2035">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 21; AER, </w:t>
      </w:r>
      <w:r w:rsidRPr="00A5241A">
        <w:rPr>
          <w:rStyle w:val="AERtextitalic"/>
        </w:rPr>
        <w:t>Better regulation—Explanatory statement to the rate of return guideline</w:t>
      </w:r>
      <w:r>
        <w:t>, December 2013, pp. 152–157. See attachment 3 of our final decisions published in May 2016 for ActewAGL distribution (gas), AGN, APTNT, AusNet Services (distribution), CitiPower, Jemena Electricity Networks, Powercor, United Energy.</w:t>
      </w:r>
    </w:p>
  </w:footnote>
  <w:footnote w:id="422">
    <w:p w:rsidR="003F1AAB" w:rsidRDefault="003F1AAB" w:rsidP="009E2035">
      <w:pPr>
        <w:pStyle w:val="FootnoteText"/>
      </w:pPr>
      <w:r>
        <w:rPr>
          <w:rStyle w:val="FootnoteReference"/>
        </w:rPr>
        <w:footnoteRef/>
      </w:r>
      <w:r>
        <w:t xml:space="preserve"> </w:t>
      </w:r>
      <w:r>
        <w:tab/>
        <w:t xml:space="preserve">Australian Competition Tribunal, </w:t>
      </w:r>
      <w:r w:rsidRPr="001C40BE">
        <w:rPr>
          <w:rStyle w:val="AERtextitalic"/>
        </w:rPr>
        <w:t>Applications by Public Interest Advocacy Centre Ltd and Ausgrid [2016] ACompT 1</w:t>
      </w:r>
      <w:r>
        <w:t>, 26 February 2016, para 993.</w:t>
      </w:r>
    </w:p>
  </w:footnote>
  <w:footnote w:id="423">
    <w:p w:rsidR="003F1AAB" w:rsidRDefault="003F1AAB" w:rsidP="009E2035">
      <w:pPr>
        <w:pStyle w:val="FootnoteText"/>
      </w:pPr>
      <w:r>
        <w:rPr>
          <w:rStyle w:val="FootnoteReference"/>
        </w:rPr>
        <w:footnoteRef/>
      </w:r>
      <w:r>
        <w:t xml:space="preserve"> </w:t>
      </w:r>
      <w:r>
        <w:tab/>
        <w:t>AusNet Transmission Group Pty Ltd, Transmission Revenue Review 2017</w:t>
      </w:r>
      <w:r>
        <w:rPr>
          <w:rFonts w:cs="Arial"/>
        </w:rPr>
        <w:t>–</w:t>
      </w:r>
      <w:r>
        <w:t>2022 regulatory proposal, 30 October 2015, p. 191.</w:t>
      </w:r>
    </w:p>
  </w:footnote>
  <w:footnote w:id="424">
    <w:p w:rsidR="003F1AAB" w:rsidRDefault="003F1AAB" w:rsidP="009E2035">
      <w:pPr>
        <w:pStyle w:val="FootnoteText"/>
      </w:pPr>
      <w:r>
        <w:rPr>
          <w:rStyle w:val="FootnoteReference"/>
        </w:rPr>
        <w:footnoteRef/>
      </w:r>
      <w:r>
        <w:t xml:space="preserve"> </w:t>
      </w:r>
      <w:r>
        <w:tab/>
        <w:t>Powerlink, Queensland revenue proposal, January 2016; TasNetworks, Tasmanian distribution regulatory proposal: Regulatory control period 1 July 2017 to 30 June 2019, 29 January 2016. For our Guideline approach</w:t>
      </w:r>
    </w:p>
  </w:footnote>
  <w:footnote w:id="425">
    <w:p w:rsidR="003F1AAB" w:rsidRDefault="003F1AAB" w:rsidP="009E2035">
      <w:pPr>
        <w:pStyle w:val="FootnoteText"/>
      </w:pPr>
      <w:r>
        <w:rPr>
          <w:rStyle w:val="FootnoteReference"/>
        </w:rPr>
        <w:footnoteRef/>
      </w:r>
      <w:r>
        <w:t xml:space="preserve"> </w:t>
      </w:r>
      <w:r>
        <w:tab/>
        <w:t xml:space="preserve">Houston Kemp, </w:t>
      </w:r>
      <w:r w:rsidRPr="00D5086F">
        <w:rPr>
          <w:rStyle w:val="AERtextitalic"/>
        </w:rPr>
        <w:t>Response to the draft decision on the return on debt allowance</w:t>
      </w:r>
      <w:r>
        <w:t xml:space="preserve">, January 2015, p. 4; </w:t>
      </w:r>
      <w:r w:rsidRPr="00073F41">
        <w:t xml:space="preserve">NERA, </w:t>
      </w:r>
      <w:r w:rsidRPr="00411A04">
        <w:rPr>
          <w:rStyle w:val="AERtextitalic"/>
        </w:rPr>
        <w:t>Return on capital of a regulated electricity network: A report for Ashurst</w:t>
      </w:r>
      <w:r>
        <w:t xml:space="preserve">, May 2014, p. </w:t>
      </w:r>
      <w:r w:rsidRPr="00073F41">
        <w:t>10.</w:t>
      </w:r>
    </w:p>
  </w:footnote>
  <w:footnote w:id="426">
    <w:p w:rsidR="003F1AAB" w:rsidRDefault="003F1AAB" w:rsidP="009E2035">
      <w:pPr>
        <w:pStyle w:val="FootnoteText"/>
      </w:pPr>
      <w:r>
        <w:rPr>
          <w:rStyle w:val="FootnoteReference"/>
        </w:rPr>
        <w:footnoteRef/>
      </w:r>
      <w:r>
        <w:t xml:space="preserve"> </w:t>
      </w:r>
      <w:r>
        <w:tab/>
      </w:r>
      <w:r w:rsidRPr="002A3876">
        <w:t xml:space="preserve">ActewAGL, </w:t>
      </w:r>
      <w:r w:rsidRPr="005623BD">
        <w:rPr>
          <w:rStyle w:val="AERtextitalic"/>
        </w:rPr>
        <w:t>R</w:t>
      </w:r>
      <w:r>
        <w:rPr>
          <w:rStyle w:val="AERtextitalic"/>
        </w:rPr>
        <w:t>evised r</w:t>
      </w:r>
      <w:r w:rsidRPr="005623BD">
        <w:rPr>
          <w:rStyle w:val="AERtextitalic"/>
        </w:rPr>
        <w:t>egulatory proposal</w:t>
      </w:r>
      <w:r w:rsidRPr="002A3876">
        <w:t xml:space="preserve">, </w:t>
      </w:r>
      <w:r>
        <w:t>January 2015, pp. 431</w:t>
      </w:r>
      <w:r w:rsidRPr="009201D8">
        <w:t>–</w:t>
      </w:r>
      <w:r>
        <w:t xml:space="preserve">432; </w:t>
      </w:r>
      <w:r w:rsidRPr="002A3876">
        <w:t xml:space="preserve">Ausgrid, </w:t>
      </w:r>
      <w:r w:rsidRPr="005623BD">
        <w:rPr>
          <w:rStyle w:val="AERtextitalic"/>
        </w:rPr>
        <w:t>R</w:t>
      </w:r>
      <w:r>
        <w:rPr>
          <w:rStyle w:val="AERtextitalic"/>
        </w:rPr>
        <w:t>evised regulatory proposal and preliminary submission,</w:t>
      </w:r>
      <w:r w:rsidRPr="002A3876">
        <w:t xml:space="preserve"> </w:t>
      </w:r>
      <w:r>
        <w:t>January 2015, pp. 70</w:t>
      </w:r>
      <w:r w:rsidRPr="00492AB4">
        <w:t>–</w:t>
      </w:r>
      <w:r>
        <w:t>71</w:t>
      </w:r>
      <w:r w:rsidRPr="002A3876">
        <w:t xml:space="preserve">; </w:t>
      </w:r>
      <w:r w:rsidRPr="00A55DDF">
        <w:t xml:space="preserve">AusNet Services, </w:t>
      </w:r>
      <w:r w:rsidRPr="00E05AA1">
        <w:rPr>
          <w:rStyle w:val="AERtextitalic"/>
        </w:rPr>
        <w:t>Draft decisions NSW/ACT electricity distribution determination 2015–19</w:t>
      </w:r>
      <w:r>
        <w:t xml:space="preserve">, </w:t>
      </w:r>
      <w:r w:rsidRPr="00A55DDF">
        <w:t>February 2015, pp. 11–16</w:t>
      </w:r>
      <w:r>
        <w:t>;</w:t>
      </w:r>
      <w:r w:rsidRPr="00390F5A">
        <w:t xml:space="preserve"> </w:t>
      </w:r>
      <w:r>
        <w:t>CitiPower/</w:t>
      </w:r>
      <w:r w:rsidRPr="00A55DDF">
        <w:t xml:space="preserve">Powercor, </w:t>
      </w:r>
      <w:r w:rsidRPr="00E05AA1">
        <w:rPr>
          <w:rStyle w:val="AERtextitalic"/>
        </w:rPr>
        <w:t>Submission in relation to the first round of regulatory determinations under the new rules</w:t>
      </w:r>
      <w:r w:rsidRPr="00A55DDF">
        <w:t>, February 2015</w:t>
      </w:r>
      <w:r>
        <w:t>;</w:t>
      </w:r>
      <w:r w:rsidRPr="002A3876">
        <w:t xml:space="preserve">Endeavour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pp. 104</w:t>
      </w:r>
      <w:r w:rsidRPr="00492AB4">
        <w:t>–</w:t>
      </w:r>
      <w:r>
        <w:t>105</w:t>
      </w:r>
      <w:r w:rsidRPr="002A3876">
        <w:t xml:space="preserve">, </w:t>
      </w:r>
      <w:r>
        <w:t xml:space="preserve">Ergon Energy, </w:t>
      </w:r>
      <w:r w:rsidRPr="00073F41">
        <w:rPr>
          <w:rStyle w:val="AERtextitalic"/>
        </w:rPr>
        <w:t>Appendix C: Rate of return, Regulatory proposal</w:t>
      </w:r>
      <w:r>
        <w:t>, October 2014, p. 123</w:t>
      </w:r>
      <w:r w:rsidRPr="00390F5A">
        <w:t>;</w:t>
      </w:r>
      <w:r w:rsidRPr="002A3876">
        <w:t xml:space="preserve">Essential Energy, </w:t>
      </w:r>
      <w:r w:rsidRPr="005623BD">
        <w:rPr>
          <w:rStyle w:val="AERtextitalic"/>
        </w:rPr>
        <w:t>R</w:t>
      </w:r>
      <w:r>
        <w:rPr>
          <w:rStyle w:val="AERtextitalic"/>
        </w:rPr>
        <w:t>evised r</w:t>
      </w:r>
      <w:r w:rsidRPr="005623BD">
        <w:rPr>
          <w:rStyle w:val="AERtextitalic"/>
        </w:rPr>
        <w:t>egulatory proposal</w:t>
      </w:r>
      <w:r w:rsidRPr="002A3876">
        <w:t xml:space="preserve">, </w:t>
      </w:r>
      <w:r>
        <w:t xml:space="preserve">January 2015, p. 230; </w:t>
      </w:r>
      <w:r w:rsidRPr="005623BD">
        <w:t xml:space="preserve">JGN, </w:t>
      </w:r>
      <w:r>
        <w:rPr>
          <w:rStyle w:val="AERtextitalic"/>
        </w:rPr>
        <w:t xml:space="preserve">Access arrangement: Response to the AER's draft decision and revised proposal, Appendix 7.10 </w:t>
      </w:r>
      <w:r w:rsidRPr="00507FD8">
        <w:rPr>
          <w:rStyle w:val="AERtextitalic"/>
        </w:rPr>
        <w:t>—</w:t>
      </w:r>
      <w:r>
        <w:rPr>
          <w:rStyle w:val="AERtextitalic"/>
        </w:rPr>
        <w:t xml:space="preserve"> Return on debt response</w:t>
      </w:r>
      <w:r w:rsidRPr="005623BD">
        <w:t xml:space="preserve">, </w:t>
      </w:r>
      <w:r>
        <w:t>February 2015, pp. 6</w:t>
      </w:r>
      <w:r w:rsidRPr="009201D8">
        <w:t>–</w:t>
      </w:r>
      <w:r>
        <w:t xml:space="preserve">10; SAPN, </w:t>
      </w:r>
      <w:r w:rsidRPr="00073F41">
        <w:rPr>
          <w:rStyle w:val="AERtextitalic"/>
        </w:rPr>
        <w:t>Regulatory proposal 2015–20</w:t>
      </w:r>
      <w:r>
        <w:t xml:space="preserve">, October 2014, p. 305; </w:t>
      </w:r>
      <w:r w:rsidRPr="00A55DDF">
        <w:t xml:space="preserve">United Energy, </w:t>
      </w:r>
      <w:r w:rsidRPr="00E05AA1">
        <w:rPr>
          <w:rStyle w:val="AERtextitalic"/>
        </w:rPr>
        <w:t>Submission in relation to the first round of regulatory determinations under the new rules</w:t>
      </w:r>
      <w:r w:rsidRPr="00A55DDF">
        <w:t>, February 2015</w:t>
      </w:r>
      <w:r>
        <w:t xml:space="preserve">.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p>
  </w:footnote>
  <w:footnote w:id="427">
    <w:p w:rsidR="003F1AAB" w:rsidRDefault="003F1AAB" w:rsidP="009E2035">
      <w:pPr>
        <w:pStyle w:val="FootnoteText"/>
      </w:pPr>
      <w:r>
        <w:rPr>
          <w:rStyle w:val="FootnoteReference"/>
        </w:rPr>
        <w:footnoteRef/>
      </w:r>
      <w:r>
        <w:t xml:space="preserve"> </w:t>
      </w:r>
      <w:r>
        <w:tab/>
      </w:r>
      <w:r w:rsidRPr="00073F41">
        <w:t xml:space="preserve">Lally, </w:t>
      </w:r>
      <w:r w:rsidRPr="00073F41">
        <w:rPr>
          <w:rStyle w:val="AERtextitalic"/>
        </w:rPr>
        <w:t>Implementation issues for the cost of debt</w:t>
      </w:r>
      <w:r>
        <w:t>, November 2014, pp. 28–3;</w:t>
      </w:r>
      <w:r w:rsidRPr="00284761">
        <w:t xml:space="preserve"> </w:t>
      </w:r>
      <w:r>
        <w:t xml:space="preserve">SACES, </w:t>
      </w:r>
      <w:r w:rsidRPr="00E05AA1">
        <w:rPr>
          <w:rStyle w:val="AERtextitalic"/>
        </w:rPr>
        <w:t>Independent estimates of the WACC for SAPN: Report commissioned by the SACOSS</w:t>
      </w:r>
      <w:r>
        <w:t>, January 2015, pp. 13</w:t>
      </w:r>
      <w:r w:rsidRPr="00284761">
        <w:t>–</w:t>
      </w:r>
      <w:r>
        <w:t>14.</w:t>
      </w:r>
    </w:p>
  </w:footnote>
  <w:footnote w:id="428">
    <w:p w:rsidR="003F1AAB" w:rsidRDefault="003F1AAB" w:rsidP="009E2035">
      <w:pPr>
        <w:pStyle w:val="FootnoteText"/>
      </w:pPr>
      <w:r>
        <w:rPr>
          <w:rStyle w:val="FootnoteReference"/>
        </w:rPr>
        <w:footnoteRef/>
      </w:r>
      <w:r>
        <w:t xml:space="preserve"> </w:t>
      </w:r>
      <w:r>
        <w:tab/>
        <w:t xml:space="preserve">CCIQ, </w:t>
      </w:r>
      <w:r w:rsidRPr="00D01FA2">
        <w:rPr>
          <w:rStyle w:val="AERtextitalic"/>
        </w:rPr>
        <w:t>Submission to the Australian Energy Regulator on Energex's regulatory proposal for the 2015-20 revenue determination</w:t>
      </w:r>
      <w:r>
        <w:t xml:space="preserve">, January 2015; ECCSA, </w:t>
      </w:r>
      <w:r w:rsidRPr="00D01FA2">
        <w:rPr>
          <w:rStyle w:val="AERtextitalic"/>
        </w:rPr>
        <w:t>AER review of SAPN application 2014: ECCSA response to AER's preliminary decision</w:t>
      </w:r>
      <w:r>
        <w:t>, June 2015.</w:t>
      </w:r>
    </w:p>
  </w:footnote>
  <w:footnote w:id="429">
    <w:p w:rsidR="003F1AAB" w:rsidRDefault="003F1AAB" w:rsidP="009E2035">
      <w:pPr>
        <w:pStyle w:val="FootnoteText"/>
      </w:pPr>
      <w:r>
        <w:rPr>
          <w:rStyle w:val="FootnoteReference"/>
        </w:rPr>
        <w:footnoteRef/>
      </w:r>
      <w:r>
        <w:t xml:space="preserve"> </w:t>
      </w:r>
      <w:r>
        <w:tab/>
      </w:r>
      <w:r w:rsidRPr="003E67D8">
        <w:t>ECCSA, A response to the AER draft decision on AGN’s AA2016 revenue reset, February 2016</w:t>
      </w:r>
      <w:r>
        <w:t>, p. 34.</w:t>
      </w:r>
    </w:p>
  </w:footnote>
  <w:footnote w:id="430">
    <w:p w:rsidR="003F1AAB" w:rsidRDefault="003F1AAB" w:rsidP="009E2035">
      <w:pPr>
        <w:pStyle w:val="FootnoteText"/>
      </w:pPr>
      <w:r>
        <w:rPr>
          <w:rStyle w:val="FootnoteReference"/>
        </w:rPr>
        <w:footnoteRef/>
      </w:r>
      <w:r>
        <w:t xml:space="preserve"> </w:t>
      </w:r>
      <w:r>
        <w:tab/>
        <w:t xml:space="preserve">ECCSA, </w:t>
      </w:r>
      <w:r w:rsidRPr="00D01FA2">
        <w:rPr>
          <w:rStyle w:val="AERtextitalic"/>
        </w:rPr>
        <w:t>AER review of SAPN application 2014: ECCSA response to AER's preliminary decision</w:t>
      </w:r>
      <w:r>
        <w:t>, June 2015.</w:t>
      </w:r>
    </w:p>
  </w:footnote>
  <w:footnote w:id="431">
    <w:p w:rsidR="003F1AAB" w:rsidRDefault="003F1AAB" w:rsidP="009E2035">
      <w:pPr>
        <w:pStyle w:val="FootnoteText"/>
      </w:pPr>
      <w:r>
        <w:rPr>
          <w:rStyle w:val="FootnoteReference"/>
        </w:rPr>
        <w:footnoteRef/>
      </w:r>
      <w:r>
        <w:t xml:space="preserve"> </w:t>
      </w:r>
      <w:r>
        <w:tab/>
      </w:r>
      <w:r w:rsidRPr="001D5755">
        <w:t xml:space="preserve">VECUA, </w:t>
      </w:r>
      <w:r w:rsidRPr="001D5755">
        <w:rPr>
          <w:rStyle w:val="AERtextitalic"/>
        </w:rPr>
        <w:t>Submission to the AER: Victorian Distribution Networks' 2016-20 revenue proposals</w:t>
      </w:r>
      <w:r w:rsidRPr="00C364A0">
        <w:rPr>
          <w:rStyle w:val="AERtextitalic"/>
          <w:i w:val="0"/>
        </w:rPr>
        <w:t>, January 2016.</w:t>
      </w:r>
    </w:p>
  </w:footnote>
  <w:footnote w:id="432">
    <w:p w:rsidR="003F1AAB" w:rsidRDefault="003F1AAB" w:rsidP="009E2035">
      <w:pPr>
        <w:pStyle w:val="FootnoteText"/>
      </w:pPr>
      <w:r>
        <w:rPr>
          <w:rStyle w:val="FootnoteReference"/>
        </w:rPr>
        <w:footnoteRef/>
      </w:r>
      <w:r>
        <w:t xml:space="preserve"> </w:t>
      </w:r>
      <w:r>
        <w:tab/>
        <w:t xml:space="preserve">Victorian Energy Consumer and User Alliance (VECUA), </w:t>
      </w:r>
      <w:r w:rsidRPr="00FA2361">
        <w:rPr>
          <w:rStyle w:val="AERtextitalic"/>
        </w:rPr>
        <w:t>Submission to the AER - AER Preliminary 2016-20 Revenue Determinations for the Victorian DNSPs</w:t>
      </w:r>
      <w:r>
        <w:t>, January 2016, p. 18.</w:t>
      </w:r>
    </w:p>
  </w:footnote>
  <w:footnote w:id="433">
    <w:p w:rsidR="003F1AAB" w:rsidRDefault="003F1AAB" w:rsidP="009E2035">
      <w:pPr>
        <w:pStyle w:val="FootnoteText"/>
      </w:pPr>
      <w:r>
        <w:rPr>
          <w:rStyle w:val="FootnoteReference"/>
        </w:rPr>
        <w:footnoteRef/>
      </w:r>
      <w:r>
        <w:t xml:space="preserve"> </w:t>
      </w:r>
      <w:r>
        <w:tab/>
        <w:t xml:space="preserve">ActewAGL, AusNet Services and United Energy disagreed that our use of a broad BBB curve to estimate the return on debt was conservative in their favour. See </w:t>
      </w:r>
      <w:r w:rsidRPr="003E67D8">
        <w:t xml:space="preserve"> ActewAGL Distribution, </w:t>
      </w:r>
      <w:r w:rsidRPr="001C40BE">
        <w:rPr>
          <w:rStyle w:val="AERtextitalic"/>
        </w:rPr>
        <w:t>Attachment 3: Response to submission made to the AER by the VECUA dated 6 January 2016</w:t>
      </w:r>
      <w:r>
        <w:t xml:space="preserve">, p. 4; </w:t>
      </w:r>
      <w:r w:rsidRPr="003E67D8">
        <w:t xml:space="preserve">AusNet Services, </w:t>
      </w:r>
      <w:r w:rsidRPr="001C40BE">
        <w:rPr>
          <w:rStyle w:val="AERtextitalic"/>
        </w:rPr>
        <w:t>Response to submissions on the Victorian EDPR preliminary decision (2016–20)</w:t>
      </w:r>
      <w:r w:rsidRPr="003E67D8">
        <w:t>, 4 February 2016</w:t>
      </w:r>
      <w:r>
        <w:t>, pp. 22</w:t>
      </w:r>
      <w:r>
        <w:rPr>
          <w:rFonts w:cs="Arial"/>
        </w:rPr>
        <w:t>–</w:t>
      </w:r>
      <w:r>
        <w:t xml:space="preserve">7; </w:t>
      </w:r>
      <w:r w:rsidRPr="003E67D8">
        <w:t xml:space="preserve">United Energy, </w:t>
      </w:r>
      <w:r w:rsidRPr="001C40BE">
        <w:rPr>
          <w:rStyle w:val="AERtextitalic"/>
        </w:rPr>
        <w:t>Submission to the AER’s preliminary determination for United Energy (for 2016–20)</w:t>
      </w:r>
      <w:r w:rsidRPr="003E67D8">
        <w:t>, 4 February 2016</w:t>
      </w:r>
      <w:r>
        <w:t>, pp. 4</w:t>
      </w:r>
      <w:r>
        <w:rPr>
          <w:rFonts w:cs="Arial"/>
        </w:rPr>
        <w:t>–</w:t>
      </w:r>
      <w:r>
        <w:t>9.</w:t>
      </w:r>
    </w:p>
  </w:footnote>
  <w:footnote w:id="434">
    <w:p w:rsidR="003F1AAB" w:rsidRDefault="003F1AAB" w:rsidP="009E2035">
      <w:pPr>
        <w:pStyle w:val="FootnoteText"/>
      </w:pPr>
      <w:r>
        <w:rPr>
          <w:rStyle w:val="FootnoteReference"/>
        </w:rPr>
        <w:footnoteRef/>
      </w:r>
      <w:r>
        <w:t xml:space="preserve"> </w:t>
      </w:r>
      <w:r>
        <w:tab/>
        <w:t xml:space="preserve">CCP, </w:t>
      </w:r>
      <w:r w:rsidRPr="006F4CF4">
        <w:rPr>
          <w:rStyle w:val="AERtextitalic"/>
        </w:rPr>
        <w:t>Bruce Mountain:</w:t>
      </w:r>
      <w:r>
        <w:rPr>
          <w:rStyle w:val="AERtextitalic"/>
        </w:rPr>
        <w:t xml:space="preserve"> Comments on the AER's Preliminary Decision on the Weighted Average Cost of Capital (WACC) for Energex, Ergon and SA Power Networks</w:t>
      </w:r>
      <w:r w:rsidRPr="00C364A0">
        <w:rPr>
          <w:rStyle w:val="AERtextitalic"/>
          <w:i w:val="0"/>
        </w:rPr>
        <w:t>, July 2015, p. 8</w:t>
      </w:r>
      <w:r>
        <w:rPr>
          <w:rStyle w:val="AERtextitalic"/>
        </w:rPr>
        <w:t>.</w:t>
      </w:r>
    </w:p>
  </w:footnote>
  <w:footnote w:id="435">
    <w:p w:rsidR="003F1AAB" w:rsidRDefault="003F1AAB" w:rsidP="009E2035">
      <w:pPr>
        <w:pStyle w:val="FootnoteText"/>
      </w:pPr>
      <w:r>
        <w:rPr>
          <w:rStyle w:val="FootnoteReference"/>
        </w:rPr>
        <w:footnoteRef/>
      </w:r>
      <w:r>
        <w:t xml:space="preserve"> </w:t>
      </w:r>
      <w:r>
        <w:tab/>
        <w:t xml:space="preserve">See, for example, AER, </w:t>
      </w:r>
      <w:r w:rsidRPr="00630FC2">
        <w:rPr>
          <w:rStyle w:val="AERtextitalic"/>
        </w:rPr>
        <w:t xml:space="preserve">Explanatory statement: Rate of return </w:t>
      </w:r>
      <w:r w:rsidRPr="00993283">
        <w:rPr>
          <w:rStyle w:val="AERtextitalic"/>
        </w:rPr>
        <w:t>guideline</w:t>
      </w:r>
      <w:r>
        <w:t>, December 2013, pp. 152</w:t>
      </w:r>
      <w:r>
        <w:rPr>
          <w:rFonts w:cs="Arial"/>
        </w:rPr>
        <w:t>–</w:t>
      </w:r>
      <w:r>
        <w:t xml:space="preserve">157; AER, </w:t>
      </w:r>
      <w:r w:rsidRPr="00630FC2">
        <w:rPr>
          <w:rStyle w:val="AERtextitalic"/>
        </w:rPr>
        <w:t>Explanatory statement: Rate of return guideline (appendixes)</w:t>
      </w:r>
      <w:r>
        <w:t>, December 2013, pp. 126</w:t>
      </w:r>
      <w:r>
        <w:rPr>
          <w:rFonts w:cs="Arial"/>
        </w:rPr>
        <w:t>–</w:t>
      </w:r>
      <w:r>
        <w:t>130.</w:t>
      </w:r>
    </w:p>
  </w:footnote>
  <w:footnote w:id="436">
    <w:p w:rsidR="003F1AAB" w:rsidRDefault="003F1AAB" w:rsidP="009E2035">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xml:space="preserve">, December 2013, p. 156; AER, </w:t>
      </w:r>
      <w:r w:rsidRPr="00B96D23">
        <w:rPr>
          <w:rStyle w:val="AERtextitalic"/>
        </w:rPr>
        <w:t>Preliminary decision AusNet distribution determination - Attachment 3 - Rate of return</w:t>
      </w:r>
      <w:r>
        <w:t>, October 2015, p. 214.</w:t>
      </w:r>
    </w:p>
  </w:footnote>
  <w:footnote w:id="437">
    <w:p w:rsidR="003F1AAB" w:rsidRDefault="003F1AAB" w:rsidP="009E2035">
      <w:pPr>
        <w:pStyle w:val="FootnoteText"/>
      </w:pPr>
      <w:r>
        <w:rPr>
          <w:rStyle w:val="FootnoteReference"/>
        </w:rPr>
        <w:footnoteRef/>
      </w:r>
      <w:r>
        <w:t xml:space="preserve"> </w:t>
      </w:r>
      <w:r>
        <w:tab/>
        <w:t xml:space="preserve">Australian Competition Tribunal, </w:t>
      </w:r>
      <w:r w:rsidRPr="00FA2361">
        <w:rPr>
          <w:rStyle w:val="AERtextitalic"/>
        </w:rPr>
        <w:t>Applications by Public Interest Advocacy Centre Ltd and Ausgrid [2016] ACompT 1</w:t>
      </w:r>
      <w:r>
        <w:t>, 26 February 2016, para 993.</w:t>
      </w:r>
    </w:p>
  </w:footnote>
  <w:footnote w:id="438">
    <w:p w:rsidR="003F1AAB" w:rsidRDefault="003F1AAB" w:rsidP="00E6234D">
      <w:pPr>
        <w:pStyle w:val="FootnoteText"/>
      </w:pPr>
      <w:r>
        <w:rPr>
          <w:rStyle w:val="FootnoteReference"/>
        </w:rPr>
        <w:footnoteRef/>
      </w:r>
      <w:r>
        <w:t xml:space="preserve"> </w:t>
      </w:r>
      <w:r>
        <w:tab/>
        <w:t xml:space="preserve">AER, </w:t>
      </w:r>
      <w:r w:rsidRPr="002A6806">
        <w:rPr>
          <w:rStyle w:val="AERtextitalic"/>
        </w:rPr>
        <w:t>Explanatory statement to the rate of return guideline</w:t>
      </w:r>
      <w:r>
        <w:t>, December 2013, pp. 126</w:t>
      </w:r>
      <w:r>
        <w:rPr>
          <w:rFonts w:cs="Arial"/>
        </w:rPr>
        <w:t>–</w:t>
      </w:r>
      <w:r>
        <w:t>130.</w:t>
      </w:r>
    </w:p>
  </w:footnote>
  <w:footnote w:id="439">
    <w:p w:rsidR="003F1AAB" w:rsidRDefault="003F1AAB" w:rsidP="00E6234D">
      <w:pPr>
        <w:pStyle w:val="FootnoteText"/>
      </w:pPr>
      <w:r>
        <w:rPr>
          <w:rStyle w:val="FootnoteReference"/>
        </w:rPr>
        <w:footnoteRef/>
      </w:r>
      <w:r>
        <w:t xml:space="preserve"> </w:t>
      </w:r>
      <w:r>
        <w:tab/>
        <w:t xml:space="preserve">AusNet Transmission Group Pty Ltd, </w:t>
      </w:r>
      <w:r w:rsidRPr="00EF655D">
        <w:rPr>
          <w:i/>
        </w:rPr>
        <w:t>Transmission Revenue Review 2017</w:t>
      </w:r>
      <w:r w:rsidRPr="00EF655D">
        <w:rPr>
          <w:rFonts w:cs="Arial"/>
          <w:i/>
        </w:rPr>
        <w:t>–</w:t>
      </w:r>
      <w:r w:rsidRPr="00EF655D">
        <w:rPr>
          <w:i/>
        </w:rPr>
        <w:t>2022 regulatory proposal</w:t>
      </w:r>
      <w:r>
        <w:t>, 30 October 2015, pp. 272</w:t>
      </w:r>
      <w:r>
        <w:rPr>
          <w:rFonts w:cs="Arial"/>
        </w:rPr>
        <w:t>–</w:t>
      </w:r>
      <w:r>
        <w:t xml:space="preserve">274. </w:t>
      </w:r>
    </w:p>
  </w:footnote>
  <w:footnote w:id="440">
    <w:p w:rsidR="003F1AAB" w:rsidRDefault="003F1AAB" w:rsidP="00E6234D">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pp. 4, 12.</w:t>
      </w:r>
    </w:p>
  </w:footnote>
  <w:footnote w:id="441">
    <w:p w:rsidR="003F1AAB" w:rsidRDefault="003F1AAB" w:rsidP="00E6234D">
      <w:pPr>
        <w:pStyle w:val="FootnoteText"/>
      </w:pPr>
      <w:r>
        <w:rPr>
          <w:rStyle w:val="FootnoteReference"/>
        </w:rPr>
        <w:footnoteRef/>
      </w:r>
      <w:r>
        <w:t xml:space="preserve"> </w:t>
      </w:r>
      <w:r>
        <w:tab/>
        <w:t>NER, cl. 6A.6.2(l).</w:t>
      </w:r>
    </w:p>
  </w:footnote>
  <w:footnote w:id="442">
    <w:p w:rsidR="003F1AAB" w:rsidRDefault="003F1AAB" w:rsidP="00E6234D">
      <w:pPr>
        <w:pStyle w:val="FootnoteText"/>
      </w:pPr>
      <w:r>
        <w:rPr>
          <w:rStyle w:val="FootnoteReference"/>
        </w:rPr>
        <w:footnoteRef/>
      </w:r>
      <w:r>
        <w:t xml:space="preserve"> </w:t>
      </w:r>
      <w:r>
        <w:tab/>
      </w:r>
      <w:r w:rsidRPr="0084261F">
        <w:t>IPART</w:t>
      </w:r>
      <w:r>
        <w:t xml:space="preserve"> has switched from having its own approach to using an independent data service provider (the RBA). </w:t>
      </w:r>
      <w:r w:rsidRPr="0084261F">
        <w:t xml:space="preserve"> The ERA has developed its own bond yield approach and the QCA engaged PwC to develop </w:t>
      </w:r>
      <w:r>
        <w:t>its own</w:t>
      </w:r>
      <w:r w:rsidRPr="0084261F">
        <w:t xml:space="preserve"> econometric</w:t>
      </w:r>
      <w:r>
        <w:t>ally derived approach</w:t>
      </w:r>
      <w:r w:rsidRPr="0084261F">
        <w:t xml:space="preserve"> </w:t>
      </w:r>
      <w:r>
        <w:t xml:space="preserve">(and combines this with using a third party data series </w:t>
      </w:r>
      <w:r w:rsidRPr="0084261F">
        <w:t xml:space="preserve">as </w:t>
      </w:r>
      <w:r>
        <w:t>a cross check)</w:t>
      </w:r>
      <w:r w:rsidRPr="0084261F">
        <w:t xml:space="preserve">.  The ESCV and ESCOSA </w:t>
      </w:r>
      <w:r>
        <w:t xml:space="preserve">have been using an independent data service provider (Bloomberg). See IPART, </w:t>
      </w:r>
      <w:r w:rsidRPr="007E0FCE">
        <w:rPr>
          <w:rStyle w:val="AERtextitalic"/>
        </w:rPr>
        <w:t>New approach to estimating the costs of debt: use of the RBA's corporate credit spreads</w:t>
      </w:r>
      <w:r>
        <w:t xml:space="preserve">, February 2014; </w:t>
      </w:r>
      <w:r w:rsidRPr="007E0FCE">
        <w:t xml:space="preserve">QCA, </w:t>
      </w:r>
      <w:r w:rsidRPr="007E0FCE">
        <w:rPr>
          <w:rStyle w:val="AERtextitalic"/>
        </w:rPr>
        <w:t>Final decision: Cost of debt estimation methodology</w:t>
      </w:r>
      <w:r w:rsidRPr="007E0FCE">
        <w:t>, Augu</w:t>
      </w:r>
      <w:r>
        <w:t xml:space="preserve">st 2014, p. ii; </w:t>
      </w:r>
      <w:r w:rsidRPr="007E0FCE">
        <w:t xml:space="preserve">ESC, </w:t>
      </w:r>
      <w:r w:rsidRPr="007E0FCE">
        <w:rPr>
          <w:rStyle w:val="AERtextitalic"/>
        </w:rPr>
        <w:t>Price review 2013: Greater metropolitan water businesses - Final decision</w:t>
      </w:r>
      <w:r>
        <w:t xml:space="preserve">, June 2013, p. 108; </w:t>
      </w:r>
      <w:r w:rsidRPr="007E0FCE">
        <w:t xml:space="preserve">ESCOSA, </w:t>
      </w:r>
      <w:r w:rsidRPr="007E0FCE">
        <w:rPr>
          <w:rStyle w:val="AERtextitalic"/>
        </w:rPr>
        <w:t>SA Water's water and sewerage revenues 2013/14-2015/16: Final determination statement of</w:t>
      </w:r>
      <w:r>
        <w:t xml:space="preserve"> reasons,</w:t>
      </w:r>
      <w:r w:rsidRPr="007E0FCE">
        <w:t xml:space="preserve"> May 2013, p. 140.</w:t>
      </w:r>
    </w:p>
  </w:footnote>
  <w:footnote w:id="443">
    <w:p w:rsidR="003F1AAB" w:rsidRDefault="003F1AAB" w:rsidP="00E6234D">
      <w:pPr>
        <w:pStyle w:val="FootnoteText"/>
      </w:pPr>
      <w:r>
        <w:rPr>
          <w:rStyle w:val="FootnoteReference"/>
        </w:rPr>
        <w:footnoteRef/>
      </w:r>
      <w:r>
        <w:t xml:space="preserve"> </w:t>
      </w:r>
      <w:r>
        <w:tab/>
        <w:t xml:space="preserve">The Tribunal largely upheld the ERA's own bond-yield approach. See Australian Competition Tribunal, </w:t>
      </w:r>
      <w:r w:rsidRPr="005970E0">
        <w:rPr>
          <w:rStyle w:val="AERtextitalic"/>
        </w:rPr>
        <w:t>Application by DBNGP (WA) Transmission Pty Ltd (No 3) [2012] ACompT 14</w:t>
      </w:r>
      <w:r>
        <w:t>, 26 July 2012,</w:t>
      </w:r>
      <w:r w:rsidRPr="005970E0">
        <w:t xml:space="preserve"> </w:t>
      </w:r>
      <w:r>
        <w:t>Para 620. Similarly, the Tribunal has endorsed proposals to rely on an independent data service provider alone. See Australian Competition Tribunal,</w:t>
      </w:r>
      <w:r w:rsidRPr="00AC0707">
        <w:t xml:space="preserve"> </w:t>
      </w:r>
      <w:r w:rsidRPr="00AC0707">
        <w:rPr>
          <w:rStyle w:val="AERtextitalic"/>
        </w:rPr>
        <w:t>Application by United Energy Distribution Pty Limited [2012] ACompT 1</w:t>
      </w:r>
      <w:r>
        <w:t>, 6 January 2012, para 462.</w:t>
      </w:r>
    </w:p>
  </w:footnote>
  <w:footnote w:id="444">
    <w:p w:rsidR="003F1AAB" w:rsidRDefault="003F1AAB" w:rsidP="00E6234D">
      <w:pPr>
        <w:pStyle w:val="FootnoteText"/>
      </w:pPr>
      <w:r>
        <w:rPr>
          <w:rStyle w:val="FootnoteReference"/>
        </w:rPr>
        <w:footnoteRef/>
      </w:r>
      <w:r>
        <w:t xml:space="preserve"> </w:t>
      </w:r>
      <w:r>
        <w:tab/>
        <w:t>NER, cl. 6A.6.2(l).</w:t>
      </w:r>
    </w:p>
  </w:footnote>
  <w:footnote w:id="445">
    <w:p w:rsidR="003F1AAB" w:rsidRDefault="003F1AAB" w:rsidP="00E6234D">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 10.</w:t>
      </w:r>
    </w:p>
  </w:footnote>
  <w:footnote w:id="446">
    <w:p w:rsidR="003F1AAB" w:rsidRDefault="003F1AAB" w:rsidP="00E6234D">
      <w:pPr>
        <w:pStyle w:val="FootnoteText"/>
      </w:pPr>
      <w:r>
        <w:rPr>
          <w:rStyle w:val="FootnoteReference"/>
        </w:rPr>
        <w:footnoteRef/>
      </w:r>
      <w:r>
        <w:t xml:space="preserve"> </w:t>
      </w:r>
      <w:r>
        <w:tab/>
        <w:t xml:space="preserve">The RBA data series is available on the RBA's website in Statistical Table F3: </w:t>
      </w:r>
      <w:hyperlink r:id="rId10" w:anchor="interest-rates" w:history="1">
        <w:r w:rsidRPr="00E2692B">
          <w:rPr>
            <w:rStyle w:val="Hyperlink"/>
            <w:sz w:val="16"/>
          </w:rPr>
          <w:t>http://www.rba.gov.au/statistics/tables/index.html#interest-rates</w:t>
        </w:r>
      </w:hyperlink>
    </w:p>
  </w:footnote>
  <w:footnote w:id="447">
    <w:p w:rsidR="003F1AAB" w:rsidRDefault="003F1AAB" w:rsidP="00E6234D">
      <w:pPr>
        <w:pStyle w:val="FootnoteText"/>
      </w:pPr>
      <w:r>
        <w:rPr>
          <w:rStyle w:val="FootnoteReference"/>
        </w:rPr>
        <w:footnoteRef/>
      </w:r>
      <w:r>
        <w:t xml:space="preserve"> </w:t>
      </w:r>
      <w:r>
        <w:tab/>
        <w:t xml:space="preserve">The BVAL data series is available through a licence service from Bloomberg under the code 'BVCSAB10 index'. </w:t>
      </w:r>
      <w:r w:rsidRPr="0084652D">
        <w:t>As of 14 April 2015, Bloomberg had revised its methodology for the BVAL curve and had recommenced publis</w:t>
      </w:r>
      <w:r>
        <w:t>hing a 10 year yield estimate.</w:t>
      </w:r>
    </w:p>
  </w:footnote>
  <w:footnote w:id="448">
    <w:p w:rsidR="003F1AAB" w:rsidRDefault="003F1AAB" w:rsidP="00E6234D">
      <w:pPr>
        <w:pStyle w:val="FootnoteText"/>
      </w:pPr>
      <w:r>
        <w:rPr>
          <w:rStyle w:val="FootnoteReference"/>
        </w:rPr>
        <w:footnoteRef/>
      </w:r>
      <w:r>
        <w:t xml:space="preserve"> </w:t>
      </w:r>
      <w:r>
        <w:tab/>
        <w:t xml:space="preserve">While the RBA publishes an estimate for a 10 year ‘target’ term, the ‘effective’ term of the RBA’s estimate is commonly less than 10 years, and so requires extrapolation to produce a 10 year term. This is because the RBA’s method involves weighting bonds with less weight placed on bonds the further the term to maturity of the bond is from the 10 year target term. There are commonly more bonds with terms to maturity of less than 10 years than there are bonds with terms to maturity greater of than 10 years. As a result, the RBA’s methodology places greater weight on the collective pool of bonds with terms of less than 10 years, which results in the ‘effective’ (or average) term being less than the 10 year ‘target’ term of the RBA curve: see ACCC Regulatory Economic Unit, </w:t>
      </w:r>
      <w:r w:rsidRPr="00465D99">
        <w:rPr>
          <w:i/>
        </w:rPr>
        <w:t>Return on debt estimation: A review of the alternative third party data series</w:t>
      </w:r>
      <w:r>
        <w:t xml:space="preserve">, August 2014, pages 34–40. The Lally method of extrapolation is set out in Lally, </w:t>
      </w:r>
      <w:r w:rsidRPr="009C3F2D">
        <w:rPr>
          <w:rStyle w:val="AERtextitalic"/>
        </w:rPr>
        <w:t>Implementation issues for the cost of debt</w:t>
      </w:r>
      <w:r>
        <w:t>, 20 November 2014, pp. 38–44.</w:t>
      </w:r>
    </w:p>
  </w:footnote>
  <w:footnote w:id="449">
    <w:p w:rsidR="003F1AAB" w:rsidRDefault="003F1AAB" w:rsidP="00E6234D">
      <w:pPr>
        <w:pStyle w:val="FootnoteText"/>
      </w:pPr>
      <w:r>
        <w:rPr>
          <w:rStyle w:val="FootnoteReference"/>
        </w:rPr>
        <w:footnoteRef/>
      </w:r>
      <w:r>
        <w:t xml:space="preserve"> </w:t>
      </w:r>
      <w:r>
        <w:tab/>
      </w:r>
      <w:r w:rsidRPr="0084652D">
        <w:t>As</w:t>
      </w:r>
      <w:r>
        <w:t xml:space="preserve"> of 14 April 2015, Bloomberg </w:t>
      </w:r>
      <w:r w:rsidRPr="0084652D">
        <w:t>revised its method</w:t>
      </w:r>
      <w:r>
        <w:t>ology for the BVAL curve and has</w:t>
      </w:r>
      <w:r w:rsidRPr="0084652D">
        <w:t xml:space="preserve"> recommenced publishing a 10 year yield estimate.</w:t>
      </w:r>
      <w:r>
        <w:t xml:space="preserve"> In the current round of decisions, only Energex and Ergon Energy have averaging periods which commenced before 14 April 2015. Before 14 April 2015, the longest tenor estimate published by Bloomberg was either 5 or 7 years, depending on the dates, and therefore required extrapolation to produce a 10 year estimate. Accordingly, for Energex and Ergon Energy we have also applied an extrapolation adjustment to the Bloomberg data before 14 April 2015.</w:t>
      </w:r>
    </w:p>
  </w:footnote>
  <w:footnote w:id="450">
    <w:p w:rsidR="003F1AAB" w:rsidRPr="00B85376" w:rsidRDefault="003F1AAB" w:rsidP="00E6234D">
      <w:pPr>
        <w:pStyle w:val="FootnoteText"/>
        <w:rPr>
          <w:rFonts w:cs="Arial"/>
          <w:szCs w:val="16"/>
          <w:lang w:val="en-US"/>
        </w:rPr>
      </w:pPr>
      <w:r w:rsidRPr="00B85376">
        <w:rPr>
          <w:rStyle w:val="FootnoteReference"/>
          <w:rFonts w:cs="Arial"/>
          <w:szCs w:val="16"/>
        </w:rPr>
        <w:footnoteRef/>
      </w:r>
      <w:r w:rsidRPr="00B85376">
        <w:rPr>
          <w:rFonts w:cs="Arial"/>
          <w:szCs w:val="16"/>
        </w:rPr>
        <w:t xml:space="preserve"> </w:t>
      </w:r>
      <w:r w:rsidRPr="00B85376">
        <w:rPr>
          <w:rFonts w:cs="Arial"/>
          <w:szCs w:val="16"/>
        </w:rPr>
        <w:tab/>
      </w:r>
      <w:r>
        <w:rPr>
          <w:rFonts w:cs="Arial"/>
          <w:szCs w:val="16"/>
        </w:rPr>
        <w:t xml:space="preserve">See for example, </w:t>
      </w:r>
      <w:r>
        <w:t xml:space="preserve">AER, </w:t>
      </w:r>
      <w:r w:rsidRPr="00CE11C9">
        <w:rPr>
          <w:rStyle w:val="AERtextitalic"/>
        </w:rPr>
        <w:t>Final decision</w:t>
      </w:r>
      <w:r>
        <w:rPr>
          <w:rStyle w:val="AERtextitalic"/>
        </w:rPr>
        <w:t xml:space="preserve">: CitiPower distribution determination 2016 to 2020, </w:t>
      </w:r>
      <w:r w:rsidRPr="00CE11C9">
        <w:rPr>
          <w:rStyle w:val="AERtextitalic"/>
        </w:rPr>
        <w:t>Attachment 3—Rate of return</w:t>
      </w:r>
      <w:r>
        <w:t>, May 2016, p. 353.</w:t>
      </w:r>
    </w:p>
  </w:footnote>
  <w:footnote w:id="451">
    <w:p w:rsidR="003F1AAB" w:rsidRDefault="003F1AAB" w:rsidP="00E6234D">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 Therefore, in applying this curve it only requires an adjustment to convert it into an effective annual rate, as set out in the formula for automatic application. However, the RBA curve requires several adjustments from its published form.</w:t>
      </w:r>
    </w:p>
  </w:footnote>
  <w:footnote w:id="452">
    <w:p w:rsidR="003F1AAB" w:rsidRDefault="003F1AAB" w:rsidP="00E6234D">
      <w:pPr>
        <w:pStyle w:val="FootnoteText"/>
      </w:pPr>
      <w:r>
        <w:rPr>
          <w:rStyle w:val="FootnoteReference"/>
        </w:rPr>
        <w:footnoteRef/>
      </w:r>
      <w:r>
        <w:t xml:space="preserve"> </w:t>
      </w:r>
      <w:r>
        <w:tab/>
        <w:t xml:space="preserve">Lally, </w:t>
      </w:r>
      <w:r w:rsidRPr="00BC1CD1">
        <w:rPr>
          <w:rStyle w:val="AERtextitalic"/>
        </w:rPr>
        <w:t>Implementation issues for the cost of debt</w:t>
      </w:r>
      <w:r>
        <w:t xml:space="preserve">, 20 November 2014, p. 3; Lally, </w:t>
      </w:r>
      <w:r w:rsidRPr="009C3F2D">
        <w:rPr>
          <w:rStyle w:val="AERtextitalic"/>
        </w:rPr>
        <w:t>Review of submissions on implementation issues for the cost of debt</w:t>
      </w:r>
      <w:r>
        <w:t>, 18 October 2015, 5.</w:t>
      </w:r>
    </w:p>
  </w:footnote>
  <w:footnote w:id="453">
    <w:p w:rsidR="003F1AAB" w:rsidRDefault="003F1AAB" w:rsidP="00E6234D">
      <w:pPr>
        <w:pStyle w:val="FootnoteText"/>
      </w:pPr>
      <w:r>
        <w:rPr>
          <w:rStyle w:val="FootnoteReference"/>
        </w:rPr>
        <w:footnoteRef/>
      </w:r>
      <w:r>
        <w:t xml:space="preserve"> </w:t>
      </w:r>
      <w:r>
        <w:tab/>
        <w:t xml:space="preserve">Lally, </w:t>
      </w:r>
      <w:r w:rsidRPr="006B6F90">
        <w:rPr>
          <w:rStyle w:val="AERtextitalic"/>
        </w:rPr>
        <w:t>Implementation issues for the cost of debt</w:t>
      </w:r>
      <w:r>
        <w:t>, 20 November 2014, p. 5.</w:t>
      </w:r>
    </w:p>
  </w:footnote>
  <w:footnote w:id="454">
    <w:p w:rsidR="003F1AAB" w:rsidRDefault="003F1AAB" w:rsidP="00E6234D">
      <w:pPr>
        <w:pStyle w:val="FootnoteText"/>
      </w:pPr>
      <w:r>
        <w:rPr>
          <w:rStyle w:val="FootnoteReference"/>
        </w:rPr>
        <w:footnoteRef/>
      </w:r>
      <w:r>
        <w:t xml:space="preserve"> </w:t>
      </w:r>
      <w:r>
        <w:tab/>
        <w:t xml:space="preserve">In this decision, the issue before the Tribunal was the choice between the Bloomberg fair value curve (BFVC) and the CBASpectrum curve, neither of which are currently published. See: </w:t>
      </w:r>
      <w:r w:rsidRPr="002452B3">
        <w:rPr>
          <w:rStyle w:val="AERtextitalic"/>
        </w:rPr>
        <w:t>Application by ActewAGL Distribution [2010] ACompT4</w:t>
      </w:r>
      <w:r>
        <w:t>, 17 September 2010, paragraph 78.</w:t>
      </w:r>
    </w:p>
  </w:footnote>
  <w:footnote w:id="455">
    <w:p w:rsidR="003F1AAB" w:rsidRDefault="003F1AAB" w:rsidP="00E6234D">
      <w:pPr>
        <w:pStyle w:val="FootnoteText"/>
      </w:pPr>
      <w:r>
        <w:rPr>
          <w:rStyle w:val="FootnoteReference"/>
        </w:rPr>
        <w:footnoteRef/>
      </w:r>
      <w:r>
        <w:t xml:space="preserve"> </w:t>
      </w:r>
      <w:r>
        <w:tab/>
        <w:t xml:space="preserve">For example, see </w:t>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w:t>
      </w:r>
      <w:r>
        <w:t>p. 3-134 to 3-158, 3-301 to 3-308</w:t>
      </w:r>
      <w:r w:rsidRPr="00CE11C9">
        <w:t>.</w:t>
      </w:r>
    </w:p>
  </w:footnote>
  <w:footnote w:id="456">
    <w:p w:rsidR="003F1AAB" w:rsidRPr="00465D99" w:rsidRDefault="003F1AAB" w:rsidP="00E6234D">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19.</w:t>
      </w:r>
    </w:p>
  </w:footnote>
  <w:footnote w:id="457">
    <w:p w:rsidR="003F1AAB" w:rsidRPr="00465D99" w:rsidRDefault="003F1AAB" w:rsidP="00E6234D">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3.</w:t>
      </w:r>
    </w:p>
  </w:footnote>
  <w:footnote w:id="458">
    <w:p w:rsidR="003F1AAB" w:rsidRDefault="003F1AAB" w:rsidP="00E6234D">
      <w:pPr>
        <w:pStyle w:val="FootnoteText"/>
      </w:pPr>
      <w:r>
        <w:rPr>
          <w:rStyle w:val="FootnoteReference"/>
        </w:rPr>
        <w:footnoteRef/>
      </w:r>
      <w:r>
        <w:t xml:space="preserve"> </w:t>
      </w:r>
      <w:r>
        <w:tab/>
      </w:r>
      <w:r w:rsidRPr="009F0E67">
        <w:t xml:space="preserve">Identified by REU, </w:t>
      </w:r>
      <w:r w:rsidRPr="009F0E67">
        <w:rPr>
          <w:rStyle w:val="AERtextitalic"/>
        </w:rPr>
        <w:t>Return on debt estimation: A review of the alternative third party data series: Report for the AER</w:t>
      </w:r>
      <w:r w:rsidRPr="009F0E67">
        <w:t>, August 2014</w:t>
      </w:r>
      <w:r>
        <w:t xml:space="preserve">; </w:t>
      </w:r>
      <w:r w:rsidRPr="009F0E67">
        <w:t xml:space="preserve">and summarised by Lally, </w:t>
      </w:r>
      <w:r w:rsidRPr="009F0E67">
        <w:rPr>
          <w:rStyle w:val="AERtextitalic"/>
        </w:rPr>
        <w:t>Implementation issues with the cost of debt</w:t>
      </w:r>
      <w:r w:rsidRPr="009F0E67">
        <w:t>, November 2014</w:t>
      </w:r>
      <w:r>
        <w:t>,</w:t>
      </w:r>
      <w:r w:rsidRPr="009F0E67">
        <w:t xml:space="preserve"> </w:t>
      </w:r>
      <w:r>
        <w:t>pp.</w:t>
      </w:r>
      <w:r w:rsidRPr="009F0E67">
        <w:t xml:space="preserve"> </w:t>
      </w:r>
      <w:r>
        <w:t>7–</w:t>
      </w:r>
      <w:r w:rsidRPr="009F0E67">
        <w:t>8.</w:t>
      </w:r>
    </w:p>
  </w:footnote>
  <w:footnote w:id="459">
    <w:p w:rsidR="003F1AAB" w:rsidRDefault="003F1AAB" w:rsidP="00E6234D">
      <w:pPr>
        <w:pStyle w:val="FootnoteText"/>
      </w:pPr>
      <w:r>
        <w:rPr>
          <w:rStyle w:val="FootnoteReference"/>
        </w:rPr>
        <w:footnoteRef/>
      </w:r>
      <w:r>
        <w:t xml:space="preserve"> </w:t>
      </w:r>
      <w:r>
        <w:tab/>
      </w:r>
      <w:r w:rsidRPr="009F0E67">
        <w:t xml:space="preserve">Set out by Lally, </w:t>
      </w:r>
      <w:r w:rsidRPr="009F0E67">
        <w:rPr>
          <w:rStyle w:val="AERtextitalic"/>
        </w:rPr>
        <w:t>Implementation issues with the cost of debt</w:t>
      </w:r>
      <w:r w:rsidRPr="009F0E67">
        <w:t>, November 2014</w:t>
      </w:r>
      <w:r>
        <w:t xml:space="preserve">, pp. </w:t>
      </w:r>
      <w:r w:rsidRPr="009F0E67">
        <w:t xml:space="preserve">8 to 19, and summarised on </w:t>
      </w:r>
      <w:r>
        <w:t>p.</w:t>
      </w:r>
      <w:r w:rsidRPr="009F0E67">
        <w:t xml:space="preserve"> 19.</w:t>
      </w:r>
    </w:p>
  </w:footnote>
  <w:footnote w:id="460">
    <w:p w:rsidR="003F1AAB" w:rsidRDefault="003F1AAB" w:rsidP="00E6234D">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w:t>
      </w:r>
    </w:p>
  </w:footnote>
  <w:footnote w:id="461">
    <w:p w:rsidR="003F1AAB" w:rsidRDefault="003F1AAB" w:rsidP="00E6234D">
      <w:pPr>
        <w:pStyle w:val="FootnoteText"/>
      </w:pPr>
      <w:r>
        <w:rPr>
          <w:rStyle w:val="FootnoteReference"/>
        </w:rPr>
        <w:footnoteRef/>
      </w:r>
      <w:r>
        <w:t xml:space="preserve"> </w:t>
      </w:r>
      <w:r>
        <w:tab/>
        <w:t xml:space="preserve">For example, see </w:t>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w:t>
      </w:r>
      <w:r>
        <w:t>p. 3-134 to 3-158, 3-301 to 3-308</w:t>
      </w:r>
      <w:r w:rsidRPr="00CE11C9">
        <w:t>.</w:t>
      </w:r>
    </w:p>
  </w:footnote>
  <w:footnote w:id="462">
    <w:p w:rsidR="003F1AAB" w:rsidRDefault="003F1AAB" w:rsidP="00E6234D">
      <w:pPr>
        <w:pStyle w:val="FootnoteText"/>
      </w:pPr>
      <w:r>
        <w:rPr>
          <w:rStyle w:val="FootnoteReference"/>
        </w:rPr>
        <w:footnoteRef/>
      </w:r>
      <w:r>
        <w:t xml:space="preserve"> </w:t>
      </w:r>
      <w:r>
        <w:tab/>
        <w:t>[2016] ACompT 1, para 983.</w:t>
      </w:r>
    </w:p>
  </w:footnote>
  <w:footnote w:id="463">
    <w:p w:rsidR="003F1AAB" w:rsidRDefault="003F1AAB" w:rsidP="00E6234D">
      <w:pPr>
        <w:pStyle w:val="FootnoteText"/>
      </w:pPr>
      <w:r>
        <w:rPr>
          <w:rStyle w:val="FootnoteReference"/>
        </w:rPr>
        <w:footnoteRef/>
      </w:r>
      <w:r>
        <w:t xml:space="preserve"> </w:t>
      </w:r>
      <w:r>
        <w:tab/>
        <w:t>[2016] ACompT 1, para 993.</w:t>
      </w:r>
    </w:p>
  </w:footnote>
  <w:footnote w:id="464">
    <w:p w:rsidR="003F1AAB" w:rsidRDefault="003F1AAB" w:rsidP="00E6234D">
      <w:pPr>
        <w:pStyle w:val="FootnoteText"/>
      </w:pPr>
      <w:r>
        <w:rPr>
          <w:rStyle w:val="FootnoteReference"/>
        </w:rPr>
        <w:footnoteRef/>
      </w:r>
      <w:r>
        <w:t xml:space="preserve"> </w:t>
      </w:r>
      <w:r>
        <w:tab/>
        <w:t>[2016] ACompT 1, para 985.</w:t>
      </w:r>
    </w:p>
  </w:footnote>
  <w:footnote w:id="465">
    <w:p w:rsidR="003F1AAB" w:rsidRDefault="003F1AAB" w:rsidP="00E6234D">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 5.</w:t>
      </w:r>
    </w:p>
  </w:footnote>
  <w:footnote w:id="466">
    <w:p w:rsidR="003F1AAB" w:rsidRDefault="003F1AAB" w:rsidP="00E6234D">
      <w:pPr>
        <w:pStyle w:val="FootnoteText"/>
      </w:pPr>
      <w:r>
        <w:rPr>
          <w:rStyle w:val="FootnoteReference"/>
        </w:rPr>
        <w:footnoteRef/>
      </w:r>
      <w:r>
        <w:t xml:space="preserve"> </w:t>
      </w:r>
      <w:r>
        <w:tab/>
        <w:t xml:space="preserve">AusNet Transmission Group Pty Ltd, </w:t>
      </w:r>
      <w:r w:rsidRPr="00AC04F4">
        <w:rPr>
          <w:i/>
        </w:rPr>
        <w:t>Transmission Revenue Review 2017</w:t>
      </w:r>
      <w:r w:rsidRPr="00AC04F4">
        <w:rPr>
          <w:rFonts w:cs="Arial"/>
          <w:i/>
        </w:rPr>
        <w:t>–</w:t>
      </w:r>
      <w:r w:rsidRPr="00AC04F4">
        <w:rPr>
          <w:i/>
        </w:rPr>
        <w:t>2022 regulatory proposal</w:t>
      </w:r>
      <w:r>
        <w:t>, 30 October 2015, pp. 273</w:t>
      </w:r>
      <w:r>
        <w:rPr>
          <w:rFonts w:cs="Arial"/>
        </w:rPr>
        <w:t>–</w:t>
      </w:r>
      <w:r>
        <w:t>4.</w:t>
      </w:r>
    </w:p>
  </w:footnote>
  <w:footnote w:id="467">
    <w:p w:rsidR="003F1AAB" w:rsidRDefault="003F1AAB" w:rsidP="00E6234D">
      <w:pPr>
        <w:pStyle w:val="FootnoteText"/>
      </w:pPr>
      <w:r>
        <w:rPr>
          <w:rStyle w:val="FootnoteReference"/>
        </w:rPr>
        <w:footnoteRef/>
      </w:r>
      <w:r>
        <w:t xml:space="preserve"> </w:t>
      </w:r>
      <w:r>
        <w:tab/>
      </w:r>
      <w:r w:rsidRPr="00F95704">
        <w:t>We recognise that this appeal considered our approach prior to Bloomberg publishing a 10 year BVAL estimate. However, we specified in our contingencies for the approach under appeal that we would adopt a 10 year estimate where Bloomberg resumed publication of it.</w:t>
      </w:r>
    </w:p>
  </w:footnote>
  <w:footnote w:id="468">
    <w:p w:rsidR="003F1AAB" w:rsidRDefault="003F1AAB" w:rsidP="00E6234D">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141.</w:t>
      </w:r>
    </w:p>
  </w:footnote>
  <w:footnote w:id="469">
    <w:p w:rsidR="003F1AAB" w:rsidRDefault="003F1AAB" w:rsidP="00E6234D">
      <w:pPr>
        <w:pStyle w:val="FootnoteText"/>
      </w:pPr>
      <w:r>
        <w:rPr>
          <w:rStyle w:val="FootnoteReference"/>
        </w:rPr>
        <w:footnoteRef/>
      </w:r>
      <w:r>
        <w:t xml:space="preserve"> </w:t>
      </w:r>
      <w:r>
        <w:tab/>
        <w:t>AER analysis, calculated using the RBA F3 data release—'aggregate measures of Australian corporate bond spreads and yields: non-financial corporate bonds'.</w:t>
      </w:r>
    </w:p>
  </w:footnote>
  <w:footnote w:id="470">
    <w:p w:rsidR="003F1AAB" w:rsidRDefault="003F1AAB" w:rsidP="00E6234D">
      <w:pPr>
        <w:pStyle w:val="FootnoteText"/>
      </w:pPr>
      <w:r>
        <w:rPr>
          <w:rStyle w:val="FootnoteReference"/>
        </w:rPr>
        <w:footnoteRef/>
      </w:r>
      <w:r>
        <w:t xml:space="preserve"> </w:t>
      </w:r>
      <w:r>
        <w:tab/>
        <w:t xml:space="preserve">Based on our review of AusNet Transmission Group Pty Ltd, </w:t>
      </w:r>
      <w:r w:rsidRPr="0047386D">
        <w:rPr>
          <w:i/>
        </w:rPr>
        <w:t>Transmission Revenue Review 2017</w:t>
      </w:r>
      <w:r w:rsidRPr="0047386D">
        <w:rPr>
          <w:rFonts w:cs="Arial"/>
          <w:i/>
        </w:rPr>
        <w:t>–</w:t>
      </w:r>
      <w:r w:rsidRPr="0047386D">
        <w:rPr>
          <w:i/>
        </w:rPr>
        <w:t>2022 regulatory proposal</w:t>
      </w:r>
      <w:r>
        <w:t>, 30 October 2015.</w:t>
      </w:r>
    </w:p>
  </w:footnote>
  <w:footnote w:id="471">
    <w:p w:rsidR="003F1AAB" w:rsidRDefault="003F1AAB" w:rsidP="00E6234D">
      <w:pPr>
        <w:pStyle w:val="FootnoteText"/>
      </w:pPr>
      <w:r>
        <w:rPr>
          <w:rStyle w:val="FootnoteReference"/>
        </w:rPr>
        <w:footnoteRef/>
      </w:r>
      <w:r>
        <w:t xml:space="preserve"> </w:t>
      </w:r>
      <w:r>
        <w:tab/>
        <w:t xml:space="preserve">For example, see AER, </w:t>
      </w:r>
      <w:r w:rsidRPr="00AC04F4">
        <w:rPr>
          <w:i/>
        </w:rPr>
        <w:t xml:space="preserve">Final decision: Citipower distribution determination 2016 to 2020, Attachment 3 </w:t>
      </w:r>
      <w:r w:rsidRPr="00AC04F4">
        <w:rPr>
          <w:rFonts w:cs="Arial"/>
          <w:i/>
        </w:rPr>
        <w:t>–</w:t>
      </w:r>
      <w:r w:rsidRPr="00AC04F4">
        <w:rPr>
          <w:i/>
        </w:rPr>
        <w:t xml:space="preserve"> Rate of return</w:t>
      </w:r>
      <w:r>
        <w:t>, May 2016, pp. 354</w:t>
      </w:r>
      <w:r>
        <w:rPr>
          <w:rFonts w:cs="Arial"/>
        </w:rPr>
        <w:t>–</w:t>
      </w:r>
      <w:r>
        <w:t>6.</w:t>
      </w:r>
    </w:p>
  </w:footnote>
  <w:footnote w:id="472">
    <w:p w:rsidR="003F1AAB" w:rsidRDefault="003F1AAB" w:rsidP="00E6234D">
      <w:pPr>
        <w:pStyle w:val="FootnoteText"/>
      </w:pPr>
      <w:r>
        <w:rPr>
          <w:rStyle w:val="FootnoteReference"/>
        </w:rPr>
        <w:footnoteRef/>
      </w:r>
      <w:r>
        <w:t xml:space="preserve"> </w:t>
      </w:r>
      <w:r>
        <w:tab/>
        <w:t xml:space="preserve">For example, the difference between approaches over 2 June 2014 to 30 June 2014 was 0.22 basis points, or 0.0022 per cent. </w:t>
      </w:r>
    </w:p>
  </w:footnote>
  <w:footnote w:id="473">
    <w:p w:rsidR="003F1AAB" w:rsidRDefault="003F1AAB" w:rsidP="00E6234D">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474">
    <w:p w:rsidR="003F1AAB" w:rsidRDefault="003F1AAB" w:rsidP="00E6234D">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136.</w:t>
      </w:r>
    </w:p>
  </w:footnote>
  <w:footnote w:id="475">
    <w:p w:rsidR="003F1AAB" w:rsidRDefault="003F1AAB" w:rsidP="00E6234D">
      <w:pPr>
        <w:pStyle w:val="FootnoteText"/>
      </w:pPr>
      <w:r>
        <w:rPr>
          <w:rStyle w:val="FootnoteReference"/>
        </w:rPr>
        <w:footnoteRef/>
      </w:r>
      <w:r>
        <w:t xml:space="preserve"> </w:t>
      </w:r>
      <w:r>
        <w:tab/>
        <w:t xml:space="preserve">RBA, </w:t>
      </w:r>
      <w:r w:rsidRPr="00811ADF">
        <w:rPr>
          <w:rStyle w:val="AERtextitalic"/>
        </w:rPr>
        <w:t>Aggregate measures of Australia corporate bond spreads and yields</w:t>
      </w:r>
      <w:r>
        <w:t xml:space="preserve">, available at: </w:t>
      </w:r>
      <w:hyperlink r:id="rId11" w:history="1">
        <w:r w:rsidRPr="005B5C16">
          <w:rPr>
            <w:rStyle w:val="Hyperlink"/>
            <w:color w:val="auto"/>
            <w:sz w:val="16"/>
            <w:u w:val="none"/>
          </w:rPr>
          <w:t>http://www.rba.gov.au/statistics/tables/xls/f03hist.xls</w:t>
        </w:r>
      </w:hyperlink>
      <w:r w:rsidRPr="005B5C16">
        <w:t>.</w:t>
      </w:r>
    </w:p>
  </w:footnote>
  <w:footnote w:id="476">
    <w:p w:rsidR="003F1AAB" w:rsidRDefault="003F1AAB" w:rsidP="00E6234D">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477">
    <w:p w:rsidR="003F1AAB" w:rsidRDefault="003F1AAB" w:rsidP="00E6234D">
      <w:pPr>
        <w:pStyle w:val="FootnoteText"/>
      </w:pPr>
      <w:r>
        <w:rPr>
          <w:rStyle w:val="FootnoteReference"/>
        </w:rPr>
        <w:footnoteRef/>
      </w:r>
      <w:r>
        <w:t xml:space="preserve"> </w:t>
      </w:r>
      <w:r>
        <w:tab/>
        <w:t>Specifically, from 15 September 2014 to 3 November 2014.</w:t>
      </w:r>
    </w:p>
  </w:footnote>
  <w:footnote w:id="478">
    <w:p w:rsidR="003F1AAB" w:rsidRDefault="003F1AAB" w:rsidP="00E6234D">
      <w:pPr>
        <w:pStyle w:val="FootnoteText"/>
      </w:pPr>
      <w:r>
        <w:rPr>
          <w:rStyle w:val="FootnoteReference"/>
        </w:rPr>
        <w:footnoteRef/>
      </w:r>
      <w:r>
        <w:t xml:space="preserve"> </w:t>
      </w:r>
      <w:r>
        <w:tab/>
        <w:t>Specifically, 14 April 2015.</w:t>
      </w:r>
    </w:p>
  </w:footnote>
  <w:footnote w:id="479">
    <w:p w:rsidR="003F1AAB" w:rsidRDefault="003F1AAB" w:rsidP="00E6234D">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480">
    <w:p w:rsidR="003F1AAB" w:rsidRDefault="003F1AAB" w:rsidP="00E6234D">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481">
    <w:p w:rsidR="003F1AAB" w:rsidRDefault="003F1AAB" w:rsidP="00E6234D">
      <w:pPr>
        <w:pStyle w:val="FootnoteText"/>
      </w:pPr>
      <w:r>
        <w:rPr>
          <w:rStyle w:val="FootnoteReference"/>
        </w:rPr>
        <w:footnoteRef/>
      </w:r>
      <w:r>
        <w:t xml:space="preserve"> </w:t>
      </w:r>
      <w:r>
        <w:tab/>
        <w:t xml:space="preserve">For example, see AER, </w:t>
      </w:r>
      <w:r>
        <w:rPr>
          <w:rStyle w:val="AERtextitalic"/>
        </w:rPr>
        <w:t xml:space="preserve">Final </w:t>
      </w:r>
      <w:r w:rsidRPr="00D1603D">
        <w:rPr>
          <w:rStyle w:val="AERtextitalic"/>
        </w:rPr>
        <w:t>decision―CitiPower determination, Attachment 3: Rate of return</w:t>
      </w:r>
      <w:r>
        <w:t>, May 2016, pp. 359</w:t>
      </w:r>
      <w:r>
        <w:rPr>
          <w:rFonts w:cs="Arial"/>
        </w:rPr>
        <w:t>–61.</w:t>
      </w:r>
    </w:p>
  </w:footnote>
  <w:footnote w:id="482">
    <w:p w:rsidR="003F1AAB" w:rsidRDefault="003F1AAB" w:rsidP="00E6234D">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w:t>
      </w:r>
      <w:r>
        <w:t>hing a 10 year yield estimate.</w:t>
      </w:r>
    </w:p>
  </w:footnote>
  <w:footnote w:id="483">
    <w:p w:rsidR="003F1AAB" w:rsidRDefault="003F1AAB" w:rsidP="00E6234D">
      <w:pPr>
        <w:pStyle w:val="FootnoteText"/>
      </w:pPr>
      <w:r>
        <w:rPr>
          <w:rStyle w:val="FootnoteReference"/>
        </w:rPr>
        <w:footnoteRef/>
      </w:r>
      <w:r>
        <w:t xml:space="preserve"> </w:t>
      </w:r>
      <w:r>
        <w:tab/>
        <w:t>NER, cl. 6.5.2(l) and cl. 6A.6.2(l).</w:t>
      </w:r>
    </w:p>
  </w:footnote>
  <w:footnote w:id="484">
    <w:p w:rsidR="003F1AAB" w:rsidRDefault="003F1AAB" w:rsidP="00E6234D">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485">
    <w:p w:rsidR="003F1AAB" w:rsidRDefault="003F1AAB" w:rsidP="00E6234D">
      <w:pPr>
        <w:pStyle w:val="FootnoteText"/>
      </w:pPr>
      <w:r>
        <w:rPr>
          <w:rStyle w:val="FootnoteReference"/>
        </w:rPr>
        <w:footnoteRef/>
      </w:r>
      <w:r>
        <w:t xml:space="preserve"> </w:t>
      </w:r>
      <w:r>
        <w:tab/>
        <w:t>For example, for the current decisions we downloaded the RBA monthly data observation for August 2015 shortly after it was published (in September), and incorporated this data point into our prevailing return on debt estimates. After the RBA published its monthly observation for September (in October), we downloaded this data point too. This final data point is only relevant for estimation of AusNet's placeholder averaging period. In doing so, we noticed that it appears the RBA has revised its methodology (though does not appear to have explained this change), and has backcast its monthly observations for the entire data series which starts in January 2005. However, we have not incorporated this backcasted RBA data into our return on debt estimates. Instead, we have continued to use the data we downloaded at the time of estimation. We note that if we had incorporated the backdated RBA data this would have decreased the allowed return on debt for the Queensland, SA and Victorian electricity distributors by between approximately 1–2 basis points. Accordingly, in this instance, our approach of not using the backdated data is in this group of service providers' interests. Our approach will be symmetrical and consistent over time, so we will not use backcast data that results from a change in the RBA or Bloomberg's methodology regardless of whether it is in or against the interests of particular groups of service providers or particular groups of consumers.</w:t>
      </w:r>
    </w:p>
  </w:footnote>
  <w:footnote w:id="486">
    <w:p w:rsidR="003F1AAB" w:rsidRDefault="003F1AAB">
      <w:pPr>
        <w:pStyle w:val="FootnoteText"/>
      </w:pPr>
      <w:r>
        <w:rPr>
          <w:rStyle w:val="FootnoteReference"/>
        </w:rPr>
        <w:footnoteRef/>
      </w:r>
      <w:r>
        <w:t xml:space="preserve"> </w:t>
      </w:r>
      <w:r>
        <w:tab/>
      </w:r>
      <w:r w:rsidRPr="00A44864">
        <w:t>For example, where Bloomberg only publishes a 6 year curve, we will extrapolate it to 10 years using the 6 to 10 year yield margin from the RBA curve. Or, where Bloomberg only publishes a 7 year estimate, we will extrapolate it to 10 years using the 7 to 10 year yield margin from the RBA curve.</w:t>
      </w:r>
    </w:p>
  </w:footnote>
  <w:footnote w:id="487">
    <w:p w:rsidR="003F1AAB" w:rsidRDefault="003F1AAB" w:rsidP="00E6234D">
      <w:pPr>
        <w:pStyle w:val="FootnoteText"/>
      </w:pPr>
      <w:r>
        <w:rPr>
          <w:rStyle w:val="FootnoteReference"/>
        </w:rPr>
        <w:footnoteRef/>
      </w:r>
      <w:r>
        <w:t xml:space="preserve"> </w:t>
      </w:r>
      <w:r>
        <w:tab/>
        <w:t>Specifically, the spread to CGS.</w:t>
      </w:r>
    </w:p>
  </w:footnote>
  <w:footnote w:id="488">
    <w:p w:rsidR="003F1AAB" w:rsidRDefault="003F1AAB" w:rsidP="00E6234D">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489">
    <w:p w:rsidR="003F1AAB" w:rsidRDefault="003F1AAB" w:rsidP="00E6234D">
      <w:pPr>
        <w:pStyle w:val="FootnoteText"/>
      </w:pPr>
      <w:r>
        <w:rPr>
          <w:rStyle w:val="FootnoteReference"/>
        </w:rPr>
        <w:footnoteRef/>
      </w:r>
      <w:r>
        <w:t xml:space="preserve"> </w:t>
      </w:r>
      <w:r>
        <w:tab/>
        <w:t xml:space="preserve">AusNet Transmission Group Pty Ltd, </w:t>
      </w:r>
      <w:r w:rsidRPr="00AC04F4">
        <w:rPr>
          <w:i/>
        </w:rPr>
        <w:t>Transmission Revenue Review 2017</w:t>
      </w:r>
      <w:r w:rsidRPr="00AC04F4">
        <w:rPr>
          <w:rFonts w:cs="Arial"/>
          <w:i/>
        </w:rPr>
        <w:t>–</w:t>
      </w:r>
      <w:r w:rsidRPr="00AC04F4">
        <w:rPr>
          <w:i/>
        </w:rPr>
        <w:t>2022 regulatory proposal</w:t>
      </w:r>
      <w:r>
        <w:t>, 30 October 2015, p. 276.</w:t>
      </w:r>
    </w:p>
  </w:footnote>
  <w:footnote w:id="490">
    <w:p w:rsidR="003F1AAB" w:rsidRDefault="003F1AAB" w:rsidP="00E6234D">
      <w:pPr>
        <w:pStyle w:val="FootnoteText"/>
      </w:pPr>
      <w:r>
        <w:rPr>
          <w:rStyle w:val="FootnoteReference"/>
        </w:rPr>
        <w:footnoteRef/>
      </w:r>
      <w:r>
        <w:t xml:space="preserve"> </w:t>
      </w:r>
      <w:r>
        <w:tab/>
        <w:t>AusNet Services characterises</w:t>
      </w:r>
      <w:r w:rsidRPr="0018148E">
        <w:t xml:space="preserve"> </w:t>
      </w:r>
      <w:r>
        <w:t>a new issue premium as ‘t</w:t>
      </w:r>
      <w:r w:rsidRPr="000062C0">
        <w:t xml:space="preserve">he difference between the costs facing a business issuing bonds into the primary debt market </w:t>
      </w:r>
      <w:r>
        <w:t xml:space="preserve">[which would determine their effective cost of debt] </w:t>
      </w:r>
      <w:r w:rsidRPr="000062C0">
        <w:t>and trading in the secondary debt market</w:t>
      </w:r>
      <w:r>
        <w:t xml:space="preserve"> [which we use to estimate the debt allowance]’</w:t>
      </w:r>
      <w:r w:rsidDel="000062C0">
        <w:t xml:space="preserve"> </w:t>
      </w:r>
      <w:r>
        <w:t xml:space="preserve">. See AusNet Transmission Group Pty Ltd, </w:t>
      </w:r>
      <w:r w:rsidRPr="0047386D">
        <w:rPr>
          <w:i/>
        </w:rPr>
        <w:t>Transmission Revenue Review 2017</w:t>
      </w:r>
      <w:r w:rsidRPr="0047386D">
        <w:rPr>
          <w:rFonts w:cs="Arial"/>
          <w:i/>
        </w:rPr>
        <w:t>–</w:t>
      </w:r>
      <w:r w:rsidRPr="0047386D">
        <w:rPr>
          <w:i/>
        </w:rPr>
        <w:t>2022 regulatory proposal</w:t>
      </w:r>
      <w:r>
        <w:t>, 30 October 2015, p. 275.</w:t>
      </w:r>
    </w:p>
  </w:footnote>
  <w:footnote w:id="491">
    <w:p w:rsidR="003F1AAB" w:rsidRDefault="003F1AAB" w:rsidP="00E6234D">
      <w:pPr>
        <w:pStyle w:val="FootnoteText"/>
      </w:pPr>
      <w:r>
        <w:rPr>
          <w:rStyle w:val="FootnoteReference"/>
        </w:rPr>
        <w:footnoteRef/>
      </w:r>
      <w:r>
        <w:t xml:space="preserve"> </w:t>
      </w:r>
      <w:r>
        <w:tab/>
      </w:r>
      <w:r w:rsidRPr="00DC7F5E">
        <w:t xml:space="preserve">NER, </w:t>
      </w:r>
      <w:r>
        <w:t>cll.</w:t>
      </w:r>
      <w:r w:rsidRPr="00DC7F5E">
        <w:t xml:space="preserve"> 6.5.2(c) and 6.5.2(h); NGR, </w:t>
      </w:r>
      <w:r>
        <w:t>rr.</w:t>
      </w:r>
      <w:r w:rsidRPr="00DC7F5E">
        <w:t xml:space="preserve"> 87(3) and 87(10).</w:t>
      </w:r>
    </w:p>
  </w:footnote>
  <w:footnote w:id="492">
    <w:p w:rsidR="003F1AAB" w:rsidRDefault="003F1AAB" w:rsidP="00E6234D">
      <w:pPr>
        <w:pStyle w:val="FootnoteText"/>
      </w:pPr>
      <w:r>
        <w:rPr>
          <w:rStyle w:val="FootnoteReference"/>
        </w:rPr>
        <w:footnoteRef/>
      </w:r>
      <w:r>
        <w:t xml:space="preserve"> </w:t>
      </w:r>
      <w:r>
        <w:tab/>
        <w:t xml:space="preserve">CEG, </w:t>
      </w:r>
      <w:r w:rsidRPr="00ED0DF8">
        <w:rPr>
          <w:rStyle w:val="AERtextitalic"/>
        </w:rPr>
        <w:t>The New Issue Premium</w:t>
      </w:r>
      <w:r>
        <w:t>, October 2014.</w:t>
      </w:r>
    </w:p>
  </w:footnote>
  <w:footnote w:id="493">
    <w:p w:rsidR="003F1AAB" w:rsidRDefault="003F1AAB" w:rsidP="00E6234D">
      <w:pPr>
        <w:pStyle w:val="FootnoteText"/>
      </w:pPr>
      <w:r>
        <w:rPr>
          <w:rStyle w:val="FootnoteReference"/>
        </w:rPr>
        <w:footnoteRef/>
      </w:r>
      <w:r>
        <w:t xml:space="preserve"> </w:t>
      </w:r>
      <w:r>
        <w:tab/>
        <w:t xml:space="preserve">We raised some concerns in AER, </w:t>
      </w:r>
      <w:r w:rsidRPr="00ED0DF8">
        <w:rPr>
          <w:rStyle w:val="AERtextitalic"/>
        </w:rPr>
        <w:t>SA Power Networks Preliminary Decision - Attachment 3: Rate of Return</w:t>
      </w:r>
      <w:r>
        <w:t xml:space="preserve">, April 2015, pp. 478–481. CEG responded to these concerns in CEG, </w:t>
      </w:r>
      <w:r w:rsidRPr="00642D33">
        <w:rPr>
          <w:rStyle w:val="AERtextitalic"/>
        </w:rPr>
        <w:t>Critique of AER Analysis of New Issue Premium</w:t>
      </w:r>
      <w:r>
        <w:t>, December 2015.</w:t>
      </w:r>
    </w:p>
  </w:footnote>
  <w:footnote w:id="494">
    <w:p w:rsidR="003F1AAB" w:rsidRDefault="003F1AAB" w:rsidP="00E6234D">
      <w:pPr>
        <w:pStyle w:val="FootnoteText"/>
      </w:pPr>
      <w:r>
        <w:rPr>
          <w:rStyle w:val="FootnoteReference"/>
        </w:rPr>
        <w:footnoteRef/>
      </w:r>
      <w:r>
        <w:t xml:space="preserve"> </w:t>
      </w:r>
      <w:r>
        <w:tab/>
        <w:t xml:space="preserve">AER, </w:t>
      </w:r>
      <w:r w:rsidRPr="00CD7956">
        <w:rPr>
          <w:rStyle w:val="AERtextitalic"/>
        </w:rPr>
        <w:t>Final decision: United Energy distribution determination - Attachment 3: Rate of return</w:t>
      </w:r>
      <w:r>
        <w:t>, May 2016.</w:t>
      </w:r>
    </w:p>
  </w:footnote>
  <w:footnote w:id="495">
    <w:p w:rsidR="003F1AAB" w:rsidRDefault="003F1AAB" w:rsidP="00E6234D">
      <w:pPr>
        <w:pStyle w:val="FootnoteText"/>
      </w:pPr>
      <w:r>
        <w:rPr>
          <w:rStyle w:val="FootnoteReference"/>
        </w:rPr>
        <w:footnoteRef/>
      </w:r>
      <w:r>
        <w:t xml:space="preserve"> </w:t>
      </w:r>
      <w:r>
        <w:tab/>
        <w:t xml:space="preserve">AusNet Services, </w:t>
      </w:r>
      <w:r>
        <w:rPr>
          <w:rStyle w:val="Emphasis"/>
        </w:rPr>
        <w:t>Nominated debt averaging periods for AusNet Services’ 2017</w:t>
      </w:r>
      <w:r>
        <w:rPr>
          <w:rStyle w:val="Emphasis"/>
          <w:rFonts w:cs="Arial"/>
        </w:rPr>
        <w:t>–</w:t>
      </w:r>
      <w:r>
        <w:rPr>
          <w:rStyle w:val="Emphasis"/>
        </w:rPr>
        <w:t xml:space="preserve">22 transmission revenue reset, </w:t>
      </w:r>
      <w:r>
        <w:t xml:space="preserve">, 2 June 2016; AusNet Services, </w:t>
      </w:r>
      <w:r w:rsidRPr="00AC04F4">
        <w:rPr>
          <w:i/>
        </w:rPr>
        <w:t>Transmission revenue review, Appendix 10I: Averaging period letter (Confidential)</w:t>
      </w:r>
      <w:r>
        <w:t xml:space="preserve">, 30 October 2015. </w:t>
      </w:r>
    </w:p>
  </w:footnote>
  <w:footnote w:id="496">
    <w:p w:rsidR="003F1AAB" w:rsidRDefault="003F1AAB" w:rsidP="00E6234D">
      <w:pPr>
        <w:pStyle w:val="FootnoteText"/>
      </w:pPr>
      <w:r>
        <w:rPr>
          <w:rStyle w:val="FootnoteReference"/>
        </w:rPr>
        <w:footnoteRef/>
      </w:r>
      <w:r>
        <w:t xml:space="preserve"> </w:t>
      </w:r>
      <w:r>
        <w:tab/>
      </w:r>
      <w:r w:rsidRPr="007E60B1">
        <w:t xml:space="preserve">AER, </w:t>
      </w:r>
      <w:r w:rsidRPr="007E60B1">
        <w:rPr>
          <w:rStyle w:val="AERtextitalic"/>
        </w:rPr>
        <w:t>Rate of return guideline</w:t>
      </w:r>
      <w:r w:rsidRPr="007E60B1">
        <w:t>, December 2013, p. 21.</w:t>
      </w:r>
    </w:p>
  </w:footnote>
  <w:footnote w:id="497">
    <w:p w:rsidR="003F1AAB" w:rsidRDefault="003F1AAB" w:rsidP="00E6234D">
      <w:pPr>
        <w:pStyle w:val="FootnoteText"/>
      </w:pPr>
      <w:r>
        <w:rPr>
          <w:rStyle w:val="FootnoteReference"/>
        </w:rPr>
        <w:footnoteRef/>
      </w:r>
      <w:r>
        <w:t xml:space="preserve"> </w:t>
      </w:r>
      <w:r>
        <w:tab/>
      </w:r>
      <w:r w:rsidRPr="007E60B1">
        <w:t>NER</w:t>
      </w:r>
      <w:r>
        <w:t>,</w:t>
      </w:r>
      <w:r w:rsidRPr="007E60B1">
        <w:t xml:space="preserve"> c</w:t>
      </w:r>
      <w:r>
        <w:t>l</w:t>
      </w:r>
      <w:r w:rsidRPr="007E60B1">
        <w:t>l. 6.5.2(c)</w:t>
      </w:r>
      <w:r>
        <w:t xml:space="preserve"> and 6A.6.2(c); NGR, r. 87(3)</w:t>
      </w:r>
      <w:r w:rsidRPr="007E60B1">
        <w:t>.</w:t>
      </w:r>
    </w:p>
  </w:footnote>
  <w:footnote w:id="498">
    <w:p w:rsidR="003F1AAB" w:rsidRDefault="003F1AAB" w:rsidP="00E6234D">
      <w:pPr>
        <w:pStyle w:val="FootnoteText"/>
      </w:pPr>
      <w:r>
        <w:rPr>
          <w:rStyle w:val="FootnoteReference"/>
        </w:rPr>
        <w:footnoteRef/>
      </w:r>
      <w:r>
        <w:t xml:space="preserve"> </w:t>
      </w:r>
      <w:r>
        <w:tab/>
      </w:r>
      <w:r w:rsidRPr="005528EA">
        <w:t xml:space="preserve">Lally, </w:t>
      </w:r>
      <w:r w:rsidRPr="000A68E1">
        <w:rPr>
          <w:rStyle w:val="AERtextitalic"/>
        </w:rPr>
        <w:t>Expert Report of Martin Thomas Lally</w:t>
      </w:r>
      <w:r w:rsidRPr="005528EA">
        <w:t>, 13 February 2011, pp. 9–10.</w:t>
      </w:r>
    </w:p>
  </w:footnote>
  <w:footnote w:id="499">
    <w:p w:rsidR="003F1AAB" w:rsidRDefault="003F1AAB" w:rsidP="00F34DB3">
      <w:pPr>
        <w:pStyle w:val="FootnoteText"/>
      </w:pPr>
      <w:r>
        <w:rPr>
          <w:rStyle w:val="FootnoteReference"/>
        </w:rPr>
        <w:footnoteRef/>
      </w:r>
      <w:r>
        <w:t xml:space="preserve"> </w:t>
      </w:r>
      <w:r>
        <w:tab/>
        <w:t>A further possible constraint on the start date is that</w:t>
      </w:r>
      <w:r w:rsidRPr="00D76D56">
        <w:t>, as set out in the previous section, one of our conditions is at the time it is nominated all dates in the averaging period must take place in the future.</w:t>
      </w:r>
    </w:p>
  </w:footnote>
  <w:footnote w:id="500">
    <w:p w:rsidR="003F1AAB" w:rsidRDefault="003F1AAB" w:rsidP="006719DF">
      <w:pPr>
        <w:pStyle w:val="FootnoteText"/>
      </w:pPr>
      <w:r>
        <w:rPr>
          <w:rStyle w:val="FootnoteReference"/>
        </w:rPr>
        <w:footnoteRef/>
      </w:r>
      <w:r>
        <w:t xml:space="preserve"> </w:t>
      </w:r>
      <w:r>
        <w:tab/>
        <w:t xml:space="preserve">The RBA publishes its month end data on the third day of the following month. We consider the 6th business day of February will allow us to finalise our required calculations to inform AusNet of their debt allowance outcomes.  </w:t>
      </w:r>
    </w:p>
  </w:footnote>
  <w:footnote w:id="501">
    <w:p w:rsidR="003F1AAB" w:rsidRDefault="003F1AAB" w:rsidP="006719DF">
      <w:pPr>
        <w:pStyle w:val="FootnoteText"/>
      </w:pPr>
      <w:r>
        <w:rPr>
          <w:rStyle w:val="FootnoteReference"/>
        </w:rPr>
        <w:footnoteRef/>
      </w:r>
      <w:r>
        <w:t xml:space="preserve"> </w:t>
      </w:r>
      <w:r>
        <w:tab/>
      </w:r>
      <w:r w:rsidRPr="00AB7FB7">
        <w:t xml:space="preserve">See for example AER, </w:t>
      </w:r>
      <w:r w:rsidRPr="00AB7FB7">
        <w:rPr>
          <w:rStyle w:val="AERtextitalic"/>
        </w:rPr>
        <w:t>Final decision, TransGrid transmission determination, Attachment 3</w:t>
      </w:r>
      <w:r w:rsidRPr="00AB7FB7">
        <w:t>, April 2015.</w:t>
      </w:r>
    </w:p>
  </w:footnote>
  <w:footnote w:id="502">
    <w:p w:rsidR="003F1AAB" w:rsidRDefault="003F1AAB" w:rsidP="006719DF">
      <w:pPr>
        <w:pStyle w:val="FootnoteText"/>
      </w:pPr>
      <w:r>
        <w:rPr>
          <w:rStyle w:val="FootnoteReference"/>
        </w:rPr>
        <w:footnoteRef/>
      </w:r>
      <w:r>
        <w:t xml:space="preserve"> </w:t>
      </w:r>
      <w:r w:rsidRPr="00A3151D">
        <w:tab/>
        <w:t>Cl. 6A.24.2(b) and (c) of the NER.</w:t>
      </w:r>
    </w:p>
  </w:footnote>
  <w:footnote w:id="503">
    <w:p w:rsidR="003F1AAB" w:rsidRDefault="003F1AAB" w:rsidP="006719DF">
      <w:pPr>
        <w:pStyle w:val="FootnoteText"/>
      </w:pPr>
      <w:r>
        <w:rPr>
          <w:rStyle w:val="FootnoteReference"/>
        </w:rPr>
        <w:footnoteRef/>
      </w:r>
      <w:r>
        <w:t xml:space="preserve"> </w:t>
      </w:r>
      <w:r>
        <w:tab/>
        <w:t>AusNet Services, email to the Australian Energy Regulator, received 16:30 on 17 June 2016.</w:t>
      </w:r>
    </w:p>
  </w:footnote>
  <w:footnote w:id="504">
    <w:p w:rsidR="003F1AAB" w:rsidRDefault="003F1AAB" w:rsidP="006719DF">
      <w:pPr>
        <w:pStyle w:val="FootnoteText"/>
      </w:pPr>
      <w:r>
        <w:rPr>
          <w:rStyle w:val="FootnoteReference"/>
        </w:rPr>
        <w:footnoteRef/>
      </w:r>
      <w:r>
        <w:t xml:space="preserve"> </w:t>
      </w:r>
      <w:r>
        <w:tab/>
        <w:t>A further possible constraint on the start date is</w:t>
      </w:r>
      <w:r w:rsidRPr="00D76D56">
        <w:t>, as set out in the previous section, one of our conditions is at the time it is nominated all dates in the averaging period must take place in the future.</w:t>
      </w:r>
    </w:p>
  </w:footnote>
  <w:footnote w:id="505">
    <w:p w:rsidR="003F1AAB" w:rsidRDefault="003F1AAB" w:rsidP="00972CF8">
      <w:pPr>
        <w:pStyle w:val="FootnoteText"/>
      </w:pPr>
      <w:r>
        <w:rPr>
          <w:rStyle w:val="FootnoteReference"/>
        </w:rPr>
        <w:footnoteRef/>
      </w:r>
      <w:r>
        <w:t xml:space="preserve"> </w:t>
      </w:r>
      <w:r>
        <w:tab/>
        <w:t xml:space="preserve">AER, </w:t>
      </w:r>
      <w:r w:rsidRPr="00C94C77">
        <w:rPr>
          <w:i/>
        </w:rPr>
        <w:t>Rate of return guideline</w:t>
      </w:r>
      <w:r>
        <w:t xml:space="preserve">, December 2013, p. 9. AusNet Transmission Group Pty Ltd, </w:t>
      </w:r>
      <w:r w:rsidRPr="00C94C77">
        <w:rPr>
          <w:rStyle w:val="AERtextitalic"/>
        </w:rPr>
        <w:t>Transmission Revenue Review 2017–2022 regulatory proposal</w:t>
      </w:r>
      <w:r>
        <w:t>, 30 October 2015, p. 191.</w:t>
      </w:r>
    </w:p>
  </w:footnote>
  <w:footnote w:id="506">
    <w:p w:rsidR="003F1AAB" w:rsidRDefault="003F1AAB" w:rsidP="00972CF8">
      <w:pPr>
        <w:pStyle w:val="FootnoteText"/>
      </w:pPr>
      <w:r>
        <w:rPr>
          <w:rStyle w:val="FootnoteReference"/>
        </w:rPr>
        <w:footnoteRef/>
      </w:r>
      <w:r>
        <w:t xml:space="preserve"> </w:t>
      </w:r>
      <w:r>
        <w:tab/>
        <w:t>That is, if a service provider had a gearing ratio that was significantly different to the benchmark gearing ratio, then we would consider any implications of this for including that service provider within the sample used to estimate the industry median credit rating.</w:t>
      </w:r>
    </w:p>
  </w:footnote>
  <w:footnote w:id="507">
    <w:p w:rsidR="003F1AAB" w:rsidRDefault="003F1AAB" w:rsidP="00972CF8">
      <w:pPr>
        <w:pStyle w:val="FootnoteText"/>
      </w:pPr>
      <w:r>
        <w:rPr>
          <w:rStyle w:val="FootnoteReference"/>
        </w:rPr>
        <w:footnoteRef/>
      </w:r>
      <w:r>
        <w:t xml:space="preserve"> </w:t>
      </w:r>
      <w:r>
        <w:tab/>
        <w:t>See attachment 3 of our final decisions published in May 2016 for ActewAGL distribution (gas), AGN, APTNT, AusNet Services (distribution), CitiPower, Jemena Electricity Networks, Powercor and United Energy.</w:t>
      </w:r>
    </w:p>
  </w:footnote>
  <w:footnote w:id="508">
    <w:p w:rsidR="003F1AAB" w:rsidRDefault="003F1AAB" w:rsidP="00972CF8">
      <w:pPr>
        <w:pStyle w:val="FootnoteText"/>
      </w:pPr>
      <w:r>
        <w:rPr>
          <w:rStyle w:val="FootnoteReference"/>
        </w:rPr>
        <w:footnoteRef/>
      </w:r>
      <w:r>
        <w:t xml:space="preserve"> </w:t>
      </w:r>
      <w:r>
        <w:tab/>
        <w:t xml:space="preserve">Further, </w:t>
      </w:r>
      <w:r w:rsidRPr="007614B1">
        <w:t>RBA forecasts have been marginally more accurate than private sector forecasts</w:t>
      </w:r>
      <w:r>
        <w:t xml:space="preserve">. Tullip, P., Wallace, S., 'Estimates of uncertainty around the RBA’s forecasts’, </w:t>
      </w:r>
      <w:r w:rsidRPr="00EC657C">
        <w:rPr>
          <w:i/>
        </w:rPr>
        <w:t>RBA Research Discussion Paper – November 2012</w:t>
      </w:r>
      <w:r>
        <w:t xml:space="preserve">, RDP2012–07, p. 30. </w:t>
      </w:r>
    </w:p>
  </w:footnote>
  <w:footnote w:id="509">
    <w:p w:rsidR="003F1AAB" w:rsidRDefault="003F1AAB" w:rsidP="00972CF8">
      <w:pPr>
        <w:pStyle w:val="FootnoteText"/>
      </w:pPr>
      <w:r>
        <w:rPr>
          <w:rStyle w:val="FootnoteReference"/>
        </w:rPr>
        <w:footnoteRef/>
      </w:r>
      <w:r>
        <w:t xml:space="preserve"> </w:t>
      </w:r>
      <w:r>
        <w:tab/>
      </w:r>
      <w:r w:rsidRPr="00F93084">
        <w:t xml:space="preserve">AER, </w:t>
      </w:r>
      <w:r w:rsidRPr="00F93084">
        <w:rPr>
          <w:rStyle w:val="AERtextitalic"/>
        </w:rPr>
        <w:t>Final decision: SP AusNet transmission determination 2008–9 to 2013–14</w:t>
      </w:r>
      <w:r>
        <w:t>, January 2008, pp. 103</w:t>
      </w:r>
      <w:r w:rsidRPr="00DD1454">
        <w:t>–</w:t>
      </w:r>
      <w:r>
        <w:t xml:space="preserve">4; </w:t>
      </w:r>
      <w:r w:rsidRPr="00F93084">
        <w:t xml:space="preserve">RBA, </w:t>
      </w:r>
      <w:r>
        <w:rPr>
          <w:rStyle w:val="AERtextitalic"/>
        </w:rPr>
        <w:t>L</w:t>
      </w:r>
      <w:r w:rsidRPr="00DD1454">
        <w:rPr>
          <w:rStyle w:val="AERtextitalic"/>
        </w:rPr>
        <w:t>etter to ACCC</w:t>
      </w:r>
      <w:r>
        <w:t xml:space="preserve">, 9 August 2007, p. 3; </w:t>
      </w:r>
      <w:r w:rsidRPr="00F93084">
        <w:t xml:space="preserve">Australian Treasury, </w:t>
      </w:r>
      <w:r w:rsidRPr="00DD1454">
        <w:rPr>
          <w:rStyle w:val="AERtextitalic"/>
        </w:rPr>
        <w:t>The Treasury bond yield as a proxy for the CAPM risk-free rate, Letter to ACCC</w:t>
      </w:r>
      <w:r w:rsidRPr="00F93084">
        <w:t>, 7 August 2007</w:t>
      </w:r>
      <w:r>
        <w:t xml:space="preserve">, </w:t>
      </w:r>
      <w:r w:rsidRPr="00F93084">
        <w:t>p.</w:t>
      </w:r>
      <w:r>
        <w:t xml:space="preserve"> </w:t>
      </w:r>
      <w:r w:rsidRPr="00F93084">
        <w:t>5.</w:t>
      </w:r>
    </w:p>
  </w:footnote>
  <w:footnote w:id="510">
    <w:p w:rsidR="003F1AAB" w:rsidRDefault="003F1AAB">
      <w:pPr>
        <w:pStyle w:val="FootnoteText"/>
      </w:pPr>
      <w:r>
        <w:rPr>
          <w:rStyle w:val="FootnoteReference"/>
        </w:rPr>
        <w:footnoteRef/>
      </w:r>
      <w:r>
        <w:t xml:space="preserve"> </w:t>
      </w:r>
      <w:r>
        <w:tab/>
        <w:t>For clarity, the estimate in this table differs from estimates used in our May 2016 decisions. This is because, due to its regulatory control period commencing in April 2017, we apply a different forecast period for AusNet Services (transmission). While only one RBA forecast was available at the time of drafting this decision, two will be available when we update our estimates for the final decision.</w:t>
      </w:r>
    </w:p>
  </w:footnote>
  <w:footnote w:id="511">
    <w:p w:rsidR="003F1AAB" w:rsidRDefault="003F1AAB" w:rsidP="00972CF8">
      <w:pPr>
        <w:pStyle w:val="FootnoteText"/>
      </w:pPr>
      <w:r>
        <w:rPr>
          <w:rStyle w:val="FootnoteReference"/>
        </w:rPr>
        <w:footnoteRef/>
      </w:r>
      <w:r>
        <w:t xml:space="preserve"> </w:t>
      </w:r>
      <w:r>
        <w:tab/>
      </w:r>
      <w:r w:rsidRPr="00A9475D">
        <w:t>The</w:t>
      </w:r>
      <w:r>
        <w:t xml:space="preserve"> breakeven approach entails estimating the inflation rate </w:t>
      </w:r>
      <w:r w:rsidRPr="00A9475D">
        <w:t>in which an investor would be indifferent between investing in nominal bonds and indexed bonds.</w:t>
      </w:r>
      <w:r>
        <w:t xml:space="preserve"> This inflation rate is </w:t>
      </w:r>
      <w:r w:rsidRPr="00A9475D">
        <w:t>implied from nominal and indexed bond yields of the same maturity.</w:t>
      </w:r>
      <w:r>
        <w:t xml:space="preserve"> </w:t>
      </w:r>
    </w:p>
  </w:footnote>
  <w:footnote w:id="512">
    <w:p w:rsidR="003F1AAB" w:rsidRDefault="003F1AAB" w:rsidP="00972CF8">
      <w:pPr>
        <w:pStyle w:val="FootnoteText"/>
      </w:pPr>
      <w:r>
        <w:rPr>
          <w:rStyle w:val="FootnoteReference"/>
        </w:rPr>
        <w:footnoteRef/>
      </w:r>
      <w:r>
        <w:t xml:space="preserve"> </w:t>
      </w:r>
      <w:r>
        <w:tab/>
        <w:t xml:space="preserve">AusNet Services, </w:t>
      </w:r>
      <w:r w:rsidRPr="00DC0445">
        <w:rPr>
          <w:i/>
        </w:rPr>
        <w:t>RINs schedule 1 – 4.2.b – Forecast inflation estimate</w:t>
      </w:r>
      <w:r>
        <w:t>, October 2015.</w:t>
      </w:r>
    </w:p>
  </w:footnote>
  <w:footnote w:id="513">
    <w:p w:rsidR="003F1AAB" w:rsidRDefault="003F1AAB" w:rsidP="00972CF8">
      <w:pPr>
        <w:pStyle w:val="FootnoteText"/>
      </w:pPr>
      <w:r>
        <w:rPr>
          <w:rStyle w:val="FootnoteReference"/>
        </w:rPr>
        <w:footnoteRef/>
      </w:r>
      <w:r>
        <w:t xml:space="preserve"> </w:t>
      </w:r>
      <w:r>
        <w:tab/>
        <w:t>We consider we would need to adjust for biases if we estimated breakeven expected inflation using either interest swaps or indexed CGSs. However, some evidence indicates that inflation swaps might produce better estimates than indexed CGSs. For instance, i</w:t>
      </w:r>
      <w:r w:rsidRPr="00513EB9">
        <w:t xml:space="preserve">n February 2015, the RBA noted </w:t>
      </w:r>
      <w:r>
        <w:t xml:space="preserve">that </w:t>
      </w:r>
      <w:r w:rsidRPr="00513EB9">
        <w:t xml:space="preserve">fluctuations in market liquidity </w:t>
      </w:r>
      <w:r>
        <w:t>affect the inflation swap market</w:t>
      </w:r>
      <w:r w:rsidRPr="00513EB9">
        <w:t xml:space="preserve"> less </w:t>
      </w:r>
      <w:r>
        <w:t>than</w:t>
      </w:r>
      <w:r w:rsidRPr="00513EB9">
        <w:t xml:space="preserve"> </w:t>
      </w:r>
      <w:r>
        <w:t>the indexed CGS market</w:t>
      </w:r>
      <w:r w:rsidRPr="00513EB9">
        <w:t xml:space="preserve">. </w:t>
      </w:r>
      <w:r>
        <w:t>See RBA</w:t>
      </w:r>
      <w:r w:rsidRPr="00565371">
        <w:t xml:space="preserve">, </w:t>
      </w:r>
      <w:r w:rsidRPr="00CD79C5">
        <w:rPr>
          <w:rStyle w:val="AERtextitalic"/>
        </w:rPr>
        <w:t>Statement on Monetary Policy</w:t>
      </w:r>
      <w:r w:rsidRPr="00565371">
        <w:t>, February</w:t>
      </w:r>
      <w:r>
        <w:t xml:space="preserve"> 2015</w:t>
      </w:r>
      <w:r w:rsidRPr="00565371">
        <w:t>, p. 50</w:t>
      </w:r>
      <w:r>
        <w:t>. T</w:t>
      </w:r>
      <w:r w:rsidRPr="00513EB9">
        <w:t xml:space="preserve">he RBA </w:t>
      </w:r>
      <w:r>
        <w:t xml:space="preserve">previously found </w:t>
      </w:r>
      <w:r w:rsidRPr="00513EB9">
        <w:t>inflation swaps tend to be a more useful source of information on expected inflation in practice since (as of March 2012) there were few indexed CGS on issue and that the indexed CGS</w:t>
      </w:r>
      <w:r>
        <w:t xml:space="preserve">s were </w:t>
      </w:r>
      <w:r w:rsidRPr="00513EB9">
        <w:t>somewhat less liquid than nominal CGS</w:t>
      </w:r>
      <w:r>
        <w:t>s</w:t>
      </w:r>
      <w:r w:rsidRPr="00513EB9">
        <w:t xml:space="preserve">.  While the supply of indexed CGS has increased since the RBA’s finding, the liquidity of indexed CGS relative to that of nominal CGS appears not to have improved considerably.  </w:t>
      </w:r>
      <w:r>
        <w:t xml:space="preserve">See; </w:t>
      </w:r>
      <w:r w:rsidRPr="00565371">
        <w:t>Finlay</w:t>
      </w:r>
      <w:r>
        <w:t xml:space="preserve">, R., </w:t>
      </w:r>
      <w:r w:rsidRPr="00565371">
        <w:t>Olivan</w:t>
      </w:r>
      <w:r>
        <w:t>, D.</w:t>
      </w:r>
      <w:r w:rsidRPr="00565371">
        <w:t xml:space="preserve">, ‘Extracting Information from Financial Market Instruments’, </w:t>
      </w:r>
      <w:r w:rsidRPr="007D3879">
        <w:rPr>
          <w:rStyle w:val="AERtextitalic"/>
        </w:rPr>
        <w:t>RBA Bulletin</w:t>
      </w:r>
      <w:r w:rsidRPr="00565371">
        <w:t>, March Quarter</w:t>
      </w:r>
      <w:r>
        <w:t xml:space="preserve"> 2012</w:t>
      </w:r>
      <w:r w:rsidRPr="00565371">
        <w:t>, pp. 45</w:t>
      </w:r>
      <w:r>
        <w:t>–</w:t>
      </w:r>
      <w:r w:rsidRPr="00565371">
        <w:t>46.</w:t>
      </w:r>
    </w:p>
  </w:footnote>
  <w:footnote w:id="514">
    <w:p w:rsidR="003F1AAB" w:rsidRDefault="003F1AAB" w:rsidP="00972CF8">
      <w:pPr>
        <w:pStyle w:val="FootnoteText"/>
      </w:pPr>
      <w:r>
        <w:rPr>
          <w:rStyle w:val="FootnoteReference"/>
        </w:rPr>
        <w:footnoteRef/>
      </w:r>
      <w:r>
        <w:t xml:space="preserve"> </w:t>
      </w:r>
      <w:r>
        <w:tab/>
        <w:t>As required by of cll. 6.16 and 6A.20 of the NER.</w:t>
      </w:r>
    </w:p>
  </w:footnote>
  <w:footnote w:id="515">
    <w:p w:rsidR="003F1AAB" w:rsidRDefault="003F1AAB" w:rsidP="00972CF8">
      <w:pPr>
        <w:pStyle w:val="FootnoteText"/>
      </w:pPr>
      <w:r>
        <w:rPr>
          <w:rStyle w:val="FootnoteReference"/>
        </w:rPr>
        <w:footnoteRef/>
      </w:r>
      <w:r>
        <w:t xml:space="preserve"> </w:t>
      </w:r>
      <w:r>
        <w:tab/>
        <w:t xml:space="preserve">Tullip, P., Wallace, S., 'Estimates of uncertainty around the RBA’s forecasts’, </w:t>
      </w:r>
      <w:r w:rsidRPr="00EC657C">
        <w:rPr>
          <w:i/>
        </w:rPr>
        <w:t>RBA Research Discussion Paper – November 2012</w:t>
      </w:r>
      <w:r>
        <w:t xml:space="preserve">, RDP2012-07, p. 30. </w:t>
      </w:r>
    </w:p>
  </w:footnote>
  <w:footnote w:id="516">
    <w:p w:rsidR="003F1AAB" w:rsidRDefault="003F1AAB" w:rsidP="00972CF8">
      <w:pPr>
        <w:pStyle w:val="FootnoteText"/>
      </w:pPr>
      <w:r>
        <w:rPr>
          <w:rStyle w:val="FootnoteReference"/>
        </w:rPr>
        <w:footnoteRef/>
      </w:r>
      <w:r>
        <w:t xml:space="preserve"> </w:t>
      </w:r>
      <w:r>
        <w:tab/>
      </w:r>
      <w:r w:rsidRPr="00F93084">
        <w:t xml:space="preserve">AER, </w:t>
      </w:r>
      <w:r w:rsidRPr="00F93084">
        <w:rPr>
          <w:rStyle w:val="AERtextitalic"/>
        </w:rPr>
        <w:t>Final decision: SP AusNet transmission determination 2008–9 to 2013–14</w:t>
      </w:r>
      <w:r>
        <w:t>, January 2008, pp. 103</w:t>
      </w:r>
      <w:r w:rsidRPr="00DD1454">
        <w:t>–</w:t>
      </w:r>
      <w:r>
        <w:t xml:space="preserve">4; </w:t>
      </w:r>
      <w:r w:rsidRPr="00F93084">
        <w:t xml:space="preserve">RBA, </w:t>
      </w:r>
      <w:r>
        <w:rPr>
          <w:rStyle w:val="AERtextitalic"/>
        </w:rPr>
        <w:t>L</w:t>
      </w:r>
      <w:r w:rsidRPr="00DD1454">
        <w:rPr>
          <w:rStyle w:val="AERtextitalic"/>
        </w:rPr>
        <w:t>etter to ACCC</w:t>
      </w:r>
      <w:r>
        <w:t xml:space="preserve">, 9 August 2007, p. 3; </w:t>
      </w:r>
      <w:r w:rsidRPr="00F93084">
        <w:t xml:space="preserve">Australian Treasury, </w:t>
      </w:r>
      <w:r w:rsidRPr="00DD1454">
        <w:rPr>
          <w:rStyle w:val="AERtextitalic"/>
        </w:rPr>
        <w:t>The Treasury bond yield as a proxy for the CAPM risk-free rate, Letter to ACCC</w:t>
      </w:r>
      <w:r w:rsidRPr="00F93084">
        <w:t>, 7 August 2007</w:t>
      </w:r>
      <w:r>
        <w:t xml:space="preserve">, </w:t>
      </w:r>
      <w:r w:rsidRPr="00F93084">
        <w:t>p.</w:t>
      </w:r>
      <w:r>
        <w:t xml:space="preserve"> </w:t>
      </w:r>
      <w:r w:rsidRPr="00F93084">
        <w:t>5.</w:t>
      </w:r>
    </w:p>
  </w:footnote>
  <w:footnote w:id="517">
    <w:p w:rsidR="003F1AAB" w:rsidRDefault="003F1AAB" w:rsidP="00972CF8">
      <w:pPr>
        <w:pStyle w:val="FootnoteText"/>
      </w:pPr>
      <w:r>
        <w:rPr>
          <w:rStyle w:val="FootnoteReference"/>
        </w:rPr>
        <w:footnoteRef/>
      </w:r>
      <w:r>
        <w:t xml:space="preserve"> </w:t>
      </w:r>
      <w:r>
        <w:tab/>
        <w:t xml:space="preserve">For example, see Barne, M.L.; Bodie, Z.; Triest, R.K.; Wang, J.C., 'A TIPS scorecard: are they accomplishing their objectives?', </w:t>
      </w:r>
      <w:r w:rsidRPr="002803B6">
        <w:rPr>
          <w:rStyle w:val="AERtextitalic"/>
        </w:rPr>
        <w:t>Financial Analysts Journal</w:t>
      </w:r>
      <w:r>
        <w:t xml:space="preserve">, Vol. 66, No. 5, 2015, p. 70; D'Amico, S., Kim, D.H., Wei, M., 'Tips from TIPS: the informational content of Treasury inflation-protected security prices', </w:t>
      </w:r>
      <w:r w:rsidRPr="001711CB">
        <w:rPr>
          <w:rStyle w:val="AERtextitalic"/>
        </w:rPr>
        <w:t>Federal Reserve Board</w:t>
      </w:r>
      <w:r>
        <w:t>, Washington D.C., 2010</w:t>
      </w:r>
      <w:r>
        <w:rPr>
          <w:rFonts w:cs="Arial"/>
        </w:rPr>
        <w:t>–</w:t>
      </w:r>
      <w:r>
        <w:t>19 (Version December 2009), p. 2.</w:t>
      </w:r>
    </w:p>
  </w:footnote>
  <w:footnote w:id="518">
    <w:p w:rsidR="003F1AAB" w:rsidRDefault="003F1AAB" w:rsidP="00972CF8">
      <w:pPr>
        <w:pStyle w:val="FootnoteText"/>
      </w:pPr>
      <w:r>
        <w:rPr>
          <w:rStyle w:val="FootnoteReference"/>
        </w:rPr>
        <w:footnoteRef/>
      </w:r>
      <w:r>
        <w:t xml:space="preserve"> </w:t>
      </w:r>
      <w:r>
        <w:tab/>
        <w:t xml:space="preserve">Scholtes, C., </w:t>
      </w:r>
      <w:r w:rsidRPr="00B0559D">
        <w:t xml:space="preserve">‘On market-based measures of inflation expectations’, </w:t>
      </w:r>
      <w:r w:rsidRPr="00B0559D">
        <w:rPr>
          <w:rStyle w:val="AERtextitalic"/>
        </w:rPr>
        <w:t>Bank of England Quarterly Bulletin</w:t>
      </w:r>
      <w:r>
        <w:t xml:space="preserve">, </w:t>
      </w:r>
      <w:r w:rsidRPr="00B0559D">
        <w:t>Spring</w:t>
      </w:r>
      <w:r>
        <w:t xml:space="preserve"> 2002</w:t>
      </w:r>
      <w:r w:rsidRPr="00B0559D">
        <w:t>, p. 71.</w:t>
      </w:r>
    </w:p>
  </w:footnote>
  <w:footnote w:id="519">
    <w:p w:rsidR="003F1AAB" w:rsidRDefault="003F1AAB" w:rsidP="00972CF8">
      <w:pPr>
        <w:pStyle w:val="FootnoteText"/>
      </w:pPr>
      <w:r>
        <w:rPr>
          <w:rStyle w:val="FootnoteReference"/>
        </w:rPr>
        <w:footnoteRef/>
      </w:r>
      <w:r>
        <w:t xml:space="preserve"> </w:t>
      </w:r>
      <w:r>
        <w:tab/>
      </w:r>
      <w:r w:rsidRPr="00C048AF">
        <w:t xml:space="preserve">Examining the US bond market over 2000 to 2008, Grishchenko and Huang (2012) </w:t>
      </w:r>
      <w:r>
        <w:t xml:space="preserve">found the inflation risk premium to range </w:t>
      </w:r>
      <w:r w:rsidRPr="00C048AF">
        <w:t>from -0.16 to 0.10. They attribute</w:t>
      </w:r>
      <w:r>
        <w:t>d</w:t>
      </w:r>
      <w:r w:rsidRPr="00C048AF">
        <w:t xml:space="preserve"> the negative inflation risk premium embedded in nominal bonds to the deflation scare of 200</w:t>
      </w:r>
      <w:r>
        <w:t>2–</w:t>
      </w:r>
      <w:r w:rsidRPr="00C048AF">
        <w:t>2003 and the illiquidity of indexed bonds. Grishchenko</w:t>
      </w:r>
      <w:r>
        <w:t xml:space="preserve">, O., Huang,  J.Z. </w:t>
      </w:r>
      <w:r w:rsidRPr="00C048AF">
        <w:t xml:space="preserve">(2012), ‘Inflation Risk Premium: Evidence from the TIPS market’, Finance and Economics Discussion Series Divisions of Research and Statistics and Monetary Affairs, Federal Reserve Board, Washington, D.C. 2012-06, pp. </w:t>
      </w:r>
      <w:r>
        <w:t>1–</w:t>
      </w:r>
      <w:r w:rsidRPr="00C048AF">
        <w:t>46. Campbell and Shiller also f</w:t>
      </w:r>
      <w:r>
        <w:t>ound</w:t>
      </w:r>
      <w:r w:rsidRPr="00C048AF">
        <w:t xml:space="preserve"> that with inflation positively correlated with stock prices during the US economic downturn (2009), the inflation risk premium in nominal Treasury bonds is likely negative. </w:t>
      </w:r>
      <w:r>
        <w:t xml:space="preserve">See </w:t>
      </w:r>
      <w:r w:rsidRPr="00C048AF">
        <w:t>Campbell,</w:t>
      </w:r>
      <w:r>
        <w:t xml:space="preserve"> J., </w:t>
      </w:r>
      <w:r w:rsidRPr="00C048AF">
        <w:t>Shiller</w:t>
      </w:r>
      <w:r>
        <w:t xml:space="preserve">, R., Viceira, L. </w:t>
      </w:r>
      <w:r w:rsidRPr="00C048AF">
        <w:t xml:space="preserve">(2009), ‘Understanding Inflation-Indexed Bond Markets’, </w:t>
      </w:r>
      <w:r w:rsidRPr="008B1038">
        <w:rPr>
          <w:rStyle w:val="AERtextitalic"/>
        </w:rPr>
        <w:t>Brookings Papers on Economic Activity</w:t>
      </w:r>
      <w:r w:rsidRPr="00C048AF">
        <w:t>, Spring 2009, p. 115.</w:t>
      </w:r>
    </w:p>
  </w:footnote>
  <w:footnote w:id="520">
    <w:p w:rsidR="003F1AAB" w:rsidRDefault="003F1AAB" w:rsidP="00972CF8">
      <w:pPr>
        <w:pStyle w:val="FootnoteText"/>
      </w:pPr>
      <w:r>
        <w:rPr>
          <w:rStyle w:val="FootnoteReference"/>
        </w:rPr>
        <w:footnoteRef/>
      </w:r>
      <w:r>
        <w:t xml:space="preserve"> </w:t>
      </w:r>
      <w:r>
        <w:tab/>
      </w:r>
      <w:r w:rsidRPr="00973235">
        <w:t>Shen</w:t>
      </w:r>
      <w:r>
        <w:t>, P.,</w:t>
      </w:r>
      <w:r w:rsidRPr="00973235">
        <w:t xml:space="preserve"> </w:t>
      </w:r>
      <w:r>
        <w:t>Corning, J.</w:t>
      </w:r>
      <w:r w:rsidRPr="00973235">
        <w:t>, ‘Can TIPS Help Identify Lon</w:t>
      </w:r>
      <w:r>
        <w:t xml:space="preserve">g-Term Inflation Expectations?’, </w:t>
      </w:r>
      <w:r w:rsidRPr="00973235">
        <w:rPr>
          <w:rStyle w:val="AERtextitalic"/>
        </w:rPr>
        <w:t>Federal Reserve Bank of Kansas City, Economic Review</w:t>
      </w:r>
      <w:r w:rsidRPr="00973235">
        <w:t>, Fourth Quarter</w:t>
      </w:r>
      <w:r>
        <w:t xml:space="preserve"> 2001, pp. 61–</w:t>
      </w:r>
      <w:r w:rsidRPr="00973235">
        <w:t>87.</w:t>
      </w:r>
    </w:p>
  </w:footnote>
  <w:footnote w:id="521">
    <w:p w:rsidR="003F1AAB" w:rsidRDefault="003F1AAB" w:rsidP="00972CF8">
      <w:pPr>
        <w:pStyle w:val="FootnoteText"/>
      </w:pPr>
      <w:r>
        <w:rPr>
          <w:rStyle w:val="FootnoteReference"/>
        </w:rPr>
        <w:footnoteRef/>
      </w:r>
      <w:r>
        <w:t xml:space="preserve"> </w:t>
      </w:r>
      <w:r>
        <w:tab/>
      </w:r>
      <w:r w:rsidRPr="002A517F">
        <w:t>The RBA observed that because indexed CGS are indexed with a lag (of 4.5 to 5.5 months)</w:t>
      </w:r>
      <w:r>
        <w:t>,</w:t>
      </w:r>
      <w:r w:rsidRPr="002A517F">
        <w:t xml:space="preserve"> indexed CGS yields also reflect historical inflation not just future expected inflation. </w:t>
      </w:r>
      <w:r>
        <w:t xml:space="preserve">The RBA noted because of indexation lag, the high realised inflation rate during 2008 was reflected in the narrow breakeven inflation rate of 90 basis points during that year (based on a 2 year breakeven inflation rate), although other potential causes of the narrow breakeven rate were also identified, such as a possible increase in indexed bond liquidity premia. </w:t>
      </w:r>
      <w:r w:rsidRPr="002A517F">
        <w:t>The RBA had undertaken modelling to remove the index lag distortion from indexed bond yields in their estimation of expected inflation from the implied breakeven inflation rate.</w:t>
      </w:r>
      <w:r>
        <w:t xml:space="preserve"> </w:t>
      </w:r>
      <w:r w:rsidRPr="00973235">
        <w:t>Finlay</w:t>
      </w:r>
      <w:r>
        <w:t>, R,</w:t>
      </w:r>
      <w:r w:rsidRPr="00973235">
        <w:t xml:space="preserve"> Wende</w:t>
      </w:r>
      <w:r>
        <w:t>, S.</w:t>
      </w:r>
      <w:r w:rsidRPr="00973235">
        <w:t xml:space="preserve">, ‘Estimating Inflation Expectations with a Limited Number of Inflation-indexed Bonds’, </w:t>
      </w:r>
      <w:r w:rsidRPr="00973235">
        <w:rPr>
          <w:rStyle w:val="AERtextitalic"/>
        </w:rPr>
        <w:t>Resear</w:t>
      </w:r>
      <w:r>
        <w:rPr>
          <w:rStyle w:val="AERtextitalic"/>
        </w:rPr>
        <w:t xml:space="preserve">ch Discussion Paper: </w:t>
      </w:r>
      <w:r w:rsidRPr="00973235">
        <w:rPr>
          <w:rStyle w:val="AERtextitalic"/>
        </w:rPr>
        <w:t>Reserve Bank of Australia</w:t>
      </w:r>
      <w:r w:rsidRPr="00973235">
        <w:t>, RDP 2011-01, March</w:t>
      </w:r>
      <w:r>
        <w:t xml:space="preserve"> 2011</w:t>
      </w:r>
      <w:r w:rsidRPr="00973235">
        <w:t>, p</w:t>
      </w:r>
      <w:r>
        <w:t>p</w:t>
      </w:r>
      <w:r w:rsidRPr="00973235">
        <w:t>.</w:t>
      </w:r>
      <w:r>
        <w:t xml:space="preserve"> 17</w:t>
      </w:r>
      <w:r>
        <w:rPr>
          <w:rFonts w:cs="Arial"/>
        </w:rPr>
        <w:t>–</w:t>
      </w:r>
      <w:r>
        <w:t>18,</w:t>
      </w:r>
      <w:r w:rsidRPr="00973235">
        <w:t xml:space="preserve"> 20.</w:t>
      </w:r>
    </w:p>
  </w:footnote>
  <w:footnote w:id="522">
    <w:p w:rsidR="003F1AAB" w:rsidRDefault="003F1AAB" w:rsidP="00972CF8">
      <w:pPr>
        <w:pStyle w:val="FootnoteText"/>
      </w:pPr>
      <w:r>
        <w:rPr>
          <w:rStyle w:val="FootnoteReference"/>
        </w:rPr>
        <w:footnoteRef/>
      </w:r>
      <w:r>
        <w:t xml:space="preserve"> </w:t>
      </w:r>
      <w:r>
        <w:tab/>
        <w:t xml:space="preserve">Grishchenko and Huang found </w:t>
      </w:r>
      <w:r w:rsidRPr="00973235">
        <w:t xml:space="preserve">the indexation lag of 3 months for 10 year indexed US treasuries added over 4 basis points to real yields. </w:t>
      </w:r>
      <w:r w:rsidRPr="00B0559D">
        <w:t>Grishchenko</w:t>
      </w:r>
      <w:r>
        <w:t>, O., Huang, J.Z.</w:t>
      </w:r>
      <w:r w:rsidRPr="00B0559D">
        <w:t>, ‘Inflation Risk Premium: Evidence from the TIPS market’, F</w:t>
      </w:r>
      <w:r w:rsidRPr="00716CBC">
        <w:rPr>
          <w:rStyle w:val="AERtextitalic"/>
        </w:rPr>
        <w:t>inance and Economics Discussion Series Divisions of Research and Statistics and Monetary Affairs</w:t>
      </w:r>
      <w:r>
        <w:t xml:space="preserve">, Federal Reserve Board: </w:t>
      </w:r>
      <w:r w:rsidRPr="00B0559D">
        <w:t>Was</w:t>
      </w:r>
      <w:r>
        <w:t>hington D.C., 2012, pp. 1</w:t>
      </w:r>
      <w:r w:rsidRPr="00973235">
        <w:t>–</w:t>
      </w:r>
      <w:r>
        <w:t>46</w:t>
      </w:r>
      <w:r w:rsidRPr="00B0559D">
        <w:t>.</w:t>
      </w:r>
    </w:p>
  </w:footnote>
  <w:footnote w:id="523">
    <w:p w:rsidR="003F1AAB" w:rsidRDefault="003F1AAB" w:rsidP="00972CF8">
      <w:pPr>
        <w:pStyle w:val="FootnoteText"/>
      </w:pPr>
      <w:r>
        <w:rPr>
          <w:rStyle w:val="FootnoteReference"/>
        </w:rPr>
        <w:footnoteRef/>
      </w:r>
      <w:r>
        <w:t xml:space="preserve"> </w:t>
      </w:r>
      <w:r>
        <w:tab/>
      </w:r>
      <w:r w:rsidRPr="00E6433E">
        <w:t xml:space="preserve">CEG, </w:t>
      </w:r>
      <w:r w:rsidRPr="00E6433E">
        <w:rPr>
          <w:rStyle w:val="AERtextitalic"/>
        </w:rPr>
        <w:t>Expected inflation estimation methodology: A report for Country Energy</w:t>
      </w:r>
      <w:r w:rsidRPr="00E6433E">
        <w:t>, April 2008</w:t>
      </w:r>
      <w:r>
        <w:t xml:space="preserve">; </w:t>
      </w:r>
      <w:r w:rsidRPr="00E6433E">
        <w:t xml:space="preserve">Commonwealth Treasury, </w:t>
      </w:r>
      <w:r w:rsidRPr="00E6433E">
        <w:rPr>
          <w:rStyle w:val="AERtextitalic"/>
        </w:rPr>
        <w:t>Letter to Joe Dimasi, ACCC, ‘The Treasury Bond Yield As a Proxy For the CAPM Risk-Free Rate’</w:t>
      </w:r>
      <w:r w:rsidRPr="00E6433E">
        <w:t>, 7 August 2007</w:t>
      </w:r>
      <w:r>
        <w:t xml:space="preserve">; </w:t>
      </w:r>
      <w:r w:rsidRPr="00E6433E">
        <w:t xml:space="preserve">NERA, </w:t>
      </w:r>
      <w:r w:rsidRPr="00E6433E">
        <w:rPr>
          <w:rStyle w:val="AERtextitalic"/>
        </w:rPr>
        <w:t>Bias in the indexed CGS yields as a proxy for the CAPM risk free rate: A report for the ENA</w:t>
      </w:r>
      <w:r>
        <w:t xml:space="preserve">, March 2007; </w:t>
      </w:r>
      <w:r w:rsidRPr="00E6433E">
        <w:t xml:space="preserve">RBA, </w:t>
      </w:r>
      <w:r w:rsidRPr="00E6433E">
        <w:rPr>
          <w:rStyle w:val="AERtextitalic"/>
        </w:rPr>
        <w:t xml:space="preserve">Letter to Joe Dimasi, ACCC, Comments on a report prepared by NERA concerning the Commonwealth Government bond </w:t>
      </w:r>
      <w:r>
        <w:rPr>
          <w:rStyle w:val="AERtextitalic"/>
        </w:rPr>
        <w:t>market</w:t>
      </w:r>
      <w:r w:rsidRPr="00E6433E">
        <w:t>, 9 August 2007</w:t>
      </w:r>
      <w:r>
        <w:t>.</w:t>
      </w:r>
    </w:p>
  </w:footnote>
  <w:footnote w:id="524">
    <w:p w:rsidR="003F1AAB" w:rsidRDefault="003F1AAB" w:rsidP="00972CF8">
      <w:pPr>
        <w:pStyle w:val="FootnoteText"/>
      </w:pPr>
      <w:r>
        <w:rPr>
          <w:rStyle w:val="FootnoteReference"/>
        </w:rPr>
        <w:footnoteRef/>
      </w:r>
      <w:r>
        <w:t xml:space="preserve"> </w:t>
      </w:r>
      <w:r>
        <w:tab/>
        <w:t xml:space="preserve">CEG, </w:t>
      </w:r>
      <w:r w:rsidRPr="005E1601">
        <w:rPr>
          <w:rStyle w:val="AERtextitalic"/>
        </w:rPr>
        <w:t>Expected inflation estimation methodology: A report for Country Energy</w:t>
      </w:r>
      <w:r>
        <w:t>, April 2008, p. 4.</w:t>
      </w:r>
    </w:p>
  </w:footnote>
  <w:footnote w:id="525">
    <w:p w:rsidR="003F1AAB" w:rsidRDefault="003F1AAB" w:rsidP="00972CF8">
      <w:pPr>
        <w:pStyle w:val="FootnoteText"/>
      </w:pPr>
      <w:r>
        <w:rPr>
          <w:rStyle w:val="FootnoteReference"/>
        </w:rPr>
        <w:footnoteRef/>
      </w:r>
      <w:r>
        <w:t xml:space="preserve"> </w:t>
      </w:r>
      <w:r>
        <w:tab/>
        <w:t xml:space="preserve">For example, in its report, CEG, </w:t>
      </w:r>
      <w:r w:rsidRPr="005E1601">
        <w:rPr>
          <w:rStyle w:val="AERtextitalic"/>
        </w:rPr>
        <w:t>Measuring expected inflation for the PTRM</w:t>
      </w:r>
      <w:r>
        <w:t>, June 2015, p. 7.</w:t>
      </w:r>
    </w:p>
  </w:footnote>
  <w:footnote w:id="526">
    <w:p w:rsidR="003F1AAB" w:rsidRDefault="003F1AAB" w:rsidP="00972CF8">
      <w:pPr>
        <w:pStyle w:val="FootnoteText"/>
      </w:pPr>
      <w:r>
        <w:rPr>
          <w:rStyle w:val="FootnoteReference"/>
        </w:rPr>
        <w:footnoteRef/>
      </w:r>
      <w:r>
        <w:t xml:space="preserve"> </w:t>
      </w:r>
      <w:r>
        <w:tab/>
        <w:t xml:space="preserve">AusNet Services, </w:t>
      </w:r>
      <w:r w:rsidRPr="006C0405">
        <w:rPr>
          <w:rStyle w:val="AERtextitalic"/>
        </w:rPr>
        <w:t>Transmission Revenue Review 2017–2022 regulatory proposal</w:t>
      </w:r>
      <w:r>
        <w:t>, 30 October 2015, p. 280.</w:t>
      </w:r>
    </w:p>
  </w:footnote>
  <w:footnote w:id="527">
    <w:p w:rsidR="003F1AAB" w:rsidRDefault="003F1AAB" w:rsidP="00972CF8">
      <w:pPr>
        <w:pStyle w:val="FootnoteText"/>
      </w:pPr>
      <w:r>
        <w:rPr>
          <w:rStyle w:val="FootnoteReference"/>
        </w:rPr>
        <w:footnoteRef/>
      </w:r>
      <w:r>
        <w:t xml:space="preserve"> </w:t>
      </w:r>
      <w:r>
        <w:tab/>
        <w:t>Australian Office of Financial Management, 'Treasury Indexed Bonds', 27 May 2016, accessed 2 June 2016, &lt;</w:t>
      </w:r>
      <w:r w:rsidRPr="008E62C4">
        <w:t>http://aofm.gov.au/ags/treasury-indexed-bonds/#Treasury_Indexed_Bonds_on_issue</w:t>
      </w:r>
      <w:r>
        <w:t>&gt;.</w:t>
      </w:r>
    </w:p>
  </w:footnote>
  <w:footnote w:id="528">
    <w:p w:rsidR="003F1AAB" w:rsidRDefault="003F1AAB" w:rsidP="00972CF8">
      <w:pPr>
        <w:pStyle w:val="FootnoteText"/>
      </w:pPr>
      <w:r>
        <w:rPr>
          <w:rStyle w:val="FootnoteReference"/>
        </w:rPr>
        <w:footnoteRef/>
      </w:r>
      <w:r>
        <w:t xml:space="preserve"> </w:t>
      </w:r>
      <w:r>
        <w:tab/>
      </w:r>
      <w:r w:rsidRPr="00DA325E">
        <w:t>Devlin</w:t>
      </w:r>
      <w:r>
        <w:t xml:space="preserve">, W., </w:t>
      </w:r>
      <w:r w:rsidRPr="00DA325E">
        <w:t>Patwardha,</w:t>
      </w:r>
      <w:r>
        <w:t xml:space="preserve"> D.,</w:t>
      </w:r>
      <w:r w:rsidRPr="00DA325E">
        <w:t xml:space="preserve"> </w:t>
      </w:r>
      <w:r>
        <w:t>'</w:t>
      </w:r>
      <w:r w:rsidRPr="00DA325E">
        <w:t>Measuring market inflation expectation</w:t>
      </w:r>
      <w:r>
        <w:t xml:space="preserve">', </w:t>
      </w:r>
      <w:r w:rsidRPr="001711CB">
        <w:rPr>
          <w:rStyle w:val="AERtextitalic"/>
        </w:rPr>
        <w:t>Economic Roundup</w:t>
      </w:r>
      <w:r>
        <w:t>, No. 2, 2012, p. 7.</w:t>
      </w:r>
    </w:p>
  </w:footnote>
  <w:footnote w:id="529">
    <w:p w:rsidR="003F1AAB" w:rsidRDefault="003F1AAB" w:rsidP="00972CF8">
      <w:pPr>
        <w:pStyle w:val="FootnoteText"/>
      </w:pPr>
      <w:r>
        <w:rPr>
          <w:rStyle w:val="FootnoteReference"/>
        </w:rPr>
        <w:footnoteRef/>
      </w:r>
      <w:r>
        <w:t xml:space="preserve"> </w:t>
      </w:r>
      <w:r>
        <w:tab/>
        <w:t>In their estimate of t</w:t>
      </w:r>
      <w:r w:rsidRPr="006D254B">
        <w:t xml:space="preserve">he liquidity premia in the breakeven </w:t>
      </w:r>
      <w:r>
        <w:t xml:space="preserve">inflation </w:t>
      </w:r>
      <w:r w:rsidRPr="006D254B">
        <w:t>rate</w:t>
      </w:r>
      <w:r>
        <w:t>, Gurkaynak et al (2010) employed</w:t>
      </w:r>
      <w:r w:rsidRPr="006D254B">
        <w:t xml:space="preserve"> trading volume of indexed Treasuries expressed share of total indexed and nominal Treasuries to measure of the relative liquidity of indexed US Treasuries. </w:t>
      </w:r>
      <w:r>
        <w:t xml:space="preserve">See </w:t>
      </w:r>
      <w:r w:rsidRPr="006D254B">
        <w:t xml:space="preserve"> Gurkaynak, </w:t>
      </w:r>
      <w:r>
        <w:t xml:space="preserve">R., Sack, B., Wright, J. </w:t>
      </w:r>
      <w:r w:rsidRPr="006D254B">
        <w:t xml:space="preserve">(2010), ‘The TIPS Yield Curve and Inflation Compensation’, </w:t>
      </w:r>
      <w:r w:rsidRPr="006D254B">
        <w:rPr>
          <w:rStyle w:val="AERtextitalic"/>
        </w:rPr>
        <w:t>American Economic Journal: Macroeconomics</w:t>
      </w:r>
      <w:r w:rsidRPr="006D254B">
        <w:t>, 2(1), pp. 70-92</w:t>
      </w:r>
    </w:p>
  </w:footnote>
  <w:footnote w:id="530">
    <w:p w:rsidR="003F1AAB" w:rsidRDefault="003F1AAB" w:rsidP="00972CF8">
      <w:pPr>
        <w:pStyle w:val="FootnoteText"/>
      </w:pPr>
      <w:r>
        <w:rPr>
          <w:rStyle w:val="FootnoteReference"/>
        </w:rPr>
        <w:footnoteRef/>
      </w:r>
      <w:r>
        <w:t xml:space="preserve"> </w:t>
      </w:r>
      <w:r>
        <w:tab/>
        <w:t>The a</w:t>
      </w:r>
      <w:r w:rsidRPr="006D254B">
        <w:t>nnual trading volume of indexed CGS as a share of total CGS more than doubled in 200</w:t>
      </w:r>
      <w:r>
        <w:t xml:space="preserve">7–08, but </w:t>
      </w:r>
      <w:r w:rsidRPr="006D254B">
        <w:t>returned to its 200</w:t>
      </w:r>
      <w:r>
        <w:t>7–</w:t>
      </w:r>
      <w:r w:rsidRPr="006D254B">
        <w:t>08 share in 201</w:t>
      </w:r>
      <w:r>
        <w:t>1–</w:t>
      </w:r>
      <w:r w:rsidRPr="006D254B">
        <w:t>12 as new tranches of nominal CGS were issued. Currently, the share is only modestly above 200</w:t>
      </w:r>
      <w:r>
        <w:t>7–</w:t>
      </w:r>
      <w:r w:rsidRPr="006D254B">
        <w:t>08 levels.</w:t>
      </w:r>
      <w:r>
        <w:t xml:space="preserve"> See data reported in AFMA, </w:t>
      </w:r>
      <w:r w:rsidRPr="007D3879">
        <w:rPr>
          <w:rStyle w:val="AERtextitalic"/>
        </w:rPr>
        <w:t>2015 Australian financial markets report</w:t>
      </w:r>
      <w:r>
        <w:t>, pp. 20</w:t>
      </w:r>
      <w:r>
        <w:rPr>
          <w:rFonts w:cs="Arial"/>
        </w:rPr>
        <w:t>–</w:t>
      </w:r>
      <w:r>
        <w:t xml:space="preserve">21; AFMA, 2012 </w:t>
      </w:r>
      <w:r w:rsidRPr="007D3879">
        <w:rPr>
          <w:rStyle w:val="AERtextitalic"/>
        </w:rPr>
        <w:t>Australian financial markets report</w:t>
      </w:r>
      <w:r>
        <w:t>, pp. 18</w:t>
      </w:r>
      <w:r w:rsidRPr="00941B3E">
        <w:t>–</w:t>
      </w:r>
      <w:r>
        <w:t>20.</w:t>
      </w:r>
    </w:p>
  </w:footnote>
  <w:footnote w:id="531">
    <w:p w:rsidR="003F1AAB" w:rsidRDefault="003F1AAB" w:rsidP="00972CF8">
      <w:pPr>
        <w:pStyle w:val="FootnoteText"/>
      </w:pPr>
      <w:r>
        <w:rPr>
          <w:rStyle w:val="FootnoteReference"/>
        </w:rPr>
        <w:footnoteRef/>
      </w:r>
      <w:r>
        <w:t xml:space="preserve"> </w:t>
      </w:r>
      <w:r>
        <w:tab/>
        <w:t xml:space="preserve">For instance, see </w:t>
      </w:r>
      <w:r w:rsidRPr="006D254B">
        <w:t xml:space="preserve">Gurkaynak, </w:t>
      </w:r>
      <w:r>
        <w:t xml:space="preserve">R., Sack, B., Wright, J. </w:t>
      </w:r>
      <w:r w:rsidRPr="006D254B">
        <w:t xml:space="preserve">(2010), ‘The TIPS Yield Curve and Inflation Compensation’, </w:t>
      </w:r>
      <w:r w:rsidRPr="006D254B">
        <w:rPr>
          <w:rStyle w:val="AERtextitalic"/>
        </w:rPr>
        <w:t>American Economic Journal: Macroeconomics</w:t>
      </w:r>
      <w:r>
        <w:t xml:space="preserve">, 2(1), pp. 87–89; </w:t>
      </w:r>
      <w:r w:rsidRPr="00F65925">
        <w:t>Shen</w:t>
      </w:r>
      <w:r>
        <w:t>, P.,</w:t>
      </w:r>
      <w:r w:rsidRPr="00F65925">
        <w:t xml:space="preserve"> Corning </w:t>
      </w:r>
      <w:r>
        <w:t xml:space="preserve">, J. </w:t>
      </w:r>
      <w:r w:rsidRPr="00F65925">
        <w:t xml:space="preserve">(2001), ‘Can TIPS Help Identify Long-Term Inflation Expectations?’ Federal Reserve Bank of Kansas City, </w:t>
      </w:r>
      <w:r w:rsidRPr="00F65925">
        <w:rPr>
          <w:rStyle w:val="AERtextitalic"/>
        </w:rPr>
        <w:t>Economic Review</w:t>
      </w:r>
      <w:r w:rsidRPr="00F65925">
        <w:t>, Fourth Quarter, p. 76.</w:t>
      </w:r>
    </w:p>
  </w:footnote>
  <w:footnote w:id="532">
    <w:p w:rsidR="003F1AAB" w:rsidRDefault="003F1AAB" w:rsidP="00972CF8">
      <w:pPr>
        <w:pStyle w:val="FootnoteText"/>
      </w:pPr>
      <w:r>
        <w:rPr>
          <w:rStyle w:val="FootnoteReference"/>
        </w:rPr>
        <w:footnoteRef/>
      </w:r>
      <w:r>
        <w:t xml:space="preserve"> </w:t>
      </w:r>
      <w:r>
        <w:tab/>
        <w:t xml:space="preserve">CEG, </w:t>
      </w:r>
      <w:r w:rsidRPr="00C57E79">
        <w:rPr>
          <w:rStyle w:val="AERtextitalic"/>
        </w:rPr>
        <w:t>Measuring expected inflation for the PTRM</w:t>
      </w:r>
      <w:r>
        <w:t xml:space="preserve">, January 2016, p. 13; CEG, </w:t>
      </w:r>
      <w:r w:rsidRPr="001711CB">
        <w:rPr>
          <w:rStyle w:val="AERtextitalic"/>
        </w:rPr>
        <w:t>Measuring expected inflation for the PTRM</w:t>
      </w:r>
      <w:r>
        <w:t>, June 2015, pp. 16</w:t>
      </w:r>
      <w:r w:rsidRPr="00BB27E9">
        <w:t>–</w:t>
      </w:r>
      <w:r>
        <w:t xml:space="preserve">17.  CEG references </w:t>
      </w:r>
      <w:r w:rsidRPr="00DA325E">
        <w:t>Devlin</w:t>
      </w:r>
      <w:r>
        <w:t xml:space="preserve">, W., </w:t>
      </w:r>
      <w:r w:rsidRPr="00DA325E">
        <w:t>Patwardha,</w:t>
      </w:r>
      <w:r>
        <w:t xml:space="preserve"> D.,</w:t>
      </w:r>
      <w:r w:rsidRPr="00DA325E">
        <w:t xml:space="preserve"> </w:t>
      </w:r>
      <w:r>
        <w:t>'</w:t>
      </w:r>
      <w:r w:rsidRPr="00DA325E">
        <w:t>Measuring market inflation expectation</w:t>
      </w:r>
      <w:r>
        <w:t xml:space="preserve">', </w:t>
      </w:r>
      <w:r w:rsidRPr="001711CB">
        <w:rPr>
          <w:rStyle w:val="AERtextitalic"/>
        </w:rPr>
        <w:t>Economic Roundup</w:t>
      </w:r>
      <w:r>
        <w:t>, No. 2, 2012.</w:t>
      </w:r>
      <w:r w:rsidRPr="00DA325E">
        <w:t xml:space="preserve"> </w:t>
      </w:r>
      <w:r>
        <w:t>This states: 'w</w:t>
      </w:r>
      <w:r w:rsidRPr="00DA325E">
        <w:t>hile inflation swap rates generally move</w:t>
      </w:r>
      <w:r>
        <w:t xml:space="preserve"> </w:t>
      </w:r>
      <w:r w:rsidRPr="00DA325E">
        <w:t>closely in line with bond market break-evens, they have typically been around 20 basis</w:t>
      </w:r>
      <w:r>
        <w:t xml:space="preserve"> </w:t>
      </w:r>
      <w:r w:rsidRPr="00DA325E">
        <w:t>points higher at the 10-year tenor</w:t>
      </w:r>
      <w:r>
        <w:t>', p. 14.  However, it also discusses how the breakeven approach has competing biases that vary, particularly over longer time periods (pp. 10</w:t>
      </w:r>
      <w:r w:rsidRPr="00BB27E9">
        <w:t>–</w:t>
      </w:r>
      <w:r>
        <w:t>11).</w:t>
      </w:r>
    </w:p>
  </w:footnote>
  <w:footnote w:id="533">
    <w:p w:rsidR="003F1AAB" w:rsidRDefault="003F1AAB" w:rsidP="00972CF8">
      <w:pPr>
        <w:pStyle w:val="FootnoteText"/>
      </w:pPr>
      <w:r>
        <w:rPr>
          <w:rStyle w:val="FootnoteReference"/>
        </w:rPr>
        <w:footnoteRef/>
      </w:r>
      <w:r>
        <w:t xml:space="preserve"> </w:t>
      </w:r>
      <w:r>
        <w:tab/>
      </w:r>
      <w:r w:rsidRPr="00DA325E">
        <w:t>Devlin</w:t>
      </w:r>
      <w:r>
        <w:t xml:space="preserve">, W., </w:t>
      </w:r>
      <w:r w:rsidRPr="00DA325E">
        <w:t>Patwardha,</w:t>
      </w:r>
      <w:r>
        <w:t xml:space="preserve"> D.,</w:t>
      </w:r>
      <w:r w:rsidRPr="00DA325E">
        <w:t xml:space="preserve"> </w:t>
      </w:r>
      <w:r>
        <w:t>'</w:t>
      </w:r>
      <w:r w:rsidRPr="00DA325E">
        <w:t>Measuring market inflation expectation</w:t>
      </w:r>
      <w:r>
        <w:t xml:space="preserve">', </w:t>
      </w:r>
      <w:r w:rsidRPr="001711CB">
        <w:rPr>
          <w:rStyle w:val="AERtextitalic"/>
        </w:rPr>
        <w:t>Economic Roundup</w:t>
      </w:r>
      <w:r>
        <w:t>, No. 2, 2012, p. 11; RBA</w:t>
      </w:r>
      <w:r w:rsidRPr="00717335">
        <w:t xml:space="preserve">, </w:t>
      </w:r>
      <w:r w:rsidRPr="00124922">
        <w:rPr>
          <w:rStyle w:val="AERtextitalic"/>
        </w:rPr>
        <w:t>Statement on Monetary Policy</w:t>
      </w:r>
      <w:r w:rsidRPr="00717335">
        <w:t>, February</w:t>
      </w:r>
      <w:r>
        <w:t xml:space="preserve"> 2015</w:t>
      </w:r>
      <w:r w:rsidRPr="00717335">
        <w:t>, p. 50; Haubrich</w:t>
      </w:r>
      <w:r>
        <w:t>,</w:t>
      </w:r>
      <w:r w:rsidRPr="00124922">
        <w:t xml:space="preserve"> </w:t>
      </w:r>
      <w:r w:rsidRPr="00717335">
        <w:t>J</w:t>
      </w:r>
      <w:r>
        <w:t>.</w:t>
      </w:r>
      <w:r w:rsidRPr="00717335">
        <w:t>, Pennachi</w:t>
      </w:r>
      <w:r>
        <w:t>,</w:t>
      </w:r>
      <w:r w:rsidRPr="00717335">
        <w:t xml:space="preserve"> G</w:t>
      </w:r>
      <w:r>
        <w:t xml:space="preserve">., </w:t>
      </w:r>
      <w:r w:rsidRPr="00717335">
        <w:t xml:space="preserve">Ritchken (2012), ‘Inflation Expectations, Real Rates, and Risk Premia: Evidence from Inflation Swaps’, </w:t>
      </w:r>
      <w:r w:rsidRPr="00124922">
        <w:rPr>
          <w:rStyle w:val="AERtextitalic"/>
        </w:rPr>
        <w:t>The Review of Financial Studies</w:t>
      </w:r>
      <w:r w:rsidRPr="00717335">
        <w:t>, 25(2), pp. 1590; Fleckenstein</w:t>
      </w:r>
      <w:r>
        <w:t>, M.</w:t>
      </w:r>
      <w:r w:rsidRPr="00717335">
        <w:t>, Longstaff</w:t>
      </w:r>
      <w:r>
        <w:t xml:space="preserve">, F., </w:t>
      </w:r>
      <w:r w:rsidRPr="00717335">
        <w:t>Lustig</w:t>
      </w:r>
      <w:r>
        <w:t>, H.</w:t>
      </w:r>
      <w:r w:rsidRPr="00717335">
        <w:t xml:space="preserve"> (2014), ‘The TIPS-Treasury Bonds Puzzle’, </w:t>
      </w:r>
      <w:r w:rsidRPr="00124922">
        <w:rPr>
          <w:rStyle w:val="AERtextitalic"/>
        </w:rPr>
        <w:t>The Journal of Finance</w:t>
      </w:r>
      <w:r w:rsidRPr="00717335">
        <w:t>, 69(5), October, pp. 2165-2167.</w:t>
      </w:r>
      <w:r>
        <w:t xml:space="preserve"> </w:t>
      </w:r>
      <w:r w:rsidRPr="00717335">
        <w:t xml:space="preserve">This was </w:t>
      </w:r>
      <w:r>
        <w:t xml:space="preserve">also </w:t>
      </w:r>
      <w:r w:rsidRPr="00717335">
        <w:t xml:space="preserve">observed by Campbell et al. (2009) during the height of the financial crisis. Campbell, </w:t>
      </w:r>
      <w:r>
        <w:t xml:space="preserve">J., </w:t>
      </w:r>
      <w:r w:rsidRPr="00717335">
        <w:t xml:space="preserve">Shiller </w:t>
      </w:r>
      <w:r>
        <w:t xml:space="preserve">, R., </w:t>
      </w:r>
      <w:r w:rsidRPr="00717335">
        <w:t>Viceira</w:t>
      </w:r>
      <w:r>
        <w:t xml:space="preserve">, L. </w:t>
      </w:r>
      <w:r w:rsidRPr="00717335">
        <w:t xml:space="preserve">(2009), ‘Understanding Inflation-Indexed Bond Markets’, </w:t>
      </w:r>
      <w:r w:rsidRPr="00124922">
        <w:rPr>
          <w:rStyle w:val="AERtextitalic"/>
        </w:rPr>
        <w:t>Brookings Papers on Economic Activity</w:t>
      </w:r>
      <w:r w:rsidRPr="00717335">
        <w:t>, Spring 2009, p. 109.</w:t>
      </w:r>
    </w:p>
  </w:footnote>
  <w:footnote w:id="534">
    <w:p w:rsidR="003F1AAB" w:rsidRDefault="003F1AAB" w:rsidP="00972CF8">
      <w:pPr>
        <w:pStyle w:val="FootnoteText"/>
      </w:pPr>
      <w:r>
        <w:rPr>
          <w:rStyle w:val="FootnoteReference"/>
        </w:rPr>
        <w:footnoteRef/>
      </w:r>
      <w:r>
        <w:t xml:space="preserve"> </w:t>
      </w:r>
      <w:r>
        <w:tab/>
        <w:t>NER, cl. 6A.5.2(b).</w:t>
      </w:r>
    </w:p>
  </w:footnote>
  <w:footnote w:id="535">
    <w:p w:rsidR="003F1AAB" w:rsidRDefault="003F1AAB" w:rsidP="00972CF8">
      <w:pPr>
        <w:pStyle w:val="FootnoteText"/>
      </w:pPr>
      <w:r>
        <w:rPr>
          <w:rStyle w:val="FootnoteReference"/>
        </w:rPr>
        <w:footnoteRef/>
      </w:r>
      <w:r>
        <w:t xml:space="preserve"> </w:t>
      </w:r>
      <w:r>
        <w:tab/>
        <w:t>NER, cl. 6A.6.2(d)(2) and (4), NER, cl.6A.5.3(b)(1).</w:t>
      </w:r>
    </w:p>
  </w:footnote>
  <w:footnote w:id="536">
    <w:p w:rsidR="003F1AAB" w:rsidRDefault="003F1AAB" w:rsidP="00972CF8">
      <w:pPr>
        <w:pStyle w:val="FootnoteText"/>
      </w:pPr>
      <w:r>
        <w:rPr>
          <w:rStyle w:val="FootnoteReference"/>
        </w:rPr>
        <w:footnoteRef/>
      </w:r>
      <w:r>
        <w:t xml:space="preserve"> </w:t>
      </w:r>
      <w:r>
        <w:tab/>
        <w:t>For instance, when developing the Guideline i</w:t>
      </w:r>
      <w:r w:rsidRPr="008769C3">
        <w:t>n 2013, stakeholders endorse</w:t>
      </w:r>
      <w:r>
        <w:t xml:space="preserve">d continuing the current method. See AER, </w:t>
      </w:r>
      <w:r w:rsidRPr="006C2136">
        <w:rPr>
          <w:rStyle w:val="AERtextitalic"/>
        </w:rPr>
        <w:t>Draft Rate of Return Guideline, Explanatory Statement</w:t>
      </w:r>
      <w:r>
        <w:t>, August 2013, p. 152. Since that time, a number of service providers did not raise concerns with our current approach (For example: Amadeus Gas Pipeline, ActewAGL electricity distribution, Ausgrid, Directlink, Endeavour Energy, Energex, Essential Energy, Ergon Energy, JGN, TasNetworks, TransGrid). However, several other service providers have proposed to depart from the current approach (For example: ActewAGL gas distribution, AGN, AusNet Services (distribution and transmission), JEN, SAPN and United Energy).</w:t>
      </w:r>
    </w:p>
  </w:footnote>
  <w:footnote w:id="537">
    <w:p w:rsidR="003F1AAB" w:rsidRDefault="003F1AAB" w:rsidP="00972CF8">
      <w:pPr>
        <w:pStyle w:val="FootnoteText"/>
      </w:pPr>
      <w:r>
        <w:rPr>
          <w:rStyle w:val="FootnoteReference"/>
        </w:rPr>
        <w:footnoteRef/>
      </w:r>
      <w:r>
        <w:t xml:space="preserve"> </w:t>
      </w:r>
      <w:r>
        <w:tab/>
        <w:t xml:space="preserve">NER, cl. </w:t>
      </w:r>
      <w:r w:rsidRPr="00E733D9">
        <w:t>6A.5.3(b)(1)</w:t>
      </w:r>
      <w:r>
        <w:t>.</w:t>
      </w:r>
    </w:p>
  </w:footnote>
  <w:footnote w:id="538">
    <w:p w:rsidR="003F1AAB" w:rsidRDefault="003F1AAB" w:rsidP="00972CF8">
      <w:pPr>
        <w:pStyle w:val="FootnoteText"/>
      </w:pPr>
      <w:r>
        <w:rPr>
          <w:rStyle w:val="FootnoteReference"/>
        </w:rPr>
        <w:footnoteRef/>
      </w:r>
      <w:r>
        <w:t xml:space="preserve"> </w:t>
      </w:r>
      <w:r>
        <w:tab/>
        <w:t>NER. cl 6A.5.2(b) is similar, but specifies 'transmission consultation procedures'.</w:t>
      </w:r>
    </w:p>
  </w:footnote>
  <w:footnote w:id="539">
    <w:p w:rsidR="003F1AAB" w:rsidRDefault="003F1AAB" w:rsidP="00972CF8">
      <w:pPr>
        <w:pStyle w:val="FootnoteText"/>
      </w:pPr>
      <w:r>
        <w:rPr>
          <w:rStyle w:val="FootnoteReference"/>
        </w:rPr>
        <w:footnoteRef/>
      </w:r>
      <w:r>
        <w:t xml:space="preserve"> </w:t>
      </w:r>
      <w:r>
        <w:tab/>
        <w:t xml:space="preserve">AER, </w:t>
      </w:r>
      <w:r w:rsidRPr="006C2136">
        <w:rPr>
          <w:rStyle w:val="AERtextitalic"/>
        </w:rPr>
        <w:t>Draft Rate of Return Guideline, Explanatory Statement</w:t>
      </w:r>
      <w:r>
        <w:t>, August 2013, p. 152.</w:t>
      </w:r>
    </w:p>
  </w:footnote>
  <w:footnote w:id="540">
    <w:p w:rsidR="003F1AAB" w:rsidRDefault="003F1AAB" w:rsidP="00CA3F61">
      <w:pPr>
        <w:pStyle w:val="FootnoteText"/>
      </w:pPr>
      <w:r>
        <w:rPr>
          <w:rStyle w:val="FootnoteReference"/>
        </w:rPr>
        <w:footnoteRef/>
      </w:r>
      <w:r>
        <w:t xml:space="preserve"> </w:t>
      </w:r>
      <w:r>
        <w:tab/>
        <w:t>AusNet Services</w:t>
      </w:r>
      <w:r w:rsidRPr="00DC0445">
        <w:rPr>
          <w:rStyle w:val="AERtextitalic"/>
        </w:rPr>
        <w:t>, AusNet Transmission Group Pty Ltd transmission revenue review 2017–2022</w:t>
      </w:r>
      <w:r>
        <w:t xml:space="preserve">, 30 October 2015, pp. 206–223; </w:t>
      </w:r>
      <w:r w:rsidRPr="00996CAA">
        <w:t>Citipower, Revised Regulatory Proposal 2016–2020, January 2016, pp. 296–297; Powercor, Revised Regulatory Proposal 2016–2020, January 2016, pp. 291–292, JEN, Revised regulatory proposal - attachment 6.1, January 2016, pp.4</w:t>
      </w:r>
      <w:r>
        <w:t>, 4</w:t>
      </w:r>
      <w:r w:rsidRPr="00996CAA">
        <w:t xml:space="preserve">5, 49–50 ; NERA, </w:t>
      </w:r>
      <w:r w:rsidRPr="00996CAA">
        <w:rPr>
          <w:rStyle w:val="AERtextitalic"/>
        </w:rPr>
        <w:t>The cost of equity: response to the AER's final decisions for the NSW and ACT Electricity Distributors, and for Jemena Gas Networks</w:t>
      </w:r>
      <w:r w:rsidRPr="00996CAA">
        <w:t xml:space="preserve">, June 2015; Frontier Economics, </w:t>
      </w:r>
      <w:r w:rsidRPr="00996CAA">
        <w:rPr>
          <w:rStyle w:val="AERtextitalic"/>
        </w:rPr>
        <w:t>Key issues in estimating the return on equity for the benchmark efficient entity</w:t>
      </w:r>
      <w:r w:rsidRPr="00996CAA">
        <w:t>, June 2015, p</w:t>
      </w:r>
      <w:r>
        <w:t>p</w:t>
      </w:r>
      <w:r w:rsidRPr="00996CAA">
        <w:t>. 7 &amp; 25</w:t>
      </w:r>
      <w:r>
        <w:t>.</w:t>
      </w:r>
    </w:p>
  </w:footnote>
  <w:footnote w:id="541">
    <w:p w:rsidR="003F1AAB" w:rsidRDefault="003F1AAB" w:rsidP="00CA3F61">
      <w:pPr>
        <w:pStyle w:val="FootnoteText"/>
      </w:pPr>
      <w:r>
        <w:rPr>
          <w:rStyle w:val="FootnoteReference"/>
        </w:rPr>
        <w:footnoteRef/>
      </w:r>
      <w:r>
        <w:t xml:space="preserve"> </w:t>
      </w:r>
      <w:r>
        <w:tab/>
        <w:t>AER, Rate of Return Guideline: Explanatory Statement, December 2013, p. 62.</w:t>
      </w:r>
    </w:p>
  </w:footnote>
  <w:footnote w:id="542">
    <w:p w:rsidR="003F1AAB" w:rsidRDefault="003F1AAB" w:rsidP="00CA3F61">
      <w:pPr>
        <w:pStyle w:val="FootnoteText"/>
      </w:pPr>
      <w:r>
        <w:rPr>
          <w:rStyle w:val="FootnoteReference"/>
        </w:rPr>
        <w:footnoteRef/>
      </w:r>
      <w:r>
        <w:t xml:space="preserve"> </w:t>
      </w:r>
      <w:r>
        <w:tab/>
        <w:t>[2016] ACT 1 at 180–222.</w:t>
      </w:r>
    </w:p>
  </w:footnote>
  <w:footnote w:id="543">
    <w:p w:rsidR="003F1AAB" w:rsidRDefault="003F1AAB" w:rsidP="00CA3F61">
      <w:pPr>
        <w:pStyle w:val="FootnoteText"/>
      </w:pPr>
      <w:r>
        <w:rPr>
          <w:rStyle w:val="FootnoteReference"/>
        </w:rPr>
        <w:footnoteRef/>
      </w:r>
      <w:r>
        <w:t xml:space="preserve"> </w:t>
      </w:r>
      <w:r>
        <w:tab/>
        <w:t>[2016] ACT 1 at pp. 200–201</w:t>
      </w:r>
    </w:p>
  </w:footnote>
  <w:footnote w:id="544">
    <w:p w:rsidR="003F1AAB" w:rsidRDefault="003F1AAB" w:rsidP="00CA3F61">
      <w:pPr>
        <w:pStyle w:val="FootnoteText"/>
      </w:pPr>
      <w:r>
        <w:rPr>
          <w:rStyle w:val="FootnoteReference"/>
        </w:rPr>
        <w:footnoteRef/>
      </w:r>
      <w:r>
        <w:t xml:space="preserve"> </w:t>
      </w:r>
      <w:r>
        <w:tab/>
        <w:t>[2016] ACT 1 at 219–221</w:t>
      </w:r>
    </w:p>
  </w:footnote>
  <w:footnote w:id="545">
    <w:p w:rsidR="003F1AAB" w:rsidRDefault="003F1AAB" w:rsidP="0010250E">
      <w:pPr>
        <w:pStyle w:val="FootnoteText"/>
      </w:pPr>
      <w:r>
        <w:rPr>
          <w:rStyle w:val="FootnoteReference"/>
        </w:rPr>
        <w:footnoteRef/>
      </w:r>
      <w:r>
        <w:t xml:space="preserve"> </w:t>
      </w:r>
      <w:r>
        <w:tab/>
        <w:t>AusNet Services</w:t>
      </w:r>
      <w:r w:rsidRPr="00DC0445">
        <w:rPr>
          <w:rStyle w:val="AERtextitalic"/>
        </w:rPr>
        <w:t>, AusNet Transmission Group Pty Ltd transmission revenue review 2017–2022</w:t>
      </w:r>
      <w:r>
        <w:t xml:space="preserve">, 30 October 2015, pp. 239–266; </w:t>
      </w:r>
      <w:r w:rsidRPr="002220FC">
        <w:t xml:space="preserve">ActewAGL, </w:t>
      </w:r>
      <w:r w:rsidRPr="002220FC">
        <w:rPr>
          <w:rStyle w:val="AERtextitalic"/>
        </w:rPr>
        <w:t>Access Arrangement Information for the 2016-21 ACT, Queanbeyan and Palerang Access Arrangement, Appendix 8.02: Retu</w:t>
      </w:r>
      <w:r>
        <w:rPr>
          <w:rStyle w:val="AERtextitalic"/>
        </w:rPr>
        <w:t>rn on equity-detailed proposal</w:t>
      </w:r>
      <w:r w:rsidRPr="002220FC">
        <w:t xml:space="preserve">,  June 2015, p. </w:t>
      </w:r>
      <w:r>
        <w:t>45–50</w:t>
      </w:r>
      <w:r w:rsidRPr="002220FC">
        <w:t xml:space="preserve">; </w:t>
      </w:r>
      <w:r>
        <w:t>APTNT</w:t>
      </w:r>
      <w:r w:rsidRPr="002220FC">
        <w:t xml:space="preserve">, </w:t>
      </w:r>
      <w:r w:rsidRPr="002220FC">
        <w:rPr>
          <w:rStyle w:val="AERtextitalic"/>
        </w:rPr>
        <w:t>Amadeus Gas Pipeline: Access Arrangement Revision Proposal</w:t>
      </w:r>
      <w:r w:rsidRPr="002220FC">
        <w:t xml:space="preserve">, August 2015, p. </w:t>
      </w:r>
      <w:r>
        <w:t>136–138</w:t>
      </w:r>
      <w:r w:rsidRPr="002220FC">
        <w:t xml:space="preserve">; AGN, </w:t>
      </w:r>
      <w:r w:rsidRPr="002220FC">
        <w:rPr>
          <w:rStyle w:val="AERtextitalic"/>
        </w:rPr>
        <w:t>2016/17 to 2020/21 Access Arrangement Information, Attachment 10.1: Rate of Return</w:t>
      </w:r>
      <w:r w:rsidRPr="002220FC">
        <w:t xml:space="preserve">, July 2015, 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Powercor,</w:t>
      </w:r>
      <w:r>
        <w:t xml:space="preserve"> </w:t>
      </w:r>
      <w:r w:rsidRPr="00391C78">
        <w:rPr>
          <w:rStyle w:val="AERtextitalic"/>
        </w:rPr>
        <w:t>Regulatory proposal 2016-2020</w:t>
      </w:r>
      <w:r w:rsidRPr="004B6B80">
        <w:t>, April 2015</w:t>
      </w:r>
      <w:r>
        <w:t xml:space="preserve">, p. 229–232; </w:t>
      </w:r>
      <w:r w:rsidRPr="002220FC">
        <w:t xml:space="preserve">Jemena Electricity Networks (Vic) Ltd, </w:t>
      </w:r>
      <w:r w:rsidRPr="002220FC">
        <w:rPr>
          <w:rStyle w:val="AERtextitalic"/>
        </w:rPr>
        <w:t>2016-20 Electricity Distribution Price Review Regulatory Proposal, Attachment 9-2, Rate of return proposal,</w:t>
      </w:r>
      <w:r w:rsidRPr="002220FC">
        <w:t xml:space="preserve"> April 2015, p</w:t>
      </w:r>
      <w:r>
        <w:t xml:space="preserve">p. 81–85; </w:t>
      </w:r>
      <w:r w:rsidRPr="007520DA">
        <w:t xml:space="preserve">CitiPower, </w:t>
      </w:r>
      <w:r w:rsidRPr="007520DA">
        <w:rPr>
          <w:rStyle w:val="Emphasis"/>
        </w:rPr>
        <w:t>Revised regulatory proposal 2016–2020</w:t>
      </w:r>
      <w:r w:rsidRPr="007520DA">
        <w:t xml:space="preserve">, January 2016, pp. 267, 281–326; Powercor, </w:t>
      </w:r>
      <w:r w:rsidRPr="007520DA">
        <w:rPr>
          <w:rStyle w:val="Emphasis"/>
        </w:rPr>
        <w:t>Revised regulatory proposal 2016–2020,</w:t>
      </w:r>
      <w:r w:rsidRPr="007520DA">
        <w:t xml:space="preserve"> January 2016, pp. 261, 275–320;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104–105; United Energy, </w:t>
      </w:r>
      <w:r w:rsidRPr="007520DA">
        <w:rPr>
          <w:rStyle w:val="Emphasis"/>
        </w:rPr>
        <w:t>Response to AER preliminary determination–Re: rate of return and gamma</w:t>
      </w:r>
      <w:r w:rsidRPr="007520DA">
        <w:t xml:space="preserve">, 6 January 2016, pp.37–40, 52–78;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42–83;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75–77.</w:t>
      </w:r>
    </w:p>
  </w:footnote>
  <w:footnote w:id="546">
    <w:p w:rsidR="003F1AAB" w:rsidRDefault="003F1AAB" w:rsidP="0010250E">
      <w:pPr>
        <w:pStyle w:val="FootnoteText"/>
      </w:pPr>
      <w:r>
        <w:rPr>
          <w:rStyle w:val="FootnoteReference"/>
        </w:rPr>
        <w:footnoteRef/>
      </w:r>
      <w:r>
        <w:t xml:space="preserve"> </w:t>
      </w:r>
      <w:r>
        <w:tab/>
        <w:t xml:space="preserve">Many university texts cover the model. See for example: Peirson, Brown, Easton, Howard and Pinder, </w:t>
      </w:r>
      <w:r w:rsidRPr="0061492E">
        <w:rPr>
          <w:rStyle w:val="AERtextitalic"/>
        </w:rPr>
        <w:t>Business Finance</w:t>
      </w:r>
      <w:r>
        <w:t>, McGraw-Hill, Ninth edition, 2006, pp. 200</w:t>
      </w:r>
      <w:r>
        <w:rPr>
          <w:rFonts w:cs="Gautami"/>
        </w:rPr>
        <w:t>–</w:t>
      </w:r>
      <w:r>
        <w:t>207.</w:t>
      </w:r>
    </w:p>
  </w:footnote>
  <w:footnote w:id="547">
    <w:p w:rsidR="003F1AAB" w:rsidRDefault="003F1AAB" w:rsidP="0010250E">
      <w:pPr>
        <w:pStyle w:val="FootnoteText"/>
      </w:pPr>
      <w:r>
        <w:rPr>
          <w:rStyle w:val="FootnoteReference"/>
        </w:rPr>
        <w:footnoteRef/>
      </w:r>
      <w:r>
        <w:t xml:space="preserve"> </w:t>
      </w:r>
      <w:r>
        <w:tab/>
        <w:t xml:space="preserve">See the 'Overall return on equity' subsection in section </w:t>
      </w:r>
      <w:r>
        <w:fldChar w:fldCharType="begin"/>
      </w:r>
      <w:r>
        <w:instrText xml:space="preserve"> REF _Ref430958591 \r \h </w:instrText>
      </w:r>
      <w:r>
        <w:fldChar w:fldCharType="separate"/>
      </w:r>
      <w:r>
        <w:t>3.4.1</w:t>
      </w:r>
      <w:r>
        <w:fldChar w:fldCharType="end"/>
      </w:r>
      <w:r>
        <w:t>.</w:t>
      </w:r>
    </w:p>
  </w:footnote>
  <w:footnote w:id="548">
    <w:p w:rsidR="003F1AAB" w:rsidRDefault="003F1AAB" w:rsidP="0010250E">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10</w:t>
      </w:r>
      <w:r>
        <w:rPr>
          <w:rFonts w:cs="Gautami"/>
        </w:rPr>
        <w:t>–</w:t>
      </w:r>
      <w:r>
        <w:t>14.</w:t>
      </w:r>
    </w:p>
  </w:footnote>
  <w:footnote w:id="549">
    <w:p w:rsidR="003F1AAB" w:rsidRDefault="003F1AAB" w:rsidP="0010250E">
      <w:pPr>
        <w:pStyle w:val="FootnoteText"/>
      </w:pPr>
      <w:r>
        <w:rPr>
          <w:rStyle w:val="FootnoteReference"/>
        </w:rPr>
        <w:footnoteRef/>
      </w:r>
      <w:r>
        <w:t xml:space="preserve"> </w:t>
      </w:r>
      <w:r>
        <w:tab/>
      </w:r>
      <w:r w:rsidRPr="00BA3AB3">
        <w:t xml:space="preserve">We are concurrently assessing regulatory proposals from </w:t>
      </w:r>
      <w:r>
        <w:t xml:space="preserve">three </w:t>
      </w:r>
      <w:r w:rsidRPr="00BA3AB3">
        <w:t>different</w:t>
      </w:r>
      <w:r>
        <w:t xml:space="preserve"> service providers. We are also assessing revised regulatory proposals from eight different service providers. We take these businesses' different adaptations </w:t>
      </w:r>
      <w:r w:rsidRPr="00BA3AB3">
        <w:t>into account.</w:t>
      </w:r>
    </w:p>
  </w:footnote>
  <w:footnote w:id="550">
    <w:p w:rsidR="003F1AAB" w:rsidRDefault="003F1AAB" w:rsidP="0010250E">
      <w:pPr>
        <w:pStyle w:val="FootnoteText"/>
      </w:pPr>
      <w:r>
        <w:rPr>
          <w:rStyle w:val="FootnoteReference"/>
        </w:rPr>
        <w:footnoteRef/>
      </w:r>
      <w:r>
        <w:t xml:space="preserve"> </w:t>
      </w:r>
      <w:r>
        <w:tab/>
        <w:t xml:space="preserve">See Brealey, Myers, Partington and Robinson, </w:t>
      </w:r>
      <w:r w:rsidRPr="0066421A">
        <w:rPr>
          <w:rStyle w:val="AERtextitalic"/>
        </w:rPr>
        <w:t>Principles of corporate finance</w:t>
      </w:r>
      <w:r>
        <w:t>, McGraw Hill Australia, 2007, p. 216.</w:t>
      </w:r>
    </w:p>
  </w:footnote>
  <w:footnote w:id="551">
    <w:p w:rsidR="003F1AAB" w:rsidRDefault="003F1AAB" w:rsidP="0010250E">
      <w:pPr>
        <w:pStyle w:val="FootnoteText"/>
      </w:pPr>
      <w:r>
        <w:rPr>
          <w:rStyle w:val="FootnoteReference"/>
        </w:rPr>
        <w:footnoteRef/>
      </w:r>
      <w:r>
        <w:t xml:space="preserve"> </w:t>
      </w:r>
      <w:r>
        <w:tab/>
        <w:t>McKenzie and Partington note, '</w:t>
      </w:r>
      <w:r w:rsidRPr="0057531B">
        <w:t>no framework is perfect, the foundation model has its weaknesses, but these are well-documented and in many cases can either be diagnosed or perhaps compensated for in empirical practice</w:t>
      </w:r>
      <w:r>
        <w:t>…</w:t>
      </w:r>
      <w:r w:rsidRPr="0057531B">
        <w:t>This model has been around for in excess of half a century and has become the standard workhorse model of modern finance both in theory and practice.</w:t>
      </w:r>
      <w:r>
        <w:t xml:space="preserve"> See </w:t>
      </w:r>
      <w:r>
        <w:rPr>
          <w:rStyle w:val="AERtextitalic"/>
        </w:rPr>
        <w:t>Report to the AER part A: Return on e</w:t>
      </w:r>
      <w:r w:rsidRPr="007F1F50">
        <w:rPr>
          <w:rStyle w:val="AERtextitalic"/>
        </w:rPr>
        <w:t>quity</w:t>
      </w:r>
      <w:r>
        <w:t>, October 2014 p. 9.</w:t>
      </w:r>
    </w:p>
  </w:footnote>
  <w:footnote w:id="552">
    <w:p w:rsidR="003F1AAB" w:rsidRDefault="003F1AAB" w:rsidP="0010250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553">
    <w:p w:rsidR="003F1AAB" w:rsidRDefault="003F1AAB" w:rsidP="0010250E">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rsidRPr="00463A41">
        <w:t xml:space="preserve">, </w:t>
      </w:r>
      <w:r>
        <w:t xml:space="preserve">October 2014, </w:t>
      </w:r>
      <w:r w:rsidRPr="00463A41">
        <w:t>p</w:t>
      </w:r>
      <w:r>
        <w:t>p. 13</w:t>
      </w:r>
      <w:r>
        <w:rPr>
          <w:rFonts w:cs="Gautami"/>
        </w:rPr>
        <w:t>–</w:t>
      </w:r>
      <w:r>
        <w:t>14.</w:t>
      </w:r>
    </w:p>
  </w:footnote>
  <w:footnote w:id="554">
    <w:p w:rsidR="003F1AAB" w:rsidRDefault="003F1AAB" w:rsidP="0010250E">
      <w:pPr>
        <w:pStyle w:val="FootnoteText"/>
      </w:pPr>
      <w:r>
        <w:rPr>
          <w:rStyle w:val="FootnoteReference"/>
        </w:rPr>
        <w:footnoteRef/>
      </w:r>
      <w:r>
        <w:t xml:space="preserve"> </w:t>
      </w:r>
      <w:r>
        <w:tab/>
        <w:t xml:space="preserve">Partington &amp; Satchell, </w:t>
      </w:r>
      <w:r>
        <w:rPr>
          <w:rStyle w:val="AERtextitalic"/>
        </w:rPr>
        <w:t xml:space="preserve">Report to the AER: Analysis of criticism of 2015 determinations, </w:t>
      </w:r>
      <w:r>
        <w:t>October 2015, p. 17–21.</w:t>
      </w:r>
    </w:p>
  </w:footnote>
  <w:footnote w:id="555">
    <w:p w:rsidR="003F1AAB" w:rsidRDefault="003F1AAB" w:rsidP="0010250E">
      <w:pPr>
        <w:pStyle w:val="FootnoteText"/>
      </w:pPr>
      <w:r>
        <w:rPr>
          <w:rStyle w:val="FootnoteReference"/>
        </w:rPr>
        <w:footnoteRef/>
      </w:r>
      <w:r>
        <w:t xml:space="preserve"> </w:t>
      </w:r>
      <w:r>
        <w:tab/>
        <w:t xml:space="preserve">We acknowledge the study by </w:t>
      </w:r>
      <w:r w:rsidRPr="002101A8">
        <w:t xml:space="preserve">Stephan Schaeffler and Christoph Weber </w:t>
      </w:r>
      <w:r>
        <w:t xml:space="preserve">that </w:t>
      </w:r>
      <w:r w:rsidRPr="002101A8">
        <w:t>examined the</w:t>
      </w:r>
      <w:r>
        <w:t xml:space="preserve"> use of other models in</w:t>
      </w:r>
      <w:r w:rsidRPr="002101A8">
        <w:t xml:space="preserve"> regulatory practices in 21 countries</w:t>
      </w:r>
      <w:r>
        <w:t xml:space="preserve"> [</w:t>
      </w:r>
      <w:r w:rsidRPr="00D862E2">
        <w:t xml:space="preserve">Stephan Schaeffler and Christoph Weber, ‘The Cost of Equity of Network Operators – Empirical Evidence and Regulatory Practice’, </w:t>
      </w:r>
      <w:r w:rsidRPr="00F7346B">
        <w:rPr>
          <w:rStyle w:val="AERtextitalic"/>
        </w:rPr>
        <w:t>Competition and Regulation in Network Industries</w:t>
      </w:r>
      <w:r w:rsidRPr="00D862E2">
        <w:t>, 14(4), 2013, p. 386</w:t>
      </w:r>
      <w:r>
        <w:t>]. The same study also concluded</w:t>
      </w:r>
      <w:r w:rsidRPr="001562D4">
        <w:t xml:space="preserve"> that the</w:t>
      </w:r>
      <w:r>
        <w:t>,</w:t>
      </w:r>
      <w:r w:rsidRPr="001562D4">
        <w:t xml:space="preserve"> ‘standard model for determining capital costs’ for energy businesses is the </w:t>
      </w:r>
      <w:r>
        <w:t>SL</w:t>
      </w:r>
      <w:r w:rsidRPr="001562D4">
        <w:t>CAPM</w:t>
      </w:r>
      <w:r>
        <w:t xml:space="preserve">. </w:t>
      </w:r>
      <w:r w:rsidRPr="00145F2E">
        <w:t>We also note the prevalence of the S</w:t>
      </w:r>
      <w:r>
        <w:t xml:space="preserve">harpe-Lintner </w:t>
      </w:r>
      <w:r w:rsidRPr="00145F2E">
        <w:t xml:space="preserve">CAPM in recent valuation reports. In all the reports we examined, only one did not use the </w:t>
      </w:r>
      <w:r>
        <w:t>model</w:t>
      </w:r>
      <w:r w:rsidRPr="00145F2E">
        <w:t xml:space="preserve">. All other reports used the </w:t>
      </w:r>
      <w:r>
        <w:t>model</w:t>
      </w:r>
      <w:r w:rsidRPr="00145F2E">
        <w:t xml:space="preserve"> as the initial or primary estimation method. Only five of the reports examined utilised an alternative estimation model (the dividend growth model), and four of these five reports used the alternative model as a cross-check on </w:t>
      </w:r>
      <w:r>
        <w:t xml:space="preserve">the primary estimate from the Sharpe-Lintner </w:t>
      </w:r>
      <w:r w:rsidRPr="00145F2E">
        <w:t>CAPM. Ten reports noted the theory size premiums associated with the Fama-French three-factor model, but none took the further step to estimate the Fama-French model. No reports discussed the Black CAPM. We consider that the current evidence from independent valuation repor</w:t>
      </w:r>
      <w:r>
        <w:t xml:space="preserve">ts supports our view that the Sharpe-Lintner </w:t>
      </w:r>
      <w:r w:rsidRPr="00145F2E">
        <w:t>CAPM is the clearly superior model to use as the foundation model.</w:t>
      </w:r>
    </w:p>
  </w:footnote>
  <w:footnote w:id="556">
    <w:p w:rsidR="003F1AAB" w:rsidRDefault="003F1AAB" w:rsidP="0010250E">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557">
    <w:p w:rsidR="003F1AAB" w:rsidRDefault="003F1AAB" w:rsidP="0010250E">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558">
    <w:p w:rsidR="003F1AAB" w:rsidRDefault="003F1AAB" w:rsidP="0010250E">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p.38.</w:t>
      </w:r>
    </w:p>
  </w:footnote>
  <w:footnote w:id="559">
    <w:p w:rsidR="003F1AAB" w:rsidRDefault="003F1AAB" w:rsidP="0010250E">
      <w:pPr>
        <w:pStyle w:val="FootnoteText"/>
      </w:pPr>
      <w:r>
        <w:rPr>
          <w:rStyle w:val="FootnoteReference"/>
        </w:rPr>
        <w:footnoteRef/>
      </w:r>
      <w:r>
        <w:t xml:space="preserve"> </w:t>
      </w:r>
      <w:r>
        <w:tab/>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1; </w:t>
      </w:r>
      <w:r>
        <w:t>APTNT</w:t>
      </w:r>
      <w:r w:rsidRPr="000A4185">
        <w:t xml:space="preserve">, </w:t>
      </w:r>
      <w:r w:rsidRPr="000A4185">
        <w:rPr>
          <w:rStyle w:val="AERtextitalic"/>
        </w:rPr>
        <w:t>Amadeus Gas Pipeline: Access Arrangement Revision Proposal</w:t>
      </w:r>
      <w:r w:rsidRPr="000A4185">
        <w:t xml:space="preserve">, August 2015, p. 137; AGN, </w:t>
      </w:r>
      <w:r w:rsidRPr="000A4185">
        <w:rPr>
          <w:rStyle w:val="AERtextitalic"/>
        </w:rPr>
        <w:t>2016/17 to 2020/21 Access Arrangement Information, Attachment 10.1: Rate of Return</w:t>
      </w:r>
      <w:r w:rsidRPr="000A4185">
        <w:t xml:space="preserve">, July 2015, p. 8; AusNet Services, </w:t>
      </w:r>
      <w:r w:rsidRPr="000A4185">
        <w:rPr>
          <w:rStyle w:val="AERtextitalic"/>
        </w:rPr>
        <w:t>Regulatory proposal 2016-20</w:t>
      </w:r>
      <w:r w:rsidRPr="000A4185">
        <w:t xml:space="preserve">, 30 April 2015, p. 331; United Energy, </w:t>
      </w:r>
      <w:r w:rsidRPr="000A4185">
        <w:rPr>
          <w:rStyle w:val="AERtextitalic"/>
        </w:rPr>
        <w:t>2016 to 2020 Regulatory Proposal,</w:t>
      </w:r>
      <w:r w:rsidRPr="000A4185">
        <w:t xml:space="preserve"> April 2015, p. 121; CitiPower, </w:t>
      </w:r>
      <w:r w:rsidRPr="000A4185">
        <w:rPr>
          <w:rStyle w:val="AERtextitalic"/>
        </w:rPr>
        <w:t>Regulatory proposal 2016-2020</w:t>
      </w:r>
      <w:r w:rsidRPr="000A4185">
        <w:t>, April 2015, p. 223; Powercor,</w:t>
      </w:r>
      <w:r>
        <w:t xml:space="preserve"> </w:t>
      </w:r>
      <w:r w:rsidRPr="00391C78">
        <w:rPr>
          <w:rStyle w:val="AERtextitalic"/>
        </w:rPr>
        <w:t>Regulatory proposal 2016-2020</w:t>
      </w:r>
      <w:r w:rsidRPr="004B6B80">
        <w:t>, April 2015</w:t>
      </w:r>
      <w:r>
        <w:t xml:space="preserve">, p. 231; </w:t>
      </w:r>
      <w:r w:rsidRPr="000A4185">
        <w:t xml:space="preserve">Jemena Electricity Networks (Vic) Ltd, </w:t>
      </w:r>
      <w:r w:rsidRPr="000A4185">
        <w:rPr>
          <w:rStyle w:val="AERtextitalic"/>
        </w:rPr>
        <w:t>2016-20 Electricity Distribution Price Review Regulatory Proposal, Attachment 9-2, Rate of return proposal,</w:t>
      </w:r>
      <w:r w:rsidRPr="000A4185">
        <w:t xml:space="preserve"> April 2015, p. 84.</w:t>
      </w:r>
    </w:p>
    <w:p w:rsidR="003F1AAB" w:rsidRDefault="003F1AAB" w:rsidP="0010250E">
      <w:pPr>
        <w:pStyle w:val="FootnoteText"/>
      </w:pPr>
      <w:r>
        <w:tab/>
      </w:r>
      <w:r w:rsidRPr="007520DA">
        <w:t xml:space="preserve">CitiPower, </w:t>
      </w:r>
      <w:r w:rsidRPr="007520DA">
        <w:rPr>
          <w:rStyle w:val="Emphasis"/>
        </w:rPr>
        <w:t>Revised regulatory proposal 2016–2020</w:t>
      </w:r>
      <w:r w:rsidRPr="007520DA">
        <w:t xml:space="preserve">, January 2016, pp. 267, 286–326; Powercor, </w:t>
      </w:r>
      <w:r w:rsidRPr="007520DA">
        <w:rPr>
          <w:rStyle w:val="Emphasis"/>
        </w:rPr>
        <w:t>Revised regulatory proposal 2016–2020,</w:t>
      </w:r>
      <w:r w:rsidRPr="007520DA">
        <w:t xml:space="preserve"> January 2016, pp. 261, 280–320;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56–105; United Energy, </w:t>
      </w:r>
      <w:r w:rsidRPr="007520DA">
        <w:rPr>
          <w:rStyle w:val="Emphasis"/>
        </w:rPr>
        <w:t>Response to AER preliminary determination–Re: rate of return and gamma</w:t>
      </w:r>
      <w:r w:rsidRPr="007520DA">
        <w:t xml:space="preserve">, 6 January 2016, pp. 37–38, 40–78;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42–83;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65–73;</w:t>
      </w:r>
    </w:p>
    <w:p w:rsidR="003F1AAB" w:rsidRDefault="003F1AAB" w:rsidP="0010250E">
      <w:pPr>
        <w:pStyle w:val="FootnoteText"/>
      </w:pPr>
      <w:r>
        <w:tab/>
        <w:t>AusNet Services</w:t>
      </w:r>
      <w:r w:rsidRPr="00DC0445">
        <w:rPr>
          <w:rStyle w:val="AERtextitalic"/>
        </w:rPr>
        <w:t>, AusNet Transmission Group Pty Ltd transmission revenue review 2017–2022</w:t>
      </w:r>
      <w:r>
        <w:t>, 30 October 2015, pp. 239–266.</w:t>
      </w:r>
    </w:p>
  </w:footnote>
  <w:footnote w:id="560">
    <w:p w:rsidR="003F1AAB" w:rsidRPr="007520DA" w:rsidRDefault="003F1AAB" w:rsidP="0010250E">
      <w:pPr>
        <w:pStyle w:val="FootnoteText"/>
      </w:pPr>
      <w:r>
        <w:rPr>
          <w:rStyle w:val="FootnoteReference"/>
        </w:rPr>
        <w:footnoteRef/>
      </w:r>
      <w:r>
        <w:t xml:space="preserve"> </w:t>
      </w:r>
      <w:r>
        <w:tab/>
      </w:r>
      <w:r w:rsidRPr="007520DA">
        <w:t xml:space="preserve">AGN, AusNet Services, CitiPower/Powercor, and United Energy each put forward a submission titled, </w:t>
      </w:r>
      <w:r w:rsidRPr="007520DA">
        <w:rPr>
          <w:rStyle w:val="AERtextitalic"/>
        </w:rPr>
        <w:t>Submission in relation to the first round of regulatory determination under the new rules</w:t>
      </w:r>
      <w:r w:rsidRPr="007520DA">
        <w:t xml:space="preserve"> in 13 February 2015; Several service providers also submitted NERA, </w:t>
      </w:r>
      <w:r w:rsidRPr="007520DA">
        <w:rPr>
          <w:rStyle w:val="AERtextitalic"/>
        </w:rPr>
        <w:t>Empirical performance of Sharpe–Lintner and Black CAPMs</w:t>
      </w:r>
      <w:r w:rsidRPr="007520DA">
        <w:t>, February 2015;</w:t>
      </w:r>
    </w:p>
    <w:p w:rsidR="003F1AAB" w:rsidRDefault="003F1AAB" w:rsidP="0010250E">
      <w:pPr>
        <w:pStyle w:val="FootnoteText"/>
      </w:pPr>
      <w:r w:rsidRPr="007520DA">
        <w:tab/>
        <w:t xml:space="preserve">Additionally, CitiPower/Powercor, Jemena Electricity Networks, United Energy, each put forward a submission titled </w:t>
      </w:r>
      <w:r w:rsidRPr="007520DA">
        <w:rPr>
          <w:rStyle w:val="AERtextitalic"/>
        </w:rPr>
        <w:t>Submission in relation to the current regulatory determination processes for SAPN, Energex, Ergon Energy, AGN in July 2015.</w:t>
      </w:r>
    </w:p>
  </w:footnote>
  <w:footnote w:id="561">
    <w:p w:rsidR="003F1AAB" w:rsidRDefault="003F1AAB" w:rsidP="0010250E">
      <w:pPr>
        <w:pStyle w:val="FootnoteText"/>
      </w:pPr>
      <w:r>
        <w:rPr>
          <w:rStyle w:val="FootnoteReference"/>
        </w:rPr>
        <w:footnoteRef/>
      </w:r>
      <w:r>
        <w:t xml:space="preserve"> </w:t>
      </w:r>
      <w:r>
        <w:tab/>
        <w:t>ActewAGL, Jemena Electricity Networks, AusNet Services (Distribution and Transmission), CitiPower/Powercor, APTNT, Australian Gas Networks (AGN) and United Energy.</w:t>
      </w:r>
    </w:p>
  </w:footnote>
  <w:footnote w:id="562">
    <w:p w:rsidR="003F1AAB" w:rsidRDefault="003F1AAB" w:rsidP="0010250E">
      <w:pPr>
        <w:pStyle w:val="FootnoteText"/>
      </w:pPr>
      <w:r>
        <w:rPr>
          <w:rStyle w:val="FootnoteReference"/>
        </w:rPr>
        <w:footnoteRef/>
      </w:r>
      <w:r>
        <w:t xml:space="preserve"> </w:t>
      </w:r>
      <w:r>
        <w:tab/>
        <w:t xml:space="preserve">Jemena Electricity Networks, AusNet Services, CitiPower/Powercor, APTNT, ActewAGL, Australian Gas Networks (AGN) and United Energy; </w:t>
      </w:r>
      <w:r w:rsidRPr="007520DA">
        <w:t xml:space="preserve">CitiPower, </w:t>
      </w:r>
      <w:r w:rsidRPr="007520DA">
        <w:rPr>
          <w:rStyle w:val="Emphasis"/>
        </w:rPr>
        <w:t>Revised regulatory proposal 2016–2020</w:t>
      </w:r>
      <w:r w:rsidRPr="007520DA">
        <w:t xml:space="preserve">, January 2016, pp. 267, 286–326; Powercor, </w:t>
      </w:r>
      <w:r w:rsidRPr="007520DA">
        <w:rPr>
          <w:rStyle w:val="Emphasis"/>
        </w:rPr>
        <w:t>Revised regulatory proposal 2016–2020,</w:t>
      </w:r>
      <w:r w:rsidRPr="007520DA">
        <w:t xml:space="preserve"> January 2016, pp. 261, 280–320;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56–105; United Energy, </w:t>
      </w:r>
      <w:r w:rsidRPr="007520DA">
        <w:rPr>
          <w:rStyle w:val="Emphasis"/>
        </w:rPr>
        <w:t>Response to AER preliminary determination–Re: rate of return and gamma</w:t>
      </w:r>
      <w:r w:rsidRPr="007520DA">
        <w:t xml:space="preserve">, 6 January 2016, pp. 37–78;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42–75;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68–77</w:t>
      </w:r>
      <w:r>
        <w:t>; AusNet Services</w:t>
      </w:r>
      <w:r w:rsidRPr="00DC0445">
        <w:rPr>
          <w:rStyle w:val="AERtextitalic"/>
        </w:rPr>
        <w:t>, AusNet Transmission Group Pty Ltd transmission revenue review 2017–2022</w:t>
      </w:r>
      <w:r>
        <w:t>, 30 October 2015, pp. 239–266.</w:t>
      </w:r>
    </w:p>
  </w:footnote>
  <w:footnote w:id="563">
    <w:p w:rsidR="003F1AAB" w:rsidRDefault="003F1AAB" w:rsidP="0010250E">
      <w:pPr>
        <w:pStyle w:val="FootnoteText"/>
      </w:pPr>
      <w:r>
        <w:rPr>
          <w:rStyle w:val="FootnoteReference"/>
        </w:rPr>
        <w:footnoteRef/>
      </w:r>
      <w:r>
        <w:t xml:space="preserve"> </w:t>
      </w:r>
      <w:r>
        <w:tab/>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w:t>
      </w:r>
      <w:r>
        <w:t>2</w:t>
      </w:r>
      <w:r w:rsidRPr="000A4185">
        <w:t xml:space="preserve">; AusNet Services, </w:t>
      </w:r>
      <w:r w:rsidRPr="000A4185">
        <w:rPr>
          <w:rStyle w:val="AERtextitalic"/>
        </w:rPr>
        <w:t>Regulatory proposal 2016-20</w:t>
      </w:r>
      <w:r w:rsidRPr="000A4185">
        <w:t>, 30 April 2015, p. 3</w:t>
      </w:r>
      <w:r>
        <w:t>11</w:t>
      </w:r>
      <w:r w:rsidRPr="000A4185">
        <w:t xml:space="preserve">; United Energy, </w:t>
      </w:r>
      <w:r w:rsidRPr="000A4185">
        <w:rPr>
          <w:rStyle w:val="AERtextitalic"/>
        </w:rPr>
        <w:t>2016 to 2020 Regulatory Proposal,</w:t>
      </w:r>
      <w:r w:rsidRPr="000A4185">
        <w:t xml:space="preserve"> April 2015, p. 1</w:t>
      </w:r>
      <w:r>
        <w:t>13</w:t>
      </w:r>
      <w:r w:rsidRPr="000A4185">
        <w:t xml:space="preserve">; CitiPower, </w:t>
      </w:r>
      <w:r w:rsidRPr="000A4185">
        <w:rPr>
          <w:rStyle w:val="AERtextitalic"/>
        </w:rPr>
        <w:t>Regulatory proposal 2016-2020</w:t>
      </w:r>
      <w:r w:rsidRPr="000A4185">
        <w:t>, April 2015, p. 2</w:t>
      </w:r>
      <w:r>
        <w:t>10</w:t>
      </w:r>
      <w:r w:rsidRPr="000A4185">
        <w:t>;</w:t>
      </w:r>
      <w:r>
        <w:t xml:space="preserve"> </w:t>
      </w:r>
      <w:r w:rsidRPr="000A4185">
        <w:t>Powercor,</w:t>
      </w:r>
      <w:r>
        <w:t xml:space="preserve"> </w:t>
      </w:r>
      <w:r w:rsidRPr="00391C78">
        <w:rPr>
          <w:rStyle w:val="AERtextitalic"/>
        </w:rPr>
        <w:t>Regulatory proposal 2016-2020</w:t>
      </w:r>
      <w:r w:rsidRPr="004B6B80">
        <w:t>, April 2015</w:t>
      </w:r>
      <w:r>
        <w:t xml:space="preserve">, p. 218; </w:t>
      </w:r>
      <w:r w:rsidRPr="000A4185">
        <w:t xml:space="preserve">Jemena Electricity Networks (Vic) Ltd, </w:t>
      </w:r>
      <w:r w:rsidRPr="000A4185">
        <w:rPr>
          <w:rStyle w:val="AERtextitalic"/>
        </w:rPr>
        <w:t>2016-20 Electricity Distribution Price Review Regulatory Proposal, Attachment 9-2, Rate of return proposal,</w:t>
      </w:r>
      <w:r>
        <w:t xml:space="preserve"> April 2015, p. 4;;</w:t>
      </w:r>
      <w:r w:rsidRPr="0083726D">
        <w:t xml:space="preserve"> CitiPower</w:t>
      </w:r>
      <w:r w:rsidRPr="0083726D">
        <w:rPr>
          <w:rStyle w:val="Emphasis"/>
        </w:rPr>
        <w:t>, Revised regulatory proposal 2016–2020</w:t>
      </w:r>
      <w:r w:rsidRPr="0083726D">
        <w:t xml:space="preserve">, January 2016, pp. 286–292; Powercor, </w:t>
      </w:r>
      <w:r w:rsidRPr="0083726D">
        <w:rPr>
          <w:rStyle w:val="Emphasis"/>
        </w:rPr>
        <w:t>Revised regulatory proposal 2016–2020,</w:t>
      </w:r>
      <w:r w:rsidRPr="0083726D">
        <w:t xml:space="preserve"> January 2016, pp. 280–286; ActewAGL, </w:t>
      </w:r>
      <w:r w:rsidRPr="0083726D">
        <w:rPr>
          <w:rStyle w:val="Emphasis"/>
        </w:rPr>
        <w:t>Revised 2016–21 access ar</w:t>
      </w:r>
      <w:r>
        <w:rPr>
          <w:rStyle w:val="Emphasis"/>
        </w:rPr>
        <w:t>r</w:t>
      </w:r>
      <w:r w:rsidRPr="0083726D">
        <w:rPr>
          <w:rStyle w:val="Emphasis"/>
        </w:rPr>
        <w:t>angement proposal Response to the AER's draft decision, Appendix 5.01 Detailed response to rate of return, gamma and inflation</w:t>
      </w:r>
      <w:r w:rsidRPr="0083726D">
        <w:t xml:space="preserve">, January 2016, pp. 57–64; United Energy, </w:t>
      </w:r>
      <w:r w:rsidRPr="0083726D">
        <w:rPr>
          <w:rStyle w:val="Emphasis"/>
        </w:rPr>
        <w:t>Response to AER preliminary determination–Re: rate of return and gamma</w:t>
      </w:r>
      <w:r w:rsidRPr="0083726D">
        <w:t xml:space="preserve">, 6 January 2016, pp. 45–46, 69–70; AGN, </w:t>
      </w:r>
      <w:r w:rsidRPr="0083726D">
        <w:rPr>
          <w:rStyle w:val="Emphasis"/>
        </w:rPr>
        <w:t>2016–17 to 2020/21 Access Arrangement information response to draft decision: Attachment 10.26 Response to draft decision: rate of return</w:t>
      </w:r>
      <w:r w:rsidRPr="0083726D">
        <w:t xml:space="preserve">, January 2016, pp. 50–52 ; JEN (Vic), </w:t>
      </w:r>
      <w:r w:rsidRPr="0083726D">
        <w:rPr>
          <w:rStyle w:val="Emphasis"/>
        </w:rPr>
        <w:t>2016–20 Electricity distribution price review regulatory proposal revocation and substitution submission: Attachment 6–1 Rate of return, gamma, forecast inflation, and debt and equity raising costs,</w:t>
      </w:r>
      <w:r w:rsidRPr="0083726D">
        <w:t xml:space="preserve"> 6 January 2016, pp. 49–51; AusNet Services, </w:t>
      </w:r>
      <w:r w:rsidRPr="0083726D">
        <w:rPr>
          <w:rStyle w:val="Emphasis"/>
        </w:rPr>
        <w:t>Electricity distribution price review 2016–20 Revised regulatory proposal: Chapter 7 Rate of return &amp; gamma</w:t>
      </w:r>
      <w:r w:rsidRPr="0083726D">
        <w:t xml:space="preserve">, 6 January 2016, pp. 44–47; APTNT, </w:t>
      </w:r>
      <w:r w:rsidRPr="0083726D">
        <w:rPr>
          <w:rStyle w:val="Emphasis"/>
        </w:rPr>
        <w:t>Amadeus Gas Pipeline Access arrangement revised proposal: response to Draft Decision,</w:t>
      </w:r>
      <w:r w:rsidRPr="0083726D">
        <w:t xml:space="preserve"> January 2016, pp. 68–73, 74–75; APTNT, </w:t>
      </w:r>
      <w:r w:rsidRPr="0083726D">
        <w:rPr>
          <w:rStyle w:val="Emphasis"/>
        </w:rPr>
        <w:t>Amadeus Gas Pipeline access arrangement revision proposal</w:t>
      </w:r>
      <w:r w:rsidRPr="0083726D">
        <w:t>, August 2015, p. 130.</w:t>
      </w:r>
    </w:p>
    <w:p w:rsidR="003F1AAB" w:rsidRDefault="003F1AAB" w:rsidP="0010250E">
      <w:pPr>
        <w:pStyle w:val="FootnoteText"/>
      </w:pPr>
      <w:r>
        <w:tab/>
        <w:t>AusNet Services</w:t>
      </w:r>
      <w:r w:rsidRPr="00DC0445">
        <w:rPr>
          <w:rStyle w:val="AERtextitalic"/>
        </w:rPr>
        <w:t>, AusNet Transmission Group Pty Ltd transmission revenue review 2017–2022</w:t>
      </w:r>
      <w:r>
        <w:t>, 30 October 2015, pp. 195, 230–231.</w:t>
      </w:r>
    </w:p>
  </w:footnote>
  <w:footnote w:id="564">
    <w:p w:rsidR="003F1AAB" w:rsidRDefault="003F1AAB" w:rsidP="0010250E">
      <w:pPr>
        <w:pStyle w:val="FootnoteText"/>
      </w:pPr>
      <w:r>
        <w:rPr>
          <w:rStyle w:val="FootnoteReference"/>
        </w:rPr>
        <w:footnoteRef/>
      </w:r>
      <w:r>
        <w:t xml:space="preserve"> </w:t>
      </w:r>
      <w:r>
        <w:tab/>
        <w:t xml:space="preserve">For instance, several service providers submitted the consultant report, NERA, </w:t>
      </w:r>
      <w:r w:rsidRPr="003034B8">
        <w:rPr>
          <w:rStyle w:val="AERtextitalic"/>
        </w:rPr>
        <w:t>Empirical performance of Sharpe–Lintner and Black CAPMs</w:t>
      </w:r>
      <w:r>
        <w:t>, February 2015.</w:t>
      </w:r>
    </w:p>
  </w:footnote>
  <w:footnote w:id="565">
    <w:p w:rsidR="003F1AAB" w:rsidRDefault="003F1AAB" w:rsidP="0010250E">
      <w:pPr>
        <w:pStyle w:val="FootnoteText"/>
      </w:pPr>
      <w:r>
        <w:rPr>
          <w:rStyle w:val="FootnoteReference"/>
        </w:rPr>
        <w:footnoteRef/>
      </w:r>
      <w:r>
        <w:t xml:space="preserve"> </w:t>
      </w:r>
      <w:r>
        <w:tab/>
        <w:t xml:space="preserve">Frontier Economics, </w:t>
      </w:r>
      <w:r w:rsidRPr="00E10673">
        <w:rPr>
          <w:rStyle w:val="AERtextitalic"/>
        </w:rPr>
        <w:t>Key issues in estimating the return on equity for the benchmark efficient entity</w:t>
      </w:r>
      <w:r>
        <w:t xml:space="preserve">, June 2015, pp. 7–10; NERA, </w:t>
      </w:r>
      <w:r w:rsidRPr="00E10673">
        <w:rPr>
          <w:rStyle w:val="AERtextitalic"/>
        </w:rPr>
        <w:t>The Cost of Equity: Response to the AER's Final Decisions for the NSW and ACT Electricity Distributors, and for Jemena Gas Networks</w:t>
      </w:r>
      <w:r>
        <w:t>, June 2015, p. ii.</w:t>
      </w:r>
    </w:p>
  </w:footnote>
  <w:footnote w:id="566">
    <w:p w:rsidR="003F1AAB" w:rsidRDefault="003F1AAB" w:rsidP="0010250E">
      <w:pPr>
        <w:pStyle w:val="FootnoteText"/>
      </w:pPr>
      <w:r>
        <w:rPr>
          <w:rStyle w:val="FootnoteReference"/>
        </w:rPr>
        <w:footnoteRef/>
      </w:r>
      <w:r>
        <w:t xml:space="preserve"> </w:t>
      </w:r>
      <w:r>
        <w:tab/>
        <w:t xml:space="preserve">For instance, the majority of service providers submitted that the return on equity estimated using the FFM, Black CAPM and DGM was higher than under the SLCAPM. For recent reports, see Frontier, </w:t>
      </w:r>
      <w:r w:rsidRPr="00892F96">
        <w:rPr>
          <w:rStyle w:val="AERtextitalic"/>
        </w:rPr>
        <w:t>An updated estimate of the required return on equity</w:t>
      </w:r>
      <w:r>
        <w:t>, June 2015.</w:t>
      </w:r>
    </w:p>
  </w:footnote>
  <w:footnote w:id="567">
    <w:p w:rsidR="003F1AAB" w:rsidRDefault="003F1AAB" w:rsidP="0010250E">
      <w:pPr>
        <w:pStyle w:val="FootnoteText"/>
      </w:pPr>
      <w:r>
        <w:rPr>
          <w:rStyle w:val="FootnoteReference"/>
        </w:rPr>
        <w:footnoteRef/>
      </w:r>
      <w:r>
        <w:t xml:space="preserve"> </w:t>
      </w:r>
      <w:r>
        <w:tab/>
        <w:t>NER clauses 6A.6.2 (g) and 6.5.2(g)</w:t>
      </w:r>
      <w:r w:rsidRPr="00C61D42">
        <w:t xml:space="preserve"> and NGR rule 87 (</w:t>
      </w:r>
      <w:r>
        <w:t>7).</w:t>
      </w:r>
      <w:r w:rsidRPr="00C61D42">
        <w:t xml:space="preserve"> </w:t>
      </w:r>
      <w:r w:rsidRPr="00146C6E">
        <w:t xml:space="preserve"> </w:t>
      </w:r>
      <w:r>
        <w:t xml:space="preserve"> </w:t>
      </w:r>
    </w:p>
  </w:footnote>
  <w:footnote w:id="568">
    <w:p w:rsidR="003F1AAB" w:rsidRDefault="003F1AAB" w:rsidP="00FD676C">
      <w:pPr>
        <w:pStyle w:val="FootnoteText"/>
      </w:pPr>
      <w:r>
        <w:rPr>
          <w:rStyle w:val="FootnoteReference"/>
        </w:rPr>
        <w:footnoteRef/>
      </w:r>
      <w:r>
        <w:t xml:space="preserve"> </w:t>
      </w:r>
      <w:r>
        <w:tab/>
        <w:t>CitiP</w:t>
      </w:r>
      <w:r w:rsidRPr="0083726D">
        <w:t xml:space="preserve">ower, </w:t>
      </w:r>
      <w:r w:rsidRPr="0083726D">
        <w:rPr>
          <w:rStyle w:val="Emphasis"/>
        </w:rPr>
        <w:t>Revised Regulatory proposal 2016–2020</w:t>
      </w:r>
      <w:r w:rsidRPr="0083726D">
        <w:t xml:space="preserve">, January 2016, p. 286–289; Powercor, </w:t>
      </w:r>
      <w:r w:rsidRPr="0083726D">
        <w:rPr>
          <w:rStyle w:val="AERtextitalic"/>
        </w:rPr>
        <w:t>Revised regulatory proposal 2016–2020</w:t>
      </w:r>
      <w:r w:rsidRPr="0083726D">
        <w:t xml:space="preserve">, January  2016, p. 280–283; ActewAGL, </w:t>
      </w:r>
      <w:r w:rsidRPr="0083726D">
        <w:rPr>
          <w:rStyle w:val="Emphasis"/>
        </w:rPr>
        <w:t>Revised 2016–21 access arrangement proposal Response to the AER's draft decision, Appendix 5.01 Detailed response to rate of return, gamma and inflation</w:t>
      </w:r>
      <w:r w:rsidRPr="0083726D">
        <w:t xml:space="preserve">, January 2016, pp. 57–60; United Energy, </w:t>
      </w:r>
      <w:r w:rsidRPr="0083726D">
        <w:rPr>
          <w:rStyle w:val="Emphasis"/>
        </w:rPr>
        <w:t>Response to AER preliminary determination–Re: rate of return and gamma</w:t>
      </w:r>
      <w:r w:rsidRPr="0083726D">
        <w:t xml:space="preserve">, 6 January 2016, pp. 41–43; AGN, </w:t>
      </w:r>
      <w:r w:rsidRPr="0083726D">
        <w:rPr>
          <w:rStyle w:val="Emphasis"/>
        </w:rPr>
        <w:t>2016–17 to 2020/21 Access Arrangement information response to draft decision: Attachment 10.26 Response to draft decision: rate of return</w:t>
      </w:r>
      <w:r w:rsidRPr="0083726D">
        <w:t xml:space="preserve">, January 2016, pp. 47–49 ; JEN (Vic), </w:t>
      </w:r>
      <w:r w:rsidRPr="0083726D">
        <w:rPr>
          <w:rStyle w:val="Emphasis"/>
        </w:rPr>
        <w:t>2016–20 Electricity distribution price review regulatory proposal revocation and substitution submission: Attachment 6–1 Rate of return, gamma, forecast inflation, and debt and equity raising costs,</w:t>
      </w:r>
      <w:r w:rsidRPr="0083726D">
        <w:t xml:space="preserve"> 6 January 2016, pp 46–48</w:t>
      </w:r>
      <w:r>
        <w:t xml:space="preserve">; </w:t>
      </w:r>
      <w:r w:rsidRPr="0083726D">
        <w:t xml:space="preserve">APTNT, </w:t>
      </w:r>
      <w:r w:rsidRPr="0083726D">
        <w:rPr>
          <w:rStyle w:val="Emphasis"/>
        </w:rPr>
        <w:t>Amadeus Gas Pipeline Access arrangement revised proposal: response to Draft Decision,</w:t>
      </w:r>
      <w:r w:rsidRPr="0083726D">
        <w:t xml:space="preserve"> January 2016, pp. 68–77</w:t>
      </w:r>
      <w:r>
        <w:t>; AusNet Services</w:t>
      </w:r>
      <w:r w:rsidRPr="008170DA">
        <w:rPr>
          <w:rStyle w:val="AERtextitalic"/>
        </w:rPr>
        <w:t>, AusNet Transmission Group Pty Ltd transmission revenue review 2017–2022</w:t>
      </w:r>
      <w:r>
        <w:t>, 30 October 2015, pp. 204–223, 239–266.</w:t>
      </w:r>
    </w:p>
  </w:footnote>
  <w:footnote w:id="569">
    <w:p w:rsidR="003F1AAB" w:rsidRDefault="003F1AAB" w:rsidP="0010250E">
      <w:pPr>
        <w:pStyle w:val="FootnoteText"/>
      </w:pPr>
      <w:r>
        <w:rPr>
          <w:rStyle w:val="FootnoteReference"/>
        </w:rPr>
        <w:footnoteRef/>
      </w:r>
      <w:r>
        <w:t xml:space="preserve"> </w:t>
      </w:r>
      <w:r>
        <w:tab/>
      </w:r>
      <w:r w:rsidRPr="0083726D">
        <w:t xml:space="preserve">For example, see: Australian Competition Tribunal, </w:t>
      </w:r>
      <w:r w:rsidRPr="00CF598C">
        <w:rPr>
          <w:rStyle w:val="AERtextitalic"/>
        </w:rPr>
        <w:t>Applications by Public Interest Advocacy Centre Ltd and Ausgrid [2016] ACompT 1</w:t>
      </w:r>
      <w:r w:rsidRPr="0083726D">
        <w:t xml:space="preserve">, 26 February 2016, paragraphs 713–717, 735, 757; APTNT, </w:t>
      </w:r>
      <w:r w:rsidRPr="0083726D">
        <w:rPr>
          <w:rStyle w:val="Emphasis"/>
        </w:rPr>
        <w:t>Amadeus Gas Pipeline Access arrangement revised proposal: response to Draft Decision,</w:t>
      </w:r>
      <w:r w:rsidRPr="0083726D">
        <w:t xml:space="preserve"> January 2016, pp. 68–73.</w:t>
      </w:r>
    </w:p>
  </w:footnote>
  <w:footnote w:id="570">
    <w:p w:rsidR="003F1AAB" w:rsidRDefault="003F1AAB" w:rsidP="0010250E">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xml:space="preserve">, p.38; </w:t>
      </w:r>
      <w:r w:rsidRPr="0083726D">
        <w:t xml:space="preserve">Origin Energy, </w:t>
      </w:r>
      <w:r w:rsidRPr="0083726D">
        <w:rPr>
          <w:rStyle w:val="AERtextitalic"/>
        </w:rPr>
        <w:t>Submission on ActewAGL’s revised access arrangement for 2016–21</w:t>
      </w:r>
      <w:r w:rsidRPr="0083726D">
        <w:t xml:space="preserve">, 4 February 2016, p. 3; Origin Energy, </w:t>
      </w:r>
      <w:r w:rsidRPr="0083726D">
        <w:rPr>
          <w:rStyle w:val="AERtextitalic"/>
        </w:rPr>
        <w:t>Submission on AGN’s revised access arrangement for 2016–21</w:t>
      </w:r>
      <w:r w:rsidRPr="0083726D">
        <w:t xml:space="preserve">, February 2016; Origin Energy, </w:t>
      </w:r>
      <w:r w:rsidRPr="0083726D">
        <w:rPr>
          <w:rStyle w:val="AERtextitalic"/>
        </w:rPr>
        <w:t>Submission on the AER’s preliminary decisions on the Victorian distribution network service providers for 2016–20</w:t>
      </w:r>
      <w:r w:rsidRPr="0083726D">
        <w:t xml:space="preserve">, 6 January 2016, p. 3; Origin Energy, </w:t>
      </w:r>
      <w:r w:rsidRPr="0083726D">
        <w:rPr>
          <w:rStyle w:val="AERtextitalic"/>
        </w:rPr>
        <w:t>Submission on the Victorian networks’ revised proposals (for 2016–21</w:t>
      </w:r>
      <w:r w:rsidRPr="0083726D">
        <w:t xml:space="preserve">), 4 February 2016; AGL, </w:t>
      </w:r>
      <w:r w:rsidRPr="0083726D">
        <w:rPr>
          <w:rStyle w:val="AERtextitalic"/>
        </w:rPr>
        <w:t>Submission on the AER’s draft decision on AGN’s 2016–21 access arrangement</w:t>
      </w:r>
      <w:r w:rsidRPr="0083726D">
        <w:t>, 4 February 2016, p. 2; Victorian Government, S</w:t>
      </w:r>
      <w:r w:rsidRPr="0083726D">
        <w:rPr>
          <w:rStyle w:val="AERtextitalic"/>
        </w:rPr>
        <w:t>ubmission on the Victorian electricity distribution network service providers’ revised regulatory proposals for 2016–20</w:t>
      </w:r>
      <w:r w:rsidRPr="0083726D">
        <w:t xml:space="preserve">, 12 February 2016, p. 1–2; CCP (panel 5), </w:t>
      </w:r>
      <w:r w:rsidRPr="0083726D">
        <w:rPr>
          <w:rStyle w:val="AERtextitalic"/>
        </w:rPr>
        <w:t>Transmission for the generations: Response to proposal by AusNet Services transmission group pty ltd and AER issues paper for AusNet Services transmission revenue review 2017–22</w:t>
      </w:r>
      <w:r w:rsidRPr="0083726D">
        <w:t xml:space="preserve">, February 2016, p. 41; CCP (panel 3), </w:t>
      </w:r>
      <w:r w:rsidRPr="0083726D">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rsidRPr="0083726D">
        <w:t>, 25 February 2016, p. 30; EUCV</w:t>
      </w:r>
      <w:r w:rsidRPr="0083726D">
        <w:rPr>
          <w:rStyle w:val="AERtextitalic"/>
        </w:rPr>
        <w:t>, A response to AusNet revenue reset proposal for the 2017–2022 period</w:t>
      </w:r>
      <w:r w:rsidRPr="0083726D">
        <w:t xml:space="preserve">, 9 February 2016, p. 40; CCP ( panel 8), </w:t>
      </w:r>
      <w:r w:rsidRPr="0083726D">
        <w:rPr>
          <w:rStyle w:val="AERtextitalic"/>
        </w:rPr>
        <w:t>Advice to AER from Consumer Challenge Panel sub-panel 8 regarding the AER Daft Decision and Australian Gas Networks' (SA) revised access arrangement 2016–2021 proposal</w:t>
      </w:r>
      <w:r w:rsidRPr="0083726D">
        <w:t>, 32 March 2016, p. 2.</w:t>
      </w:r>
    </w:p>
  </w:footnote>
  <w:footnote w:id="571">
    <w:p w:rsidR="003F1AAB" w:rsidRDefault="003F1AAB" w:rsidP="0010250E">
      <w:pPr>
        <w:pStyle w:val="FootnoteText"/>
      </w:pPr>
      <w:r>
        <w:rPr>
          <w:rStyle w:val="FootnoteReference"/>
        </w:rPr>
        <w:footnoteRef/>
      </w:r>
      <w:r>
        <w:t xml:space="preserve"> </w:t>
      </w:r>
      <w:r>
        <w:tab/>
        <w:t xml:space="preserve">For example, Alliance of Electricity Consumers, </w:t>
      </w:r>
      <w:r w:rsidRPr="00B67295">
        <w:rPr>
          <w:rStyle w:val="AERtextitalic"/>
        </w:rPr>
        <w:t>Submission to the AER's Preliminary Decision Queensland</w:t>
      </w:r>
      <w:r>
        <w:t xml:space="preserve">, 3 July 2015; </w:t>
      </w:r>
      <w:r w:rsidRPr="00271B32">
        <w:t xml:space="preserve">Alliance of Energy Consumers, </w:t>
      </w:r>
      <w:r w:rsidRPr="00B67295">
        <w:rPr>
          <w:rStyle w:val="AERtextitalic"/>
        </w:rPr>
        <w:t>Submission to Energex and Ergon Energy’s Revised Regulatory Proposals (Qld)</w:t>
      </w:r>
      <w:r w:rsidRPr="00271B32">
        <w:t>, 24 July 2015</w:t>
      </w:r>
      <w:r>
        <w:t xml:space="preserve">, p.9; </w:t>
      </w:r>
      <w:r w:rsidRPr="00B67295">
        <w:t xml:space="preserve">QCOSS, </w:t>
      </w:r>
      <w:r w:rsidRPr="00B67295">
        <w:rPr>
          <w:rStyle w:val="AERtextitalic"/>
        </w:rPr>
        <w:t>Response to Australian Energy Regulator Preliminary Decision for Queensland distributors 2015-2020</w:t>
      </w:r>
      <w:r w:rsidRPr="00B67295">
        <w:t>, 3 July 2015</w:t>
      </w:r>
      <w:r>
        <w:t xml:space="preserve">, p.20; </w:t>
      </w:r>
      <w:r w:rsidRPr="00262A71">
        <w:t>Total Environment Centre, S</w:t>
      </w:r>
      <w:r w:rsidRPr="00B67295">
        <w:rPr>
          <w:rStyle w:val="AERtextitalic"/>
        </w:rPr>
        <w:t>ubmission to the AER on the Preliminary Decisions on the QLD distributors’ Regulatory Proposals 2015</w:t>
      </w:r>
      <w:r w:rsidRPr="00EE7FE1">
        <w:rPr>
          <w:rStyle w:val="AERtextitalic"/>
          <w:rFonts w:ascii="Cambria Math" w:hAnsi="Cambria Math" w:cs="Cambria Math"/>
        </w:rPr>
        <w:t>‐</w:t>
      </w:r>
      <w:r w:rsidRPr="00B67295">
        <w:rPr>
          <w:rStyle w:val="AERtextitalic"/>
        </w:rPr>
        <w:t>20,</w:t>
      </w:r>
      <w:r w:rsidRPr="00262A71">
        <w:t xml:space="preserve"> 3 July 2015</w:t>
      </w:r>
      <w:r>
        <w:t xml:space="preserve">, p.8; </w:t>
      </w:r>
      <w:r w:rsidRPr="003B2CD0">
        <w:t xml:space="preserve">Cotton Australia, </w:t>
      </w:r>
      <w:r w:rsidRPr="00D9362F">
        <w:rPr>
          <w:rStyle w:val="AERtextitalic"/>
        </w:rPr>
        <w:t>AER Determination Ergon Energy</w:t>
      </w:r>
      <w:r w:rsidRPr="003B2CD0">
        <w:t>, 3 July 2015</w:t>
      </w:r>
      <w:r>
        <w:t xml:space="preserve">, p.2; </w:t>
      </w:r>
      <w:r w:rsidRPr="00B67A28">
        <w:t xml:space="preserve">Energy Users Association of Australia, </w:t>
      </w:r>
      <w:r w:rsidRPr="00D9362F">
        <w:rPr>
          <w:rStyle w:val="AERtextitalic"/>
        </w:rPr>
        <w:t>Submission to AER draft determination and Energex’s revised revenue proposal 2015 to 2020</w:t>
      </w:r>
      <w:r w:rsidRPr="00B67A28">
        <w:t>, 24 July 2015</w:t>
      </w:r>
      <w:r>
        <w:t xml:space="preserve">, p.11; </w:t>
      </w:r>
      <w:r w:rsidRPr="006B6C65">
        <w:t xml:space="preserve">Victorian Energy Consumer and User Alliance, </w:t>
      </w:r>
      <w:r w:rsidRPr="00AF0D78">
        <w:rPr>
          <w:rStyle w:val="AERtextitalic"/>
        </w:rPr>
        <w:t>Submission to the AER Victorian Distribution Networks’ 2016-20 Revenue Proposals</w:t>
      </w:r>
      <w:r w:rsidRPr="006B6C65">
        <w:t>, 13 July 2015</w:t>
      </w:r>
      <w:r>
        <w:t xml:space="preserve">, p.11; </w:t>
      </w:r>
      <w:r w:rsidRPr="00E21D28">
        <w:t xml:space="preserve">QCOSS, </w:t>
      </w:r>
      <w:r w:rsidRPr="00AF0D78">
        <w:rPr>
          <w:rStyle w:val="AERtextitalic"/>
        </w:rPr>
        <w:t>Response to Australian Energy Regulator Preliminary Decision for Queensland distributors 2015-2020</w:t>
      </w:r>
      <w:r w:rsidRPr="00E21D28">
        <w:t>, 3 July 2015</w:t>
      </w:r>
      <w:r>
        <w:t xml:space="preserve">, p.21; </w:t>
      </w:r>
      <w:r w:rsidRPr="00B67A28">
        <w:t xml:space="preserve">Energy Users Association of Australia, </w:t>
      </w:r>
      <w:r w:rsidRPr="00AF0D78">
        <w:rPr>
          <w:rStyle w:val="AERtextitalic"/>
        </w:rPr>
        <w:t>Submission to AER draft determination and Energex’s revised revenue proposal 2015 to 2020</w:t>
      </w:r>
      <w:r w:rsidRPr="00B67A28">
        <w:t>, 24 July 2015</w:t>
      </w:r>
      <w:r>
        <w:t xml:space="preserve">, p.11; </w:t>
      </w:r>
      <w:r w:rsidRPr="00527772">
        <w:t xml:space="preserve">Canegrowers, </w:t>
      </w:r>
      <w:r w:rsidRPr="00AF0D78">
        <w:rPr>
          <w:rStyle w:val="AERtextitalic"/>
        </w:rPr>
        <w:t>AER Draft Determination: Ergon Energy and Energex - Network Distribution Resets 2015-2020, 3 July 2015</w:t>
      </w:r>
      <w:r>
        <w:t xml:space="preserve">, p.2; </w:t>
      </w:r>
      <w:r w:rsidRPr="00092C84">
        <w:t xml:space="preserve">ECCSA, </w:t>
      </w:r>
      <w:r w:rsidRPr="00092C84">
        <w:rPr>
          <w:rStyle w:val="Emphasis"/>
        </w:rPr>
        <w:t xml:space="preserve">A response to the AER draft decision on AGN’s AA2016 revenue reset, </w:t>
      </w:r>
      <w:r w:rsidRPr="00092C84">
        <w:t xml:space="preserve">February 2016, p. 32–37; VECUA, </w:t>
      </w:r>
      <w:r w:rsidRPr="00092C84">
        <w:rPr>
          <w:rStyle w:val="Emphasis"/>
        </w:rPr>
        <w:t>Submission on the AER: AER preliminary 2016–20 revenue determinations for the Victorian DNSPs</w:t>
      </w:r>
      <w:r w:rsidRPr="00092C84">
        <w:t xml:space="preserve">, 6 January 2016, p. 2; CCP (panel 5), </w:t>
      </w:r>
      <w:r w:rsidRPr="00092C84">
        <w:rPr>
          <w:rStyle w:val="Emphasis"/>
        </w:rPr>
        <w:t>Transmission for the generations: Response to proposal by AusNet Services transmission group pty ltd and AER issues paper for AusNet Services transmission revenue review 2017–22</w:t>
      </w:r>
      <w:r w:rsidRPr="00092C84">
        <w:t xml:space="preserve">, February 2016, p. 41; CCP (panel 3), </w:t>
      </w:r>
      <w:r w:rsidRPr="00092C84">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092C84">
        <w:t>, 25 February 2016, pp. 10, 30–31, 33</w:t>
      </w:r>
      <w:r>
        <w:t>.</w:t>
      </w:r>
    </w:p>
  </w:footnote>
  <w:footnote w:id="572">
    <w:p w:rsidR="003F1AAB" w:rsidRDefault="003F1AAB" w:rsidP="0010250E">
      <w:pPr>
        <w:pStyle w:val="FootnoteText"/>
      </w:pPr>
      <w:r>
        <w:rPr>
          <w:rStyle w:val="FootnoteReference"/>
        </w:rPr>
        <w:footnoteRef/>
      </w:r>
      <w:r>
        <w:t xml:space="preserve"> </w:t>
      </w:r>
      <w:r>
        <w:tab/>
      </w:r>
      <w:r>
        <w:rPr>
          <w:rFonts w:asciiTheme="minorHAnsi" w:hAnsiTheme="minorHAnsi" w:cstheme="minorHAnsi"/>
        </w:rPr>
        <w:t xml:space="preserve">AGL, </w:t>
      </w:r>
      <w:r w:rsidRPr="001F0A21">
        <w:rPr>
          <w:rFonts w:asciiTheme="minorHAnsi" w:hAnsiTheme="minorHAnsi" w:cstheme="minorHAnsi"/>
          <w:i/>
        </w:rPr>
        <w:t>Re: Australian Gas Networks (South Australia): Access Arrangement Proposal 2016-21</w:t>
      </w:r>
      <w:r>
        <w:rPr>
          <w:rFonts w:asciiTheme="minorHAnsi" w:hAnsiTheme="minorHAnsi" w:cstheme="minorHAnsi"/>
        </w:rPr>
        <w:t>, 10 August 2015, p. 2.</w:t>
      </w:r>
    </w:p>
  </w:footnote>
  <w:footnote w:id="573">
    <w:p w:rsidR="003F1AAB" w:rsidRDefault="003F1AAB" w:rsidP="0010250E">
      <w:pPr>
        <w:pStyle w:val="FootnoteText"/>
      </w:pPr>
      <w:r>
        <w:rPr>
          <w:rStyle w:val="FootnoteReference"/>
        </w:rPr>
        <w:footnoteRef/>
      </w:r>
      <w:r>
        <w:t xml:space="preserve"> </w:t>
      </w:r>
      <w:r>
        <w:tab/>
      </w:r>
      <w:r w:rsidRPr="007D16FD">
        <w:t>Alternative Technology Association</w:t>
      </w:r>
      <w:r>
        <w:t>,</w:t>
      </w:r>
      <w:r w:rsidRPr="007D16FD">
        <w:t xml:space="preserve"> </w:t>
      </w:r>
      <w:r w:rsidRPr="007D16FD">
        <w:rPr>
          <w:rStyle w:val="AERtextitalic"/>
        </w:rPr>
        <w:t>Submission on Australian Gas Networks (SA) Access Arrangement Proposal</w:t>
      </w:r>
      <w:r>
        <w:t>,</w:t>
      </w:r>
      <w:r w:rsidRPr="007D16FD">
        <w:t xml:space="preserve"> 10 August 2015</w:t>
      </w:r>
      <w:r>
        <w:t>, p.10.</w:t>
      </w:r>
    </w:p>
  </w:footnote>
  <w:footnote w:id="574">
    <w:p w:rsidR="003F1AAB" w:rsidRDefault="003F1AAB" w:rsidP="0010250E">
      <w:pPr>
        <w:pStyle w:val="FootnoteText"/>
      </w:pPr>
      <w:r>
        <w:rPr>
          <w:rStyle w:val="FootnoteReference"/>
        </w:rPr>
        <w:footnoteRef/>
      </w:r>
      <w:r>
        <w:t xml:space="preserve"> </w:t>
      </w:r>
      <w:r>
        <w:tab/>
      </w:r>
      <w:r w:rsidRPr="00925CE8">
        <w:t xml:space="preserve">Business SA, </w:t>
      </w:r>
      <w:r w:rsidRPr="00D9362F">
        <w:rPr>
          <w:rStyle w:val="AERtextitalic"/>
        </w:rPr>
        <w:t>Submission to AER on their preliminary decision, 3 July 2015</w:t>
      </w:r>
      <w:r>
        <w:t>, p.2.</w:t>
      </w:r>
    </w:p>
  </w:footnote>
  <w:footnote w:id="575">
    <w:p w:rsidR="003F1AAB" w:rsidRDefault="003F1AAB" w:rsidP="0010250E">
      <w:pPr>
        <w:pStyle w:val="FootnoteText"/>
      </w:pPr>
      <w:r>
        <w:rPr>
          <w:rStyle w:val="FootnoteReference"/>
        </w:rPr>
        <w:footnoteRef/>
      </w:r>
      <w:r>
        <w:t xml:space="preserve"> </w:t>
      </w:r>
      <w:r>
        <w:tab/>
      </w:r>
      <w:r w:rsidRPr="00D031A7">
        <w:t xml:space="preserve">Consumer Utilities Advocacy Centre, </w:t>
      </w:r>
      <w:r w:rsidRPr="00B862ED">
        <w:rPr>
          <w:rStyle w:val="AERtextitalic"/>
        </w:rPr>
        <w:t>RE Victorian electricity distribution pricing review (EDPR), 2016 to 2020</w:t>
      </w:r>
      <w:r w:rsidRPr="00D031A7">
        <w:t>, 13 July 2015</w:t>
      </w:r>
      <w:r>
        <w:t>, p.2.</w:t>
      </w:r>
    </w:p>
  </w:footnote>
  <w:footnote w:id="576">
    <w:p w:rsidR="003F1AAB" w:rsidRDefault="003F1AAB" w:rsidP="0010250E">
      <w:pPr>
        <w:pStyle w:val="FootnoteText"/>
      </w:pPr>
      <w:r>
        <w:rPr>
          <w:rStyle w:val="FootnoteReference"/>
        </w:rPr>
        <w:footnoteRef/>
      </w:r>
      <w:r>
        <w:t xml:space="preserve"> </w:t>
      </w:r>
      <w:r>
        <w:tab/>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p.11.</w:t>
      </w:r>
    </w:p>
  </w:footnote>
  <w:footnote w:id="577">
    <w:p w:rsidR="003F1AAB" w:rsidRDefault="003F1AAB" w:rsidP="0010250E">
      <w:pPr>
        <w:pStyle w:val="FootnoteText"/>
      </w:pPr>
      <w:r>
        <w:rPr>
          <w:rStyle w:val="FootnoteReference"/>
        </w:rPr>
        <w:footnoteRef/>
      </w:r>
      <w:r>
        <w:t xml:space="preserve"> </w:t>
      </w:r>
      <w:r>
        <w:tab/>
      </w:r>
      <w:r w:rsidRPr="00E87254">
        <w:t xml:space="preserve">Energy Consumers Coalition of South Australia, </w:t>
      </w:r>
      <w:r w:rsidRPr="003A6DD5">
        <w:rPr>
          <w:rStyle w:val="AERtextitalic"/>
        </w:rPr>
        <w:t>Submission on SA Power Networks' revised proposal, 24 July 2015</w:t>
      </w:r>
      <w:r>
        <w:t>, p.6.</w:t>
      </w:r>
    </w:p>
  </w:footnote>
  <w:footnote w:id="578">
    <w:p w:rsidR="003F1AAB" w:rsidRDefault="003F1AAB" w:rsidP="0010250E">
      <w:pPr>
        <w:pStyle w:val="FootnoteText"/>
      </w:pPr>
      <w:r>
        <w:rPr>
          <w:rStyle w:val="FootnoteReference"/>
        </w:rPr>
        <w:footnoteRef/>
      </w:r>
      <w:r>
        <w:t xml:space="preserve"> </w:t>
      </w:r>
      <w:r>
        <w:tab/>
        <w:t xml:space="preserve">ECCSA, </w:t>
      </w:r>
      <w:r w:rsidRPr="00A064A9">
        <w:rPr>
          <w:rStyle w:val="AERtextitalic"/>
        </w:rPr>
        <w:t>Submission on Australian Gas Networks' Access Arrangement Proposal 2016-2021</w:t>
      </w:r>
      <w:r>
        <w:t>,</w:t>
      </w:r>
      <w:r w:rsidRPr="000A3A91">
        <w:t xml:space="preserve"> 16 August 2015</w:t>
      </w:r>
      <w:r>
        <w:t>, p.66.</w:t>
      </w:r>
    </w:p>
  </w:footnote>
  <w:footnote w:id="579">
    <w:p w:rsidR="003F1AAB" w:rsidRDefault="003F1AAB" w:rsidP="0010250E">
      <w:pPr>
        <w:pStyle w:val="FootnoteText"/>
      </w:pPr>
      <w:r>
        <w:rPr>
          <w:rStyle w:val="FootnoteReference"/>
        </w:rPr>
        <w:footnoteRef/>
      </w:r>
      <w:r>
        <w:t xml:space="preserve"> </w:t>
      </w:r>
      <w:r>
        <w:tab/>
      </w:r>
      <w:r w:rsidRPr="00217EDF">
        <w:t xml:space="preserve">Energy Retailers Association of Australia, </w:t>
      </w:r>
      <w:r w:rsidRPr="00D9362F">
        <w:rPr>
          <w:rStyle w:val="AERtextitalic"/>
        </w:rPr>
        <w:t>Preliminary Decision SA Power Networks determination 2015-16 to 2019-20</w:t>
      </w:r>
      <w:r w:rsidRPr="00217EDF">
        <w:t>, 3 July 2015</w:t>
      </w:r>
      <w:r>
        <w:t>.</w:t>
      </w:r>
    </w:p>
  </w:footnote>
  <w:footnote w:id="580">
    <w:p w:rsidR="003F1AAB" w:rsidRDefault="003F1AAB" w:rsidP="0010250E">
      <w:pPr>
        <w:pStyle w:val="FootnoteText"/>
      </w:pPr>
      <w:r>
        <w:rPr>
          <w:rStyle w:val="FootnoteReference"/>
        </w:rPr>
        <w:footnoteRef/>
      </w:r>
      <w:r>
        <w:t xml:space="preserve"> </w:t>
      </w:r>
      <w:r>
        <w:tab/>
      </w:r>
      <w:r w:rsidRPr="00B67A28">
        <w:t xml:space="preserve">Energy Users Association of Australia, </w:t>
      </w:r>
      <w:r w:rsidRPr="00D9362F">
        <w:rPr>
          <w:rStyle w:val="AERtextitalic"/>
        </w:rPr>
        <w:t>Submission to AER draft determination and Energex’s revised revenue proposal 2015 to 2020</w:t>
      </w:r>
      <w:r w:rsidRPr="00B67A28">
        <w:t>, 24 July 2015</w:t>
      </w:r>
      <w:r>
        <w:t>, p.11.</w:t>
      </w:r>
    </w:p>
  </w:footnote>
  <w:footnote w:id="581">
    <w:p w:rsidR="003F1AAB" w:rsidRDefault="003F1AAB" w:rsidP="0010250E">
      <w:pPr>
        <w:pStyle w:val="FootnoteText"/>
      </w:pPr>
      <w:r>
        <w:rPr>
          <w:rStyle w:val="FootnoteReference"/>
        </w:rPr>
        <w:footnoteRef/>
      </w:r>
      <w:r>
        <w:t xml:space="preserve"> </w:t>
      </w:r>
      <w:r>
        <w:tab/>
      </w:r>
      <w:r w:rsidRPr="00336C97">
        <w:t xml:space="preserve">Origin Energy, </w:t>
      </w:r>
      <w:r w:rsidRPr="00B67295">
        <w:rPr>
          <w:rStyle w:val="AERtextitalic"/>
        </w:rPr>
        <w:t>Re Submission to Victorian Electricity Distributors Regulatory Proposals</w:t>
      </w:r>
      <w:r w:rsidRPr="00336C97">
        <w:t>, 13 July 2015</w:t>
      </w:r>
      <w:r>
        <w:t>, p.10.</w:t>
      </w:r>
    </w:p>
  </w:footnote>
  <w:footnote w:id="582">
    <w:p w:rsidR="003F1AAB" w:rsidRDefault="003F1AAB" w:rsidP="0010250E">
      <w:pPr>
        <w:pStyle w:val="FootnoteText"/>
      </w:pPr>
      <w:r>
        <w:rPr>
          <w:rStyle w:val="FootnoteReference"/>
        </w:rPr>
        <w:footnoteRef/>
      </w:r>
      <w:r>
        <w:t xml:space="preserve"> </w:t>
      </w:r>
      <w:r>
        <w:tab/>
        <w:t>O</w:t>
      </w:r>
      <w:r w:rsidRPr="00176A54">
        <w:t>r</w:t>
      </w:r>
      <w:r>
        <w:t>i</w:t>
      </w:r>
      <w:r w:rsidRPr="00176A54">
        <w:t xml:space="preserve">gin Energy, </w:t>
      </w:r>
      <w:r w:rsidRPr="00841CC4">
        <w:rPr>
          <w:rStyle w:val="AERtextitalic"/>
        </w:rPr>
        <w:t>Submission to AER preliminary decision SA Power Networks</w:t>
      </w:r>
      <w:r w:rsidRPr="00176A54">
        <w:t>, 3 July 2015</w:t>
      </w:r>
      <w:r>
        <w:t>.</w:t>
      </w:r>
    </w:p>
  </w:footnote>
  <w:footnote w:id="583">
    <w:p w:rsidR="003F1AAB" w:rsidRDefault="003F1AAB" w:rsidP="0010250E">
      <w:pPr>
        <w:pStyle w:val="FootnoteText"/>
      </w:pPr>
      <w:r>
        <w:rPr>
          <w:rStyle w:val="FootnoteReference"/>
        </w:rPr>
        <w:footnoteRef/>
      </w:r>
      <w:r>
        <w:t xml:space="preserve"> </w:t>
      </w:r>
      <w:r>
        <w:tab/>
      </w:r>
      <w:r w:rsidRPr="006072B5">
        <w:t>Origin</w:t>
      </w:r>
      <w:r>
        <w:t xml:space="preserve"> Energy,</w:t>
      </w:r>
      <w:r w:rsidRPr="006072B5">
        <w:t xml:space="preserve"> </w:t>
      </w:r>
      <w:r w:rsidRPr="006072B5">
        <w:rPr>
          <w:rStyle w:val="AERtextitalic"/>
        </w:rPr>
        <w:t xml:space="preserve">Submission on </w:t>
      </w:r>
      <w:r>
        <w:rPr>
          <w:rStyle w:val="AERtextitalic"/>
        </w:rPr>
        <w:t xml:space="preserve">Australian Gas Networks </w:t>
      </w:r>
      <w:r w:rsidRPr="006072B5">
        <w:rPr>
          <w:rStyle w:val="AERtextitalic"/>
        </w:rPr>
        <w:t xml:space="preserve"> Distribution 2016-21 Access Arrangement Proposal for ACT</w:t>
      </w:r>
      <w:r>
        <w:t xml:space="preserve">, </w:t>
      </w:r>
      <w:r w:rsidRPr="006072B5">
        <w:t>10 August 2015</w:t>
      </w:r>
      <w:r>
        <w:t>, p.5.</w:t>
      </w:r>
    </w:p>
  </w:footnote>
  <w:footnote w:id="584">
    <w:p w:rsidR="003F1AAB" w:rsidRDefault="003F1AAB" w:rsidP="0010250E">
      <w:pPr>
        <w:pStyle w:val="FootnoteText"/>
      </w:pPr>
      <w:r>
        <w:rPr>
          <w:rStyle w:val="FootnoteReference"/>
        </w:rPr>
        <w:footnoteRef/>
      </w:r>
      <w:r>
        <w:t xml:space="preserve"> </w:t>
      </w:r>
      <w:r>
        <w:tab/>
      </w:r>
      <w:r w:rsidRPr="00B67295">
        <w:t xml:space="preserve">QCOSS, </w:t>
      </w:r>
      <w:r w:rsidRPr="00B67295">
        <w:rPr>
          <w:rStyle w:val="AERtextitalic"/>
        </w:rPr>
        <w:t>Response to Australian Energy Regulator Preliminary Decision for Queensland distributors 2015-2020</w:t>
      </w:r>
      <w:r w:rsidRPr="00B67295">
        <w:t>, 3 July 2015</w:t>
      </w:r>
      <w:r>
        <w:t>, p.20.</w:t>
      </w:r>
    </w:p>
  </w:footnote>
  <w:footnote w:id="585">
    <w:p w:rsidR="003F1AAB" w:rsidRDefault="003F1AAB" w:rsidP="0010250E">
      <w:pPr>
        <w:pStyle w:val="FootnoteText"/>
      </w:pPr>
      <w:r>
        <w:rPr>
          <w:rStyle w:val="FootnoteReference"/>
        </w:rPr>
        <w:footnoteRef/>
      </w:r>
      <w:r>
        <w:t xml:space="preserve"> </w:t>
      </w:r>
      <w:r>
        <w:tab/>
      </w:r>
      <w:r w:rsidRPr="00E21D28">
        <w:t xml:space="preserve">QCOSS, </w:t>
      </w:r>
      <w:r w:rsidRPr="00AF0D78">
        <w:rPr>
          <w:rStyle w:val="AERtextitalic"/>
        </w:rPr>
        <w:t>Response to Australian Energy Regulator Preliminary Decision for Queensland distributors 2015-2020</w:t>
      </w:r>
      <w:r w:rsidRPr="00E21D28">
        <w:t>, 3 July 2015</w:t>
      </w:r>
      <w:r>
        <w:t>, p.21.</w:t>
      </w:r>
    </w:p>
  </w:footnote>
  <w:footnote w:id="586">
    <w:p w:rsidR="003F1AAB" w:rsidRDefault="003F1AAB" w:rsidP="0010250E">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p.3.</w:t>
      </w:r>
    </w:p>
  </w:footnote>
  <w:footnote w:id="587">
    <w:p w:rsidR="003F1AAB" w:rsidRDefault="003F1AAB" w:rsidP="0010250E">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p.10.</w:t>
      </w:r>
    </w:p>
  </w:footnote>
  <w:footnote w:id="588">
    <w:p w:rsidR="003F1AAB" w:rsidRDefault="003F1AAB" w:rsidP="0010250E">
      <w:pPr>
        <w:pStyle w:val="FootnoteText"/>
      </w:pPr>
      <w:r>
        <w:rPr>
          <w:rStyle w:val="FootnoteReference"/>
        </w:rPr>
        <w:footnoteRef/>
      </w:r>
      <w:r>
        <w:t xml:space="preserve"> </w:t>
      </w:r>
      <w:r>
        <w:tab/>
        <w:t xml:space="preserve">Henry 0.T., </w:t>
      </w:r>
      <w:r w:rsidRPr="00841CC4">
        <w:rPr>
          <w:rStyle w:val="AERtextitalic"/>
        </w:rPr>
        <w:t>Estimating Beta: An Update</w:t>
      </w:r>
      <w:r>
        <w:t>, April 2014.</w:t>
      </w:r>
    </w:p>
  </w:footnote>
  <w:footnote w:id="589">
    <w:p w:rsidR="003F1AAB" w:rsidRDefault="003F1AAB" w:rsidP="0010250E">
      <w:pPr>
        <w:pStyle w:val="FootnoteText"/>
      </w:pPr>
      <w:r>
        <w:rPr>
          <w:rStyle w:val="FootnoteReference"/>
        </w:rPr>
        <w:footnoteRef/>
      </w:r>
      <w:r>
        <w:t xml:space="preserve"> </w:t>
      </w:r>
      <w:r>
        <w:tab/>
      </w:r>
      <w:r w:rsidRPr="000168DD">
        <w:t xml:space="preserve">Victorian Energy Consumer and User Alliance, </w:t>
      </w:r>
      <w:r w:rsidRPr="00841CC4">
        <w:rPr>
          <w:rStyle w:val="AERtextitalic"/>
        </w:rPr>
        <w:t>Submission to the AER Victorian Distribution Networks’ 2016-20 Revenue Proposals</w:t>
      </w:r>
      <w:r w:rsidRPr="000168DD">
        <w:t>, 13 July 2015</w:t>
      </w:r>
      <w:r>
        <w:t>, p.11.</w:t>
      </w:r>
    </w:p>
  </w:footnote>
  <w:footnote w:id="590">
    <w:p w:rsidR="003F1AAB" w:rsidRDefault="003F1AAB" w:rsidP="0010250E">
      <w:pPr>
        <w:pStyle w:val="FootnoteText"/>
      </w:pPr>
      <w:r>
        <w:rPr>
          <w:rStyle w:val="FootnoteReference"/>
        </w:rPr>
        <w:footnoteRef/>
      </w:r>
      <w:r>
        <w:t xml:space="preserve"> </w:t>
      </w:r>
      <w:r>
        <w:tab/>
      </w:r>
      <w:r w:rsidRPr="006B6C65">
        <w:t xml:space="preserve">Victorian Energy Consumer and User Alliance, </w:t>
      </w:r>
      <w:r w:rsidRPr="00AF0D78">
        <w:rPr>
          <w:rStyle w:val="AERtextitalic"/>
        </w:rPr>
        <w:t>Submission to the AER Victorian Distribution Networks’ 2016-20 Revenue Proposals</w:t>
      </w:r>
      <w:r w:rsidRPr="006B6C65">
        <w:t>, 13 July 2015</w:t>
      </w:r>
      <w:r>
        <w:t>, p.11.</w:t>
      </w:r>
    </w:p>
  </w:footnote>
  <w:footnote w:id="591">
    <w:p w:rsidR="003F1AAB" w:rsidRDefault="003F1AAB" w:rsidP="0010250E">
      <w:pPr>
        <w:pStyle w:val="FootnoteText"/>
      </w:pPr>
      <w:r>
        <w:rPr>
          <w:rStyle w:val="FootnoteReference"/>
        </w:rPr>
        <w:footnoteRef/>
      </w:r>
      <w:r>
        <w:t xml:space="preserve"> </w:t>
      </w:r>
      <w:r>
        <w:tab/>
      </w:r>
      <w:r w:rsidRPr="00EA4900">
        <w:t xml:space="preserve">CitiPower, </w:t>
      </w:r>
      <w:r w:rsidRPr="00EA4900">
        <w:rPr>
          <w:rStyle w:val="Emphasis"/>
        </w:rPr>
        <w:t>Revised regulatory proposal 2016–2020</w:t>
      </w:r>
      <w:r w:rsidRPr="00EA4900">
        <w:t xml:space="preserve">, January 2016, pp. 281–289; Powercor, </w:t>
      </w:r>
      <w:r w:rsidRPr="00EA4900">
        <w:rPr>
          <w:rStyle w:val="Emphasis"/>
        </w:rPr>
        <w:t>Revised regulatory proposal 2016–2020</w:t>
      </w:r>
      <w:r w:rsidRPr="00EA4900">
        <w:t xml:space="preserve">, January 2016, pp. 275–283; ActewAGL, </w:t>
      </w:r>
      <w:r w:rsidRPr="00EA4900">
        <w:rPr>
          <w:rStyle w:val="Emphasis"/>
        </w:rPr>
        <w:t>Revised 2016–21 access a</w:t>
      </w:r>
      <w:r>
        <w:rPr>
          <w:rStyle w:val="Emphasis"/>
        </w:rPr>
        <w:t>rr</w:t>
      </w:r>
      <w:r w:rsidRPr="00EA4900">
        <w:rPr>
          <w:rStyle w:val="Emphasis"/>
        </w:rPr>
        <w:t>angement proposal Response to the AER's draft decision, Appendix 5.01 Detailed response to rate of return, gamma and inflation</w:t>
      </w:r>
      <w:r w:rsidRPr="00EA4900">
        <w:t xml:space="preserve">, January 2016, pp. 57–72; United Energy, </w:t>
      </w:r>
      <w:r w:rsidRPr="00EA4900">
        <w:rPr>
          <w:rStyle w:val="Emphasis"/>
        </w:rPr>
        <w:t>Response to AER preliminary determination–Re: rate of return and gamma</w:t>
      </w:r>
      <w:r w:rsidRPr="00EA4900">
        <w:t xml:space="preserve">, 6 January 2016, pp.41–45; AGN, </w:t>
      </w:r>
      <w:r w:rsidRPr="00EA4900">
        <w:rPr>
          <w:rStyle w:val="Emphasis"/>
        </w:rPr>
        <w:t>2016–17 to 2020/21 Access Arrangement information response to draft decision: Attachment 10.26 Response to draft decision: rate of return</w:t>
      </w:r>
      <w:r w:rsidRPr="00EA4900">
        <w:t xml:space="preserve">, January 2016, pp. 46–49 ; JEN (Vic), </w:t>
      </w:r>
      <w:r w:rsidRPr="00EA4900">
        <w:rPr>
          <w:rStyle w:val="Emphasis"/>
        </w:rPr>
        <w:t>2016–20 Electricity distribution price review regulatory proposal revocation and substitution submission: Attachment 6–1 Rate of return, gamma, forecast inflation, and debt and equity raising costs,</w:t>
      </w:r>
      <w:r w:rsidRPr="00EA4900">
        <w:t xml:space="preserve"> 6 January 2016, pp. 46–49; AusNet Services, </w:t>
      </w:r>
      <w:r w:rsidRPr="00EA4900">
        <w:rPr>
          <w:rStyle w:val="Emphasis"/>
        </w:rPr>
        <w:t>Electricity distribution price review 2016–20 Revised regulatory proposal: Chapter 7 Rate of return &amp; gamma</w:t>
      </w:r>
      <w:r w:rsidRPr="00EA4900">
        <w:t xml:space="preserve">, 6 January 2016, pp. 41–49; APTNT, </w:t>
      </w:r>
      <w:r w:rsidRPr="00EA4900">
        <w:rPr>
          <w:rStyle w:val="Emphasis"/>
        </w:rPr>
        <w:t>Amadeus Gas Pipeline Access arrangement revised proposal: response to Draft Decision,</w:t>
      </w:r>
      <w:r w:rsidRPr="00EA4900">
        <w:t xml:space="preserve"> January 2016, pp. 68–73; APTNT, </w:t>
      </w:r>
      <w:r w:rsidRPr="00EA4900">
        <w:rPr>
          <w:rStyle w:val="Emphasis"/>
        </w:rPr>
        <w:t>Amadeus Gas Pipeline access arrangement revision proposal</w:t>
      </w:r>
      <w:r w:rsidRPr="00EA4900">
        <w:t>, August 2015, p. 110–130.</w:t>
      </w:r>
    </w:p>
    <w:p w:rsidR="003F1AAB" w:rsidRDefault="003F1AAB" w:rsidP="0010250E">
      <w:pPr>
        <w:pStyle w:val="FootnoteText"/>
      </w:pPr>
      <w:r>
        <w:tab/>
        <w:t>AusNet Services</w:t>
      </w:r>
      <w:r w:rsidRPr="00DC0445">
        <w:rPr>
          <w:rStyle w:val="AERtextitalic"/>
        </w:rPr>
        <w:t>, AusNet Transmission Group Pty Ltd transmission revenue review 2017–2022</w:t>
      </w:r>
      <w:r>
        <w:t>, 30 October 2015, pp. 214, 250–260.</w:t>
      </w:r>
    </w:p>
  </w:footnote>
  <w:footnote w:id="592">
    <w:p w:rsidR="003F1AAB" w:rsidRDefault="003F1AAB" w:rsidP="0010250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593">
    <w:p w:rsidR="003F1AAB" w:rsidRDefault="003F1AAB" w:rsidP="0010250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9.</w:t>
      </w:r>
    </w:p>
  </w:footnote>
  <w:footnote w:id="594">
    <w:p w:rsidR="003F1AAB" w:rsidRPr="00892F96" w:rsidRDefault="003F1AAB" w:rsidP="0010250E">
      <w:pPr>
        <w:pStyle w:val="FootnoteText"/>
        <w:rPr>
          <w:rStyle w:val="AERtextitalic"/>
          <w:i w:val="0"/>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595">
    <w:p w:rsidR="003F1AAB" w:rsidRDefault="003F1AAB" w:rsidP="0010250E">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23–24.</w:t>
      </w:r>
    </w:p>
  </w:footnote>
  <w:footnote w:id="596">
    <w:p w:rsidR="003F1AAB" w:rsidRPr="00892F96" w:rsidRDefault="003F1AAB" w:rsidP="0010250E">
      <w:pPr>
        <w:pStyle w:val="FootnoteText"/>
        <w:rPr>
          <w:i/>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597">
    <w:p w:rsidR="003F1AAB" w:rsidRDefault="003F1AAB" w:rsidP="0010250E">
      <w:pPr>
        <w:pStyle w:val="FootnoteText"/>
      </w:pPr>
      <w:r>
        <w:rPr>
          <w:rStyle w:val="FootnoteReference"/>
        </w:rPr>
        <w:footnoteRef/>
      </w:r>
      <w:r>
        <w:t xml:space="preserve"> </w:t>
      </w:r>
      <w:r>
        <w:tab/>
      </w:r>
      <w:r w:rsidRPr="00C67AC4">
        <w:t xml:space="preserve">NERA, </w:t>
      </w:r>
      <w:r w:rsidRPr="00C67AC4">
        <w:rPr>
          <w:rStyle w:val="AERtextitalic"/>
        </w:rPr>
        <w:t>The Cost of Equity: Response to the AER's</w:t>
      </w:r>
      <w:r>
        <w:rPr>
          <w:rStyle w:val="AERtextitalic"/>
        </w:rPr>
        <w:t xml:space="preserve"> </w:t>
      </w:r>
      <w:r w:rsidRPr="00C67AC4">
        <w:rPr>
          <w:rStyle w:val="AERtextitalic"/>
        </w:rPr>
        <w:t>final decisions for the NSW and ACT Electricity Distributors, and for Jemena Gas Networks</w:t>
      </w:r>
      <w:r w:rsidRPr="00C67AC4">
        <w:t>, June 2015, p. 33 &amp; 37</w:t>
      </w:r>
    </w:p>
  </w:footnote>
  <w:footnote w:id="598">
    <w:p w:rsidR="003F1AAB" w:rsidRDefault="003F1AAB" w:rsidP="0010250E">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24.</w:t>
      </w:r>
    </w:p>
  </w:footnote>
  <w:footnote w:id="599">
    <w:p w:rsidR="003F1AAB" w:rsidRDefault="003F1AAB" w:rsidP="0010250E">
      <w:pPr>
        <w:pStyle w:val="FootnoteText"/>
      </w:pPr>
      <w:r>
        <w:rPr>
          <w:rStyle w:val="FootnoteReference"/>
        </w:rPr>
        <w:footnoteRef/>
      </w:r>
      <w:r>
        <w:t xml:space="preserve"> </w:t>
      </w:r>
      <w:r>
        <w:tab/>
        <w:t>Generalised least squares,</w:t>
      </w:r>
    </w:p>
  </w:footnote>
  <w:footnote w:id="600">
    <w:p w:rsidR="003F1AAB" w:rsidRDefault="003F1AAB" w:rsidP="0010250E">
      <w:pPr>
        <w:pStyle w:val="FootnoteText"/>
      </w:pPr>
      <w:r>
        <w:rPr>
          <w:rStyle w:val="FootnoteReference"/>
        </w:rPr>
        <w:footnoteRef/>
      </w:r>
      <w:r>
        <w:t xml:space="preserve"> </w:t>
      </w:r>
      <w:r>
        <w:tab/>
        <w:t xml:space="preserve">Partington and Satchell, </w:t>
      </w:r>
      <w:r w:rsidRPr="007045D6">
        <w:rPr>
          <w:rStyle w:val="AERtextitalic"/>
        </w:rPr>
        <w:t xml:space="preserve">Report to the AER: </w:t>
      </w:r>
      <w:r>
        <w:rPr>
          <w:rStyle w:val="AERtextitalic"/>
        </w:rPr>
        <w:t xml:space="preserve">Analysis of criticism of 2015 determinations, </w:t>
      </w:r>
      <w:r>
        <w:t>October 2015, p. 21.</w:t>
      </w:r>
    </w:p>
  </w:footnote>
  <w:footnote w:id="601">
    <w:p w:rsidR="003F1AAB" w:rsidRDefault="003F1AAB" w:rsidP="0010250E">
      <w:pPr>
        <w:pStyle w:val="FootnoteText"/>
      </w:pPr>
      <w:r>
        <w:rPr>
          <w:rStyle w:val="FootnoteReference"/>
        </w:rPr>
        <w:footnoteRef/>
      </w:r>
      <w:r>
        <w:t xml:space="preserve"> </w:t>
      </w:r>
      <w:r>
        <w:tab/>
        <w:t xml:space="preserve">HoustonKemp, </w:t>
      </w:r>
      <w:r w:rsidRPr="00EA4900">
        <w:rPr>
          <w:rStyle w:val="Emphasis"/>
        </w:rPr>
        <w:t>The cost of equity: response to the AER's draft decisions for the Victorian electricity distributors, ActewAGL Distribution and Australian Gas Networks</w:t>
      </w:r>
      <w:r w:rsidRPr="00EA4900">
        <w:t>, January 2016</w:t>
      </w:r>
      <w:r>
        <w:t>, p. 27.</w:t>
      </w:r>
    </w:p>
  </w:footnote>
  <w:footnote w:id="602">
    <w:p w:rsidR="003F1AAB" w:rsidRDefault="003F1AAB" w:rsidP="0010250E">
      <w:pPr>
        <w:pStyle w:val="FootnoteText"/>
      </w:pPr>
      <w:r>
        <w:rPr>
          <w:rStyle w:val="FootnoteReference"/>
        </w:rPr>
        <w:footnoteRef/>
      </w:r>
      <w:r>
        <w:t xml:space="preserve"> </w:t>
      </w:r>
      <w:r>
        <w:tab/>
        <w:t>Partington and Satchell, draft report, April 2015, pp. 46–47.</w:t>
      </w:r>
    </w:p>
  </w:footnote>
  <w:footnote w:id="603">
    <w:p w:rsidR="003F1AAB" w:rsidRDefault="003F1AAB" w:rsidP="0010250E">
      <w:pPr>
        <w:pStyle w:val="FootnoteText"/>
      </w:pPr>
      <w:r>
        <w:rPr>
          <w:rStyle w:val="FootnoteReference"/>
        </w:rPr>
        <w:footnoteRef/>
      </w:r>
      <w:r>
        <w:t xml:space="preserve"> </w:t>
      </w:r>
      <w:r>
        <w:tab/>
        <w:t xml:space="preserve">NERA, </w:t>
      </w:r>
      <w:r w:rsidRPr="00726F93">
        <w:rPr>
          <w:rStyle w:val="AERtextitalic"/>
        </w:rPr>
        <w:t>Empirical performance of Sharpe–Lintner and Black CAPMs</w:t>
      </w:r>
      <w:r>
        <w:t>, February 2015.</w:t>
      </w:r>
    </w:p>
  </w:footnote>
  <w:footnote w:id="604">
    <w:p w:rsidR="003F1AAB" w:rsidRDefault="003F1AAB" w:rsidP="0010250E">
      <w:pPr>
        <w:pStyle w:val="FootnoteText"/>
      </w:pPr>
      <w:r>
        <w:rPr>
          <w:rStyle w:val="FootnoteReference"/>
        </w:rPr>
        <w:footnoteRef/>
      </w:r>
      <w:r>
        <w:t xml:space="preserve"> </w:t>
      </w:r>
      <w:r>
        <w:tab/>
        <w:t xml:space="preserve">NERA, </w:t>
      </w:r>
      <w:r w:rsidRPr="00A0594F">
        <w:rPr>
          <w:rStyle w:val="AERtextitalic"/>
        </w:rPr>
        <w:t>Empirical performance of the Sharpe–Lintner and Black CAPMs</w:t>
      </w:r>
      <w:r>
        <w:t>, February 2015, pp. 25, 31.</w:t>
      </w:r>
    </w:p>
  </w:footnote>
  <w:footnote w:id="605">
    <w:p w:rsidR="003F1AAB" w:rsidRDefault="003F1AAB" w:rsidP="0010250E">
      <w:pPr>
        <w:pStyle w:val="FootnoteText"/>
      </w:pPr>
      <w:r>
        <w:rPr>
          <w:rStyle w:val="FootnoteReference"/>
        </w:rPr>
        <w:footnoteRef/>
      </w:r>
      <w:r>
        <w:t xml:space="preserve"> </w:t>
      </w:r>
      <w:r>
        <w:tab/>
        <w:t xml:space="preserve">NERA, </w:t>
      </w:r>
      <w:r w:rsidRPr="003034B8">
        <w:rPr>
          <w:rStyle w:val="AERtextitalic"/>
        </w:rPr>
        <w:t>Empirical performance of the Sharpe–Lintner and Black CAPMs</w:t>
      </w:r>
      <w:r>
        <w:t>, February 2015, p. 29.</w:t>
      </w:r>
    </w:p>
  </w:footnote>
  <w:footnote w:id="606">
    <w:p w:rsidR="003F1AAB" w:rsidRDefault="003F1AAB" w:rsidP="0010250E">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xml:space="preserve">, May 2014, p. 92; </w:t>
      </w:r>
      <w:r>
        <w:tab/>
        <w:t xml:space="preserve">SFG, </w:t>
      </w:r>
      <w:r w:rsidRPr="00C9290A">
        <w:rPr>
          <w:rStyle w:val="AERtextitalic"/>
        </w:rPr>
        <w:t>Cost of Equity in the Black Capital Asset Pricing Model</w:t>
      </w:r>
      <w:r>
        <w:t>, 22 May 2014, p. 3.</w:t>
      </w:r>
    </w:p>
  </w:footnote>
  <w:footnote w:id="607">
    <w:p w:rsidR="003F1AAB" w:rsidRDefault="003F1AAB" w:rsidP="0010250E">
      <w:pPr>
        <w:pStyle w:val="FootnoteText"/>
      </w:pPr>
      <w:r>
        <w:rPr>
          <w:rStyle w:val="FootnoteReference"/>
        </w:rPr>
        <w:footnoteRef/>
      </w:r>
      <w:r>
        <w:t xml:space="preserve"> </w:t>
      </w:r>
      <w:r>
        <w:tab/>
        <w:t xml:space="preserve">Partington, </w:t>
      </w:r>
      <w:r>
        <w:rPr>
          <w:rStyle w:val="AERtextitalic"/>
        </w:rPr>
        <w:t>Report to the AER: Return on equity (updated), April 2015</w:t>
      </w:r>
      <w:r>
        <w:t>, p. 25.</w:t>
      </w:r>
    </w:p>
  </w:footnote>
  <w:footnote w:id="608">
    <w:p w:rsidR="003F1AAB" w:rsidRDefault="003F1AAB" w:rsidP="0010250E">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t>, October 2014</w:t>
      </w:r>
      <w:r w:rsidRPr="000051D4">
        <w:t xml:space="preserve">, </w:t>
      </w:r>
      <w:r>
        <w:t>pp. 22</w:t>
      </w:r>
      <w:r>
        <w:rPr>
          <w:rFonts w:cs="Gautami"/>
        </w:rPr>
        <w:t>–</w:t>
      </w:r>
      <w:r>
        <w:t>23.</w:t>
      </w:r>
    </w:p>
  </w:footnote>
  <w:footnote w:id="609">
    <w:p w:rsidR="003F1AAB" w:rsidRDefault="003F1AAB" w:rsidP="0010250E">
      <w:pPr>
        <w:pStyle w:val="FootnoteText"/>
      </w:pPr>
      <w:r>
        <w:rPr>
          <w:rStyle w:val="FootnoteReference"/>
        </w:rPr>
        <w:footnoteRef/>
      </w:r>
      <w:r>
        <w:t xml:space="preserve"> </w:t>
      </w:r>
      <w:r>
        <w:tab/>
        <w:t xml:space="preserve">Partington and Satchell, </w:t>
      </w:r>
      <w:r w:rsidRPr="00892F96">
        <w:rPr>
          <w:rStyle w:val="AERtextitalic"/>
        </w:rPr>
        <w:t>Report to the AER: Return of equity and comment on submissions in relation to JGN</w:t>
      </w:r>
      <w:r>
        <w:t xml:space="preserve">, May 2015, p. 16; Handley, </w:t>
      </w:r>
      <w:r w:rsidRPr="00892F96">
        <w:rPr>
          <w:rStyle w:val="AERtextitalic"/>
        </w:rPr>
        <w:t>Advice on the rate of return for the 2015 AER energy network determination for Jemena Gas Networks</w:t>
      </w:r>
      <w:r>
        <w:t>, 20 May 2015, p. 5.</w:t>
      </w:r>
    </w:p>
  </w:footnote>
  <w:footnote w:id="610">
    <w:p w:rsidR="003F1AAB" w:rsidRDefault="003F1AAB" w:rsidP="0010250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21.</w:t>
      </w:r>
    </w:p>
  </w:footnote>
  <w:footnote w:id="611">
    <w:p w:rsidR="003F1AAB" w:rsidRDefault="003F1AAB" w:rsidP="0010250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14.</w:t>
      </w:r>
    </w:p>
  </w:footnote>
  <w:footnote w:id="612">
    <w:p w:rsidR="003F1AAB" w:rsidRDefault="003F1AAB" w:rsidP="0010250E">
      <w:pPr>
        <w:pStyle w:val="FootnoteText"/>
      </w:pPr>
      <w:r>
        <w:rPr>
          <w:rStyle w:val="FootnoteReference"/>
        </w:rPr>
        <w:footnoteRef/>
      </w:r>
      <w:r>
        <w:t xml:space="preserve"> </w:t>
      </w:r>
      <w:r>
        <w:tab/>
        <w:t xml:space="preserve">HoustonKemp, </w:t>
      </w:r>
      <w:r w:rsidRPr="003C0BC3">
        <w:rPr>
          <w:rStyle w:val="Emphasis"/>
        </w:rPr>
        <w:t>The cost of equity: response to the AER's draft decisions for the Victorian electricity distributors, ActewAGL Distribution and Australian Gas Networks</w:t>
      </w:r>
      <w:r w:rsidRPr="003C0BC3">
        <w:t>, January 2016</w:t>
      </w:r>
      <w:r>
        <w:t>, p. 27.</w:t>
      </w:r>
    </w:p>
  </w:footnote>
  <w:footnote w:id="613">
    <w:p w:rsidR="003F1AAB" w:rsidRDefault="003F1AAB" w:rsidP="0010250E">
      <w:pPr>
        <w:pStyle w:val="FootnoteText"/>
      </w:pPr>
      <w:r>
        <w:rPr>
          <w:rStyle w:val="FootnoteReference"/>
        </w:rPr>
        <w:footnoteRef/>
      </w:r>
      <w:r>
        <w:t xml:space="preserve"> </w:t>
      </w:r>
      <w:r>
        <w:tab/>
        <w:t>Partington and Satchell, draft report, April 2015, p. 50.</w:t>
      </w:r>
    </w:p>
  </w:footnote>
  <w:footnote w:id="614">
    <w:p w:rsidR="003F1AAB" w:rsidRDefault="003F1AAB" w:rsidP="0010250E">
      <w:pPr>
        <w:pStyle w:val="FootnoteText"/>
      </w:pPr>
      <w:r>
        <w:rPr>
          <w:rStyle w:val="FootnoteReference"/>
        </w:rPr>
        <w:footnoteRef/>
      </w:r>
      <w:r>
        <w:t xml:space="preserve"> </w:t>
      </w:r>
      <w:r>
        <w:tab/>
        <w:t>Partington and Satchell, draft report, April 2015, p. 50.</w:t>
      </w:r>
    </w:p>
  </w:footnote>
  <w:footnote w:id="615">
    <w:p w:rsidR="003F1AAB" w:rsidRDefault="003F1AAB" w:rsidP="0010250E">
      <w:pPr>
        <w:pStyle w:val="FootnoteText"/>
      </w:pPr>
      <w:r>
        <w:rPr>
          <w:rStyle w:val="FootnoteReference"/>
        </w:rPr>
        <w:footnoteRef/>
      </w:r>
      <w:r>
        <w:t xml:space="preserve"> </w:t>
      </w:r>
      <w:r>
        <w:tab/>
        <w:t xml:space="preserve">Partington, </w:t>
      </w:r>
      <w:r>
        <w:rPr>
          <w:rStyle w:val="AERtextitalic"/>
        </w:rPr>
        <w:t>Report to the AER: Return on equity (updated), April 2015</w:t>
      </w:r>
      <w:r>
        <w:t>, pp. 33–34.</w:t>
      </w:r>
    </w:p>
  </w:footnote>
  <w:footnote w:id="616">
    <w:p w:rsidR="003F1AAB" w:rsidRDefault="003F1AAB" w:rsidP="0010250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22.</w:t>
      </w:r>
    </w:p>
  </w:footnote>
  <w:footnote w:id="617">
    <w:p w:rsidR="003F1AAB" w:rsidRDefault="003F1AAB" w:rsidP="0010250E">
      <w:pPr>
        <w:pStyle w:val="FootnoteText"/>
      </w:pPr>
      <w:r>
        <w:rPr>
          <w:rStyle w:val="FootnoteReference"/>
        </w:rPr>
        <w:footnoteRef/>
      </w:r>
      <w:r>
        <w:t xml:space="preserve"> </w:t>
      </w:r>
      <w:r>
        <w:tab/>
        <w:t>Partington and Satchell, draft report, April 2015, p. 45.</w:t>
      </w:r>
    </w:p>
  </w:footnote>
  <w:footnote w:id="618">
    <w:p w:rsidR="003F1AAB" w:rsidRDefault="003F1AAB" w:rsidP="0010250E">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444</w:t>
      </w:r>
      <w:r>
        <w:rPr>
          <w:rFonts w:cs="Gautami"/>
        </w:rPr>
        <w:t>–</w:t>
      </w:r>
      <w:r>
        <w:t xml:space="preserve">455; McKenzie and Partington, </w:t>
      </w:r>
      <w:r>
        <w:rPr>
          <w:rStyle w:val="AERtextitalic"/>
        </w:rPr>
        <w:t>Report to the AER part A: Return on e</w:t>
      </w:r>
      <w:r w:rsidRPr="007F1F50">
        <w:rPr>
          <w:rStyle w:val="AERtextitalic"/>
        </w:rPr>
        <w:t>quity</w:t>
      </w:r>
      <w:r>
        <w:t>, October 2014, p. 20.</w:t>
      </w:r>
    </w:p>
  </w:footnote>
  <w:footnote w:id="619">
    <w:p w:rsidR="003F1AAB" w:rsidRDefault="003F1AAB" w:rsidP="0010250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22.</w:t>
      </w:r>
    </w:p>
  </w:footnote>
  <w:footnote w:id="620">
    <w:p w:rsidR="003F1AAB" w:rsidRDefault="003F1AAB" w:rsidP="0010250E">
      <w:pPr>
        <w:pStyle w:val="FootnoteText"/>
      </w:pPr>
      <w:r>
        <w:rPr>
          <w:rStyle w:val="FootnoteReference"/>
        </w:rPr>
        <w:footnoteRef/>
      </w:r>
      <w:r>
        <w:t xml:space="preserve"> </w:t>
      </w:r>
      <w:r>
        <w:tab/>
        <w:t>This</w:t>
      </w:r>
      <w:r w:rsidRPr="000449CC">
        <w:t xml:space="preserve"> assumption does not accord with how the stock lending</w:t>
      </w:r>
      <w:r>
        <w:t xml:space="preserve"> markets work because s</w:t>
      </w:r>
      <w:r w:rsidRPr="000449CC">
        <w:t>hort sellers are required to post</w:t>
      </w:r>
      <w:r>
        <w:t xml:space="preserve"> </w:t>
      </w:r>
      <w:r w:rsidRPr="000449CC">
        <w:t>collateral when lending stock in the form of cash and/or equit</w:t>
      </w:r>
      <w:r>
        <w:t xml:space="preserve">y. See </w:t>
      </w:r>
      <w:r w:rsidRPr="00F73F72">
        <w:t xml:space="preserve">McKenzie and Partington, </w:t>
      </w:r>
      <w:r w:rsidRPr="003034B8">
        <w:rPr>
          <w:rStyle w:val="AERtextitalic"/>
        </w:rPr>
        <w:t>Risk, asset pricing and WACC</w:t>
      </w:r>
      <w:r>
        <w:t>, June 2013,</w:t>
      </w:r>
      <w:r w:rsidRPr="00F73F72">
        <w:t xml:space="preserve"> p. 25</w:t>
      </w:r>
      <w:r>
        <w:t>.</w:t>
      </w:r>
    </w:p>
  </w:footnote>
  <w:footnote w:id="621">
    <w:p w:rsidR="003F1AAB" w:rsidRDefault="003F1AAB" w:rsidP="0010250E">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446</w:t>
      </w:r>
      <w:r>
        <w:rPr>
          <w:rFonts w:cs="Gautami"/>
        </w:rPr>
        <w:t>–</w:t>
      </w:r>
      <w:r>
        <w:t>450.</w:t>
      </w:r>
    </w:p>
  </w:footnote>
  <w:footnote w:id="622">
    <w:p w:rsidR="003F1AAB" w:rsidRDefault="003F1AAB" w:rsidP="0010250E">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623">
    <w:p w:rsidR="003F1AAB" w:rsidRDefault="003F1AAB" w:rsidP="0010250E">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624">
    <w:p w:rsidR="003F1AAB" w:rsidRDefault="003F1AAB" w:rsidP="0010250E">
      <w:pPr>
        <w:pStyle w:val="FootnoteText"/>
      </w:pPr>
      <w:r>
        <w:rPr>
          <w:rStyle w:val="FootnoteReference"/>
        </w:rPr>
        <w:footnoteRef/>
      </w:r>
      <w:r>
        <w:t xml:space="preserve"> </w:t>
      </w:r>
      <w:r>
        <w:tab/>
        <w:t>For more detail, see the 'use in practice' subsection in section A.3.3 of Attachment 3 to our draft decision for AGN, which remains relevant here. No new material was submitted on this issue following our draft decision.</w:t>
      </w:r>
    </w:p>
  </w:footnote>
  <w:footnote w:id="625">
    <w:p w:rsidR="003F1AAB" w:rsidRDefault="003F1AAB" w:rsidP="0010250E">
      <w:pPr>
        <w:pStyle w:val="FootnoteText"/>
      </w:pPr>
      <w:r>
        <w:rPr>
          <w:rStyle w:val="FootnoteReference"/>
        </w:rPr>
        <w:footnoteRef/>
      </w:r>
      <w:r>
        <w:t xml:space="preserve"> </w:t>
      </w:r>
      <w:r>
        <w:tab/>
        <w:t>A</w:t>
      </w:r>
      <w:r w:rsidRPr="001562D4">
        <w:t xml:space="preserve"> recent study </w:t>
      </w:r>
      <w:r>
        <w:t>examined</w:t>
      </w:r>
      <w:r w:rsidRPr="001562D4">
        <w:t xml:space="preserve"> regulatory prac</w:t>
      </w:r>
      <w:r>
        <w:t>tices in 21 countries and did</w:t>
      </w:r>
      <w:r w:rsidRPr="001562D4">
        <w:t xml:space="preserve"> not point to any uses of the Black CAPM</w:t>
      </w:r>
      <w:r>
        <w:t xml:space="preserve">. See 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626">
    <w:p w:rsidR="003F1AAB" w:rsidRDefault="003F1AAB" w:rsidP="0010250E">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w:t>
      </w:r>
    </w:p>
  </w:footnote>
  <w:footnote w:id="627">
    <w:p w:rsidR="003F1AAB" w:rsidRDefault="003F1AAB" w:rsidP="0010250E">
      <w:pPr>
        <w:pStyle w:val="FootnoteText"/>
      </w:pPr>
      <w:r>
        <w:rPr>
          <w:rStyle w:val="FootnoteReference"/>
        </w:rPr>
        <w:footnoteRef/>
      </w:r>
      <w:r>
        <w:t xml:space="preserve"> </w:t>
      </w:r>
      <w:r>
        <w:tab/>
        <w:t>As the zero beta portfolio can take many years of data to estimate, while the current government bond rate is readily available. See:</w:t>
      </w:r>
      <w:r w:rsidRPr="008E0D8F">
        <w:t xml:space="preserve"> Partington &amp; Satchell, </w:t>
      </w:r>
      <w:r w:rsidRPr="008E0D8F">
        <w:rPr>
          <w:rStyle w:val="AERtextitalic"/>
        </w:rPr>
        <w:t xml:space="preserve">Report to the AER: Analysis of criticism of 2015 determinations, </w:t>
      </w:r>
      <w:r w:rsidRPr="008E0D8F">
        <w:t>October 2015</w:t>
      </w:r>
      <w:r>
        <w:t>, p. 20.</w:t>
      </w:r>
    </w:p>
  </w:footnote>
  <w:footnote w:id="628">
    <w:p w:rsidR="003F1AAB" w:rsidRDefault="003F1AAB" w:rsidP="0010250E">
      <w:pPr>
        <w:pStyle w:val="FootnoteText"/>
      </w:pPr>
      <w:r>
        <w:rPr>
          <w:rStyle w:val="FootnoteReference"/>
        </w:rPr>
        <w:footnoteRef/>
      </w:r>
      <w:r>
        <w:t xml:space="preserve"> </w:t>
      </w:r>
      <w:r>
        <w:tab/>
        <w:t>Handley found, '</w:t>
      </w:r>
      <w:r w:rsidRPr="008E298C">
        <w:t>The AER’s choice in using the Black CAPM to info</w:t>
      </w:r>
      <w:r>
        <w:t xml:space="preserve">rm the beta estimate, using the </w:t>
      </w:r>
      <w:r w:rsidRPr="008E298C">
        <w:t>DGM to inform the MRP estimate and not usin</w:t>
      </w:r>
      <w:r>
        <w:t xml:space="preserve">g the Fama-French model is also </w:t>
      </w:r>
      <w:r w:rsidRPr="008E298C">
        <w:t>appropriate and reasonable</w:t>
      </w:r>
      <w:r>
        <w:t xml:space="preserve">' in </w:t>
      </w:r>
      <w:r w:rsidRPr="00B961EA">
        <w:rPr>
          <w:rStyle w:val="AERtextitalic"/>
        </w:rPr>
        <w:t>Advice on the return on equity</w:t>
      </w:r>
      <w:r>
        <w:t>, 16 October 2014, p. 5. McKenzie and Partington advised the theory underpinning the Black CAPM does not necessarily support an uplift to beta. McKenzie and Partington advised, '</w:t>
      </w:r>
      <w:r w:rsidRPr="00253CC7">
        <w:t>the theory of the Black CAPM may have a role to play in choosing the equity beta, although exactly how is still not clear to</w:t>
      </w:r>
      <w:r>
        <w:t xml:space="preserve"> us' in</w:t>
      </w:r>
      <w:r w:rsidRPr="00253CC7">
        <w:rPr>
          <w:rStyle w:val="AERtextitalic"/>
        </w:rPr>
        <w:t xml:space="preserve"> </w:t>
      </w:r>
      <w:r>
        <w:rPr>
          <w:rStyle w:val="AERtextitalic"/>
        </w:rPr>
        <w:t>Report to the AER part A: Return on e</w:t>
      </w:r>
      <w:r w:rsidRPr="007F1F50">
        <w:rPr>
          <w:rStyle w:val="AERtextitalic"/>
        </w:rPr>
        <w:t>quity</w:t>
      </w:r>
      <w:r>
        <w:t>, October 2014, p. 24.</w:t>
      </w:r>
    </w:p>
  </w:footnote>
  <w:footnote w:id="629">
    <w:p w:rsidR="003F1AAB" w:rsidRDefault="003F1AAB" w:rsidP="0010250E">
      <w:pPr>
        <w:pStyle w:val="FootnoteText"/>
      </w:pPr>
      <w:r>
        <w:rPr>
          <w:rStyle w:val="FootnoteReference"/>
        </w:rPr>
        <w:footnoteRef/>
      </w:r>
      <w:r>
        <w:tab/>
      </w:r>
      <w:r w:rsidRPr="003061B8">
        <w:t xml:space="preserve">CitiPower, </w:t>
      </w:r>
      <w:r w:rsidRPr="003061B8">
        <w:rPr>
          <w:rStyle w:val="AERtextitalic"/>
        </w:rPr>
        <w:t>Regulatory proposal 2016-2020</w:t>
      </w:r>
      <w:r>
        <w:t>, April 2015, p. 205–212; C</w:t>
      </w:r>
      <w:r w:rsidRPr="003061B8">
        <w:t xml:space="preserve">itiPower, </w:t>
      </w:r>
      <w:r>
        <w:t>Revised r</w:t>
      </w:r>
      <w:r w:rsidRPr="003061B8">
        <w:rPr>
          <w:rStyle w:val="AERtextitalic"/>
        </w:rPr>
        <w:t>egulatory proposal 2016-2020</w:t>
      </w:r>
      <w:r>
        <w:t>, January 2016, p. 325–326;</w:t>
      </w:r>
      <w:r w:rsidRPr="00BC555B">
        <w:t xml:space="preserve"> Powercor, </w:t>
      </w:r>
      <w:r w:rsidRPr="00BC555B">
        <w:rPr>
          <w:rStyle w:val="Emphasis"/>
        </w:rPr>
        <w:t>Revised regulatory proposal 2016–2020</w:t>
      </w:r>
      <w:r w:rsidRPr="00BC555B">
        <w:t xml:space="preserve">, January 2016, pp. 319–320; ActewAGL, </w:t>
      </w:r>
      <w:r w:rsidRPr="00BC555B">
        <w:rPr>
          <w:rStyle w:val="Emphasis"/>
        </w:rPr>
        <w:t>Revised 2016–21 access arrangement proposal Response to the AER's draft decision, Appendix 5.01 Detailed response to rate of return, gamma and inflation</w:t>
      </w:r>
      <w:r w:rsidRPr="00BC555B">
        <w:t xml:space="preserve">, January 2016, pp. 104–105; United Energy, </w:t>
      </w:r>
      <w:r w:rsidRPr="00BC555B">
        <w:rPr>
          <w:rStyle w:val="Emphasis"/>
        </w:rPr>
        <w:t>Response to AER preliminary determination–Re: rate of return and gamma</w:t>
      </w:r>
      <w:r w:rsidRPr="00BC555B">
        <w:t xml:space="preserve">, 6 January 2016, pp. 37–38; AGN, </w:t>
      </w:r>
      <w:r w:rsidRPr="00BC555B">
        <w:rPr>
          <w:rStyle w:val="Emphasis"/>
        </w:rPr>
        <w:t>2016–17 to 2020/21 Access Arrangement information response to draft decision: Attachment 10.26 Response to draft decision: rate of return</w:t>
      </w:r>
      <w:r w:rsidRPr="00BC555B">
        <w:t xml:space="preserve">, January 2016, pp.  44–45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42–46, 83–84, 120–121; AusNet Services, </w:t>
      </w:r>
      <w:r w:rsidRPr="00BC555B">
        <w:rPr>
          <w:rStyle w:val="Emphasis"/>
        </w:rPr>
        <w:t>Electricity distribution price review 2016–20 Re</w:t>
      </w:r>
      <w:r>
        <w:rPr>
          <w:rStyle w:val="Emphasis"/>
        </w:rPr>
        <w:t>vised regulatory proposal: Chap</w:t>
      </w:r>
      <w:r w:rsidRPr="00BC555B">
        <w:rPr>
          <w:rStyle w:val="Emphasis"/>
        </w:rPr>
        <w:t>ter 7 Rate of return &amp; gamma</w:t>
      </w:r>
      <w:r w:rsidRPr="00BC555B">
        <w:t xml:space="preserve">, 6 January 2016, pp. 38–39; APTNT, </w:t>
      </w:r>
      <w:r w:rsidRPr="00BC555B">
        <w:rPr>
          <w:rStyle w:val="Emphasis"/>
        </w:rPr>
        <w:t>Amadeus Gas Pipeline Access arrangement revised proposal: response to Draft Decision,</w:t>
      </w:r>
      <w:r w:rsidRPr="00BC555B">
        <w:t xml:space="preserve"> January 2016, pp. 73, 75–77.</w:t>
      </w:r>
    </w:p>
    <w:p w:rsidR="003F1AAB" w:rsidRDefault="003F1AAB" w:rsidP="0010250E">
      <w:pPr>
        <w:pStyle w:val="FootnoteText"/>
      </w:pPr>
      <w:r>
        <w:tab/>
        <w:t>AusNet Services</w:t>
      </w:r>
      <w:r w:rsidRPr="00DC0445">
        <w:rPr>
          <w:rStyle w:val="AERtextitalic"/>
        </w:rPr>
        <w:t>, AusNet Transmission Group Pty Ltd transmission revenue review 2017–2022</w:t>
      </w:r>
      <w:r>
        <w:t>, 30 October 2015, pp. 263–266</w:t>
      </w:r>
    </w:p>
  </w:footnote>
  <w:footnote w:id="630">
    <w:p w:rsidR="003F1AAB" w:rsidRDefault="003F1AAB" w:rsidP="0010250E">
      <w:pPr>
        <w:pStyle w:val="FootnoteText"/>
      </w:pPr>
      <w:r>
        <w:rPr>
          <w:rStyle w:val="FootnoteReference"/>
        </w:rPr>
        <w:footnoteRef/>
      </w:r>
      <w:r>
        <w:t xml:space="preserve"> </w:t>
      </w:r>
      <w:r>
        <w:tab/>
      </w:r>
      <w:r w:rsidRPr="003061B8">
        <w:t xml:space="preserve">CitiPower, </w:t>
      </w:r>
      <w:r>
        <w:t>Revised r</w:t>
      </w:r>
      <w:r w:rsidRPr="003061B8">
        <w:rPr>
          <w:rStyle w:val="AERtextitalic"/>
        </w:rPr>
        <w:t>egulatory proposal 2016-2020</w:t>
      </w:r>
      <w:r>
        <w:t>, January 2016, p. 286–289;</w:t>
      </w:r>
      <w:r w:rsidRPr="00BC555B">
        <w:t xml:space="preserve"> Powercor, </w:t>
      </w:r>
      <w:r w:rsidRPr="00BC555B">
        <w:rPr>
          <w:rStyle w:val="Emphasis"/>
        </w:rPr>
        <w:t>Revised regulatory proposal 2016–2020</w:t>
      </w:r>
      <w:r w:rsidRPr="00BC555B">
        <w:t xml:space="preserve">, January 2016, pp. 280–282;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57–64;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47–52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46–48; AusNet Services, </w:t>
      </w:r>
      <w:r w:rsidRPr="00BC555B">
        <w:rPr>
          <w:rStyle w:val="Emphasis"/>
        </w:rPr>
        <w:t>Electricity distribution price review 2016–20 Revised regulatory proposal: Chapter 7 Rate of return &amp; gamma</w:t>
      </w:r>
      <w:r w:rsidRPr="00BC555B">
        <w:t xml:space="preserve">, 6 January 2016, pp. 41–43; APTNT, </w:t>
      </w:r>
      <w:r w:rsidRPr="00BC555B">
        <w:rPr>
          <w:rStyle w:val="Emphasis"/>
        </w:rPr>
        <w:t>Amadeus Gas Pipeline access arrangement revision proposal</w:t>
      </w:r>
      <w:r w:rsidRPr="00BC555B">
        <w:t>, August 2015, pp. 115–120</w:t>
      </w:r>
      <w:r>
        <w:t>.</w:t>
      </w:r>
    </w:p>
    <w:p w:rsidR="003F1AAB" w:rsidRDefault="003F1AAB" w:rsidP="0010250E">
      <w:pPr>
        <w:pStyle w:val="FootnoteText"/>
      </w:pPr>
      <w:r>
        <w:tab/>
        <w:t>AusNet Services</w:t>
      </w:r>
      <w:r w:rsidRPr="00DC0445">
        <w:rPr>
          <w:rStyle w:val="AERtextitalic"/>
        </w:rPr>
        <w:t>, AusNet Transmission Group Pty Ltd transmission revenue review 2017–2022</w:t>
      </w:r>
      <w:r>
        <w:t xml:space="preserve">, 30 October 2015, pp. 250–255. </w:t>
      </w:r>
    </w:p>
  </w:footnote>
  <w:footnote w:id="631">
    <w:p w:rsidR="003F1AAB" w:rsidRDefault="003F1AAB" w:rsidP="00AD0C1D">
      <w:pPr>
        <w:pStyle w:val="FootnoteText"/>
      </w:pPr>
      <w:r>
        <w:rPr>
          <w:rStyle w:val="FootnoteReference"/>
        </w:rPr>
        <w:footnoteRef/>
      </w:r>
      <w:r>
        <w:t xml:space="preserve"> </w:t>
      </w:r>
      <w:r>
        <w:tab/>
      </w:r>
      <w:r w:rsidRPr="003061B8">
        <w:t xml:space="preserve">CitiPower, </w:t>
      </w:r>
      <w:r w:rsidRPr="009554E5">
        <w:rPr>
          <w:rStyle w:val="Emphasis"/>
        </w:rPr>
        <w:t>Revised</w:t>
      </w:r>
      <w:r>
        <w:t xml:space="preserve"> r</w:t>
      </w:r>
      <w:r w:rsidRPr="003061B8">
        <w:rPr>
          <w:rStyle w:val="AERtextitalic"/>
        </w:rPr>
        <w:t>egulatory proposal 2016-2020</w:t>
      </w:r>
      <w:r>
        <w:t xml:space="preserve">, January 2016, p. 293–294; </w:t>
      </w:r>
      <w:r w:rsidRPr="00BC555B">
        <w:t xml:space="preserve">; Powercor, </w:t>
      </w:r>
      <w:r w:rsidRPr="00BC555B">
        <w:rPr>
          <w:rStyle w:val="Emphasis"/>
        </w:rPr>
        <w:t>Revised regulatory proposal 2016–2020</w:t>
      </w:r>
      <w:r w:rsidRPr="00BC555B">
        <w:t xml:space="preserve">, January 2016, pp. 287–288; ActewAGL, </w:t>
      </w:r>
      <w:r w:rsidRPr="00BC555B">
        <w:rPr>
          <w:rStyle w:val="Emphasis"/>
        </w:rPr>
        <w:t>Revised 2016–21 access arrangement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 45–49; AGN, </w:t>
      </w:r>
      <w:r w:rsidRPr="00BC555B">
        <w:rPr>
          <w:rStyle w:val="Emphasis"/>
        </w:rPr>
        <w:t>2016–17 to 2020/21 Access Arrangement information response to draft decision: Attachment 10.26 Respo</w:t>
      </w:r>
      <w:r>
        <w:rPr>
          <w:rStyle w:val="Emphasis"/>
        </w:rPr>
        <w:t xml:space="preserve"> </w:t>
      </w:r>
      <w:r w:rsidRPr="00BC555B">
        <w:rPr>
          <w:rStyle w:val="Emphasis"/>
        </w:rPr>
        <w:t>nse to draft decision: rate of return</w:t>
      </w:r>
      <w:r w:rsidRPr="00BC555B">
        <w:t xml:space="preserve">, January 2016, pp. 54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48–49; APTNT, </w:t>
      </w:r>
      <w:r w:rsidRPr="00BC555B">
        <w:rPr>
          <w:rStyle w:val="Emphasis"/>
        </w:rPr>
        <w:t>Amadeus Gas Pipeline Access arrangement revised proposal: response to Draft Decision,</w:t>
      </w:r>
      <w:r w:rsidRPr="00BC555B">
        <w:t xml:space="preserve"> January 2016, pp.70 ; APTNT, </w:t>
      </w:r>
      <w:r w:rsidRPr="00BC555B">
        <w:rPr>
          <w:rStyle w:val="Emphasis"/>
        </w:rPr>
        <w:t>Amadeus Gas Pipeline access arrangement revision proposal</w:t>
      </w:r>
      <w:r w:rsidRPr="00BC555B">
        <w:t>, August 2015, pp. 115–120</w:t>
      </w:r>
      <w:r>
        <w:t>.</w:t>
      </w:r>
    </w:p>
  </w:footnote>
  <w:footnote w:id="632">
    <w:p w:rsidR="003F1AAB" w:rsidRDefault="003F1AAB">
      <w:pPr>
        <w:pStyle w:val="FootnoteText"/>
      </w:pPr>
      <w:r>
        <w:rPr>
          <w:rStyle w:val="FootnoteReference"/>
        </w:rPr>
        <w:footnoteRef/>
      </w:r>
      <w:r>
        <w:t xml:space="preserve"> </w:t>
      </w:r>
      <w:r>
        <w:tab/>
        <w:t>AusNet Services</w:t>
      </w:r>
      <w:r w:rsidRPr="00172CD0">
        <w:rPr>
          <w:rStyle w:val="AERtextitalic"/>
        </w:rPr>
        <w:t>, AusNet Transmission Group Pty Ltd transmission revenue review 2017–2022</w:t>
      </w:r>
      <w:r>
        <w:t>, 30 October 2015, p. 257.</w:t>
      </w:r>
    </w:p>
  </w:footnote>
  <w:footnote w:id="633">
    <w:p w:rsidR="003F1AAB" w:rsidRDefault="003F1AAB" w:rsidP="0010250E">
      <w:pPr>
        <w:pStyle w:val="FootnoteText"/>
      </w:pPr>
      <w:r>
        <w:rPr>
          <w:rStyle w:val="FootnoteReference"/>
        </w:rPr>
        <w:footnoteRef/>
      </w:r>
      <w:r>
        <w:t xml:space="preserve"> </w:t>
      </w:r>
      <w:r>
        <w:tab/>
      </w:r>
      <w:r w:rsidRPr="003061B8">
        <w:t xml:space="preserve">CitiPower, </w:t>
      </w:r>
      <w:r w:rsidRPr="009554E5">
        <w:rPr>
          <w:rStyle w:val="Emphasis"/>
        </w:rPr>
        <w:t>Revised r</w:t>
      </w:r>
      <w:r w:rsidRPr="003061B8">
        <w:rPr>
          <w:rStyle w:val="AERtextitalic"/>
        </w:rPr>
        <w:t>egulatory proposal 2016-2020</w:t>
      </w:r>
      <w:r>
        <w:t>, January 2016, p. 285</w:t>
      </w:r>
      <w:r w:rsidRPr="00BC555B">
        <w:t xml:space="preserve">; Powercor, </w:t>
      </w:r>
      <w:r w:rsidRPr="00BC555B">
        <w:rPr>
          <w:rStyle w:val="Emphasis"/>
        </w:rPr>
        <w:t>Revised regulatory proposal 2016–2020</w:t>
      </w:r>
      <w:r w:rsidRPr="00BC555B">
        <w:t xml:space="preserve">, January 2016, p. 279;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54–56; United Energy, </w:t>
      </w:r>
      <w:r w:rsidRPr="00BC555B">
        <w:rPr>
          <w:rStyle w:val="Emphasis"/>
        </w:rPr>
        <w:t>Response to AER preliminary determination–Re: rate of return and gamma</w:t>
      </w:r>
      <w:r w:rsidRPr="00BC555B">
        <w:t xml:space="preserve">, 6 January 2016, pp. 37–40; AGN, </w:t>
      </w:r>
      <w:r w:rsidRPr="00BC555B">
        <w:rPr>
          <w:rStyle w:val="Emphasis"/>
        </w:rPr>
        <w:t>2016–17 to 2020/21 Access Arrangement information response to draft decision: Attachment 10.26 Response to draft decision: rate of return</w:t>
      </w:r>
      <w:r w:rsidRPr="00BC555B">
        <w:t xml:space="preserve">, January 2016, pp. 45–46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43–45; AusNet Services, </w:t>
      </w:r>
      <w:r w:rsidRPr="00BC555B">
        <w:rPr>
          <w:rStyle w:val="Emphasis"/>
        </w:rPr>
        <w:t>Electricity distribution price review 2016–20 Re</w:t>
      </w:r>
      <w:r>
        <w:rPr>
          <w:rStyle w:val="Emphasis"/>
        </w:rPr>
        <w:t>vised regulatory proposal: Chap</w:t>
      </w:r>
      <w:r w:rsidRPr="00BC555B">
        <w:rPr>
          <w:rStyle w:val="Emphasis"/>
        </w:rPr>
        <w:t>ter 7 Rate of return &amp; gamma</w:t>
      </w:r>
      <w:r w:rsidRPr="00BC555B">
        <w:t xml:space="preserve">, 6 January 2016, pp. 39–40; APTNT, </w:t>
      </w:r>
      <w:r w:rsidRPr="00BC555B">
        <w:rPr>
          <w:rStyle w:val="Emphasis"/>
        </w:rPr>
        <w:t>Amadeus Gas Pipeline Access arrangement revised proposal: response to Draft Decision,</w:t>
      </w:r>
      <w:r w:rsidRPr="00BC555B">
        <w:t xml:space="preserve"> January 2016, pp. 73–77</w:t>
      </w:r>
      <w:r>
        <w:t>.</w:t>
      </w:r>
    </w:p>
    <w:p w:rsidR="003F1AAB" w:rsidRDefault="003F1AAB" w:rsidP="002A442E">
      <w:pPr>
        <w:pStyle w:val="FootnoteText"/>
      </w:pPr>
      <w:r>
        <w:tab/>
        <w:t>AusNet Services</w:t>
      </w:r>
      <w:r w:rsidRPr="00172CD0">
        <w:rPr>
          <w:rStyle w:val="AERtextitalic"/>
        </w:rPr>
        <w:t>, AusNet Transmission Group Pty Ltd transmission revenue review 2017–2022</w:t>
      </w:r>
      <w:r>
        <w:t>, 30 October 2015, p. 239.</w:t>
      </w:r>
    </w:p>
  </w:footnote>
  <w:footnote w:id="634">
    <w:p w:rsidR="003F1AAB" w:rsidRDefault="003F1AAB" w:rsidP="0010250E">
      <w:pPr>
        <w:pStyle w:val="FootnoteText"/>
      </w:pPr>
      <w:r>
        <w:rPr>
          <w:rStyle w:val="FootnoteReference"/>
        </w:rPr>
        <w:footnoteRef/>
      </w:r>
      <w:r>
        <w:t xml:space="preserve"> </w:t>
      </w:r>
      <w:r>
        <w:tab/>
      </w:r>
      <w:r w:rsidRPr="003061B8">
        <w:t xml:space="preserve">CitiPower, </w:t>
      </w:r>
      <w:r w:rsidRPr="009554E5">
        <w:rPr>
          <w:rStyle w:val="Emphasis"/>
        </w:rPr>
        <w:t>Revised regulatory</w:t>
      </w:r>
      <w:r w:rsidRPr="003061B8">
        <w:rPr>
          <w:rStyle w:val="AERtextitalic"/>
        </w:rPr>
        <w:t xml:space="preserve"> proposal 2016-2020</w:t>
      </w:r>
      <w:r>
        <w:t xml:space="preserve">, January 2016, p. 296; </w:t>
      </w:r>
      <w:r w:rsidRPr="00BC555B">
        <w:t xml:space="preserve">Powercor, </w:t>
      </w:r>
      <w:r w:rsidRPr="00BC555B">
        <w:rPr>
          <w:rStyle w:val="Emphasis"/>
        </w:rPr>
        <w:t>Revised regulatory proposal 2016–2020</w:t>
      </w:r>
      <w:r w:rsidRPr="00BC555B">
        <w:t xml:space="preserve">, January 2016, p. 290;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69–70; United Energy, </w:t>
      </w:r>
      <w:r w:rsidRPr="00BC555B">
        <w:rPr>
          <w:rStyle w:val="Emphasis"/>
        </w:rPr>
        <w:t>Response to AER preliminary determination–Re: rate of return and gamma</w:t>
      </w:r>
      <w:r w:rsidRPr="00BC555B">
        <w:t xml:space="preserve">, 6 January 2016, pp.50–51; AGN, </w:t>
      </w:r>
      <w:r w:rsidRPr="00BC555B">
        <w:rPr>
          <w:rStyle w:val="Emphasis"/>
        </w:rPr>
        <w:t>2016–17 to 2020/21 Access Arrangement information response to draft decision: Attachment 10.26 Response to draft decision: rate of return</w:t>
      </w:r>
      <w:r w:rsidRPr="00BC555B">
        <w:t xml:space="preserve">, January 2016, p. 56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54–56; AusNet Services, </w:t>
      </w:r>
      <w:r w:rsidRPr="00BC555B">
        <w:rPr>
          <w:rStyle w:val="Emphasis"/>
        </w:rPr>
        <w:t>Electricity distribution price review 2016–20 Revised regulatory proposal: Chapter 7 Rate of return &amp; gamma</w:t>
      </w:r>
      <w:r w:rsidRPr="00BC555B">
        <w:t>, 6 January 2016, p. 50.</w:t>
      </w:r>
    </w:p>
    <w:p w:rsidR="003F1AAB" w:rsidRDefault="003F1AAB" w:rsidP="0010250E">
      <w:pPr>
        <w:pStyle w:val="FootnoteText"/>
      </w:pPr>
      <w:r>
        <w:tab/>
        <w:t>AusNet Services</w:t>
      </w:r>
      <w:r w:rsidRPr="00172CD0">
        <w:rPr>
          <w:rStyle w:val="AERtextitalic"/>
        </w:rPr>
        <w:t>, AusNet Transmission Group Pty Ltd transmission revenue review 2017–2022</w:t>
      </w:r>
      <w:r>
        <w:t xml:space="preserve">, 30 October 2015, pp. 257–259. </w:t>
      </w:r>
    </w:p>
  </w:footnote>
  <w:footnote w:id="635">
    <w:p w:rsidR="003F1AAB" w:rsidRDefault="003F1AAB" w:rsidP="0010250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25; Partington, </w:t>
      </w:r>
      <w:r>
        <w:rPr>
          <w:rStyle w:val="AERtextitalic"/>
        </w:rPr>
        <w:t>Report to the AER: Return on equity (updated), April 2015</w:t>
      </w:r>
      <w:r>
        <w:t>, pp. 44–45.</w:t>
      </w:r>
    </w:p>
  </w:footnote>
  <w:footnote w:id="636">
    <w:p w:rsidR="003F1AAB" w:rsidRDefault="003F1AAB" w:rsidP="0010250E">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25–26.</w:t>
      </w:r>
    </w:p>
  </w:footnote>
  <w:footnote w:id="637">
    <w:p w:rsidR="003F1AAB" w:rsidRDefault="003F1AAB" w:rsidP="0010250E">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19 &amp; 26.</w:t>
      </w:r>
    </w:p>
  </w:footnote>
  <w:footnote w:id="638">
    <w:p w:rsidR="003F1AAB" w:rsidRDefault="003F1AAB" w:rsidP="0010250E">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18.</w:t>
      </w:r>
    </w:p>
  </w:footnote>
  <w:footnote w:id="639">
    <w:p w:rsidR="003F1AAB" w:rsidRDefault="003F1AAB" w:rsidP="0010250E">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640">
    <w:p w:rsidR="003F1AAB" w:rsidRDefault="003F1AAB" w:rsidP="0010250E">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641">
    <w:p w:rsidR="003F1AAB" w:rsidRDefault="003F1AAB" w:rsidP="0010250E">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92.</w:t>
      </w:r>
    </w:p>
  </w:footnote>
  <w:footnote w:id="642">
    <w:p w:rsidR="003F1AAB" w:rsidRDefault="003F1AAB" w:rsidP="0010250E">
      <w:pPr>
        <w:pStyle w:val="FootnoteText"/>
      </w:pPr>
      <w:r>
        <w:rPr>
          <w:rStyle w:val="FootnoteReference"/>
        </w:rPr>
        <w:footnoteRef/>
      </w:r>
      <w:r>
        <w:t xml:space="preserve"> </w:t>
      </w:r>
      <w:r>
        <w:tab/>
      </w:r>
      <w:r w:rsidRPr="00AB45E8">
        <w:t xml:space="preserve">SFG, </w:t>
      </w:r>
      <w:r w:rsidRPr="00AB45E8">
        <w:rPr>
          <w:rStyle w:val="AERtextitalic"/>
        </w:rPr>
        <w:t>Beta and the Black CAPM</w:t>
      </w:r>
      <w:r w:rsidRPr="00AB45E8">
        <w:t>, February 2015</w:t>
      </w:r>
      <w:r>
        <w:t xml:space="preserve">, </w:t>
      </w:r>
      <w:r w:rsidRPr="00AB45E8">
        <w:t xml:space="preserve">p. </w:t>
      </w:r>
      <w:r>
        <w:t xml:space="preserve">8; SFG, </w:t>
      </w:r>
      <w:r w:rsidRPr="009B298A">
        <w:rPr>
          <w:rStyle w:val="AERtextitalic"/>
        </w:rPr>
        <w:t>The foundation model approach of the Australian Energy Regulator to estimating the cost of equity</w:t>
      </w:r>
      <w:r>
        <w:t>, March 2015, p. 24.</w:t>
      </w:r>
    </w:p>
  </w:footnote>
  <w:footnote w:id="643">
    <w:p w:rsidR="003F1AAB" w:rsidRDefault="003F1AAB" w:rsidP="0010250E">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 Handley does indicate the plausibility of this would depend on the variance of this portfolio and notes the minimum variance zero beta portfolio may bear unsystematic risk.</w:t>
      </w:r>
    </w:p>
  </w:footnote>
  <w:footnote w:id="644">
    <w:p w:rsidR="003F1AAB" w:rsidRDefault="003F1AAB" w:rsidP="0010250E">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26.</w:t>
      </w:r>
    </w:p>
  </w:footnote>
  <w:footnote w:id="645">
    <w:p w:rsidR="003F1AAB" w:rsidRDefault="003F1AAB" w:rsidP="0010250E">
      <w:pPr>
        <w:pStyle w:val="FootnoteText"/>
      </w:pPr>
      <w:r>
        <w:rPr>
          <w:rStyle w:val="FootnoteReference"/>
        </w:rPr>
        <w:footnoteRef/>
      </w:r>
      <w:r>
        <w:t xml:space="preserve"> </w:t>
      </w:r>
      <w:r>
        <w:tab/>
        <w:t xml:space="preserve">NERA, </w:t>
      </w:r>
      <w:r w:rsidRPr="005406B9">
        <w:rPr>
          <w:rStyle w:val="AERtextitalic"/>
        </w:rPr>
        <w:t xml:space="preserve">The Black CAPM: A report for </w:t>
      </w:r>
      <w:r>
        <w:rPr>
          <w:rStyle w:val="AERtextitalic"/>
        </w:rPr>
        <w:t>APA Group</w:t>
      </w:r>
      <w:r w:rsidRPr="005406B9">
        <w:rPr>
          <w:rStyle w:val="AERtextitalic"/>
        </w:rPr>
        <w:t>, Envestra, Multinet and SP AusNet</w:t>
      </w:r>
      <w:r>
        <w:t>, March 2012. For a response to this submission, see McKenzie and Partington</w:t>
      </w:r>
      <w:r w:rsidRPr="005406B9">
        <w:rPr>
          <w:rStyle w:val="AERtextitalic"/>
        </w:rPr>
        <w:t>, Review of NERA report on the Black CAPM</w:t>
      </w:r>
      <w:r>
        <w:t>, 24 August 2012.</w:t>
      </w:r>
    </w:p>
  </w:footnote>
  <w:footnote w:id="646">
    <w:p w:rsidR="003F1AAB" w:rsidRDefault="003F1AAB" w:rsidP="0010250E">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647">
    <w:p w:rsidR="003F1AAB" w:rsidRDefault="003F1AAB" w:rsidP="0010250E">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648">
    <w:p w:rsidR="003F1AAB" w:rsidRDefault="003F1AAB" w:rsidP="0010250E">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pp. 3</w:t>
      </w:r>
      <w:r>
        <w:rPr>
          <w:rFonts w:cs="Gautami"/>
        </w:rPr>
        <w:t>–</w:t>
      </w:r>
      <w:r>
        <w:t>4.</w:t>
      </w:r>
    </w:p>
  </w:footnote>
  <w:footnote w:id="649">
    <w:p w:rsidR="003F1AAB" w:rsidRDefault="003F1AAB" w:rsidP="0010250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24;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44.</w:t>
      </w:r>
    </w:p>
  </w:footnote>
  <w:footnote w:id="650">
    <w:p w:rsidR="003F1AAB" w:rsidRDefault="003F1AAB" w:rsidP="0010250E">
      <w:pPr>
        <w:pStyle w:val="FootnoteText"/>
      </w:pPr>
      <w:r>
        <w:rPr>
          <w:rStyle w:val="FootnoteReference"/>
        </w:rPr>
        <w:footnoteRef/>
      </w:r>
      <w:r>
        <w:t xml:space="preserve"> </w:t>
      </w:r>
      <w:r>
        <w:tab/>
        <w:t xml:space="preserve">SFG, </w:t>
      </w:r>
      <w:r w:rsidRPr="00950BE3">
        <w:rPr>
          <w:rStyle w:val="AERtextitalic"/>
        </w:rPr>
        <w:t>Beta and the Black CAPM</w:t>
      </w:r>
      <w:r>
        <w:t>, February 2015, pp. 19</w:t>
      </w:r>
      <w:r w:rsidRPr="005A1480">
        <w:t>–</w:t>
      </w:r>
      <w:r>
        <w:t>20.</w:t>
      </w:r>
    </w:p>
  </w:footnote>
  <w:footnote w:id="651">
    <w:p w:rsidR="003F1AAB" w:rsidRDefault="003F1AAB" w:rsidP="0010250E">
      <w:pPr>
        <w:pStyle w:val="FootnoteText"/>
      </w:pPr>
      <w:r>
        <w:rPr>
          <w:rStyle w:val="FootnoteReference"/>
        </w:rPr>
        <w:footnoteRef/>
      </w:r>
      <w:r>
        <w:t xml:space="preserve"> </w:t>
      </w:r>
      <w:r>
        <w:tab/>
        <w:t xml:space="preserve">Partington, </w:t>
      </w:r>
      <w:r>
        <w:rPr>
          <w:rStyle w:val="AERtextitalic"/>
        </w:rPr>
        <w:t>Report to the AER: Return on equity (updated), April 2015</w:t>
      </w:r>
      <w:r>
        <w:t>, p. 12.</w:t>
      </w:r>
    </w:p>
  </w:footnote>
  <w:footnote w:id="652">
    <w:p w:rsidR="003F1AAB" w:rsidRDefault="003F1AAB" w:rsidP="0010250E">
      <w:pPr>
        <w:pStyle w:val="FootnoteText"/>
      </w:pPr>
      <w:r>
        <w:rPr>
          <w:rStyle w:val="FootnoteReference"/>
        </w:rPr>
        <w:footnoteRef/>
      </w:r>
      <w:r>
        <w:t xml:space="preserve"> </w:t>
      </w:r>
      <w:r>
        <w:tab/>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320; AER, </w:t>
      </w:r>
      <w:r w:rsidRPr="00BC555B">
        <w:rPr>
          <w:rStyle w:val="Emphasis"/>
        </w:rPr>
        <w:t>Preliminary decision United Energy determination 2016 to 2020: Attachment 3 – Rate of return</w:t>
      </w:r>
      <w:r w:rsidRPr="00BC555B">
        <w:t xml:space="preserve">, October 2015, pp. 308–318; AER, </w:t>
      </w:r>
      <w:r w:rsidRPr="00BC555B">
        <w:rPr>
          <w:rStyle w:val="AERtextitalic"/>
        </w:rPr>
        <w:t>Explanatory statement rate of return guideline (appendices)</w:t>
      </w:r>
      <w:r w:rsidRPr="00BC555B">
        <w:t xml:space="preserve">, 17 December 2013, pp. 16–18; AER, </w:t>
      </w:r>
      <w:r w:rsidRPr="00BC555B">
        <w:rPr>
          <w:rStyle w:val="Emphasis"/>
        </w:rPr>
        <w:t>Draft decision Australian Gas Networks access arrangement 2016 to 2021–Attachment 3: rate of return</w:t>
      </w:r>
      <w:r w:rsidRPr="00BC555B">
        <w:t xml:space="preserve">, November 2015, pp. 313–322; AER, </w:t>
      </w:r>
      <w:r w:rsidRPr="00BC555B">
        <w:rPr>
          <w:rStyle w:val="Emphasis"/>
        </w:rPr>
        <w:t>Preliminary decision Jemena distribution determination 2016 to 2020: Attachment 3–Rate of return</w:t>
      </w:r>
      <w:r w:rsidRPr="00BC555B">
        <w:t>, October 2015, pp. 307–317; AER</w:t>
      </w:r>
      <w:r w:rsidRPr="00BC555B">
        <w:rPr>
          <w:rStyle w:val="Emphasis"/>
        </w:rPr>
        <w:t>, Preliminary decision AusNet Services determination 2016 to 2020: Attachment 3–Rate of return</w:t>
      </w:r>
      <w:r w:rsidRPr="00BC555B">
        <w:t xml:space="preserve">, October 2015, pp. 306–316; AER, </w:t>
      </w:r>
      <w:r w:rsidRPr="00BC555B">
        <w:rPr>
          <w:rStyle w:val="Emphasis"/>
        </w:rPr>
        <w:t>Draft decision Amadeus Gas Pipeline access arrangement 2016 to 2021: Attachment 3¬–Rate of return</w:t>
      </w:r>
      <w:r w:rsidRPr="00BC555B">
        <w:t>, November 2015, pp. 74–78.</w:t>
      </w:r>
    </w:p>
  </w:footnote>
  <w:footnote w:id="653">
    <w:p w:rsidR="003F1AAB" w:rsidRDefault="003F1AAB" w:rsidP="0010250E">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293; Powercor, </w:t>
      </w:r>
      <w:r w:rsidRPr="00BC555B">
        <w:rPr>
          <w:rStyle w:val="Emphasis"/>
        </w:rPr>
        <w:t>Revised regulatory proposal 2016–2020</w:t>
      </w:r>
      <w:r w:rsidRPr="00BC555B">
        <w:t xml:space="preserve">, January 2016, p. 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 44–46, 51–52; AGN, </w:t>
      </w:r>
      <w:r w:rsidRPr="00BC555B">
        <w:rPr>
          <w:rStyle w:val="Emphasis"/>
        </w:rPr>
        <w:t>2016–17 to 2020/21 Access Arrangement information response to draft decision: Attachment 10.26 Response to draft decision: rate of return</w:t>
      </w:r>
      <w:r w:rsidRPr="00BC555B">
        <w:t xml:space="preserve">, January 2016, pp. 54–58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48–49; APTNT, </w:t>
      </w:r>
      <w:r w:rsidRPr="00BC555B">
        <w:rPr>
          <w:rStyle w:val="Emphasis"/>
        </w:rPr>
        <w:t>Amadeus Gas Pipeline Access arrangement revised proposal: response to Draft Decision,</w:t>
      </w:r>
      <w:r w:rsidRPr="00BC555B">
        <w:t xml:space="preserve"> January 2016, p. 70.</w:t>
      </w:r>
    </w:p>
    <w:p w:rsidR="003F1AAB" w:rsidRDefault="003F1AAB" w:rsidP="0010250E">
      <w:pPr>
        <w:pStyle w:val="FootnoteText"/>
      </w:pPr>
      <w:r>
        <w:tab/>
      </w:r>
    </w:p>
  </w:footnote>
  <w:footnote w:id="654">
    <w:p w:rsidR="003F1AAB" w:rsidRDefault="003F1AAB">
      <w:pPr>
        <w:pStyle w:val="FootnoteText"/>
      </w:pPr>
      <w:r>
        <w:rPr>
          <w:rStyle w:val="FootnoteReference"/>
        </w:rPr>
        <w:footnoteRef/>
      </w:r>
      <w:r>
        <w:t xml:space="preserve"> </w:t>
      </w:r>
      <w:r>
        <w:tab/>
        <w:t>AusNet Services</w:t>
      </w:r>
      <w:r w:rsidRPr="00172CD0">
        <w:rPr>
          <w:rStyle w:val="AERtextitalic"/>
        </w:rPr>
        <w:t>, AusNet Transmission Group Pty Ltd transmission revenue review 2017–2022</w:t>
      </w:r>
      <w:r>
        <w:t>, 30 October 2015, p. 257.</w:t>
      </w:r>
    </w:p>
  </w:footnote>
  <w:footnote w:id="655">
    <w:p w:rsidR="003F1AAB" w:rsidRDefault="003F1AAB" w:rsidP="0010250E">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290–293; Powercor, </w:t>
      </w:r>
      <w:r w:rsidRPr="00BC555B">
        <w:rPr>
          <w:rStyle w:val="Emphasis"/>
        </w:rPr>
        <w:t>Revised regulatory proposal 2016–2020</w:t>
      </w:r>
      <w:r w:rsidRPr="00BC555B">
        <w:t xml:space="preserve">, January 2016, p. 285–287;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pp.45–46, 48–49; AGN, </w:t>
      </w:r>
      <w:r w:rsidRPr="00BC555B">
        <w:rPr>
          <w:rStyle w:val="Emphasis"/>
        </w:rPr>
        <w:t>2016–17 to 2020/21 Access Arrangement information response to draft decision: Attachment 10.26 Response to draft decision: rate of return</w:t>
      </w:r>
      <w:r w:rsidRPr="00BC555B">
        <w:t xml:space="preserve">, January 2016, pp. 44, 47–52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38–39; APTNT, </w:t>
      </w:r>
      <w:r w:rsidRPr="00BC555B">
        <w:rPr>
          <w:rStyle w:val="Emphasis"/>
        </w:rPr>
        <w:t>Amadeus Gas Pipeline Access arrangement revised proposal: response to Draft Decision,</w:t>
      </w:r>
      <w:r w:rsidRPr="00BC555B">
        <w:t xml:space="preserve"> January 2016, pp. 69–73</w:t>
      </w:r>
      <w:r>
        <w:t>.</w:t>
      </w:r>
    </w:p>
    <w:p w:rsidR="003F1AAB" w:rsidRDefault="003F1AAB" w:rsidP="0010250E">
      <w:pPr>
        <w:pStyle w:val="FootnoteText"/>
      </w:pPr>
      <w:r>
        <w:tab/>
      </w:r>
    </w:p>
  </w:footnote>
  <w:footnote w:id="656">
    <w:p w:rsidR="003F1AAB" w:rsidRDefault="003F1AAB">
      <w:pPr>
        <w:pStyle w:val="FootnoteText"/>
      </w:pPr>
      <w:r>
        <w:rPr>
          <w:rStyle w:val="FootnoteReference"/>
        </w:rPr>
        <w:footnoteRef/>
      </w:r>
      <w:r>
        <w:t xml:space="preserve"> </w:t>
      </w:r>
      <w:r>
        <w:tab/>
        <w:t>AusNet Services</w:t>
      </w:r>
      <w:r w:rsidRPr="00172CD0">
        <w:rPr>
          <w:rStyle w:val="AERtextitalic"/>
        </w:rPr>
        <w:t>, AusNet Transmission Group Pty Ltd transmission revenue review 2017–2022</w:t>
      </w:r>
      <w:r>
        <w:t>, 30 October 2015, pp. 217, 239–244, 255–259.</w:t>
      </w:r>
    </w:p>
  </w:footnote>
  <w:footnote w:id="657">
    <w:p w:rsidR="003F1AAB" w:rsidRDefault="003F1AAB" w:rsidP="0010250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34-37.</w:t>
      </w:r>
    </w:p>
  </w:footnote>
  <w:footnote w:id="658">
    <w:p w:rsidR="003F1AAB" w:rsidRDefault="003F1AAB" w:rsidP="0010250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39–45.</w:t>
      </w:r>
    </w:p>
  </w:footnote>
  <w:footnote w:id="659">
    <w:p w:rsidR="003F1AAB" w:rsidRDefault="003F1AAB" w:rsidP="0010250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44–45.</w:t>
      </w:r>
    </w:p>
  </w:footnote>
  <w:footnote w:id="660">
    <w:p w:rsidR="003F1AAB" w:rsidRDefault="003F1AAB" w:rsidP="0010250E">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viii, 25–28.</w:t>
      </w:r>
    </w:p>
  </w:footnote>
  <w:footnote w:id="661">
    <w:p w:rsidR="003F1AAB" w:rsidRDefault="003F1AAB" w:rsidP="0010250E">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26.</w:t>
      </w:r>
    </w:p>
  </w:footnote>
  <w:footnote w:id="662">
    <w:p w:rsidR="003F1AAB" w:rsidRDefault="003F1AAB" w:rsidP="0010250E">
      <w:pPr>
        <w:pStyle w:val="FootnoteText"/>
      </w:pPr>
      <w:r>
        <w:rPr>
          <w:rStyle w:val="FootnoteReference"/>
        </w:rPr>
        <w:footnoteRef/>
      </w:r>
      <w:r>
        <w:t xml:space="preserve"> </w:t>
      </w:r>
      <w:r>
        <w:tab/>
        <w:t>HoustonKemp</w:t>
      </w:r>
      <w:r w:rsidRPr="001B55CE">
        <w:t xml:space="preserve"> use</w:t>
      </w:r>
      <w:r>
        <w:t>d</w:t>
      </w:r>
      <w:r w:rsidRPr="001B55CE">
        <w:t xml:space="preserve"> the largest 100 stocks from 1963 to 1973 and the largest 500 stocks from 1974 to 2014 </w:t>
      </w:r>
    </w:p>
  </w:footnote>
  <w:footnote w:id="663">
    <w:p w:rsidR="003F1AAB" w:rsidRDefault="003F1AAB" w:rsidP="0010250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42–43.</w:t>
      </w:r>
    </w:p>
  </w:footnote>
  <w:footnote w:id="664">
    <w:p w:rsidR="003F1AAB" w:rsidRDefault="003F1AAB" w:rsidP="0010250E">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28.</w:t>
      </w:r>
    </w:p>
  </w:footnote>
  <w:footnote w:id="665">
    <w:p w:rsidR="003F1AAB" w:rsidRDefault="003F1AAB" w:rsidP="0010250E">
      <w:pPr>
        <w:pStyle w:val="FootnoteText"/>
      </w:pPr>
      <w:r>
        <w:rPr>
          <w:rStyle w:val="FootnoteReference"/>
        </w:rPr>
        <w:footnoteRef/>
      </w:r>
      <w:r>
        <w:t xml:space="preserve"> </w:t>
      </w:r>
      <w:r>
        <w:tab/>
        <w:t xml:space="preserve">McKenzie and Partington, </w:t>
      </w:r>
      <w:r w:rsidRPr="009554E5">
        <w:rPr>
          <w:rStyle w:val="Emphasis"/>
        </w:rPr>
        <w:t>Report to the AER part A: Return on equity</w:t>
      </w:r>
      <w:r>
        <w:t xml:space="preserve">, October 2014, p. 24; Partington, </w:t>
      </w:r>
      <w:r w:rsidRPr="009554E5">
        <w:rPr>
          <w:rStyle w:val="Emphasis"/>
        </w:rPr>
        <w:t>Report to the AER: Return on equity (updated), April 2015</w:t>
      </w:r>
      <w:r>
        <w:t xml:space="preserve">, p. 44; October 2015, p. 19; </w:t>
      </w:r>
      <w:r w:rsidRPr="00387DCE">
        <w:t xml:space="preserve">Partington and Satchell, </w:t>
      </w:r>
      <w:r>
        <w:rPr>
          <w:rStyle w:val="Emphasis"/>
        </w:rPr>
        <w:t>Report to the AER: Cost of equity issues–2016 electricity and gas determinations</w:t>
      </w:r>
      <w:r w:rsidRPr="009554E5">
        <w:rPr>
          <w:rStyle w:val="Emphasis"/>
        </w:rPr>
        <w:t>,</w:t>
      </w:r>
      <w:r w:rsidRPr="00387DCE">
        <w:t xml:space="preserve"> April 201</w:t>
      </w:r>
      <w:r>
        <w:t>6</w:t>
      </w:r>
      <w:r w:rsidRPr="00387DCE">
        <w:t>,</w:t>
      </w:r>
      <w:r>
        <w:t xml:space="preserve"> pp. 39–46. </w:t>
      </w:r>
    </w:p>
  </w:footnote>
  <w:footnote w:id="666">
    <w:p w:rsidR="003F1AAB" w:rsidRDefault="003F1AAB" w:rsidP="0010250E">
      <w:pPr>
        <w:pStyle w:val="FootnoteText"/>
      </w:pPr>
      <w:r>
        <w:rPr>
          <w:rStyle w:val="FootnoteReference"/>
        </w:rPr>
        <w:footnoteRef/>
      </w:r>
      <w:r>
        <w:t xml:space="preserve"> </w:t>
      </w:r>
      <w:r>
        <w:tab/>
        <w:t xml:space="preserve">AER, SAPN final decision: Attachment 3–Rate of return, October 2015, p. 76–79; </w:t>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316–325 ; AER, </w:t>
      </w:r>
      <w:r w:rsidRPr="00BC555B">
        <w:rPr>
          <w:rStyle w:val="Emphasis"/>
        </w:rPr>
        <w:t>Preliminary decision United Energy determination 2016 to 2020: Attachment 3 – Rate of return</w:t>
      </w:r>
      <w:r w:rsidRPr="00BC555B">
        <w:t xml:space="preserve">, October 2015, pp. 308–318 ; AER, </w:t>
      </w:r>
      <w:r w:rsidRPr="00BC555B">
        <w:rPr>
          <w:rStyle w:val="Emphasis"/>
        </w:rPr>
        <w:t>Draft decision Australian Gas Networks access arrangement 2016 to 2021–Attachment 3: rate of return</w:t>
      </w:r>
      <w:r w:rsidRPr="00BC555B">
        <w:t xml:space="preserve">, November 2015, , pp. 313–322; AER, </w:t>
      </w:r>
      <w:r w:rsidRPr="00BC555B">
        <w:rPr>
          <w:rStyle w:val="Emphasis"/>
        </w:rPr>
        <w:t>Preliminary decision Jemena distribution determination 2016 to 2020: Attachment 3–Rate of return</w:t>
      </w:r>
      <w:r w:rsidRPr="00BC555B">
        <w:t xml:space="preserve">, October 2015, pp. 311–313; AER, </w:t>
      </w:r>
      <w:r w:rsidRPr="00BC555B">
        <w:rPr>
          <w:rStyle w:val="AERtextitalic"/>
        </w:rPr>
        <w:t>Explanatory statement rate of return guideline (appendices)</w:t>
      </w:r>
      <w:r w:rsidRPr="00BC555B">
        <w:t>, 17 December 2013, pp. 16–18; AER</w:t>
      </w:r>
      <w:r w:rsidRPr="00BC555B">
        <w:rPr>
          <w:rStyle w:val="Emphasis"/>
        </w:rPr>
        <w:t>, Preliminary decision AusNet Services determination 2016 to 2020: Attachment 3–Rate of return</w:t>
      </w:r>
      <w:r w:rsidRPr="00BC555B">
        <w:t xml:space="preserve">, October 2015, pp. 75–78, 306–316; AER, </w:t>
      </w:r>
      <w:r w:rsidRPr="00BC555B">
        <w:rPr>
          <w:rStyle w:val="Emphasis"/>
        </w:rPr>
        <w:t>Draft decision Amadeus Gas Pipeline access arrangement 2016 to 2021: Attachment 3¬–Rate of return</w:t>
      </w:r>
      <w:r w:rsidRPr="00BC555B">
        <w:t>, November 2015, pp. 74–77, 310–319.</w:t>
      </w:r>
      <w:r>
        <w:t>.</w:t>
      </w:r>
    </w:p>
  </w:footnote>
  <w:footnote w:id="667">
    <w:p w:rsidR="003F1AAB" w:rsidRDefault="003F1AAB" w:rsidP="0010250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34-37, 44–45.</w:t>
      </w:r>
    </w:p>
  </w:footnote>
  <w:footnote w:id="668">
    <w:p w:rsidR="003F1AAB" w:rsidRDefault="003F1AAB" w:rsidP="0010250E">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sidRPr="00BC555B">
        <w:t xml:space="preserve"> January 2016</w:t>
      </w:r>
      <w:r>
        <w:t>, p. 18.</w:t>
      </w:r>
    </w:p>
  </w:footnote>
  <w:footnote w:id="669">
    <w:p w:rsidR="003F1AAB" w:rsidRDefault="003F1AAB" w:rsidP="0010250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38–39.</w:t>
      </w:r>
    </w:p>
  </w:footnote>
  <w:footnote w:id="670">
    <w:p w:rsidR="003F1AAB" w:rsidRDefault="003F1AAB" w:rsidP="0010250E">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pp. 286–298</w:t>
      </w:r>
      <w:r w:rsidRPr="00BC555B">
        <w:t xml:space="preserve">; Powercor, </w:t>
      </w:r>
      <w:r w:rsidRPr="00BC555B">
        <w:rPr>
          <w:rStyle w:val="AERtextitalic"/>
        </w:rPr>
        <w:t>Revised regulatory proposal 2016–2020</w:t>
      </w:r>
      <w:r w:rsidRPr="00BC555B">
        <w:t xml:space="preserve">, January  2016, pp. 280–292;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57–72;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45–54; AusNet Services, </w:t>
      </w:r>
      <w:r w:rsidRPr="00BC555B">
        <w:rPr>
          <w:rStyle w:val="Emphasis"/>
        </w:rPr>
        <w:t>Electricity distribution price review 2016–20 Revised regulatory proposal: Chapter 7 Rate of return &amp; gamma</w:t>
      </w:r>
      <w:r w:rsidRPr="00BC555B">
        <w:t xml:space="preserve">, 6 January 2016, pp 39–52; APTNT, </w:t>
      </w:r>
      <w:r w:rsidRPr="00BC555B">
        <w:rPr>
          <w:rStyle w:val="Emphasis"/>
        </w:rPr>
        <w:t>Amadeus Gas Pipeline Access arrangement revised proposal: response to Draft Decision,</w:t>
      </w:r>
      <w:r w:rsidRPr="00BC555B">
        <w:t xml:space="preserve"> January 2016, p. 70; APTNT, </w:t>
      </w:r>
      <w:r w:rsidRPr="00BC555B">
        <w:rPr>
          <w:rStyle w:val="Emphasis"/>
        </w:rPr>
        <w:t>Amadeus Gas Pipeline access arrangement revision proposal</w:t>
      </w:r>
      <w:r w:rsidRPr="00BC555B">
        <w:t>, August 2015, pp. 115–120, 129–130.</w:t>
      </w:r>
    </w:p>
    <w:p w:rsidR="003F1AAB" w:rsidRDefault="003F1AAB" w:rsidP="0010250E">
      <w:pPr>
        <w:pStyle w:val="FootnoteText"/>
      </w:pPr>
      <w:r>
        <w:tab/>
        <w:t>AusNet Services</w:t>
      </w:r>
      <w:r w:rsidRPr="00172CD0">
        <w:rPr>
          <w:rStyle w:val="AERtextitalic"/>
        </w:rPr>
        <w:t>, AusNet Transmission Group Pty Ltd transmission revenue review 2017–2022</w:t>
      </w:r>
      <w:r>
        <w:t>, 30 October 2015, pp. 222–223, 250–255.</w:t>
      </w:r>
    </w:p>
  </w:footnote>
  <w:footnote w:id="671">
    <w:p w:rsidR="003F1AAB" w:rsidRDefault="003F1AAB" w:rsidP="0010250E">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10.</w:t>
      </w:r>
    </w:p>
  </w:footnote>
  <w:footnote w:id="672">
    <w:p w:rsidR="003F1AAB" w:rsidRDefault="003F1AAB" w:rsidP="0010250E">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11.</w:t>
      </w:r>
    </w:p>
  </w:footnote>
  <w:footnote w:id="673">
    <w:p w:rsidR="003F1AAB" w:rsidRDefault="003F1AAB" w:rsidP="0010250E">
      <w:pPr>
        <w:pStyle w:val="FootnoteText"/>
      </w:pPr>
      <w:r>
        <w:rPr>
          <w:rStyle w:val="FootnoteReference"/>
        </w:rPr>
        <w:footnoteRef/>
      </w:r>
      <w:r>
        <w:t xml:space="preserve"> </w:t>
      </w:r>
      <w:r>
        <w:tab/>
        <w:t>Handley</w:t>
      </w:r>
      <w:r>
        <w:rPr>
          <w:rStyle w:val="AERtextitalic"/>
        </w:rPr>
        <w:t>, Report prepared for the AER: F</w:t>
      </w:r>
      <w:r w:rsidRPr="00E6588A">
        <w:rPr>
          <w:rStyle w:val="AERtextitalic"/>
        </w:rPr>
        <w:t>urther advice on the return on equity</w:t>
      </w:r>
      <w:r>
        <w:t>, April 2015, p. 6.</w:t>
      </w:r>
    </w:p>
  </w:footnote>
  <w:footnote w:id="674">
    <w:p w:rsidR="003F1AAB" w:rsidRDefault="003F1AAB" w:rsidP="0010250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34-37.</w:t>
      </w:r>
    </w:p>
  </w:footnote>
  <w:footnote w:id="675">
    <w:p w:rsidR="003F1AAB" w:rsidRDefault="003F1AAB" w:rsidP="0010250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22</w:t>
      </w:r>
      <w:r>
        <w:rPr>
          <w:rFonts w:cs="Gautami"/>
        </w:rPr>
        <w:t>–</w:t>
      </w:r>
      <w:r>
        <w:t>23.</w:t>
      </w:r>
    </w:p>
  </w:footnote>
  <w:footnote w:id="676">
    <w:p w:rsidR="003F1AAB" w:rsidRDefault="003F1AAB" w:rsidP="0010250E">
      <w:pPr>
        <w:pStyle w:val="FootnoteText"/>
      </w:pPr>
      <w:r>
        <w:rPr>
          <w:rStyle w:val="FootnoteReference"/>
        </w:rPr>
        <w:footnoteRef/>
      </w:r>
      <w:r>
        <w:t xml:space="preserve"> </w:t>
      </w:r>
      <w:r>
        <w:tab/>
        <w:t xml:space="preserve">Partington, </w:t>
      </w:r>
      <w:r>
        <w:rPr>
          <w:rStyle w:val="AERtextitalic"/>
        </w:rPr>
        <w:t>Report to the AER: Return on equity (updated), April 2015</w:t>
      </w:r>
      <w:r>
        <w:t>, p. 16.</w:t>
      </w:r>
    </w:p>
  </w:footnote>
  <w:footnote w:id="677">
    <w:p w:rsidR="003F1AAB" w:rsidRDefault="003F1AAB" w:rsidP="0010250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678">
    <w:p w:rsidR="003F1AAB" w:rsidRDefault="003F1AAB" w:rsidP="0010250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51.</w:t>
      </w:r>
    </w:p>
  </w:footnote>
  <w:footnote w:id="679">
    <w:p w:rsidR="003F1AAB" w:rsidRDefault="003F1AAB" w:rsidP="0010250E">
      <w:pPr>
        <w:pStyle w:val="FootnoteText"/>
      </w:pPr>
      <w:r>
        <w:rPr>
          <w:rStyle w:val="FootnoteReference"/>
        </w:rPr>
        <w:footnoteRef/>
      </w:r>
      <w:r>
        <w:t xml:space="preserve"> </w:t>
      </w:r>
      <w:r>
        <w:tab/>
        <w:t xml:space="preserve">Fischer Black's 1972 paper on the Black CAPM develops two model specifications. The base specification assumes no risk free asset exists (no risk free borrowing or lending). The second specification assumes that the representative investor can lend but not borrow at the risk free rate. In the base specification, the return on the zero beta portfolio can be above the risk free rate. In the second specification, the return on the zero beta portfolio must be above the risk free rate. See: Black, </w:t>
      </w:r>
      <w:r w:rsidRPr="00B659BE">
        <w:rPr>
          <w:rStyle w:val="AERtextitalic"/>
        </w:rPr>
        <w:t>Capital market equilibrium with restricted borrowing</w:t>
      </w:r>
      <w:r>
        <w:t>, Journal of Business 45(3), July 1972, pp. 452–454.</w:t>
      </w:r>
    </w:p>
  </w:footnote>
  <w:footnote w:id="680">
    <w:p w:rsidR="003F1AAB" w:rsidRDefault="003F1AAB" w:rsidP="0010250E">
      <w:pPr>
        <w:pStyle w:val="FootnoteText"/>
      </w:pPr>
      <w:r>
        <w:rPr>
          <w:rStyle w:val="FootnoteReference"/>
        </w:rPr>
        <w:footnoteRef/>
      </w:r>
      <w:r>
        <w:t xml:space="preserve"> </w:t>
      </w:r>
      <w:r>
        <w:tab/>
        <w:t xml:space="preserve">For more detail, see section </w:t>
      </w:r>
      <w:r>
        <w:fldChar w:fldCharType="begin"/>
      </w:r>
      <w:r>
        <w:instrText xml:space="preserve"> REF _Ref430958591 \r \h </w:instrText>
      </w:r>
      <w:r>
        <w:fldChar w:fldCharType="separate"/>
      </w:r>
      <w:r>
        <w:t>3.4.1</w:t>
      </w:r>
      <w:r>
        <w:fldChar w:fldCharType="end"/>
      </w:r>
      <w:r>
        <w:t>.</w:t>
      </w:r>
    </w:p>
  </w:footnote>
  <w:footnote w:id="681">
    <w:p w:rsidR="003F1AAB" w:rsidRDefault="003F1AAB" w:rsidP="0010250E">
      <w:pPr>
        <w:pStyle w:val="FootnoteText"/>
      </w:pPr>
      <w:r>
        <w:rPr>
          <w:rStyle w:val="FootnoteReference"/>
        </w:rPr>
        <w:footnoteRef/>
      </w:r>
      <w:r>
        <w:t xml:space="preserve"> </w:t>
      </w:r>
      <w:r>
        <w:tab/>
        <w:t xml:space="preserve">John </w:t>
      </w:r>
      <w:r w:rsidRPr="00A54ED7">
        <w:t xml:space="preserve">Handley, </w:t>
      </w:r>
      <w:r w:rsidRPr="009554E5">
        <w:rPr>
          <w:rStyle w:val="Emphasis"/>
        </w:rPr>
        <w:t>Advice of the return on equity</w:t>
      </w:r>
      <w:r w:rsidRPr="00A54ED7">
        <w:t>, October 2014, p. 5</w:t>
      </w:r>
    </w:p>
  </w:footnote>
  <w:footnote w:id="682">
    <w:p w:rsidR="003F1AAB" w:rsidRDefault="003F1AAB" w:rsidP="0010250E">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pp. 24–25;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44–45.</w:t>
      </w:r>
    </w:p>
  </w:footnote>
  <w:footnote w:id="683">
    <w:p w:rsidR="003F1AAB" w:rsidRDefault="003F1AAB" w:rsidP="0010250E">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 24;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44.</w:t>
      </w:r>
    </w:p>
  </w:footnote>
  <w:footnote w:id="684">
    <w:p w:rsidR="003F1AAB" w:rsidRDefault="003F1AAB" w:rsidP="0010250E">
      <w:pPr>
        <w:pStyle w:val="FootnoteText"/>
      </w:pPr>
      <w:r>
        <w:rPr>
          <w:rStyle w:val="FootnoteReference"/>
        </w:rPr>
        <w:footnoteRef/>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24; Partington, </w:t>
      </w:r>
      <w:r>
        <w:rPr>
          <w:rStyle w:val="AERtextitalic"/>
        </w:rPr>
        <w:t>Report to the AER: Return on equity (updated), April 2015</w:t>
      </w:r>
      <w:r>
        <w:t>, p. 44.</w:t>
      </w:r>
    </w:p>
  </w:footnote>
  <w:footnote w:id="685">
    <w:p w:rsidR="003F1AAB" w:rsidRDefault="003F1AAB" w:rsidP="0010250E">
      <w:pPr>
        <w:pStyle w:val="FootnoteText"/>
      </w:pPr>
      <w:r>
        <w:rPr>
          <w:rStyle w:val="FootnoteReference"/>
        </w:rPr>
        <w:footnoteRef/>
      </w:r>
      <w:r>
        <w:t xml:space="preserve"> </w:t>
      </w:r>
      <w:r>
        <w:tab/>
      </w:r>
      <w:r w:rsidRPr="00D65707">
        <w:t xml:space="preserve">CitiPower, </w:t>
      </w:r>
      <w:r w:rsidRPr="00D65707">
        <w:rPr>
          <w:rStyle w:val="Emphasis"/>
        </w:rPr>
        <w:t>Revised regulatory proposal 2016–2020</w:t>
      </w:r>
      <w:r w:rsidRPr="00D65707">
        <w:t xml:space="preserve">, January 2016, pp. 290–292; Powercor, </w:t>
      </w:r>
      <w:r w:rsidRPr="00D65707">
        <w:rPr>
          <w:rStyle w:val="Emphasis"/>
        </w:rPr>
        <w:t>Revised regulatory proposal 2016–2020</w:t>
      </w:r>
      <w:r w:rsidRPr="00D65707">
        <w:t xml:space="preserve">, January 2016, pp. 284–286;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41–46, 51–52; AGN, </w:t>
      </w:r>
      <w:r w:rsidRPr="00D65707">
        <w:rPr>
          <w:rStyle w:val="Emphasis"/>
        </w:rPr>
        <w:t>2016–17 to 2020/21 Access Arrangement information response to draft decision: Attachment 10.26 Response to draft decision: rate of return</w:t>
      </w:r>
      <w:r w:rsidRPr="00D65707">
        <w:t xml:space="preserve">, January 2016, pp.51–52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 pp. 50–51; AusNet Services, </w:t>
      </w:r>
      <w:r w:rsidRPr="00D65707">
        <w:rPr>
          <w:rStyle w:val="Emphasis"/>
        </w:rPr>
        <w:t>Electricity distribution price review 2016–20 Revised regulatory proposal: Chapter 7 Rate of return &amp; gamma</w:t>
      </w:r>
      <w:r w:rsidRPr="00D65707">
        <w:t>, 6 January 2016, pp. 45–47.</w:t>
      </w:r>
    </w:p>
    <w:p w:rsidR="003F1AAB" w:rsidRDefault="003F1AAB" w:rsidP="0010250E">
      <w:pPr>
        <w:pStyle w:val="FootnoteText"/>
      </w:pPr>
      <w:r>
        <w:tab/>
        <w:t>AusNet Services</w:t>
      </w:r>
      <w:r w:rsidRPr="00172CD0">
        <w:rPr>
          <w:rStyle w:val="AERtextitalic"/>
        </w:rPr>
        <w:t>, AusNet Transmission Group Pty Ltd transmission revenue review 2017–2022</w:t>
      </w:r>
      <w:r>
        <w:t>, 30 October 2015, p. 223.</w:t>
      </w:r>
    </w:p>
  </w:footnote>
  <w:footnote w:id="686">
    <w:p w:rsidR="003F1AAB" w:rsidRDefault="003F1AAB" w:rsidP="0010250E">
      <w:pPr>
        <w:pStyle w:val="FootnoteText"/>
      </w:pPr>
      <w:r>
        <w:rPr>
          <w:rStyle w:val="FootnoteReference"/>
        </w:rPr>
        <w:footnoteRef/>
      </w:r>
      <w:r>
        <w:t xml:space="preserve"> </w:t>
      </w:r>
      <w:r>
        <w:tab/>
      </w:r>
      <w:r w:rsidRPr="00D65707">
        <w:t>Citi</w:t>
      </w:r>
      <w:r>
        <w:t>P</w:t>
      </w:r>
      <w:r w:rsidRPr="00D65707">
        <w:t xml:space="preserve">ower, </w:t>
      </w:r>
      <w:r w:rsidRPr="00D65707">
        <w:rPr>
          <w:rStyle w:val="Emphasis"/>
        </w:rPr>
        <w:t>Revised regulatory proposal 2016–2020</w:t>
      </w:r>
      <w:r w:rsidRPr="00D65707">
        <w:t xml:space="preserve">, January 2016, p. 290; Powercor, </w:t>
      </w:r>
      <w:r w:rsidRPr="00D65707">
        <w:rPr>
          <w:rStyle w:val="AERtextitalic"/>
        </w:rPr>
        <w:t>Revised regulatory proposal 2016–2020</w:t>
      </w:r>
      <w:r w:rsidRPr="00D65707">
        <w:t xml:space="preserve">, January  2016, p. 284;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45–46; AGN, </w:t>
      </w:r>
      <w:r w:rsidRPr="00D65707">
        <w:rPr>
          <w:rStyle w:val="Emphasis"/>
        </w:rPr>
        <w:t>2016–17 to 2020/21 Access Arrangement information response to draft decision: Attachment 10.26 Response to draft decision: rate of return</w:t>
      </w:r>
      <w:r w:rsidRPr="00D65707">
        <w:t xml:space="preserve">, January 2016, pp. 51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2016,pp. 50–51; AusNet Services, </w:t>
      </w:r>
      <w:r w:rsidRPr="00D65707">
        <w:rPr>
          <w:rStyle w:val="Emphasis"/>
        </w:rPr>
        <w:t>Electricity distribution price review 2016–20 Revised regulatory proposal: Chapter 7 Rate of return &amp; gamma</w:t>
      </w:r>
      <w:r w:rsidRPr="00D65707">
        <w:t xml:space="preserve">, 6 January 2016, pp. 45–47; APTNT, </w:t>
      </w:r>
      <w:r w:rsidRPr="00D65707">
        <w:rPr>
          <w:rStyle w:val="Emphasis"/>
        </w:rPr>
        <w:t>Amadeus Gas Pipeline Access arrangement revised proposal: response to Draft Decision,</w:t>
      </w:r>
      <w:r w:rsidRPr="00D65707">
        <w:t xml:space="preserve"> January 2016, pp. 74–75</w:t>
      </w:r>
      <w:r>
        <w:t>.</w:t>
      </w:r>
    </w:p>
  </w:footnote>
  <w:footnote w:id="687">
    <w:p w:rsidR="003F1AAB" w:rsidRDefault="003F1AAB" w:rsidP="0010250E">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pp. 16–17; </w:t>
      </w:r>
      <w:r w:rsidRPr="002C4DC1">
        <w:t xml:space="preserve">SFG, </w:t>
      </w:r>
      <w:r w:rsidRPr="002C4DC1">
        <w:rPr>
          <w:rStyle w:val="AERtextitalic"/>
        </w:rPr>
        <w:t>The required return on equity for the benchmark efficient entity</w:t>
      </w:r>
      <w:r>
        <w:t xml:space="preserve">, </w:t>
      </w:r>
      <w:r w:rsidRPr="002C4DC1">
        <w:t>February 2015</w:t>
      </w:r>
      <w:r>
        <w:t xml:space="preserve">, p. 19; </w:t>
      </w:r>
      <w:r w:rsidRPr="00CF7B94">
        <w:t xml:space="preserve">Frontier Economics, </w:t>
      </w:r>
      <w:r w:rsidRPr="00CF7B94">
        <w:rPr>
          <w:rStyle w:val="AERtextitalic"/>
        </w:rPr>
        <w:t>Key issues in estimating the return on equity for the benchmark efficient entity</w:t>
      </w:r>
      <w:r>
        <w:t xml:space="preserve">, June 2015, p. 7; HoustonKemp, </w:t>
      </w:r>
      <w:r w:rsidRPr="009554E5">
        <w:rPr>
          <w:rStyle w:val="Emphasis"/>
        </w:rPr>
        <w:t>The cost of equity: response to the AER's draft decisions for the Victorian electricity distributors, ActewAGL Distribution and Australian Gas Networks</w:t>
      </w:r>
      <w:r>
        <w:t>, January 2016, p. 10.</w:t>
      </w:r>
    </w:p>
  </w:footnote>
  <w:footnote w:id="688">
    <w:p w:rsidR="003F1AAB" w:rsidRDefault="003F1AAB" w:rsidP="0010250E">
      <w:pPr>
        <w:pStyle w:val="FootnoteText"/>
      </w:pPr>
      <w:r>
        <w:rPr>
          <w:rStyle w:val="FootnoteReference"/>
        </w:rPr>
        <w:footnoteRef/>
      </w:r>
      <w:r>
        <w:t xml:space="preserve"> </w:t>
      </w:r>
      <w:r>
        <w:tab/>
        <w:t xml:space="preserve">HoustonKemp, </w:t>
      </w:r>
      <w:r w:rsidRPr="009554E5">
        <w:rPr>
          <w:rStyle w:val="Emphasis"/>
        </w:rPr>
        <w:t xml:space="preserve">The cost of equity: response to the AER's draft decisions for the Victorian electricity distributors, ActewAGL Distribution and Australian Gas Networks, </w:t>
      </w:r>
      <w:r>
        <w:t>January 2016, p. 9.</w:t>
      </w:r>
    </w:p>
  </w:footnote>
  <w:footnote w:id="689">
    <w:p w:rsidR="003F1AAB" w:rsidRDefault="003F1AAB" w:rsidP="0010250E">
      <w:pPr>
        <w:pStyle w:val="FootnoteText"/>
      </w:pPr>
      <w:r>
        <w:rPr>
          <w:rStyle w:val="FootnoteReference"/>
        </w:rPr>
        <w:footnoteRef/>
      </w:r>
      <w:r>
        <w:t xml:space="preserve"> </w:t>
      </w:r>
      <w:r>
        <w:tab/>
        <w:t xml:space="preserve">AER, SAPN final decision: Attachment 3–Rate of return, October 2015, p. 94–96. </w:t>
      </w:r>
      <w:r w:rsidRPr="00D65707">
        <w:t xml:space="preserve">; AER, </w:t>
      </w:r>
      <w:r w:rsidRPr="00D65707">
        <w:rPr>
          <w:rStyle w:val="AERtextitalic"/>
        </w:rPr>
        <w:t>CitiPower Preliminary Decision - Attachment 3: Rate of Return</w:t>
      </w:r>
      <w:r w:rsidRPr="00D65707">
        <w:t xml:space="preserve">, October 2015, pp91–93, 127–133; AER, </w:t>
      </w:r>
      <w:r w:rsidRPr="00D65707">
        <w:rPr>
          <w:rStyle w:val="AERtextitalic"/>
        </w:rPr>
        <w:t>Powercor Preliminary Decision - Attachment 3: Rate of Return</w:t>
      </w:r>
      <w:r w:rsidRPr="00D65707">
        <w:t xml:space="preserve">, October 2015, pp. 92–94, 127–133; AER, </w:t>
      </w:r>
      <w:r w:rsidRPr="00D65707">
        <w:rPr>
          <w:rStyle w:val="Emphasis"/>
        </w:rPr>
        <w:t>Draft decision ActewAGL distribution determination 2016 to 2021: Attachment 3 – Rate of return</w:t>
      </w:r>
      <w:r w:rsidRPr="00D65707">
        <w:t xml:space="preserve">, November 2015, pp. 94–97, 130–136; AER, </w:t>
      </w:r>
      <w:r w:rsidRPr="00D65707">
        <w:rPr>
          <w:rStyle w:val="Emphasis"/>
        </w:rPr>
        <w:t>Preliminary decision United Energy determination 2016 to 2020: Attachment 3 – Rate of return</w:t>
      </w:r>
      <w:r w:rsidRPr="00D65707">
        <w:t xml:space="preserve">, October 2015, pp. 92–94; AER, </w:t>
      </w:r>
      <w:r w:rsidRPr="00D65707">
        <w:rPr>
          <w:rStyle w:val="Emphasis"/>
        </w:rPr>
        <w:t>Draft decision Australian Gas Networks access arrangement 2016 to 2021–Attachment 3: rate of return</w:t>
      </w:r>
      <w:r w:rsidRPr="00D65707">
        <w:t xml:space="preserve">, November 2015, pp. 93–95; AER, </w:t>
      </w:r>
      <w:r w:rsidRPr="00D65707">
        <w:rPr>
          <w:rStyle w:val="Emphasis"/>
        </w:rPr>
        <w:t>Preliminary decision Jemena distribution determination 2016 to 2020: Attachment 3–Rate of return</w:t>
      </w:r>
      <w:r w:rsidRPr="00D65707">
        <w:t>, October 2015, pp. 92–94; AER</w:t>
      </w:r>
      <w:r w:rsidRPr="00D65707">
        <w:rPr>
          <w:rStyle w:val="Emphasis"/>
        </w:rPr>
        <w:t>, Preliminary decision AusNet Services determination 2016 to 2020: Attachment 3–Rate of return</w:t>
      </w:r>
      <w:r w:rsidRPr="00D65707">
        <w:t xml:space="preserve">, October 2015, pp. 92–94; AER, </w:t>
      </w:r>
      <w:r w:rsidRPr="00D65707">
        <w:rPr>
          <w:rStyle w:val="Emphasis"/>
        </w:rPr>
        <w:t>Draft decision Amadeus Gas Pipeline access arrangement 2016 to 2021: Attachment 3¬–Rate of return</w:t>
      </w:r>
      <w:r w:rsidRPr="00D65707">
        <w:t>, November 2015, pp. 93–95.</w:t>
      </w:r>
    </w:p>
  </w:footnote>
  <w:footnote w:id="690">
    <w:p w:rsidR="003F1AAB" w:rsidRDefault="003F1AAB" w:rsidP="0010250E">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w:t>
      </w:r>
      <w:r>
        <w:rPr>
          <w:rStyle w:val="AERtextitalic"/>
        </w:rPr>
        <w:t xml:space="preserve"> </w:t>
      </w:r>
      <w:r w:rsidRPr="00E83706">
        <w:rPr>
          <w:rStyle w:val="AERtextitalic"/>
        </w:rPr>
        <w:t>entity</w:t>
      </w:r>
      <w:r>
        <w:t xml:space="preserve">, June 2015, pp. 48–50, 61; Frontier, </w:t>
      </w:r>
      <w:r w:rsidRPr="00E85264">
        <w:rPr>
          <w:rStyle w:val="AERtextitalic"/>
        </w:rPr>
        <w:t>The required return on equity under a foundation model approach</w:t>
      </w:r>
      <w:r w:rsidRPr="00E85264">
        <w:t>, January 2016</w:t>
      </w:r>
      <w:r>
        <w:t>, pp. 40–41.</w:t>
      </w:r>
    </w:p>
  </w:footnote>
  <w:footnote w:id="691">
    <w:p w:rsidR="003F1AAB" w:rsidRDefault="003F1AAB" w:rsidP="0010250E">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xml:space="preserve">, August 2015, pp. 64–67,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p. 10. QCOSS similarly</w:t>
      </w:r>
      <w:r w:rsidRPr="0095774A">
        <w:t xml:space="preserve"> disagreed with our use of the theory underlying the Black CAPM to inform the equity beta point estimate</w:t>
      </w:r>
      <w:r>
        <w:t xml:space="preserve"> (see </w:t>
      </w:r>
      <w:r w:rsidRPr="00E21D28">
        <w:t xml:space="preserve">QCOSS, </w:t>
      </w:r>
      <w:r w:rsidRPr="00AF0D78">
        <w:rPr>
          <w:rStyle w:val="AERtextitalic"/>
        </w:rPr>
        <w:t>Response to Australian Energy Regulator Preliminary Decision for Queensland distributors 2015-2020</w:t>
      </w:r>
      <w:r w:rsidRPr="00E21D28">
        <w:t>, 3 July 2015</w:t>
      </w:r>
      <w:r>
        <w:t>, pp. 22–24).</w:t>
      </w:r>
    </w:p>
  </w:footnote>
  <w:footnote w:id="692">
    <w:p w:rsidR="003F1AAB" w:rsidRDefault="003F1AAB" w:rsidP="0010250E">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 67.</w:t>
      </w:r>
    </w:p>
  </w:footnote>
  <w:footnote w:id="693">
    <w:p w:rsidR="003F1AAB" w:rsidRDefault="003F1AAB" w:rsidP="0010250E">
      <w:pPr>
        <w:pStyle w:val="FootnoteText"/>
      </w:pPr>
      <w:r>
        <w:rPr>
          <w:rStyle w:val="FootnoteReference"/>
        </w:rPr>
        <w:footnoteRef/>
      </w:r>
      <w:r>
        <w:t xml:space="preserve"> </w:t>
      </w:r>
      <w:r>
        <w:tab/>
        <w:t xml:space="preserve">In the Guideline we clearly explained why we use the theory underlying the Black CAPM to inform the equity beta point estimate. See AER, </w:t>
      </w:r>
      <w:r w:rsidRPr="000C60D2">
        <w:rPr>
          <w:rStyle w:val="AERtextitalic"/>
        </w:rPr>
        <w:t>Explanatory statement to the rate of return guideline (appendices)</w:t>
      </w:r>
      <w:r>
        <w:t xml:space="preserve">, December 2013, pp. 71–72. </w:t>
      </w:r>
    </w:p>
  </w:footnote>
  <w:footnote w:id="694">
    <w:p w:rsidR="003F1AAB" w:rsidRDefault="003F1AAB" w:rsidP="0010250E">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695">
    <w:p w:rsidR="003F1AAB" w:rsidRDefault="003F1AAB" w:rsidP="0010250E">
      <w:pPr>
        <w:pStyle w:val="FootnoteText"/>
      </w:pPr>
      <w:r>
        <w:rPr>
          <w:rStyle w:val="FootnoteReference"/>
        </w:rPr>
        <w:footnoteRef/>
      </w:r>
      <w:r>
        <w:t xml:space="preserve"> </w:t>
      </w:r>
      <w:r>
        <w:tab/>
        <w:t xml:space="preserve">Fama, E.F., French, K.R., 'The cross section of expected stock returns', </w:t>
      </w:r>
      <w:r>
        <w:rPr>
          <w:rStyle w:val="AERtextitalic"/>
        </w:rPr>
        <w:t>The Journal of Fi</w:t>
      </w:r>
      <w:r w:rsidRPr="00B77E36">
        <w:rPr>
          <w:rStyle w:val="AERtextitalic"/>
        </w:rPr>
        <w:t>nance</w:t>
      </w:r>
      <w:r>
        <w:t>, 47, 1992, pp. 427</w:t>
      </w:r>
      <w:r>
        <w:rPr>
          <w:rFonts w:cs="Gautami"/>
        </w:rPr>
        <w:t>–</w:t>
      </w:r>
      <w:r>
        <w:t>66.</w:t>
      </w:r>
    </w:p>
  </w:footnote>
  <w:footnote w:id="696">
    <w:p w:rsidR="003F1AAB" w:rsidRDefault="003F1AAB" w:rsidP="0010250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15</w:t>
      </w:r>
      <w:r>
        <w:rPr>
          <w:rFonts w:cs="Gautami"/>
        </w:rPr>
        <w:t>–</w:t>
      </w:r>
      <w:r>
        <w:t>16.</w:t>
      </w:r>
    </w:p>
  </w:footnote>
  <w:footnote w:id="697">
    <w:p w:rsidR="003F1AAB" w:rsidRDefault="003F1AAB" w:rsidP="0010250E">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698">
    <w:p w:rsidR="003F1AAB" w:rsidRDefault="003F1AAB" w:rsidP="0010250E">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699">
    <w:p w:rsidR="003F1AAB" w:rsidRDefault="003F1AAB" w:rsidP="0010250E">
      <w:pPr>
        <w:pStyle w:val="FootnoteText"/>
      </w:pPr>
      <w:r>
        <w:rPr>
          <w:rStyle w:val="FootnoteReference"/>
        </w:rPr>
        <w:footnoteRef/>
      </w:r>
      <w:r>
        <w:t xml:space="preserve"> </w:t>
      </w:r>
      <w:r>
        <w:tab/>
        <w:t>For more discussion of the theoretical foundations of the Fama-French model, see the 'theoretical foundations' subsection in section A.3.2 of Attachment 3 to our draft decision for AGN, which remains relevant here.</w:t>
      </w:r>
    </w:p>
  </w:footnote>
  <w:footnote w:id="700">
    <w:p w:rsidR="003F1AAB" w:rsidRDefault="003F1AAB" w:rsidP="0010250E">
      <w:pPr>
        <w:pStyle w:val="FootnoteText"/>
      </w:pPr>
      <w:r>
        <w:rPr>
          <w:rStyle w:val="FootnoteReference"/>
        </w:rPr>
        <w:footnoteRef/>
      </w:r>
      <w:r>
        <w:t xml:space="preserve"> </w:t>
      </w:r>
      <w:r>
        <w:tab/>
        <w:t>For more detail, see the 'use in practice' subsection in section A.3.2 of Attachment 3 to our draft decision for AGN, which remains relevant here. No new material was submitted on this issue following our draft decision.</w:t>
      </w:r>
    </w:p>
  </w:footnote>
  <w:footnote w:id="701">
    <w:p w:rsidR="003F1AAB" w:rsidRDefault="003F1AAB" w:rsidP="0010250E">
      <w:pPr>
        <w:pStyle w:val="FootnoteText"/>
      </w:pPr>
      <w:r>
        <w:rPr>
          <w:rStyle w:val="FootnoteReference"/>
        </w:rPr>
        <w:footnoteRef/>
      </w:r>
      <w:r>
        <w:t xml:space="preserve"> </w:t>
      </w:r>
      <w:r>
        <w:tab/>
        <w:t xml:space="preserve">McKenzie and Partington, </w:t>
      </w:r>
      <w:r>
        <w:rPr>
          <w:rStyle w:val="AERtextitalic"/>
        </w:rPr>
        <w:t>Report to the AER p</w:t>
      </w:r>
      <w:r w:rsidRPr="007F1F50">
        <w:rPr>
          <w:rStyle w:val="AERtextitalic"/>
        </w:rPr>
        <w:t>art A: Return</w:t>
      </w:r>
      <w:r>
        <w:rPr>
          <w:rStyle w:val="AERtextitalic"/>
        </w:rPr>
        <w:t xml:space="preserve"> on e</w:t>
      </w:r>
      <w:r w:rsidRPr="007F1F50">
        <w:rPr>
          <w:rStyle w:val="AERtextitalic"/>
        </w:rPr>
        <w:t>quity</w:t>
      </w:r>
      <w:r>
        <w:t>, October 2014, pp. 15</w:t>
      </w:r>
      <w:r>
        <w:rPr>
          <w:rFonts w:cs="Gautami"/>
        </w:rPr>
        <w:t>–</w:t>
      </w:r>
      <w:r>
        <w:t>19.</w:t>
      </w:r>
      <w:r w:rsidRPr="00640FAA">
        <w:t xml:space="preserve"> </w:t>
      </w:r>
      <w:r>
        <w:t xml:space="preserve">Partington, </w:t>
      </w:r>
      <w:r>
        <w:rPr>
          <w:rStyle w:val="AERtextitalic"/>
        </w:rPr>
        <w:t>Report to the AER: Return on equity (updated), April 2015</w:t>
      </w:r>
      <w:r>
        <w:t xml:space="preserve">, p. 11; Partington &amp; Satchell, </w:t>
      </w:r>
      <w:r w:rsidRPr="00134BB5">
        <w:rPr>
          <w:rStyle w:val="AERtextitalic"/>
        </w:rPr>
        <w:t>Report to the AER: return on equity and comment on submissions in relation to JGN</w:t>
      </w:r>
      <w:r>
        <w:t>, May 2015, p. 6.</w:t>
      </w:r>
    </w:p>
  </w:footnote>
  <w:footnote w:id="702">
    <w:p w:rsidR="003F1AAB" w:rsidRDefault="003F1AAB" w:rsidP="0010250E">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7</w:t>
      </w:r>
      <w:r>
        <w:rPr>
          <w:rFonts w:cs="Gautami"/>
        </w:rPr>
        <w:t>–</w:t>
      </w:r>
      <w:r>
        <w:t xml:space="preserve">10. We reengaged Handley to consider material submitted with service providers' revised proposals. It does not appear that this material caused Handley to change his earlier positions. See Handley, </w:t>
      </w:r>
      <w:r w:rsidRPr="003034B8">
        <w:rPr>
          <w:rStyle w:val="AERtextitalic"/>
        </w:rPr>
        <w:t>Further advice on the return on equity</w:t>
      </w:r>
      <w:r>
        <w:t>, March 2015, pp. 3</w:t>
      </w:r>
      <w:r>
        <w:rPr>
          <w:rFonts w:cs="Arial"/>
        </w:rPr>
        <w:t>–</w:t>
      </w:r>
      <w:r>
        <w:t>4;</w:t>
      </w:r>
      <w:r w:rsidRPr="00B130FA">
        <w:t xml:space="preserve"> </w:t>
      </w:r>
      <w:r>
        <w:t xml:space="preserve">Handley, </w:t>
      </w:r>
      <w:r w:rsidRPr="003A0654">
        <w:rPr>
          <w:rStyle w:val="AERtextitalic"/>
        </w:rPr>
        <w:t>Advice on the rate of return for the 2015 AER energy network determination for Jemena Gas Networks</w:t>
      </w:r>
      <w:r>
        <w:t>, 20 May 2015, pp. 24, 28.</w:t>
      </w:r>
    </w:p>
  </w:footnote>
  <w:footnote w:id="703">
    <w:p w:rsidR="003F1AAB" w:rsidRDefault="003F1AAB" w:rsidP="0010250E">
      <w:pPr>
        <w:pStyle w:val="FootnoteText"/>
      </w:pPr>
      <w:r>
        <w:rPr>
          <w:rStyle w:val="FootnoteReference"/>
        </w:rPr>
        <w:footnoteRef/>
      </w:r>
      <w:r>
        <w:t xml:space="preserve"> </w:t>
      </w:r>
      <w:r>
        <w:tab/>
        <w:t xml:space="preserve">ECCSA, </w:t>
      </w:r>
      <w:r w:rsidRPr="00A064A9">
        <w:rPr>
          <w:rStyle w:val="AERtextitalic"/>
        </w:rPr>
        <w:t>Submission on Australian Gas Networks' Access Arrangement Proposal 2016-2021</w:t>
      </w:r>
      <w:r>
        <w:t>,</w:t>
      </w:r>
      <w:r w:rsidRPr="000A3A91">
        <w:t xml:space="preserve"> 16 August 2015</w:t>
      </w:r>
      <w:r>
        <w:t>, p.58.</w:t>
      </w:r>
    </w:p>
  </w:footnote>
  <w:footnote w:id="704">
    <w:p w:rsidR="003F1AAB" w:rsidRDefault="003F1AAB" w:rsidP="0010250E">
      <w:pPr>
        <w:pStyle w:val="FootnoteText"/>
      </w:pPr>
      <w:r>
        <w:rPr>
          <w:rStyle w:val="FootnoteReference"/>
        </w:rPr>
        <w:footnoteRef/>
      </w:r>
      <w:r>
        <w:t xml:space="preserve"> </w:t>
      </w:r>
      <w:r>
        <w:tab/>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p.113</w:t>
      </w:r>
    </w:p>
  </w:footnote>
  <w:footnote w:id="705">
    <w:p w:rsidR="003F1AAB" w:rsidRDefault="003F1AAB" w:rsidP="0010250E">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p.10.</w:t>
      </w:r>
    </w:p>
  </w:footnote>
  <w:footnote w:id="706">
    <w:p w:rsidR="003F1AAB" w:rsidRDefault="003F1AAB" w:rsidP="0010250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289, 292, 294-295; Powercor, </w:t>
      </w:r>
      <w:r w:rsidRPr="00C45E85">
        <w:rPr>
          <w:rStyle w:val="Emphasis"/>
        </w:rPr>
        <w:t>Revised regulatory proposal 2016–2020,</w:t>
      </w:r>
      <w:r w:rsidRPr="00C45E85">
        <w:t xml:space="preserve"> January 2016, pp. 283, 286, 288–289;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57–72; United Energy, </w:t>
      </w:r>
      <w:r w:rsidRPr="00C45E85">
        <w:rPr>
          <w:rStyle w:val="Emphasis"/>
        </w:rPr>
        <w:t>Response to AER preliminary determination–Re: rate of return and gamma</w:t>
      </w:r>
      <w:r w:rsidRPr="00C45E85">
        <w:t xml:space="preserve">, 6 January 2016, pp. 41–52; AGN, </w:t>
      </w:r>
      <w:r w:rsidRPr="00C45E85">
        <w:rPr>
          <w:rStyle w:val="Emphasis"/>
        </w:rPr>
        <w:t>2016–17 to 2020/21 Access Arrangement information response to draft decision: Attachment 10.26 Response to draft decision: rate of return</w:t>
      </w:r>
      <w:r w:rsidRPr="00C45E85">
        <w:t xml:space="preserve">, January 2016, pp. 45–58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46–57; AusNet Services, </w:t>
      </w:r>
      <w:r w:rsidRPr="00C45E85">
        <w:rPr>
          <w:rStyle w:val="Emphasis"/>
        </w:rPr>
        <w:t>Electricity distribution price review 2016–20 Revised regulatory proposal: Chapter 7 Rate of return &amp; gamma</w:t>
      </w:r>
      <w:r w:rsidRPr="00C45E85">
        <w:t>, 6 January 2016, pp.41–50; APTNT</w:t>
      </w:r>
      <w:r w:rsidRPr="00C45E85">
        <w:rPr>
          <w:rStyle w:val="Emphasis"/>
        </w:rPr>
        <w:t>, Amadeus Gas Pipeline Access arrangement revised proposal: response to Draft Decision</w:t>
      </w:r>
      <w:r w:rsidRPr="00C45E85">
        <w:t xml:space="preserve">, January 2016, pp. 68–72; APTNT, </w:t>
      </w:r>
      <w:r w:rsidRPr="00C45E85">
        <w:rPr>
          <w:rStyle w:val="Emphasis"/>
        </w:rPr>
        <w:t>Amadeus Gas Pipeline access arrangement revision proposal</w:t>
      </w:r>
      <w:r w:rsidRPr="00C45E85">
        <w:t>, August 2015, pp. 126–128.</w:t>
      </w:r>
    </w:p>
    <w:p w:rsidR="003F1AAB" w:rsidRDefault="003F1AAB" w:rsidP="0010250E">
      <w:pPr>
        <w:pStyle w:val="FootnoteText"/>
      </w:pPr>
      <w:r>
        <w:tab/>
        <w:t>AusNet Services</w:t>
      </w:r>
      <w:r w:rsidRPr="00172CD0">
        <w:rPr>
          <w:rStyle w:val="AERtextitalic"/>
        </w:rPr>
        <w:t>, AusNet Transmission Group Pty Ltd transmission revenue review 2017–2022</w:t>
      </w:r>
      <w:r>
        <w:t>, 30 October 2015, pp. 204–223.</w:t>
      </w:r>
    </w:p>
  </w:footnote>
  <w:footnote w:id="707">
    <w:p w:rsidR="003F1AAB" w:rsidRDefault="003F1AAB" w:rsidP="0010250E">
      <w:pPr>
        <w:pStyle w:val="FootnoteText"/>
      </w:pPr>
      <w:r>
        <w:rPr>
          <w:rStyle w:val="FootnoteReference"/>
        </w:rPr>
        <w:footnoteRef/>
      </w:r>
      <w:r>
        <w:t xml:space="preserve"> </w:t>
      </w:r>
      <w:r>
        <w:tab/>
        <w:t xml:space="preserve"> Frontier Economics, </w:t>
      </w:r>
      <w:r w:rsidRPr="00E10673">
        <w:rPr>
          <w:rStyle w:val="AERtextitalic"/>
        </w:rPr>
        <w:t>Key issues in estimating the return on eq</w:t>
      </w:r>
      <w:r>
        <w:rPr>
          <w:rStyle w:val="AERtextitalic"/>
        </w:rPr>
        <w:t>u</w:t>
      </w:r>
      <w:r w:rsidRPr="00E10673">
        <w:rPr>
          <w:rStyle w:val="AERtextitalic"/>
        </w:rPr>
        <w:t>ity for the benchmark efficient entity</w:t>
      </w:r>
      <w:r>
        <w:t xml:space="preserve">, June 2015, pp. 18–19; NERA, </w:t>
      </w:r>
      <w:r w:rsidRPr="00E10673">
        <w:rPr>
          <w:rStyle w:val="AERtextitalic"/>
        </w:rPr>
        <w:t>The Cost of Equity: Response to the AER's</w:t>
      </w:r>
      <w:r>
        <w:rPr>
          <w:rStyle w:val="AERtextitalic"/>
        </w:rPr>
        <w:t xml:space="preserve"> </w:t>
      </w:r>
      <w:r w:rsidRPr="00E10673">
        <w:rPr>
          <w:rStyle w:val="AERtextitalic"/>
        </w:rPr>
        <w:t>final decisions for the NSW and ACT Electricity Distributors, and for Jemena Gas Networks</w:t>
      </w:r>
      <w:r>
        <w:t xml:space="preserve">, June 2015, pp. 34 &amp; 37;  </w:t>
      </w:r>
      <w:r w:rsidRPr="00177FBB">
        <w:t xml:space="preserve">Frontier Economics, The </w:t>
      </w:r>
      <w:r w:rsidRPr="00177FBB">
        <w:rPr>
          <w:rStyle w:val="AERtextitalic"/>
        </w:rPr>
        <w:t>required return on equity under a foundation model approach – Report prepared for Jemena Electricity Networks, ACTEWAGL Distribution, AusNet Services, Australian Gas Networks, Citipower, Powercor and United Energy</w:t>
      </w:r>
      <w:r w:rsidRPr="00177FBB">
        <w:t>, January 2016</w:t>
      </w:r>
      <w:r>
        <w:t>,p. 58-65</w:t>
      </w:r>
    </w:p>
  </w:footnote>
  <w:footnote w:id="708">
    <w:p w:rsidR="003F1AAB" w:rsidRDefault="003F1AAB" w:rsidP="0010250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5; AusNet Services</w:t>
      </w:r>
      <w:r w:rsidRPr="00172CD0">
        <w:rPr>
          <w:rStyle w:val="AERtextitalic"/>
        </w:rPr>
        <w:t>, AusNet Transmission Group Pty Ltd transmission revenue review 2017–2022</w:t>
      </w:r>
      <w:r>
        <w:t>, 30 October 2015, pp. 259–263.</w:t>
      </w:r>
    </w:p>
  </w:footnote>
  <w:footnote w:id="709">
    <w:p w:rsidR="003F1AAB" w:rsidRDefault="003F1AAB" w:rsidP="0010250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27.</w:t>
      </w:r>
    </w:p>
  </w:footnote>
  <w:footnote w:id="710">
    <w:p w:rsidR="003F1AAB" w:rsidRDefault="003F1AAB" w:rsidP="0010250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33–34.</w:t>
      </w:r>
    </w:p>
  </w:footnote>
  <w:footnote w:id="711">
    <w:p w:rsidR="003F1AAB" w:rsidRDefault="003F1AAB" w:rsidP="0010250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47.</w:t>
      </w:r>
    </w:p>
  </w:footnote>
  <w:footnote w:id="712">
    <w:p w:rsidR="003F1AAB" w:rsidRDefault="003F1AAB" w:rsidP="0010250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47.</w:t>
      </w:r>
    </w:p>
  </w:footnote>
  <w:footnote w:id="713">
    <w:p w:rsidR="003F1AAB" w:rsidRDefault="003F1AAB" w:rsidP="0010250E">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pp. 16</w:t>
      </w:r>
      <w:r>
        <w:rPr>
          <w:rFonts w:cs="Gautami"/>
        </w:rPr>
        <w:t>–</w:t>
      </w:r>
      <w:r>
        <w:t xml:space="preserve">17;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714">
    <w:p w:rsidR="003F1AAB" w:rsidRDefault="003F1AAB" w:rsidP="0010250E">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16;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715">
    <w:p w:rsidR="003F1AAB" w:rsidRDefault="003F1AAB" w:rsidP="0010250E">
      <w:pPr>
        <w:pStyle w:val="FootnoteText"/>
      </w:pPr>
      <w:r>
        <w:rPr>
          <w:rStyle w:val="FootnoteReference"/>
        </w:rPr>
        <w:footnoteRef/>
      </w:r>
      <w:r>
        <w:t xml:space="preserve"> </w:t>
      </w:r>
      <w:r>
        <w:tab/>
      </w:r>
      <w:r w:rsidRPr="00F8120D">
        <w:t xml:space="preserve">Partington and Satchell, </w:t>
      </w:r>
      <w:r w:rsidRPr="00F8120D">
        <w:rPr>
          <w:rStyle w:val="Emphasis"/>
        </w:rPr>
        <w:t>Report to the AER: Cost of equity issues–2016 electricity and gas determinations</w:t>
      </w:r>
      <w:r w:rsidRPr="00F8120D">
        <w:t>, April 2016, p</w:t>
      </w:r>
      <w:r>
        <w:t>p. 32–34.</w:t>
      </w:r>
    </w:p>
  </w:footnote>
  <w:footnote w:id="716">
    <w:p w:rsidR="003F1AAB" w:rsidRDefault="003F1AAB" w:rsidP="0010250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w:t>
      </w:r>
    </w:p>
  </w:footnote>
  <w:footnote w:id="717">
    <w:p w:rsidR="003F1AAB" w:rsidRDefault="003F1AAB" w:rsidP="0010250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718">
    <w:p w:rsidR="003F1AAB" w:rsidRDefault="003F1AAB" w:rsidP="0010250E">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pp. 1</w:t>
      </w:r>
      <w:r>
        <w:rPr>
          <w:rFonts w:cs="Gautami"/>
        </w:rPr>
        <w:t>–</w:t>
      </w:r>
      <w:r>
        <w:t>14.</w:t>
      </w:r>
    </w:p>
  </w:footnote>
  <w:footnote w:id="719">
    <w:p w:rsidR="003F1AAB" w:rsidRDefault="003F1AAB" w:rsidP="0010250E">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 12.</w:t>
      </w:r>
    </w:p>
  </w:footnote>
  <w:footnote w:id="720">
    <w:p w:rsidR="003F1AAB" w:rsidRDefault="003F1AAB" w:rsidP="0010250E">
      <w:pPr>
        <w:pStyle w:val="FootnoteText"/>
      </w:pPr>
      <w:r>
        <w:rPr>
          <w:rStyle w:val="FootnoteReference"/>
        </w:rPr>
        <w:footnoteRef/>
      </w:r>
      <w:r>
        <w:t xml:space="preserve"> </w:t>
      </w:r>
      <w:r>
        <w:tab/>
        <w:t xml:space="preserve">Brailsford, T., Guant, C., and O'Brien, M., 'The investment value of the value premium', </w:t>
      </w:r>
      <w:r w:rsidRPr="00784F19">
        <w:rPr>
          <w:rStyle w:val="AERtextitalic"/>
        </w:rPr>
        <w:t>Pacific-Basin Finance Journal</w:t>
      </w:r>
      <w:r>
        <w:t>, 20, 2012, p. 417.</w:t>
      </w:r>
    </w:p>
  </w:footnote>
  <w:footnote w:id="721">
    <w:p w:rsidR="003F1AAB" w:rsidRDefault="003F1AAB" w:rsidP="0010250E">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18.</w:t>
      </w:r>
    </w:p>
  </w:footnote>
  <w:footnote w:id="722">
    <w:p w:rsidR="003F1AAB" w:rsidRDefault="003F1AAB" w:rsidP="0010250E">
      <w:pPr>
        <w:pStyle w:val="FootnoteText"/>
      </w:pPr>
      <w:r>
        <w:rPr>
          <w:rStyle w:val="FootnoteReference"/>
        </w:rPr>
        <w:footnoteRef/>
      </w:r>
      <w:r>
        <w:t xml:space="preserve"> </w:t>
      </w:r>
      <w:r>
        <w:tab/>
      </w:r>
      <w:r w:rsidRPr="00636ECB">
        <w:t xml:space="preserve">AER, </w:t>
      </w:r>
      <w:r w:rsidRPr="00636ECB">
        <w:rPr>
          <w:rStyle w:val="AERtextitalic"/>
        </w:rPr>
        <w:t>Explanatory statement: Rate of return guideline</w:t>
      </w:r>
      <w:r w:rsidRPr="00636ECB">
        <w:t>, 17 December 2013, pp. 90–91</w:t>
      </w:r>
      <w:r>
        <w:t xml:space="preserve">; </w:t>
      </w:r>
      <w:r w:rsidRPr="009E3B2A">
        <w:t xml:space="preserve">Partington, </w:t>
      </w:r>
      <w:r w:rsidRPr="009E3B2A">
        <w:rPr>
          <w:rStyle w:val="AERtextitalic"/>
        </w:rPr>
        <w:t>Report to the AER: Return on equity (updated), April 2015</w:t>
      </w:r>
      <w:r w:rsidRPr="009E3B2A">
        <w:t xml:space="preserve">, p. 14; Partington &amp; Satchell, </w:t>
      </w:r>
      <w:r w:rsidRPr="009E3B2A">
        <w:rPr>
          <w:rStyle w:val="AERtextitalic"/>
        </w:rPr>
        <w:t>Report to the AER: return on equity and comment on submissions in relation to JGN</w:t>
      </w:r>
      <w:r w:rsidRPr="009E3B2A">
        <w:t>, May 2015, p. 6</w:t>
      </w:r>
      <w:r>
        <w:t xml:space="preserve">; </w:t>
      </w:r>
      <w:r w:rsidRPr="00636ECB">
        <w:t xml:space="preserve">Academic literature and reports submitted by service providers recognise that the available evidence for estimating the expected return on equity is imprecise and subject to varied interpretations. See for example R. Mehra and E. C. Prescott, The equity premium, A puzzle, </w:t>
      </w:r>
      <w:r w:rsidRPr="00636ECB">
        <w:rPr>
          <w:rStyle w:val="AERtextitalic"/>
        </w:rPr>
        <w:t>Journal of Monetary Economics</w:t>
      </w:r>
      <w:r w:rsidRPr="00636ECB">
        <w:t xml:space="preserve">, 15, 1985, pp. 145–161; A. Damodaran, </w:t>
      </w:r>
      <w:r w:rsidRPr="00636ECB">
        <w:rPr>
          <w:rStyle w:val="AERtextitalic"/>
        </w:rPr>
        <w:t>Equity Risk Premiums (ERP), Determinants, Estimation and Implications</w:t>
      </w:r>
      <w:r w:rsidRPr="00636ECB">
        <w:t xml:space="preserve">, September 2008, p. 1; J. S. Doran, E. I. Ronn and R. S. Goldberg, </w:t>
      </w:r>
      <w:r w:rsidRPr="00636ECB">
        <w:rPr>
          <w:rStyle w:val="AERtextitalic"/>
        </w:rPr>
        <w:t>A simple model for time–varying expected returns on the S&amp;P 500 Index</w:t>
      </w:r>
      <w:r w:rsidRPr="00636ECB">
        <w:t xml:space="preserve">, August 2005, pp. 2–3. For an example report from regulated entities, see: Officer and Bishop, </w:t>
      </w:r>
      <w:r w:rsidRPr="00636ECB">
        <w:rPr>
          <w:rStyle w:val="AERtextitalic"/>
        </w:rPr>
        <w:t>Market risk premium, a review paper</w:t>
      </w:r>
      <w:r w:rsidRPr="00636ECB">
        <w:t>, August 2008, pp. 3–4.</w:t>
      </w:r>
      <w:r w:rsidRPr="00636ECB" w:rsidDel="009E3B2A">
        <w:t xml:space="preserve"> </w:t>
      </w:r>
    </w:p>
  </w:footnote>
  <w:footnote w:id="723">
    <w:p w:rsidR="003F1AAB" w:rsidRDefault="003F1AAB" w:rsidP="0010250E">
      <w:pPr>
        <w:pStyle w:val="FootnoteText"/>
      </w:pPr>
      <w:r>
        <w:rPr>
          <w:rStyle w:val="FootnoteReference"/>
        </w:rPr>
        <w:footnoteRef/>
      </w:r>
      <w:r>
        <w:t xml:space="preserve"> </w:t>
      </w:r>
      <w:r>
        <w:tab/>
        <w:t xml:space="preserve">A sample of the most recent material includes: CEG, </w:t>
      </w:r>
      <w:r w:rsidRPr="003034B8">
        <w:rPr>
          <w:rStyle w:val="AERtextitalic"/>
        </w:rPr>
        <w:t>Estimating the cost of equity, equity beta and MRP</w:t>
      </w:r>
      <w:r>
        <w:t>, January 2015, pp. 1</w:t>
      </w:r>
      <w:r w:rsidRPr="00DF482D">
        <w:t>–</w:t>
      </w:r>
      <w:r>
        <w:t xml:space="preserve">58; NERA, </w:t>
      </w:r>
      <w:r w:rsidRPr="003034B8">
        <w:rPr>
          <w:rStyle w:val="AERtextitalic"/>
        </w:rPr>
        <w:t>Memo: Revised estimates of the MRP</w:t>
      </w:r>
      <w:r>
        <w:t>, November 2014, pp. 1</w:t>
      </w:r>
      <w:r w:rsidRPr="00DF482D">
        <w:t>–</w:t>
      </w:r>
      <w:r>
        <w:t xml:space="preserve">3; SFG, </w:t>
      </w:r>
      <w:r w:rsidRPr="003034B8">
        <w:rPr>
          <w:rStyle w:val="AERtextitalic"/>
        </w:rPr>
        <w:t>the required return on equity for the benchmark efficient entity</w:t>
      </w:r>
      <w:r>
        <w:t>, February 2015, pp. 17</w:t>
      </w:r>
      <w:r>
        <w:rPr>
          <w:rFonts w:cs="Arial"/>
        </w:rPr>
        <w:t>–</w:t>
      </w:r>
      <w:r>
        <w:t xml:space="preserve">36; SFG, </w:t>
      </w:r>
      <w:r w:rsidRPr="003034B8">
        <w:rPr>
          <w:rStyle w:val="AERtextitalic"/>
        </w:rPr>
        <w:t>Beta and the Black CAPM</w:t>
      </w:r>
      <w:r>
        <w:t>, February 2015, pp. 1</w:t>
      </w:r>
      <w:r>
        <w:rPr>
          <w:rFonts w:cs="Arial"/>
        </w:rPr>
        <w:t>–</w:t>
      </w:r>
      <w:r>
        <w:t xml:space="preserve">45; NERA, </w:t>
      </w:r>
      <w:r w:rsidRPr="003034B8">
        <w:rPr>
          <w:rStyle w:val="AERtextitalic"/>
        </w:rPr>
        <w:t>Historical estimates of the MRP</w:t>
      </w:r>
      <w:r>
        <w:t>, February 2015, pp. 1</w:t>
      </w:r>
      <w:r>
        <w:rPr>
          <w:rFonts w:cs="Arial"/>
        </w:rPr>
        <w:t>–</w:t>
      </w:r>
      <w:r>
        <w:t xml:space="preserve">51; SFG, </w:t>
      </w:r>
      <w:r w:rsidRPr="003034B8">
        <w:rPr>
          <w:rStyle w:val="AERtextitalic"/>
        </w:rPr>
        <w:t>The required return on equity: Initial review of the AER draft decisions</w:t>
      </w:r>
      <w:r>
        <w:t>, January 2015, pp. 25</w:t>
      </w:r>
      <w:r>
        <w:rPr>
          <w:rFonts w:cs="Arial"/>
        </w:rPr>
        <w:t>–</w:t>
      </w:r>
      <w:r>
        <w:t>44.</w:t>
      </w:r>
    </w:p>
  </w:footnote>
  <w:footnote w:id="724">
    <w:p w:rsidR="003F1AAB" w:rsidRDefault="003F1AAB" w:rsidP="0010250E">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11</w:t>
      </w:r>
      <w:r>
        <w:rPr>
          <w:rFonts w:cs="Arial"/>
        </w:rPr>
        <w:t>–</w:t>
      </w:r>
      <w:r>
        <w:t xml:space="preserve">14; </w:t>
      </w:r>
      <w:r w:rsidRPr="00FF78F8">
        <w:t xml:space="preserve">Frontier Economics, </w:t>
      </w:r>
      <w:r w:rsidRPr="00FF78F8">
        <w:rPr>
          <w:rStyle w:val="AERtextitalic"/>
        </w:rPr>
        <w:t>Key issues in est</w:t>
      </w:r>
      <w:r>
        <w:rPr>
          <w:rStyle w:val="AERtextitalic"/>
        </w:rPr>
        <w:t>i</w:t>
      </w:r>
      <w:r w:rsidRPr="00FF78F8">
        <w:rPr>
          <w:rStyle w:val="AERtextitalic"/>
        </w:rPr>
        <w:t>mating the return on e</w:t>
      </w:r>
      <w:r>
        <w:rPr>
          <w:rStyle w:val="AERtextitalic"/>
        </w:rPr>
        <w:t>q</w:t>
      </w:r>
      <w:r w:rsidRPr="00FF78F8">
        <w:rPr>
          <w:rStyle w:val="AERtextitalic"/>
        </w:rPr>
        <w:t>uity for the benchmark efficient entity</w:t>
      </w:r>
      <w:r w:rsidRPr="00FF78F8">
        <w:t xml:space="preserve">, June 2015, p. </w:t>
      </w:r>
      <w:r>
        <w:t>7.</w:t>
      </w:r>
    </w:p>
  </w:footnote>
  <w:footnote w:id="725">
    <w:p w:rsidR="003F1AAB" w:rsidRDefault="003F1AAB" w:rsidP="0010250E">
      <w:pPr>
        <w:pStyle w:val="FootnoteText"/>
      </w:pPr>
      <w:r>
        <w:rPr>
          <w:rStyle w:val="FootnoteReference"/>
        </w:rPr>
        <w:footnoteRef/>
      </w:r>
      <w:r>
        <w:t xml:space="preserve"> </w:t>
      </w:r>
      <w:r>
        <w:tab/>
        <w:t xml:space="preserve">AER, </w:t>
      </w:r>
      <w:r w:rsidRPr="003034B8">
        <w:rPr>
          <w:rStyle w:val="AERtextitalic"/>
        </w:rPr>
        <w:t>Explanatory statement to the rate of return guideline (appendices)</w:t>
      </w:r>
      <w:r>
        <w:t>, December 2013, p. 49.</w:t>
      </w:r>
    </w:p>
  </w:footnote>
  <w:footnote w:id="726">
    <w:p w:rsidR="003F1AAB" w:rsidRDefault="003F1AAB" w:rsidP="0010250E">
      <w:pPr>
        <w:pStyle w:val="FootnoteText"/>
      </w:pPr>
      <w:r>
        <w:rPr>
          <w:rStyle w:val="FootnoteReference"/>
        </w:rPr>
        <w:footnoteRef/>
      </w:r>
      <w:r>
        <w:t xml:space="preserve"> </w:t>
      </w:r>
      <w:r>
        <w:tab/>
        <w:t xml:space="preserve">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xml:space="preserve">, p. 25. Partington reviewed submissions made after this report and concluded that they do not change his conclusions (see: Partington &amp; Satchell, </w:t>
      </w:r>
      <w:r w:rsidRPr="00134BB5">
        <w:rPr>
          <w:rStyle w:val="AERtextitalic"/>
        </w:rPr>
        <w:t>Report to the AER: return on equity and comment on submissions in relation to JGN</w:t>
      </w:r>
      <w:r>
        <w:t>, May 2015, p. 6).</w:t>
      </w:r>
    </w:p>
  </w:footnote>
  <w:footnote w:id="727">
    <w:p w:rsidR="003F1AAB" w:rsidRDefault="003F1AAB" w:rsidP="0010250E">
      <w:pPr>
        <w:pStyle w:val="FootnoteText"/>
      </w:pPr>
      <w:r>
        <w:rPr>
          <w:rStyle w:val="FootnoteReference"/>
        </w:rPr>
        <w:footnoteRef/>
      </w:r>
      <w:r>
        <w:t xml:space="preserve"> </w:t>
      </w:r>
      <w:r>
        <w:tab/>
      </w:r>
      <w:r w:rsidRPr="00924458">
        <w:t xml:space="preserve">NERA, </w:t>
      </w:r>
      <w:r w:rsidRPr="00924458">
        <w:rPr>
          <w:rStyle w:val="AERtextitalic"/>
        </w:rPr>
        <w:t>The Fama-French Three-Factor Model: A Report for the ENA</w:t>
      </w:r>
      <w:r w:rsidRPr="00924458">
        <w:t xml:space="preserve">, October, 2013, p. 24; NERA, </w:t>
      </w:r>
      <w:r w:rsidRPr="00924458">
        <w:rPr>
          <w:rStyle w:val="AERtextitalic"/>
        </w:rPr>
        <w:t>Return on Capital of a Regulated Electricity Network: A report for Ashurst</w:t>
      </w:r>
      <w:r w:rsidRPr="00924458">
        <w:t>, May 2014, pp. 99–103</w:t>
      </w:r>
      <w:r>
        <w:t>.</w:t>
      </w:r>
    </w:p>
  </w:footnote>
  <w:footnote w:id="728">
    <w:p w:rsidR="003F1AAB" w:rsidRDefault="003F1AAB" w:rsidP="0010250E">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xml:space="preserve">, February 2015, p. 2; SFG, </w:t>
      </w:r>
      <w:r w:rsidRPr="00A7613A">
        <w:rPr>
          <w:rStyle w:val="AERtextitalic"/>
        </w:rPr>
        <w:t>The Fama-French model</w:t>
      </w:r>
      <w:r>
        <w:t>, 13 May 2014, p. 24.</w:t>
      </w:r>
      <w:r w:rsidRPr="003F1050">
        <w:t xml:space="preserve"> </w:t>
      </w:r>
      <w:r>
        <w:t>SFG</w:t>
      </w:r>
      <w:r w:rsidRPr="003F1050">
        <w:t xml:space="preserve"> suggests that the AER should use an approach akin to that in Brailsford, Tim, Clive Gaunt and Mich</w:t>
      </w:r>
      <w:r>
        <w:t>ael O’Brien (2012a), ‘Size and book-to-market f</w:t>
      </w:r>
      <w:r w:rsidRPr="003F1050">
        <w:t xml:space="preserve">actors in Australia’, </w:t>
      </w:r>
      <w:r w:rsidRPr="00A7613A">
        <w:rPr>
          <w:rStyle w:val="AERtextitalic"/>
        </w:rPr>
        <w:t>Australian Journal of Management</w:t>
      </w:r>
      <w:r>
        <w:t>,</w:t>
      </w:r>
      <w:r w:rsidRPr="003F1050">
        <w:t xml:space="preserve"> 37, pp. 261</w:t>
      </w:r>
      <w:r>
        <w:rPr>
          <w:rFonts w:cs="Gautami"/>
        </w:rPr>
        <w:t>–</w:t>
      </w:r>
      <w:r w:rsidRPr="003F1050">
        <w:t>81.</w:t>
      </w:r>
    </w:p>
  </w:footnote>
  <w:footnote w:id="729">
    <w:p w:rsidR="003F1AAB" w:rsidRDefault="003F1AAB" w:rsidP="0010250E">
      <w:pPr>
        <w:pStyle w:val="FootnoteText"/>
      </w:pPr>
      <w:r>
        <w:rPr>
          <w:rStyle w:val="FootnoteReference"/>
        </w:rPr>
        <w:footnoteRef/>
      </w:r>
      <w:r>
        <w:t xml:space="preserve"> </w:t>
      </w:r>
      <w:r>
        <w:tab/>
      </w:r>
      <w:r w:rsidRPr="003F1050">
        <w:t xml:space="preserve">NERA, </w:t>
      </w:r>
      <w:r w:rsidRPr="00A7613A">
        <w:rPr>
          <w:rStyle w:val="AERtextitalic"/>
        </w:rPr>
        <w:t>The Fama</w:t>
      </w:r>
      <w:r>
        <w:rPr>
          <w:rStyle w:val="AERtextitalic"/>
          <w:rFonts w:cs="Gautami"/>
        </w:rPr>
        <w:t>–</w:t>
      </w:r>
      <w:r w:rsidRPr="00A7613A">
        <w:rPr>
          <w:rStyle w:val="AERtextitalic"/>
        </w:rPr>
        <w:t>French Three</w:t>
      </w:r>
      <w:r>
        <w:rPr>
          <w:rStyle w:val="AERtextitalic"/>
          <w:rFonts w:cs="Gautami"/>
        </w:rPr>
        <w:t>–</w:t>
      </w:r>
      <w:r w:rsidRPr="00A7613A">
        <w:rPr>
          <w:rStyle w:val="AERtextitalic"/>
        </w:rPr>
        <w:t xml:space="preserve">Factor Model A report for the </w:t>
      </w:r>
      <w:r>
        <w:rPr>
          <w:rStyle w:val="AERtextitalic"/>
        </w:rPr>
        <w:t>ENA</w:t>
      </w:r>
      <w:r w:rsidRPr="003F1050">
        <w:t>, October 2013</w:t>
      </w:r>
      <w:r>
        <w:t>, p. 31</w:t>
      </w:r>
      <w:r w:rsidRPr="003F1050">
        <w:t>.</w:t>
      </w:r>
    </w:p>
  </w:footnote>
  <w:footnote w:id="730">
    <w:p w:rsidR="003F1AAB" w:rsidRDefault="003F1AAB" w:rsidP="0010250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731">
    <w:p w:rsidR="003F1AAB" w:rsidRDefault="003F1AAB" w:rsidP="0010250E">
      <w:pPr>
        <w:pStyle w:val="FootnoteText"/>
      </w:pPr>
      <w:r>
        <w:rPr>
          <w:rStyle w:val="FootnoteReference"/>
        </w:rPr>
        <w:footnoteRef/>
      </w:r>
      <w:r>
        <w:t xml:space="preserve"> </w:t>
      </w:r>
      <w:r>
        <w:tab/>
        <w:t xml:space="preserve">SFG, </w:t>
      </w:r>
      <w:r w:rsidRPr="00784F19">
        <w:rPr>
          <w:rStyle w:val="AERtextitalic"/>
        </w:rPr>
        <w:t>The Fama-French model</w:t>
      </w:r>
      <w:r>
        <w:t>, 13 May 2014, p. 24.</w:t>
      </w:r>
    </w:p>
  </w:footnote>
  <w:footnote w:id="732">
    <w:p w:rsidR="003F1AAB" w:rsidRDefault="003F1AAB" w:rsidP="0010250E">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733">
    <w:p w:rsidR="003F1AAB" w:rsidRDefault="003F1AAB" w:rsidP="0010250E">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 18.</w:t>
      </w:r>
    </w:p>
  </w:footnote>
  <w:footnote w:id="734">
    <w:p w:rsidR="003F1AAB" w:rsidRDefault="003F1AAB" w:rsidP="0010250E">
      <w:pPr>
        <w:pStyle w:val="FootnoteText"/>
      </w:pPr>
      <w:r>
        <w:rPr>
          <w:rStyle w:val="FootnoteReference"/>
        </w:rPr>
        <w:footnoteRef/>
      </w:r>
      <w:r>
        <w:t xml:space="preserve"> </w:t>
      </w:r>
      <w:r>
        <w:tab/>
        <w:t xml:space="preserve">These include the risk of financial distress, exposure to changes in expected economic growth and asymmetric exposure to market conditions. See SFG, </w:t>
      </w:r>
      <w:r w:rsidRPr="007B50B1">
        <w:rPr>
          <w:rStyle w:val="AERtextitalic"/>
        </w:rPr>
        <w:t>The Fama–French model</w:t>
      </w:r>
      <w:r>
        <w:t>, 13 May 2014, pp. 30</w:t>
      </w:r>
      <w:r>
        <w:rPr>
          <w:rFonts w:cs="Gautami"/>
        </w:rPr>
        <w:t>–</w:t>
      </w:r>
      <w:r>
        <w:t>32.</w:t>
      </w:r>
    </w:p>
  </w:footnote>
  <w:footnote w:id="735">
    <w:p w:rsidR="003F1AAB" w:rsidRDefault="003F1AAB" w:rsidP="0010250E">
      <w:pPr>
        <w:pStyle w:val="FootnoteText"/>
      </w:pPr>
      <w:r>
        <w:rPr>
          <w:rStyle w:val="FootnoteReference"/>
        </w:rPr>
        <w:footnoteRef/>
      </w:r>
      <w:r>
        <w:t xml:space="preserve"> </w:t>
      </w:r>
      <w:r>
        <w:tab/>
        <w:t>SFG observed that these three theories, '</w:t>
      </w:r>
      <w:r w:rsidRPr="0013400D">
        <w:t>is not an exhaustive list of specific theoretical explanations for the performance of the Fama-French model. It represents three prominent theories that have empirical support. In the two decades since the publication by Fama and French (1993) an exhaustive literature has been devoted to theoretical explanations for the explanatory power of SMB and HML</w:t>
      </w:r>
      <w:r>
        <w:t xml:space="preserve">'. See SFG, </w:t>
      </w:r>
      <w:r w:rsidRPr="001943F6">
        <w:rPr>
          <w:rStyle w:val="AERtextitalic"/>
        </w:rPr>
        <w:t>The Fama–French model</w:t>
      </w:r>
      <w:r>
        <w:t xml:space="preserve">, 13 May 2014, p. 32. McKenzie and Partington discussed this in </w:t>
      </w:r>
      <w:r w:rsidRPr="003034B8">
        <w:rPr>
          <w:rStyle w:val="AERtextitalic"/>
        </w:rPr>
        <w:t>Report to the AER, Part A: Return on equity</w:t>
      </w:r>
      <w:r>
        <w:t>, October 2014, pp. 15</w:t>
      </w:r>
      <w:r>
        <w:rPr>
          <w:rFonts w:cs="Arial"/>
        </w:rPr>
        <w:t>–</w:t>
      </w:r>
      <w:r>
        <w:t xml:space="preserve">19, where they referenced </w:t>
      </w:r>
      <w:r w:rsidRPr="000B2150">
        <w:t>Lewellen, Nagel and Shanken</w:t>
      </w:r>
      <w:r>
        <w:t>'s observation that, '</w:t>
      </w:r>
      <w:r w:rsidRPr="000B2150">
        <w:t>one gets the uneasy feeling that it seems a bit too easy to explain the size and B/M effects</w:t>
      </w:r>
      <w:r>
        <w:t>'. See Lewellen, Nagel and Shanken, '</w:t>
      </w:r>
      <w:r w:rsidRPr="000B2150">
        <w:t xml:space="preserve">‘A sceptical appraisal of asset pricing tests’, </w:t>
      </w:r>
      <w:r w:rsidRPr="003034B8">
        <w:rPr>
          <w:rStyle w:val="AERtextitalic"/>
        </w:rPr>
        <w:t>Journal of Financial Economics</w:t>
      </w:r>
      <w:r w:rsidRPr="000B2150">
        <w:t xml:space="preserve">, </w:t>
      </w:r>
      <w:r>
        <w:t xml:space="preserve">2010, </w:t>
      </w:r>
      <w:r w:rsidRPr="000B2150">
        <w:t>96</w:t>
      </w:r>
      <w:r>
        <w:t>, p. 175.</w:t>
      </w:r>
    </w:p>
  </w:footnote>
  <w:footnote w:id="736">
    <w:p w:rsidR="003F1AAB" w:rsidRDefault="003F1AAB" w:rsidP="0010250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294; ; Powercor, </w:t>
      </w:r>
      <w:r w:rsidRPr="00C45E85">
        <w:rPr>
          <w:rStyle w:val="Emphasis"/>
        </w:rPr>
        <w:t>Revised regulatory proposal 2016–2020,</w:t>
      </w:r>
      <w:r w:rsidRPr="00C45E85">
        <w:t xml:space="preserve"> January 2016, p. 288;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69; United Energy, </w:t>
      </w:r>
      <w:r w:rsidRPr="00C45E85">
        <w:rPr>
          <w:rStyle w:val="Emphasis"/>
        </w:rPr>
        <w:t>Response to AER preliminary determination–Re: rate of return and gamma</w:t>
      </w:r>
      <w:r w:rsidRPr="00C45E85">
        <w:t xml:space="preserve">, 6 January 2016, pp. 50; AGN, </w:t>
      </w:r>
      <w:r w:rsidRPr="00C45E85">
        <w:rPr>
          <w:rStyle w:val="Emphasis"/>
        </w:rPr>
        <w:t>2016–17 to 2020/21 Access Arrangement information response to draft decision: Attachment 10.26 Response to draft decision: rate of return</w:t>
      </w:r>
      <w:r w:rsidRPr="00C45E85">
        <w:t xml:space="preserve">, January 2016, pp. 55–56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55; AusNet Services, </w:t>
      </w:r>
      <w:r w:rsidRPr="00C45E85">
        <w:rPr>
          <w:rStyle w:val="Emphasis"/>
        </w:rPr>
        <w:t>Electricity distribution price review 2016–20 Revised regulatory proposal: Chapter 7 Rate of return &amp; gamma</w:t>
      </w:r>
      <w:r w:rsidRPr="00C45E85">
        <w:t xml:space="preserve">, 6 January 2016, pp, 49–50; APTNT, </w:t>
      </w:r>
      <w:r w:rsidRPr="00C45E85">
        <w:rPr>
          <w:rStyle w:val="Emphasis"/>
        </w:rPr>
        <w:t>Amadeus Gas Pipeline access arrangement revision proposal</w:t>
      </w:r>
      <w:r w:rsidRPr="00C45E85">
        <w:t>, August 2015, pp. 126–128.</w:t>
      </w:r>
    </w:p>
    <w:p w:rsidR="003F1AAB" w:rsidRDefault="003F1AAB" w:rsidP="0010250E">
      <w:pPr>
        <w:pStyle w:val="FootnoteText"/>
      </w:pPr>
      <w:r>
        <w:tab/>
        <w:t>AusNet Services</w:t>
      </w:r>
      <w:r w:rsidRPr="00172CD0">
        <w:rPr>
          <w:rStyle w:val="AERtextitalic"/>
        </w:rPr>
        <w:t>, AusNet Transmission Group Pty Ltd transmission revenue review 2017–2022</w:t>
      </w:r>
      <w:r>
        <w:t>, 30 October 2015, pp. 210–211.</w:t>
      </w:r>
    </w:p>
  </w:footnote>
  <w:footnote w:id="737">
    <w:p w:rsidR="003F1AAB" w:rsidRDefault="003F1AAB" w:rsidP="0010250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5.</w:t>
      </w:r>
    </w:p>
  </w:footnote>
  <w:footnote w:id="738">
    <w:p w:rsidR="003F1AAB" w:rsidRDefault="003F1AAB" w:rsidP="0010250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286, 292; Powercor, </w:t>
      </w:r>
      <w:r w:rsidRPr="00C45E85">
        <w:rPr>
          <w:rStyle w:val="Emphasis"/>
        </w:rPr>
        <w:t>Revised regulatory proposal 2016–2020,</w:t>
      </w:r>
      <w:r w:rsidRPr="00C45E85">
        <w:t xml:space="preserve"> January 2016, pp. 280, 286; ActewAGL, </w:t>
      </w:r>
      <w:r w:rsidRPr="00C45E85">
        <w:rPr>
          <w:rStyle w:val="Emphasis"/>
        </w:rPr>
        <w:t>Revised 2016–21 access ar</w:t>
      </w:r>
      <w:r>
        <w:rPr>
          <w:rStyle w:val="Emphasis"/>
        </w:rPr>
        <w:t>r</w:t>
      </w:r>
      <w:r w:rsidRPr="00C45E85">
        <w:rPr>
          <w:rStyle w:val="Emphasis"/>
        </w:rPr>
        <w:t>angement proposal Response to the AER's draft decision, Appendix 5.01 Detailed response to rate of return, gamma and inflation</w:t>
      </w:r>
      <w:r w:rsidRPr="00C45E85">
        <w:t xml:space="preserve">, January 2016, pp.57–60, 66–67; United Energy, </w:t>
      </w:r>
      <w:r w:rsidRPr="00C45E85">
        <w:rPr>
          <w:rStyle w:val="Emphasis"/>
        </w:rPr>
        <w:t>Response to AER preliminary determination–Re: rate of return and gamma</w:t>
      </w:r>
      <w:r w:rsidRPr="00C45E85">
        <w:t xml:space="preserve">, 6 January 2016, pp. 41–45, 50; AGN, </w:t>
      </w:r>
      <w:r w:rsidRPr="00C45E85">
        <w:rPr>
          <w:rStyle w:val="Emphasis"/>
        </w:rPr>
        <w:t>2016–17 to 2020/21 Access Arrangement information response to draft decision: Attachment 10.26 Response to draft decision: rate of return</w:t>
      </w:r>
      <w:r w:rsidRPr="00C45E85">
        <w:t xml:space="preserve">, January 2016, pp. 46–50, 54–55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46–51, 54–55; AusNet Services, </w:t>
      </w:r>
      <w:r w:rsidRPr="00C45E85">
        <w:rPr>
          <w:rStyle w:val="Emphasis"/>
        </w:rPr>
        <w:t>Electricity distribution price review 2016–20 Revised regulatory proposal: Chapter 7 Rate of return &amp; gamma</w:t>
      </w:r>
      <w:r w:rsidRPr="00C45E85">
        <w:t xml:space="preserve">, 6 January 2016, pp. 41–50; APTNT, </w:t>
      </w:r>
      <w:r w:rsidRPr="00C45E85">
        <w:rPr>
          <w:rStyle w:val="Emphasis"/>
        </w:rPr>
        <w:t>Amadeus Gas Pipeline Access arrangement revised proposal: response to Draft Decision,</w:t>
      </w:r>
      <w:r w:rsidRPr="00C45E85">
        <w:t xml:space="preserve"> January 2016, pp. 68–73.</w:t>
      </w:r>
    </w:p>
    <w:p w:rsidR="003F1AAB" w:rsidRDefault="003F1AAB" w:rsidP="0010250E">
      <w:pPr>
        <w:pStyle w:val="FootnoteText"/>
      </w:pPr>
      <w:r>
        <w:tab/>
        <w:t>AusNet Services</w:t>
      </w:r>
      <w:r w:rsidRPr="00172CD0">
        <w:rPr>
          <w:rStyle w:val="AERtextitalic"/>
        </w:rPr>
        <w:t>, AusNet Transmission Group Pty Ltd transmission revenue review 2017–2022</w:t>
      </w:r>
      <w:r>
        <w:t>, 30 October 2015, pp. 214–215, 217, 250–263.</w:t>
      </w:r>
    </w:p>
  </w:footnote>
  <w:footnote w:id="739">
    <w:p w:rsidR="003F1AAB" w:rsidRDefault="003F1AAB" w:rsidP="0010250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40.</w:t>
      </w:r>
    </w:p>
  </w:footnote>
  <w:footnote w:id="740">
    <w:p w:rsidR="003F1AAB" w:rsidRDefault="003F1AAB" w:rsidP="0010250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38. Partington and Satchell noted  that , f</w:t>
      </w:r>
      <w:r w:rsidRPr="00615EDE">
        <w:t>or example, adding a momentum factor to the Fama and French three factor (FF3) model improves the power of the model to forecast returns, but the regulated businesses while arguing for the FF3 model do not suggest that momentum determines the cost of capital for long term projects. Since momentum is short lived it is not appropriate as a determinant of equilibrium expected returns in the long term.</w:t>
      </w:r>
    </w:p>
  </w:footnote>
  <w:footnote w:id="741">
    <w:p w:rsidR="003F1AAB" w:rsidRDefault="003F1AAB" w:rsidP="0010250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46-48.</w:t>
      </w:r>
    </w:p>
  </w:footnote>
  <w:footnote w:id="742">
    <w:p w:rsidR="003F1AAB" w:rsidRDefault="003F1AAB" w:rsidP="0010250E">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p>
  </w:footnote>
  <w:footnote w:id="743">
    <w:p w:rsidR="003F1AAB" w:rsidRDefault="003F1AAB" w:rsidP="0010250E">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744">
    <w:p w:rsidR="003F1AAB" w:rsidRDefault="003F1AAB" w:rsidP="0010250E">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745">
    <w:p w:rsidR="003F1AAB" w:rsidRDefault="003F1AAB" w:rsidP="0010250E">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746">
    <w:p w:rsidR="003F1AAB" w:rsidRDefault="003F1AAB" w:rsidP="0010250E">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747">
    <w:p w:rsidR="003F1AAB" w:rsidRDefault="003F1AAB" w:rsidP="0010250E">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p>
  </w:footnote>
  <w:footnote w:id="748">
    <w:p w:rsidR="003F1AAB" w:rsidRDefault="003F1AAB" w:rsidP="0010250E">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749">
    <w:p w:rsidR="003F1AAB" w:rsidRDefault="003F1AAB" w:rsidP="0010250E">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750">
    <w:p w:rsidR="003F1AAB" w:rsidRDefault="003F1AAB" w:rsidP="0010250E">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751">
    <w:p w:rsidR="003F1AAB" w:rsidRDefault="003F1AAB" w:rsidP="0010250E">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752">
    <w:p w:rsidR="003F1AAB" w:rsidRDefault="003F1AAB" w:rsidP="0010250E">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753">
    <w:p w:rsidR="003F1AAB" w:rsidRDefault="003F1AAB" w:rsidP="0010250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26–40; Partington, </w:t>
      </w:r>
      <w:r>
        <w:rPr>
          <w:rStyle w:val="AERtextitalic"/>
        </w:rPr>
        <w:t>Report to the AER: Return on equity (updated), April 2015</w:t>
      </w:r>
      <w:r>
        <w:t xml:space="preserve">, p. 12; Partington &amp; Satchell, </w:t>
      </w:r>
      <w:r w:rsidRPr="00134BB5">
        <w:rPr>
          <w:rStyle w:val="AERtextitalic"/>
        </w:rPr>
        <w:t>Report to the AER: return on equity and comment on submissions in relation to JGN</w:t>
      </w:r>
      <w:r>
        <w:t xml:space="preserve">, May 2015, p. 6; </w:t>
      </w:r>
      <w:r w:rsidRPr="008E0D8F">
        <w:t xml:space="preserve">Partington &amp; Satchell, </w:t>
      </w:r>
      <w:r w:rsidRPr="008E0D8F">
        <w:rPr>
          <w:rStyle w:val="AERtextitalic"/>
        </w:rPr>
        <w:t xml:space="preserve">Report to the AER: Analysis of criticism of 2015 determinations, </w:t>
      </w:r>
      <w:r w:rsidRPr="008E0D8F">
        <w:t>October 2015</w:t>
      </w:r>
      <w:r>
        <w:t xml:space="preserve">, p. 15.  </w:t>
      </w:r>
    </w:p>
  </w:footnote>
  <w:footnote w:id="754">
    <w:p w:rsidR="003F1AAB" w:rsidRDefault="003F1AAB" w:rsidP="0010250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39–40; Partington, </w:t>
      </w:r>
      <w:r>
        <w:rPr>
          <w:rStyle w:val="AERtextitalic"/>
        </w:rPr>
        <w:t>Report to the AER: Return on equity (updated), April 2015</w:t>
      </w:r>
      <w:r>
        <w:t>, pp. 58–59.</w:t>
      </w:r>
    </w:p>
  </w:footnote>
  <w:footnote w:id="755">
    <w:p w:rsidR="003F1AAB" w:rsidRDefault="003F1AAB" w:rsidP="0010250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26</w:t>
      </w:r>
      <w:r>
        <w:rPr>
          <w:rFonts w:cs="Gautami"/>
        </w:rPr>
        <w:t>–</w:t>
      </w:r>
      <w:r>
        <w:t xml:space="preserve">36; Partington, </w:t>
      </w:r>
      <w:r>
        <w:rPr>
          <w:rStyle w:val="AERtextitalic"/>
        </w:rPr>
        <w:t>Report to the AER: Return on equity (updated), April 2015</w:t>
      </w:r>
      <w:r>
        <w:t>, pp. 46–56.</w:t>
      </w:r>
    </w:p>
  </w:footnote>
  <w:footnote w:id="756">
    <w:p w:rsidR="003F1AAB" w:rsidRDefault="003F1AAB" w:rsidP="0010250E">
      <w:pPr>
        <w:pStyle w:val="FootnoteText"/>
      </w:pPr>
      <w:r>
        <w:rPr>
          <w:rStyle w:val="FootnoteReference"/>
        </w:rPr>
        <w:footnoteRef/>
      </w:r>
      <w:r>
        <w:t xml:space="preserve"> </w:t>
      </w:r>
      <w:r>
        <w:tab/>
        <w:t xml:space="preserve">Handley, </w:t>
      </w:r>
      <w:r w:rsidRPr="002E7096">
        <w:rPr>
          <w:rStyle w:val="AERtextitalic"/>
        </w:rPr>
        <w:t>Advice on the return on equit</w:t>
      </w:r>
      <w:r w:rsidRPr="002E7096">
        <w:t>y</w:t>
      </w:r>
      <w:r>
        <w:t>, 16 October 2014, pp. 13</w:t>
      </w:r>
      <w:r>
        <w:rPr>
          <w:rFonts w:cs="Gautami"/>
        </w:rPr>
        <w:t>–</w:t>
      </w:r>
      <w:r>
        <w:t>14.</w:t>
      </w:r>
    </w:p>
  </w:footnote>
  <w:footnote w:id="757">
    <w:p w:rsidR="003F1AAB" w:rsidRDefault="003F1AAB" w:rsidP="0010250E">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14.</w:t>
      </w:r>
    </w:p>
  </w:footnote>
  <w:footnote w:id="758">
    <w:p w:rsidR="003F1AAB" w:rsidRDefault="003F1AAB" w:rsidP="0010250E">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15.</w:t>
      </w:r>
    </w:p>
  </w:footnote>
  <w:footnote w:id="759">
    <w:p w:rsidR="003F1AAB" w:rsidRDefault="003F1AAB" w:rsidP="0010250E">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760">
    <w:p w:rsidR="003F1AAB" w:rsidRDefault="003F1AAB" w:rsidP="0010250E">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761">
    <w:p w:rsidR="003F1AAB" w:rsidRDefault="003F1AAB" w:rsidP="0010250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pp. 286–298; Powercor, </w:t>
      </w:r>
      <w:r w:rsidRPr="00C45E85">
        <w:rPr>
          <w:rStyle w:val="Emphasis"/>
        </w:rPr>
        <w:t>Revised regulatory proposal 2016–2020</w:t>
      </w:r>
      <w:r w:rsidRPr="00C45E85">
        <w:t xml:space="preserve">, January 2016, pp. 280–292; ActewAGL, </w:t>
      </w:r>
      <w:r w:rsidRPr="00C45E85">
        <w:rPr>
          <w:rStyle w:val="Emphasis"/>
        </w:rPr>
        <w:t>Revised 2016–21 access arrangement proposal Response to the AER's draft decision, Appendix 5.01 Detailed response to rate of return, gamma and inflation</w:t>
      </w:r>
      <w:r w:rsidRPr="00C45E85">
        <w:t xml:space="preserve">, January 2016, pp. 64–72; United Energy, </w:t>
      </w:r>
      <w:r w:rsidRPr="00C45E85">
        <w:rPr>
          <w:rStyle w:val="Emphasis"/>
        </w:rPr>
        <w:t>Response to AER preliminary determination–Re: rate of return and gamma</w:t>
      </w:r>
      <w:r w:rsidRPr="00C45E85">
        <w:t xml:space="preserve">, 6 January 2016, pp. 47–52; AGN, </w:t>
      </w:r>
      <w:r w:rsidRPr="00C45E85">
        <w:rPr>
          <w:rStyle w:val="Emphasis"/>
        </w:rPr>
        <w:t>2016–17 to 2020/21 Access Arrangement information response to draft decision: Attachment 10.26 Response to draft decision: rate of return</w:t>
      </w:r>
      <w:r w:rsidRPr="00C45E85">
        <w:t xml:space="preserve">, January 2016, pp. 52–58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52–58; AusNet Services, </w:t>
      </w:r>
      <w:r w:rsidRPr="00C45E85">
        <w:rPr>
          <w:rStyle w:val="Emphasis"/>
        </w:rPr>
        <w:t>Electricity distribution price review 2016–20 Revised regulatory proposal: Chapter 7 Rate of return &amp; gamma</w:t>
      </w:r>
      <w:r w:rsidRPr="00C45E85">
        <w:t xml:space="preserve">, 6 January 2016, pp. 39–40, 46–52; APTNT, </w:t>
      </w:r>
      <w:r w:rsidRPr="00C45E85">
        <w:rPr>
          <w:rStyle w:val="Emphasis"/>
        </w:rPr>
        <w:t>Amadeus Gas Pipeline access arrangement revision proposal</w:t>
      </w:r>
      <w:r w:rsidRPr="00C45E85">
        <w:t>, August 2015, pp. 120–123.</w:t>
      </w:r>
      <w:r>
        <w:t xml:space="preserve">; </w:t>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January 2016</w:t>
      </w:r>
      <w:r>
        <w:t xml:space="preserve">, pp. 17-20 &amp; 28–31. Service providers instead submitted that our foundation model approach prevents us from having any real regard to the dividend growth model and to conclude erroneously that the Sharpe-Linter CAPM is the superior return on equity model and produces unbiased estimates. We respond to this submission in section </w:t>
      </w:r>
      <w:r>
        <w:fldChar w:fldCharType="begin"/>
      </w:r>
      <w:r>
        <w:instrText xml:space="preserve"> REF _Ref448871343 \r \h </w:instrText>
      </w:r>
      <w:r>
        <w:fldChar w:fldCharType="separate"/>
      </w:r>
      <w:r>
        <w:t>A</w:t>
      </w:r>
      <w:r>
        <w:fldChar w:fldCharType="end"/>
      </w:r>
      <w:r>
        <w:t xml:space="preserve">. Service providers also submitted that SFG's construction of the dividend growth model is robust, we assess SFG's model in section </w:t>
      </w:r>
      <w:r>
        <w:fldChar w:fldCharType="begin"/>
      </w:r>
      <w:r>
        <w:instrText xml:space="preserve"> REF _Ref449021062 \r \h </w:instrText>
      </w:r>
      <w:r>
        <w:fldChar w:fldCharType="separate"/>
      </w:r>
      <w:r>
        <w:t>B.4.1</w:t>
      </w:r>
      <w:r>
        <w:fldChar w:fldCharType="end"/>
      </w:r>
      <w:r>
        <w:t>.</w:t>
      </w:r>
    </w:p>
    <w:p w:rsidR="003F1AAB" w:rsidRDefault="003F1AAB" w:rsidP="0010250E">
      <w:pPr>
        <w:pStyle w:val="FootnoteText"/>
      </w:pPr>
      <w:r>
        <w:tab/>
        <w:t>AusNet Services</w:t>
      </w:r>
      <w:r w:rsidRPr="00172CD0">
        <w:rPr>
          <w:rStyle w:val="AERtextitalic"/>
        </w:rPr>
        <w:t>, AusNet Transmission Group Pty Ltd transmission revenue review 2017–2022</w:t>
      </w:r>
      <w:r>
        <w:t>, 30 October 2015, pp. 200–223, 244–250.</w:t>
      </w:r>
    </w:p>
  </w:footnote>
  <w:footnote w:id="762">
    <w:p w:rsidR="003F1AAB" w:rsidRDefault="003F1AAB" w:rsidP="0010250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27–28.</w:t>
      </w:r>
    </w:p>
  </w:footnote>
  <w:footnote w:id="763">
    <w:p w:rsidR="003F1AAB" w:rsidRDefault="003F1AAB" w:rsidP="0010250E">
      <w:pPr>
        <w:pStyle w:val="FootnoteText"/>
      </w:pPr>
      <w:r>
        <w:rPr>
          <w:rStyle w:val="FootnoteReference"/>
        </w:rPr>
        <w:footnoteRef/>
      </w:r>
      <w:r>
        <w:t xml:space="preserve"> </w:t>
      </w:r>
      <w:r>
        <w:tab/>
        <w:t>Service providers submitted several SFG reports on this DGM</w:t>
      </w:r>
      <w:r w:rsidRPr="001C657E">
        <w:t xml:space="preserve"> </w:t>
      </w:r>
      <w:r>
        <w:t xml:space="preserve">construction. For the most recent report, see SFG, </w:t>
      </w:r>
      <w:r w:rsidRPr="006E7782">
        <w:rPr>
          <w:rStyle w:val="AERtextitalic"/>
        </w:rPr>
        <w:t>Share prices, the DDM and the cost of equity for the market and a benchmark energy network</w:t>
      </w:r>
      <w:r>
        <w:t xml:space="preserve">, February 2015. </w:t>
      </w:r>
    </w:p>
  </w:footnote>
  <w:footnote w:id="764">
    <w:p w:rsidR="003F1AAB" w:rsidRDefault="003F1AAB" w:rsidP="0010250E">
      <w:pPr>
        <w:pStyle w:val="FootnoteText"/>
      </w:pPr>
      <w:r>
        <w:rPr>
          <w:rStyle w:val="FootnoteReference"/>
        </w:rPr>
        <w:footnoteRef/>
      </w:r>
      <w:r>
        <w:t xml:space="preserve"> </w:t>
      </w:r>
      <w:r>
        <w:tab/>
      </w:r>
      <w:r w:rsidRPr="002220FC">
        <w:t xml:space="preserve">ActewAGL, </w:t>
      </w:r>
      <w:r w:rsidRPr="002220FC">
        <w:rPr>
          <w:rStyle w:val="AERtextitalic"/>
        </w:rPr>
        <w:t>Access Arrangement Information for the 2016-21 ACT, Queanbeyan and Palerang Access Arrangement, Appendix 8.02: Return on equity-detailed proposal, Submission to the Australian Energy Regulator</w:t>
      </w:r>
      <w:r w:rsidRPr="002220FC">
        <w:t xml:space="preserve">,  June 2015, p. </w:t>
      </w:r>
      <w:r>
        <w:t>45–50</w:t>
      </w:r>
      <w:r w:rsidRPr="002220FC">
        <w:t>; AP</w:t>
      </w:r>
      <w:r>
        <w:t>TNT</w:t>
      </w:r>
      <w:r w:rsidRPr="002220FC">
        <w:t xml:space="preserve">, </w:t>
      </w:r>
      <w:r w:rsidRPr="002220FC">
        <w:rPr>
          <w:rStyle w:val="AERtextitalic"/>
        </w:rPr>
        <w:t>Amadeus Gas Pipeline: Access Arrangement Revision Proposal</w:t>
      </w:r>
      <w:r w:rsidRPr="002220FC">
        <w:t xml:space="preserve">, August 2015, p. </w:t>
      </w:r>
      <w:r>
        <w:t>136–138</w:t>
      </w:r>
      <w:r w:rsidRPr="002220FC">
        <w:t xml:space="preserve">; AGN, </w:t>
      </w:r>
      <w:r w:rsidRPr="002220FC">
        <w:rPr>
          <w:rStyle w:val="AERtextitalic"/>
        </w:rPr>
        <w:t>2016/17 to 2020/21 Access Arrangement Information, Attachment 10.1: Rate of Return</w:t>
      </w:r>
      <w:r w:rsidRPr="002220FC">
        <w:t xml:space="preserve">, July 2015, 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Powercor,</w:t>
      </w:r>
      <w:r>
        <w:t xml:space="preserve"> </w:t>
      </w:r>
      <w:r w:rsidRPr="00391C78">
        <w:rPr>
          <w:rStyle w:val="AERtextitalic"/>
        </w:rPr>
        <w:t>Regulatory proposal 2016-2020</w:t>
      </w:r>
      <w:r w:rsidRPr="004B6B80">
        <w:t>, April 2015</w:t>
      </w:r>
      <w:r>
        <w:t xml:space="preserve">, p. 229–232; </w:t>
      </w:r>
      <w:r w:rsidRPr="002220FC">
        <w:t xml:space="preserve">Energex, </w:t>
      </w:r>
      <w:r w:rsidRPr="002220FC">
        <w:rPr>
          <w:rStyle w:val="AERtextitalic"/>
        </w:rPr>
        <w:t>2015-20 revised regulatory proposal</w:t>
      </w:r>
      <w:r w:rsidRPr="002220FC">
        <w:t xml:space="preserve">, July 2015, p. </w:t>
      </w:r>
      <w:r>
        <w:t>96–97 &amp; 101–103</w:t>
      </w:r>
      <w:r w:rsidRPr="002220FC">
        <w:t xml:space="preserve">; </w:t>
      </w:r>
      <w:r w:rsidRPr="001F096D">
        <w:t xml:space="preserve">Ergon Energy, </w:t>
      </w:r>
      <w:r w:rsidRPr="00391C78">
        <w:rPr>
          <w:rStyle w:val="AERtextitalic"/>
        </w:rPr>
        <w:t>Regulatory Proposal 2015-20 (revised),</w:t>
      </w:r>
      <w:r w:rsidRPr="001F096D">
        <w:t xml:space="preserve"> </w:t>
      </w:r>
      <w:r w:rsidRPr="00391C78">
        <w:rPr>
          <w:rStyle w:val="AERtextitalic"/>
        </w:rPr>
        <w:t>Appendix C: Rate of Return</w:t>
      </w:r>
      <w:r w:rsidRPr="001F096D">
        <w:t>, July 2015</w:t>
      </w:r>
      <w:r>
        <w:t xml:space="preserve">, p. 146–147; </w:t>
      </w:r>
      <w:r w:rsidRPr="002220FC">
        <w:t xml:space="preserve">SAPN, </w:t>
      </w:r>
      <w:r w:rsidRPr="002220FC">
        <w:rPr>
          <w:rStyle w:val="AERtextitalic"/>
        </w:rPr>
        <w:t>Revised Regulatory Proposal 2015-20</w:t>
      </w:r>
      <w:r w:rsidRPr="002220FC">
        <w:t>, July 2015, p. 3</w:t>
      </w:r>
      <w:r>
        <w:t>68</w:t>
      </w:r>
      <w:r w:rsidRPr="002220FC">
        <w:t xml:space="preserve">; Jemena Electricity Networks (Vic) Ltd, </w:t>
      </w:r>
      <w:r w:rsidRPr="002220FC">
        <w:rPr>
          <w:rStyle w:val="AERtextitalic"/>
        </w:rPr>
        <w:t>2016-20 Electricity Distribution Price Review Regulatory Proposal, Attachment 9-2, Rate of return proposal,</w:t>
      </w:r>
      <w:r w:rsidRPr="002220FC">
        <w:t xml:space="preserve"> April 2015, p</w:t>
      </w:r>
      <w:r>
        <w:t>. 81–85</w:t>
      </w:r>
      <w:r w:rsidRPr="002220FC">
        <w:t>.</w:t>
      </w:r>
      <w:r>
        <w:t xml:space="preserve"> </w:t>
      </w:r>
    </w:p>
    <w:p w:rsidR="003F1AAB" w:rsidRDefault="003F1AAB" w:rsidP="0010250E">
      <w:pPr>
        <w:pStyle w:val="FootnoteText"/>
      </w:pPr>
      <w:r>
        <w:tab/>
        <w:t>AusNet Services</w:t>
      </w:r>
      <w:r w:rsidRPr="00172CD0">
        <w:rPr>
          <w:rStyle w:val="AERtextitalic"/>
        </w:rPr>
        <w:t>, AusNet Transmission Group Pty Ltd transmission revenue review 2017–2022</w:t>
      </w:r>
      <w:r>
        <w:t>, 30 October 2015, pp. 196–223.</w:t>
      </w:r>
    </w:p>
  </w:footnote>
  <w:footnote w:id="765">
    <w:p w:rsidR="003F1AAB" w:rsidRDefault="003F1AAB" w:rsidP="0010250E">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30–33.</w:t>
      </w:r>
    </w:p>
  </w:footnote>
  <w:footnote w:id="766">
    <w:p w:rsidR="003F1AAB" w:rsidRDefault="003F1AAB" w:rsidP="0010250E">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58.</w:t>
      </w:r>
    </w:p>
  </w:footnote>
  <w:footnote w:id="767">
    <w:p w:rsidR="003F1AAB" w:rsidRDefault="003F1AAB" w:rsidP="0010250E">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30–31.</w:t>
      </w:r>
    </w:p>
  </w:footnote>
  <w:footnote w:id="768">
    <w:p w:rsidR="003F1AAB" w:rsidRDefault="003F1AAB" w:rsidP="0010250E">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40–41.</w:t>
      </w:r>
    </w:p>
  </w:footnote>
  <w:footnote w:id="769">
    <w:p w:rsidR="003F1AAB" w:rsidRDefault="003F1AAB" w:rsidP="0010250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34</w:t>
      </w:r>
      <w:r>
        <w:rPr>
          <w:rFonts w:cs="Gautami"/>
        </w:rPr>
        <w:t>–</w:t>
      </w:r>
      <w:r>
        <w:t xml:space="preserve">36; Partington, </w:t>
      </w:r>
      <w:r>
        <w:rPr>
          <w:rStyle w:val="AERtextitalic"/>
        </w:rPr>
        <w:t>Report to the AER: Return on equity (updated), April 2015</w:t>
      </w:r>
      <w:r>
        <w:t>, pp. 53–56.</w:t>
      </w:r>
    </w:p>
  </w:footnote>
  <w:footnote w:id="770">
    <w:p w:rsidR="003F1AAB" w:rsidRDefault="003F1AAB" w:rsidP="0010250E">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15 May 2014, pp. 48, 57, 65; SFG, </w:t>
      </w:r>
      <w:r w:rsidRPr="004132FB">
        <w:rPr>
          <w:rStyle w:val="AERtextitalic"/>
        </w:rPr>
        <w:t>Share prices, the dividend discount model and the cost of equity for the market and a benchmark energy network</w:t>
      </w:r>
      <w:r>
        <w:t xml:space="preserve">, </w:t>
      </w:r>
      <w:r w:rsidRPr="004132FB">
        <w:t>13 February 2015</w:t>
      </w:r>
      <w:r>
        <w:t>, pp. 24, 27, 31.</w:t>
      </w:r>
    </w:p>
  </w:footnote>
  <w:footnote w:id="771">
    <w:p w:rsidR="003F1AAB" w:rsidRDefault="003F1AAB" w:rsidP="0010250E">
      <w:pPr>
        <w:pStyle w:val="FootnoteText"/>
      </w:pPr>
      <w:r>
        <w:rPr>
          <w:rStyle w:val="FootnoteReference"/>
        </w:rPr>
        <w:footnoteRef/>
      </w:r>
      <w:r>
        <w:t xml:space="preserve"> </w:t>
      </w:r>
      <w:r>
        <w:tab/>
        <w:t xml:space="preserve">This is based on SFG's 2015 analysis, which uses a two month averaging period. A similar chart based on SFG's 2014 analysis can be found in our November draft decisions. For example, see: AER, </w:t>
      </w:r>
      <w:r w:rsidRPr="00194089">
        <w:rPr>
          <w:rStyle w:val="AERtextitalic"/>
        </w:rPr>
        <w:t>Draft decision: ActewAGL distribution determination 2015–16 to 2018–19—Attachment 3: Rate of return</w:t>
      </w:r>
      <w:r>
        <w:t>, November 2014,</w:t>
      </w:r>
      <w:r w:rsidRPr="00194089">
        <w:t xml:space="preserve"> </w:t>
      </w:r>
      <w:r>
        <w:t>p. 231.</w:t>
      </w:r>
    </w:p>
  </w:footnote>
  <w:footnote w:id="772">
    <w:p w:rsidR="003F1AAB" w:rsidRDefault="003F1AAB" w:rsidP="0010250E">
      <w:pPr>
        <w:pStyle w:val="FootnoteText"/>
      </w:pPr>
      <w:r>
        <w:rPr>
          <w:rStyle w:val="FootnoteReference"/>
        </w:rPr>
        <w:footnoteRef/>
      </w:r>
      <w:r>
        <w:t xml:space="preserve"> </w:t>
      </w:r>
      <w:r>
        <w:tab/>
        <w:t>We were unable were unable to replicate SFG's market risk premium, network risk premium and risk premium ratio series in Table 3 of its report because there appears to be an error in the risk free rate series presented by SFG. In Table 3 of SFG's report, the risk free rate series is identical to the market risk premium series. See: SFG,</w:t>
      </w:r>
      <w:r w:rsidRPr="00194089">
        <w:t xml:space="preserve"> </w:t>
      </w:r>
      <w:r w:rsidRPr="00194089">
        <w:rPr>
          <w:rStyle w:val="AERtextitalic"/>
        </w:rPr>
        <w:t>Share prices, the dividend discount model and the cost of equity for the market and a benchmark energy network</w:t>
      </w:r>
      <w:r w:rsidRPr="00194089">
        <w:t>, 13 February 2015</w:t>
      </w:r>
      <w:r>
        <w:t xml:space="preserve">, pp. 40–41 (table 3). We also note that this figure does not contain any more recent data as SFG has not updated its dividend growth model since its February 2015 report. </w:t>
      </w:r>
    </w:p>
  </w:footnote>
  <w:footnote w:id="773">
    <w:p w:rsidR="003F1AAB" w:rsidRDefault="003F1AAB" w:rsidP="0010250E">
      <w:pPr>
        <w:pStyle w:val="FootnoteText"/>
      </w:pPr>
      <w:r>
        <w:rPr>
          <w:rStyle w:val="FootnoteReference"/>
        </w:rPr>
        <w:footnoteRef/>
      </w:r>
      <w:r>
        <w:t xml:space="preserve"> </w:t>
      </w:r>
      <w:r>
        <w:tab/>
        <w:t xml:space="preserve">For example, see: Ausgrid, </w:t>
      </w:r>
      <w:r w:rsidRPr="005E5DB3">
        <w:rPr>
          <w:rStyle w:val="AERtextitalic"/>
        </w:rPr>
        <w:t>Regulatory proposal 1 July 2014 to 30 June 2019</w:t>
      </w:r>
      <w:r>
        <w:t>, 30 May 2014, p. 79.</w:t>
      </w:r>
    </w:p>
  </w:footnote>
  <w:footnote w:id="774">
    <w:p w:rsidR="003F1AAB" w:rsidRDefault="003F1AAB" w:rsidP="0010250E">
      <w:pPr>
        <w:pStyle w:val="FootnoteText"/>
      </w:pPr>
      <w:r>
        <w:rPr>
          <w:rStyle w:val="FootnoteReference"/>
        </w:rPr>
        <w:footnoteRef/>
      </w:r>
      <w:r>
        <w:t xml:space="preserve"> </w:t>
      </w:r>
      <w:r>
        <w:tab/>
      </w:r>
      <w:r w:rsidRPr="00C91846">
        <w:t xml:space="preserve">APTNT, </w:t>
      </w:r>
      <w:r w:rsidRPr="00C91846">
        <w:rPr>
          <w:rStyle w:val="AERtextitalic"/>
        </w:rPr>
        <w:t>Amadeus Gas Pipeline</w:t>
      </w:r>
      <w:r w:rsidRPr="00C91846">
        <w:t xml:space="preserve"> </w:t>
      </w:r>
      <w:r w:rsidRPr="00C91846">
        <w:rPr>
          <w:rStyle w:val="AERtextitalic"/>
        </w:rPr>
        <w:t>Access Arrangement Information Effective 1 July 2016 - 30 June 2021</w:t>
      </w:r>
      <w:r w:rsidRPr="00C91846">
        <w:t>, August 2015, p.</w:t>
      </w:r>
      <w:r>
        <w:t xml:space="preserve"> </w:t>
      </w:r>
      <w:r w:rsidRPr="00C91846">
        <w:t>21</w:t>
      </w:r>
      <w:r>
        <w:t xml:space="preserve">. However, </w:t>
      </w:r>
      <w:r w:rsidRPr="00273F0E">
        <w:t>APTNT proposed a DGM-based MRP in its January 2016 revised proposal</w:t>
      </w:r>
      <w:r>
        <w:t xml:space="preserve"> and argued that August 2015 proposal was not a Wright CAPM</w:t>
      </w:r>
      <w:r w:rsidRPr="00273F0E">
        <w:t xml:space="preserve">: APTNT, </w:t>
      </w:r>
      <w:r w:rsidRPr="00273F0E">
        <w:rPr>
          <w:rStyle w:val="Emphasis"/>
        </w:rPr>
        <w:t>Amadeus Gas Pipeline Access arrangement revised proposal: response to Draft Decision,</w:t>
      </w:r>
      <w:r w:rsidRPr="00273F0E">
        <w:t xml:space="preserve"> January 2016, pp. 75–77.</w:t>
      </w:r>
    </w:p>
  </w:footnote>
  <w:footnote w:id="775">
    <w:p w:rsidR="003F1AAB" w:rsidRDefault="003F1AAB" w:rsidP="0010250E">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rsidRPr="00273F0E">
        <w:t xml:space="preserve">, January 2016, pp. 309–310; AER, </w:t>
      </w:r>
      <w:r w:rsidRPr="00273F0E">
        <w:rPr>
          <w:rStyle w:val="AERtextitalic"/>
        </w:rPr>
        <w:t>Preliminary decision: CitiPower determination 2016 to 2020: Attachment 3 – Rate of return</w:t>
      </w:r>
      <w:r w:rsidRPr="00273F0E">
        <w:t xml:space="preserve">, October 2015, p. 507–510; Powercor, </w:t>
      </w:r>
      <w:r w:rsidRPr="00273F0E">
        <w:rPr>
          <w:rStyle w:val="Emphasis"/>
        </w:rPr>
        <w:t>Revised regulatory proposal 2016–2020</w:t>
      </w:r>
      <w:r w:rsidRPr="00273F0E">
        <w:t xml:space="preserve">, January 2016, pp. 303–304; AER, </w:t>
      </w:r>
      <w:r w:rsidRPr="00273F0E">
        <w:rPr>
          <w:rStyle w:val="AERtextitalic"/>
        </w:rPr>
        <w:t>Powercor Preliminary Decision - Attachment 3: Rate of Return</w:t>
      </w:r>
      <w:r w:rsidRPr="00273F0E">
        <w:t xml:space="preserve">, October 2015, p. 507–508; ActewAGL, </w:t>
      </w:r>
      <w:r w:rsidRPr="00273F0E">
        <w:rPr>
          <w:rStyle w:val="Emphasis"/>
        </w:rPr>
        <w:t>Revised 2016–21 access arrangement proposal Response to the AER's draft decision, Appendix 5.01 Detailed response to rate of return, gamma and inflation</w:t>
      </w:r>
      <w:r w:rsidRPr="00273F0E">
        <w:t xml:space="preserve">, January 2016, pp. 82–83; AER, </w:t>
      </w:r>
      <w:r w:rsidRPr="00273F0E">
        <w:rPr>
          <w:rStyle w:val="Emphasis"/>
        </w:rPr>
        <w:t>Draft decision ActewAGL distribution determination 2016 to 2021: Attachment 3 – Rate of return</w:t>
      </w:r>
      <w:r w:rsidRPr="00273F0E">
        <w:t xml:space="preserve">, November 2015, pp. 520–522; United Energy, </w:t>
      </w:r>
      <w:r w:rsidRPr="00273F0E">
        <w:rPr>
          <w:rStyle w:val="Emphasis"/>
        </w:rPr>
        <w:t>Response to AER preliminary determination–Re: rate of return and gamma</w:t>
      </w:r>
      <w:r w:rsidRPr="00273F0E">
        <w:t xml:space="preserve">, 6 January 2016, p. 61; AER, </w:t>
      </w:r>
      <w:r w:rsidRPr="00273F0E">
        <w:rPr>
          <w:rStyle w:val="Emphasis"/>
        </w:rPr>
        <w:t>Preliminary decision United Energy determination 2016 to 2020: Attachment 3 – Rate of return</w:t>
      </w:r>
      <w:r w:rsidRPr="00273F0E">
        <w:t xml:space="preserve">, October 2015, p. 510–512; AGN, </w:t>
      </w:r>
      <w:r w:rsidRPr="00273F0E">
        <w:rPr>
          <w:rStyle w:val="Emphasis"/>
        </w:rPr>
        <w:t>2016–17 to 2020/21 Access Arrangement information response to draft decision: Attachment 10.26 Response to draft decision: rate of return</w:t>
      </w:r>
      <w:r w:rsidRPr="00273F0E">
        <w:t xml:space="preserve">, January 2016, p. 66; AER, </w:t>
      </w:r>
      <w:r w:rsidRPr="00273F0E">
        <w:rPr>
          <w:rStyle w:val="Emphasis"/>
        </w:rPr>
        <w:t>Draft decision Australian Gas Networks access arrangement 2016 to 2021–Attachment 3: rate of return</w:t>
      </w:r>
      <w:r w:rsidRPr="00273F0E">
        <w:t>, November 2015, pp.  516–518</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xml:space="preserve">. 519–522; See also: CEG, </w:t>
      </w:r>
      <w:r w:rsidRPr="009E0C30">
        <w:rPr>
          <w:rStyle w:val="AERtextitalic"/>
        </w:rPr>
        <w:t>WACC estimates: A report for NSW DNSPs</w:t>
      </w:r>
      <w:r>
        <w:t>, May 2014, pp. 6</w:t>
      </w:r>
      <w:r w:rsidRPr="00BA2690">
        <w:t>–</w:t>
      </w:r>
      <w:r>
        <w:t xml:space="preserve">10; CEG, </w:t>
      </w:r>
      <w:r w:rsidRPr="00655754">
        <w:rPr>
          <w:rStyle w:val="AERtextitalic"/>
        </w:rPr>
        <w:t>Estimating the cost of equity, equity beta and MRP</w:t>
      </w:r>
      <w:r>
        <w:t xml:space="preserve">, January 2015; NERA, </w:t>
      </w:r>
      <w:r>
        <w:rPr>
          <w:rStyle w:val="AERtextitalic"/>
        </w:rPr>
        <w:t>Return on Capital of a Regulated Electricity Network: A report for Ashurst</w:t>
      </w:r>
      <w:r>
        <w:t xml:space="preserve">, May 2014, p. 81; Frontier, </w:t>
      </w:r>
      <w:r w:rsidRPr="00704FE3">
        <w:rPr>
          <w:rStyle w:val="AERtextitalic"/>
        </w:rPr>
        <w:t>Key issues in estimating the return on equity for the benchmark efficient entity</w:t>
      </w:r>
      <w:r>
        <w:t>, June 2015, pp. 10, 28–32, 54–55;</w:t>
      </w:r>
      <w:r w:rsidRPr="00897699">
        <w:t xml:space="preserve"> </w:t>
      </w:r>
      <w:r>
        <w:t xml:space="preserve">Frontier Economics, </w:t>
      </w:r>
      <w:r w:rsidRPr="00B40B94">
        <w:rPr>
          <w:rStyle w:val="AERtextitalic"/>
        </w:rPr>
        <w:t>The required return on equity under a foundation model approach</w:t>
      </w:r>
      <w:r>
        <w:t>, January 2016, p. 34.</w:t>
      </w:r>
    </w:p>
    <w:p w:rsidR="003F1AAB" w:rsidRDefault="003F1AAB" w:rsidP="0010250E">
      <w:pPr>
        <w:pStyle w:val="FootnoteText"/>
      </w:pPr>
      <w:r>
        <w:tab/>
        <w:t>AusNet Services</w:t>
      </w:r>
      <w:r w:rsidRPr="00172CD0">
        <w:rPr>
          <w:rStyle w:val="AERtextitalic"/>
        </w:rPr>
        <w:t>, AusNet Transmission Group Pty Ltd transmission revenue review 2017–2022</w:t>
      </w:r>
      <w:r>
        <w:t>, 30 October 2015, pp. 226, 232, 250, 252, 254 &amp; 263.</w:t>
      </w:r>
    </w:p>
  </w:footnote>
  <w:footnote w:id="776">
    <w:p w:rsidR="003F1AAB" w:rsidRDefault="003F1AAB" w:rsidP="0010250E">
      <w:pPr>
        <w:pStyle w:val="FootnoteText"/>
      </w:pPr>
      <w:r>
        <w:rPr>
          <w:rStyle w:val="FootnoteReference"/>
        </w:rPr>
        <w:footnoteRef/>
      </w:r>
      <w:r>
        <w:t xml:space="preserve"> </w:t>
      </w:r>
      <w:r>
        <w:tab/>
        <w:t xml:space="preserve">Bringham and Daves state, 'The CAPM is an ex ante model, which means that all of the variables represent before-the-fact, expected values'. See Bringham and Daves, </w:t>
      </w:r>
      <w:r w:rsidRPr="00D520C4">
        <w:rPr>
          <w:rStyle w:val="AERtextitalic"/>
        </w:rPr>
        <w:t>Intermediate financial management</w:t>
      </w:r>
      <w:r>
        <w:t>, Ed. 10, Cengage Learning, 2010, p. 53.</w:t>
      </w:r>
    </w:p>
  </w:footnote>
  <w:footnote w:id="777">
    <w:p w:rsidR="003F1AAB" w:rsidRDefault="003F1AAB" w:rsidP="0010250E">
      <w:pPr>
        <w:pStyle w:val="FootnoteText"/>
      </w:pPr>
      <w:r>
        <w:rPr>
          <w:rStyle w:val="FootnoteReference"/>
        </w:rPr>
        <w:footnoteRef/>
      </w:r>
      <w:r>
        <w:t xml:space="preserve"> </w:t>
      </w:r>
      <w:r>
        <w:tab/>
        <w:t xml:space="preserve">McKenzie and Partington advised 'the current market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778">
    <w:p w:rsidR="003F1AAB" w:rsidRDefault="003F1AAB" w:rsidP="0010250E">
      <w:pPr>
        <w:pStyle w:val="FootnoteText"/>
      </w:pPr>
      <w:r>
        <w:rPr>
          <w:rStyle w:val="FootnoteReference"/>
        </w:rPr>
        <w:footnoteRef/>
      </w:r>
      <w:r>
        <w:t xml:space="preserve"> </w:t>
      </w:r>
      <w:r>
        <w:tab/>
        <w:t xml:space="preserve">Frontier Economics, </w:t>
      </w:r>
      <w:r w:rsidRPr="005666A5">
        <w:rPr>
          <w:rStyle w:val="AERtextitalic"/>
        </w:rPr>
        <w:t>The relationship between government bond yields and the market risk premium</w:t>
      </w:r>
      <w:r>
        <w:t>, January 2016, pp. 13-14.</w:t>
      </w:r>
    </w:p>
  </w:footnote>
  <w:footnote w:id="779">
    <w:p w:rsidR="003F1AAB" w:rsidRDefault="003F1AAB" w:rsidP="0010250E">
      <w:pPr>
        <w:pStyle w:val="FootnoteText"/>
      </w:pPr>
      <w:r>
        <w:rPr>
          <w:rStyle w:val="FootnoteReference"/>
        </w:rPr>
        <w:footnoteRef/>
      </w:r>
      <w:r>
        <w:t xml:space="preserve"> </w:t>
      </w:r>
      <w:r>
        <w:tab/>
        <w:t>Lally found t</w:t>
      </w:r>
      <w:r w:rsidRPr="00970B88">
        <w:t>he standard deviation of</w:t>
      </w:r>
      <w:r>
        <w:t xml:space="preserve"> average real market returns is 1.5 per cent. The standard deviation for the average real government bond yield is 1.4 per cent. For the estimate MRP time series, it is 0.9 per cent.  These standard deviations imply </w:t>
      </w:r>
      <w:r w:rsidRPr="00970B88">
        <w:t xml:space="preserve">the average real market return is </w:t>
      </w:r>
      <w:r>
        <w:t xml:space="preserve">considerably more volatile than that for the </w:t>
      </w:r>
      <w:r w:rsidRPr="00970B88">
        <w:t>estimated MRP</w:t>
      </w:r>
      <w:r>
        <w:t xml:space="preserve">. </w:t>
      </w:r>
      <w:r w:rsidRPr="006E7953">
        <w:t xml:space="preserve">Lally, </w:t>
      </w:r>
      <w:r w:rsidRPr="00E34B12">
        <w:rPr>
          <w:rStyle w:val="AERtextitalic"/>
        </w:rPr>
        <w:t>Review of the AER’s methodology</w:t>
      </w:r>
      <w:r w:rsidRPr="006E7953">
        <w:t xml:space="preserve">, </w:t>
      </w:r>
      <w:r>
        <w:t>March</w:t>
      </w:r>
      <w:r w:rsidRPr="006E7953">
        <w:t xml:space="preserve"> 2013</w:t>
      </w:r>
      <w:r>
        <w:t>, pp.12-16.</w:t>
      </w:r>
    </w:p>
  </w:footnote>
  <w:footnote w:id="780">
    <w:p w:rsidR="003F1AAB" w:rsidRDefault="003F1AAB" w:rsidP="0010250E">
      <w:pPr>
        <w:pStyle w:val="FootnoteText"/>
      </w:pPr>
      <w:r>
        <w:rPr>
          <w:rStyle w:val="FootnoteReference"/>
        </w:rPr>
        <w:footnoteRef/>
      </w:r>
      <w:r>
        <w:t xml:space="preserve">  </w:t>
      </w:r>
      <w:r>
        <w:tab/>
        <w:t>For example, the Wright CAPM's main use appears to be for regulatory purposes in the UK</w:t>
      </w:r>
      <w:r w:rsidRPr="0043507D">
        <w:t>. See</w:t>
      </w:r>
      <w:r>
        <w:t xml:space="preserve"> </w:t>
      </w:r>
      <w:r w:rsidRPr="0043507D">
        <w:t xml:space="preserve">Wright, </w:t>
      </w:r>
      <w:r w:rsidRPr="00CF44E0">
        <w:rPr>
          <w:rStyle w:val="AERtextitalic"/>
        </w:rPr>
        <w:t>Review of risk free rate and cost of equity estimates: A comparison of UK approaches with the AER</w:t>
      </w:r>
      <w:r w:rsidRPr="0043507D">
        <w:t>, October 2012.</w:t>
      </w:r>
    </w:p>
  </w:footnote>
  <w:footnote w:id="781">
    <w:p w:rsidR="003F1AAB" w:rsidRDefault="003F1AAB" w:rsidP="0010250E">
      <w:pPr>
        <w:pStyle w:val="FootnoteText"/>
      </w:pPr>
      <w:r>
        <w:rPr>
          <w:rStyle w:val="FootnoteReference"/>
        </w:rPr>
        <w:footnoteRef/>
      </w:r>
      <w:r>
        <w:t xml:space="preserve"> </w:t>
      </w:r>
      <w:r>
        <w:tab/>
        <w:t xml:space="preserve">Handley, </w:t>
      </w:r>
      <w:r>
        <w:rPr>
          <w:i/>
        </w:rPr>
        <w:t xml:space="preserve">Advice on the </w:t>
      </w:r>
      <w:r>
        <w:t>r</w:t>
      </w:r>
      <w:r>
        <w:rPr>
          <w:i/>
        </w:rPr>
        <w:t xml:space="preserve">eturn on </w:t>
      </w:r>
      <w:r>
        <w:t>e</w:t>
      </w:r>
      <w:r w:rsidRPr="00346C02">
        <w:rPr>
          <w:i/>
        </w:rPr>
        <w:t>quity</w:t>
      </w:r>
      <w:r>
        <w:t>, 16 October 2014, pp. 17</w:t>
      </w:r>
      <w:r>
        <w:rPr>
          <w:rFonts w:cs="Gautami"/>
        </w:rPr>
        <w:t>–</w:t>
      </w:r>
      <w:r>
        <w:t>18.</w:t>
      </w:r>
    </w:p>
  </w:footnote>
  <w:footnote w:id="782">
    <w:p w:rsidR="003F1AAB" w:rsidRDefault="003F1AAB" w:rsidP="0010250E">
      <w:pPr>
        <w:pStyle w:val="FootnoteText"/>
      </w:pPr>
      <w:r>
        <w:rPr>
          <w:rStyle w:val="FootnoteReference"/>
        </w:rPr>
        <w:footnoteRef/>
      </w:r>
      <w:r>
        <w:t xml:space="preserve"> </w:t>
      </w:r>
      <w:r>
        <w:tab/>
      </w:r>
      <w:r w:rsidRPr="00B40553">
        <w:t>CEG</w:t>
      </w:r>
      <w:r>
        <w:t xml:space="preserve">, </w:t>
      </w:r>
      <w:r w:rsidRPr="00706F13">
        <w:rPr>
          <w:rStyle w:val="AERtextitalic"/>
        </w:rPr>
        <w:t>WACC Estimates</w:t>
      </w:r>
      <w:r>
        <w:rPr>
          <w:rStyle w:val="AERtextitalic"/>
        </w:rPr>
        <w:t>:</w:t>
      </w:r>
      <w:r w:rsidRPr="00706F13">
        <w:rPr>
          <w:rStyle w:val="AERtextitalic"/>
        </w:rPr>
        <w:t xml:space="preserve"> A report for NSW DNSPs</w:t>
      </w:r>
      <w:r>
        <w:t xml:space="preserve">, May </w:t>
      </w:r>
      <w:r w:rsidRPr="00B40553">
        <w:t>2014</w:t>
      </w:r>
      <w:r>
        <w:t>,</w:t>
      </w:r>
      <w:r w:rsidRPr="00B40553">
        <w:t xml:space="preserve"> p</w:t>
      </w:r>
      <w:r>
        <w:t>p. 3</w:t>
      </w:r>
      <w:r>
        <w:rPr>
          <w:rFonts w:cs="Gautami"/>
        </w:rPr>
        <w:t>–</w:t>
      </w:r>
      <w:r w:rsidRPr="00B40553">
        <w:t>4</w:t>
      </w:r>
      <w:r>
        <w:t>.</w:t>
      </w:r>
    </w:p>
  </w:footnote>
  <w:footnote w:id="783">
    <w:p w:rsidR="003F1AAB" w:rsidRDefault="003F1AAB" w:rsidP="0010250E">
      <w:pPr>
        <w:pStyle w:val="FootnoteText"/>
      </w:pPr>
      <w:r>
        <w:rPr>
          <w:rStyle w:val="FootnoteReference"/>
        </w:rPr>
        <w:footnoteRef/>
      </w:r>
      <w:r>
        <w:t xml:space="preserve"> </w:t>
      </w:r>
      <w:r>
        <w:tab/>
        <w:t xml:space="preserve">Wright, S., 2012, </w:t>
      </w:r>
      <w:r w:rsidRPr="00706F13">
        <w:rPr>
          <w:rStyle w:val="AERtextitalic"/>
        </w:rPr>
        <w:t>Review of risk free rate ad cost of equity estimates: A comparison of UK approaches with the AER</w:t>
      </w:r>
      <w:r>
        <w:t>, 25 October 2012, pp. 2</w:t>
      </w:r>
      <w:r>
        <w:rPr>
          <w:rFonts w:cs="Gautami"/>
        </w:rPr>
        <w:t>–</w:t>
      </w:r>
      <w:r>
        <w:t>3.</w:t>
      </w:r>
    </w:p>
  </w:footnote>
  <w:footnote w:id="784">
    <w:p w:rsidR="003F1AAB" w:rsidRDefault="003F1AAB" w:rsidP="0010250E">
      <w:pPr>
        <w:pStyle w:val="FootnoteText"/>
      </w:pPr>
      <w:r>
        <w:rPr>
          <w:rStyle w:val="FootnoteReference"/>
        </w:rPr>
        <w:footnoteRef/>
      </w:r>
      <w:r>
        <w:t xml:space="preserve"> </w:t>
      </w:r>
      <w:r>
        <w:tab/>
        <w:t>This is</w:t>
      </w:r>
      <w:r w:rsidRPr="00957F0D">
        <w:t xml:space="preserve"> for the same reasons stated </w:t>
      </w:r>
      <w:r>
        <w:t>in</w:t>
      </w:r>
      <w:r w:rsidRPr="00957F0D">
        <w:t xml:space="preserve"> the</w:t>
      </w:r>
      <w:r>
        <w:t xml:space="preserve"> appendices to the</w:t>
      </w:r>
      <w:r w:rsidRPr="00957F0D">
        <w:t xml:space="preserve"> Guideline</w:t>
      </w:r>
      <w:r>
        <w:t>'s explanatory statement</w:t>
      </w:r>
      <w:r w:rsidRPr="00261D90">
        <w:t xml:space="preserve"> </w:t>
      </w:r>
      <w:r>
        <w:t xml:space="preserve">and in our subsequent decisions. AER, </w:t>
      </w:r>
      <w:r w:rsidRPr="00ED444F">
        <w:rPr>
          <w:rStyle w:val="AERtextitalic"/>
        </w:rPr>
        <w:t>Explanatory statement to the rate of return guideline (appendices)</w:t>
      </w:r>
      <w:r>
        <w:t>, 17 December 2013, pp. 24</w:t>
      </w:r>
      <w:r>
        <w:rPr>
          <w:rFonts w:cs="Gautami"/>
        </w:rPr>
        <w:t>–</w:t>
      </w:r>
      <w:r>
        <w:t xml:space="preserve">28; AER, </w:t>
      </w:r>
      <w:r>
        <w:rPr>
          <w:rStyle w:val="AERtextitalic"/>
        </w:rPr>
        <w:t>Final</w:t>
      </w:r>
      <w:r w:rsidRPr="00137967">
        <w:rPr>
          <w:rStyle w:val="AERtextitalic"/>
        </w:rPr>
        <w:t xml:space="preserve"> decision </w:t>
      </w:r>
      <w:r>
        <w:rPr>
          <w:rStyle w:val="AERtextitalic"/>
        </w:rPr>
        <w:t>JGN Access arrangement 2015</w:t>
      </w:r>
      <w:r w:rsidRPr="002D2B43">
        <w:rPr>
          <w:rStyle w:val="AERtextitalic"/>
        </w:rPr>
        <w:t>–</w:t>
      </w:r>
      <w:r>
        <w:rPr>
          <w:rStyle w:val="AERtextitalic"/>
        </w:rPr>
        <w:t>20, Attachment 3</w:t>
      </w:r>
      <w:r>
        <w:t>, June 2015, pp. 83</w:t>
      </w:r>
      <w:r w:rsidRPr="001D46C6">
        <w:t>–</w:t>
      </w:r>
      <w:r>
        <w:t>88, 284–289.</w:t>
      </w:r>
    </w:p>
  </w:footnote>
  <w:footnote w:id="785">
    <w:p w:rsidR="003F1AAB" w:rsidRDefault="003F1AAB" w:rsidP="0010250E">
      <w:pPr>
        <w:pStyle w:val="FootnoteText"/>
      </w:pPr>
      <w:r>
        <w:rPr>
          <w:rStyle w:val="FootnoteReference"/>
        </w:rPr>
        <w:footnoteRef/>
      </w:r>
      <w:r>
        <w:t xml:space="preserve"> </w:t>
      </w:r>
      <w:r>
        <w:tab/>
        <w:t xml:space="preserve">CitiPower, </w:t>
      </w:r>
      <w:r w:rsidRPr="00B40B94">
        <w:rPr>
          <w:rStyle w:val="AERtextitalic"/>
        </w:rPr>
        <w:t>Revised regulatory proposal 2016–2020</w:t>
      </w:r>
      <w:r>
        <w:t xml:space="preserve">, January 2016, pp. 307, 309–310; </w:t>
      </w:r>
      <w:r w:rsidRPr="00273F0E">
        <w:t xml:space="preserve">Powercor, </w:t>
      </w:r>
      <w:r w:rsidRPr="00273F0E">
        <w:rPr>
          <w:rStyle w:val="Emphasis"/>
        </w:rPr>
        <w:t>Revised regulatory proposal 2016–2020</w:t>
      </w:r>
      <w:r w:rsidRPr="00273F0E">
        <w:t xml:space="preserve">, January 2016, pp. 301, 303–304; ActewAGL, </w:t>
      </w:r>
      <w:r w:rsidRPr="00273F0E">
        <w:rPr>
          <w:rStyle w:val="Emphasis"/>
        </w:rPr>
        <w:t>Revised 2016–21 access arrangement proposal Response to the AER's draft decision, Appendix 5.01 Detailed response to rate of return, gamma and inflation</w:t>
      </w:r>
      <w:r w:rsidRPr="00273F0E">
        <w:t xml:space="preserve">, January 2016, pp. 82–83; United Energy, </w:t>
      </w:r>
      <w:r w:rsidRPr="00273F0E">
        <w:rPr>
          <w:rStyle w:val="Emphasis"/>
        </w:rPr>
        <w:t>Response to AER preliminary determination–Re: rate of return and gamma</w:t>
      </w:r>
      <w:r w:rsidRPr="00273F0E">
        <w:t xml:space="preserve">, 6 January 2016, p. 61; AGN, </w:t>
      </w:r>
      <w:r w:rsidRPr="00273F0E">
        <w:rPr>
          <w:rStyle w:val="Emphasis"/>
        </w:rPr>
        <w:t>2016–17 to 2020/21 Access Arrangement information response to draft decision: Attachment 10.26 Response to draft decision: rate of return</w:t>
      </w:r>
      <w:r w:rsidRPr="00273F0E">
        <w:t xml:space="preserve">, January 2016, pp. 66; JEN (Vic), </w:t>
      </w:r>
      <w:r w:rsidRPr="00273F0E">
        <w:rPr>
          <w:rStyle w:val="Emphasis"/>
        </w:rPr>
        <w:t>2016–20 Electricity distribution price review regulatory proposal revocation and substitution submission: Attachment 6–1 Rate of return, gamma, forecast inflation, and debt and equity raising costs,</w:t>
      </w:r>
      <w:r w:rsidRPr="00273F0E">
        <w:t xml:space="preserve"> 6 January 2016, pp. 66–67; AusNet Services, </w:t>
      </w:r>
      <w:r w:rsidRPr="00273F0E">
        <w:rPr>
          <w:rStyle w:val="Emphasis"/>
        </w:rPr>
        <w:t>Electricity distribution price review 2016–20 Revised regulatory proposal: Chapter 7 Rate of return &amp; gamma</w:t>
      </w:r>
      <w:r w:rsidRPr="00273F0E">
        <w:t xml:space="preserve">, 6 January 2016, pp.59–60; APTNT stated that it did not make submissions about the Wright approach in its original October 2015 submission. However, we note that APTNT's explanation of its original proposal for estimating the MRP is effectively an implementation of a Wright CAPM, see: </w:t>
      </w:r>
      <w:r w:rsidRPr="00273F0E">
        <w:rPr>
          <w:rStyle w:val="Emphasis"/>
        </w:rPr>
        <w:t>Amadeus Gas Pipeline Access arrangement revised proposal: response to Draft Decision,</w:t>
      </w:r>
      <w:r w:rsidRPr="00273F0E">
        <w:t xml:space="preserve"> January 2016, pp. 65–68.</w:t>
      </w:r>
    </w:p>
    <w:p w:rsidR="003F1AAB" w:rsidRDefault="003F1AAB" w:rsidP="00311B07">
      <w:pPr>
        <w:pStyle w:val="FootnoteText"/>
      </w:pPr>
      <w:r>
        <w:tab/>
        <w:t>AusNet Services</w:t>
      </w:r>
      <w:r w:rsidRPr="00172CD0">
        <w:rPr>
          <w:rStyle w:val="AERtextitalic"/>
        </w:rPr>
        <w:t>, AusNet Transmission Group Pty Ltd transmission revenue review 2017–2022</w:t>
      </w:r>
      <w:r>
        <w:t>, 30 October 2015, pp. 226, 232, 250, 252, 254 &amp; 263.</w:t>
      </w:r>
    </w:p>
  </w:footnote>
  <w:footnote w:id="786">
    <w:p w:rsidR="003F1AAB" w:rsidRDefault="003F1AAB" w:rsidP="0010250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31.</w:t>
      </w:r>
    </w:p>
  </w:footnote>
  <w:footnote w:id="787">
    <w:p w:rsidR="003F1AAB" w:rsidRDefault="003F1AAB" w:rsidP="00A71C54">
      <w:pPr>
        <w:pStyle w:val="FootnoteText"/>
      </w:pPr>
      <w:r>
        <w:rPr>
          <w:rStyle w:val="FootnoteReference"/>
        </w:rPr>
        <w:footnoteRef/>
      </w:r>
      <w:r>
        <w:t xml:space="preserve"> </w:t>
      </w:r>
      <w:r>
        <w:tab/>
        <w:t>The Sharpe-Lintner CAPM is an equilibrium pricing model and hence the market risk premium parameter of the model should reflect the premium that investors require in a market in equilibrium. In this section, we examine returns that have been realised in practice, over periods in which the market may not have been in equilibrium. This data is used for practical reasons - the ex-ante required return of investors is not observable. We consider that realised returns remain a reliable indicator of investor expectations in market equilibrium.</w:t>
      </w:r>
    </w:p>
  </w:footnote>
  <w:footnote w:id="788">
    <w:p w:rsidR="003F1AAB" w:rsidRDefault="003F1AAB" w:rsidP="00A71C54">
      <w:pPr>
        <w:pStyle w:val="FootnoteText"/>
      </w:pPr>
      <w:r>
        <w:rPr>
          <w:rStyle w:val="FootnoteReference"/>
        </w:rPr>
        <w:footnoteRef/>
      </w:r>
      <w:r>
        <w:t xml:space="preserve"> </w:t>
      </w:r>
      <w:r>
        <w:tab/>
      </w:r>
      <w:r w:rsidRPr="00B63E65">
        <w:t xml:space="preserve">Brailsford, Handley, Maheswaran, ‘Re-examination of the historical equity risk premium in Australia’, </w:t>
      </w:r>
      <w:r w:rsidRPr="00B63E65">
        <w:rPr>
          <w:rStyle w:val="AERtextitalic"/>
        </w:rPr>
        <w:t>Accounting and Finance</w:t>
      </w:r>
      <w:r w:rsidRPr="00B63E65">
        <w:t>, Vol. 48, 2008, pp. 76–77, 85–86</w:t>
      </w:r>
      <w:r>
        <w:t>.</w:t>
      </w:r>
    </w:p>
  </w:footnote>
  <w:footnote w:id="789">
    <w:p w:rsidR="003F1AAB" w:rsidRDefault="003F1AAB" w:rsidP="00A71C54">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790">
    <w:p w:rsidR="003F1AAB" w:rsidRDefault="003F1AAB" w:rsidP="00A71C54">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t>, December 2013, pp. 26</w:t>
      </w:r>
      <w:r>
        <w:rPr>
          <w:rFonts w:cs="Gautami"/>
        </w:rPr>
        <w:t>–</w:t>
      </w:r>
      <w:r>
        <w:t>27</w:t>
      </w:r>
      <w:r w:rsidRPr="00831925">
        <w:t>.</w:t>
      </w:r>
    </w:p>
  </w:footnote>
  <w:footnote w:id="791">
    <w:p w:rsidR="003F1AAB" w:rsidRDefault="003F1AAB" w:rsidP="00A71C54">
      <w:pPr>
        <w:pStyle w:val="FootnoteText"/>
      </w:pPr>
      <w:r>
        <w:rPr>
          <w:rStyle w:val="FootnoteReference"/>
        </w:rPr>
        <w:footnoteRef/>
      </w:r>
      <w:r>
        <w:t xml:space="preserve"> </w:t>
      </w:r>
      <w:r>
        <w:tab/>
        <w:t xml:space="preserve">See section </w:t>
      </w:r>
      <w:r>
        <w:fldChar w:fldCharType="begin"/>
      </w:r>
      <w:r>
        <w:instrText xml:space="preserve"> REF _Ref449018117 \r \h </w:instrText>
      </w:r>
      <w:r>
        <w:fldChar w:fldCharType="separate"/>
      </w:r>
      <w:r>
        <w:t>B.5</w:t>
      </w:r>
      <w:r>
        <w:fldChar w:fldCharType="end"/>
      </w:r>
      <w:r>
        <w:t xml:space="preserve"> for details on the Wright CAPM.</w:t>
      </w:r>
    </w:p>
  </w:footnote>
  <w:footnote w:id="792">
    <w:p w:rsidR="003F1AAB" w:rsidRDefault="003F1AAB" w:rsidP="00A71C54">
      <w:pPr>
        <w:pStyle w:val="FootnoteText"/>
      </w:pPr>
      <w:r>
        <w:rPr>
          <w:rStyle w:val="FootnoteReference"/>
        </w:rPr>
        <w:footnoteRef/>
      </w:r>
      <w:r>
        <w:t xml:space="preserve"> </w:t>
      </w:r>
      <w:r>
        <w:tab/>
        <w:t>Our risk free rate estimate is 2.94 per cent.</w:t>
      </w:r>
    </w:p>
  </w:footnote>
  <w:footnote w:id="793">
    <w:p w:rsidR="003F1AAB" w:rsidRDefault="003F1AAB" w:rsidP="00A71C54">
      <w:pPr>
        <w:pStyle w:val="FootnoteText"/>
      </w:pPr>
      <w:r>
        <w:rPr>
          <w:rStyle w:val="FootnoteReference"/>
        </w:rPr>
        <w:footnoteRef/>
      </w:r>
      <w:r>
        <w:t xml:space="preserve"> </w:t>
      </w:r>
      <w:r>
        <w:tab/>
        <w:t xml:space="preserve">Our estimated range for equity beta is 0.4 to 0.7. For more detail, see section </w:t>
      </w:r>
      <w:r>
        <w:fldChar w:fldCharType="begin"/>
      </w:r>
      <w:r>
        <w:instrText xml:space="preserve"> REF _Ref430958591 \r \h </w:instrText>
      </w:r>
      <w:r>
        <w:fldChar w:fldCharType="separate"/>
      </w:r>
      <w:r>
        <w:t>3.4.1</w:t>
      </w:r>
      <w:r>
        <w:fldChar w:fldCharType="end"/>
      </w:r>
      <w:r>
        <w:t>.</w:t>
      </w:r>
    </w:p>
  </w:footnote>
  <w:footnote w:id="794">
    <w:p w:rsidR="003F1AAB" w:rsidRDefault="003F1AAB" w:rsidP="00A71C54">
      <w:pPr>
        <w:pStyle w:val="FootnoteText"/>
      </w:pPr>
      <w:r>
        <w:rPr>
          <w:rStyle w:val="FootnoteReference"/>
        </w:rPr>
        <w:footnoteRef/>
      </w:r>
      <w:r>
        <w:t xml:space="preserve"> </w:t>
      </w:r>
      <w:r>
        <w:tab/>
        <w:t>The arithmetic average is measured as the sum of N numbers divided by N. The geometric average is measured as the Nth root of the product of N numbers.</w:t>
      </w:r>
    </w:p>
  </w:footnote>
  <w:footnote w:id="795">
    <w:p w:rsidR="003F1AAB" w:rsidRDefault="003F1AAB" w:rsidP="00A71C54">
      <w:pPr>
        <w:pStyle w:val="FootnoteText"/>
      </w:pPr>
      <w:r>
        <w:rPr>
          <w:rStyle w:val="FootnoteReference"/>
        </w:rPr>
        <w:footnoteRef/>
      </w:r>
      <w:r>
        <w:t xml:space="preserve"> </w:t>
      </w:r>
      <w:r>
        <w:tab/>
        <w:t xml:space="preserve">AER, </w:t>
      </w:r>
      <w:r w:rsidRPr="00E83706">
        <w:rPr>
          <w:rStyle w:val="AERtextitalic"/>
        </w:rPr>
        <w:t>Jemena Gas Networks final decision 2015-20</w:t>
      </w:r>
      <w:r>
        <w:rPr>
          <w:rStyle w:val="AERtextitalic"/>
        </w:rPr>
        <w:t>: Attachment 3—Rate of r</w:t>
      </w:r>
      <w:r w:rsidRPr="00E83706">
        <w:rPr>
          <w:rStyle w:val="AERtextitalic"/>
        </w:rPr>
        <w:t>eturn</w:t>
      </w:r>
      <w:r>
        <w:t>, June 2015, pp. 333–338.</w:t>
      </w:r>
    </w:p>
  </w:footnote>
  <w:footnote w:id="796">
    <w:p w:rsidR="003F1AAB" w:rsidRDefault="003F1AAB" w:rsidP="00A71C54">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797">
    <w:p w:rsidR="003F1AAB" w:rsidRDefault="003F1AAB" w:rsidP="00A71C54">
      <w:pPr>
        <w:pStyle w:val="FootnoteText"/>
      </w:pPr>
      <w:r>
        <w:rPr>
          <w:rStyle w:val="FootnoteReference"/>
        </w:rPr>
        <w:footnoteRef/>
      </w:r>
      <w:r>
        <w:t xml:space="preserve"> </w:t>
      </w:r>
      <w:r>
        <w:tab/>
        <w:t>For an additional example, see</w:t>
      </w:r>
      <w:r w:rsidRPr="00E816D0">
        <w:t xml:space="preserve"> AER, </w:t>
      </w:r>
      <w:r w:rsidRPr="00900963">
        <w:rPr>
          <w:rStyle w:val="AERtextitalic"/>
        </w:rPr>
        <w:t>Draft decision: SPI Networks access arrangement</w:t>
      </w:r>
      <w:r w:rsidRPr="00E816D0">
        <w:t>, September 2012, Appendix B.2.1.</w:t>
      </w:r>
    </w:p>
  </w:footnote>
  <w:footnote w:id="798">
    <w:p w:rsidR="003F1AAB" w:rsidRDefault="003F1AAB" w:rsidP="00A71C54">
      <w:pPr>
        <w:pStyle w:val="FootnoteText"/>
      </w:pPr>
      <w:r>
        <w:rPr>
          <w:rStyle w:val="FootnoteReference"/>
        </w:rPr>
        <w:footnoteRef/>
      </w:r>
      <w:r>
        <w:t xml:space="preserve"> </w:t>
      </w:r>
      <w:r>
        <w:tab/>
        <w:t>For example, see</w:t>
      </w:r>
      <w:r w:rsidRPr="00E816D0">
        <w:t xml:space="preserve"> AER, </w:t>
      </w:r>
      <w:r w:rsidRPr="00900963">
        <w:rPr>
          <w:rStyle w:val="AERtextitalic"/>
        </w:rPr>
        <w:t>Final decision: SPI Networks (Gas) access arrangemen</w:t>
      </w:r>
      <w:r w:rsidRPr="00E816D0">
        <w:t>t, March 2013, Part 3, B.5.1.</w:t>
      </w:r>
    </w:p>
  </w:footnote>
  <w:footnote w:id="799">
    <w:p w:rsidR="003F1AAB" w:rsidRDefault="003F1AAB" w:rsidP="00A71C54">
      <w:pPr>
        <w:pStyle w:val="FootnoteText"/>
      </w:pPr>
      <w:r>
        <w:rPr>
          <w:rStyle w:val="FootnoteReference"/>
        </w:rPr>
        <w:footnoteRef/>
      </w:r>
      <w:r>
        <w:t xml:space="preserve"> </w:t>
      </w:r>
      <w:r>
        <w:tab/>
      </w:r>
      <w:r w:rsidRPr="00E816D0">
        <w:t xml:space="preserve">Australian Competition Tribunal, </w:t>
      </w:r>
      <w:r w:rsidRPr="00900963">
        <w:rPr>
          <w:rStyle w:val="AERtextitalic"/>
        </w:rPr>
        <w:t>Application by Envestra Ltd (No 2) [2012] ACompT4</w:t>
      </w:r>
      <w:r w:rsidRPr="00E816D0">
        <w:t>, 11 January 2012, paragraph 157.</w:t>
      </w:r>
      <w:r>
        <w:t xml:space="preserve">  Also see, Australian Competition Tribunal</w:t>
      </w:r>
      <w:r w:rsidRPr="00024F5D">
        <w:rPr>
          <w:rStyle w:val="AERtextitalic"/>
        </w:rPr>
        <w:t>, Application by Public interest Advocacy Centre Ltd and Ausgrid [2016] ACompT 1</w:t>
      </w:r>
      <w:r>
        <w:t>, 26 February 2016.</w:t>
      </w:r>
    </w:p>
  </w:footnote>
  <w:footnote w:id="800">
    <w:p w:rsidR="003F1AAB" w:rsidRDefault="003F1AAB" w:rsidP="00A71C54">
      <w:pPr>
        <w:pStyle w:val="FootnoteText"/>
      </w:pPr>
      <w:r>
        <w:rPr>
          <w:rStyle w:val="FootnoteReference"/>
        </w:rPr>
        <w:footnoteRef/>
      </w:r>
      <w:r>
        <w:t xml:space="preserve"> </w:t>
      </w:r>
      <w:r>
        <w:tab/>
        <w:t xml:space="preserve">Wright and Smithers, </w:t>
      </w:r>
      <w:r w:rsidRPr="00900963">
        <w:rPr>
          <w:rStyle w:val="AERtextitalic"/>
        </w:rPr>
        <w:t>The cost of equity capital for regulated companies: A review of Ofgem</w:t>
      </w:r>
      <w:r>
        <w:t xml:space="preserve">, 2014, p. 9. </w:t>
      </w:r>
    </w:p>
  </w:footnote>
  <w:footnote w:id="801">
    <w:p w:rsidR="003F1AAB" w:rsidRDefault="003F1AAB" w:rsidP="00A71C54">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xml:space="preserve">, 22 February 2012, p. 5; Partington and Satchell, </w:t>
      </w:r>
      <w:r w:rsidRPr="00F15DCC">
        <w:rPr>
          <w:rStyle w:val="AERtextitalic"/>
        </w:rPr>
        <w:t>Report to the AER: Return on equity and comment on submissions in relation to JGN</w:t>
      </w:r>
      <w:r>
        <w:t xml:space="preserve">, May 2015, pp. 16–17; </w:t>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802">
    <w:p w:rsidR="003F1AAB" w:rsidRDefault="003F1AAB" w:rsidP="00A71C54">
      <w:pPr>
        <w:pStyle w:val="FootnoteText"/>
      </w:pPr>
      <w:r>
        <w:rPr>
          <w:rStyle w:val="FootnoteReference"/>
        </w:rPr>
        <w:footnoteRef/>
      </w:r>
      <w:r>
        <w:t xml:space="preserve"> </w:t>
      </w:r>
      <w:r>
        <w:tab/>
        <w:t xml:space="preserve">See, for example: NERA, </w:t>
      </w:r>
      <w:r w:rsidRPr="009D2D21">
        <w:rPr>
          <w:rStyle w:val="AERtextitalic"/>
        </w:rPr>
        <w:t xml:space="preserve">Prevailing conditions and the market risk premium: A report for </w:t>
      </w:r>
      <w:r>
        <w:rPr>
          <w:rStyle w:val="AERtextitalic"/>
        </w:rPr>
        <w:t>APA Group</w:t>
      </w:r>
      <w:r w:rsidRPr="009D2D21">
        <w:rPr>
          <w:rStyle w:val="AERtextitalic"/>
        </w:rPr>
        <w:t>, Envestra, MultiNet and SP AusNet</w:t>
      </w:r>
      <w:r>
        <w:t xml:space="preserve">, March 2012, pp. 3–16; NERA, </w:t>
      </w:r>
      <w:r w:rsidRPr="009D2D21">
        <w:rPr>
          <w:rStyle w:val="AERtextitalic"/>
        </w:rPr>
        <w:t>The market, size and value premiums: A report for the Energy Networks Association</w:t>
      </w:r>
      <w:r>
        <w:t xml:space="preserve">, June 2013, pp. 25–30 (NERA, </w:t>
      </w:r>
      <w:r w:rsidRPr="009D2D21">
        <w:rPr>
          <w:rStyle w:val="AERtextitalic"/>
        </w:rPr>
        <w:t xml:space="preserve">The </w:t>
      </w:r>
      <w:r>
        <w:rPr>
          <w:rStyle w:val="AERtextitalic"/>
        </w:rPr>
        <w:t>market, size and value premiums</w:t>
      </w:r>
      <w:r>
        <w:t xml:space="preserve">, June 2013); NERA, </w:t>
      </w:r>
      <w:r w:rsidRPr="004D0611">
        <w:rPr>
          <w:rStyle w:val="AERtextitalic"/>
        </w:rPr>
        <w:t>Historical estim</w:t>
      </w:r>
      <w:r>
        <w:rPr>
          <w:rStyle w:val="AERtextitalic"/>
        </w:rPr>
        <w:t>ates of the market risk premium</w:t>
      </w:r>
      <w:r>
        <w:t xml:space="preserve">, February 2015, pp. 12–24. </w:t>
      </w:r>
    </w:p>
  </w:footnote>
  <w:footnote w:id="803">
    <w:p w:rsidR="003F1AAB" w:rsidRDefault="003F1AAB" w:rsidP="00A71C54">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14–28.</w:t>
      </w:r>
    </w:p>
  </w:footnote>
  <w:footnote w:id="804">
    <w:p w:rsidR="003F1AAB" w:rsidRDefault="003F1AAB" w:rsidP="00A71C54">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33-38.</w:t>
      </w:r>
    </w:p>
  </w:footnote>
  <w:footnote w:id="805">
    <w:p w:rsidR="003F1AAB" w:rsidRDefault="003F1AAB" w:rsidP="00A71C54">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 44.</w:t>
      </w:r>
    </w:p>
  </w:footnote>
  <w:footnote w:id="806">
    <w:p w:rsidR="003F1AAB" w:rsidRDefault="003F1AAB" w:rsidP="00A71C54">
      <w:pPr>
        <w:pStyle w:val="FootnoteText"/>
      </w:pPr>
      <w:r>
        <w:rPr>
          <w:rStyle w:val="FootnoteReference"/>
        </w:rPr>
        <w:footnoteRef/>
      </w:r>
      <w:r>
        <w:t xml:space="preserve"> </w:t>
      </w:r>
      <w:r>
        <w:tab/>
      </w:r>
      <w:r w:rsidRPr="00F9407B">
        <w:t xml:space="preserve">Partington and Satchell, </w:t>
      </w:r>
      <w:r w:rsidRPr="00F9407B">
        <w:rPr>
          <w:rStyle w:val="AERtextitalic"/>
        </w:rPr>
        <w:t>Report to the AER: Return on equity and comment on submissions in relation to JGN</w:t>
      </w:r>
      <w:r w:rsidRPr="00F9407B">
        <w:t>, May 2015, p. 17</w:t>
      </w:r>
      <w:r>
        <w:t>.</w:t>
      </w:r>
    </w:p>
  </w:footnote>
  <w:footnote w:id="807">
    <w:p w:rsidR="003F1AAB" w:rsidRDefault="003F1AAB" w:rsidP="00A71C54">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pp. 5–9.</w:t>
      </w:r>
    </w:p>
  </w:footnote>
  <w:footnote w:id="808">
    <w:p w:rsidR="003F1AAB" w:rsidRDefault="003F1AAB" w:rsidP="00A71C54">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 8.</w:t>
      </w:r>
    </w:p>
  </w:footnote>
  <w:footnote w:id="809">
    <w:p w:rsidR="003F1AAB" w:rsidRDefault="003F1AAB" w:rsidP="00A71C54">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810">
    <w:p w:rsidR="003F1AAB" w:rsidRDefault="003F1AAB" w:rsidP="00A71C54">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35.</w:t>
      </w:r>
    </w:p>
  </w:footnote>
  <w:footnote w:id="811">
    <w:p w:rsidR="003F1AAB" w:rsidRDefault="003F1AAB" w:rsidP="00A71C54">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812">
    <w:p w:rsidR="003F1AAB" w:rsidRDefault="003F1AAB" w:rsidP="00A71C54">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19–20.</w:t>
      </w:r>
    </w:p>
  </w:footnote>
  <w:footnote w:id="813">
    <w:p w:rsidR="003F1AAB" w:rsidRDefault="003F1AAB" w:rsidP="00A71C54">
      <w:pPr>
        <w:pStyle w:val="FootnoteText"/>
      </w:pPr>
      <w:r>
        <w:rPr>
          <w:rStyle w:val="FootnoteReference"/>
        </w:rPr>
        <w:footnoteRef/>
      </w:r>
      <w:r>
        <w:t xml:space="preserve"> </w:t>
      </w:r>
      <w:r>
        <w:tab/>
        <w:t xml:space="preserve">See </w:t>
      </w:r>
      <w:r w:rsidRPr="00007A3F">
        <w:t xml:space="preserve">SFG, </w:t>
      </w:r>
      <w:r w:rsidRPr="00AB7242">
        <w:rPr>
          <w:rStyle w:val="AERtextitalic"/>
        </w:rPr>
        <w:t>The required return on equity for the benchmark efficient entity</w:t>
      </w:r>
      <w:r>
        <w:t xml:space="preserve">, </w:t>
      </w:r>
      <w:r w:rsidRPr="00007A3F">
        <w:t>February 2015, p. 23</w:t>
      </w:r>
      <w:r>
        <w:t xml:space="preserve">; </w:t>
      </w:r>
      <w:r w:rsidRPr="00AB7242">
        <w:t xml:space="preserve">Frontier, </w:t>
      </w:r>
      <w:r w:rsidRPr="00AB7242">
        <w:rPr>
          <w:rStyle w:val="AERtextitalic"/>
        </w:rPr>
        <w:t>Key issues in estimating the return on equity for the benchmark efficient entity: Report prepared for ActewAGL Distribution, AGN, AusNet Services, CitiPower, Ergon, Energex, Jemena Electricity Networks, Powercor, SA Power Networks, and United Energy</w:t>
      </w:r>
      <w:r w:rsidRPr="00AB7242">
        <w:t>, June 2015</w:t>
      </w:r>
      <w:r>
        <w:t>, p. 62.</w:t>
      </w:r>
    </w:p>
  </w:footnote>
  <w:footnote w:id="814">
    <w:p w:rsidR="003F1AAB" w:rsidRDefault="003F1AAB" w:rsidP="00A71C54">
      <w:pPr>
        <w:pStyle w:val="FootnoteText"/>
      </w:pPr>
      <w:r>
        <w:rPr>
          <w:rStyle w:val="FootnoteReference"/>
        </w:rPr>
        <w:footnoteRef/>
      </w:r>
      <w:r>
        <w:t xml:space="preserve"> </w:t>
      </w:r>
      <w:r>
        <w:tab/>
      </w:r>
      <w:r w:rsidRPr="00007A3F">
        <w:t xml:space="preserve">SFG, </w:t>
      </w:r>
      <w:r w:rsidRPr="00AB7242">
        <w:rPr>
          <w:rStyle w:val="AERtextitalic"/>
        </w:rPr>
        <w:t>The required return on equity for regulated gas and electricity network businesses</w:t>
      </w:r>
      <w:r>
        <w:t xml:space="preserve">, </w:t>
      </w:r>
      <w:r w:rsidRPr="00007A3F">
        <w:t>May 2014, p</w:t>
      </w:r>
      <w:r>
        <w:t>p</w:t>
      </w:r>
      <w:r w:rsidRPr="00007A3F">
        <w:t xml:space="preserve">. </w:t>
      </w:r>
      <w:r>
        <w:t>44–</w:t>
      </w:r>
      <w:r w:rsidRPr="00007A3F">
        <w:t>49</w:t>
      </w:r>
      <w:r>
        <w:t>.</w:t>
      </w:r>
    </w:p>
  </w:footnote>
  <w:footnote w:id="815">
    <w:p w:rsidR="003F1AAB" w:rsidRDefault="003F1AAB" w:rsidP="00A71C54">
      <w:pPr>
        <w:pStyle w:val="FootnoteText"/>
      </w:pPr>
      <w:r>
        <w:rPr>
          <w:rStyle w:val="FootnoteReference"/>
        </w:rPr>
        <w:footnoteRef/>
      </w:r>
      <w:r>
        <w:t xml:space="preserve"> </w:t>
      </w:r>
      <w:r>
        <w:tab/>
        <w:t xml:space="preserve">See, for example: AER, </w:t>
      </w:r>
      <w:r w:rsidRPr="001600F0">
        <w:rPr>
          <w:rStyle w:val="AERtextitalic"/>
        </w:rPr>
        <w:t>Access arrangement draft decision: Multinet Gas (DB No. 1) Pty Ltd Multinet Gas (DB No. 2) Pty Ltd 2013–17—Part 3 appendices</w:t>
      </w:r>
      <w:r>
        <w:t xml:space="preserve">, September 2012, appendix B section B.2.1; AER, </w:t>
      </w:r>
      <w:r w:rsidRPr="001600F0">
        <w:rPr>
          <w:rStyle w:val="AERtextitalic"/>
        </w:rPr>
        <w:t>Access arrangement final decision: Multinet Gas (DB No. 1) Pty Ltd Multinet Gas (DB No. 2) Pty Ltd 2013–17—Part 3 appendices</w:t>
      </w:r>
      <w:r>
        <w:t>, September 2012, appendix B section B.5.1; AER, A</w:t>
      </w:r>
      <w:r w:rsidRPr="001600F0">
        <w:rPr>
          <w:rStyle w:val="AERtextitalic"/>
        </w:rPr>
        <w:t>ccess arrangement draft decision: Roma to Brisbane Pipeline 2012–13 to 2016–17</w:t>
      </w:r>
      <w:r>
        <w:t xml:space="preserve">, April 2012, appendix C section C.1.1; AER, </w:t>
      </w:r>
      <w:r w:rsidRPr="001600F0">
        <w:rPr>
          <w:rStyle w:val="AERtextitalic"/>
        </w:rPr>
        <w:t>Access arrangement final decision: Roma to Brisbane Pipeline 2012–13 to 2016–17</w:t>
      </w:r>
      <w:r>
        <w:t xml:space="preserve">, August 2012, appendix B section B.2.1; AER, </w:t>
      </w:r>
      <w:r w:rsidRPr="00E83706">
        <w:rPr>
          <w:rStyle w:val="AERtextitalic"/>
        </w:rPr>
        <w:t>Jemena Gas Networks final decision 2015-20</w:t>
      </w:r>
      <w:r>
        <w:rPr>
          <w:rStyle w:val="AERtextitalic"/>
        </w:rPr>
        <w:t>: Attachment 3—Rate of r</w:t>
      </w:r>
      <w:r w:rsidRPr="00E83706">
        <w:rPr>
          <w:rStyle w:val="AERtextitalic"/>
        </w:rPr>
        <w:t>eturn</w:t>
      </w:r>
      <w:r>
        <w:t>, June 2015, pp. 333–338.</w:t>
      </w:r>
    </w:p>
  </w:footnote>
  <w:footnote w:id="816">
    <w:p w:rsidR="003F1AAB" w:rsidRDefault="003F1AAB" w:rsidP="00A71C54">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 12. Also see NERA, </w:t>
      </w:r>
      <w:r w:rsidRPr="0070750B">
        <w:rPr>
          <w:rStyle w:val="AERtextitalic"/>
        </w:rPr>
        <w:t xml:space="preserve">Further assessment of the historical MRP: Response to the AER's final decisions for the NSW </w:t>
      </w:r>
      <w:r>
        <w:rPr>
          <w:rStyle w:val="AERtextitalic"/>
        </w:rPr>
        <w:t>and ACT electricity distributors</w:t>
      </w:r>
      <w:r>
        <w:t>, June 2015, p. 14.</w:t>
      </w:r>
    </w:p>
  </w:footnote>
  <w:footnote w:id="817">
    <w:p w:rsidR="003F1AAB" w:rsidRDefault="003F1AAB" w:rsidP="00A71C54">
      <w:pPr>
        <w:pStyle w:val="FootnoteText"/>
      </w:pPr>
      <w:r>
        <w:rPr>
          <w:rStyle w:val="FootnoteReference"/>
        </w:rPr>
        <w:footnoteRef/>
      </w:r>
      <w:r>
        <w:t xml:space="preserve"> </w:t>
      </w:r>
      <w:r>
        <w:tab/>
        <w:t xml:space="preserve">Partington and Satchell, </w:t>
      </w:r>
      <w:r w:rsidRPr="00F15DCC">
        <w:rPr>
          <w:rStyle w:val="AERtextitalic"/>
        </w:rPr>
        <w:t>Report to the AER: Return on equity and comment on submissions in relation to JGN</w:t>
      </w:r>
      <w:r>
        <w:t>, May 2015, p. 17.</w:t>
      </w:r>
    </w:p>
  </w:footnote>
  <w:footnote w:id="818">
    <w:p w:rsidR="003F1AAB" w:rsidRDefault="003F1AAB" w:rsidP="00A71C54">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73</w:t>
      </w:r>
      <w:r>
        <w:rPr>
          <w:rFonts w:cs="Gautami"/>
        </w:rPr>
        <w:t>–</w:t>
      </w:r>
      <w:r>
        <w:t xml:space="preserve">97; </w:t>
      </w:r>
      <w:r w:rsidRPr="00D536CE">
        <w:t xml:space="preserve">J. Handley, </w:t>
      </w:r>
      <w:r w:rsidRPr="00900963">
        <w:rPr>
          <w:rStyle w:val="AERtextitalic"/>
        </w:rPr>
        <w:t>An estimate of the historical equity risk premium for the period 1883 to 2011</w:t>
      </w:r>
      <w:r w:rsidRPr="00D536CE">
        <w:t xml:space="preserve">, April 2012. (Handley, </w:t>
      </w:r>
      <w:r w:rsidRPr="00900963">
        <w:rPr>
          <w:rStyle w:val="AERtextitalic"/>
        </w:rPr>
        <w:t>Historical equity risk premium to 2011</w:t>
      </w:r>
      <w:r w:rsidRPr="00D536CE">
        <w:t>, April 2012).</w:t>
      </w:r>
    </w:p>
  </w:footnote>
  <w:footnote w:id="819">
    <w:p w:rsidR="003F1AAB" w:rsidRDefault="003F1AAB" w:rsidP="00A71C54">
      <w:pPr>
        <w:pStyle w:val="FootnoteText"/>
      </w:pPr>
      <w:r>
        <w:rPr>
          <w:rStyle w:val="FootnoteReference"/>
        </w:rPr>
        <w:footnoteRef/>
      </w:r>
      <w:r>
        <w:t xml:space="preserve"> </w:t>
      </w:r>
      <w:r>
        <w:tab/>
      </w:r>
      <w:r w:rsidRPr="00915FAC">
        <w:t xml:space="preserve">Brailsford, Handley, Maheswaran, ‘Re-examination of the historical equity risk premium in Australia’, </w:t>
      </w:r>
      <w:r w:rsidRPr="00915FAC">
        <w:rPr>
          <w:rStyle w:val="AERtextitalic"/>
        </w:rPr>
        <w:t>Accounting and Finance</w:t>
      </w:r>
      <w:r w:rsidRPr="00915FAC">
        <w:t>, Vol. 48, 2008, pp. 79–81.</w:t>
      </w:r>
    </w:p>
  </w:footnote>
  <w:footnote w:id="820">
    <w:p w:rsidR="003F1AAB" w:rsidRDefault="003F1AAB" w:rsidP="00A71C54">
      <w:pPr>
        <w:pStyle w:val="FootnoteText"/>
      </w:pPr>
      <w:r>
        <w:rPr>
          <w:rStyle w:val="FootnoteReference"/>
        </w:rPr>
        <w:footnoteRef/>
      </w:r>
      <w:r>
        <w:t xml:space="preserve"> </w:t>
      </w:r>
      <w:r>
        <w:tab/>
      </w:r>
      <w:r w:rsidRPr="00915FAC">
        <w:t xml:space="preserve">NERA, </w:t>
      </w:r>
      <w:r w:rsidRPr="00915FAC">
        <w:rPr>
          <w:rStyle w:val="AERtextitalic"/>
        </w:rPr>
        <w:t>The market risk premium, analysis in response to the AER’s draft rate of return guideline: A report for the Energy Networks Association</w:t>
      </w:r>
      <w:r w:rsidRPr="00915FAC">
        <w:t xml:space="preserve">, 11 October 2013. (NERA, </w:t>
      </w:r>
      <w:r w:rsidRPr="00915FAC">
        <w:rPr>
          <w:rStyle w:val="AERtextitalic"/>
        </w:rPr>
        <w:t>Market risk premium for the ENA</w:t>
      </w:r>
      <w:r w:rsidRPr="00915FAC">
        <w:t xml:space="preserve">, October 2013); NERA, </w:t>
      </w:r>
      <w:r w:rsidRPr="00915FAC">
        <w:rPr>
          <w:rStyle w:val="AERtextitalic"/>
        </w:rPr>
        <w:t>The market size and value premiums</w:t>
      </w:r>
      <w:r w:rsidRPr="00915FAC">
        <w:t xml:space="preserve">, June 2013. This alternative adjustment was supported by SFG in its 2014 and 2015 reports for several service providers (see SFG, </w:t>
      </w:r>
      <w:r w:rsidRPr="00915FAC">
        <w:rPr>
          <w:rStyle w:val="AERtextitalic"/>
        </w:rPr>
        <w:t>The required return on equity for regulated gas and electricity network businesses</w:t>
      </w:r>
      <w:r w:rsidRPr="00915FAC">
        <w:t xml:space="preserve">, May 2014, pp. 49–50; SFG, </w:t>
      </w:r>
      <w:r w:rsidRPr="00915FAC">
        <w:rPr>
          <w:rStyle w:val="AERtextitalic"/>
        </w:rPr>
        <w:t>The required return on equity for the benchmark efficient entity</w:t>
      </w:r>
      <w:r w:rsidRPr="00915FAC">
        <w:t>, February 2015, pp. 49–52).</w:t>
      </w:r>
    </w:p>
  </w:footnote>
  <w:footnote w:id="821">
    <w:p w:rsidR="003F1AAB" w:rsidRDefault="003F1AAB" w:rsidP="00A71C54">
      <w:pPr>
        <w:pStyle w:val="FootnoteText"/>
      </w:pPr>
      <w:r>
        <w:rPr>
          <w:rStyle w:val="FootnoteReference"/>
        </w:rPr>
        <w:footnoteRef/>
      </w:r>
      <w:r>
        <w:t xml:space="preserve"> </w:t>
      </w:r>
      <w:r>
        <w:tab/>
      </w:r>
      <w:r w:rsidRPr="00D536CE">
        <w:t xml:space="preserve">NERA, </w:t>
      </w:r>
      <w:r w:rsidRPr="00900963">
        <w:rPr>
          <w:rStyle w:val="AERtextitalic"/>
        </w:rPr>
        <w:t>The market risk premium, analysis in response to the AER’s draft rate of return guideline: A report for the Energy Networks Association</w:t>
      </w:r>
      <w:r>
        <w:t>, 11 October 2013</w:t>
      </w:r>
      <w:r w:rsidRPr="00D536CE">
        <w:t xml:space="preserve">; </w:t>
      </w:r>
      <w:r>
        <w:t xml:space="preserve">NERA, </w:t>
      </w:r>
      <w:r w:rsidRPr="001E253F">
        <w:rPr>
          <w:rStyle w:val="AERtextitalic"/>
        </w:rPr>
        <w:t>The market size and value premiums</w:t>
      </w:r>
      <w:r>
        <w:t xml:space="preserve">, June 2013; NERA, </w:t>
      </w:r>
      <w:r w:rsidRPr="004D0611">
        <w:rPr>
          <w:rStyle w:val="AERtextitalic"/>
        </w:rPr>
        <w:t>Historical estim</w:t>
      </w:r>
      <w:r>
        <w:rPr>
          <w:rStyle w:val="AERtextitalic"/>
        </w:rPr>
        <w:t>ates of the market risk premium</w:t>
      </w:r>
      <w:r>
        <w:t>, February 2015, pp. i–vii</w:t>
      </w:r>
      <w:r w:rsidRPr="00B11FD5">
        <w:t xml:space="preserve"> </w:t>
      </w:r>
      <w:r>
        <w:t xml:space="preserve">; NERA, </w:t>
      </w:r>
      <w:r w:rsidRPr="0070750B">
        <w:rPr>
          <w:rStyle w:val="AERtextitalic"/>
        </w:rPr>
        <w:t xml:space="preserve">Further assessment of the historical </w:t>
      </w:r>
      <w:r>
        <w:rPr>
          <w:rStyle w:val="AERtextitalic"/>
        </w:rPr>
        <w:t>Market Risk Premium</w:t>
      </w:r>
      <w:r w:rsidRPr="0070750B">
        <w:rPr>
          <w:rStyle w:val="AERtextitalic"/>
        </w:rPr>
        <w:t xml:space="preserve">: Response to the AER's final decisions for the NSW </w:t>
      </w:r>
      <w:r>
        <w:rPr>
          <w:rStyle w:val="AERtextitalic"/>
        </w:rPr>
        <w:t>and ACT electricity distributors</w:t>
      </w:r>
      <w:r>
        <w:t xml:space="preserve">, June 2015, pp. 5, 8, 10. NERA's alternative adjustment was supported by SFG in its 2014 and 2015 reports for several service providers, see: SFG, </w:t>
      </w:r>
      <w:r w:rsidRPr="009A4E12">
        <w:rPr>
          <w:rStyle w:val="AERtextitalic"/>
        </w:rPr>
        <w:t>The required return on equity for regulated gas and electricity network businesses</w:t>
      </w:r>
      <w:r>
        <w:t xml:space="preserve">, May 2014, pp. 49–50; </w:t>
      </w:r>
      <w:r w:rsidRPr="002C4DC1">
        <w:t xml:space="preserve">SFG, </w:t>
      </w:r>
      <w:r w:rsidRPr="002C4DC1">
        <w:rPr>
          <w:rStyle w:val="AERtextitalic"/>
        </w:rPr>
        <w:t>The required return on equity for the benchmark efficient entity</w:t>
      </w:r>
      <w:r>
        <w:t xml:space="preserve">, </w:t>
      </w:r>
      <w:r w:rsidRPr="002C4DC1">
        <w:t>February 2015</w:t>
      </w:r>
      <w:r>
        <w:t>, pp. 49–52.</w:t>
      </w:r>
    </w:p>
  </w:footnote>
  <w:footnote w:id="822">
    <w:p w:rsidR="003F1AAB" w:rsidRDefault="003F1AAB" w:rsidP="00A71C54">
      <w:pPr>
        <w:pStyle w:val="FootnoteText"/>
      </w:pPr>
      <w:r>
        <w:rPr>
          <w:rStyle w:val="FootnoteReference"/>
        </w:rPr>
        <w:footnoteRef/>
      </w:r>
      <w:r>
        <w:t xml:space="preserve"> </w:t>
      </w:r>
      <w:r>
        <w:tab/>
        <w:t xml:space="preserve">For example, see AER, </w:t>
      </w:r>
      <w:r w:rsidRPr="00AD44F5">
        <w:rPr>
          <w:rStyle w:val="Emphasis"/>
        </w:rPr>
        <w:t xml:space="preserve">Preliminary decision </w:t>
      </w:r>
      <w:r>
        <w:rPr>
          <w:rStyle w:val="Emphasis"/>
        </w:rPr>
        <w:t>AusNet Services</w:t>
      </w:r>
      <w:r w:rsidRPr="002147A6">
        <w:rPr>
          <w:rStyle w:val="Emphasis"/>
        </w:rPr>
        <w:t xml:space="preserve"> determination 2016 to 2020</w:t>
      </w:r>
      <w:r>
        <w:rPr>
          <w:rStyle w:val="Emphasis"/>
        </w:rPr>
        <w:t xml:space="preserve">: </w:t>
      </w:r>
      <w:r w:rsidRPr="00AD44F5">
        <w:rPr>
          <w:rStyle w:val="Emphasis"/>
        </w:rPr>
        <w:t>Attachment 3 - Rate of return</w:t>
      </w:r>
      <w:r>
        <w:t>, October 2015, pp. 376 - 381.</w:t>
      </w:r>
    </w:p>
  </w:footnote>
  <w:footnote w:id="823">
    <w:p w:rsidR="003F1AAB" w:rsidRDefault="003F1AAB" w:rsidP="00A71C54">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 pp. 83–84.</w:t>
      </w:r>
    </w:p>
  </w:footnote>
  <w:footnote w:id="824">
    <w:p w:rsidR="003F1AAB" w:rsidRDefault="003F1AAB" w:rsidP="00A71C54">
      <w:pPr>
        <w:pStyle w:val="FootnoteText"/>
      </w:pPr>
      <w:r>
        <w:rPr>
          <w:rStyle w:val="FootnoteReference"/>
        </w:rPr>
        <w:footnoteRef/>
      </w:r>
      <w:r>
        <w:t xml:space="preserve"> </w:t>
      </w:r>
      <w:r>
        <w:tab/>
        <w:t xml:space="preserve">Handley, </w:t>
      </w:r>
      <w:r w:rsidRPr="007F105A">
        <w:rPr>
          <w:rStyle w:val="AERtextitalic"/>
        </w:rPr>
        <w:t>Further advice on the return on equity</w:t>
      </w:r>
      <w:r>
        <w:t>, April 2015, p. 8. Houston Kemp notes that NERA's analysis is based on a sample of nine, rather than seven, data points. This does not alter Handley's argument.</w:t>
      </w:r>
    </w:p>
  </w:footnote>
  <w:footnote w:id="825">
    <w:p w:rsidR="003F1AAB" w:rsidRDefault="003F1AAB" w:rsidP="00A71C54">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826">
    <w:p w:rsidR="003F1AAB" w:rsidRDefault="003F1AAB" w:rsidP="00A71C54">
      <w:pPr>
        <w:pStyle w:val="FootnoteText"/>
      </w:pPr>
      <w:r>
        <w:rPr>
          <w:rStyle w:val="FootnoteReference"/>
        </w:rPr>
        <w:footnoteRef/>
      </w:r>
      <w:r>
        <w:t xml:space="preserve"> </w:t>
      </w:r>
      <w:r>
        <w:tab/>
        <w:t xml:space="preserve">Email correspondence from the ASX to Brailsford et al. dated 26 May 2004, reported in </w:t>
      </w:r>
      <w:r w:rsidRPr="00F05A72">
        <w:t xml:space="preserve">Brailsford, Handley, Maheswaran, ‘Re-examination of the historical equity risk premium in Australia’, </w:t>
      </w:r>
      <w:r w:rsidRPr="00F05A72">
        <w:rPr>
          <w:rStyle w:val="AERtextitalic"/>
        </w:rPr>
        <w:t>Accounting and Finance</w:t>
      </w:r>
      <w:r w:rsidRPr="00F05A72">
        <w:t>, Vol. 48, 2008</w:t>
      </w:r>
      <w:r>
        <w:t>, p. 80-81.</w:t>
      </w:r>
    </w:p>
  </w:footnote>
  <w:footnote w:id="827">
    <w:p w:rsidR="003F1AAB" w:rsidRDefault="003F1AAB" w:rsidP="00A71C54">
      <w:pPr>
        <w:pStyle w:val="FootnoteText"/>
      </w:pPr>
      <w:r>
        <w:rPr>
          <w:rStyle w:val="FootnoteReference"/>
        </w:rPr>
        <w:footnoteRef/>
      </w:r>
      <w:r>
        <w:t xml:space="preserve"> </w:t>
      </w:r>
      <w:r>
        <w:tab/>
        <w:t xml:space="preserve">See NERA, </w:t>
      </w:r>
      <w:r w:rsidRPr="004D0611">
        <w:rPr>
          <w:rStyle w:val="AERtextitalic"/>
        </w:rPr>
        <w:t>Historical estim</w:t>
      </w:r>
      <w:r>
        <w:rPr>
          <w:rStyle w:val="AERtextitalic"/>
        </w:rPr>
        <w:t>ates of the market risk premium</w:t>
      </w:r>
      <w:r>
        <w:t>, February 2015, p. vi.</w:t>
      </w:r>
    </w:p>
  </w:footnote>
  <w:footnote w:id="828">
    <w:p w:rsidR="003F1AAB" w:rsidRDefault="003F1AAB" w:rsidP="00A71C54">
      <w:pPr>
        <w:pStyle w:val="FootnoteText"/>
      </w:pPr>
      <w:r>
        <w:rPr>
          <w:rStyle w:val="FootnoteReference"/>
        </w:rPr>
        <w:footnoteRef/>
      </w:r>
      <w:r>
        <w:t xml:space="preserve"> </w:t>
      </w:r>
      <w:r>
        <w:tab/>
      </w:r>
      <w:r w:rsidRPr="00C73AC0">
        <w:t xml:space="preserve">Handley, </w:t>
      </w:r>
      <w:r>
        <w:rPr>
          <w:rStyle w:val="AERtextitalic"/>
        </w:rPr>
        <w:t>Advice on the r</w:t>
      </w:r>
      <w:r w:rsidRPr="00C73AC0">
        <w:rPr>
          <w:rStyle w:val="AERtextitalic"/>
        </w:rPr>
        <w:t>eturn</w:t>
      </w:r>
      <w:r>
        <w:rPr>
          <w:rStyle w:val="AERtextitalic"/>
        </w:rPr>
        <w:t xml:space="preserve"> on e</w:t>
      </w:r>
      <w:r w:rsidRPr="00C73AC0">
        <w:rPr>
          <w:rStyle w:val="AERtextitalic"/>
        </w:rPr>
        <w:t>quity</w:t>
      </w:r>
      <w:r w:rsidRPr="00C73AC0">
        <w:t>, October 2014</w:t>
      </w:r>
      <w:r>
        <w:t>, p. 19</w:t>
      </w:r>
    </w:p>
  </w:footnote>
  <w:footnote w:id="829">
    <w:p w:rsidR="003F1AAB" w:rsidRDefault="003F1AAB" w:rsidP="00A71C54">
      <w:pPr>
        <w:pStyle w:val="FootnoteText"/>
      </w:pPr>
      <w:r>
        <w:rPr>
          <w:rStyle w:val="FootnoteReference"/>
        </w:rPr>
        <w:footnoteRef/>
      </w:r>
      <w:r>
        <w:t xml:space="preserve"> </w:t>
      </w:r>
      <w:r>
        <w:tab/>
        <w:t xml:space="preserve">Handley, </w:t>
      </w:r>
      <w:r w:rsidRPr="00E56D74">
        <w:rPr>
          <w:rStyle w:val="AERtextitalic"/>
        </w:rPr>
        <w:t>Advice on the rate of return for the 2015 AER energy network determination for Jemena Gas Networks</w:t>
      </w:r>
      <w:r>
        <w:t>, May 2015, p. 27.</w:t>
      </w:r>
    </w:p>
  </w:footnote>
  <w:footnote w:id="830">
    <w:p w:rsidR="003F1AAB" w:rsidRDefault="003F1AAB" w:rsidP="00A71C54">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75.</w:t>
      </w:r>
    </w:p>
  </w:footnote>
  <w:footnote w:id="831">
    <w:p w:rsidR="003F1AAB" w:rsidRDefault="003F1AAB" w:rsidP="00A71C54">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pp</w:t>
      </w:r>
      <w:r w:rsidRPr="00F05A72">
        <w:t xml:space="preserve">. </w:t>
      </w:r>
      <w:r>
        <w:t>76–77.</w:t>
      </w:r>
    </w:p>
  </w:footnote>
  <w:footnote w:id="832">
    <w:p w:rsidR="003F1AAB" w:rsidRDefault="003F1AAB" w:rsidP="00A71C54">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77.</w:t>
      </w:r>
    </w:p>
  </w:footnote>
  <w:footnote w:id="833">
    <w:p w:rsidR="003F1AAB" w:rsidRDefault="003F1AAB" w:rsidP="00A71C54">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834">
    <w:p w:rsidR="003F1AAB" w:rsidRDefault="003F1AAB" w:rsidP="00A71C54">
      <w:pPr>
        <w:pStyle w:val="FootnoteText"/>
      </w:pPr>
      <w:r>
        <w:rPr>
          <w:rStyle w:val="FootnoteReference"/>
        </w:rPr>
        <w:footnoteRef/>
      </w:r>
      <w:r>
        <w:t xml:space="preserve"> </w:t>
      </w:r>
      <w:r>
        <w:tab/>
        <w:t xml:space="preserve">AER, </w:t>
      </w:r>
      <w:r>
        <w:rPr>
          <w:rStyle w:val="AERtextitalic"/>
        </w:rPr>
        <w:t>Explanatory statement rate of return guideline (appendices)</w:t>
      </w:r>
      <w:r>
        <w:t>, December 2013, p. 84.</w:t>
      </w:r>
    </w:p>
  </w:footnote>
  <w:footnote w:id="835">
    <w:p w:rsidR="003F1AAB" w:rsidRDefault="003F1AAB" w:rsidP="00A71C54">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836">
    <w:p w:rsidR="003F1AAB" w:rsidRDefault="003F1AAB" w:rsidP="00A71C54">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 p. 34; Partington, </w:t>
      </w:r>
      <w:r w:rsidRPr="002B4402">
        <w:rPr>
          <w:rStyle w:val="Emphasis"/>
        </w:rPr>
        <w:t>Report to the AER: Return on equity (Updated)</w:t>
      </w:r>
      <w:r>
        <w:t xml:space="preserve">, April 2015, p. 53; McKenzie and Partington, </w:t>
      </w:r>
      <w:r w:rsidRPr="002B4402">
        <w:rPr>
          <w:rStyle w:val="Emphasis"/>
        </w:rPr>
        <w:t>The DGM</w:t>
      </w:r>
      <w:r>
        <w:t xml:space="preserve">, December 2013, p. 24. </w:t>
      </w:r>
    </w:p>
  </w:footnote>
  <w:footnote w:id="837">
    <w:p w:rsidR="003F1AAB" w:rsidRDefault="003F1AAB" w:rsidP="00A71C54">
      <w:pPr>
        <w:pStyle w:val="FootnoteText"/>
      </w:pPr>
      <w:r>
        <w:rPr>
          <w:rStyle w:val="FootnoteReference"/>
        </w:rPr>
        <w:footnoteRef/>
      </w:r>
      <w:r>
        <w:t xml:space="preserve"> </w:t>
      </w:r>
      <w:r>
        <w:tab/>
        <w:t xml:space="preserve">The extreme values include the Lally/Barra growth estimate of 0.31% and the CEG estimate of 6.5%. See: McKenzie and Partington, </w:t>
      </w:r>
      <w:r w:rsidRPr="00B9639C">
        <w:rPr>
          <w:rStyle w:val="Emphasis"/>
        </w:rPr>
        <w:t>The DGM</w:t>
      </w:r>
      <w:r>
        <w:t xml:space="preserve">, December 2013, p. 15. Note McKenzie and Partington call the market value return on equity, the 'cost of equity'. </w:t>
      </w:r>
    </w:p>
  </w:footnote>
  <w:footnote w:id="838">
    <w:p w:rsidR="003F1AAB" w:rsidRDefault="003F1AAB" w:rsidP="00A71C54">
      <w:pPr>
        <w:pStyle w:val="FootnoteText"/>
      </w:pPr>
      <w:r>
        <w:rPr>
          <w:rStyle w:val="FootnoteReference"/>
        </w:rPr>
        <w:footnoteRef/>
      </w:r>
      <w:r>
        <w:t xml:space="preserve"> </w:t>
      </w:r>
      <w:r>
        <w:tab/>
        <w:t>A</w:t>
      </w:r>
      <w:r w:rsidRPr="00B4711B">
        <w:t>s applied in its 2014 report</w:t>
      </w:r>
      <w:r>
        <w:t xml:space="preserve">. SFG, </w:t>
      </w:r>
      <w:r>
        <w:rPr>
          <w:rStyle w:val="AERtextitalic"/>
        </w:rPr>
        <w:t>Alternative versions of the dividend discount model and the implied cost of equity</w:t>
      </w:r>
      <w:r>
        <w:t>, 15 May 2014.</w:t>
      </w:r>
    </w:p>
  </w:footnote>
  <w:footnote w:id="839">
    <w:p w:rsidR="003F1AAB" w:rsidRDefault="003F1AAB" w:rsidP="00A71C54">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w:t>
      </w:r>
    </w:p>
  </w:footnote>
  <w:footnote w:id="840">
    <w:p w:rsidR="003F1AAB" w:rsidRDefault="003F1AAB" w:rsidP="00A71C54">
      <w:pPr>
        <w:pStyle w:val="FootnoteText"/>
      </w:pPr>
      <w:r>
        <w:rPr>
          <w:rStyle w:val="FootnoteReference"/>
        </w:rPr>
        <w:footnoteRef/>
      </w:r>
      <w:r>
        <w:t xml:space="preserve"> </w:t>
      </w:r>
      <w:r>
        <w:tab/>
        <w:t xml:space="preserve">McKenzie and Partington, </w:t>
      </w:r>
      <w:r>
        <w:rPr>
          <w:rStyle w:val="AERtextitalic"/>
        </w:rPr>
        <w:t>Report to the AER: The DGM</w:t>
      </w:r>
      <w:r>
        <w:t xml:space="preserve">, 14 December 2013, pp. 8–9; McKenzie and Partington, </w:t>
      </w:r>
      <w:r>
        <w:rPr>
          <w:rStyle w:val="AERtextitalic"/>
        </w:rPr>
        <w:t>Report to the AER, Part A: Return on equity</w:t>
      </w:r>
      <w:r>
        <w:t>, October</w:t>
      </w:r>
      <w:r w:rsidDel="008662AA">
        <w:t xml:space="preserve"> </w:t>
      </w:r>
      <w:r>
        <w:t xml:space="preserve">2014, p. 26, </w:t>
      </w:r>
      <w:r w:rsidRPr="00B923B2">
        <w:t xml:space="preserve">Partington, </w:t>
      </w:r>
      <w:r w:rsidRPr="00B923B2">
        <w:rPr>
          <w:rStyle w:val="AERtextitalic"/>
        </w:rPr>
        <w:t>Report to the AER: Return on equity (Updated)</w:t>
      </w:r>
      <w:r w:rsidRPr="00B923B2">
        <w:t>, April 2015</w:t>
      </w:r>
      <w:r>
        <w:t>, p. 46.</w:t>
      </w:r>
    </w:p>
  </w:footnote>
  <w:footnote w:id="841">
    <w:p w:rsidR="003F1AAB" w:rsidRDefault="003F1AAB" w:rsidP="00A71C54">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842">
    <w:p w:rsidR="003F1AAB" w:rsidRDefault="003F1AAB" w:rsidP="00A71C54">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843">
    <w:p w:rsidR="003F1AAB" w:rsidRDefault="003F1AAB" w:rsidP="00A71C54">
      <w:pPr>
        <w:pStyle w:val="FootnoteText"/>
      </w:pPr>
      <w:r>
        <w:rPr>
          <w:rStyle w:val="FootnoteReference"/>
        </w:rPr>
        <w:footnoteRef/>
      </w:r>
      <w:r>
        <w:t xml:space="preserve"> </w:t>
      </w:r>
      <w:r>
        <w:tab/>
        <w:t>Rather than target prices.</w:t>
      </w:r>
    </w:p>
  </w:footnote>
  <w:footnote w:id="844">
    <w:p w:rsidR="003F1AAB" w:rsidRDefault="003F1AAB" w:rsidP="00A71C54">
      <w:pPr>
        <w:pStyle w:val="FootnoteText"/>
      </w:pPr>
      <w:r>
        <w:rPr>
          <w:rStyle w:val="FootnoteReference"/>
        </w:rPr>
        <w:footnoteRef/>
      </w:r>
      <w:r>
        <w:t xml:space="preserve"> </w:t>
      </w:r>
      <w:r>
        <w:tab/>
        <w:t>Assumed to be 2.5 per cent, which is the mid-point of the RBA's target inflation band.</w:t>
      </w:r>
    </w:p>
  </w:footnote>
  <w:footnote w:id="845">
    <w:p w:rsidR="003F1AAB" w:rsidRDefault="003F1AAB" w:rsidP="00A71C54">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846">
    <w:p w:rsidR="003F1AAB" w:rsidRDefault="003F1AAB" w:rsidP="00A71C54">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xml:space="preserve">, 15 May 2014;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847">
    <w:p w:rsidR="003F1AAB" w:rsidRDefault="003F1AAB" w:rsidP="00A71C54">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848">
    <w:p w:rsidR="003F1AAB" w:rsidRDefault="003F1AAB" w:rsidP="00A71C54">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849">
    <w:p w:rsidR="003F1AAB" w:rsidRDefault="003F1AAB" w:rsidP="00A71C54">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850">
    <w:p w:rsidR="003F1AAB" w:rsidRDefault="003F1AAB" w:rsidP="00A71C54">
      <w:pPr>
        <w:pStyle w:val="FootnoteText"/>
      </w:pPr>
      <w:r>
        <w:rPr>
          <w:rStyle w:val="FootnoteReference"/>
        </w:rPr>
        <w:footnoteRef/>
      </w:r>
      <w:r>
        <w:t xml:space="preserve"> </w:t>
      </w:r>
      <w:r>
        <w:tab/>
        <w:t>Although they use a different value for the assumed utilisation rate of imputation credits.</w:t>
      </w:r>
    </w:p>
  </w:footnote>
  <w:footnote w:id="851">
    <w:p w:rsidR="003F1AAB" w:rsidRDefault="003F1AAB" w:rsidP="00A71C54">
      <w:pPr>
        <w:pStyle w:val="FootnoteText"/>
      </w:pPr>
      <w:r>
        <w:rPr>
          <w:rStyle w:val="FootnoteReference"/>
        </w:rPr>
        <w:footnoteRef/>
      </w:r>
      <w:r>
        <w:t xml:space="preserve"> </w:t>
      </w:r>
      <w:r>
        <w:tab/>
        <w:t xml:space="preserve">AusNet Services adopts the market risk premium estimates of Frontier Economics, see: Frontier Economics, </w:t>
      </w:r>
      <w:r>
        <w:rPr>
          <w:rStyle w:val="AERtextitalic"/>
        </w:rPr>
        <w:t>an updated estimate of the required return on equity, Report prepared for AusNet Services</w:t>
      </w:r>
      <w:r>
        <w:t>, August 2015, p. 6.</w:t>
      </w:r>
    </w:p>
  </w:footnote>
  <w:footnote w:id="852">
    <w:p w:rsidR="003F1AAB" w:rsidRDefault="003F1AAB" w:rsidP="00A71C54">
      <w:pPr>
        <w:pStyle w:val="FootnoteText"/>
      </w:pPr>
      <w:r>
        <w:rPr>
          <w:rStyle w:val="FootnoteReference"/>
        </w:rPr>
        <w:footnoteRef/>
      </w:r>
      <w:r>
        <w:t xml:space="preserve"> </w:t>
      </w:r>
      <w:r>
        <w:tab/>
        <w:t xml:space="preserve">Lally, </w:t>
      </w:r>
      <w:r>
        <w:rPr>
          <w:rStyle w:val="AERtextitalic"/>
        </w:rPr>
        <w:t>The DGM</w:t>
      </w:r>
      <w:r>
        <w:t xml:space="preserve">, 4 March 2013; McKenzie and Partington, </w:t>
      </w:r>
      <w:r>
        <w:rPr>
          <w:rStyle w:val="AERtextitalic"/>
        </w:rPr>
        <w:t>The DGM</w:t>
      </w:r>
      <w:r>
        <w:t xml:space="preserve">, December 2013, pp. 4–5; McKenzie and Partington, </w:t>
      </w:r>
      <w:r>
        <w:rPr>
          <w:rStyle w:val="AERtextitalic"/>
        </w:rPr>
        <w:t>Report to the AER, Part A: Return on equity</w:t>
      </w:r>
      <w:r w:rsidRPr="008662AA">
        <w:t xml:space="preserve"> </w:t>
      </w:r>
      <w:r>
        <w:t>October</w:t>
      </w:r>
      <w:r w:rsidDel="008662AA">
        <w:t xml:space="preserve"> </w:t>
      </w:r>
      <w:r>
        <w:t xml:space="preserve">2014, pp. 26–30; </w:t>
      </w:r>
      <w:r w:rsidRPr="0075006F">
        <w:t>Partington, Report to the AER: Return on equity (Updated), April 2015</w:t>
      </w:r>
      <w:r>
        <w:t xml:space="preserve">, pp. 46–50. </w:t>
      </w:r>
    </w:p>
  </w:footnote>
  <w:footnote w:id="853">
    <w:p w:rsidR="003F1AAB" w:rsidRDefault="003F1AAB" w:rsidP="00A71C54">
      <w:pPr>
        <w:pStyle w:val="FootnoteText"/>
      </w:pPr>
      <w:r>
        <w:rPr>
          <w:rStyle w:val="FootnoteReference"/>
        </w:rPr>
        <w:footnoteRef/>
      </w:r>
      <w:r>
        <w:t xml:space="preserve"> </w:t>
      </w:r>
      <w:r>
        <w:tab/>
        <w:t>W</w:t>
      </w:r>
      <w:r w:rsidRPr="00477869">
        <w:t>hich is the share of the operating cash flow available for owners</w:t>
      </w:r>
      <w:r>
        <w:t xml:space="preserve">. See: McKenzie and Partington, </w:t>
      </w:r>
      <w:r>
        <w:rPr>
          <w:rStyle w:val="AERtextitalic"/>
        </w:rPr>
        <w:t>Report to the AER, Part A: Return on equity</w:t>
      </w:r>
      <w:r w:rsidRPr="008662AA">
        <w:t xml:space="preserve"> </w:t>
      </w:r>
      <w:r>
        <w:t>October</w:t>
      </w:r>
      <w:r w:rsidDel="008662AA">
        <w:t xml:space="preserve"> </w:t>
      </w:r>
      <w:r>
        <w:t xml:space="preserve">2014, p. 27; </w:t>
      </w:r>
      <w:r w:rsidRPr="00B923B2">
        <w:t xml:space="preserve">Partington, </w:t>
      </w:r>
      <w:r w:rsidRPr="00B923B2">
        <w:rPr>
          <w:rStyle w:val="AERtextitalic"/>
        </w:rPr>
        <w:t>Report to the AER: Return on equity (Updated)</w:t>
      </w:r>
      <w:r w:rsidRPr="00B923B2">
        <w:t>, April 2015</w:t>
      </w:r>
      <w:r>
        <w:t xml:space="preserve">, p. 47.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854">
    <w:p w:rsidR="003F1AAB" w:rsidRDefault="003F1AAB" w:rsidP="00A71C54">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855">
    <w:p w:rsidR="003F1AAB" w:rsidRDefault="003F1AAB" w:rsidP="00A71C54">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856">
    <w:p w:rsidR="003F1AAB" w:rsidRDefault="003F1AAB" w:rsidP="00A71C54">
      <w:pPr>
        <w:pStyle w:val="FootnoteText"/>
      </w:pPr>
      <w:r>
        <w:rPr>
          <w:rStyle w:val="FootnoteReference"/>
        </w:rPr>
        <w:footnoteRef/>
      </w:r>
      <w:r>
        <w:t xml:space="preserve"> </w:t>
      </w:r>
      <w:r>
        <w:tab/>
        <w:t xml:space="preserve">Frontier Economics, </w:t>
      </w:r>
      <w:r w:rsidRPr="006E4497">
        <w:rPr>
          <w:rStyle w:val="AERtextitalic"/>
        </w:rPr>
        <w:t>The relationship between government bond yields and the market risk premium</w:t>
      </w:r>
      <w:r>
        <w:t>, January 2016, p. 39.</w:t>
      </w:r>
    </w:p>
  </w:footnote>
  <w:footnote w:id="857">
    <w:p w:rsidR="003F1AAB" w:rsidRDefault="003F1AAB" w:rsidP="00A71C54">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rsidRPr="000C6847">
        <w:t>February 2016</w:t>
      </w:r>
      <w:r>
        <w:t>, p. 24.</w:t>
      </w:r>
    </w:p>
  </w:footnote>
  <w:footnote w:id="858">
    <w:p w:rsidR="003F1AAB" w:rsidRDefault="003F1AAB" w:rsidP="00A71C54">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859">
    <w:p w:rsidR="003F1AAB" w:rsidRDefault="003F1AAB" w:rsidP="00A71C54">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860">
    <w:p w:rsidR="003F1AAB" w:rsidRDefault="003F1AAB" w:rsidP="00A71C54">
      <w:pPr>
        <w:pStyle w:val="FootnoteText"/>
      </w:pPr>
      <w:r>
        <w:rPr>
          <w:rStyle w:val="FootnoteReference"/>
        </w:rPr>
        <w:footnoteRef/>
      </w:r>
      <w:r>
        <w:t xml:space="preserve"> </w:t>
      </w:r>
      <w:r>
        <w:tab/>
        <w:t xml:space="preserve">Frontier Economics, </w:t>
      </w:r>
      <w:r w:rsidRPr="00F85858">
        <w:rPr>
          <w:rStyle w:val="AERtextitalic"/>
        </w:rPr>
        <w:t>The relationship between government bond yields and the market risk premium</w:t>
      </w:r>
      <w:r>
        <w:t>, January 2016, p. 39.</w:t>
      </w:r>
    </w:p>
  </w:footnote>
  <w:footnote w:id="861">
    <w:p w:rsidR="003F1AAB" w:rsidRDefault="003F1AAB" w:rsidP="00A71C54">
      <w:pPr>
        <w:pStyle w:val="FootnoteText"/>
      </w:pPr>
      <w:r>
        <w:rPr>
          <w:rStyle w:val="FootnoteReference"/>
        </w:rPr>
        <w:footnoteRef/>
      </w:r>
      <w:r>
        <w:t xml:space="preserve"> </w:t>
      </w:r>
      <w:r>
        <w:tab/>
        <w:t>While t</w:t>
      </w:r>
      <w:r w:rsidRPr="00A0544B">
        <w:t>he JP Morgan report concerns the United States market</w:t>
      </w:r>
      <w:r>
        <w:t>,</w:t>
      </w:r>
      <w:r w:rsidRPr="00A0544B">
        <w:t xml:space="preserve"> </w:t>
      </w:r>
      <w:r>
        <w:t xml:space="preserve">Frontier referred to the report as providing insights transferrable to an Australian context (Frontier Economics, </w:t>
      </w:r>
      <w:r w:rsidRPr="00E76825">
        <w:rPr>
          <w:rStyle w:val="AERtextitalic"/>
        </w:rPr>
        <w:t>The relationship between government bond yields and the market risk premium</w:t>
      </w:r>
      <w:r>
        <w:t>, January 2016, p. 23).</w:t>
      </w:r>
    </w:p>
  </w:footnote>
  <w:footnote w:id="862">
    <w:p w:rsidR="003F1AAB" w:rsidRDefault="003F1AAB" w:rsidP="00A71C54">
      <w:pPr>
        <w:pStyle w:val="FootnoteText"/>
      </w:pPr>
      <w:r>
        <w:rPr>
          <w:rStyle w:val="FootnoteReference"/>
        </w:rPr>
        <w:footnoteRef/>
      </w:r>
      <w:r>
        <w:t xml:space="preserve"> </w:t>
      </w:r>
      <w:r>
        <w:tab/>
        <w:t xml:space="preserve">JP Morgan, </w:t>
      </w:r>
      <w:r w:rsidRPr="00E66299">
        <w:rPr>
          <w:rStyle w:val="Emphasis"/>
        </w:rPr>
        <w:t>Musing on low cost of debt and high risk premia</w:t>
      </w:r>
      <w:r>
        <w:t xml:space="preserve">, April 2012, pp. 2–3. </w:t>
      </w:r>
    </w:p>
  </w:footnote>
  <w:footnote w:id="863">
    <w:p w:rsidR="003F1AAB" w:rsidRDefault="003F1AAB" w:rsidP="00A71C54">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864">
    <w:p w:rsidR="003F1AAB" w:rsidRDefault="003F1AAB" w:rsidP="00A71C54">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865">
    <w:p w:rsidR="003F1AAB" w:rsidRDefault="003F1AAB" w:rsidP="00A71C54">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866">
    <w:p w:rsidR="003F1AAB" w:rsidRDefault="003F1AAB" w:rsidP="00A71C54">
      <w:pPr>
        <w:pStyle w:val="FootnoteText"/>
      </w:pPr>
      <w:r>
        <w:rPr>
          <w:rStyle w:val="FootnoteReference"/>
        </w:rPr>
        <w:footnoteRef/>
      </w:r>
      <w:r>
        <w:t xml:space="preserve"> </w:t>
      </w:r>
      <w:r>
        <w:tab/>
        <w:t xml:space="preserve">See: AER, </w:t>
      </w:r>
      <w:r w:rsidRPr="00EA536A">
        <w:t>Explanatory statement—Rate of return guideline</w:t>
      </w:r>
      <w:r>
        <w:t>, December 2013, pp. 94 and 97.</w:t>
      </w:r>
    </w:p>
  </w:footnote>
  <w:footnote w:id="867">
    <w:p w:rsidR="003F1AAB" w:rsidRDefault="003F1AAB" w:rsidP="00A71C54">
      <w:pPr>
        <w:pStyle w:val="FootnoteText"/>
      </w:pPr>
      <w:r>
        <w:rPr>
          <w:rStyle w:val="FootnoteReference"/>
        </w:rPr>
        <w:footnoteRef/>
      </w:r>
      <w:r>
        <w:t xml:space="preserve"> </w:t>
      </w:r>
      <w:r>
        <w:tab/>
      </w:r>
      <w:r w:rsidRPr="00662A8A">
        <w:t xml:space="preserve">See, for example, AER, </w:t>
      </w:r>
      <w:r w:rsidRPr="00900963">
        <w:rPr>
          <w:rStyle w:val="AERtextitalic"/>
        </w:rPr>
        <w:t>Final decision: Envestra Ltd access arrangement proposal for the SA gas network 2011–2016</w:t>
      </w:r>
      <w:r>
        <w:t xml:space="preserve">, June 2011, pp. 195–197; </w:t>
      </w:r>
      <w:r w:rsidRPr="00533C39">
        <w:t xml:space="preserve">VAA, </w:t>
      </w:r>
      <w:r w:rsidRPr="00900963">
        <w:rPr>
          <w:rStyle w:val="AERtextitalic"/>
        </w:rPr>
        <w:t>MRP for Envestra</w:t>
      </w:r>
      <w:r>
        <w:t xml:space="preserve">, March 2011, p. 4. </w:t>
      </w:r>
    </w:p>
  </w:footnote>
  <w:footnote w:id="868">
    <w:p w:rsidR="003F1AAB" w:rsidRDefault="003F1AAB" w:rsidP="00A71C54">
      <w:pPr>
        <w:pStyle w:val="FootnoteText"/>
      </w:pPr>
      <w:r>
        <w:rPr>
          <w:rStyle w:val="FootnoteReference"/>
        </w:rPr>
        <w:footnoteRef/>
      </w:r>
      <w:r>
        <w:t xml:space="preserve"> </w:t>
      </w:r>
      <w:r>
        <w:tab/>
        <w:t xml:space="preserve">We note that, during the Guideline development process in 2013, the ENA </w:t>
      </w:r>
      <w:r w:rsidRPr="001100AD">
        <w:t>recently submitted there is a high degree of uncertainty over the relevance of implied volatility.</w:t>
      </w:r>
      <w:r>
        <w:t xml:space="preserve"> See </w:t>
      </w:r>
      <w:r w:rsidRPr="00662A8A">
        <w:t xml:space="preserve">ENA, </w:t>
      </w:r>
      <w:r w:rsidRPr="00900963">
        <w:rPr>
          <w:rStyle w:val="AERtextitalic"/>
        </w:rPr>
        <w:t>Response to the draft guideline</w:t>
      </w:r>
      <w:r w:rsidRPr="00662A8A">
        <w:t>, October 2013, p. 47.</w:t>
      </w:r>
      <w:r>
        <w:t xml:space="preserve"> </w:t>
      </w:r>
    </w:p>
  </w:footnote>
  <w:footnote w:id="869">
    <w:p w:rsidR="003F1AAB" w:rsidRDefault="003F1AAB" w:rsidP="00A71C54">
      <w:pPr>
        <w:pStyle w:val="FootnoteText"/>
      </w:pPr>
      <w:r>
        <w:rPr>
          <w:rStyle w:val="FootnoteReference"/>
        </w:rPr>
        <w:footnoteRef/>
      </w:r>
      <w:r>
        <w:t xml:space="preserve"> </w:t>
      </w:r>
      <w:r>
        <w:tab/>
        <w:t xml:space="preserve">See, Figure 3-6: Implied volatility (VIX) over time; Figure 3-7: Dividends yields; Figure 3-8 Australian bond spreads over government yields. </w:t>
      </w:r>
    </w:p>
  </w:footnote>
  <w:footnote w:id="870">
    <w:p w:rsidR="003F1AAB" w:rsidRDefault="003F1AAB" w:rsidP="00A71C54">
      <w:pPr>
        <w:pStyle w:val="FootnoteText"/>
      </w:pPr>
      <w:r>
        <w:rPr>
          <w:rStyle w:val="FootnoteReference"/>
        </w:rPr>
        <w:footnoteRef/>
      </w:r>
      <w:r>
        <w:t xml:space="preserve"> </w:t>
      </w:r>
      <w:r>
        <w:tab/>
        <w:t xml:space="preserve">See, Figure 3-9: </w:t>
      </w:r>
      <w:r w:rsidRPr="00866A7A">
        <w:t>State government bond spreads over government yields</w:t>
      </w:r>
      <w:r>
        <w:t xml:space="preserve">; Figure 3-10: Comparison of equity and debt premiums. </w:t>
      </w:r>
    </w:p>
  </w:footnote>
  <w:footnote w:id="871">
    <w:p w:rsidR="003F1AAB" w:rsidRDefault="003F1AAB" w:rsidP="00A71C54">
      <w:pPr>
        <w:pStyle w:val="FootnoteText"/>
      </w:pPr>
      <w:r>
        <w:rPr>
          <w:rStyle w:val="FootnoteReference"/>
        </w:rPr>
        <w:footnoteRef/>
      </w:r>
      <w:r>
        <w:t xml:space="preserve"> </w:t>
      </w:r>
      <w:r>
        <w:tab/>
      </w:r>
      <w:r w:rsidRPr="003D3E0E">
        <w:t xml:space="preserve">This was based on Merton, R.C., 'On Estimating the Expected Return on the Market: An Exploratory Investigation', </w:t>
      </w:r>
      <w:r w:rsidRPr="00900963">
        <w:rPr>
          <w:rStyle w:val="AERtextitalic"/>
        </w:rPr>
        <w:t>Journal of Financial Economics</w:t>
      </w:r>
      <w:r>
        <w:t xml:space="preserve">, 1980, Vol. 8, </w:t>
      </w:r>
      <w:r w:rsidRPr="003D3E0E">
        <w:t>pp. 323</w:t>
      </w:r>
      <w:r>
        <w:rPr>
          <w:rFonts w:cs="Gautami"/>
        </w:rPr>
        <w:t>–</w:t>
      </w:r>
      <w:r w:rsidRPr="003D3E0E">
        <w:t>361.</w:t>
      </w:r>
    </w:p>
  </w:footnote>
  <w:footnote w:id="872">
    <w:p w:rsidR="003F1AAB" w:rsidRDefault="003F1AAB" w:rsidP="00A71C54">
      <w:pPr>
        <w:pStyle w:val="FootnoteText"/>
      </w:pPr>
      <w:r>
        <w:rPr>
          <w:rStyle w:val="FootnoteReference"/>
        </w:rPr>
        <w:footnoteRef/>
      </w:r>
      <w:r>
        <w:t xml:space="preserve"> </w:t>
      </w:r>
      <w:r>
        <w:tab/>
        <w:t xml:space="preserve">This averaging period is from 26 February 2016 to 24 March 2016.  </w:t>
      </w:r>
    </w:p>
  </w:footnote>
  <w:footnote w:id="873">
    <w:p w:rsidR="003F1AAB" w:rsidRDefault="003F1AAB" w:rsidP="00A71C54">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874">
    <w:p w:rsidR="003F1AAB" w:rsidRDefault="003F1AAB" w:rsidP="00A71C54">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875">
    <w:p w:rsidR="003F1AAB" w:rsidRDefault="003F1AAB" w:rsidP="00A71C54">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876">
    <w:p w:rsidR="003F1AAB" w:rsidRDefault="003F1AAB" w:rsidP="00A71C54">
      <w:pPr>
        <w:pStyle w:val="FootnoteText"/>
      </w:pPr>
      <w:r>
        <w:rPr>
          <w:rStyle w:val="FootnoteReference"/>
        </w:rPr>
        <w:footnoteRef/>
      </w:r>
      <w:r>
        <w:t xml:space="preserve"> </w:t>
      </w:r>
      <w:r>
        <w:tab/>
        <w:t>Efficient financing costs for a benchmark efficient entity with a similar degree of risk as that which applies to the distribution (or transmission) network service provider in respect of the provision of standard control services (or prescribed transmission services). See: NER, cl. 6.5.2(c); NER, cl. 6A.6.2(c); NGR, r.87(3).</w:t>
      </w:r>
    </w:p>
  </w:footnote>
  <w:footnote w:id="877">
    <w:p w:rsidR="003F1AAB" w:rsidRDefault="003F1AAB" w:rsidP="00A71C54">
      <w:pPr>
        <w:pStyle w:val="FootnoteText"/>
      </w:pPr>
      <w:r>
        <w:rPr>
          <w:rStyle w:val="FootnoteReference"/>
        </w:rPr>
        <w:footnoteRef/>
      </w:r>
      <w:r>
        <w:t xml:space="preserve"> </w:t>
      </w:r>
      <w:r>
        <w:tab/>
        <w:t xml:space="preserve">Based on the spread to CGS from our estimation of the cost of debt (based on an average of the RBA's data (on yield to maturity on BBB-rated corporate bonds with a ten year term and the Bloomberg BBB–rated AUD BVAL curve). </w:t>
      </w:r>
    </w:p>
  </w:footnote>
  <w:footnote w:id="878">
    <w:p w:rsidR="003F1AAB" w:rsidRDefault="003F1AAB" w:rsidP="00A71C54">
      <w:pPr>
        <w:pStyle w:val="FootnoteText"/>
      </w:pPr>
      <w:r>
        <w:rPr>
          <w:rStyle w:val="FootnoteReference"/>
        </w:rPr>
        <w:footnoteRef/>
      </w:r>
      <w:r>
        <w:t xml:space="preserve"> </w:t>
      </w:r>
      <w:r>
        <w:tab/>
        <w:t>Based on a proposed return on equity of 10 per cent and a proposed  risk free rate of 3.02 per cent (see: AusNet Services</w:t>
      </w:r>
      <w:r w:rsidRPr="00172CD0">
        <w:rPr>
          <w:rStyle w:val="AERtextitalic"/>
        </w:rPr>
        <w:t>, AusNet Transmission Group Pty Ltd transmission revenue review 2017–2022</w:t>
      </w:r>
      <w:r>
        <w:t>, 30 October 2015, pp. 265–266).</w:t>
      </w:r>
    </w:p>
  </w:footnote>
  <w:footnote w:id="879">
    <w:p w:rsidR="003F1AAB" w:rsidRDefault="003F1AAB" w:rsidP="00A71C54">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880">
    <w:p w:rsidR="003F1AAB" w:rsidRDefault="003F1AAB" w:rsidP="00A71C54">
      <w:pPr>
        <w:pStyle w:val="FootnoteText"/>
      </w:pPr>
      <w:r>
        <w:rPr>
          <w:rStyle w:val="FootnoteReference"/>
        </w:rPr>
        <w:footnoteRef/>
      </w:r>
      <w:r>
        <w:t xml:space="preserve"> </w:t>
      </w:r>
      <w:r>
        <w:tab/>
        <w:t>We consider that promised returns will always exceed expected returns</w:t>
      </w:r>
      <w:r w:rsidRPr="008B291A">
        <w:t xml:space="preserve"> </w:t>
      </w:r>
      <w:r>
        <w:t>and pre-</w:t>
      </w:r>
      <w:r w:rsidRPr="006C4F2D">
        <w:t>tax returns will a</w:t>
      </w:r>
      <w:r>
        <w:t>lways exceed corresponding post-</w:t>
      </w:r>
      <w:r w:rsidRPr="006C4F2D">
        <w:t>tax returns</w:t>
      </w:r>
      <w:r>
        <w:t xml:space="preserve">. For further explanation, see 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pp. 7, 21; </w:t>
      </w:r>
      <w:r w:rsidRPr="00690DF2">
        <w:t xml:space="preserve">AER, </w:t>
      </w:r>
      <w:r w:rsidRPr="006742ED">
        <w:rPr>
          <w:rStyle w:val="AERtextitalic"/>
        </w:rPr>
        <w:t xml:space="preserve">Final decision: Access arrangement </w:t>
      </w:r>
      <w:r>
        <w:rPr>
          <w:rStyle w:val="AERtextitalic"/>
        </w:rPr>
        <w:t>final decision—</w:t>
      </w:r>
      <w:r w:rsidRPr="006742ED">
        <w:rPr>
          <w:rStyle w:val="AERtextitalic"/>
        </w:rPr>
        <w:t>Multinet Gas (DB No. 1) Pty Ltd, Multinet Gas (DB No. 2) Pty Ltd 2013-17</w:t>
      </w:r>
      <w:r>
        <w:t>, March 2013, Part 3, p. 48.</w:t>
      </w:r>
    </w:p>
  </w:footnote>
  <w:footnote w:id="881">
    <w:p w:rsidR="003F1AAB" w:rsidRDefault="003F1AAB" w:rsidP="00A71C54">
      <w:pPr>
        <w:pStyle w:val="FootnoteText"/>
      </w:pPr>
      <w:r>
        <w:rPr>
          <w:rStyle w:val="FootnoteReference"/>
        </w:rPr>
        <w:footnoteRef/>
      </w:r>
      <w:r>
        <w:t xml:space="preserve"> </w:t>
      </w:r>
      <w:r>
        <w:tab/>
        <w:t xml:space="preserve">ActewAGL Gas Distribution, </w:t>
      </w:r>
      <w:r w:rsidRPr="00470748">
        <w:rPr>
          <w:rStyle w:val="AERtextitalic"/>
        </w:rPr>
        <w:t>Appendix 8.02: Return on Equity - detailed proposal</w:t>
      </w:r>
      <w:r>
        <w:t>, June 2015, p. 48.</w:t>
      </w:r>
    </w:p>
  </w:footnote>
  <w:footnote w:id="882">
    <w:p w:rsidR="003F1AAB" w:rsidRDefault="003F1AAB" w:rsidP="00A71C54">
      <w:pPr>
        <w:pStyle w:val="FootnoteText"/>
      </w:pPr>
      <w:r>
        <w:rPr>
          <w:rStyle w:val="FootnoteReference"/>
        </w:rPr>
        <w:footnoteRef/>
      </w:r>
      <w:r>
        <w:t xml:space="preserve"> </w:t>
      </w:r>
      <w:r>
        <w:tab/>
      </w:r>
      <w:r w:rsidRPr="00273F0E">
        <w:t xml:space="preserve">AER, </w:t>
      </w:r>
      <w:r>
        <w:rPr>
          <w:rStyle w:val="Emphasis"/>
        </w:rPr>
        <w:t>Better Regulation: Explana</w:t>
      </w:r>
      <w:r w:rsidRPr="00273F0E">
        <w:rPr>
          <w:rStyle w:val="Emphasis"/>
        </w:rPr>
        <w:t>t</w:t>
      </w:r>
      <w:r>
        <w:rPr>
          <w:rStyle w:val="Emphasis"/>
        </w:rPr>
        <w:t>o</w:t>
      </w:r>
      <w:r w:rsidRPr="00273F0E">
        <w:rPr>
          <w:rStyle w:val="Emphasis"/>
        </w:rPr>
        <w:t>ry Statement: Rate of return guideline (appendic</w:t>
      </w:r>
      <w:r>
        <w:rPr>
          <w:rStyle w:val="Emphasis"/>
        </w:rPr>
        <w:t>e</w:t>
      </w:r>
      <w:r w:rsidRPr="00273F0E">
        <w:rPr>
          <w:rStyle w:val="Emphasis"/>
        </w:rPr>
        <w:t>s)</w:t>
      </w:r>
      <w:r w:rsidRPr="00273F0E">
        <w:t xml:space="preserve">, December 2013, pp. 46–48;  AER, </w:t>
      </w:r>
      <w:r w:rsidRPr="00273F0E">
        <w:rPr>
          <w:rStyle w:val="Emphasis"/>
        </w:rPr>
        <w:t>Preliminary decision: CitiPower determination 2016 to 2020, Attachment 3–Rate of return</w:t>
      </w:r>
      <w:r w:rsidRPr="00273F0E">
        <w:t xml:space="preserve">,  October 2015, pp. 96–99; AER, </w:t>
      </w:r>
      <w:r w:rsidRPr="00273F0E">
        <w:rPr>
          <w:rStyle w:val="AERtextitalic"/>
        </w:rPr>
        <w:t>Powercor Preliminary Decision - Attachment 3: Rate of Return</w:t>
      </w:r>
      <w:r w:rsidRPr="00273F0E">
        <w:t xml:space="preserve">, October 2015, pp. 96–100; AER, </w:t>
      </w:r>
      <w:r w:rsidRPr="00273F0E">
        <w:rPr>
          <w:rStyle w:val="Emphasis"/>
        </w:rPr>
        <w:t>Draft decision ActewAGL distribution determination 2016 to 2021: Attachment 3 – Rate of return</w:t>
      </w:r>
      <w:r w:rsidRPr="00273F0E">
        <w:t xml:space="preserve">, November 2015, pp. 97–98; AER, </w:t>
      </w:r>
      <w:r w:rsidRPr="00273F0E">
        <w:rPr>
          <w:rStyle w:val="Emphasis"/>
        </w:rPr>
        <w:t>Preliminary decision United Energy determination 2016 to 2020: Attachment 3 – Rate of return</w:t>
      </w:r>
      <w:r w:rsidRPr="00273F0E">
        <w:t xml:space="preserve">, October 2015, pp. 94–99; AER, </w:t>
      </w:r>
      <w:r w:rsidRPr="00273F0E">
        <w:rPr>
          <w:rStyle w:val="Emphasis"/>
        </w:rPr>
        <w:t>Draft decision Australian Gas Networks Access Arrangement 2016 to 2021: Attachment 3 – Rate of return</w:t>
      </w:r>
      <w:r w:rsidRPr="00273F0E">
        <w:t xml:space="preserve">, November 2015, pp. 96–100; AER, </w:t>
      </w:r>
      <w:r w:rsidRPr="00273F0E">
        <w:rPr>
          <w:rStyle w:val="Emphasis"/>
        </w:rPr>
        <w:t>Preliminary decision Jemena distribution determination 2016 to 2020: Attachment 3–Rate of return</w:t>
      </w:r>
      <w:r w:rsidRPr="00273F0E">
        <w:t>, October 2015, pp. 94–98; AER</w:t>
      </w:r>
      <w:r w:rsidRPr="00273F0E">
        <w:rPr>
          <w:rStyle w:val="Emphasis"/>
        </w:rPr>
        <w:t>, Preliminary decision AusNet Services determination 2016 to 2020: Attachment 3–Rate of return</w:t>
      </w:r>
      <w:r w:rsidRPr="00273F0E">
        <w:t>, October 2015, pp. 94–98</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97–100.</w:t>
      </w:r>
      <w:r w:rsidRPr="00EA690D" w:rsidDel="00273F0E">
        <w:t xml:space="preserve"> </w:t>
      </w:r>
      <w:r>
        <w:t>.</w:t>
      </w:r>
    </w:p>
  </w:footnote>
  <w:footnote w:id="883">
    <w:p w:rsidR="003F1AAB" w:rsidRDefault="003F1AAB" w:rsidP="00A71C54">
      <w:pPr>
        <w:pStyle w:val="FootnoteText"/>
      </w:pPr>
      <w:r>
        <w:rPr>
          <w:rStyle w:val="FootnoteReference"/>
        </w:rPr>
        <w:footnoteRef/>
      </w:r>
      <w:r>
        <w:t xml:space="preserve"> </w:t>
      </w:r>
      <w:r>
        <w:tab/>
        <w:t xml:space="preserve">Partington, </w:t>
      </w:r>
      <w:r w:rsidRPr="00D325AA">
        <w:rPr>
          <w:rStyle w:val="Emphasis"/>
        </w:rPr>
        <w:t>Report to the AER: Return on Equity (updated),</w:t>
      </w:r>
      <w:r>
        <w:t xml:space="preserve"> April 2015, p. 72.</w:t>
      </w:r>
    </w:p>
  </w:footnote>
  <w:footnote w:id="884">
    <w:p w:rsidR="003F1AAB" w:rsidRDefault="003F1AAB" w:rsidP="006C49DC">
      <w:pPr>
        <w:pStyle w:val="FootnoteText"/>
      </w:pPr>
      <w:r>
        <w:rPr>
          <w:rStyle w:val="FootnoteReference"/>
        </w:rPr>
        <w:footnoteRef/>
      </w:r>
      <w:r>
        <w:t xml:space="preserve"> </w:t>
      </w:r>
      <w:r>
        <w:tab/>
        <w:t xml:space="preserve">Note that the valuation reports show there is a general consensus among valuers on the estimation methods for the risk free rate. Valuers typically estimate the risk free rate as the current yield to maturity on long term (10 year) Australian government securities. We acknowledge that there is some evidence suggesting that there is a tendency for valuers to adopt risk free rates exceeding the yields on Australian government securities when these yields are low, but we consider this practice to be neither widespread nor persistent (see section </w:t>
      </w:r>
      <w:r>
        <w:fldChar w:fldCharType="begin"/>
      </w:r>
      <w:r>
        <w:instrText xml:space="preserve"> REF _Ref445933050 \r \h </w:instrText>
      </w:r>
      <w:r>
        <w:fldChar w:fldCharType="separate"/>
      </w:r>
      <w:r>
        <w:t>F.5</w:t>
      </w:r>
      <w:r>
        <w:fldChar w:fldCharType="end"/>
      </w:r>
      <w:r>
        <w:t xml:space="preserve"> for more detail). Therefore, we do not consider that removing the risk free rate and examining the equity risk premium will bias the results.</w:t>
      </w:r>
    </w:p>
  </w:footnote>
  <w:footnote w:id="885">
    <w:p w:rsidR="003F1AAB" w:rsidRDefault="003F1AAB" w:rsidP="006C49DC">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321; Powercor, </w:t>
      </w:r>
      <w:r w:rsidRPr="00C31257">
        <w:rPr>
          <w:rStyle w:val="AERtextitalic"/>
        </w:rPr>
        <w:t>Revised regulatory proposal 2016–2020</w:t>
      </w:r>
      <w:r>
        <w:t xml:space="preserve">, pp. 315; </w:t>
      </w:r>
      <w:r w:rsidRPr="003A546F">
        <w:t xml:space="preserve">JEN (Vic), </w:t>
      </w:r>
      <w:r w:rsidRPr="003A546F">
        <w:rPr>
          <w:rStyle w:val="Emphasis"/>
        </w:rPr>
        <w:t>2016–20 Electricity distribution price review regulatory proposal revocation and substitution submission: Attachment 6–1 Rate of return, gamma, forecast inflation, and debt and equity raising costs,</w:t>
      </w:r>
      <w:r w:rsidRPr="003A546F">
        <w:t xml:space="preserve"> 6 January 2016, p.</w:t>
      </w:r>
      <w:r>
        <w:t xml:space="preserve"> 80; </w:t>
      </w:r>
      <w:r w:rsidRPr="00EE7507">
        <w:t xml:space="preserve">AusNet Services, </w:t>
      </w:r>
      <w:r w:rsidRPr="00EE7507">
        <w:rPr>
          <w:rStyle w:val="Emphasis"/>
        </w:rPr>
        <w:t>Electricity distribution price review 2016–20 Revised regulatory proposal: Chapter 7 Rate of return &amp; gamma</w:t>
      </w:r>
      <w:r w:rsidRPr="00EE7507">
        <w:t>, 6 January 2016, pp.</w:t>
      </w:r>
      <w:r>
        <w:t xml:space="preserve"> 74–75, United Energy, </w:t>
      </w:r>
      <w:r w:rsidRPr="0047165F">
        <w:rPr>
          <w:rStyle w:val="AERtextitalic"/>
        </w:rPr>
        <w:t>Response to AER Preliminary Determination Re: Rate of return and gamma</w:t>
      </w:r>
      <w:r>
        <w:t xml:space="preserve">, January 2016, p. 75; </w:t>
      </w:r>
      <w:r w:rsidRPr="003203B3">
        <w:t xml:space="preserve">ActewAGL, </w:t>
      </w:r>
      <w:r w:rsidRPr="003203B3">
        <w:rPr>
          <w:rStyle w:val="Emphasis"/>
        </w:rPr>
        <w:t>Revised 2016–21 access arrangement proposal Response to the AER's draft decision, Appendix 5.01 Detailed response to rate of return, gamma and inflation</w:t>
      </w:r>
      <w:r w:rsidRPr="003203B3">
        <w:t>, January 2016, p.</w:t>
      </w:r>
      <w:r>
        <w:t xml:space="preserve"> 101; </w:t>
      </w:r>
      <w:r w:rsidRPr="00D33284">
        <w:t xml:space="preserve">AGN, </w:t>
      </w:r>
      <w:r w:rsidRPr="00D33284">
        <w:rPr>
          <w:rStyle w:val="Emphasis"/>
        </w:rPr>
        <w:t>2016–17 to 2020/21 Access Arrangement information response to draft decision: Attachment 10.26 Response to draft decision: rate of return</w:t>
      </w:r>
      <w:r w:rsidRPr="00D33284">
        <w:t xml:space="preserve">, January 2016, pp. </w:t>
      </w:r>
      <w:r>
        <w:t>78–79.</w:t>
      </w:r>
    </w:p>
    <w:p w:rsidR="003F1AAB" w:rsidRDefault="003F1AAB" w:rsidP="006C49DC">
      <w:pPr>
        <w:pStyle w:val="FootnoteText"/>
      </w:pPr>
      <w:r>
        <w:tab/>
      </w:r>
    </w:p>
  </w:footnote>
  <w:footnote w:id="886">
    <w:p w:rsidR="003F1AAB" w:rsidRDefault="003F1AAB" w:rsidP="006C49DC">
      <w:pPr>
        <w:pStyle w:val="FootnoteText"/>
      </w:pPr>
      <w:r>
        <w:rPr>
          <w:rStyle w:val="FootnoteReference"/>
        </w:rPr>
        <w:footnoteRef/>
      </w:r>
      <w:r>
        <w:t xml:space="preserve"> </w:t>
      </w:r>
      <w:r>
        <w:tab/>
        <w:t xml:space="preserve">McKenzie and Partington, </w:t>
      </w:r>
      <w:r w:rsidRPr="008253E6">
        <w:rPr>
          <w:rStyle w:val="AERtextitalic"/>
        </w:rPr>
        <w:t>Report to the AER: Part A: Return on Equity</w:t>
      </w:r>
      <w:r>
        <w:t>, October 2014, p. 46.</w:t>
      </w:r>
    </w:p>
  </w:footnote>
  <w:footnote w:id="887">
    <w:p w:rsidR="003F1AAB" w:rsidRDefault="003F1AAB" w:rsidP="006C49DC">
      <w:pPr>
        <w:pStyle w:val="FootnoteText"/>
      </w:pPr>
      <w:r>
        <w:rPr>
          <w:rStyle w:val="FootnoteReference"/>
        </w:rPr>
        <w:footnoteRef/>
      </w:r>
      <w:r>
        <w:t xml:space="preserve"> </w:t>
      </w:r>
      <w:r>
        <w:tab/>
        <w:t xml:space="preserve">KPMG, </w:t>
      </w:r>
      <w:r w:rsidRPr="00280362">
        <w:rPr>
          <w:rStyle w:val="AERtextitalic"/>
        </w:rPr>
        <w:t>Australian valuation practices survey 2015</w:t>
      </w:r>
      <w:r>
        <w:t xml:space="preserve">, May 2015; Fernandez, Ortiz, Acín, </w:t>
      </w:r>
      <w:r w:rsidRPr="00280362">
        <w:rPr>
          <w:rStyle w:val="AERtextitalic"/>
        </w:rPr>
        <w:t>Discount rate (risk-free rate and market risk premium) used for 41 countries in 2015: a survey</w:t>
      </w:r>
      <w:r>
        <w:t xml:space="preserve">, April 2015; </w:t>
      </w:r>
      <w:r w:rsidRPr="003D3E0E">
        <w:t xml:space="preserve">Asher and Hickling, </w:t>
      </w:r>
      <w:r>
        <w:rPr>
          <w:rStyle w:val="AERtextitalic"/>
        </w:rPr>
        <w:t>Equity Risk Premium Survey 2014</w:t>
      </w:r>
      <w:r w:rsidRPr="003D3E0E">
        <w:t>, Actuar</w:t>
      </w:r>
      <w:r>
        <w:t xml:space="preserve">ies Institute, April 2015;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w:t>
      </w:r>
      <w:r w:rsidRPr="00B153AA">
        <w:t xml:space="preserve"> </w:t>
      </w:r>
      <w:r w:rsidRPr="003D3E0E">
        <w:t xml:space="preserve">Asher and Hickling, </w:t>
      </w:r>
      <w:r>
        <w:rPr>
          <w:rStyle w:val="AERtextitalic"/>
        </w:rPr>
        <w:t>Equity Risk Premium Survey</w:t>
      </w:r>
      <w:r w:rsidRPr="003D3E0E">
        <w:t>, Actuary Aust</w:t>
      </w:r>
      <w:r>
        <w:t>ralia, December 2013;</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w:t>
      </w:r>
      <w:r w:rsidRPr="009714BD">
        <w:t xml:space="preserve">KPMG, </w:t>
      </w:r>
      <w:r w:rsidRPr="0083753A">
        <w:rPr>
          <w:rStyle w:val="AERtextitalic"/>
        </w:rPr>
        <w:t>Valuation Practices Survey 2013</w:t>
      </w:r>
      <w:r w:rsidRPr="009714BD">
        <w:t>, February 2013;</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w:t>
      </w:r>
    </w:p>
  </w:footnote>
  <w:footnote w:id="888">
    <w:p w:rsidR="003F1AAB" w:rsidRDefault="003F1AAB" w:rsidP="006C49DC">
      <w:pPr>
        <w:pStyle w:val="FootnoteText"/>
      </w:pPr>
      <w:r>
        <w:rPr>
          <w:rStyle w:val="FootnoteReference"/>
        </w:rPr>
        <w:footnoteRef/>
      </w:r>
      <w:r>
        <w:t xml:space="preserve"> </w:t>
      </w:r>
      <w:r>
        <w:tab/>
        <w:t xml:space="preserve">As noted in: </w:t>
      </w:r>
      <w:r w:rsidRPr="00475897">
        <w:t xml:space="preserve">Australian Competition Tribunal, </w:t>
      </w:r>
      <w:r w:rsidRPr="00475897">
        <w:rPr>
          <w:rStyle w:val="AERtextitalic"/>
        </w:rPr>
        <w:t>Application by Envestra Limited (No 2) [2012] ACompT 3</w:t>
      </w:r>
      <w:r w:rsidRPr="00475897">
        <w:t>, 11 January 2012, paragraphs 165–166.</w:t>
      </w:r>
    </w:p>
  </w:footnote>
  <w:footnote w:id="889">
    <w:p w:rsidR="003F1AAB" w:rsidRDefault="003F1AAB" w:rsidP="006C49DC">
      <w:pPr>
        <w:pStyle w:val="FootnoteText"/>
      </w:pPr>
      <w:r>
        <w:rPr>
          <w:rStyle w:val="FootnoteReference"/>
        </w:rPr>
        <w:footnoteRef/>
      </w:r>
      <w:r>
        <w:t xml:space="preserve"> </w:t>
      </w:r>
      <w:r>
        <w:tab/>
        <w:t xml:space="preserve">The KPMG valuation practices surveys do not clearly state the time period over which the survey was made. Fernandez, Ortiz, Acín, </w:t>
      </w:r>
      <w:r w:rsidRPr="00280362">
        <w:rPr>
          <w:rStyle w:val="AERtextitalic"/>
        </w:rPr>
        <w:t>Discount rate (risk-free rate and market risk premium) used for 41 countries in 2015: a survey</w:t>
      </w:r>
      <w:r>
        <w:t xml:space="preserve">, April 2015, p. 2;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890">
    <w:p w:rsidR="003F1AAB" w:rsidRDefault="003F1AAB" w:rsidP="006C49DC">
      <w:pPr>
        <w:pStyle w:val="FootnoteText"/>
      </w:pPr>
      <w:r>
        <w:rPr>
          <w:rStyle w:val="FootnoteReference"/>
        </w:rPr>
        <w:footnoteRef/>
      </w:r>
      <w:r>
        <w:t xml:space="preserve"> </w:t>
      </w:r>
      <w:r>
        <w:tab/>
        <w:t xml:space="preserve">KPMG, </w:t>
      </w:r>
      <w:r w:rsidRPr="00280362">
        <w:rPr>
          <w:rStyle w:val="AERtextitalic"/>
        </w:rPr>
        <w:t>Australian valuation practices survey 2015</w:t>
      </w:r>
      <w:r>
        <w:t xml:space="preserve">, May 2015, p. 2; Fernandez, Ortiz, Acín, </w:t>
      </w:r>
      <w:r w:rsidRPr="00280362">
        <w:rPr>
          <w:rStyle w:val="AERtextitalic"/>
        </w:rPr>
        <w:t>Discount rate (risk-free rate and market risk premium) used for 41 countries in 2015: a survey</w:t>
      </w:r>
      <w:r>
        <w:t xml:space="preserve">, April 2015, p. 3;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891">
    <w:p w:rsidR="003F1AAB" w:rsidRDefault="003F1AAB" w:rsidP="006C49DC">
      <w:pPr>
        <w:pStyle w:val="FootnoteText"/>
      </w:pPr>
      <w:r>
        <w:rPr>
          <w:rStyle w:val="FootnoteReference"/>
        </w:rPr>
        <w:footnoteRef/>
      </w:r>
      <w:r>
        <w:t xml:space="preserve"> </w:t>
      </w:r>
      <w:r>
        <w:tab/>
      </w:r>
      <w:r w:rsidRPr="00116287">
        <w:t xml:space="preserve">McKenzie and Partington, </w:t>
      </w:r>
      <w:r w:rsidRPr="00116287">
        <w:rPr>
          <w:rStyle w:val="AERtextitalic"/>
        </w:rPr>
        <w:t>Supplementary report on the MRP</w:t>
      </w:r>
      <w:r w:rsidRPr="00116287">
        <w:t>, February 2012, pp. 17–18.</w:t>
      </w:r>
    </w:p>
  </w:footnote>
  <w:footnote w:id="892">
    <w:p w:rsidR="003F1AAB" w:rsidRDefault="003F1AAB" w:rsidP="006C49DC">
      <w:pPr>
        <w:pStyle w:val="FootnoteText"/>
      </w:pPr>
      <w:r>
        <w:rPr>
          <w:rStyle w:val="FootnoteReference"/>
        </w:rPr>
        <w:footnoteRef/>
      </w:r>
      <w:r>
        <w:t xml:space="preserve"> </w:t>
      </w:r>
      <w:r>
        <w:tab/>
        <w:t xml:space="preserve">McKenzie and Partington considered triangulation increases their confidence in the results from survey evidence. </w:t>
      </w:r>
      <w:r w:rsidRPr="00AA3FBF">
        <w:t xml:space="preserve">McKenzie and Partington, </w:t>
      </w:r>
      <w:r w:rsidRPr="00AA3FBF">
        <w:rPr>
          <w:rStyle w:val="AERtextitalic"/>
        </w:rPr>
        <w:t>Supplementary report on the MRP</w:t>
      </w:r>
      <w:r>
        <w:t>, February 2012, pp. 17, 19–20</w:t>
      </w:r>
      <w:r w:rsidRPr="00AA3FBF">
        <w:t>.</w:t>
      </w:r>
    </w:p>
  </w:footnote>
  <w:footnote w:id="893">
    <w:p w:rsidR="003F1AAB" w:rsidRDefault="003F1AAB" w:rsidP="006C49DC">
      <w:pPr>
        <w:pStyle w:val="FootnoteText"/>
      </w:pPr>
      <w:r>
        <w:rPr>
          <w:rStyle w:val="FootnoteReference"/>
        </w:rPr>
        <w:footnoteRef/>
      </w:r>
      <w:r>
        <w:t xml:space="preserve"> </w:t>
      </w:r>
      <w:r>
        <w:tab/>
        <w:t>See: SFG</w:t>
      </w:r>
      <w:r w:rsidRPr="00B66C54">
        <w:t xml:space="preserve">, </w:t>
      </w:r>
      <w:r w:rsidRPr="00CF7554">
        <w:rPr>
          <w:rStyle w:val="AERtextitalic"/>
        </w:rPr>
        <w:t>The required return on equity for regulated gas and electricity network businesses</w:t>
      </w:r>
      <w:r w:rsidRPr="00B66C54">
        <w:t xml:space="preserve">, </w:t>
      </w:r>
      <w:r>
        <w:t xml:space="preserve">27 May 2014, pp. 66–71; SFG, </w:t>
      </w:r>
      <w:r w:rsidRPr="002C4DC1">
        <w:rPr>
          <w:rStyle w:val="AERtextitalic"/>
        </w:rPr>
        <w:t>Estimating the required return on equity: Report for Energex</w:t>
      </w:r>
      <w:r>
        <w:t xml:space="preserve">, 28 August 2014, pp. 42–47; SFG, </w:t>
      </w:r>
      <w:r w:rsidRPr="005E6A46">
        <w:rPr>
          <w:rStyle w:val="AERtextitalic"/>
        </w:rPr>
        <w:t>The required return on equity for the benchmark efficient entity</w:t>
      </w:r>
      <w:r>
        <w:t xml:space="preserve">, February 2015, p. 26. Also, in a subsequent 2015 report for JGN, SFG submitted that survey evidence reflects historical information because the surveys we consider 'almost invariably' report an MRP of 6.0 per cent (see: SFG, </w:t>
      </w:r>
      <w:r w:rsidRPr="00DC6F79">
        <w:rPr>
          <w:rStyle w:val="AERtextitalic"/>
        </w:rPr>
        <w:t>Cost of equity: Update for Jemena G</w:t>
      </w:r>
      <w:r>
        <w:rPr>
          <w:rStyle w:val="AERtextitalic"/>
        </w:rPr>
        <w:t>as Networks' averaging period —</w:t>
      </w:r>
      <w:r w:rsidRPr="00DC6F79">
        <w:rPr>
          <w:rStyle w:val="AERtextitalic"/>
        </w:rPr>
        <w:t>19 January to 16 February 2015</w:t>
      </w:r>
      <w:r>
        <w:t xml:space="preserve">, 27 March 2015, p. 7). </w:t>
      </w:r>
    </w:p>
  </w:footnote>
  <w:footnote w:id="894">
    <w:p w:rsidR="003F1AAB" w:rsidRDefault="003F1AAB" w:rsidP="006C49DC">
      <w:pPr>
        <w:pStyle w:val="FootnoteText"/>
      </w:pPr>
      <w:r>
        <w:rPr>
          <w:rStyle w:val="FootnoteReference"/>
        </w:rPr>
        <w:footnoteRef/>
      </w:r>
      <w:r>
        <w:t xml:space="preserve"> </w:t>
      </w:r>
      <w:r>
        <w:tab/>
        <w:t xml:space="preserve">See, for example, AusNet Services, </w:t>
      </w:r>
      <w:r w:rsidRPr="006C0405">
        <w:rPr>
          <w:rStyle w:val="AERtextitalic"/>
        </w:rPr>
        <w:t>Transmission Revenue Review 2017–2022 regulatory proposal</w:t>
      </w:r>
      <w:r>
        <w:t xml:space="preserve">, 30 October 2015, p. 235; </w:t>
      </w:r>
      <w:r w:rsidRPr="001C7307">
        <w:t>AusNet</w:t>
      </w:r>
      <w:r>
        <w:t xml:space="preserve"> Services</w:t>
      </w:r>
      <w:r w:rsidRPr="001C7307">
        <w:t xml:space="preserve">, </w:t>
      </w:r>
      <w:r>
        <w:rPr>
          <w:rStyle w:val="AERtextitalic"/>
        </w:rPr>
        <w:t>Regulatory proposal</w:t>
      </w:r>
      <w:r w:rsidRPr="001C7307">
        <w:t>, 30 April 2015</w:t>
      </w:r>
      <w:r>
        <w:t xml:space="preserve">, p. 324; </w:t>
      </w:r>
      <w:r w:rsidRPr="001C7307">
        <w:t xml:space="preserve">United Energy, </w:t>
      </w:r>
      <w:r>
        <w:rPr>
          <w:rStyle w:val="AERtextitalic"/>
        </w:rPr>
        <w:t>R</w:t>
      </w:r>
      <w:r w:rsidRPr="001C7307">
        <w:rPr>
          <w:rStyle w:val="AERtextitalic"/>
        </w:rPr>
        <w:t>egulatory proposal: Attachment—Return on equity</w:t>
      </w:r>
      <w:r w:rsidRPr="001C7307">
        <w:t>, April 2015</w:t>
      </w:r>
      <w:r>
        <w:t>, section 2.7.7.3; Jemena Electricity Networks,</w:t>
      </w:r>
      <w:r w:rsidRPr="001C7307">
        <w:t xml:space="preserve"> </w:t>
      </w:r>
      <w:r>
        <w:rPr>
          <w:rStyle w:val="AERtextitalic"/>
        </w:rPr>
        <w:t>Regulatory proposal</w:t>
      </w:r>
      <w:r w:rsidRPr="001C7307">
        <w:rPr>
          <w:rStyle w:val="AERtextitalic"/>
        </w:rPr>
        <w:t>: Attachment 9-2—Rate of return proposal,</w:t>
      </w:r>
      <w:r w:rsidRPr="001C7307">
        <w:t xml:space="preserve"> April 2015</w:t>
      </w:r>
      <w:r>
        <w:t xml:space="preserve">, p. 75; </w:t>
      </w:r>
      <w:r w:rsidRPr="00C852A1">
        <w:t xml:space="preserve">Federal Court of Australia (PA Keane Chief Justice), </w:t>
      </w:r>
      <w:r w:rsidRPr="00C852A1">
        <w:rPr>
          <w:rStyle w:val="AERtextitalic"/>
        </w:rPr>
        <w:t>Practice note CM 13: Survey evidence</w:t>
      </w:r>
      <w:r w:rsidRPr="00C852A1">
        <w:t>, 1 August 2011</w:t>
      </w:r>
      <w:r>
        <w:t>.</w:t>
      </w:r>
    </w:p>
  </w:footnote>
  <w:footnote w:id="895">
    <w:p w:rsidR="003F1AAB" w:rsidRDefault="003F1AAB" w:rsidP="006C49DC">
      <w:pPr>
        <w:pStyle w:val="FootnoteText"/>
      </w:pPr>
      <w:r>
        <w:rPr>
          <w:rStyle w:val="FootnoteReference"/>
        </w:rPr>
        <w:footnoteRef/>
      </w:r>
      <w:r>
        <w:t xml:space="preserve"> </w:t>
      </w:r>
      <w:r>
        <w:tab/>
        <w:t xml:space="preserve">The ranges given in </w:t>
      </w:r>
      <w:r>
        <w:fldChar w:fldCharType="begin"/>
      </w:r>
      <w:r>
        <w:instrText xml:space="preserve"> REF _Ref443644282 \h </w:instrText>
      </w:r>
      <w:r>
        <w:fldChar w:fldCharType="separate"/>
      </w:r>
      <w:r w:rsidRPr="008F4F73">
        <w:t xml:space="preserve">Table </w:t>
      </w:r>
      <w:r>
        <w:rPr>
          <w:noProof/>
        </w:rPr>
        <w:t>3</w:t>
      </w:r>
      <w:r w:rsidRPr="008F4F73">
        <w:noBreakHyphen/>
      </w:r>
      <w:r>
        <w:rPr>
          <w:noProof/>
        </w:rPr>
        <w:t>29</w:t>
      </w:r>
      <w:r>
        <w:fldChar w:fldCharType="end"/>
      </w:r>
      <w:r>
        <w:t xml:space="preserve"> capture the most recent report from each broker on each of the stated companies in this time period.</w:t>
      </w:r>
    </w:p>
  </w:footnote>
  <w:footnote w:id="896">
    <w:p w:rsidR="003F1AAB" w:rsidRDefault="003F1AAB" w:rsidP="006C49DC">
      <w:pPr>
        <w:pStyle w:val="FootnoteText"/>
      </w:pPr>
      <w:r>
        <w:rPr>
          <w:rStyle w:val="FootnoteReference"/>
        </w:rPr>
        <w:footnoteRef/>
      </w:r>
      <w:r>
        <w:t xml:space="preserve"> </w:t>
      </w:r>
      <w:r>
        <w:tab/>
      </w:r>
      <w:r w:rsidRPr="000D589B">
        <w:t xml:space="preserve">We note that the correction of a small number of errors in Incenta Economic Consulting’s analysis </w:t>
      </w:r>
      <w:r>
        <w:t xml:space="preserve">of valuation reports </w:t>
      </w:r>
      <w:r w:rsidRPr="000D589B">
        <w:t xml:space="preserve">resulted in material </w:t>
      </w:r>
      <w:r>
        <w:t>changes to its results</w:t>
      </w:r>
      <w:r w:rsidRPr="000D589B">
        <w:t>.</w:t>
      </w:r>
      <w:r>
        <w:t xml:space="preserve"> See: Incenta Economic Consulting, </w:t>
      </w:r>
      <w:r w:rsidRPr="002131E4">
        <w:rPr>
          <w:rStyle w:val="AERtextitalic"/>
        </w:rPr>
        <w:t>Addendum to report titled 'Update on evidence on the required return on equity from independent expert reports'</w:t>
      </w:r>
      <w:r>
        <w:t>, 20 August 2014, p. 1.</w:t>
      </w:r>
    </w:p>
  </w:footnote>
  <w:footnote w:id="897">
    <w:p w:rsidR="003F1AAB" w:rsidRDefault="003F1AAB" w:rsidP="006C49DC">
      <w:pPr>
        <w:pStyle w:val="FootnoteText"/>
      </w:pPr>
      <w:r>
        <w:rPr>
          <w:rStyle w:val="FootnoteReference"/>
        </w:rPr>
        <w:footnoteRef/>
      </w:r>
      <w:r>
        <w:t xml:space="preserve"> </w:t>
      </w:r>
      <w:r>
        <w:tab/>
        <w:t xml:space="preserve">The Thomson Reuters' Connect 4 database contains reports going back to 1991, but contains no reports between 1991 and 1998 for comparable electricity or gas network businesses. A list of the reports assessed in this report can be found in Table 3-20 of AER, </w:t>
      </w:r>
      <w:r w:rsidRPr="00B1506F">
        <w:rPr>
          <w:rStyle w:val="AERtextitalic"/>
        </w:rPr>
        <w:t>Draft Decision: TransGrid transmission determination</w:t>
      </w:r>
      <w:r>
        <w:t>, 2015–16 to 2017–18, Attachment 3–Rate of return, November 2014.</w:t>
      </w:r>
    </w:p>
  </w:footnote>
  <w:footnote w:id="898">
    <w:p w:rsidR="003F1AAB" w:rsidRDefault="003F1AAB" w:rsidP="006C49DC">
      <w:pPr>
        <w:pStyle w:val="FootnoteText"/>
      </w:pPr>
      <w:r>
        <w:rPr>
          <w:rStyle w:val="FootnoteReference"/>
        </w:rPr>
        <w:footnoteRef/>
      </w:r>
      <w:r>
        <w:t xml:space="preserve"> </w:t>
      </w:r>
      <w:r>
        <w:tab/>
      </w:r>
      <w:r w:rsidRPr="00273F0E">
        <w:t>See Appendix E.6. 'Return on equity estimates from other practitioners' in the October and November 2015 decisions for more detail.</w:t>
      </w:r>
    </w:p>
  </w:footnote>
  <w:footnote w:id="899">
    <w:p w:rsidR="003F1AAB" w:rsidRDefault="003F1AAB" w:rsidP="006C49DC">
      <w:pPr>
        <w:pStyle w:val="FootnoteText"/>
      </w:pPr>
      <w:r>
        <w:rPr>
          <w:rStyle w:val="FootnoteReference"/>
        </w:rPr>
        <w:footnoteRef/>
      </w:r>
      <w:r>
        <w:t xml:space="preserve"> </w:t>
      </w:r>
      <w:r>
        <w:tab/>
        <w:t>These being (1) increased risk free rate, (2) increased market risk premium, (3) broker estimates of return on equity, and (4) DGM estimates of return on equity.</w:t>
      </w:r>
    </w:p>
  </w:footnote>
  <w:footnote w:id="900">
    <w:p w:rsidR="003F1AAB" w:rsidRDefault="003F1AAB" w:rsidP="006C49DC">
      <w:pPr>
        <w:pStyle w:val="FootnoteText"/>
      </w:pPr>
      <w:r>
        <w:rPr>
          <w:rStyle w:val="FootnoteReference"/>
        </w:rPr>
        <w:footnoteRef/>
      </w:r>
      <w:r>
        <w:t xml:space="preserve"> </w:t>
      </w:r>
      <w:r>
        <w:tab/>
      </w:r>
      <w:r w:rsidRPr="00A532F6">
        <w:t xml:space="preserve">Grant Samuel's submission in response to our November 2014 decisions provided some clarification about its use of uplifts and dividend imputation in its Envestra valuation report. However, we considered that this clarification did not </w:t>
      </w:r>
      <w:r>
        <w:t>affect</w:t>
      </w:r>
      <w:r w:rsidRPr="00A532F6">
        <w:t xml:space="preserve"> the fundamental premise of our concerns and hence did not support a change to our approach (for more detail, see sections E.3 and E.6 of Attachment 3 to CitiPower's draft decision). In its revised proposal, CitiPower submitted that our consideration of both imputation-adjusted estimates and unadjusted estimates is illogical given Grant Samuel's submission</w:t>
      </w:r>
      <w:r>
        <w:t xml:space="preserve"> [</w:t>
      </w:r>
      <w:r w:rsidRPr="00A532F6">
        <w:t xml:space="preserve">CitiPower, </w:t>
      </w:r>
      <w:r w:rsidRPr="00A532F6">
        <w:rPr>
          <w:rStyle w:val="AERtextitalic"/>
        </w:rPr>
        <w:t>Revised regulatory proposal 2016–2020</w:t>
      </w:r>
      <w:r w:rsidRPr="00A532F6">
        <w:t>, pp. 320</w:t>
      </w:r>
      <w:r>
        <w:t>]</w:t>
      </w:r>
      <w:r w:rsidRPr="00A532F6">
        <w:t>.</w:t>
      </w:r>
      <w:r>
        <w:t xml:space="preserve"> CitiPower provided no additional information about Grant Samuel's Envestra valuation report and hence our consideration of it is unchanged.</w:t>
      </w:r>
    </w:p>
  </w:footnote>
  <w:footnote w:id="901">
    <w:p w:rsidR="003F1AAB" w:rsidRDefault="003F1AAB" w:rsidP="006C49DC">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rsidRPr="00273F0E">
        <w:t xml:space="preserve">, pp. 317–318; Powercor, </w:t>
      </w:r>
      <w:r w:rsidRPr="00273F0E">
        <w:rPr>
          <w:rStyle w:val="AERtextitalic"/>
        </w:rPr>
        <w:t>Revised regulatory proposal 2016–2020</w:t>
      </w:r>
      <w:r w:rsidRPr="00273F0E">
        <w:t xml:space="preserve">, pp. 311–312; ActewAGL, </w:t>
      </w:r>
      <w:r w:rsidRPr="00273F0E">
        <w:rPr>
          <w:rStyle w:val="Emphasis"/>
        </w:rPr>
        <w:t>Revised 2016–21 access arrangement proposal Response to the AER's draft decision, Appendix 5.01 Detailed response to rate of return, gamma and inflation</w:t>
      </w:r>
      <w:r w:rsidRPr="00273F0E">
        <w:t xml:space="preserve">, January 2016, pp. 96–98; United Energy, </w:t>
      </w:r>
      <w:r w:rsidRPr="00273F0E">
        <w:rPr>
          <w:rStyle w:val="Emphasis"/>
        </w:rPr>
        <w:t>Response to AER preliminary determination–Re: rate of return and gamma</w:t>
      </w:r>
      <w:r w:rsidRPr="00273F0E">
        <w:t xml:space="preserve">, 6 January 2016, pp.71–72; AGN, </w:t>
      </w:r>
      <w:r w:rsidRPr="00273F0E">
        <w:rPr>
          <w:rStyle w:val="Emphasis"/>
        </w:rPr>
        <w:t>2016–17 to 2020/21 Access Arrangement information response to draft decision: Attachment 10.26 Response to draft decision: rate of return</w:t>
      </w:r>
      <w:r w:rsidRPr="00273F0E">
        <w:t xml:space="preserve">, January 2016, pp. 75–76; AusNet Services, </w:t>
      </w:r>
      <w:r w:rsidRPr="00273F0E">
        <w:rPr>
          <w:rStyle w:val="Emphasis"/>
        </w:rPr>
        <w:t>Electricity distribution price review 2016–20 Revised regulatory proposal: Chapter 7 Rate of return &amp; gamma</w:t>
      </w:r>
      <w:r w:rsidRPr="00273F0E">
        <w:t>, 6 January 2016, pp. 70–72</w:t>
      </w:r>
    </w:p>
  </w:footnote>
  <w:footnote w:id="902">
    <w:p w:rsidR="003F1AAB" w:rsidRDefault="003F1AAB" w:rsidP="006C49DC">
      <w:pPr>
        <w:pStyle w:val="FootnoteText"/>
      </w:pPr>
      <w:r>
        <w:rPr>
          <w:rStyle w:val="FootnoteReference"/>
        </w:rPr>
        <w:footnoteRef/>
      </w:r>
      <w:r>
        <w:t xml:space="preserve"> </w:t>
      </w:r>
      <w:r>
        <w:tab/>
      </w:r>
      <w:r w:rsidRPr="0068037A">
        <w:t xml:space="preserve">Independent Pricing and Regulatory Tribunal, </w:t>
      </w:r>
      <w:r w:rsidRPr="00433835">
        <w:rPr>
          <w:rStyle w:val="AERtextitalic"/>
        </w:rPr>
        <w:t>Fact sheet: WACC biannual update</w:t>
      </w:r>
      <w:r w:rsidRPr="0068037A">
        <w:t>, August 2015</w:t>
      </w:r>
      <w:r>
        <w:t xml:space="preserve">; </w:t>
      </w:r>
      <w:r w:rsidRPr="0068037A">
        <w:t xml:space="preserve">Economic Regulatory Authority of Western Australia, </w:t>
      </w:r>
      <w:r w:rsidRPr="00433835">
        <w:rPr>
          <w:rStyle w:val="AERtextitalic"/>
        </w:rPr>
        <w:t>Review of the method for estimating the Weighted Average Cost of Capital for the Regulated Railway Networks</w:t>
      </w:r>
      <w:r w:rsidRPr="0068037A">
        <w:t>, 18 September 2015</w:t>
      </w:r>
      <w:r>
        <w:t xml:space="preserve">; </w:t>
      </w:r>
      <w:r w:rsidRPr="0068037A">
        <w:t xml:space="preserve">Queensland Competition Authority, </w:t>
      </w:r>
      <w:r w:rsidRPr="00433835">
        <w:rPr>
          <w:rStyle w:val="AERtextitalic"/>
        </w:rPr>
        <w:t>Queensland Rail's 2015 Draft Access Undertaking: Draft Decision</w:t>
      </w:r>
      <w:r w:rsidRPr="0068037A">
        <w:t>, October 2015</w:t>
      </w:r>
      <w:r>
        <w:t xml:space="preserve">; </w:t>
      </w:r>
      <w:r w:rsidRPr="0068037A">
        <w:t xml:space="preserve">Australian Competition and Consumer Commission, </w:t>
      </w:r>
      <w:r w:rsidRPr="00433835">
        <w:rPr>
          <w:rStyle w:val="AERtextitalic"/>
        </w:rPr>
        <w:t>Public inquiry into final access determinations for fixed line services: Final decision</w:t>
      </w:r>
      <w:r w:rsidRPr="0068037A">
        <w:t>, October 2015</w:t>
      </w:r>
      <w:r>
        <w:t xml:space="preserve">; </w:t>
      </w:r>
      <w:r w:rsidRPr="0068037A">
        <w:t xml:space="preserve">Queensland Competition Authority, </w:t>
      </w:r>
      <w:r w:rsidRPr="00433835">
        <w:rPr>
          <w:rStyle w:val="AERtextitalic"/>
        </w:rPr>
        <w:t>Aurizon Network 2014 Draft Access Undertaking — Volume IV: Maximum Allowable Revenue</w:t>
      </w:r>
      <w:r w:rsidRPr="0068037A">
        <w:t>, December 2015</w:t>
      </w:r>
      <w:r>
        <w:t xml:space="preserve">; </w:t>
      </w:r>
      <w:r w:rsidRPr="0068037A">
        <w:t xml:space="preserve">Australian Competition and Consumer Commission, </w:t>
      </w:r>
      <w:r w:rsidRPr="00433835">
        <w:rPr>
          <w:rStyle w:val="AERtextitalic"/>
        </w:rPr>
        <w:t>ACCC decision on Australian Postal Corporation 2015 price notification</w:t>
      </w:r>
      <w:r w:rsidRPr="0068037A">
        <w:t>, December 2015</w:t>
      </w:r>
      <w:r>
        <w:t xml:space="preserve">; </w:t>
      </w:r>
      <w:r w:rsidRPr="0068037A">
        <w:t xml:space="preserve">Economic Regulatory Authority of Western Australia, </w:t>
      </w:r>
      <w:r w:rsidRPr="00433835">
        <w:rPr>
          <w:rStyle w:val="AERtextitalic"/>
        </w:rPr>
        <w:t>Draft Decision on Proposed Revisions to the Access Arrangement for the Goldfields Gas Pipeline</w:t>
      </w:r>
      <w:r w:rsidRPr="0068037A">
        <w:t>, 17 December 2015</w:t>
      </w:r>
      <w:r>
        <w:t xml:space="preserve">; </w:t>
      </w:r>
      <w:r w:rsidRPr="0068037A">
        <w:t xml:space="preserve">Economic Regulatory Authority of Western Australia, </w:t>
      </w:r>
      <w:r w:rsidRPr="00433835">
        <w:rPr>
          <w:rStyle w:val="AERtextitalic"/>
        </w:rPr>
        <w:t>Draft Decision on Proposed Revisions to the Access Arrangement for the Dampier to Bunbury Natural Gas Pipeline 2016–2020</w:t>
      </w:r>
      <w:r w:rsidRPr="0068037A">
        <w:t>, 22 December 2015</w:t>
      </w:r>
      <w:r>
        <w:t xml:space="preserve">; </w:t>
      </w:r>
      <w:r w:rsidRPr="0068037A">
        <w:t xml:space="preserve">Independent Pricing and Regulatory Tribunal, </w:t>
      </w:r>
      <w:r w:rsidRPr="00433835">
        <w:rPr>
          <w:rStyle w:val="AERtextitalic"/>
        </w:rPr>
        <w:t>Fact sheet: WACC biannual update</w:t>
      </w:r>
      <w:r w:rsidRPr="0068037A">
        <w:t>, February 2016</w:t>
      </w:r>
      <w:r>
        <w:t xml:space="preserve">; </w:t>
      </w:r>
      <w:r w:rsidRPr="00904748">
        <w:t xml:space="preserve">ESCOSA, </w:t>
      </w:r>
      <w:r w:rsidRPr="00DA4F44">
        <w:rPr>
          <w:rStyle w:val="Emphasis"/>
        </w:rPr>
        <w:t>SA Water Regulatory Determination 2016 - Draft Determination: Statement of Reasons</w:t>
      </w:r>
      <w:r w:rsidRPr="00904748">
        <w:t>, February 2016</w:t>
      </w:r>
      <w:r>
        <w:t xml:space="preserve">; </w:t>
      </w:r>
      <w:r w:rsidRPr="00904748">
        <w:t xml:space="preserve">Essential Services Commission of Victoria, </w:t>
      </w:r>
      <w:r w:rsidRPr="00DA4F44">
        <w:rPr>
          <w:rStyle w:val="Emphasis"/>
        </w:rPr>
        <w:t>Goulburn-Murray Water Price Review 2016: Draft decisio</w:t>
      </w:r>
      <w:r w:rsidRPr="00904748">
        <w:t>n, February 2016</w:t>
      </w:r>
      <w:r>
        <w:t xml:space="preserve">; </w:t>
      </w:r>
      <w:r w:rsidRPr="008B7569">
        <w:t xml:space="preserve">Essential Services Commission of Victoria, </w:t>
      </w:r>
      <w:r w:rsidRPr="00DA4F44">
        <w:rPr>
          <w:rStyle w:val="Emphasis"/>
        </w:rPr>
        <w:t>Melbourne Water Price Review 2016: Draft Decision</w:t>
      </w:r>
      <w:r w:rsidRPr="008B7569">
        <w:t>, March 2016</w:t>
      </w:r>
      <w:r>
        <w:t xml:space="preserve">; </w:t>
      </w:r>
      <w:r w:rsidRPr="008B7569">
        <w:t xml:space="preserve">Independent Pricing and Regulatory Tribunal, </w:t>
      </w:r>
      <w:r w:rsidRPr="00DA4F44">
        <w:rPr>
          <w:rStyle w:val="Emphasis"/>
        </w:rPr>
        <w:t>Review of prices for Sydney Water Corporation from 1 July 2016 to 30 June 2020 - Draft report</w:t>
      </w:r>
      <w:r w:rsidRPr="008B7569">
        <w:t>, March 2016</w:t>
      </w:r>
      <w:r>
        <w:t xml:space="preserve">; </w:t>
      </w:r>
      <w:r w:rsidRPr="008B7569">
        <w:t xml:space="preserve">Independent Pricing and Regulatory Tribunal, </w:t>
      </w:r>
      <w:r w:rsidRPr="00DA4F44">
        <w:rPr>
          <w:rStyle w:val="Emphasis"/>
        </w:rPr>
        <w:t>Review of prices for Hunter Water Corporation from 1 July 2016 to 30 June 2020 - Draft report</w:t>
      </w:r>
      <w:r w:rsidRPr="008B7569">
        <w:t>, March 2016</w:t>
      </w:r>
      <w:r>
        <w:t xml:space="preserve">; </w:t>
      </w:r>
      <w:r w:rsidRPr="008B7569">
        <w:t xml:space="preserve">Independent Pricing and Regulatory Tribunal, </w:t>
      </w:r>
      <w:r w:rsidRPr="00DA4F44">
        <w:rPr>
          <w:rStyle w:val="Emphasis"/>
        </w:rPr>
        <w:t>Review of prices for WaterNSW from 1 July 2016 to 30 June 2020 - Draft report</w:t>
      </w:r>
      <w:r w:rsidRPr="008B7569">
        <w:t>, March 2016</w:t>
      </w:r>
      <w:r>
        <w:t>.</w:t>
      </w:r>
    </w:p>
  </w:footnote>
  <w:footnote w:id="903">
    <w:p w:rsidR="003F1AAB" w:rsidRDefault="003F1AAB" w:rsidP="006C49DC">
      <w:pPr>
        <w:pStyle w:val="FootnoteText"/>
      </w:pPr>
      <w:r>
        <w:rPr>
          <w:rStyle w:val="FootnoteReference"/>
        </w:rPr>
        <w:footnoteRef/>
      </w:r>
      <w:r>
        <w:t xml:space="preserve"> </w:t>
      </w:r>
      <w:r>
        <w:tab/>
        <w:t>Our</w:t>
      </w:r>
      <w:r w:rsidRPr="004A024B">
        <w:t xml:space="preserve"> April and June 2015</w:t>
      </w:r>
      <w:r>
        <w:t xml:space="preserve"> decisions examined decisions by other regulators from </w:t>
      </w:r>
      <w:r w:rsidRPr="00D445A8">
        <w:t>November 2014 to March 2015</w:t>
      </w:r>
      <w:r>
        <w:t>.</w:t>
      </w:r>
      <w:r w:rsidRPr="00D445A8">
        <w:t xml:space="preserve"> </w:t>
      </w:r>
      <w:r w:rsidRPr="003B2FE5">
        <w:t>Our October and November 2015 decisions examined decisions by other regulators from March to June 2015.</w:t>
      </w:r>
    </w:p>
  </w:footnote>
  <w:footnote w:id="904">
    <w:p w:rsidR="003F1AAB" w:rsidRDefault="003F1AAB" w:rsidP="006C49DC">
      <w:pPr>
        <w:pStyle w:val="FootnoteText"/>
      </w:pPr>
      <w:r>
        <w:rPr>
          <w:rStyle w:val="FootnoteReference"/>
        </w:rPr>
        <w:footnoteRef/>
      </w:r>
      <w:r>
        <w:t xml:space="preserve"> </w:t>
      </w:r>
      <w:r>
        <w:tab/>
        <w:t>Note that the risk characteristics of rail businesses such as The Pilbara Infrastructure Pty Ltd (an operator of a rail network that transports iron ore freight) may be significantly different to those of the benchmark efficient entity (for example, due to demand risk). Similar concerns may be expressed about Brookfield Rail and IPART Transport decisions. We also note that the ERA's use of the Wright approach to estimating market risk premium is influenced by its annuity pricing framework.  The ERA states: "A</w:t>
      </w:r>
      <w:r w:rsidRPr="0082676F">
        <w:t xml:space="preserve"> key consideration in the context of the rail WACC relates to the purpose. The estimate is required to contribute to the annuity that will deliver the value of the rail infrastructure assets, over their economic life. Given the length of the rail asset economic lives, the estimate is long term.</w:t>
      </w:r>
      <w:r>
        <w:t>" [ERA,</w:t>
      </w:r>
      <w:r w:rsidRPr="0082676F">
        <w:t xml:space="preserve"> </w:t>
      </w:r>
      <w:r w:rsidRPr="0082676F">
        <w:rPr>
          <w:rStyle w:val="AERtextitalic"/>
        </w:rPr>
        <w:t>Review of the method for estimating the Weighted Average Cost of Capital for the Regulated Railway Networks – Revised Draft Decision</w:t>
      </w:r>
      <w:r>
        <w:t>,</w:t>
      </w:r>
      <w:r w:rsidRPr="0082676F">
        <w:t xml:space="preserve"> </w:t>
      </w:r>
      <w:r>
        <w:t xml:space="preserve"> November 2014, p. 89.]</w:t>
      </w:r>
      <w:r w:rsidRPr="0082676F">
        <w:t xml:space="preserve"> </w:t>
      </w:r>
      <w:r>
        <w:t xml:space="preserve"> Nevertheless, we have included these decisions for comparative purposes.</w:t>
      </w:r>
    </w:p>
  </w:footnote>
  <w:footnote w:id="905">
    <w:p w:rsidR="003F1AAB" w:rsidRDefault="003F1AAB" w:rsidP="006C49DC">
      <w:pPr>
        <w:pStyle w:val="FootnoteText"/>
      </w:pPr>
      <w:r>
        <w:rPr>
          <w:rStyle w:val="FootnoteReference"/>
        </w:rPr>
        <w:footnoteRef/>
      </w:r>
      <w:r>
        <w:t xml:space="preserve"> </w:t>
      </w:r>
      <w:r>
        <w:tab/>
      </w:r>
      <w:r w:rsidRPr="0068037A">
        <w:t xml:space="preserve">Independent Pricing and Regulatory Tribunal, </w:t>
      </w:r>
      <w:r w:rsidRPr="00433835">
        <w:rPr>
          <w:rStyle w:val="AERtextitalic"/>
        </w:rPr>
        <w:t>Fact sheet: WACC biannual update</w:t>
      </w:r>
      <w:r w:rsidRPr="0068037A">
        <w:t>, August 2015</w:t>
      </w:r>
      <w:r>
        <w:t xml:space="preserve">; </w:t>
      </w:r>
      <w:r w:rsidRPr="0068037A">
        <w:t xml:space="preserve">Economic Regulatory Authority of Western Australia, </w:t>
      </w:r>
      <w:r w:rsidRPr="00433835">
        <w:rPr>
          <w:rStyle w:val="AERtextitalic"/>
        </w:rPr>
        <w:t>Review of the method for estimating the Weighted Average Cost of Capital for the Regulated Railway Networks</w:t>
      </w:r>
      <w:r w:rsidRPr="0068037A">
        <w:t>, 18 September 2015</w:t>
      </w:r>
      <w:r>
        <w:t xml:space="preserve">; </w:t>
      </w:r>
      <w:r w:rsidRPr="0068037A">
        <w:t xml:space="preserve">Queensland Competition Authority, </w:t>
      </w:r>
      <w:r w:rsidRPr="00433835">
        <w:rPr>
          <w:rStyle w:val="AERtextitalic"/>
        </w:rPr>
        <w:t>Queensland Rail's 2015 Draft Access Undertaking: Draft Decision</w:t>
      </w:r>
      <w:r w:rsidRPr="0068037A">
        <w:t>, October 2015</w:t>
      </w:r>
      <w:r>
        <w:t xml:space="preserve">; </w:t>
      </w:r>
      <w:r w:rsidRPr="0068037A">
        <w:t xml:space="preserve">Australian Competition and Consumer Commission, </w:t>
      </w:r>
      <w:r w:rsidRPr="00433835">
        <w:rPr>
          <w:rStyle w:val="AERtextitalic"/>
        </w:rPr>
        <w:t>Public inquiry into final access determinations for fixed line services: Final decision</w:t>
      </w:r>
      <w:r w:rsidRPr="0068037A">
        <w:t>, October 2015</w:t>
      </w:r>
      <w:r>
        <w:t xml:space="preserve">; </w:t>
      </w:r>
      <w:r w:rsidRPr="0068037A">
        <w:t xml:space="preserve">Queensland Competition Authority, </w:t>
      </w:r>
      <w:r w:rsidRPr="00433835">
        <w:rPr>
          <w:rStyle w:val="AERtextitalic"/>
        </w:rPr>
        <w:t>Aurizon Network 2014 Draft Access Undertaking — Volume IV: Maximum Allowable Revenue</w:t>
      </w:r>
      <w:r w:rsidRPr="0068037A">
        <w:t>, December 2015</w:t>
      </w:r>
      <w:r>
        <w:t xml:space="preserve">; </w:t>
      </w:r>
      <w:r w:rsidRPr="0068037A">
        <w:t xml:space="preserve">Australian Competition and Consumer Commission, </w:t>
      </w:r>
      <w:r w:rsidRPr="00433835">
        <w:rPr>
          <w:rStyle w:val="AERtextitalic"/>
        </w:rPr>
        <w:t>ACCC decision on Australian Postal Corporation 2015 price notification</w:t>
      </w:r>
      <w:r w:rsidRPr="0068037A">
        <w:t>, December 2015</w:t>
      </w:r>
      <w:r>
        <w:t xml:space="preserve">; </w:t>
      </w:r>
      <w:r w:rsidRPr="0068037A">
        <w:t xml:space="preserve">Economic Regulatory Authority of Western Australia, </w:t>
      </w:r>
      <w:r w:rsidRPr="00433835">
        <w:rPr>
          <w:rStyle w:val="AERtextitalic"/>
        </w:rPr>
        <w:t>Draft Decision on Proposed Revisions to the Access Arrangement for the Goldfields Gas Pipeline</w:t>
      </w:r>
      <w:r w:rsidRPr="0068037A">
        <w:t>, 17 December 2015</w:t>
      </w:r>
      <w:r>
        <w:t xml:space="preserve">; </w:t>
      </w:r>
      <w:r w:rsidRPr="0068037A">
        <w:t xml:space="preserve">Economic Regulatory Authority of Western Australia, </w:t>
      </w:r>
      <w:r w:rsidRPr="00433835">
        <w:rPr>
          <w:rStyle w:val="AERtextitalic"/>
        </w:rPr>
        <w:t>Draft Decision on Proposed Revisions to the Access Arrangement for the Dampier to Bunbury Natural Gas Pipeline 2016–2020</w:t>
      </w:r>
      <w:r w:rsidRPr="0068037A">
        <w:t>, 22 December 2015</w:t>
      </w:r>
      <w:r>
        <w:t xml:space="preserve">; </w:t>
      </w:r>
      <w:r w:rsidRPr="0068037A">
        <w:t xml:space="preserve">Independent Pricing and Regulatory Tribunal, </w:t>
      </w:r>
      <w:r w:rsidRPr="00433835">
        <w:rPr>
          <w:rStyle w:val="AERtextitalic"/>
        </w:rPr>
        <w:t>Fact sheet: WACC biannual update</w:t>
      </w:r>
      <w:r w:rsidRPr="0068037A">
        <w:t>, February 2016</w:t>
      </w:r>
      <w:r>
        <w:t xml:space="preserve">; </w:t>
      </w:r>
      <w:r w:rsidRPr="00904748">
        <w:t xml:space="preserve">ESCOSA, </w:t>
      </w:r>
      <w:r w:rsidRPr="00DA4F44">
        <w:rPr>
          <w:rStyle w:val="Emphasis"/>
        </w:rPr>
        <w:t>SA Water Regulatory Determination 2016 - Draft Determination: Statement of Reasons</w:t>
      </w:r>
      <w:r w:rsidRPr="00904748">
        <w:t>, February 2016</w:t>
      </w:r>
      <w:r>
        <w:t xml:space="preserve">; </w:t>
      </w:r>
      <w:r w:rsidRPr="00904748">
        <w:t xml:space="preserve">Essential Services Commission of Victoria, </w:t>
      </w:r>
      <w:r w:rsidRPr="00DA4F44">
        <w:rPr>
          <w:rStyle w:val="Emphasis"/>
        </w:rPr>
        <w:t>Goulburn-Murray Water Price Review 2016: Draft decision</w:t>
      </w:r>
      <w:r w:rsidRPr="00904748">
        <w:t>, February 2016</w:t>
      </w:r>
      <w:r>
        <w:t xml:space="preserve">; </w:t>
      </w:r>
      <w:r w:rsidRPr="008B7569">
        <w:t xml:space="preserve">Essential Services Commission of Victoria, </w:t>
      </w:r>
      <w:r w:rsidRPr="008B7569">
        <w:rPr>
          <w:rStyle w:val="Emphasis"/>
        </w:rPr>
        <w:t>Melbourne Water Price Review 2016: Draft Decision</w:t>
      </w:r>
      <w:r w:rsidRPr="008B7569">
        <w:t xml:space="preserve">, March 2016; Independent Pricing and Regulatory Tribunal, </w:t>
      </w:r>
      <w:r w:rsidRPr="008B7569">
        <w:rPr>
          <w:rStyle w:val="Emphasis"/>
        </w:rPr>
        <w:t>Review of prices for Sydney Water Corporation from 1 July 2016 to 30 June 2020 - Draft report</w:t>
      </w:r>
      <w:r w:rsidRPr="008B7569">
        <w:t xml:space="preserve">, March 2016; Independent Pricing and Regulatory Tribunal, </w:t>
      </w:r>
      <w:r w:rsidRPr="008B7569">
        <w:rPr>
          <w:rStyle w:val="Emphasis"/>
        </w:rPr>
        <w:t>Review of prices for Hunter Water Corporation from 1 July 2016 to 30 June 2020 - Draft report</w:t>
      </w:r>
      <w:r w:rsidRPr="008B7569">
        <w:t xml:space="preserve">, March 2016; Independent Pricing and Regulatory Tribunal, </w:t>
      </w:r>
      <w:r w:rsidRPr="008B7569">
        <w:rPr>
          <w:rStyle w:val="Emphasis"/>
        </w:rPr>
        <w:t>Review of prices for WaterNSW from 1 July 2016 to 30 June 2020 - Draft report</w:t>
      </w:r>
      <w:r w:rsidRPr="008B7569">
        <w:t>, March 2016</w:t>
      </w:r>
      <w:r>
        <w:t>.</w:t>
      </w:r>
    </w:p>
  </w:footnote>
  <w:footnote w:id="906">
    <w:p w:rsidR="003F1AAB" w:rsidRDefault="003F1AAB" w:rsidP="004F7E21">
      <w:pPr>
        <w:pStyle w:val="FootnoteText"/>
      </w:pPr>
      <w:r>
        <w:rPr>
          <w:rStyle w:val="FootnoteReference"/>
        </w:rPr>
        <w:footnoteRef/>
      </w:r>
      <w:r>
        <w:t xml:space="preserve"> </w:t>
      </w:r>
      <w:r>
        <w:tab/>
        <w:t xml:space="preserve">Frontier Economics, </w:t>
      </w:r>
      <w:r w:rsidRPr="00DC0445">
        <w:rPr>
          <w:rStyle w:val="AERtextitalic"/>
        </w:rPr>
        <w:t>Key issues in estimating the return on equity for the benchmark efficient entity</w:t>
      </w:r>
      <w:r>
        <w:t xml:space="preserve">, June 2015; NERA, </w:t>
      </w:r>
      <w:r w:rsidRPr="00DC0445">
        <w:rPr>
          <w:rStyle w:val="AERtextitalic"/>
        </w:rPr>
        <w:t>Further assessment of the historical MRP: response to the AER's final decisions for the NEW and ACT electricity distributors,</w:t>
      </w:r>
      <w:r>
        <w:t xml:space="preserve"> June 2015.</w:t>
      </w:r>
    </w:p>
  </w:footnote>
  <w:footnote w:id="907">
    <w:p w:rsidR="003F1AAB" w:rsidRDefault="003F1AAB" w:rsidP="006C49DC">
      <w:pPr>
        <w:pStyle w:val="FootnoteText"/>
      </w:pPr>
      <w:r>
        <w:rPr>
          <w:rStyle w:val="FootnoteReference"/>
        </w:rPr>
        <w:footnoteRef/>
      </w:r>
      <w:r>
        <w:t xml:space="preserve"> </w:t>
      </w:r>
      <w:r>
        <w:tab/>
      </w:r>
      <w:r w:rsidRPr="00981E28">
        <w:t xml:space="preserve">AER, </w:t>
      </w:r>
      <w:r>
        <w:rPr>
          <w:rStyle w:val="AERtextitalic"/>
        </w:rPr>
        <w:t xml:space="preserve">CitiPower </w:t>
      </w:r>
      <w:r w:rsidRPr="00981E28">
        <w:rPr>
          <w:rStyle w:val="AERtextitalic"/>
        </w:rPr>
        <w:t>Preliminary Decision - Attachment 3: Rate of Return</w:t>
      </w:r>
      <w:r w:rsidRPr="00981E28">
        <w:t xml:space="preserve">, </w:t>
      </w:r>
      <w:r>
        <w:t>October</w:t>
      </w:r>
      <w:r w:rsidRPr="00981E28">
        <w:t xml:space="preserve"> 2015, p</w:t>
      </w:r>
      <w:r>
        <w:t>p</w:t>
      </w:r>
      <w:r w:rsidRPr="00981E28">
        <w:t xml:space="preserve">. </w:t>
      </w:r>
      <w:r>
        <w:t>528-534</w:t>
      </w:r>
      <w:r w:rsidRPr="00EA690D">
        <w:t xml:space="preserve">; AER, </w:t>
      </w:r>
      <w:r w:rsidRPr="00EA690D">
        <w:rPr>
          <w:rStyle w:val="AERtextitalic"/>
        </w:rPr>
        <w:t>Powercor Preliminary Decision - Attachment 3: Rate of Return</w:t>
      </w:r>
      <w:r w:rsidRPr="00EA690D">
        <w:t xml:space="preserve">, October 2015, pp. 528–535; AER, </w:t>
      </w:r>
      <w:r w:rsidRPr="00EA690D">
        <w:rPr>
          <w:rStyle w:val="Emphasis"/>
        </w:rPr>
        <w:t>Draft decision ActewAGL distribution determination 2016 to 2021: Attachment 3 – Rate of return</w:t>
      </w:r>
      <w:r w:rsidRPr="00EA690D">
        <w:t xml:space="preserve">, November 2015, pp. 541–550; AER, </w:t>
      </w:r>
      <w:r w:rsidRPr="00EA690D">
        <w:rPr>
          <w:rStyle w:val="Emphasis"/>
        </w:rPr>
        <w:t>Preliminary decision United Energy determination 2016 to 2020: Attachment 3 – Rate of return</w:t>
      </w:r>
      <w:r w:rsidRPr="00EA690D">
        <w:t xml:space="preserve">, October 2015, pp. 270–272, 524–539; AER, </w:t>
      </w:r>
      <w:r w:rsidRPr="00EA690D">
        <w:rPr>
          <w:rStyle w:val="Emphasis"/>
        </w:rPr>
        <w:t>Draft decision Australian Gas Networks Access Arrangement 2016 to 2021: Attachment 3 – Rate of return</w:t>
      </w:r>
      <w:r w:rsidRPr="00EA690D">
        <w:t xml:space="preserve">, November 2015, pp. 275–277, 530–542; AER, </w:t>
      </w:r>
      <w:r w:rsidRPr="00EA690D">
        <w:rPr>
          <w:rStyle w:val="Emphasis"/>
        </w:rPr>
        <w:t>Preliminary decision Jemena distribution determination 2016 to 2020: Attachment 3–Rate of return</w:t>
      </w:r>
      <w:r w:rsidRPr="00EA690D">
        <w:t>, October 2015, pp. 269–271, 525–539; AER</w:t>
      </w:r>
      <w:r w:rsidRPr="00EA690D">
        <w:rPr>
          <w:rStyle w:val="Emphasis"/>
        </w:rPr>
        <w:t>, Preliminary decision AusNet Services determination 2016 to 2020: Attachment 3–Rate of return</w:t>
      </w:r>
      <w:r w:rsidRPr="00EA690D">
        <w:t>, October 2015, pp. 269–270, 529–535</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269–273.</w:t>
      </w:r>
    </w:p>
  </w:footnote>
  <w:footnote w:id="908">
    <w:p w:rsidR="003F1AAB" w:rsidRDefault="003F1AAB" w:rsidP="006C49DC">
      <w:pPr>
        <w:pStyle w:val="FootnoteText"/>
      </w:pPr>
      <w:r>
        <w:rPr>
          <w:rStyle w:val="FootnoteReference"/>
        </w:rPr>
        <w:footnoteRef/>
      </w:r>
      <w:r>
        <w:t xml:space="preserve"> </w:t>
      </w:r>
      <w:r>
        <w:tab/>
      </w:r>
      <w:r w:rsidRPr="005D746C">
        <w:t xml:space="preserve">Partington, </w:t>
      </w:r>
      <w:r w:rsidRPr="00DB1D18">
        <w:rPr>
          <w:rStyle w:val="AERtextitalic"/>
        </w:rPr>
        <w:t>Report to the AER: Return on equity (Updated)</w:t>
      </w:r>
      <w:r w:rsidRPr="005D746C">
        <w:t>, April 2015, p. 28</w:t>
      </w:r>
      <w:r>
        <w:t xml:space="preserve">; </w:t>
      </w:r>
      <w:r w:rsidRPr="005D746C">
        <w:t xml:space="preserve">Partington &amp; Satchell, </w:t>
      </w:r>
      <w:r w:rsidRPr="00DB1D18">
        <w:rPr>
          <w:rStyle w:val="AERtextitalic"/>
        </w:rPr>
        <w:t>Report to the AER: Analysis of criticism of 2015 determinations</w:t>
      </w:r>
      <w:r w:rsidRPr="005D746C">
        <w:t>, October 2015, p. 36.</w:t>
      </w:r>
    </w:p>
  </w:footnote>
  <w:footnote w:id="909">
    <w:p w:rsidR="003F1AAB" w:rsidRPr="00D23304" w:rsidRDefault="003F1AAB" w:rsidP="006C49DC">
      <w:pPr>
        <w:pStyle w:val="FootnoteText"/>
        <w:rPr>
          <w:lang w:val="en-US"/>
        </w:rPr>
      </w:pPr>
      <w:r>
        <w:rPr>
          <w:rStyle w:val="FootnoteReference"/>
        </w:rPr>
        <w:footnoteRef/>
      </w:r>
      <w:r>
        <w:t xml:space="preserve"> </w:t>
      </w:r>
      <w:r>
        <w:rPr>
          <w:lang w:val="en-US"/>
        </w:rPr>
        <w:tab/>
        <w:t xml:space="preserve">Incenta Economic Consulting, </w:t>
      </w:r>
      <w:r w:rsidRPr="00D23304">
        <w:rPr>
          <w:i/>
          <w:lang w:val="en-US"/>
        </w:rPr>
        <w:t>Further update on the required return on equity from independent expert reports</w:t>
      </w:r>
      <w:r>
        <w:rPr>
          <w:lang w:val="en-US"/>
        </w:rPr>
        <w:t>, Report for Jemena Gas Networks, Jemena Electricity Networks, ActewAGL, Aus</w:t>
      </w:r>
      <w:r>
        <w:t>g</w:t>
      </w:r>
      <w:r>
        <w:rPr>
          <w:lang w:val="en-US"/>
        </w:rPr>
        <w:t>rid, AusNet Services, Australian Gas Networks, CitiPower, Endeavour Energy, Energex, Ergon</w:t>
      </w:r>
      <w:r>
        <w:t xml:space="preserve"> Energy</w:t>
      </w:r>
      <w:r>
        <w:rPr>
          <w:lang w:val="en-US"/>
        </w:rPr>
        <w:t>, Essential Energy, Powercor, SA Power Networks, and United Energy, February 2015, p. 19.</w:t>
      </w:r>
    </w:p>
  </w:footnote>
  <w:footnote w:id="910">
    <w:p w:rsidR="003F1AAB" w:rsidRDefault="003F1AAB" w:rsidP="006C49DC">
      <w:pPr>
        <w:pStyle w:val="FootnoteText"/>
      </w:pPr>
      <w:r>
        <w:rPr>
          <w:rStyle w:val="FootnoteReference"/>
        </w:rPr>
        <w:footnoteRef/>
      </w:r>
      <w:r>
        <w:t xml:space="preserve"> </w:t>
      </w:r>
      <w:r>
        <w:tab/>
        <w:t xml:space="preserve">Partington, </w:t>
      </w:r>
      <w:r w:rsidRPr="00B466AF">
        <w:rPr>
          <w:rStyle w:val="AERtextitalic"/>
        </w:rPr>
        <w:t>Repor</w:t>
      </w:r>
      <w:r>
        <w:rPr>
          <w:rStyle w:val="AERtextitalic"/>
        </w:rPr>
        <w:t>t to the AER: Return on equity </w:t>
      </w:r>
      <w:r w:rsidRPr="00B466AF">
        <w:rPr>
          <w:rStyle w:val="AERtextitalic"/>
        </w:rPr>
        <w:t>(Updated)</w:t>
      </w:r>
      <w:r>
        <w:t>,</w:t>
      </w:r>
      <w:r w:rsidRPr="00B466AF">
        <w:t xml:space="preserve"> April 2015</w:t>
      </w:r>
      <w:r>
        <w:t>, p. 28.</w:t>
      </w:r>
    </w:p>
  </w:footnote>
  <w:footnote w:id="911">
    <w:p w:rsidR="003F1AAB" w:rsidRDefault="003F1AAB" w:rsidP="006C49DC">
      <w:pPr>
        <w:pStyle w:val="FootnoteText"/>
      </w:pPr>
      <w:r>
        <w:rPr>
          <w:rStyle w:val="FootnoteReference"/>
        </w:rPr>
        <w:footnoteRef/>
      </w:r>
      <w:r>
        <w:t xml:space="preserve"> </w:t>
      </w:r>
      <w:r>
        <w:tab/>
      </w:r>
      <w:r w:rsidRPr="00D33284">
        <w:t xml:space="preserve">AER, </w:t>
      </w:r>
      <w:r w:rsidRPr="00D33284">
        <w:rPr>
          <w:rStyle w:val="Emphasis"/>
        </w:rPr>
        <w:t>Draft decision Australian Gas Networks Access Arrangement 2016 to 2021: Attachment 3 – Rate of return</w:t>
      </w:r>
      <w:r w:rsidRPr="00D33284">
        <w:t>, November 2015, pp. 521–526</w:t>
      </w:r>
      <w:r>
        <w:t>.</w:t>
      </w:r>
    </w:p>
    <w:p w:rsidR="003F1AAB" w:rsidRDefault="003F1AAB" w:rsidP="006C49DC">
      <w:pPr>
        <w:pStyle w:val="FootnoteText"/>
      </w:pPr>
    </w:p>
  </w:footnote>
  <w:footnote w:id="912">
    <w:p w:rsidR="003F1AAB" w:rsidRDefault="003F1AAB" w:rsidP="006C49DC">
      <w:pPr>
        <w:pStyle w:val="FootnoteText"/>
      </w:pPr>
      <w:r>
        <w:rPr>
          <w:rStyle w:val="FootnoteReference"/>
        </w:rPr>
        <w:footnoteRef/>
      </w:r>
      <w:r>
        <w:t xml:space="preserve"> </w:t>
      </w:r>
      <w:r>
        <w:tab/>
      </w:r>
      <w:r w:rsidRPr="00A85C79">
        <w:t xml:space="preserve">Incenta Economic Consulting, </w:t>
      </w:r>
      <w:r w:rsidRPr="00DB1D18">
        <w:rPr>
          <w:rStyle w:val="AERtextitalic"/>
        </w:rPr>
        <w:t>Further update on the required return on equity from independent expert reports</w:t>
      </w:r>
      <w:r w:rsidRPr="00A85C79">
        <w:t>, Report for Jemena Gas Networks, Jemena Elec</w:t>
      </w:r>
      <w:r>
        <w:t>tricity Networks, ActewAGL, Ausg</w:t>
      </w:r>
      <w:r w:rsidRPr="00A85C79">
        <w:t>rid, AusNet Services, Australian Gas Networks, CitiPower, Endeavour Energy, Energex, Ergon</w:t>
      </w:r>
      <w:r>
        <w:t xml:space="preserve"> Energy</w:t>
      </w:r>
      <w:r w:rsidRPr="00A85C79">
        <w:t>, Essential Energy, Powercor, SA Power Networks, and Uni</w:t>
      </w:r>
      <w:r>
        <w:t>ted Energy, February 2015, p. 33.</w:t>
      </w:r>
    </w:p>
  </w:footnote>
  <w:footnote w:id="913">
    <w:p w:rsidR="003F1AAB" w:rsidRDefault="003F1AAB" w:rsidP="006C49DC">
      <w:pPr>
        <w:pStyle w:val="FootnoteText"/>
      </w:pPr>
      <w:r>
        <w:rPr>
          <w:rStyle w:val="FootnoteReference"/>
        </w:rPr>
        <w:footnoteRef/>
      </w:r>
      <w:r>
        <w:t xml:space="preserve"> </w:t>
      </w:r>
      <w:r>
        <w:tab/>
      </w:r>
      <w:r w:rsidRPr="00234188">
        <w:t xml:space="preserve">Partington, </w:t>
      </w:r>
      <w:r w:rsidRPr="00D946D9">
        <w:rPr>
          <w:rStyle w:val="AERtextitalic"/>
        </w:rPr>
        <w:t>Report to the AER: Return on equity (Updated)</w:t>
      </w:r>
      <w:r>
        <w:t>,</w:t>
      </w:r>
      <w:r w:rsidRPr="00234188">
        <w:t xml:space="preserve"> April 2015</w:t>
      </w:r>
      <w:r>
        <w:t>, p. 64.</w:t>
      </w:r>
    </w:p>
  </w:footnote>
  <w:footnote w:id="914">
    <w:p w:rsidR="003F1AAB" w:rsidRDefault="003F1AAB" w:rsidP="006C49DC">
      <w:pPr>
        <w:pStyle w:val="FootnoteText"/>
      </w:pPr>
      <w:r>
        <w:rPr>
          <w:rStyle w:val="FootnoteReference"/>
        </w:rPr>
        <w:footnoteRef/>
      </w:r>
      <w:r>
        <w:t xml:space="preserve"> </w:t>
      </w:r>
      <w:r>
        <w:tab/>
        <w:t>In particular in comparison to the market return estimates from valuation reports excluding any adjustment for dividend imputation, which we consider to be the more appropriate series for our purposes (see section E.1.).</w:t>
      </w:r>
    </w:p>
  </w:footnote>
  <w:footnote w:id="915">
    <w:p w:rsidR="003F1AAB" w:rsidRDefault="003F1AAB" w:rsidP="006C49DC">
      <w:pPr>
        <w:pStyle w:val="FootnoteText"/>
      </w:pPr>
      <w:r>
        <w:rPr>
          <w:rStyle w:val="FootnoteReference"/>
        </w:rPr>
        <w:footnoteRef/>
      </w:r>
      <w:r>
        <w:t xml:space="preserve"> </w:t>
      </w:r>
      <w:r>
        <w:tab/>
        <w:t xml:space="preserve">NERA, </w:t>
      </w:r>
      <w:r w:rsidRPr="000A7131">
        <w:rPr>
          <w:rStyle w:val="AERtextitalic"/>
        </w:rPr>
        <w:t>The relationship between the market risk premium and risk free rate: evidence from independent expert reports</w:t>
      </w:r>
      <w:r>
        <w:t xml:space="preserve">, a report for United Energy, April 2015, p. 20; HoustonKemp, </w:t>
      </w:r>
      <w:r w:rsidRPr="00527D82">
        <w:rPr>
          <w:rStyle w:val="AERtextitalic"/>
        </w:rPr>
        <w:t>The cost of equity: Response to the AER's draft decisions for the Victorian electricity distributors, ActewAGL Distribution and Australian Gas Networks</w:t>
      </w:r>
      <w:r>
        <w:t>, January 2016, p. 59.</w:t>
      </w:r>
    </w:p>
  </w:footnote>
  <w:footnote w:id="916">
    <w:p w:rsidR="003F1AAB" w:rsidRDefault="003F1AAB" w:rsidP="006C49DC">
      <w:pPr>
        <w:pStyle w:val="FootnoteText"/>
      </w:pPr>
      <w:r>
        <w:rPr>
          <w:rStyle w:val="FootnoteReference"/>
        </w:rPr>
        <w:footnoteRef/>
      </w:r>
      <w:r>
        <w:t xml:space="preserve"> </w:t>
      </w:r>
      <w:r>
        <w:tab/>
        <w:t>HoustonKemp noted that o</w:t>
      </w:r>
      <w:r w:rsidRPr="00B14BB6">
        <w:t>nly 25 of the</w:t>
      </w:r>
      <w:r>
        <w:t xml:space="preserve"> 195 independent valuation reports </w:t>
      </w:r>
      <w:r w:rsidRPr="00B14BB6">
        <w:t xml:space="preserve">contained </w:t>
      </w:r>
      <w:r>
        <w:t xml:space="preserve">large </w:t>
      </w:r>
      <w:r w:rsidRPr="00B14BB6">
        <w:t>uplifts</w:t>
      </w:r>
      <w:r>
        <w:t xml:space="preserve"> to (at least 100 basis points above)</w:t>
      </w:r>
      <w:r w:rsidRPr="00B14BB6">
        <w:t xml:space="preserve"> the </w:t>
      </w:r>
      <w:r>
        <w:t>10 year CGS yield,</w:t>
      </w:r>
      <w:r w:rsidRPr="00B14BB6">
        <w:t xml:space="preserve"> </w:t>
      </w:r>
      <w:r>
        <w:t xml:space="preserve">while 147 of these reports did not contain adjustments to the risk free rate which were greater than 50 basis points (see: HoustonKemp, </w:t>
      </w:r>
      <w:r w:rsidRPr="00527D82">
        <w:rPr>
          <w:rStyle w:val="AERtextitalic"/>
        </w:rPr>
        <w:t>The cost of equity: Response to the AER's draft decisions for the Victorian electricity distributors, ActewAGL Distribution and Australian Gas Networks</w:t>
      </w:r>
      <w:r>
        <w:t>, January 2016, p. 59).</w:t>
      </w:r>
    </w:p>
  </w:footnote>
  <w:footnote w:id="917">
    <w:p w:rsidR="003F1AAB" w:rsidRDefault="003F1AAB" w:rsidP="006C49DC">
      <w:pPr>
        <w:pStyle w:val="FootnoteText"/>
      </w:pPr>
      <w:r>
        <w:rPr>
          <w:rStyle w:val="FootnoteReference"/>
        </w:rPr>
        <w:footnoteRef/>
      </w:r>
      <w:r>
        <w:t xml:space="preserve"> </w:t>
      </w:r>
      <w:r>
        <w:tab/>
        <w:t xml:space="preserve">Partington &amp; Satchell, </w:t>
      </w:r>
      <w:r w:rsidRPr="00002E4F">
        <w:rPr>
          <w:rStyle w:val="AERtextitalic"/>
        </w:rPr>
        <w:t>Report to the AER: Analysis of criticism of 2015 determinations</w:t>
      </w:r>
      <w:r>
        <w:t>, October 2015, p. 38.</w:t>
      </w:r>
    </w:p>
  </w:footnote>
  <w:footnote w:id="918">
    <w:p w:rsidR="003F1AAB" w:rsidRDefault="003F1AAB" w:rsidP="006C49DC">
      <w:pPr>
        <w:pStyle w:val="FootnoteText"/>
      </w:pPr>
      <w:r>
        <w:rPr>
          <w:rStyle w:val="FootnoteReference"/>
        </w:rPr>
        <w:footnoteRef/>
      </w:r>
      <w:r>
        <w:t xml:space="preserve"> </w:t>
      </w:r>
      <w:r>
        <w:tab/>
        <w:t xml:space="preserve">HoustonKemp, </w:t>
      </w:r>
      <w:r w:rsidRPr="00527D82">
        <w:rPr>
          <w:rStyle w:val="AERtextitalic"/>
        </w:rPr>
        <w:t>The cost of equity: Response to the AER's draft decisions for the Victorian electricity distributors, ActewAGL Distribution and Australian Gas Networks</w:t>
      </w:r>
      <w:r>
        <w:t xml:space="preserve">, January 2016, p. 60; </w:t>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 49.</w:t>
      </w:r>
    </w:p>
  </w:footnote>
  <w:footnote w:id="919">
    <w:p w:rsidR="003F1AAB" w:rsidRDefault="003F1AAB" w:rsidP="006C49DC">
      <w:pPr>
        <w:pStyle w:val="FootnoteText"/>
      </w:pPr>
      <w:r>
        <w:rPr>
          <w:rStyle w:val="FootnoteReference"/>
        </w:rPr>
        <w:footnoteRef/>
      </w:r>
      <w:r>
        <w:t xml:space="preserve"> </w:t>
      </w:r>
      <w:r>
        <w:tab/>
        <w:t xml:space="preserve">This is important because two firms write more than 40% of the reports that use a substantially increased risk free rate.” Furthermore, if we then construct the standard error based on an assumption of 100 observations (in terms of number of reports) rather than two observations (number of firms) we form an erroneous belief in the accuracy of our estimates. See: </w:t>
      </w:r>
      <w:r w:rsidRPr="00387DCE">
        <w:t xml:space="preserve">Partington and Satchell, </w:t>
      </w:r>
      <w:r>
        <w:t>Report to the AER: Cost of equity issues–2016 electricity and gas determinations</w:t>
      </w:r>
      <w:r w:rsidRPr="00387DCE">
        <w:t>, April 201</w:t>
      </w:r>
      <w:r>
        <w:t>6</w:t>
      </w:r>
      <w:r w:rsidRPr="00387DCE">
        <w:t>,</w:t>
      </w:r>
      <w:r>
        <w:t xml:space="preserve"> p. 49. </w:t>
      </w:r>
    </w:p>
  </w:footnote>
  <w:footnote w:id="920">
    <w:p w:rsidR="003F1AAB" w:rsidRDefault="003F1AAB" w:rsidP="006C49DC">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 49.</w:t>
      </w:r>
    </w:p>
  </w:footnote>
  <w:footnote w:id="921">
    <w:p w:rsidR="003F1AAB" w:rsidRDefault="003F1AAB" w:rsidP="006C49DC">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 49.</w:t>
      </w:r>
    </w:p>
  </w:footnote>
  <w:footnote w:id="922">
    <w:p w:rsidR="003F1AAB" w:rsidRDefault="003F1AAB" w:rsidP="006C49DC">
      <w:pPr>
        <w:pStyle w:val="FootnoteText"/>
      </w:pPr>
      <w:r>
        <w:rPr>
          <w:rStyle w:val="FootnoteReference"/>
        </w:rPr>
        <w:footnoteRef/>
      </w:r>
      <w:r>
        <w:t xml:space="preserve"> </w:t>
      </w:r>
      <w:r>
        <w:tab/>
        <w:t xml:space="preserve">Partington &amp; Satchell, </w:t>
      </w:r>
      <w:r w:rsidRPr="00002E4F">
        <w:rPr>
          <w:rStyle w:val="AERtextitalic"/>
        </w:rPr>
        <w:t>Report to the AER: Analysis of criticism of 2015 determinations</w:t>
      </w:r>
      <w:r>
        <w:t>, October 2015, p. 36.</w:t>
      </w:r>
    </w:p>
  </w:footnote>
  <w:footnote w:id="923">
    <w:p w:rsidR="003F1AAB" w:rsidRDefault="003F1AAB" w:rsidP="006C49DC">
      <w:pPr>
        <w:pStyle w:val="FootnoteText"/>
      </w:pPr>
      <w:r>
        <w:rPr>
          <w:rStyle w:val="FootnoteReference"/>
        </w:rPr>
        <w:footnoteRef/>
      </w:r>
      <w:r>
        <w:t xml:space="preserve"> </w:t>
      </w:r>
      <w:r>
        <w:tab/>
      </w:r>
      <w:r w:rsidRPr="00387DCE">
        <w:t xml:space="preserve">Partington and Satchell, </w:t>
      </w:r>
      <w:r>
        <w:t>Report to the AER: Cost of equity issues–2016 electricity and gas determinations</w:t>
      </w:r>
      <w:r w:rsidRPr="00387DCE">
        <w:t>, April 201</w:t>
      </w:r>
      <w:r>
        <w:t>6</w:t>
      </w:r>
      <w:r w:rsidRPr="00387DCE">
        <w:t>,</w:t>
      </w:r>
      <w:r>
        <w:t xml:space="preserve"> p. 50; HoustonKemp, </w:t>
      </w:r>
      <w:r w:rsidRPr="008860FD">
        <w:rPr>
          <w:rStyle w:val="AERtextitalic"/>
        </w:rPr>
        <w:t>The cost of equity: Response to the AER's draft decisions for the Victorian electricity distributors, ActewAGL Distribution and Australian Gas Networks</w:t>
      </w:r>
      <w:r>
        <w:t>, January 2016, p. 48.</w:t>
      </w:r>
    </w:p>
  </w:footnote>
  <w:footnote w:id="924">
    <w:p w:rsidR="003F1AAB" w:rsidRDefault="003F1AAB" w:rsidP="006C49DC">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pp. 49–50.</w:t>
      </w:r>
    </w:p>
  </w:footnote>
  <w:footnote w:id="925">
    <w:p w:rsidR="003F1AAB" w:rsidRDefault="003F1AAB" w:rsidP="006C49DC">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w:t>
      </w:r>
      <w:r w:rsidRPr="00ED0CF8">
        <w:t xml:space="preserve">pp. </w:t>
      </w:r>
      <w:r>
        <w:t>21</w:t>
      </w:r>
      <w:r w:rsidRPr="00ED0CF8">
        <w:t>–</w:t>
      </w:r>
      <w:r>
        <w:t>22.</w:t>
      </w:r>
    </w:p>
  </w:footnote>
  <w:footnote w:id="926">
    <w:p w:rsidR="003F1AAB" w:rsidRDefault="003F1AAB" w:rsidP="006C49DC">
      <w:pPr>
        <w:pStyle w:val="FootnoteText"/>
      </w:pPr>
      <w:r>
        <w:rPr>
          <w:rStyle w:val="FootnoteReference"/>
        </w:rPr>
        <w:footnoteRef/>
      </w:r>
      <w:r>
        <w:t xml:space="preserve"> </w:t>
      </w:r>
      <w:r>
        <w:tab/>
        <w:t xml:space="preserve">NERA, </w:t>
      </w:r>
      <w:r w:rsidRPr="000A7131">
        <w:rPr>
          <w:rStyle w:val="AERtextitalic"/>
        </w:rPr>
        <w:t>The relationship between the market risk premium and risk free rate: evidence from independent expert reports</w:t>
      </w:r>
      <w:r>
        <w:t>, a report for United Energy, April 2015, p. 22.</w:t>
      </w:r>
    </w:p>
  </w:footnote>
  <w:footnote w:id="927">
    <w:p w:rsidR="003F1AAB" w:rsidRDefault="003F1AAB" w:rsidP="006C49DC">
      <w:pPr>
        <w:pStyle w:val="FootnoteText"/>
      </w:pPr>
      <w:r>
        <w:rPr>
          <w:rStyle w:val="FootnoteReference"/>
        </w:rPr>
        <w:footnoteRef/>
      </w:r>
      <w:r>
        <w:t xml:space="preserve"> </w:t>
      </w:r>
      <w:r>
        <w:tab/>
        <w:t xml:space="preserve">HoustonKemp, </w:t>
      </w:r>
      <w:r w:rsidRPr="002F61BA">
        <w:rPr>
          <w:rStyle w:val="AERtextitalic"/>
        </w:rPr>
        <w:t>The cost of equity: Response to the AER's draft decisions for the Victorian electricity distributors, ActewAGL Distribution and Australian Gas Networks</w:t>
      </w:r>
      <w:r>
        <w:t>, January 2016, p. 47.</w:t>
      </w:r>
    </w:p>
  </w:footnote>
  <w:footnote w:id="928">
    <w:p w:rsidR="003F1AAB" w:rsidRDefault="003F1AAB" w:rsidP="006C49DC">
      <w:pPr>
        <w:pStyle w:val="FootnoteText"/>
      </w:pPr>
      <w:r>
        <w:rPr>
          <w:rStyle w:val="FootnoteReference"/>
        </w:rPr>
        <w:footnoteRef/>
      </w:r>
      <w:r>
        <w:t xml:space="preserve"> </w:t>
      </w:r>
      <w:r>
        <w:tab/>
        <w:t xml:space="preserve">See also: Partington &amp; Satchell, </w:t>
      </w:r>
      <w:r w:rsidRPr="00002E4F">
        <w:rPr>
          <w:rStyle w:val="AERtextitalic"/>
        </w:rPr>
        <w:t>Report to the AER: Analysis of criticism of 2015 determinations</w:t>
      </w:r>
      <w:r>
        <w:t>, October 2015, pp. 53–55.</w:t>
      </w:r>
    </w:p>
  </w:footnote>
  <w:footnote w:id="929">
    <w:p w:rsidR="003F1AAB" w:rsidRDefault="003F1AAB" w:rsidP="00784B0F">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 21</w:t>
      </w:r>
      <w:r>
        <w:t xml:space="preserve">; Brealey, </w:t>
      </w:r>
      <w:r w:rsidRPr="00D00C7A">
        <w:t xml:space="preserve">Myers, </w:t>
      </w:r>
      <w:r>
        <w:t>Partington, Robinson</w:t>
      </w:r>
      <w:r w:rsidRPr="00D00C7A">
        <w:t xml:space="preserve">, </w:t>
      </w:r>
      <w:r w:rsidRPr="00D00C7A">
        <w:rPr>
          <w:rStyle w:val="AERtextitalic"/>
        </w:rPr>
        <w:t>Principles of Corporate Finance</w:t>
      </w:r>
      <w:r w:rsidRPr="00D00C7A">
        <w:t xml:space="preserve">, McGraw-Hill </w:t>
      </w:r>
      <w:r>
        <w:t>Australia</w:t>
      </w:r>
      <w:r w:rsidRPr="00D00C7A">
        <w:t xml:space="preserve">: </w:t>
      </w:r>
      <w:r>
        <w:t>First Australian</w:t>
      </w:r>
      <w:r w:rsidRPr="00D00C7A">
        <w:t xml:space="preserve"> Edition, 20</w:t>
      </w:r>
      <w:r>
        <w:t>00</w:t>
      </w:r>
      <w:r w:rsidRPr="00D00C7A">
        <w:t>, p. 18</w:t>
      </w:r>
      <w:r>
        <w:t>7</w:t>
      </w:r>
      <w:r w:rsidRPr="00D00C7A">
        <w:t xml:space="preserve">.  </w:t>
      </w:r>
    </w:p>
  </w:footnote>
  <w:footnote w:id="930">
    <w:p w:rsidR="003F1AAB" w:rsidRDefault="003F1AAB" w:rsidP="00784B0F">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797F4E">
        <w:rPr>
          <w:rStyle w:val="AERtextitalic"/>
        </w:rPr>
        <w:t>β</w:t>
      </w:r>
      <w:r>
        <w:t xml:space="preserve">, April </w:t>
      </w:r>
      <w:r w:rsidRPr="00880024">
        <w:t>2009</w:t>
      </w:r>
      <w:r>
        <w:t xml:space="preserve">; Henry, </w:t>
      </w:r>
      <w:r w:rsidRPr="00880024">
        <w:rPr>
          <w:rStyle w:val="AERtextitalic"/>
        </w:rPr>
        <w:t xml:space="preserve">Estimating </w:t>
      </w:r>
      <w:r w:rsidRPr="00797F4E">
        <w:rPr>
          <w:rStyle w:val="AERtextitalic"/>
        </w:rPr>
        <w:t>β</w:t>
      </w:r>
      <w:r w:rsidRPr="00880024">
        <w:rPr>
          <w:rStyle w:val="AERtextitalic"/>
        </w:rPr>
        <w:t>: An update</w:t>
      </w:r>
      <w:r>
        <w:t>, April 2014.</w:t>
      </w:r>
    </w:p>
  </w:footnote>
  <w:footnote w:id="931">
    <w:p w:rsidR="003F1AAB" w:rsidRDefault="003F1AAB" w:rsidP="00784B0F">
      <w:pPr>
        <w:pStyle w:val="FootnoteText"/>
      </w:pPr>
      <w:r>
        <w:rPr>
          <w:rStyle w:val="FootnoteReference"/>
        </w:rPr>
        <w:footnoteRef/>
      </w:r>
      <w:r>
        <w:t xml:space="preserve"> </w:t>
      </w:r>
      <w:r>
        <w:tab/>
        <w:t>NER, cll. 6A.6.2(g)</w:t>
      </w:r>
      <w:r w:rsidRPr="00374D0C">
        <w:t xml:space="preserve"> </w:t>
      </w:r>
      <w:r>
        <w:t xml:space="preserve">and 6.5.2(g); NGR, rule 87(7). It is the most recent AER report. </w:t>
      </w:r>
    </w:p>
  </w:footnote>
  <w:footnote w:id="932">
    <w:p w:rsidR="003F1AAB" w:rsidRDefault="003F1AAB" w:rsidP="00784B0F">
      <w:pPr>
        <w:pStyle w:val="FootnoteText"/>
      </w:pPr>
      <w:r>
        <w:rPr>
          <w:rStyle w:val="FootnoteReference"/>
        </w:rPr>
        <w:footnoteRef/>
      </w:r>
      <w:r>
        <w:t xml:space="preserve"> </w:t>
      </w:r>
      <w:r>
        <w:tab/>
        <w:t xml:space="preserve">Henry, </w:t>
      </w:r>
      <w:r w:rsidRPr="008D5822">
        <w:rPr>
          <w:rStyle w:val="AERtextitalic"/>
        </w:rPr>
        <w:t xml:space="preserve">Estimating </w:t>
      </w:r>
      <w:r w:rsidRPr="00797F4E">
        <w:rPr>
          <w:rStyle w:val="AERtextitalic"/>
        </w:rPr>
        <w:t>β</w:t>
      </w:r>
      <w:r w:rsidRPr="008D5822">
        <w:rPr>
          <w:rStyle w:val="AERtextitalic"/>
        </w:rPr>
        <w:t>: An update</w:t>
      </w:r>
      <w:r>
        <w:t>, April 2014, p. 9.</w:t>
      </w:r>
    </w:p>
  </w:footnote>
  <w:footnote w:id="933">
    <w:p w:rsidR="003F1AAB" w:rsidRDefault="003F1AAB" w:rsidP="00784B0F">
      <w:pPr>
        <w:pStyle w:val="FootnoteText"/>
      </w:pPr>
      <w:r>
        <w:rPr>
          <w:rStyle w:val="FootnoteReference"/>
        </w:rPr>
        <w:footnoteRef/>
      </w:r>
      <w:r>
        <w:t xml:space="preserve"> </w:t>
      </w:r>
      <w:r>
        <w:tab/>
        <w:t xml:space="preserve">See, for example, AER, </w:t>
      </w:r>
      <w:r>
        <w:rPr>
          <w:rStyle w:val="AERtextitalic"/>
        </w:rPr>
        <w:t>Draft</w:t>
      </w:r>
      <w:r w:rsidRPr="00834892">
        <w:rPr>
          <w:rStyle w:val="AERtextitalic"/>
        </w:rPr>
        <w:t xml:space="preserve"> decision: </w:t>
      </w:r>
      <w:r>
        <w:rPr>
          <w:rStyle w:val="AERtextitalic"/>
        </w:rPr>
        <w:t>Australian Gas Networks</w:t>
      </w:r>
      <w:r w:rsidRPr="00834892">
        <w:rPr>
          <w:rStyle w:val="AERtextitalic"/>
        </w:rPr>
        <w:t xml:space="preserve"> </w:t>
      </w:r>
      <w:r>
        <w:rPr>
          <w:rStyle w:val="AERtextitalic"/>
        </w:rPr>
        <w:t>Access Arrangement</w:t>
      </w:r>
      <w:r w:rsidRPr="00834892">
        <w:rPr>
          <w:rStyle w:val="AERtextitalic"/>
        </w:rPr>
        <w:t xml:space="preserve"> 2016 to 202</w:t>
      </w:r>
      <w:r>
        <w:rPr>
          <w:rStyle w:val="AERtextitalic"/>
        </w:rPr>
        <w:t>1</w:t>
      </w:r>
      <w:r w:rsidRPr="00834892">
        <w:rPr>
          <w:rStyle w:val="AERtextitalic"/>
        </w:rPr>
        <w:t>—Attachment 3: Rate of return</w:t>
      </w:r>
      <w:r>
        <w:t>, November 2015, section D.2.2.</w:t>
      </w:r>
    </w:p>
  </w:footnote>
  <w:footnote w:id="934">
    <w:p w:rsidR="003F1AAB" w:rsidRDefault="003F1AAB" w:rsidP="00784B0F">
      <w:pPr>
        <w:pStyle w:val="FootnoteText"/>
      </w:pPr>
      <w:r>
        <w:rPr>
          <w:rStyle w:val="FootnoteReference"/>
        </w:rPr>
        <w:footnoteRef/>
      </w:r>
      <w:r>
        <w:t xml:space="preserve"> </w:t>
      </w:r>
      <w:r>
        <w:tab/>
        <w:t>R</w:t>
      </w:r>
      <w:r w:rsidRPr="00D20501">
        <w:t>aw equity beta estimates are those that are observed from the initial regression</w:t>
      </w:r>
    </w:p>
  </w:footnote>
  <w:footnote w:id="935">
    <w:p w:rsidR="003F1AAB" w:rsidRDefault="003F1AAB" w:rsidP="00784B0F">
      <w:pPr>
        <w:pStyle w:val="FootnoteText"/>
      </w:pPr>
      <w:r>
        <w:rPr>
          <w:rStyle w:val="FootnoteReference"/>
        </w:rPr>
        <w:footnoteRef/>
      </w:r>
      <w:r>
        <w:t xml:space="preserve"> </w:t>
      </w:r>
      <w:r>
        <w:tab/>
        <w:t xml:space="preserve">Henry does not apply a Blume or Vasicek adjustment of any of his </w:t>
      </w:r>
      <w:r w:rsidRPr="00AB3BCA">
        <w:t>estimates, as specified in our terms of reference.</w:t>
      </w:r>
    </w:p>
  </w:footnote>
  <w:footnote w:id="936">
    <w:p w:rsidR="003F1AAB" w:rsidRDefault="003F1AAB" w:rsidP="00784B0F">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87–89.</w:t>
      </w:r>
    </w:p>
  </w:footnote>
  <w:footnote w:id="937">
    <w:p w:rsidR="003F1AAB" w:rsidRDefault="003F1AAB" w:rsidP="00784B0F">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90–93.</w:t>
      </w:r>
    </w:p>
  </w:footnote>
  <w:footnote w:id="938">
    <w:p w:rsidR="003F1AAB" w:rsidRDefault="003F1AAB" w:rsidP="00784B0F">
      <w:pPr>
        <w:pStyle w:val="FootnoteText"/>
      </w:pPr>
      <w:r>
        <w:rPr>
          <w:rStyle w:val="FootnoteReference"/>
        </w:rPr>
        <w:footnoteRef/>
      </w:r>
      <w:r>
        <w:t xml:space="preserve"> </w:t>
      </w:r>
      <w:r>
        <w:tab/>
        <w:t xml:space="preserve">Henry, </w:t>
      </w:r>
      <w:r w:rsidRPr="00880024">
        <w:rPr>
          <w:rStyle w:val="AERtextitalic"/>
        </w:rPr>
        <w:t xml:space="preserve">Estimating </w:t>
      </w:r>
      <w:r w:rsidRPr="00797F4E">
        <w:rPr>
          <w:rStyle w:val="AERtextitalic"/>
        </w:rPr>
        <w:t>β</w:t>
      </w:r>
      <w:r w:rsidRPr="00880024">
        <w:rPr>
          <w:rStyle w:val="AERtextitalic"/>
        </w:rPr>
        <w:t>: An update</w:t>
      </w:r>
      <w:r>
        <w:t>, April 2014, p. 62.</w:t>
      </w:r>
    </w:p>
  </w:footnote>
  <w:footnote w:id="939">
    <w:p w:rsidR="003F1AAB" w:rsidRDefault="003F1AAB" w:rsidP="00784B0F">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797F4E">
        <w:rPr>
          <w:rStyle w:val="AERtextitalic"/>
        </w:rPr>
        <w:t>β</w:t>
      </w:r>
      <w:r w:rsidRPr="00880024">
        <w:rPr>
          <w:rStyle w:val="AERtextitalic"/>
        </w:rPr>
        <w:t>: An update</w:t>
      </w:r>
      <w:r>
        <w:t>, April 2014, pp. 17–43. We consider fixed weight portfolio estimates (equal weighting and value weighting) and averages of individual firm estimates.</w:t>
      </w:r>
    </w:p>
  </w:footnote>
  <w:footnote w:id="940">
    <w:p w:rsidR="003F1AAB" w:rsidRDefault="003F1AAB" w:rsidP="00784B0F">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941">
    <w:p w:rsidR="003F1AAB" w:rsidRDefault="003F1AAB" w:rsidP="00784B0F">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942">
    <w:p w:rsidR="003F1AAB" w:rsidRDefault="003F1AAB" w:rsidP="00784B0F">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943">
    <w:p w:rsidR="003F1AAB" w:rsidRDefault="003F1AAB" w:rsidP="00784B0F">
      <w:pPr>
        <w:pStyle w:val="FootnoteText"/>
      </w:pPr>
      <w:r>
        <w:rPr>
          <w:rStyle w:val="FootnoteReference"/>
        </w:rPr>
        <w:footnoteRef/>
      </w:r>
      <w:r>
        <w:t xml:space="preserve"> </w:t>
      </w:r>
      <w:r>
        <w:tab/>
        <w:t xml:space="preserve">Partington, </w:t>
      </w:r>
      <w:r>
        <w:rPr>
          <w:rStyle w:val="AERtextitalic"/>
        </w:rPr>
        <w:t>Report to the AER: Return on equity (updated)</w:t>
      </w:r>
      <w:r>
        <w:t>, April 2015, p. 22.</w:t>
      </w:r>
    </w:p>
  </w:footnote>
  <w:footnote w:id="944">
    <w:p w:rsidR="003F1AAB" w:rsidRDefault="003F1AAB" w:rsidP="00784B0F">
      <w:pPr>
        <w:pStyle w:val="FootnoteText"/>
      </w:pPr>
      <w:r>
        <w:rPr>
          <w:rStyle w:val="FootnoteReference"/>
        </w:rPr>
        <w:footnoteRef/>
      </w:r>
      <w:r>
        <w:t xml:space="preserve"> </w:t>
      </w:r>
      <w:r>
        <w:tab/>
        <w:t>A</w:t>
      </w:r>
      <w:r w:rsidRPr="00354781">
        <w:t xml:space="preserve">s set out in section D.2.2 of Attachment 3 to </w:t>
      </w:r>
      <w:r>
        <w:t>our</w:t>
      </w:r>
      <w:r w:rsidRPr="00354781">
        <w:t xml:space="preserve"> </w:t>
      </w:r>
      <w:r>
        <w:t>draft and final</w:t>
      </w:r>
      <w:r w:rsidRPr="00354781">
        <w:t xml:space="preserve"> decision</w:t>
      </w:r>
      <w:r>
        <w:t>s in October and November 2015.</w:t>
      </w:r>
    </w:p>
  </w:footnote>
  <w:footnote w:id="945">
    <w:p w:rsidR="003F1AAB" w:rsidRDefault="003F1AAB" w:rsidP="00784B0F">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797F4E">
        <w:rPr>
          <w:rStyle w:val="AERtextitalic"/>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797F4E">
        <w:rPr>
          <w:rStyle w:val="AERtextitalic"/>
        </w:rPr>
        <w:t>β</w:t>
      </w:r>
      <w:r w:rsidRPr="002E1E31">
        <w:rPr>
          <w:rStyle w:val="AERtextitalic"/>
        </w:rPr>
        <w:t>: an update</w:t>
      </w:r>
      <w:r>
        <w:t>, April 2014.</w:t>
      </w:r>
    </w:p>
  </w:footnote>
  <w:footnote w:id="946">
    <w:p w:rsidR="003F1AAB" w:rsidRDefault="003F1AAB" w:rsidP="00784B0F">
      <w:pPr>
        <w:pStyle w:val="FootnoteText"/>
      </w:pPr>
      <w:r>
        <w:rPr>
          <w:rStyle w:val="FootnoteReference"/>
        </w:rPr>
        <w:footnoteRef/>
      </w:r>
      <w:r>
        <w:t xml:space="preserve"> </w:t>
      </w:r>
      <w:r>
        <w:tab/>
        <w:t xml:space="preserve">This range includes raw and re-levered equity beta estimates. The re-levered estimates presented have been calculated using the Brealey-Myers formula set out in our recent decisions (see, for example, AER, </w:t>
      </w:r>
      <w:r>
        <w:rPr>
          <w:rStyle w:val="AERtextitalic"/>
        </w:rPr>
        <w:t>Draft</w:t>
      </w:r>
      <w:r w:rsidRPr="00834892">
        <w:rPr>
          <w:rStyle w:val="AERtextitalic"/>
        </w:rPr>
        <w:t xml:space="preserve"> decision: </w:t>
      </w:r>
      <w:r>
        <w:rPr>
          <w:rStyle w:val="AERtextitalic"/>
        </w:rPr>
        <w:t xml:space="preserve">Australian Gas Networks Access Arrangement </w:t>
      </w:r>
      <w:r w:rsidRPr="00834892">
        <w:rPr>
          <w:rStyle w:val="AERtextitalic"/>
        </w:rPr>
        <w:t>2016 to 202</w:t>
      </w:r>
      <w:r>
        <w:rPr>
          <w:rStyle w:val="AERtextitalic"/>
        </w:rPr>
        <w:t>1</w:t>
      </w:r>
      <w:r w:rsidRPr="00834892">
        <w:rPr>
          <w:rStyle w:val="AERtextitalic"/>
        </w:rPr>
        <w:t>—Attachment 3: Rate of return</w:t>
      </w:r>
      <w:r>
        <w:t>, November 2015, section D.2.2)</w:t>
      </w:r>
      <w:r w:rsidRPr="00B23FBA">
        <w:t xml:space="preserve">. </w:t>
      </w:r>
      <w:r>
        <w:t>Also, the studies we consider in this section are largely the same as those considered in our recent decisions.</w:t>
      </w:r>
    </w:p>
  </w:footnote>
  <w:footnote w:id="947">
    <w:p w:rsidR="003F1AAB" w:rsidRDefault="003F1AAB" w:rsidP="00784B0F">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948">
    <w:p w:rsidR="003F1AAB" w:rsidRDefault="003F1AAB" w:rsidP="00784B0F">
      <w:pPr>
        <w:pStyle w:val="FootnoteText"/>
      </w:pPr>
      <w:r>
        <w:rPr>
          <w:rStyle w:val="FootnoteReference"/>
        </w:rPr>
        <w:footnoteRef/>
      </w:r>
      <w:r>
        <w:t xml:space="preserve"> </w:t>
      </w:r>
      <w:r>
        <w:tab/>
        <w:t xml:space="preserve">See: CEG, </w:t>
      </w:r>
      <w:r w:rsidRPr="00E8797D">
        <w:rPr>
          <w:rStyle w:val="AERtextitalic"/>
        </w:rPr>
        <w:t>Estimating the cost of equity, equity beta and MRP</w:t>
      </w:r>
      <w:r>
        <w:t>, January 2015, p. 37.</w:t>
      </w:r>
    </w:p>
  </w:footnote>
  <w:footnote w:id="949">
    <w:p w:rsidR="003F1AAB" w:rsidRDefault="003F1AAB" w:rsidP="00784B0F">
      <w:pPr>
        <w:pStyle w:val="FootnoteText"/>
      </w:pPr>
      <w:r>
        <w:rPr>
          <w:rStyle w:val="FootnoteReference"/>
        </w:rPr>
        <w:footnoteRef/>
      </w:r>
      <w:r>
        <w:t xml:space="preserve"> </w:t>
      </w:r>
      <w:r>
        <w:tab/>
        <w:t xml:space="preserve">See, for example, SFG, </w:t>
      </w:r>
      <w:r w:rsidRPr="00B12036">
        <w:rPr>
          <w:rStyle w:val="AERtextitalic"/>
        </w:rPr>
        <w:t>Equity beta</w:t>
      </w:r>
      <w:r>
        <w:t xml:space="preserve">, May 2014, pp. 2–3; SFG, </w:t>
      </w:r>
      <w:r w:rsidRPr="00360306">
        <w:rPr>
          <w:rStyle w:val="AERtextitalic"/>
        </w:rPr>
        <w:t>The required return on equity for regulated gas and electricity network businesses</w:t>
      </w:r>
      <w:r>
        <w:t xml:space="preserve">, May 2014, pp. 84–85; CEG, </w:t>
      </w:r>
      <w:r w:rsidRPr="00360306">
        <w:rPr>
          <w:rStyle w:val="AERtextitalic"/>
        </w:rPr>
        <w:t>WACC estimates</w:t>
      </w:r>
      <w:r>
        <w:t xml:space="preserve">, May 2014, pp. 7–10; SFG, </w:t>
      </w:r>
      <w:r w:rsidRPr="0082349C">
        <w:rPr>
          <w:rStyle w:val="AERtextitalic"/>
        </w:rPr>
        <w:t>Beta and the Black capital asset pricing model</w:t>
      </w:r>
      <w:r>
        <w:t xml:space="preserve">, 13 February 2015, pp. 4, 10–12; SFG, </w:t>
      </w:r>
      <w:r w:rsidRPr="00360306">
        <w:rPr>
          <w:rStyle w:val="AERtextitalic"/>
        </w:rPr>
        <w:t>The required return on equity for the benchmark efficient entity</w:t>
      </w:r>
      <w:r>
        <w:t xml:space="preserve">, February 2015, pp. 19–20; CEG, </w:t>
      </w:r>
      <w:r w:rsidRPr="00360306">
        <w:rPr>
          <w:rStyle w:val="AERtextitalic"/>
        </w:rPr>
        <w:t>Estimating the cost of equity, equity beta and MRP, January 2015</w:t>
      </w:r>
      <w:r>
        <w:t xml:space="preserve">, pp. 33–34; Frontier Economics, </w:t>
      </w:r>
      <w:r w:rsidRPr="00360306">
        <w:rPr>
          <w:rStyle w:val="AERtextitalic"/>
        </w:rPr>
        <w:t>Key issues in estimating the return on equity for the benchmark efficient entity</w:t>
      </w:r>
      <w:r>
        <w:t xml:space="preserve">, June 2015, pp. 47–48, 50–51; Frontier Economics, </w:t>
      </w:r>
      <w:r>
        <w:rPr>
          <w:rStyle w:val="AERtextitalic"/>
        </w:rPr>
        <w:t>Estimating the equity beta for the benchmark efficient entity</w:t>
      </w:r>
      <w:r>
        <w:t xml:space="preserve">, January 2016, pp. 2–3; Frontier Economics, </w:t>
      </w:r>
      <w:r>
        <w:rPr>
          <w:rStyle w:val="AERtextitalic"/>
        </w:rPr>
        <w:t>The required return on equity under a foundation model approach</w:t>
      </w:r>
      <w:r>
        <w:t>, January 2016, pp. 39–40, 42–44.</w:t>
      </w:r>
    </w:p>
  </w:footnote>
  <w:footnote w:id="950">
    <w:p w:rsidR="003F1AAB" w:rsidRDefault="003F1AAB" w:rsidP="00784B0F">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20–25, 34.</w:t>
      </w:r>
    </w:p>
  </w:footnote>
  <w:footnote w:id="951">
    <w:p w:rsidR="003F1AAB" w:rsidRDefault="003F1AAB" w:rsidP="00784B0F">
      <w:pPr>
        <w:pStyle w:val="FootnoteText"/>
      </w:pPr>
      <w:r>
        <w:rPr>
          <w:rStyle w:val="FootnoteReference"/>
        </w:rPr>
        <w:footnoteRef/>
      </w:r>
      <w:r>
        <w:t xml:space="preserve"> </w:t>
      </w:r>
      <w:r>
        <w:tab/>
        <w:t>See, for example, sections D.2.1 and D.2.3 of Attachment 3 to our draft decision for AGNM. In these decisions we also responded to submissions from other stakeholders that suggested the equity beta estimates in Henry's 2014 report cluster around a range of 0.3 to 0.5.</w:t>
      </w:r>
    </w:p>
  </w:footnote>
  <w:footnote w:id="952">
    <w:p w:rsidR="003F1AAB" w:rsidRDefault="003F1AAB" w:rsidP="00784B0F">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953">
    <w:p w:rsidR="003F1AAB" w:rsidRDefault="003F1AAB" w:rsidP="00784B0F">
      <w:pPr>
        <w:pStyle w:val="FootnoteText"/>
      </w:pPr>
      <w:r>
        <w:rPr>
          <w:rStyle w:val="FootnoteReference"/>
        </w:rPr>
        <w:footnoteRef/>
      </w:r>
      <w:r>
        <w:t xml:space="preserve">   </w:t>
      </w:r>
      <w:r>
        <w:tab/>
        <w:t xml:space="preserve">AER, </w:t>
      </w:r>
      <w:r w:rsidRPr="00EE430C">
        <w:rPr>
          <w:rStyle w:val="AERtextitalic"/>
        </w:rPr>
        <w:t xml:space="preserve">Explanatory statement </w:t>
      </w:r>
      <w:r>
        <w:rPr>
          <w:rStyle w:val="AERtextitalic"/>
        </w:rPr>
        <w:t>to</w:t>
      </w:r>
      <w:r w:rsidRPr="00EE430C">
        <w:rPr>
          <w:rStyle w:val="AERtextitalic"/>
        </w:rPr>
        <w:t xml:space="preserve"> the rate of return guideline</w:t>
      </w:r>
      <w:r w:rsidRPr="00EE430C">
        <w:t xml:space="preserve">, December 2013, pp. </w:t>
      </w:r>
      <w:r>
        <w:t>8, 33–36, 44–45.</w:t>
      </w:r>
    </w:p>
  </w:footnote>
  <w:footnote w:id="954">
    <w:p w:rsidR="003F1AAB" w:rsidRDefault="003F1AAB" w:rsidP="00784B0F">
      <w:pPr>
        <w:pStyle w:val="FootnoteText"/>
      </w:pPr>
      <w:r>
        <w:rPr>
          <w:rStyle w:val="FootnoteReference"/>
        </w:rPr>
        <w:footnoteRef/>
      </w:r>
      <w:r>
        <w:t xml:space="preserve"> </w:t>
      </w:r>
      <w:r>
        <w:tab/>
      </w:r>
      <w:r w:rsidRPr="00D332F8">
        <w:t>SFG used the same Australian energy network firms in its comparator set of Australian (and US energy) firms</w:t>
      </w:r>
      <w:r>
        <w:t xml:space="preserve"> (see SFG, </w:t>
      </w:r>
      <w:r w:rsidRPr="005214A2">
        <w:rPr>
          <w:rStyle w:val="AERtextitalic"/>
        </w:rPr>
        <w:t>Regression-based estimates of risk parameters for the benchmark firm</w:t>
      </w:r>
      <w:r>
        <w:t>, June 2013, p. 9)</w:t>
      </w:r>
      <w:r w:rsidRPr="00D332F8">
        <w:t>.</w:t>
      </w:r>
      <w:r>
        <w:t xml:space="preserve"> </w:t>
      </w:r>
    </w:p>
  </w:footnote>
  <w:footnote w:id="955">
    <w:p w:rsidR="003F1AAB" w:rsidRDefault="003F1AAB" w:rsidP="00784B0F">
      <w:pPr>
        <w:pStyle w:val="FootnoteText"/>
      </w:pPr>
      <w:r>
        <w:rPr>
          <w:rStyle w:val="FootnoteReference"/>
        </w:rPr>
        <w:footnoteRef/>
      </w:r>
      <w:r>
        <w:t xml:space="preserve"> </w:t>
      </w:r>
      <w:r>
        <w:tab/>
      </w:r>
      <w:r w:rsidRPr="00E3007E">
        <w:t>In October 2006, AGL sold its infrastructure and asset management business to Alinta and acquired a portion of Alinta's retail and co-generation businesses.</w:t>
      </w:r>
    </w:p>
  </w:footnote>
  <w:footnote w:id="956">
    <w:p w:rsidR="003F1AAB" w:rsidRDefault="003F1AAB" w:rsidP="00784B0F">
      <w:pPr>
        <w:pStyle w:val="FootnoteText"/>
      </w:pPr>
      <w:r>
        <w:rPr>
          <w:rStyle w:val="FootnoteReference"/>
        </w:rPr>
        <w:footnoteRef/>
      </w:r>
      <w:r>
        <w:t xml:space="preserve"> </w:t>
      </w:r>
      <w:r>
        <w:tab/>
        <w:t xml:space="preserve">Henry, </w:t>
      </w:r>
      <w:r w:rsidRPr="00B4312A">
        <w:rPr>
          <w:rStyle w:val="AERtextitalic"/>
        </w:rPr>
        <w:t>Estimating β: An update</w:t>
      </w:r>
      <w:r>
        <w:t>, April 2014, p. 12.</w:t>
      </w:r>
    </w:p>
  </w:footnote>
  <w:footnote w:id="957">
    <w:p w:rsidR="003F1AAB" w:rsidRDefault="003F1AAB" w:rsidP="00784B0F">
      <w:pPr>
        <w:pStyle w:val="FootnoteText"/>
      </w:pPr>
      <w:r>
        <w:rPr>
          <w:rStyle w:val="FootnoteReference"/>
        </w:rPr>
        <w:footnoteRef/>
      </w:r>
      <w:r>
        <w:t xml:space="preserve"> </w:t>
      </w:r>
      <w:r>
        <w:tab/>
        <w:t xml:space="preserve">See: </w:t>
      </w:r>
      <w:hyperlink r:id="rId12" w:history="1">
        <w:r w:rsidRPr="007C34AE">
          <w:rPr>
            <w:rStyle w:val="Hyperlink"/>
            <w:color w:val="auto"/>
            <w:sz w:val="16"/>
            <w:u w:val="none"/>
          </w:rPr>
          <w:t>http://www.asx.com.au/asx/statistics/announcements.do?by=asxCode&amp;asxCode=ENV&amp;timeframe=Y&amp;year=2014</w:t>
        </w:r>
      </w:hyperlink>
      <w:r>
        <w:t xml:space="preserve">.  </w:t>
      </w:r>
    </w:p>
  </w:footnote>
  <w:footnote w:id="958">
    <w:p w:rsidR="003F1AAB" w:rsidRDefault="003F1AAB" w:rsidP="00784B0F">
      <w:pPr>
        <w:pStyle w:val="FootnoteText"/>
      </w:pPr>
      <w:r>
        <w:rPr>
          <w:rStyle w:val="FootnoteReference"/>
        </w:rPr>
        <w:footnoteRef/>
      </w:r>
      <w:r>
        <w:t xml:space="preserve"> </w:t>
      </w:r>
      <w:r>
        <w:tab/>
        <w:t>The SKI data is available from December 2005, but the data prior to March 2007 reflects stapled securities traded as instalment receipts</w:t>
      </w:r>
      <w:r>
        <w:rPr>
          <w:rFonts w:cs="Gautami"/>
        </w:rPr>
        <w:t>—</w:t>
      </w:r>
      <w:r>
        <w:t>these instalments requires further leverage adjustment and makes beta estimation difficult.</w:t>
      </w:r>
    </w:p>
  </w:footnote>
  <w:footnote w:id="959">
    <w:p w:rsidR="003F1AAB" w:rsidRDefault="003F1AAB" w:rsidP="00784B0F">
      <w:pPr>
        <w:pStyle w:val="FootnoteText"/>
      </w:pPr>
      <w:r>
        <w:rPr>
          <w:rStyle w:val="FootnoteReference"/>
        </w:rPr>
        <w:footnoteRef/>
      </w:r>
      <w:r>
        <w:t xml:space="preserve"> </w:t>
      </w:r>
      <w:r>
        <w:tab/>
        <w:t xml:space="preserve">APA Group, </w:t>
      </w:r>
      <w:r>
        <w:rPr>
          <w:rStyle w:val="AERtextitalic"/>
        </w:rPr>
        <w:t>Annual report 2015: Connecting markets creating opportunities</w:t>
      </w:r>
      <w:r>
        <w:t>, pp. 7, 18.</w:t>
      </w:r>
    </w:p>
  </w:footnote>
  <w:footnote w:id="960">
    <w:p w:rsidR="003F1AAB" w:rsidRDefault="003F1AAB" w:rsidP="00784B0F">
      <w:pPr>
        <w:pStyle w:val="FootnoteText"/>
      </w:pPr>
      <w:r>
        <w:rPr>
          <w:rStyle w:val="FootnoteReference"/>
        </w:rPr>
        <w:footnoteRef/>
      </w:r>
      <w:r>
        <w:t xml:space="preserve"> </w:t>
      </w:r>
      <w:r>
        <w:tab/>
        <w:t xml:space="preserve">DUET Group, </w:t>
      </w:r>
      <w:r w:rsidRPr="00B4312A">
        <w:rPr>
          <w:rStyle w:val="AERtextitalic"/>
        </w:rPr>
        <w:t>Annual report 201</w:t>
      </w:r>
      <w:r>
        <w:rPr>
          <w:rStyle w:val="AERtextitalic"/>
        </w:rPr>
        <w:t>5</w:t>
      </w:r>
      <w:r>
        <w:t>, p. 3.</w:t>
      </w:r>
    </w:p>
  </w:footnote>
  <w:footnote w:id="961">
    <w:p w:rsidR="003F1AAB" w:rsidRDefault="003F1AAB" w:rsidP="00784B0F">
      <w:pPr>
        <w:pStyle w:val="FootnoteText"/>
      </w:pPr>
      <w:r>
        <w:rPr>
          <w:rStyle w:val="FootnoteReference"/>
        </w:rPr>
        <w:footnoteRef/>
      </w:r>
      <w:r>
        <w:t xml:space="preserve"> </w:t>
      </w:r>
      <w:r>
        <w:tab/>
        <w:t xml:space="preserve">AusNet Services, </w:t>
      </w:r>
      <w:r>
        <w:rPr>
          <w:rStyle w:val="AERtextitalic"/>
        </w:rPr>
        <w:t>Statutory annual report 2015</w:t>
      </w:r>
      <w:r>
        <w:t>, p. 22.</w:t>
      </w:r>
    </w:p>
  </w:footnote>
  <w:footnote w:id="962">
    <w:p w:rsidR="003F1AAB" w:rsidRDefault="003F1AAB" w:rsidP="00784B0F">
      <w:pPr>
        <w:pStyle w:val="FootnoteText"/>
      </w:pPr>
      <w:r>
        <w:rPr>
          <w:rStyle w:val="FootnoteReference"/>
        </w:rPr>
        <w:footnoteRef/>
      </w:r>
      <w:r>
        <w:t xml:space="preserve"> </w:t>
      </w:r>
      <w:r>
        <w:tab/>
        <w:t xml:space="preserve">HDF, </w:t>
      </w:r>
      <w:r w:rsidRPr="007E2154">
        <w:rPr>
          <w:rStyle w:val="AERtextitalic"/>
        </w:rPr>
        <w:t>Annual report 2011</w:t>
      </w:r>
      <w:r>
        <w:t xml:space="preserve">, pp. 2, 10; AEMC, </w:t>
      </w:r>
      <w:r w:rsidRPr="007E2154">
        <w:rPr>
          <w:rStyle w:val="AERtextitalic"/>
        </w:rPr>
        <w:t>WA: Pilbara Pipeline System</w:t>
      </w:r>
      <w:r>
        <w:t>, viewed 7 November 2014, see link &lt;</w:t>
      </w:r>
      <w:hyperlink r:id="rId13" w:history="1">
        <w:r w:rsidRPr="006558B8">
          <w:rPr>
            <w:rStyle w:val="Hyperlink"/>
            <w:color w:val="auto"/>
            <w:sz w:val="16"/>
            <w:u w:val="none"/>
          </w:rPr>
          <w:t>http://www.aemc.gov.au/Energy-Rules/National-gas-rules/Gas-scheme-register/WA-Pilbara-Pipeline-System</w:t>
        </w:r>
      </w:hyperlink>
      <w:r>
        <w:t xml:space="preserve">&gt;; AER, </w:t>
      </w:r>
      <w:r w:rsidRPr="007E2154">
        <w:rPr>
          <w:rStyle w:val="AERtextitalic"/>
        </w:rPr>
        <w:t>Moomba to Adelaide pipeline—Access arrangement 2006–10</w:t>
      </w:r>
      <w:r>
        <w:t xml:space="preserve">, viewed 7 November 2014, see link </w:t>
      </w:r>
      <w:hyperlink r:id="rId14" w:history="1">
        <w:r w:rsidRPr="006558B8">
          <w:rPr>
            <w:rStyle w:val="Hyperlink"/>
            <w:color w:val="auto"/>
            <w:sz w:val="16"/>
            <w:u w:val="none"/>
          </w:rPr>
          <w:t>http://www.aer.gov.au/node/5453</w:t>
        </w:r>
      </w:hyperlink>
      <w:r>
        <w:t xml:space="preserve">; AER, </w:t>
      </w:r>
      <w:r w:rsidRPr="007E2154">
        <w:rPr>
          <w:rStyle w:val="AERtextitalic"/>
        </w:rPr>
        <w:t>Epic Energy south west Queensland pipeline—Access arrangement 2006–08</w:t>
      </w:r>
      <w:r>
        <w:t xml:space="preserve">, viewed 7 November 2014, see link </w:t>
      </w:r>
      <w:hyperlink r:id="rId15" w:history="1">
        <w:r w:rsidRPr="006558B8">
          <w:rPr>
            <w:rStyle w:val="Hyperlink"/>
            <w:color w:val="auto"/>
            <w:sz w:val="16"/>
            <w:u w:val="none"/>
          </w:rPr>
          <w:t>http://www.aer.gov.au/node/5219</w:t>
        </w:r>
      </w:hyperlink>
      <w:r>
        <w:t>.</w:t>
      </w:r>
    </w:p>
  </w:footnote>
  <w:footnote w:id="963">
    <w:p w:rsidR="003F1AAB" w:rsidRDefault="003F1AAB" w:rsidP="00784B0F">
      <w:pPr>
        <w:pStyle w:val="FootnoteText"/>
      </w:pPr>
      <w:r>
        <w:rPr>
          <w:rStyle w:val="FootnoteReference"/>
        </w:rPr>
        <w:footnoteRef/>
      </w:r>
      <w:r>
        <w:t xml:space="preserve"> </w:t>
      </w:r>
      <w:r>
        <w:tab/>
        <w:t xml:space="preserve">GasNet, </w:t>
      </w:r>
      <w:r w:rsidRPr="007E2154">
        <w:rPr>
          <w:rStyle w:val="AERtextitalic"/>
        </w:rPr>
        <w:t>Infrastructure for generations: GasNet Australia Group annual report 2005</w:t>
      </w:r>
      <w:r>
        <w:t>, p. 29.</w:t>
      </w:r>
    </w:p>
  </w:footnote>
  <w:footnote w:id="964">
    <w:p w:rsidR="003F1AAB" w:rsidRDefault="003F1AAB" w:rsidP="00784B0F">
      <w:pPr>
        <w:pStyle w:val="FootnoteText"/>
      </w:pPr>
      <w:r>
        <w:rPr>
          <w:rStyle w:val="FootnoteReference"/>
        </w:rPr>
        <w:footnoteRef/>
      </w:r>
      <w:r>
        <w:t xml:space="preserve"> </w:t>
      </w:r>
      <w:r>
        <w:tab/>
      </w:r>
      <w:r w:rsidRPr="00C24641">
        <w:t>We understand that the organisational structure and commercial activities of these comparator firms are subject to change. Consequently, we will continuously review our comparator set in case we need to make adjustments. This may entail adjusting the comparator set by excluding or adding new comparators.</w:t>
      </w:r>
    </w:p>
  </w:footnote>
  <w:footnote w:id="965">
    <w:p w:rsidR="003F1AAB" w:rsidRDefault="003F1AAB" w:rsidP="00784B0F">
      <w:pPr>
        <w:pStyle w:val="FootnoteText"/>
      </w:pPr>
      <w:r>
        <w:rPr>
          <w:rStyle w:val="FootnoteReference"/>
        </w:rPr>
        <w:footnoteRef/>
      </w:r>
      <w:r>
        <w:t xml:space="preserve"> </w:t>
      </w:r>
      <w:r>
        <w:tab/>
      </w:r>
      <w:r w:rsidRPr="00C24641">
        <w:t xml:space="preserve">Frontier Economics, </w:t>
      </w:r>
      <w:r w:rsidRPr="00C24641">
        <w:rPr>
          <w:rStyle w:val="AERtextitalic"/>
        </w:rPr>
        <w:t>Assessing risk for regulated energy networks</w:t>
      </w:r>
      <w:r w:rsidRPr="00C24641">
        <w:t xml:space="preserve">, July 2013, pp. </w:t>
      </w:r>
      <w:r>
        <w:t>3–4</w:t>
      </w:r>
      <w:r w:rsidRPr="00C24641">
        <w:t>.</w:t>
      </w:r>
    </w:p>
  </w:footnote>
  <w:footnote w:id="966">
    <w:p w:rsidR="003F1AAB" w:rsidRDefault="003F1AAB" w:rsidP="00784B0F">
      <w:pPr>
        <w:pStyle w:val="FootnoteText"/>
      </w:pPr>
      <w:r>
        <w:rPr>
          <w:rStyle w:val="FootnoteReference"/>
        </w:rPr>
        <w:footnoteRef/>
      </w:r>
      <w:r>
        <w:t xml:space="preserve"> </w:t>
      </w:r>
      <w:r>
        <w:tab/>
        <w:t xml:space="preserve">See, for example, Frontier, </w:t>
      </w:r>
      <w:r w:rsidRPr="00EC4716">
        <w:rPr>
          <w:rStyle w:val="AERtextitalic"/>
        </w:rPr>
        <w:t>Estimating the equity beta for the benchmark efficient entity</w:t>
      </w:r>
      <w:r>
        <w:t xml:space="preserve">, January 2016, pp. 13–19; SFG, </w:t>
      </w:r>
      <w:r w:rsidRPr="00EC4716">
        <w:rPr>
          <w:rStyle w:val="AERtextitalic"/>
        </w:rPr>
        <w:t>Beta and the Black capital asset pricing model</w:t>
      </w:r>
      <w:r>
        <w:t xml:space="preserve">, February 2015, pp. 10–11; CEG, </w:t>
      </w:r>
      <w:r w:rsidRPr="00EC4716">
        <w:rPr>
          <w:rStyle w:val="AERtextitalic"/>
        </w:rPr>
        <w:t>Estimating the cost of equity, equity beta and MRP</w:t>
      </w:r>
      <w:r>
        <w:t xml:space="preserve">, January 2015, pp. 33–34; CEG, </w:t>
      </w:r>
      <w:r w:rsidRPr="00EC4716">
        <w:rPr>
          <w:rStyle w:val="AERtextitalic"/>
        </w:rPr>
        <w:t>WACC estimates</w:t>
      </w:r>
      <w:r>
        <w:t xml:space="preserve">, May 2014, pp. 7–10; SFG, </w:t>
      </w:r>
      <w:r w:rsidRPr="00EC4716">
        <w:rPr>
          <w:rStyle w:val="AERtextitalic"/>
        </w:rPr>
        <w:t>Equity beta</w:t>
      </w:r>
      <w:r>
        <w:t>, May 2014, pp. 3–4, 13–15, 28–31. In its 2014 report, SFG considered the dispersion of equity beta estimates. It measures dispersion as the standard deviation of individual firm equity beta estimates, relative to the mean of the sample (of equity beta estimates)</w:t>
      </w:r>
      <w:r w:rsidRPr="00237723">
        <w:t xml:space="preserve"> </w:t>
      </w:r>
      <w:r>
        <w:t xml:space="preserve">(see: Brooks, Diamond, Gray and Hall, </w:t>
      </w:r>
      <w:r w:rsidRPr="003812DC">
        <w:rPr>
          <w:rStyle w:val="AERtextitalic"/>
        </w:rPr>
        <w:t>Assessing the reliability of regression-based estimates of risk</w:t>
      </w:r>
      <w:r>
        <w:t xml:space="preserve">, June 2013, p. 5). </w:t>
      </w:r>
    </w:p>
  </w:footnote>
  <w:footnote w:id="967">
    <w:p w:rsidR="003F1AAB" w:rsidRDefault="003F1AAB" w:rsidP="00784B0F">
      <w:pPr>
        <w:pStyle w:val="FootnoteText"/>
      </w:pPr>
      <w:r>
        <w:rPr>
          <w:rStyle w:val="FootnoteReference"/>
        </w:rPr>
        <w:footnoteRef/>
      </w:r>
      <w:r>
        <w:t xml:space="preserve"> </w:t>
      </w:r>
      <w:r>
        <w:tab/>
        <w:t xml:space="preserve">See, for example, </w:t>
      </w:r>
      <w:r w:rsidRPr="00471174">
        <w:t xml:space="preserve">Frontier, </w:t>
      </w:r>
      <w:r w:rsidRPr="00471174">
        <w:rPr>
          <w:rStyle w:val="AERtextitalic"/>
        </w:rPr>
        <w:t>Estimating the equity beta for the benchmark efficient entity</w:t>
      </w:r>
      <w:r w:rsidRPr="00471174">
        <w:t>, January 2016</w:t>
      </w:r>
      <w:r>
        <w:t xml:space="preserve">, p. 34; </w:t>
      </w:r>
      <w:r w:rsidRPr="00471174">
        <w:t xml:space="preserve">CEG, </w:t>
      </w:r>
      <w:r w:rsidRPr="00471174">
        <w:rPr>
          <w:rStyle w:val="AERtextitalic"/>
        </w:rPr>
        <w:t>WACC estimates</w:t>
      </w:r>
      <w:r w:rsidRPr="00471174">
        <w:t>, May 2014, pp. 7–10</w:t>
      </w:r>
      <w:r>
        <w:t xml:space="preserve">; SFG, </w:t>
      </w:r>
      <w:r w:rsidRPr="005F7C32">
        <w:rPr>
          <w:rStyle w:val="AERtextitalic"/>
        </w:rPr>
        <w:t>Equity beta</w:t>
      </w:r>
      <w:r>
        <w:t>, May 2014, p</w:t>
      </w:r>
      <w:r w:rsidRPr="00F26CD7">
        <w:t>.</w:t>
      </w:r>
      <w:r>
        <w:t xml:space="preserve"> 13</w:t>
      </w:r>
      <w:r w:rsidRPr="00F26CD7">
        <w:t>.</w:t>
      </w:r>
    </w:p>
  </w:footnote>
  <w:footnote w:id="968">
    <w:p w:rsidR="003F1AAB" w:rsidRDefault="003F1AAB" w:rsidP="00784B0F">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969">
    <w:p w:rsidR="003F1AAB" w:rsidRDefault="003F1AAB" w:rsidP="00784B0F">
      <w:pPr>
        <w:pStyle w:val="FootnoteText"/>
      </w:pPr>
      <w:r>
        <w:rPr>
          <w:rStyle w:val="FootnoteReference"/>
        </w:rPr>
        <w:footnoteRef/>
      </w:r>
      <w:r>
        <w:t xml:space="preserve"> </w:t>
      </w:r>
      <w:r>
        <w:tab/>
        <w:t xml:space="preserve">Henry, </w:t>
      </w:r>
      <w:r w:rsidRPr="002551DF">
        <w:rPr>
          <w:rStyle w:val="AERtextitalic"/>
        </w:rPr>
        <w:t xml:space="preserve">Estimating </w:t>
      </w:r>
      <w:r w:rsidRPr="00237723">
        <w:rPr>
          <w:rStyle w:val="AERtextitalic"/>
        </w:rPr>
        <w:t>β</w:t>
      </w:r>
      <w:r w:rsidRPr="002551DF">
        <w:rPr>
          <w:rStyle w:val="AERtextitalic"/>
        </w:rPr>
        <w:t xml:space="preserve">: </w:t>
      </w:r>
      <w:r>
        <w:rPr>
          <w:rStyle w:val="AERtextitalic"/>
        </w:rPr>
        <w:t>A</w:t>
      </w:r>
      <w:r w:rsidRPr="002551DF">
        <w:rPr>
          <w:rStyle w:val="AERtextitalic"/>
        </w:rPr>
        <w:t>n update</w:t>
      </w:r>
      <w:r>
        <w:t>, April 2014.</w:t>
      </w:r>
    </w:p>
  </w:footnote>
  <w:footnote w:id="970">
    <w:p w:rsidR="003F1AAB" w:rsidRDefault="003F1AAB" w:rsidP="00784B0F">
      <w:pPr>
        <w:pStyle w:val="FootnoteText"/>
      </w:pPr>
      <w:r>
        <w:rPr>
          <w:rStyle w:val="FootnoteReference"/>
        </w:rPr>
        <w:footnoteRef/>
      </w:r>
      <w:r>
        <w:t xml:space="preserve"> </w:t>
      </w:r>
      <w:r>
        <w:tab/>
        <w:t>We also measure returns over monthly intervals.</w:t>
      </w:r>
      <w:r w:rsidRPr="005C1524">
        <w:t xml:space="preserve"> </w:t>
      </w:r>
      <w:r>
        <w:t xml:space="preserve">The sample size for monthly return intervals ranges from 51 to 190 observations. See: Henry, </w:t>
      </w:r>
      <w:r>
        <w:rPr>
          <w:rStyle w:val="AERtextitalic"/>
        </w:rPr>
        <w:t xml:space="preserve">Estimating </w:t>
      </w:r>
      <w:r w:rsidRPr="005C1524">
        <w:rPr>
          <w:rStyle w:val="AERtextitalic"/>
        </w:rPr>
        <w:t>β</w:t>
      </w:r>
      <w:r>
        <w:rPr>
          <w:rStyle w:val="AERtextitalic"/>
        </w:rPr>
        <w:t>: A</w:t>
      </w:r>
      <w:r w:rsidRPr="002551DF">
        <w:rPr>
          <w:rStyle w:val="AERtextitalic"/>
        </w:rPr>
        <w:t>n update</w:t>
      </w:r>
      <w:r>
        <w:t>, April 2014, pp. 23–26.</w:t>
      </w:r>
    </w:p>
  </w:footnote>
  <w:footnote w:id="971">
    <w:p w:rsidR="003F1AAB" w:rsidRDefault="003F1AAB" w:rsidP="00784B0F">
      <w:pPr>
        <w:pStyle w:val="FootnoteText"/>
      </w:pPr>
      <w:r>
        <w:rPr>
          <w:rStyle w:val="FootnoteReference"/>
        </w:rPr>
        <w:footnoteRef/>
      </w:r>
      <w:r>
        <w:t xml:space="preserve"> </w:t>
      </w:r>
      <w:r>
        <w:tab/>
        <w:t xml:space="preserve">Henry, </w:t>
      </w:r>
      <w:r w:rsidRPr="002551DF">
        <w:rPr>
          <w:rStyle w:val="AERtextitalic"/>
        </w:rPr>
        <w:t xml:space="preserve">Estimating </w:t>
      </w:r>
      <w:r>
        <w:rPr>
          <w:rStyle w:val="AERtextitalic"/>
          <w:rFonts w:cs="Gautami"/>
        </w:rPr>
        <w:t>β</w:t>
      </w:r>
      <w:r w:rsidRPr="002551DF">
        <w:rPr>
          <w:rStyle w:val="AERtextitalic"/>
        </w:rPr>
        <w:t xml:space="preserve">: </w:t>
      </w:r>
      <w:r>
        <w:rPr>
          <w:rStyle w:val="AERtextitalic"/>
        </w:rPr>
        <w:t>A</w:t>
      </w:r>
      <w:r w:rsidRPr="002551DF">
        <w:rPr>
          <w:rStyle w:val="AERtextitalic"/>
        </w:rPr>
        <w:t>n update</w:t>
      </w:r>
      <w:r>
        <w:t>, April 2014, pp. 17, 21.</w:t>
      </w:r>
    </w:p>
  </w:footnote>
  <w:footnote w:id="972">
    <w:p w:rsidR="003F1AAB" w:rsidRDefault="003F1AAB" w:rsidP="00784B0F">
      <w:pPr>
        <w:pStyle w:val="FootnoteText"/>
      </w:pPr>
      <w:r>
        <w:rPr>
          <w:rStyle w:val="FootnoteReference"/>
        </w:rPr>
        <w:footnoteRef/>
      </w:r>
      <w:r>
        <w:t xml:space="preserve"> </w:t>
      </w:r>
      <w:r>
        <w:tab/>
      </w:r>
      <w:r w:rsidRPr="00176251">
        <w:t xml:space="preserve">Frontier Economics, </w:t>
      </w:r>
      <w:r w:rsidRPr="00176251">
        <w:rPr>
          <w:rStyle w:val="AERtextitalic"/>
        </w:rPr>
        <w:t>Estimating the equity beta for the benchmark efficient entity</w:t>
      </w:r>
      <w:r>
        <w:t>, January 2016, pp. 13–19</w:t>
      </w:r>
      <w:r w:rsidRPr="00176251">
        <w:t>.</w:t>
      </w:r>
    </w:p>
  </w:footnote>
  <w:footnote w:id="973">
    <w:p w:rsidR="003F1AAB" w:rsidRDefault="003F1AAB" w:rsidP="00784B0F">
      <w:pPr>
        <w:pStyle w:val="FootnoteText"/>
      </w:pPr>
      <w:r>
        <w:rPr>
          <w:rStyle w:val="FootnoteReference"/>
        </w:rPr>
        <w:footnoteRef/>
      </w:r>
      <w:r>
        <w:t xml:space="preserve"> </w:t>
      </w:r>
      <w:r>
        <w:tab/>
        <w:t xml:space="preserve">For example, the precision and stability of equity beta estimates based on </w:t>
      </w:r>
      <w:r w:rsidRPr="000502B3">
        <w:t>Australian energy network firms</w:t>
      </w:r>
      <w:r>
        <w:t xml:space="preserve"> has been discussed in </w:t>
      </w:r>
      <w:r w:rsidRPr="000502B3">
        <w:t xml:space="preserve">SFG, </w:t>
      </w:r>
      <w:r w:rsidRPr="000502B3">
        <w:rPr>
          <w:rStyle w:val="AERtextitalic"/>
        </w:rPr>
        <w:t>Equity beta</w:t>
      </w:r>
      <w:r w:rsidRPr="000502B3">
        <w:t>, May 2014, pp. 3–4, 13–15, 28–31</w:t>
      </w:r>
      <w:r>
        <w:t xml:space="preserve">; </w:t>
      </w:r>
      <w:r w:rsidRPr="000502B3">
        <w:t xml:space="preserve">Brooks, Diamond, Gray and Hall, </w:t>
      </w:r>
      <w:r w:rsidRPr="000502B3">
        <w:rPr>
          <w:rStyle w:val="AERtextitalic"/>
        </w:rPr>
        <w:t>Assessing the reliability of regression-based estimates of risk</w:t>
      </w:r>
      <w:r w:rsidRPr="000502B3">
        <w:t>, June 2013</w:t>
      </w:r>
      <w:r>
        <w:t xml:space="preserve">, pp. 2, 9–15; and </w:t>
      </w:r>
      <w:r w:rsidRPr="00790167">
        <w:t xml:space="preserve">SFG, </w:t>
      </w:r>
      <w:r w:rsidRPr="00790167">
        <w:rPr>
          <w:rStyle w:val="AERtextitalic"/>
        </w:rPr>
        <w:t>Beta and the Black capital asset pricing model</w:t>
      </w:r>
      <w:r w:rsidRPr="00790167">
        <w:t>, February 2015, pp. 10–11</w:t>
      </w:r>
      <w:r>
        <w:t xml:space="preserve">. </w:t>
      </w:r>
    </w:p>
  </w:footnote>
  <w:footnote w:id="974">
    <w:p w:rsidR="003F1AAB" w:rsidRDefault="003F1AAB" w:rsidP="00784B0F">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11–</w:t>
      </w:r>
      <w:r>
        <w:softHyphen/>
        <w:t>12, 15.</w:t>
      </w:r>
    </w:p>
  </w:footnote>
  <w:footnote w:id="975">
    <w:p w:rsidR="003F1AAB" w:rsidRDefault="003F1AAB" w:rsidP="00784B0F">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976">
    <w:p w:rsidR="003F1AAB" w:rsidRDefault="003F1AAB" w:rsidP="00784B0F">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xml:space="preserve">, January 2016, pp. 17–18. </w:t>
      </w:r>
    </w:p>
  </w:footnote>
  <w:footnote w:id="977">
    <w:p w:rsidR="003F1AAB" w:rsidRDefault="003F1AAB" w:rsidP="00784B0F">
      <w:pPr>
        <w:pStyle w:val="FootnoteText"/>
      </w:pPr>
      <w:r>
        <w:rPr>
          <w:rStyle w:val="FootnoteReference"/>
        </w:rPr>
        <w:footnoteRef/>
      </w:r>
      <w:r>
        <w:t xml:space="preserve"> </w:t>
      </w:r>
      <w:r>
        <w:tab/>
        <w:t xml:space="preserve">For example, SFG states that, 'Because there are so many methodological choices to be made, it is common practice to consider the sensitivity of beta estimates to the different choices that might be made.' (see </w:t>
      </w:r>
      <w:r w:rsidRPr="00EA0B17">
        <w:t xml:space="preserve">SFG, </w:t>
      </w:r>
      <w:r w:rsidRPr="00EA0B17">
        <w:rPr>
          <w:rStyle w:val="AERtextitalic"/>
        </w:rPr>
        <w:t>Equity beta</w:t>
      </w:r>
      <w:r w:rsidRPr="00EA0B17">
        <w:t>, May 2014, p.</w:t>
      </w:r>
      <w:r>
        <w:t xml:space="preserve"> 9).</w:t>
      </w:r>
    </w:p>
  </w:footnote>
  <w:footnote w:id="978">
    <w:p w:rsidR="003F1AAB" w:rsidRDefault="003F1AAB" w:rsidP="00784B0F">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7.</w:t>
      </w:r>
    </w:p>
  </w:footnote>
  <w:footnote w:id="979">
    <w:p w:rsidR="003F1AAB" w:rsidRDefault="003F1AAB" w:rsidP="00784B0F">
      <w:pPr>
        <w:pStyle w:val="FootnoteText"/>
      </w:pPr>
      <w:r>
        <w:rPr>
          <w:rStyle w:val="FootnoteReference"/>
        </w:rPr>
        <w:footnoteRef/>
      </w:r>
      <w:r>
        <w:t xml:space="preserve"> </w:t>
      </w:r>
      <w:r>
        <w:tab/>
        <w:t>NER, cll. 6.5.2(f) and 6A.6.2(f); NGR, rule 87(6).</w:t>
      </w:r>
    </w:p>
  </w:footnote>
  <w:footnote w:id="980">
    <w:p w:rsidR="003F1AAB" w:rsidRDefault="003F1AAB" w:rsidP="00784B0F">
      <w:pPr>
        <w:pStyle w:val="FootnoteText"/>
      </w:pPr>
      <w:r>
        <w:rPr>
          <w:rStyle w:val="FootnoteReference"/>
        </w:rPr>
        <w:footnoteRef/>
      </w:r>
      <w:r>
        <w:t xml:space="preserve"> </w:t>
      </w:r>
      <w:r>
        <w:tab/>
        <w:t>This is supported by Partington and Satchell</w:t>
      </w:r>
      <w:r w:rsidRPr="00BC7B9A">
        <w:t>.</w:t>
      </w:r>
      <w:r>
        <w:t xml:space="preserve"> See Partington and Satchell, </w:t>
      </w:r>
      <w:r w:rsidRPr="00F151A8">
        <w:rPr>
          <w:rStyle w:val="AERtextitalic"/>
        </w:rPr>
        <w:t>Report to the AER: Cost of equity issues</w:t>
      </w:r>
      <w:r>
        <w:rPr>
          <w:rStyle w:val="AERtextitalic"/>
        </w:rPr>
        <w:t xml:space="preserve"> 2016 electricity and gas determinations</w:t>
      </w:r>
      <w:r>
        <w:t>, April 2016, p. 11. They stated, '</w:t>
      </w:r>
      <w:r w:rsidRPr="00DC3465">
        <w:t>Considerable caution in reaching conclusions about beta needs to be exercised when the comparators are drawn from overseas countries. This is because of differences in industry structure, technology, the nature of competition, the economic environment and regulatory and tax systems</w:t>
      </w:r>
      <w:r>
        <w:t>'</w:t>
      </w:r>
      <w:r w:rsidRPr="00DC3465">
        <w:t>.</w:t>
      </w:r>
    </w:p>
  </w:footnote>
  <w:footnote w:id="981">
    <w:p w:rsidR="003F1AAB" w:rsidRDefault="003F1AAB" w:rsidP="00784B0F">
      <w:pPr>
        <w:pStyle w:val="FootnoteText"/>
      </w:pPr>
      <w:r>
        <w:rPr>
          <w:rStyle w:val="FootnoteReference"/>
        </w:rPr>
        <w:footnoteRef/>
      </w:r>
      <w:r>
        <w:t xml:space="preserve"> </w:t>
      </w:r>
      <w:r>
        <w:tab/>
      </w:r>
      <w:r w:rsidRPr="00C24641">
        <w:t>We implement the S</w:t>
      </w:r>
      <w:r>
        <w:t>harpe-</w:t>
      </w:r>
      <w:r w:rsidRPr="00C24641">
        <w:t>L</w:t>
      </w:r>
      <w:r>
        <w:t xml:space="preserve">intner </w:t>
      </w:r>
      <w:r w:rsidRPr="00C24641">
        <w:t>CAPM under the assumption of a domestic market, but with a presence of foreign investors. This allows us to recognise that foreign investors cannot utilise imputation credits. However, the benchmark efficient entity operates in the Australian market by definition, and we estimate the MRP in the context of the Australian market portfolio.</w:t>
      </w:r>
    </w:p>
  </w:footnote>
  <w:footnote w:id="982">
    <w:p w:rsidR="003F1AAB" w:rsidRDefault="003F1AAB" w:rsidP="00784B0F">
      <w:pPr>
        <w:pStyle w:val="FootnoteText"/>
      </w:pPr>
      <w:r>
        <w:rPr>
          <w:rStyle w:val="FootnoteReference"/>
        </w:rPr>
        <w:footnoteRef/>
      </w:r>
      <w:r>
        <w:t xml:space="preserve"> </w:t>
      </w:r>
      <w:r>
        <w:tab/>
        <w:t xml:space="preserve">See </w:t>
      </w:r>
      <w:r w:rsidRPr="00C24641">
        <w:t xml:space="preserve">Handley, </w:t>
      </w:r>
      <w:r w:rsidRPr="00C24641">
        <w:rPr>
          <w:rStyle w:val="AERtextitalic"/>
        </w:rPr>
        <w:t>Advice on the return on equity</w:t>
      </w:r>
      <w:r>
        <w:t xml:space="preserve">, October 2014, p. 24; Partington and Satchell, </w:t>
      </w:r>
      <w:r w:rsidRPr="00F151A8">
        <w:rPr>
          <w:rStyle w:val="AERtextitalic"/>
        </w:rPr>
        <w:t>Report to the AER: Cost of equity issues</w:t>
      </w:r>
      <w:r>
        <w:rPr>
          <w:rStyle w:val="AERtextitalic"/>
        </w:rPr>
        <w:t xml:space="preserve"> 2016 electricity and gas determinations</w:t>
      </w:r>
      <w:r>
        <w:t>, April 2016, p. 16.</w:t>
      </w:r>
    </w:p>
  </w:footnote>
  <w:footnote w:id="983">
    <w:p w:rsidR="003F1AAB" w:rsidRDefault="003F1AAB" w:rsidP="00784B0F">
      <w:pPr>
        <w:pStyle w:val="FootnoteText"/>
      </w:pPr>
      <w:r>
        <w:rPr>
          <w:rStyle w:val="FootnoteReference"/>
        </w:rPr>
        <w:footnoteRef/>
      </w:r>
      <w:r>
        <w:t xml:space="preserve"> </w:t>
      </w:r>
      <w:r>
        <w:tab/>
      </w:r>
      <w:r w:rsidRPr="00C24641">
        <w:t>This is the case unless the equity betas are estimated using an international CAPM framework.</w:t>
      </w:r>
    </w:p>
  </w:footnote>
  <w:footnote w:id="984">
    <w:p w:rsidR="003F1AAB" w:rsidRDefault="003F1AAB" w:rsidP="00784B0F">
      <w:pPr>
        <w:pStyle w:val="FootnoteText"/>
      </w:pPr>
      <w:r>
        <w:rPr>
          <w:rStyle w:val="FootnoteReference"/>
        </w:rPr>
        <w:footnoteRef/>
      </w:r>
      <w:r>
        <w:t xml:space="preserve"> </w:t>
      </w:r>
      <w:r>
        <w:tab/>
        <w:t xml:space="preserve">This is supported by Handley and Partington and Satchell. See </w:t>
      </w:r>
      <w:r w:rsidRPr="00C24641">
        <w:t xml:space="preserve">Handley, </w:t>
      </w:r>
      <w:r w:rsidRPr="00C24641">
        <w:rPr>
          <w:rStyle w:val="AERtextitalic"/>
        </w:rPr>
        <w:t>Advice on the return on equity</w:t>
      </w:r>
      <w:r w:rsidRPr="00C24641">
        <w:t>, October 2014, pp. 23–24</w:t>
      </w:r>
      <w:r>
        <w:t xml:space="preserve">; Partington and Satchell, </w:t>
      </w:r>
      <w:r w:rsidRPr="00F151A8">
        <w:rPr>
          <w:rStyle w:val="AERtextitalic"/>
        </w:rPr>
        <w:t>Report to the AER: Cost of equity issues</w:t>
      </w:r>
      <w:r>
        <w:rPr>
          <w:rStyle w:val="AERtextitalic"/>
        </w:rPr>
        <w:t xml:space="preserve"> 2016 electricity and gas determinations</w:t>
      </w:r>
      <w:r>
        <w:t>, April 2016, p. 16</w:t>
      </w:r>
      <w:r w:rsidRPr="00C24641">
        <w:t>.</w:t>
      </w:r>
      <w:r w:rsidRPr="00D21D59">
        <w:t xml:space="preserve"> </w:t>
      </w:r>
      <w:r>
        <w:t xml:space="preserve">In his May 2015 report, Handley concluded that he does not consider it necessary to change any of the findings in his earlier (2014) report. See: Handley, </w:t>
      </w:r>
      <w:r w:rsidRPr="005E55CC">
        <w:rPr>
          <w:rStyle w:val="AERtextitalic"/>
        </w:rPr>
        <w:t>Advice on the rate of return for the 2015 AER energy network determination for Jemena Gas Networks</w:t>
      </w:r>
      <w:r>
        <w:t>, 20 May 2015, p. 28.</w:t>
      </w:r>
    </w:p>
  </w:footnote>
  <w:footnote w:id="985">
    <w:p w:rsidR="003F1AAB" w:rsidRDefault="003F1AAB" w:rsidP="00784B0F">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r w:rsidRPr="006C31CF">
        <w:t xml:space="preserve"> </w:t>
      </w:r>
    </w:p>
  </w:footnote>
  <w:footnote w:id="986">
    <w:p w:rsidR="003F1AAB" w:rsidRDefault="003F1AAB" w:rsidP="00784B0F">
      <w:pPr>
        <w:pStyle w:val="FootnoteText"/>
      </w:pPr>
      <w:r>
        <w:rPr>
          <w:rStyle w:val="FootnoteReference"/>
        </w:rPr>
        <w:footnoteRef/>
      </w:r>
      <w:r>
        <w:t xml:space="preserve"> </w:t>
      </w:r>
      <w:r>
        <w:tab/>
      </w:r>
      <w:r w:rsidRPr="00C24641">
        <w:t xml:space="preserve">CEG describes vertically integrated US energy utility firms as 'common among [its] sample'. See: CEG, </w:t>
      </w:r>
      <w:r w:rsidRPr="007E2154">
        <w:rPr>
          <w:rStyle w:val="AERtextitalic"/>
        </w:rPr>
        <w:t xml:space="preserve">Information on </w:t>
      </w:r>
      <w:r w:rsidRPr="00965F9D">
        <w:rPr>
          <w:rStyle w:val="AERtextitalic"/>
        </w:rPr>
        <w:t>equity beta from US companies</w:t>
      </w:r>
      <w:r w:rsidRPr="00C24641">
        <w:t>, June 2013, p. 20.</w:t>
      </w:r>
    </w:p>
  </w:footnote>
  <w:footnote w:id="987">
    <w:p w:rsidR="003F1AAB" w:rsidRDefault="003F1AAB" w:rsidP="00784B0F">
      <w:pPr>
        <w:pStyle w:val="FootnoteText"/>
      </w:pPr>
      <w:r>
        <w:rPr>
          <w:rStyle w:val="FootnoteReference"/>
        </w:rPr>
        <w:footnoteRef/>
      </w:r>
      <w:r>
        <w:t xml:space="preserve"> </w:t>
      </w:r>
      <w:r>
        <w:tab/>
      </w:r>
      <w:r w:rsidRPr="00965F9D">
        <w:t xml:space="preserve">CEG, </w:t>
      </w:r>
      <w:r w:rsidRPr="007E2154">
        <w:rPr>
          <w:rStyle w:val="AERtextitalic"/>
        </w:rPr>
        <w:t xml:space="preserve">Information on </w:t>
      </w:r>
      <w:r w:rsidRPr="00965F9D">
        <w:rPr>
          <w:rStyle w:val="AERtextitalic"/>
        </w:rPr>
        <w:t>equity beta from US companies</w:t>
      </w:r>
      <w:r w:rsidRPr="00965F9D">
        <w:t>, June 2013, pp. 47–68.</w:t>
      </w:r>
    </w:p>
  </w:footnote>
  <w:footnote w:id="988">
    <w:p w:rsidR="003F1AAB" w:rsidRDefault="003F1AAB" w:rsidP="00784B0F">
      <w:pPr>
        <w:pStyle w:val="FootnoteText"/>
      </w:pPr>
      <w:r>
        <w:rPr>
          <w:rStyle w:val="FootnoteReference"/>
        </w:rPr>
        <w:footnoteRef/>
      </w:r>
      <w:r>
        <w:t xml:space="preserve"> </w:t>
      </w:r>
      <w:r>
        <w:tab/>
      </w:r>
      <w:r w:rsidRPr="00965F9D">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AER, </w:t>
      </w:r>
      <w:r w:rsidRPr="00965F9D">
        <w:rPr>
          <w:rStyle w:val="AERtextitalic"/>
        </w:rPr>
        <w:t>Explanatory statement to the rate of return guideline (appendices)</w:t>
      </w:r>
      <w:r w:rsidRPr="00965F9D">
        <w:t xml:space="preserve">, December 2013, pp. 62–63. Also see: ACG, </w:t>
      </w:r>
      <w:r w:rsidRPr="00965F9D">
        <w:rPr>
          <w:rStyle w:val="AERtextitalic"/>
        </w:rPr>
        <w:t>Beta for regulated electricity transmission and distribution: Report to Energy Network Association, Grid Australia and APIA</w:t>
      </w:r>
      <w:r w:rsidRPr="00965F9D">
        <w:t xml:space="preserve">, September 2008, p. 18; CEG, </w:t>
      </w:r>
      <w:r w:rsidRPr="00965F9D">
        <w:rPr>
          <w:rStyle w:val="AERtextitalic"/>
        </w:rPr>
        <w:t>Information on equity beta from US companies</w:t>
      </w:r>
      <w:r w:rsidRPr="00965F9D">
        <w:t xml:space="preserve">, June 2013; SFG, </w:t>
      </w:r>
      <w:r w:rsidRPr="00965F9D">
        <w:rPr>
          <w:rStyle w:val="AERtextitalic"/>
        </w:rPr>
        <w:t>Regression-based estimates of risk parameters</w:t>
      </w:r>
      <w:r w:rsidRPr="00965F9D">
        <w:t>, June 2013, p. 19.</w:t>
      </w:r>
    </w:p>
  </w:footnote>
  <w:footnote w:id="989">
    <w:p w:rsidR="003F1AAB" w:rsidRDefault="003F1AAB" w:rsidP="00784B0F">
      <w:pPr>
        <w:pStyle w:val="FootnoteText"/>
      </w:pPr>
      <w:r>
        <w:rPr>
          <w:rStyle w:val="FootnoteReference"/>
        </w:rPr>
        <w:footnoteRef/>
      </w:r>
      <w:r>
        <w:t xml:space="preserve"> </w:t>
      </w:r>
      <w:r>
        <w:tab/>
      </w:r>
      <w:r w:rsidRPr="00965F9D">
        <w:t xml:space="preserve">AER, </w:t>
      </w:r>
      <w:r w:rsidRPr="00965F9D">
        <w:rPr>
          <w:rStyle w:val="AERtextitalic"/>
        </w:rPr>
        <w:t>Explanatory statement to the rate of return guideline (appendices)</w:t>
      </w:r>
      <w:r w:rsidRPr="00965F9D">
        <w:t xml:space="preserve">, December 2013, pp. 59–64. AER, AER, </w:t>
      </w:r>
      <w:r w:rsidRPr="00965F9D">
        <w:rPr>
          <w:rStyle w:val="AERtextitalic"/>
        </w:rPr>
        <w:t>Review of WACC parameters: Final decision</w:t>
      </w:r>
      <w:r w:rsidRPr="00965F9D">
        <w:t>, May 2009, pp. 261.</w:t>
      </w:r>
    </w:p>
  </w:footnote>
  <w:footnote w:id="990">
    <w:p w:rsidR="003F1AAB" w:rsidRDefault="003F1AAB" w:rsidP="00784B0F">
      <w:pPr>
        <w:pStyle w:val="FootnoteText"/>
      </w:pPr>
      <w:r>
        <w:rPr>
          <w:rStyle w:val="FootnoteReference"/>
        </w:rPr>
        <w:footnoteRef/>
      </w:r>
      <w:r>
        <w:t xml:space="preserve"> </w:t>
      </w:r>
      <w:r>
        <w:tab/>
        <w:t xml:space="preserve">SFG, </w:t>
      </w:r>
      <w:r w:rsidRPr="00227F2F">
        <w:rPr>
          <w:rStyle w:val="AERtextitalic"/>
        </w:rPr>
        <w:t>Equity beta</w:t>
      </w:r>
      <w:r>
        <w:t xml:space="preserve">, May 2014, p. 28–31; CEG, </w:t>
      </w:r>
      <w:r w:rsidRPr="00EC4716">
        <w:rPr>
          <w:rStyle w:val="AERtextitalic"/>
        </w:rPr>
        <w:t>WACC estimates</w:t>
      </w:r>
      <w:r>
        <w:t xml:space="preserve">, May 2014, pp. 7–10; SFG, </w:t>
      </w:r>
      <w:r w:rsidRPr="0082349C">
        <w:rPr>
          <w:rStyle w:val="AERtextitalic"/>
        </w:rPr>
        <w:t>Beta and the Black capital asset pricing model</w:t>
      </w:r>
      <w:r>
        <w:t xml:space="preserve">, February 2015, pp. 10–12;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January 2016, pp. 13–19.</w:t>
      </w:r>
    </w:p>
  </w:footnote>
  <w:footnote w:id="991">
    <w:p w:rsidR="003F1AAB" w:rsidRDefault="003F1AAB" w:rsidP="00784B0F">
      <w:pPr>
        <w:pStyle w:val="FootnoteText"/>
      </w:pPr>
      <w:r>
        <w:rPr>
          <w:rStyle w:val="FootnoteReference"/>
        </w:rPr>
        <w:footnoteRef/>
      </w:r>
      <w:r>
        <w:t xml:space="preserve"> </w:t>
      </w:r>
      <w:r>
        <w:tab/>
        <w:t xml:space="preserve">SFG, </w:t>
      </w:r>
      <w:r w:rsidRPr="003812DC">
        <w:rPr>
          <w:rStyle w:val="AERtextitalic"/>
        </w:rPr>
        <w:t>Equity beta</w:t>
      </w:r>
      <w:r>
        <w:t xml:space="preserve">, May 2014, pp. 31–34, 40; CEG, </w:t>
      </w:r>
      <w:r w:rsidRPr="00EC4716">
        <w:rPr>
          <w:rStyle w:val="AERtextitalic"/>
        </w:rPr>
        <w:t>WACC estimates</w:t>
      </w:r>
      <w:r>
        <w:t xml:space="preserve">, May 2014, pp. 8–10;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xml:space="preserve">, January 2016, pp. 29–31; Frontier Economics, </w:t>
      </w:r>
      <w:r>
        <w:rPr>
          <w:rStyle w:val="AERtextitalic"/>
        </w:rPr>
        <w:t>The required return on equity under a foundation model approach</w:t>
      </w:r>
      <w:r>
        <w:t>, January 2016, p. 44.</w:t>
      </w:r>
    </w:p>
  </w:footnote>
  <w:footnote w:id="992">
    <w:p w:rsidR="003F1AAB" w:rsidRDefault="003F1AAB" w:rsidP="00784B0F">
      <w:pPr>
        <w:pStyle w:val="FootnoteText"/>
      </w:pPr>
      <w:r>
        <w:rPr>
          <w:rStyle w:val="FootnoteReference"/>
        </w:rPr>
        <w:footnoteRef/>
      </w:r>
      <w:r>
        <w:t xml:space="preserve"> </w:t>
      </w:r>
      <w:r>
        <w:tab/>
        <w:t xml:space="preserve">Nor do we consider </w:t>
      </w:r>
      <w:r w:rsidRPr="00872992">
        <w:t>our Australian empirical equity beta estimates are unreliable</w:t>
      </w:r>
      <w:r>
        <w:t xml:space="preserve"> (see section </w:t>
      </w:r>
      <w:r>
        <w:fldChar w:fldCharType="begin"/>
      </w:r>
      <w:r>
        <w:instrText xml:space="preserve"> REF _Ref446254453 \r \h </w:instrText>
      </w:r>
      <w:r>
        <w:fldChar w:fldCharType="separate"/>
      </w:r>
      <w:r>
        <w:t>G.4.2</w:t>
      </w:r>
      <w:r>
        <w:fldChar w:fldCharType="end"/>
      </w:r>
      <w:r>
        <w:t>)</w:t>
      </w:r>
      <w:r w:rsidRPr="00872992">
        <w:t>.</w:t>
      </w:r>
    </w:p>
  </w:footnote>
  <w:footnote w:id="993">
    <w:p w:rsidR="003F1AAB" w:rsidRDefault="003F1AAB" w:rsidP="00784B0F">
      <w:pPr>
        <w:pStyle w:val="FootnoteText"/>
      </w:pPr>
      <w:r>
        <w:rPr>
          <w:rStyle w:val="FootnoteReference"/>
        </w:rPr>
        <w:footnoteRef/>
      </w:r>
      <w:r>
        <w:t xml:space="preserve"> </w:t>
      </w:r>
      <w:r>
        <w:tab/>
        <w:t xml:space="preserve">Handley, </w:t>
      </w:r>
      <w:r w:rsidRPr="005F7C32">
        <w:rPr>
          <w:rStyle w:val="AERtextitalic"/>
        </w:rPr>
        <w:t>Advice on the return on equity</w:t>
      </w:r>
      <w:r>
        <w:t>, October 2014, pp. 23–24.</w:t>
      </w:r>
    </w:p>
  </w:footnote>
  <w:footnote w:id="994">
    <w:p w:rsidR="003F1AAB" w:rsidRDefault="003F1AAB" w:rsidP="00784B0F">
      <w:pPr>
        <w:pStyle w:val="FootnoteText"/>
      </w:pPr>
      <w:r>
        <w:rPr>
          <w:rStyle w:val="FootnoteReference"/>
        </w:rPr>
        <w:footnoteRef/>
      </w:r>
      <w:r>
        <w:t xml:space="preserve"> </w:t>
      </w:r>
      <w:r>
        <w:tab/>
        <w:t>See, for example, section D.2.1 (under the heading 'International comparators')</w:t>
      </w:r>
      <w:r w:rsidRPr="00DC3465">
        <w:t xml:space="preserve"> </w:t>
      </w:r>
      <w:r>
        <w:t>of attachment 3 to our draft decision for AGN.</w:t>
      </w:r>
    </w:p>
  </w:footnote>
  <w:footnote w:id="995">
    <w:p w:rsidR="003F1AAB" w:rsidRDefault="003F1AAB" w:rsidP="00784B0F">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15–16.</w:t>
      </w:r>
    </w:p>
  </w:footnote>
  <w:footnote w:id="996">
    <w:p w:rsidR="003F1AAB" w:rsidRDefault="003F1AAB" w:rsidP="00784B0F">
      <w:pPr>
        <w:pStyle w:val="FootnoteText"/>
      </w:pPr>
      <w:r>
        <w:rPr>
          <w:rStyle w:val="FootnoteReference"/>
        </w:rPr>
        <w:footnoteRef/>
      </w:r>
      <w:r>
        <w:t xml:space="preserve"> </w:t>
      </w:r>
      <w:r>
        <w:tab/>
        <w:t xml:space="preserve">See, for example, </w:t>
      </w:r>
      <w:r w:rsidRPr="004D154B">
        <w:t>Origin Energy</w:t>
      </w:r>
      <w:r w:rsidRPr="00B67295">
        <w:rPr>
          <w:rStyle w:val="AERtextitalic"/>
        </w:rPr>
        <w:t xml:space="preserve">, Submission to </w:t>
      </w:r>
      <w:r>
        <w:rPr>
          <w:rStyle w:val="AERtextitalic"/>
        </w:rPr>
        <w:t>Victorian electricity distributors regulatory proposals</w:t>
      </w:r>
      <w:r w:rsidRPr="004D154B">
        <w:t>, 3 July 2015</w:t>
      </w:r>
      <w:r>
        <w:t xml:space="preserve">, pp. 10–11. Also see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30 January 2015, p. 78.</w:t>
      </w:r>
    </w:p>
  </w:footnote>
  <w:footnote w:id="997">
    <w:p w:rsidR="003F1AAB" w:rsidRDefault="003F1AAB" w:rsidP="00784B0F">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pp. 70–71.</w:t>
      </w:r>
    </w:p>
  </w:footnote>
  <w:footnote w:id="998">
    <w:p w:rsidR="003F1AAB" w:rsidRDefault="003F1AAB" w:rsidP="00784B0F">
      <w:pPr>
        <w:pStyle w:val="FootnoteText"/>
      </w:pPr>
      <w:r>
        <w:rPr>
          <w:rStyle w:val="FootnoteReference"/>
        </w:rPr>
        <w:footnoteRef/>
      </w:r>
      <w:r>
        <w:t xml:space="preserve"> </w:t>
      </w:r>
      <w:r>
        <w:tab/>
        <w:t xml:space="preserve">Frontier Economics also proposed international energy firms be included. See: Frontier Economics, </w:t>
      </w:r>
      <w:r>
        <w:rPr>
          <w:rStyle w:val="AERtextitalic"/>
        </w:rPr>
        <w:t>Estimating the equity beta for the benchmark efficient entity</w:t>
      </w:r>
      <w:r>
        <w:t>, January 2016, pp. 2–3.</w:t>
      </w:r>
    </w:p>
  </w:footnote>
  <w:footnote w:id="999">
    <w:p w:rsidR="003F1AAB" w:rsidRDefault="003F1AAB" w:rsidP="00784B0F">
      <w:pPr>
        <w:pStyle w:val="FootnoteText"/>
      </w:pPr>
      <w:r>
        <w:rPr>
          <w:rStyle w:val="FootnoteReference"/>
        </w:rPr>
        <w:footnoteRef/>
      </w:r>
      <w:r>
        <w:t xml:space="preserve"> </w:t>
      </w:r>
      <w:r>
        <w:tab/>
        <w:t xml:space="preserve">Although it excluded two of these from its analysis because they have been engaged in merger activity (see Frontier Economics, </w:t>
      </w:r>
      <w:r>
        <w:rPr>
          <w:rStyle w:val="AERtextitalic"/>
        </w:rPr>
        <w:t>Estimating the equity beta for the benchmark efficient entity</w:t>
      </w:r>
      <w:r>
        <w:t>, January 2016, p. 21).</w:t>
      </w:r>
    </w:p>
  </w:footnote>
  <w:footnote w:id="1000">
    <w:p w:rsidR="003F1AAB" w:rsidRDefault="003F1AAB" w:rsidP="00784B0F">
      <w:pPr>
        <w:pStyle w:val="FootnoteText"/>
      </w:pPr>
      <w:r>
        <w:rPr>
          <w:rStyle w:val="FootnoteReference"/>
        </w:rPr>
        <w:footnoteRef/>
      </w:r>
      <w:r>
        <w:t xml:space="preserve"> </w:t>
      </w:r>
      <w:r>
        <w:tab/>
        <w:t xml:space="preserve">Specifically, Frontier considered the average and portfolio estimates (10 year rolling beta estimates) are more stable over time and have tighter confidence intervals (see Frontier Economics, </w:t>
      </w:r>
      <w:r>
        <w:rPr>
          <w:rStyle w:val="AERtextitalic"/>
        </w:rPr>
        <w:t>Estimating the equity beta for the benchmark efficient entity</w:t>
      </w:r>
      <w:r>
        <w:t xml:space="preserve">, January 2016, p. 24–25, 31–33). We respond to this in section </w:t>
      </w:r>
      <w:r>
        <w:fldChar w:fldCharType="begin"/>
      </w:r>
      <w:r>
        <w:instrText xml:space="preserve"> REF _Ref446254453 \r \h </w:instrText>
      </w:r>
      <w:r>
        <w:fldChar w:fldCharType="separate"/>
      </w:r>
      <w:r>
        <w:t>G.4.2</w:t>
      </w:r>
      <w:r>
        <w:fldChar w:fldCharType="end"/>
      </w:r>
      <w:r>
        <w:t>.</w:t>
      </w:r>
    </w:p>
  </w:footnote>
  <w:footnote w:id="1001">
    <w:p w:rsidR="003F1AAB" w:rsidRDefault="003F1AAB" w:rsidP="00784B0F">
      <w:pPr>
        <w:pStyle w:val="FootnoteText"/>
      </w:pPr>
      <w:r>
        <w:rPr>
          <w:rStyle w:val="FootnoteReference"/>
        </w:rPr>
        <w:footnoteRef/>
      </w:r>
      <w:r>
        <w:t xml:space="preserve"> </w:t>
      </w:r>
      <w:r>
        <w:tab/>
        <w:t>That is, the National Electricity Law and Rules, and the National Gas Law and Rules.</w:t>
      </w:r>
    </w:p>
  </w:footnote>
  <w:footnote w:id="1002">
    <w:p w:rsidR="003F1AAB" w:rsidRDefault="003F1AAB" w:rsidP="00784B0F">
      <w:pPr>
        <w:pStyle w:val="FootnoteText"/>
      </w:pPr>
      <w:r>
        <w:rPr>
          <w:rStyle w:val="FootnoteReference"/>
        </w:rPr>
        <w:footnoteRef/>
      </w:r>
      <w:r>
        <w:t xml:space="preserve"> </w:t>
      </w:r>
      <w:r>
        <w:tab/>
        <w:t xml:space="preserve">For example, Sydney Airport and Transurban are listed infrastructure firms that are not subject to direct price/revenue regulation. Sydney Airport is subject only to price and quality monitoring by the ACCC (see Department of Infrastructure and Regional Development, </w:t>
      </w:r>
      <w:r w:rsidRPr="00CB3D02">
        <w:rPr>
          <w:rStyle w:val="AERtextitalic"/>
        </w:rPr>
        <w:t>Economic regulation</w:t>
      </w:r>
      <w:r>
        <w:t>, last updated 12 June 2014, viewed 23 February 2016,</w:t>
      </w:r>
      <w:r w:rsidRPr="00CB3D02">
        <w:t xml:space="preserve"> </w:t>
      </w:r>
      <w:hyperlink r:id="rId16" w:history="1">
        <w:r w:rsidRPr="00C20D81">
          <w:rPr>
            <w:rStyle w:val="Hyperlink"/>
            <w:sz w:val="16"/>
          </w:rPr>
          <w:t>https://infrastructure.gov.au/aviation/airport/airport_economic_regulation/economic_regulation.aspx</w:t>
        </w:r>
      </w:hyperlink>
      <w:r>
        <w:t>). 79% of Transurban's assets are concession assets, 'r</w:t>
      </w:r>
      <w:r w:rsidRPr="005C7A81">
        <w:t>epresenting the</w:t>
      </w:r>
      <w:r>
        <w:t xml:space="preserve"> </w:t>
      </w:r>
      <w:r w:rsidRPr="005C7A81">
        <w:t>provision by Government entities for the right to toll customers for the use of the assets</w:t>
      </w:r>
      <w:r>
        <w:t xml:space="preserve">' (see Transurban, </w:t>
      </w:r>
      <w:r w:rsidRPr="00CB3D02">
        <w:rPr>
          <w:rStyle w:val="AERtextitalic"/>
        </w:rPr>
        <w:t>2015 Transurban annual report</w:t>
      </w:r>
      <w:r>
        <w:t xml:space="preserve"> (for the year ended 30 June 2015), p. 11)</w:t>
      </w:r>
      <w:r w:rsidRPr="005C7A81">
        <w:t>.</w:t>
      </w:r>
      <w:r>
        <w:t xml:space="preserve"> Both of these types of regulation are very different to direct price/revenue cap regulation.</w:t>
      </w:r>
    </w:p>
  </w:footnote>
  <w:footnote w:id="1003">
    <w:p w:rsidR="003F1AAB" w:rsidRDefault="003F1AAB" w:rsidP="00784B0F">
      <w:pPr>
        <w:pStyle w:val="FootnoteText"/>
      </w:pPr>
      <w:r>
        <w:rPr>
          <w:rStyle w:val="FootnoteReference"/>
        </w:rPr>
        <w:footnoteRef/>
      </w:r>
      <w:r>
        <w:t xml:space="preserve"> </w:t>
      </w:r>
      <w:r>
        <w:tab/>
        <w:t xml:space="preserve">For example, Telstra provides a range of services, categorised into segments such as Telstra Retail, Global Enterprise and Services, Telstra Wholesale and Telstra Operations. See Telstra, </w:t>
      </w:r>
      <w:r w:rsidRPr="00947538">
        <w:rPr>
          <w:rStyle w:val="AERtextitalic"/>
        </w:rPr>
        <w:t>Our brilliant connected future: Telstra annual report 2015</w:t>
      </w:r>
      <w:r>
        <w:t xml:space="preserve">, pp. 21–22. </w:t>
      </w:r>
    </w:p>
  </w:footnote>
  <w:footnote w:id="1004">
    <w:p w:rsidR="003F1AAB" w:rsidRDefault="003F1AAB" w:rsidP="00784B0F">
      <w:pPr>
        <w:pStyle w:val="FootnoteText"/>
      </w:pPr>
      <w:r>
        <w:rPr>
          <w:rStyle w:val="FootnoteReference"/>
        </w:rPr>
        <w:footnoteRef/>
      </w:r>
      <w:r>
        <w:t xml:space="preserve"> </w:t>
      </w:r>
      <w:r>
        <w:tab/>
        <w:t xml:space="preserve">The Kolmogorov-Smirnov test </w:t>
      </w:r>
      <w:r w:rsidRPr="00AF3698">
        <w:t xml:space="preserve">tests whether two samples have the same distribution function; and </w:t>
      </w:r>
      <w:r>
        <w:t>the</w:t>
      </w:r>
      <w:r w:rsidRPr="00AF3698">
        <w:t xml:space="preserve"> t-test tests whether two samples come from populations that have the same mean</w:t>
      </w:r>
      <w:r>
        <w:t xml:space="preserve">. See Frontier Economics, </w:t>
      </w:r>
      <w:r>
        <w:rPr>
          <w:rStyle w:val="AERtextitalic"/>
        </w:rPr>
        <w:t>Estimating the equity beta for the benchmark efficient entity</w:t>
      </w:r>
      <w:r>
        <w:t>, January 2016, p. 7.</w:t>
      </w:r>
    </w:p>
  </w:footnote>
  <w:footnote w:id="1005">
    <w:p w:rsidR="003F1AAB" w:rsidRDefault="003F1AAB" w:rsidP="00784B0F">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22–24, 29–31.</w:t>
      </w:r>
    </w:p>
  </w:footnote>
  <w:footnote w:id="1006">
    <w:p w:rsidR="003F1AAB" w:rsidRDefault="003F1AAB" w:rsidP="00784B0F">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13.</w:t>
      </w:r>
    </w:p>
  </w:footnote>
  <w:footnote w:id="1007">
    <w:p w:rsidR="003F1AAB" w:rsidRDefault="003F1AAB" w:rsidP="00784B0F">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13–14.</w:t>
      </w:r>
    </w:p>
  </w:footnote>
  <w:footnote w:id="1008">
    <w:p w:rsidR="003F1AAB" w:rsidRDefault="003F1AAB" w:rsidP="00784B0F">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1009">
    <w:p w:rsidR="003F1AAB" w:rsidRDefault="003F1AAB" w:rsidP="00784B0F">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31 (Table 11).</w:t>
      </w:r>
    </w:p>
  </w:footnote>
  <w:footnote w:id="1010">
    <w:p w:rsidR="003F1AAB" w:rsidRDefault="003F1AAB" w:rsidP="00784B0F">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20.</w:t>
      </w:r>
    </w:p>
  </w:footnote>
  <w:footnote w:id="1011">
    <w:p w:rsidR="003F1AAB" w:rsidRDefault="003F1AAB" w:rsidP="00784B0F">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34.</w:t>
      </w:r>
    </w:p>
  </w:footnote>
  <w:footnote w:id="1012">
    <w:p w:rsidR="003F1AAB" w:rsidRDefault="003F1AAB" w:rsidP="00784B0F">
      <w:pPr>
        <w:pStyle w:val="FootnoteText"/>
      </w:pPr>
      <w:r>
        <w:rPr>
          <w:rStyle w:val="FootnoteReference"/>
        </w:rPr>
        <w:footnoteRef/>
      </w:r>
      <w:r>
        <w:t xml:space="preserve"> </w:t>
      </w:r>
      <w:r>
        <w:tab/>
        <w:t xml:space="preserve">See Frontier Economics, </w:t>
      </w:r>
      <w:r>
        <w:rPr>
          <w:rStyle w:val="AERtextitalic"/>
        </w:rPr>
        <w:t>Estimating the equity beta for the benchmark efficient entity</w:t>
      </w:r>
      <w:r>
        <w:t>, January 2016, p. 21. This range is based on the raw and re-levered estimates presented in this report and excludes Asciano and Qube (as Frontier does).</w:t>
      </w:r>
    </w:p>
  </w:footnote>
  <w:footnote w:id="1013">
    <w:p w:rsidR="003F1AAB" w:rsidRDefault="003F1AAB" w:rsidP="00312F8A">
      <w:pPr>
        <w:pStyle w:val="FootnoteText"/>
      </w:pPr>
      <w:r>
        <w:rPr>
          <w:rStyle w:val="FootnoteReference"/>
        </w:rPr>
        <w:footnoteRef/>
      </w:r>
      <w:r>
        <w:t xml:space="preserve"> </w:t>
      </w:r>
      <w:r>
        <w:tab/>
        <w:t>For clarity, that is 100% of the base rate and DRP components of the allowed return on debt.</w:t>
      </w:r>
    </w:p>
  </w:footnote>
  <w:footnote w:id="1014">
    <w:p w:rsidR="003F1AAB" w:rsidRDefault="003F1AAB" w:rsidP="00312F8A">
      <w:pPr>
        <w:pStyle w:val="FootnoteText"/>
      </w:pPr>
      <w:r>
        <w:rPr>
          <w:rStyle w:val="FootnoteReference"/>
        </w:rPr>
        <w:footnoteRef/>
      </w:r>
      <w:r>
        <w:t xml:space="preserve"> </w:t>
      </w:r>
      <w:r>
        <w:tab/>
        <w:t>NER, cl. 6.5.2(c); NER, cl. 6A.6.2(c); NGR, r. 87(3).</w:t>
      </w:r>
    </w:p>
  </w:footnote>
  <w:footnote w:id="1015">
    <w:p w:rsidR="003F1AAB" w:rsidRDefault="003F1AAB" w:rsidP="00312F8A">
      <w:pPr>
        <w:pStyle w:val="FootnoteText"/>
      </w:pPr>
      <w:r>
        <w:rPr>
          <w:rStyle w:val="FootnoteReference"/>
        </w:rPr>
        <w:footnoteRef/>
      </w:r>
      <w:r>
        <w:t xml:space="preserve"> </w:t>
      </w:r>
      <w:r>
        <w:tab/>
        <w:t xml:space="preserve">See Productivity Commission, </w:t>
      </w:r>
      <w:r w:rsidRPr="00B814E2">
        <w:rPr>
          <w:rStyle w:val="AERtextitalic"/>
        </w:rPr>
        <w:t>On efficiency and effectiveness: Some definitions</w:t>
      </w:r>
      <w:r>
        <w:t>, May 2013, p. 3</w:t>
      </w:r>
    </w:p>
  </w:footnote>
  <w:footnote w:id="1016">
    <w:p w:rsidR="003F1AAB" w:rsidRDefault="003F1AAB" w:rsidP="00312F8A">
      <w:pPr>
        <w:pStyle w:val="FootnoteText"/>
      </w:pPr>
      <w:r>
        <w:rPr>
          <w:rStyle w:val="FootnoteReference"/>
        </w:rPr>
        <w:footnoteRef/>
      </w:r>
      <w:r>
        <w:t xml:space="preserve"> </w:t>
      </w:r>
      <w:r>
        <w:tab/>
        <w:t xml:space="preserve">We have previously discussed this in AER, </w:t>
      </w:r>
      <w:r w:rsidRPr="006757DF">
        <w:rPr>
          <w:rStyle w:val="AERtextitalic"/>
        </w:rPr>
        <w:t>Better regulation: Rate of return guidelines consultation paper</w:t>
      </w:r>
      <w:r>
        <w:t>, May 2013, pp. 75</w:t>
      </w:r>
      <w:r>
        <w:rPr>
          <w:rFonts w:cs="Arial"/>
        </w:rPr>
        <w:t>–7</w:t>
      </w:r>
      <w:r>
        <w:t>6.</w:t>
      </w:r>
    </w:p>
  </w:footnote>
  <w:footnote w:id="1017">
    <w:p w:rsidR="003F1AAB" w:rsidRDefault="003F1AAB" w:rsidP="00312F8A">
      <w:pPr>
        <w:pStyle w:val="FootnoteText"/>
      </w:pPr>
      <w:r>
        <w:rPr>
          <w:rStyle w:val="FootnoteReference"/>
        </w:rPr>
        <w:footnoteRef/>
      </w:r>
      <w:r>
        <w:t xml:space="preserve"> </w:t>
      </w:r>
      <w:r>
        <w:tab/>
        <w:t>We note the cost of debt (from a firm's perspective) is also known as investors' required rate of return on debt (from an investors' perspective).</w:t>
      </w:r>
    </w:p>
  </w:footnote>
  <w:footnote w:id="1018">
    <w:p w:rsidR="003F1AAB" w:rsidRDefault="003F1AAB" w:rsidP="00312F8A">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1019">
    <w:p w:rsidR="003F1AAB" w:rsidRDefault="003F1AAB"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020">
    <w:p w:rsidR="003F1AAB" w:rsidRDefault="003F1AAB" w:rsidP="00312F8A">
      <w:pPr>
        <w:pStyle w:val="FootnoteText"/>
      </w:pPr>
      <w:r>
        <w:rPr>
          <w:rStyle w:val="FootnoteReference"/>
        </w:rPr>
        <w:footnoteRef/>
      </w:r>
      <w:r>
        <w:t xml:space="preserve"> </w:t>
      </w:r>
      <w:r>
        <w:tab/>
      </w:r>
      <w:r w:rsidRPr="005F51BE">
        <w:t xml:space="preserve">However, </w:t>
      </w:r>
      <w:r>
        <w:t>Partington and Satchell</w:t>
      </w:r>
      <w:r w:rsidRPr="005F51BE">
        <w:t xml:space="preserve"> note the yield to maturity overstates the (expected) opportunity cost of risky debt because it is based on the promised return</w:t>
      </w:r>
      <w:r>
        <w:t xml:space="preserve">, which exceeds the expected return on risky debt (due to default risk). See Partington, G., Satchell, S., </w:t>
      </w:r>
      <w:r w:rsidRPr="00D001FE">
        <w:rPr>
          <w:rStyle w:val="AERtextitalic"/>
        </w:rPr>
        <w:t>Report to the AER: Discussion of the allowed cost of</w:t>
      </w:r>
      <w:r>
        <w:t xml:space="preserve"> </w:t>
      </w:r>
      <w:r w:rsidRPr="00D001FE">
        <w:rPr>
          <w:rStyle w:val="AERtextitalic"/>
        </w:rPr>
        <w:t>debt</w:t>
      </w:r>
      <w:r>
        <w:t>, 5 May 2016, p. 28.</w:t>
      </w:r>
    </w:p>
  </w:footnote>
  <w:footnote w:id="1021">
    <w:p w:rsidR="003F1AAB" w:rsidRDefault="003F1AAB"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31.</w:t>
      </w:r>
    </w:p>
  </w:footnote>
  <w:footnote w:id="1022">
    <w:p w:rsidR="003F1AAB" w:rsidRDefault="003F1AAB" w:rsidP="00312F8A">
      <w:pPr>
        <w:pStyle w:val="FootnoteText"/>
      </w:pPr>
      <w:r>
        <w:rPr>
          <w:rStyle w:val="FootnoteReference"/>
        </w:rPr>
        <w:footnoteRef/>
      </w:r>
      <w:r>
        <w:t xml:space="preserve"> </w:t>
      </w:r>
      <w:r>
        <w:tab/>
        <w:t>The NEO is to 'promote</w:t>
      </w:r>
      <w:r w:rsidRPr="00ED7222">
        <w:t xml:space="preserve"> efficient investment in,</w:t>
      </w:r>
      <w:r>
        <w:t xml:space="preserve"> and</w:t>
      </w:r>
      <w:r w:rsidRPr="00ED7222">
        <w:t xml:space="preserve"> </w:t>
      </w:r>
      <w:r>
        <w:t xml:space="preserve">efficient </w:t>
      </w:r>
      <w:r w:rsidRPr="00ED7222">
        <w:t>operation and use of</w:t>
      </w:r>
      <w:r>
        <w:t>,</w:t>
      </w:r>
      <w:r w:rsidRPr="00ED7222">
        <w:t xml:space="preserve"> electricity services for the long term interests of consumers</w:t>
      </w:r>
      <w:r>
        <w:t xml:space="preserve"> of electricity  with respect to - (a) price, quality, safety, reliability and security of supply of electricity; and (b) the reliability, safety and security of the national electricity system'. Similarly the NGO is to '</w:t>
      </w:r>
      <w:r w:rsidRPr="00ED7222">
        <w:t>promote efficient investment in, and efficient operation and use of natural gas services for the long term interest of consumers of natural gas with respect to price, quality, safety, reliability and security of supply of natural gas</w:t>
      </w:r>
      <w:r>
        <w:t>'.</w:t>
      </w:r>
    </w:p>
  </w:footnote>
  <w:footnote w:id="1023">
    <w:p w:rsidR="003F1AAB" w:rsidRDefault="003F1AAB" w:rsidP="00312F8A">
      <w:pPr>
        <w:pStyle w:val="FootnoteText"/>
      </w:pPr>
      <w:r>
        <w:rPr>
          <w:rStyle w:val="FootnoteReference"/>
        </w:rPr>
        <w:footnoteRef/>
      </w:r>
      <w:r>
        <w:t xml:space="preserve"> </w:t>
      </w:r>
      <w:r>
        <w:tab/>
        <w:t xml:space="preserve">AER, </w:t>
      </w:r>
      <w:r w:rsidRPr="005C3E8E">
        <w:rPr>
          <w:rStyle w:val="AERtextitalic"/>
        </w:rPr>
        <w:t>Better regulation: Rate of return guideline</w:t>
      </w:r>
      <w:r>
        <w:t>, December 2013, p. 7.</w:t>
      </w:r>
    </w:p>
  </w:footnote>
  <w:footnote w:id="1024">
    <w:p w:rsidR="003F1AAB" w:rsidRDefault="003F1AAB" w:rsidP="00312F8A">
      <w:pPr>
        <w:pStyle w:val="FootnoteText"/>
      </w:pPr>
      <w:r>
        <w:rPr>
          <w:rStyle w:val="FootnoteReference"/>
        </w:rPr>
        <w:footnoteRef/>
      </w:r>
      <w:r>
        <w:t xml:space="preserve"> </w:t>
      </w:r>
      <w:r>
        <w:tab/>
        <w:t xml:space="preserve">AER, </w:t>
      </w:r>
      <w:r w:rsidRPr="005C3E8E">
        <w:rPr>
          <w:rStyle w:val="AERtextitalic"/>
        </w:rPr>
        <w:t>Draft rate of return guideline</w:t>
      </w:r>
      <w:r>
        <w:t>, August 2013, p. 9.</w:t>
      </w:r>
    </w:p>
  </w:footnote>
  <w:footnote w:id="1025">
    <w:p w:rsidR="003F1AAB" w:rsidRDefault="003F1AAB" w:rsidP="00312F8A">
      <w:pPr>
        <w:pStyle w:val="FootnoteText"/>
      </w:pPr>
      <w:r>
        <w:rPr>
          <w:rStyle w:val="FootnoteReference"/>
        </w:rPr>
        <w:footnoteRef/>
      </w:r>
      <w:r>
        <w:t xml:space="preserve"> </w:t>
      </w:r>
      <w:r>
        <w:tab/>
        <w:t xml:space="preserve">APA Group, </w:t>
      </w:r>
      <w:r w:rsidRPr="005C3E8E">
        <w:rPr>
          <w:rStyle w:val="AERtextitalic"/>
        </w:rPr>
        <w:t>Submissions responding to AER draft rate of return guideline</w:t>
      </w:r>
      <w:r>
        <w:t>, 11 October 2013, pp. 12</w:t>
      </w:r>
      <w:r>
        <w:rPr>
          <w:rFonts w:cs="Arial"/>
        </w:rPr>
        <w:t>–</w:t>
      </w:r>
      <w:r>
        <w:t xml:space="preserve">16; APIA, </w:t>
      </w:r>
      <w:r w:rsidRPr="005C3E8E">
        <w:rPr>
          <w:rStyle w:val="AERtextitalic"/>
        </w:rPr>
        <w:t>Meeting the ARORO? A submission to the AER's draft rate of return guideline</w:t>
      </w:r>
      <w:r>
        <w:t xml:space="preserve">, 11 October 2013, p. 11; MEU, </w:t>
      </w:r>
      <w:r w:rsidRPr="005C3E8E">
        <w:rPr>
          <w:rStyle w:val="AERtextitalic"/>
        </w:rPr>
        <w:t>Comments on the draft guideline</w:t>
      </w:r>
      <w:r>
        <w:t>, October 2013, p. 12.</w:t>
      </w:r>
    </w:p>
  </w:footnote>
  <w:footnote w:id="1026">
    <w:p w:rsidR="003F1AAB" w:rsidRDefault="003F1AAB" w:rsidP="00312F8A">
      <w:pPr>
        <w:pStyle w:val="FootnoteText"/>
      </w:pPr>
      <w:r>
        <w:rPr>
          <w:rStyle w:val="FootnoteReference"/>
        </w:rPr>
        <w:footnoteRef/>
      </w:r>
      <w:r>
        <w:t xml:space="preserve"> </w:t>
      </w:r>
      <w:r>
        <w:tab/>
      </w:r>
      <w:r w:rsidRPr="00E0091E">
        <w:t xml:space="preserve">AER, </w:t>
      </w:r>
      <w:r w:rsidRPr="005C3E8E">
        <w:rPr>
          <w:rStyle w:val="AERtextitalic"/>
        </w:rPr>
        <w:t>WACC review, final decision</w:t>
      </w:r>
      <w:r w:rsidRPr="00E0091E">
        <w:t>, May 2009, p. 82.</w:t>
      </w:r>
    </w:p>
  </w:footnote>
  <w:footnote w:id="1027">
    <w:p w:rsidR="003F1AAB" w:rsidRDefault="003F1AAB" w:rsidP="00312F8A">
      <w:pPr>
        <w:pStyle w:val="FootnoteText"/>
      </w:pPr>
      <w:r>
        <w:rPr>
          <w:rStyle w:val="FootnoteReference"/>
        </w:rPr>
        <w:footnoteRef/>
      </w:r>
      <w:r>
        <w:t xml:space="preserve"> </w:t>
      </w:r>
      <w:r>
        <w:tab/>
        <w:t>These include decisions for ActewAGL gas, Amadeus gas pipeline, Australian Gas Networks, Ausgrid, AusNet Services distribution , CitiPower, Directlink, Endeavour Energy, Energex, Ergon Energy, Essential Energy, , Jemena Electricity Networks, Jemena Gas Networks, Powercor, SA Power Networks, TasNetworks, TransGrid and United Energy.</w:t>
      </w:r>
    </w:p>
  </w:footnote>
  <w:footnote w:id="1028">
    <w:p w:rsidR="003F1AAB" w:rsidRDefault="003F1AAB" w:rsidP="00312F8A">
      <w:pPr>
        <w:pStyle w:val="FootnoteText"/>
      </w:pPr>
      <w:r>
        <w:rPr>
          <w:rStyle w:val="FootnoteReference"/>
        </w:rPr>
        <w:footnoteRef/>
      </w:r>
      <w:r>
        <w:t xml:space="preserve"> </w:t>
      </w:r>
      <w:r>
        <w:tab/>
        <w:t xml:space="preserve">The World Bank and OECD have used this definition in </w:t>
      </w:r>
      <w:r w:rsidRPr="009D1BB8">
        <w:t xml:space="preserve">OECD, </w:t>
      </w:r>
      <w:r w:rsidRPr="00BE60B7">
        <w:rPr>
          <w:rStyle w:val="AERtextitalic"/>
        </w:rPr>
        <w:t>Glossary of key terms in evaluation and results based management</w:t>
      </w:r>
      <w:r w:rsidRPr="009D1BB8">
        <w:t>, 2002, p. 18</w:t>
      </w:r>
      <w:r>
        <w:t>,</w:t>
      </w:r>
      <w:r w:rsidRPr="009D1BB8">
        <w:t xml:space="preserve"> World Bank, </w:t>
      </w:r>
      <w:r w:rsidRPr="00BE60B7">
        <w:rPr>
          <w:rStyle w:val="AERtextitalic"/>
        </w:rPr>
        <w:t>How to build M&amp;E systems to support better government</w:t>
      </w:r>
      <w:r w:rsidRPr="009D1BB8">
        <w:t>, p. 138</w:t>
      </w:r>
      <w:r>
        <w:t>.</w:t>
      </w:r>
    </w:p>
  </w:footnote>
  <w:footnote w:id="1029">
    <w:p w:rsidR="003F1AAB" w:rsidRDefault="003F1AAB" w:rsidP="00312F8A">
      <w:pPr>
        <w:pStyle w:val="FootnoteText"/>
      </w:pPr>
      <w:r>
        <w:rPr>
          <w:rStyle w:val="FootnoteReference"/>
        </w:rPr>
        <w:footnoteRef/>
      </w:r>
      <w:r>
        <w:t xml:space="preserve"> </w:t>
      </w:r>
      <w:r>
        <w:tab/>
      </w:r>
      <w:r w:rsidRPr="009D1BB8">
        <w:t xml:space="preserve">CFA Institute, </w:t>
      </w:r>
      <w:r w:rsidRPr="005772E3">
        <w:rPr>
          <w:rStyle w:val="AERtextitalic"/>
        </w:rPr>
        <w:t>Benchmarks and indices: Issue Brief</w:t>
      </w:r>
      <w:r w:rsidRPr="009D1BB8">
        <w:t>, April 2013, p. 2</w:t>
      </w:r>
      <w:r>
        <w:t>.</w:t>
      </w:r>
    </w:p>
  </w:footnote>
  <w:footnote w:id="1030">
    <w:p w:rsidR="003F1AAB" w:rsidRDefault="003F1AAB" w:rsidP="00312F8A">
      <w:pPr>
        <w:pStyle w:val="FootnoteText"/>
      </w:pPr>
      <w:r>
        <w:rPr>
          <w:rStyle w:val="FootnoteReference"/>
        </w:rPr>
        <w:footnoteRef/>
      </w:r>
      <w:r>
        <w:t xml:space="preserve"> </w:t>
      </w:r>
      <w:r>
        <w:tab/>
      </w:r>
      <w:r w:rsidRPr="009D1BB8">
        <w:t xml:space="preserve">AEMC, </w:t>
      </w:r>
      <w:r w:rsidRPr="005772E3">
        <w:rPr>
          <w:rStyle w:val="AERtextitalic"/>
        </w:rPr>
        <w:t>Rule determination: Economic regulation of network service providers and price and revenue regulation of gas services</w:t>
      </w:r>
      <w:r w:rsidRPr="009D1BB8">
        <w:t>, 29 November 2012. p. 43</w:t>
      </w:r>
      <w:r>
        <w:t>.</w:t>
      </w:r>
    </w:p>
  </w:footnote>
  <w:footnote w:id="1031">
    <w:p w:rsidR="003F1AAB" w:rsidRDefault="003F1AAB" w:rsidP="00312F8A">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18; AGN, </w:t>
      </w:r>
      <w:r w:rsidRPr="00FA673F">
        <w:rPr>
          <w:rStyle w:val="AERtextitalic"/>
        </w:rPr>
        <w:t>Attachment 10.26 response to draft decision: Rate of return</w:t>
      </w:r>
      <w:r>
        <w:t xml:space="preserve">, January 2016, p. 25; APA Group, </w:t>
      </w:r>
      <w:r w:rsidRPr="00FA673F">
        <w:rPr>
          <w:rStyle w:val="AERtextitalic"/>
        </w:rPr>
        <w:t>Amadeus Gas Pipeline access arrangement information</w:t>
      </w:r>
      <w:r>
        <w:t>, January 2016, p. 24;</w:t>
      </w:r>
      <w:r w:rsidRPr="00FA673F">
        <w:t xml:space="preserve"> </w:t>
      </w:r>
      <w:r>
        <w:t xml:space="preserve">AusNet Electricity Services, </w:t>
      </w:r>
      <w:r w:rsidRPr="00FA673F">
        <w:rPr>
          <w:rStyle w:val="AERtextitalic"/>
        </w:rPr>
        <w:t>Revised regulatory proposal</w:t>
      </w:r>
      <w:r>
        <w:t xml:space="preserve">, 6 January 2016, p. 163; CitiPower, </w:t>
      </w:r>
      <w:r w:rsidRPr="00FA673F">
        <w:rPr>
          <w:rStyle w:val="AERtextitalic"/>
        </w:rPr>
        <w:t>Revised Regulatory Proposal 2016—2020</w:t>
      </w:r>
      <w:r>
        <w:t xml:space="preserve">, 6 January 2016, p. 332; </w:t>
      </w:r>
      <w:r w:rsidRPr="00FA673F">
        <w:t xml:space="preserve">JEN, </w:t>
      </w:r>
      <w:r w:rsidRPr="00FA673F">
        <w:rPr>
          <w:rStyle w:val="AERtextitalic"/>
        </w:rPr>
        <w:t>Attachment 6-1 rate of return, gamma, forecast inflation, and debt and equity raising costs</w:t>
      </w:r>
      <w:r>
        <w:t xml:space="preserve">, 6 January 2016, p. 16; </w:t>
      </w:r>
      <w:r w:rsidRPr="00FA673F">
        <w:t xml:space="preserve">Powercor, </w:t>
      </w:r>
      <w:r w:rsidRPr="00FA673F">
        <w:rPr>
          <w:rStyle w:val="AERtextitalic"/>
        </w:rPr>
        <w:t>Revised regulatory proposal 2016–20</w:t>
      </w:r>
      <w:r>
        <w:t xml:space="preserve">, 6 January 2016, p. 326; </w:t>
      </w:r>
      <w:r w:rsidRPr="00FA673F">
        <w:t xml:space="preserve">United Energy, </w:t>
      </w:r>
      <w:r w:rsidRPr="00FA673F">
        <w:rPr>
          <w:rStyle w:val="AERtextitalic"/>
        </w:rPr>
        <w:t>2016 to 2020 revised regulatory proposal</w:t>
      </w:r>
      <w:r w:rsidRPr="00FA673F">
        <w:t>, 6 January 2016</w:t>
      </w:r>
      <w:r>
        <w:t>, p. 79</w:t>
      </w:r>
      <w:r w:rsidRPr="00FA673F">
        <w:t>.</w:t>
      </w:r>
    </w:p>
  </w:footnote>
  <w:footnote w:id="1032">
    <w:p w:rsidR="003F1AAB" w:rsidRPr="0070748E" w:rsidRDefault="003F1AAB" w:rsidP="00312F8A">
      <w:pPr>
        <w:pStyle w:val="FootnoteText"/>
        <w:rPr>
          <w:i/>
        </w:rPr>
      </w:pPr>
      <w:r>
        <w:rPr>
          <w:rStyle w:val="FootnoteReference"/>
        </w:rPr>
        <w:footnoteRef/>
      </w:r>
      <w:r>
        <w:t xml:space="preserve"> </w:t>
      </w:r>
      <w:r>
        <w:tab/>
        <w:t xml:space="preserve">Australian Competition Tribunal, </w:t>
      </w:r>
      <w:r w:rsidRPr="0070748E">
        <w:rPr>
          <w:rStyle w:val="AERtextitalic"/>
        </w:rPr>
        <w:t>Applications by Public Interest Advocacy Centre Ltd and</w:t>
      </w:r>
      <w:r>
        <w:rPr>
          <w:rStyle w:val="AERtextitalic"/>
        </w:rPr>
        <w:t xml:space="preserve"> </w:t>
      </w:r>
      <w:r w:rsidRPr="0070748E">
        <w:rPr>
          <w:rStyle w:val="AERtextitalic"/>
        </w:rPr>
        <w:t>Ausgrid [2016] ACompT 1</w:t>
      </w:r>
      <w:r>
        <w:t>, 26 February 2016, para 914.</w:t>
      </w:r>
    </w:p>
  </w:footnote>
  <w:footnote w:id="1033">
    <w:p w:rsidR="003F1AAB" w:rsidRDefault="003F1AAB" w:rsidP="00312F8A">
      <w:pPr>
        <w:pStyle w:val="FootnoteText"/>
      </w:pPr>
      <w:r>
        <w:rPr>
          <w:rStyle w:val="FootnoteReference"/>
        </w:rPr>
        <w:footnoteRef/>
      </w:r>
      <w:r>
        <w:t xml:space="preserve"> </w:t>
      </w:r>
      <w:r>
        <w:tab/>
        <w:t>The AER submitted before the Tribunal that the contention raised before the Tribunal by Networks NSW and ActewAGL that the benchmark efficient entity was an unregulated firm was not raised and maintained before the AER, and was therefore precluded from being raised in submissions to the Tribunal by reason of s71O of the NEL. The Tribunal formed the view that the issue was raised by Networks NSW and by ActewAGL in submissions before the AER. The AER has sought judicial review by the Federal Court of this component of the Tribunal's decision.</w:t>
      </w:r>
    </w:p>
    <w:p w:rsidR="003F1AAB" w:rsidRDefault="003F1AAB" w:rsidP="00312F8A">
      <w:pPr>
        <w:pStyle w:val="FootnoteText"/>
      </w:pPr>
    </w:p>
  </w:footnote>
  <w:footnote w:id="1034">
    <w:p w:rsidR="003F1AAB" w:rsidRDefault="003F1AAB" w:rsidP="00312F8A">
      <w:pPr>
        <w:pStyle w:val="FootnoteText"/>
      </w:pPr>
      <w:r>
        <w:rPr>
          <w:rStyle w:val="FootnoteReference"/>
        </w:rPr>
        <w:footnoteRef/>
      </w:r>
      <w:r>
        <w:t xml:space="preserve"> </w:t>
      </w:r>
      <w:r>
        <w:tab/>
        <w:t>That is, revised proposals submitted by ActewAGL, AGN, APTNT, AusNet Services distribution, CitiPower, JEN, Powercor and United Energy.</w:t>
      </w:r>
    </w:p>
  </w:footnote>
  <w:footnote w:id="1035">
    <w:p w:rsidR="003F1AAB" w:rsidRDefault="003F1AAB" w:rsidP="00312F8A">
      <w:pPr>
        <w:pStyle w:val="FootnoteText"/>
      </w:pPr>
      <w:r>
        <w:rPr>
          <w:rStyle w:val="FootnoteReference"/>
        </w:rPr>
        <w:footnoteRef/>
      </w:r>
      <w:r>
        <w:t xml:space="preserve"> </w:t>
      </w:r>
      <w:r>
        <w:tab/>
        <w:t>NGR, cl. 87(3). Similar wording is found in NER, cl.  6.5.2(c) and NER, cl. 6A.6.2(c).</w:t>
      </w:r>
    </w:p>
  </w:footnote>
  <w:footnote w:id="1036">
    <w:p w:rsidR="003F1AAB" w:rsidRDefault="003F1AAB" w:rsidP="00312F8A">
      <w:pPr>
        <w:pStyle w:val="FootnoteText"/>
      </w:pPr>
      <w:r>
        <w:rPr>
          <w:rStyle w:val="FootnoteReference"/>
        </w:rPr>
        <w:footnoteRef/>
      </w:r>
      <w:r>
        <w:t xml:space="preserve"> </w:t>
      </w:r>
      <w:r>
        <w:tab/>
        <w:t>NER, cl. 6.5.2(c); NER, cl. 6A.6.2(c); NGR, r. 87(3).</w:t>
      </w:r>
    </w:p>
  </w:footnote>
  <w:footnote w:id="1037">
    <w:p w:rsidR="003F1AAB" w:rsidRDefault="003F1AAB" w:rsidP="00312F8A">
      <w:pPr>
        <w:pStyle w:val="FootnoteText"/>
      </w:pPr>
      <w:r w:rsidRPr="000F26DE">
        <w:rPr>
          <w:rStyle w:val="FootnoteReference"/>
          <w:sz w:val="20"/>
        </w:rPr>
        <w:footnoteRef/>
      </w:r>
      <w:r w:rsidRPr="000F26DE">
        <w:rPr>
          <w:sz w:val="20"/>
        </w:rPr>
        <w:t xml:space="preserve"> </w:t>
      </w:r>
      <w:r>
        <w:tab/>
        <w:t>We</w:t>
      </w:r>
      <w:r w:rsidRPr="000F26DE">
        <w:t xml:space="preserve"> must </w:t>
      </w:r>
      <w:r>
        <w:t xml:space="preserve">also </w:t>
      </w:r>
      <w:r w:rsidRPr="000F26DE">
        <w:t xml:space="preserve">apply the rules in a manner consistent with the </w:t>
      </w:r>
      <w:r>
        <w:t xml:space="preserve">RPPs </w:t>
      </w:r>
      <w:r w:rsidRPr="000F26DE">
        <w:t xml:space="preserve">in the NEL. </w:t>
      </w:r>
      <w:r>
        <w:t>This requires providing</w:t>
      </w:r>
      <w:r w:rsidRPr="000F26DE">
        <w:t xml:space="preserve"> regulated service providers a reasonable opportunity to recover at least efficient costs and </w:t>
      </w:r>
      <w:r>
        <w:t>allowing</w:t>
      </w:r>
      <w:r w:rsidRPr="000F26DE">
        <w:t xml:space="preserve"> for a return commensurate with the regulatory and commercial risk involved in providing direct control services. We should also provide effective incentives to promote economic efficiency and have regard to the economic costs and risk of the potential for under and over investment by a regulated service provider.</w:t>
      </w:r>
    </w:p>
  </w:footnote>
  <w:footnote w:id="1038">
    <w:p w:rsidR="003F1AAB" w:rsidRDefault="003F1AAB" w:rsidP="00312F8A">
      <w:pPr>
        <w:pStyle w:val="FootnoteText"/>
      </w:pPr>
      <w:r>
        <w:rPr>
          <w:rStyle w:val="FootnoteReference"/>
        </w:rPr>
        <w:footnoteRef/>
      </w:r>
      <w:r>
        <w:t xml:space="preserve"> </w:t>
      </w:r>
      <w:r>
        <w:tab/>
        <w:t xml:space="preserve">We consider this is commensurate with definition of a 'fair return' to capital in Leland, H.E., 'Regulation of natural monopolies and the fair rate of return, </w:t>
      </w:r>
      <w:r w:rsidRPr="00C332AB">
        <w:rPr>
          <w:rStyle w:val="AERtextitalic"/>
        </w:rPr>
        <w:t>The Bell Journal of Economics and Management Science</w:t>
      </w:r>
      <w:r>
        <w:t>, Vol. 5, No. 1, spring 1974, p. 7. Here, a fair return to capital is a pattern of profits across states of nature just sufficient to attract capital to its present use, which is equivalent to the stock market value of the firm equalling the value of a firm's assets.</w:t>
      </w:r>
    </w:p>
  </w:footnote>
  <w:footnote w:id="1039">
    <w:p w:rsidR="003F1AAB" w:rsidRPr="00602829" w:rsidRDefault="003F1AAB" w:rsidP="00312F8A">
      <w:pPr>
        <w:pStyle w:val="FootnoteText"/>
      </w:pPr>
      <w:r>
        <w:rPr>
          <w:rStyle w:val="FootnoteReference"/>
        </w:rPr>
        <w:footnoteRef/>
      </w:r>
      <w:r>
        <w:t xml:space="preserve"> </w:t>
      </w:r>
      <w:r>
        <w:tab/>
        <w:t xml:space="preserve">For instance, this is </w:t>
      </w:r>
      <w:r w:rsidRPr="00F21B32">
        <w:t>consistent with zero ex</w:t>
      </w:r>
      <w:r>
        <w:t>pected returns in excess of equilibrium expected returns and 'fair game'</w:t>
      </w:r>
      <w:r w:rsidRPr="00F21B32">
        <w:t xml:space="preserve"> models of expected returns</w:t>
      </w:r>
      <w:r>
        <w:t xml:space="preserve">. For a brief explanation of 'fair games' see Malkiel, B. G. and Fama, E. F. 'Efficient capital markets: A review of theory and empirical work, </w:t>
      </w:r>
      <w:r w:rsidRPr="009E1E6C">
        <w:rPr>
          <w:rStyle w:val="AERtextitalic"/>
        </w:rPr>
        <w:t>The Journal of Finance</w:t>
      </w:r>
      <w:r>
        <w:rPr>
          <w:rStyle w:val="AERtextitalic"/>
        </w:rPr>
        <w:t>,</w:t>
      </w:r>
      <w:r>
        <w:t xml:space="preserve"> 25: 383-417, 1970.</w:t>
      </w:r>
    </w:p>
  </w:footnote>
  <w:footnote w:id="1040">
    <w:p w:rsidR="003F1AAB" w:rsidRDefault="003F1AAB" w:rsidP="00312F8A">
      <w:pPr>
        <w:pStyle w:val="FootnoteText"/>
      </w:pPr>
      <w:r>
        <w:rPr>
          <w:rStyle w:val="FootnoteReference"/>
        </w:rPr>
        <w:footnoteRef/>
      </w:r>
      <w:r>
        <w:t xml:space="preserve"> </w:t>
      </w:r>
      <w:r>
        <w:tab/>
        <w:t>See SFG</w:t>
      </w:r>
      <w:r>
        <w:rPr>
          <w:rStyle w:val="AERtextitalic"/>
        </w:rPr>
        <w:t>, Preliminary analysis of rule change proposals: Report for</w:t>
      </w:r>
      <w:r w:rsidRPr="008C3116">
        <w:rPr>
          <w:rStyle w:val="AERtextitalic"/>
        </w:rPr>
        <w:t xml:space="preserve"> AEMC</w:t>
      </w:r>
      <w:r>
        <w:t xml:space="preserve">, February 2012, p. 41; Brennan, </w:t>
      </w:r>
      <w:r w:rsidRPr="005772E3">
        <w:rPr>
          <w:rStyle w:val="AERtextitalic"/>
        </w:rPr>
        <w:t>Depreciation, investor compensation and, welfare under rate-of-return regulation</w:t>
      </w:r>
      <w:r>
        <w:t>, Review of industrial organisation, 1991, 6, p. 75. In his article, Brennan stated, 'With regard to investor compensation, the basic goal of regulation is to give investors an income stream just sufficient to cover the costs of their assets, and no more'.</w:t>
      </w:r>
    </w:p>
  </w:footnote>
  <w:footnote w:id="1041">
    <w:p w:rsidR="003F1AAB" w:rsidRDefault="003F1AAB"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042">
    <w:p w:rsidR="003F1AAB" w:rsidRDefault="003F1AAB"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043">
    <w:p w:rsidR="003F1AAB" w:rsidRDefault="003F1AAB" w:rsidP="00312F8A">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 xml:space="preserve">pp. 427, 434; 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044">
    <w:p w:rsidR="003F1AAB" w:rsidRDefault="003F1AAB" w:rsidP="00312F8A">
      <w:pPr>
        <w:pStyle w:val="FootnoteText"/>
      </w:pPr>
      <w:r>
        <w:rPr>
          <w:rStyle w:val="FootnoteReference"/>
        </w:rPr>
        <w:footnoteRef/>
      </w:r>
      <w:r>
        <w:t xml:space="preserve"> </w:t>
      </w:r>
      <w:r>
        <w:tab/>
        <w:t>Partington and Satchell state that, '</w:t>
      </w:r>
      <w:r w:rsidRPr="008748C8">
        <w:t>the opportunity cost of capital is the discount rate that determines the market value of the benchmark efficient entity</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15, 29).</w:t>
      </w:r>
    </w:p>
  </w:footnote>
  <w:footnote w:id="1045">
    <w:p w:rsidR="003F1AAB" w:rsidRDefault="003F1AAB" w:rsidP="00312F8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14–15; SFG</w:t>
      </w:r>
      <w:r>
        <w:rPr>
          <w:rStyle w:val="AERtextitalic"/>
        </w:rPr>
        <w:t>, Preliminary analysis of rule change proposals: Report for</w:t>
      </w:r>
      <w:r w:rsidRPr="008C3116">
        <w:rPr>
          <w:rStyle w:val="AERtextitalic"/>
        </w:rPr>
        <w:t xml:space="preserve"> AEMC</w:t>
      </w:r>
      <w:r>
        <w:t>, February 2012, p. 47.</w:t>
      </w:r>
      <w:r w:rsidRPr="003B0F67">
        <w:t xml:space="preserve"> </w:t>
      </w:r>
    </w:p>
  </w:footnote>
  <w:footnote w:id="1046">
    <w:p w:rsidR="003F1AAB" w:rsidRDefault="003F1AAB" w:rsidP="00312F8A">
      <w:pPr>
        <w:pStyle w:val="FootnoteText"/>
      </w:pPr>
      <w:r>
        <w:rPr>
          <w:rStyle w:val="FootnoteReference"/>
        </w:rPr>
        <w:footnoteRef/>
      </w:r>
      <w:r>
        <w:t xml:space="preserve"> </w:t>
      </w:r>
      <w:r>
        <w:tab/>
        <w:t>The expected future cash flows under an on-the-day methodology can be likened to a long term floating rate security where the coupon rate is reset at the commencement of each regulatory period.</w:t>
      </w:r>
    </w:p>
  </w:footnote>
  <w:footnote w:id="1047">
    <w:p w:rsidR="003F1AAB" w:rsidRDefault="003F1AAB" w:rsidP="00312F8A">
      <w:pPr>
        <w:pStyle w:val="FootnoteText"/>
      </w:pPr>
      <w:r>
        <w:rPr>
          <w:rStyle w:val="FootnoteReference"/>
        </w:rPr>
        <w:footnoteRef/>
      </w:r>
      <w:r>
        <w:t xml:space="preserve"> </w:t>
      </w:r>
      <w:r>
        <w:tab/>
        <w:t>The expected future cash flows under a trailing average methodology can be likened to 10 long term floating rate securities where the coupon rates are reset every ten years.</w:t>
      </w:r>
      <w:r w:rsidRPr="00806194">
        <w:t xml:space="preserve"> </w:t>
      </w:r>
      <w:r>
        <w:t>Each floating rate security covers</w:t>
      </w:r>
      <w:r w:rsidRPr="00806194">
        <w:t xml:space="preserve"> a 10 per cent 'investment portion' in the RAB where they receive the net operating cash flows generated from these investment portions</w:t>
      </w:r>
      <w:r>
        <w:t>.</w:t>
      </w:r>
    </w:p>
  </w:footnote>
  <w:footnote w:id="1048">
    <w:p w:rsidR="003F1AAB" w:rsidRDefault="003F1AAB" w:rsidP="00312F8A">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85.</w:t>
      </w:r>
    </w:p>
  </w:footnote>
  <w:footnote w:id="1049">
    <w:p w:rsidR="003F1AAB" w:rsidRDefault="003F1AAB" w:rsidP="00312F8A">
      <w:pPr>
        <w:pStyle w:val="FootnoteText"/>
      </w:pPr>
      <w:r>
        <w:rPr>
          <w:rStyle w:val="FootnoteReference"/>
        </w:rPr>
        <w:footnoteRef/>
      </w:r>
      <w:r>
        <w:t xml:space="preserve"> </w:t>
      </w:r>
      <w:r>
        <w:tab/>
      </w:r>
      <w:r w:rsidRPr="00554F83">
        <w:t xml:space="preserve">The required rate of return for a fixed term bond is the par yield in the market for fixed term bonds with similar characteristics (e.g. term and credit rating). However, we note that for a floating rate bond, the yield to equate the price to the face value may only equal the par yield on a fixed term bond with a maturity equal to the reset date of the variable rate note under certain assumptions. This may not include future default risk beyond the reset date. </w:t>
      </w:r>
      <w:r>
        <w:t>We discuss the valuation of a long term floating rate security as a conceptual analogy to our regulatory regime. This does not imply that the allowed return on debt should be equal to the required return on a floating rate bond. We use the par yield on fixed-term debt to calculate the allowed return on debt. G</w:t>
      </w:r>
      <w:r w:rsidRPr="00554F83">
        <w:t>iven we benchmark the cost of debt from the private sector service providers we regulate, we consider our use of the par yield on fixed term debt  is appropriate.</w:t>
      </w:r>
    </w:p>
  </w:footnote>
  <w:footnote w:id="1050">
    <w:p w:rsidR="003F1AAB" w:rsidRDefault="003F1AAB" w:rsidP="00312F8A">
      <w:pPr>
        <w:pStyle w:val="FootnoteText"/>
      </w:pPr>
      <w:r>
        <w:rPr>
          <w:rStyle w:val="FootnoteReference"/>
        </w:rPr>
        <w:footnoteRef/>
      </w:r>
      <w:r>
        <w:t xml:space="preserve"> </w:t>
      </w:r>
      <w:r>
        <w:tab/>
        <w:t xml:space="preserve">Specifically, under the rules, the rate of return must reflect the risk of a benchmark efficient entity with a similar degree of risk as a service provider supplying regulated services. This is consistent with Partington and Satchell's advice that 'the fundamental principle is that what drives the required return on the investment is the risk of the assets' (see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21–22).  </w:t>
      </w:r>
    </w:p>
  </w:footnote>
  <w:footnote w:id="1051">
    <w:p w:rsidR="003F1AAB" w:rsidRDefault="003F1AAB" w:rsidP="00312F8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35–36.</w:t>
      </w:r>
    </w:p>
  </w:footnote>
  <w:footnote w:id="1052">
    <w:p w:rsidR="003F1AAB" w:rsidRDefault="003F1AAB" w:rsidP="00312F8A">
      <w:pPr>
        <w:pStyle w:val="FootnoteText"/>
      </w:pPr>
      <w:r>
        <w:rPr>
          <w:rStyle w:val="FootnoteReference"/>
        </w:rPr>
        <w:footnoteRef/>
      </w:r>
      <w:r>
        <w:t xml:space="preserve"> </w:t>
      </w:r>
      <w:r>
        <w:tab/>
        <w:t>Also see</w:t>
      </w:r>
      <w:r w:rsidRPr="00F70A5C">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32–37, 39, 43.</w:t>
      </w:r>
    </w:p>
  </w:footnote>
  <w:footnote w:id="1053">
    <w:p w:rsidR="003F1AAB" w:rsidRDefault="003F1AAB" w:rsidP="00312F8A">
      <w:pPr>
        <w:pStyle w:val="FootnoteText"/>
      </w:pPr>
      <w:r>
        <w:rPr>
          <w:rStyle w:val="FootnoteReference"/>
        </w:rPr>
        <w:footnoteRef/>
      </w:r>
      <w:r>
        <w:t xml:space="preserve"> </w:t>
      </w:r>
      <w:r>
        <w:tab/>
        <w:t xml:space="preserve">As required under NER, cl </w:t>
      </w:r>
      <w:r w:rsidRPr="00F21B32">
        <w:t>6.5.3(k)</w:t>
      </w:r>
      <w:r>
        <w:t xml:space="preserve"> &amp; 6A.6.2(k), which </w:t>
      </w:r>
      <w:r w:rsidRPr="00F21B32">
        <w:t>require</w:t>
      </w:r>
      <w:r>
        <w:t>s</w:t>
      </w:r>
      <w:r w:rsidRPr="00F21B32">
        <w:t xml:space="preserve"> </w:t>
      </w:r>
      <w:r>
        <w:t>us</w:t>
      </w:r>
      <w:r w:rsidRPr="00F21B32">
        <w:t xml:space="preserve"> to have regard to ‘the desirability of minimising any difference between the return on debt and the return on debt of a benchmark efficient entity referred to in the allowed rate of return objective’</w:t>
      </w:r>
      <w:r>
        <w:t>.</w:t>
      </w:r>
    </w:p>
  </w:footnote>
  <w:footnote w:id="1054">
    <w:p w:rsidR="003F1AAB" w:rsidRDefault="003F1AAB" w:rsidP="00312F8A">
      <w:pPr>
        <w:pStyle w:val="FootnoteText"/>
      </w:pPr>
      <w:r>
        <w:rPr>
          <w:rStyle w:val="FootnoteReference"/>
        </w:rPr>
        <w:footnoteRef/>
      </w:r>
      <w:r>
        <w:t xml:space="preserve"> </w:t>
      </w:r>
      <w:r>
        <w:tab/>
        <w:t xml:space="preserve">See, for example, AER, </w:t>
      </w:r>
      <w:r w:rsidRPr="00EE4654">
        <w:rPr>
          <w:rStyle w:val="AERtextitalic"/>
        </w:rPr>
        <w:t>Submission to the Productivity Commission: inquiry into electricity network regulation</w:t>
      </w:r>
      <w:r>
        <w:t>, April 2012, p. 4. It is worth noting that while the rules establish an ex-ante regulatory regime, they also include some ex-post elements. For example, see provisions on cost pass throughs under  NER, cl. 6.6.1; NER, cl. 6A.7.3;  NGR, r. 97(1)(c).</w:t>
      </w:r>
    </w:p>
  </w:footnote>
  <w:footnote w:id="1055">
    <w:p w:rsidR="003F1AAB" w:rsidRDefault="003F1AAB" w:rsidP="00312F8A">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35.</w:t>
      </w:r>
    </w:p>
  </w:footnote>
  <w:footnote w:id="1056">
    <w:p w:rsidR="003F1AAB" w:rsidRDefault="003F1AAB" w:rsidP="00312F8A">
      <w:pPr>
        <w:pStyle w:val="FootnoteText"/>
      </w:pPr>
      <w:r>
        <w:rPr>
          <w:rStyle w:val="FootnoteReference"/>
        </w:rPr>
        <w:footnoteRef/>
      </w:r>
      <w:r>
        <w:t xml:space="preserve"> </w:t>
      </w:r>
      <w:r>
        <w:tab/>
        <w:t xml:space="preserve">In particular, </w:t>
      </w:r>
      <w:r w:rsidRPr="00FB1598">
        <w:t>we consider any mismatch between the regulatory return on debt allowance and a benchmark efficient entity's actual debt costs will flow through to equity holders (as they are residual claimants). The equity beta is determined using historical data (when an on-the-day approach was in effect). We consider this should capture any interest rate risk associated with an on-the-day approach, to the extent that it is systematic.</w:t>
      </w:r>
    </w:p>
  </w:footnote>
  <w:footnote w:id="1057">
    <w:p w:rsidR="003F1AAB" w:rsidRDefault="003F1AAB" w:rsidP="00312F8A">
      <w:pPr>
        <w:pStyle w:val="FootnoteText"/>
      </w:pPr>
      <w:r>
        <w:rPr>
          <w:rStyle w:val="FootnoteReference"/>
        </w:rPr>
        <w:footnoteRef/>
      </w:r>
      <w:r>
        <w:t xml:space="preserve"> </w:t>
      </w:r>
      <w:r>
        <w:tab/>
        <w:t>For instance, we use the equity returns of service providers comparable to a benchmark efficient entity ('comparator firms') when estimating the equity beta. We also used comparator firms when estimating the credit rating and gearing of a benchmark efficient entity. This assists us in estimating an allowed rate of return that would compensate a benchmark efficient entity for the default risk and systematic risk more broadly that it would have faced under an on-the-day approach.</w:t>
      </w:r>
    </w:p>
  </w:footnote>
  <w:footnote w:id="1058">
    <w:p w:rsidR="003F1AAB" w:rsidRDefault="003F1AAB" w:rsidP="00312F8A">
      <w:pPr>
        <w:pStyle w:val="FootnoteText"/>
      </w:pPr>
      <w:r>
        <w:rPr>
          <w:rStyle w:val="FootnoteReference"/>
        </w:rPr>
        <w:footnoteRef/>
      </w:r>
      <w:r>
        <w:t xml:space="preserve"> </w:t>
      </w:r>
      <w:r>
        <w:tab/>
        <w:t xml:space="preserve">Compensable risk could decrease if investors consider a benchmark efficient entity is less exposed to interest rate risk under the trailing average approach. This could occur if the trailing average approach allows a benchmark efficient entity to better match its debt cash outflows to its allowance than under the on-the-day approach. However, we note </w:t>
      </w:r>
      <w:r w:rsidRPr="00815D07">
        <w:t>Partington and Satchell consider that, 'It is difficult to see how the use of the trailing average will materially reduce the financing costs of firms since such costs are primarily driven by the assets the firms invest in'</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38.</w:t>
      </w:r>
    </w:p>
  </w:footnote>
  <w:footnote w:id="1059">
    <w:p w:rsidR="003F1AAB" w:rsidRDefault="003F1AAB"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18, 35–36.</w:t>
      </w:r>
    </w:p>
  </w:footnote>
  <w:footnote w:id="1060">
    <w:p w:rsidR="003F1AAB" w:rsidRDefault="003F1AAB" w:rsidP="00312F8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37–38; SFG, </w:t>
      </w:r>
      <w:r>
        <w:rPr>
          <w:rStyle w:val="AERtextitalic"/>
        </w:rPr>
        <w:t>Preliminary analysis of rule change proposals: Report for</w:t>
      </w:r>
      <w:r w:rsidRPr="008C3116">
        <w:rPr>
          <w:rStyle w:val="AERtextitalic"/>
        </w:rPr>
        <w:t xml:space="preserve"> AEMC</w:t>
      </w:r>
      <w:r>
        <w:t xml:space="preserve">, February 2012, p. 41. </w:t>
      </w:r>
    </w:p>
  </w:footnote>
  <w:footnote w:id="1061">
    <w:p w:rsidR="003F1AAB" w:rsidRDefault="003F1AAB" w:rsidP="00312F8A">
      <w:pPr>
        <w:pStyle w:val="FootnoteText"/>
      </w:pPr>
      <w:r>
        <w:rPr>
          <w:rStyle w:val="FootnoteReference"/>
        </w:rPr>
        <w:footnoteRef/>
      </w:r>
      <w:r>
        <w:t xml:space="preserve"> </w:t>
      </w:r>
      <w:r>
        <w:tab/>
        <w:t>NEL, s. 7A(3); NGL, s. (24)(3).</w:t>
      </w:r>
    </w:p>
  </w:footnote>
  <w:footnote w:id="1062">
    <w:p w:rsidR="003F1AAB" w:rsidRPr="00612B7B" w:rsidRDefault="003F1AAB" w:rsidP="00312F8A">
      <w:pPr>
        <w:pStyle w:val="FootnoteText"/>
        <w:rPr>
          <w:i/>
        </w:rPr>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14.</w:t>
      </w:r>
    </w:p>
  </w:footnote>
  <w:footnote w:id="1063">
    <w:p w:rsidR="003F1AAB" w:rsidRDefault="003F1AAB" w:rsidP="00312F8A">
      <w:pPr>
        <w:pStyle w:val="FootnoteText"/>
      </w:pPr>
      <w:r>
        <w:rPr>
          <w:rStyle w:val="FootnoteReference"/>
        </w:rPr>
        <w:footnoteRef/>
      </w:r>
      <w:r>
        <w:t xml:space="preserve"> </w:t>
      </w:r>
      <w:r>
        <w:tab/>
        <w:t>Averch and Johnson show that if a regulatory rate of return exceeds the firm's true cost of capital, it has an incentive to choose too much capital relative to labour. Averch, H, Johnson, L.L</w:t>
      </w:r>
      <w:r w:rsidRPr="00F72E67">
        <w:t>.</w:t>
      </w:r>
      <w:r>
        <w:t>, '</w:t>
      </w:r>
      <w:r w:rsidRPr="00F72E67">
        <w:t xml:space="preserve">Behaviour of the Firm under Regulatory Constraint’, </w:t>
      </w:r>
      <w:r w:rsidRPr="00F72E67">
        <w:rPr>
          <w:rStyle w:val="AERtextitalic"/>
        </w:rPr>
        <w:t>American Economic Review</w:t>
      </w:r>
      <w:r w:rsidRPr="00F72E67">
        <w:t xml:space="preserve">, </w:t>
      </w:r>
      <w:r>
        <w:t>Vol. 52, No. 5</w:t>
      </w:r>
      <w:r w:rsidRPr="00F72E67">
        <w:t xml:space="preserve">, December 1962, </w:t>
      </w:r>
      <w:r>
        <w:t xml:space="preserve">pp. </w:t>
      </w:r>
      <w:r w:rsidRPr="00F72E67">
        <w:t>1062</w:t>
      </w:r>
      <w:r>
        <w:rPr>
          <w:rFonts w:cs="Arial"/>
        </w:rPr>
        <w:t>–</w:t>
      </w:r>
      <w:r w:rsidRPr="00F72E67">
        <w:t>1069</w:t>
      </w:r>
      <w:r>
        <w:t>. Littlechild describes, '</w:t>
      </w:r>
      <w:r w:rsidRPr="008D260E">
        <w:t xml:space="preserve">Revenues need to be adequate to cover operating expenses and to ensure finance for necessary investment. They should not be so excessive as to encourage their </w:t>
      </w:r>
      <w:r>
        <w:t xml:space="preserve">dissipation on dubious schemes'. Littlechild, S., 'Economic regulation of privatised water authorities and some further reflections, </w:t>
      </w:r>
      <w:r w:rsidRPr="007510F1">
        <w:rPr>
          <w:rStyle w:val="AERtextitalic"/>
        </w:rPr>
        <w:t>Oxford review of economic polic</w:t>
      </w:r>
      <w:r>
        <w:t xml:space="preserve">y, Vol. 4, No. 2, summer 1988,  p. 47. Cambini and Rondi find the cost of capital is positively correlated with investment under incentive regulation. Cambini, C., Rondi, L., 'Incentive regulation and investment: evidence from European energy utilities, </w:t>
      </w:r>
      <w:r w:rsidRPr="00260845">
        <w:rPr>
          <w:rStyle w:val="AERtextitalic"/>
        </w:rPr>
        <w:t>Journal of Regulatory Economics</w:t>
      </w:r>
      <w:r>
        <w:t xml:space="preserve">, Vol. 38, 2010, p. 18. Greenwald notes that 'less than "fair" rates of return should simply elicit no investment' in Greenwald, B.C., 'Rate base selection and the structure of regulation', </w:t>
      </w:r>
      <w:r w:rsidRPr="006572DC">
        <w:rPr>
          <w:rStyle w:val="AERtextitalic"/>
        </w:rPr>
        <w:t>The RAND Journal of Economics</w:t>
      </w:r>
      <w:r>
        <w:t>, Vol. 15, No. 1, Spring 1984, p. 85.</w:t>
      </w:r>
    </w:p>
  </w:footnote>
  <w:footnote w:id="1064">
    <w:p w:rsidR="003F1AAB" w:rsidRDefault="003F1AAB" w:rsidP="00312F8A">
      <w:pPr>
        <w:pStyle w:val="FootnoteText"/>
      </w:pPr>
      <w:r>
        <w:rPr>
          <w:rStyle w:val="FootnoteReference"/>
        </w:rPr>
        <w:footnoteRef/>
      </w:r>
      <w:r>
        <w:t xml:space="preserve"> </w:t>
      </w:r>
      <w:r>
        <w:tab/>
        <w:t xml:space="preserve">CCP3, </w:t>
      </w:r>
      <w:r w:rsidRPr="006C2193">
        <w:rPr>
          <w:rStyle w:val="AERtextitalic"/>
        </w:rPr>
        <w:t>Submission to the AER: An overview―Response to the AER Preliminary Decisions and revised proposals from Victorian electricity DNSPs for a revenue reset for the 2016–2020 regulatory period</w:t>
      </w:r>
      <w:r>
        <w:t>, 22 February 2016, p. 35.</w:t>
      </w:r>
    </w:p>
  </w:footnote>
  <w:footnote w:id="1065">
    <w:p w:rsidR="003F1AAB" w:rsidRDefault="003F1AAB"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066">
    <w:p w:rsidR="003F1AAB" w:rsidRPr="00B57A7C" w:rsidRDefault="003F1AAB" w:rsidP="00312F8A">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1067">
    <w:p w:rsidR="003F1AAB" w:rsidRDefault="003F1AAB" w:rsidP="00312F8A">
      <w:pPr>
        <w:pStyle w:val="FootnoteText"/>
      </w:pPr>
      <w:r>
        <w:rPr>
          <w:rStyle w:val="FootnoteReference"/>
        </w:rPr>
        <w:footnoteRef/>
      </w:r>
      <w:r>
        <w:t xml:space="preserve"> </w:t>
      </w:r>
      <w:r>
        <w:tab/>
        <w:t xml:space="preserve">HoustonKemp, </w:t>
      </w:r>
      <w:r w:rsidRPr="006C2193">
        <w:rPr>
          <w:rStyle w:val="AERtextitalic"/>
        </w:rPr>
        <w:t>Appropriate objective to guide the setting of the cost of debt allowance</w:t>
      </w:r>
      <w:r>
        <w:t>, 3 March 2015, p. 5.</w:t>
      </w:r>
    </w:p>
  </w:footnote>
  <w:footnote w:id="1068">
    <w:p w:rsidR="003F1AAB" w:rsidRDefault="003F1AAB" w:rsidP="00312F8A">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85.</w:t>
      </w:r>
    </w:p>
  </w:footnote>
  <w:footnote w:id="1069">
    <w:p w:rsidR="003F1AAB" w:rsidRDefault="003F1AAB" w:rsidP="00312F8A">
      <w:pPr>
        <w:pStyle w:val="FootnoteText"/>
      </w:pPr>
      <w:r>
        <w:rPr>
          <w:rStyle w:val="FootnoteReference"/>
        </w:rPr>
        <w:footnoteRef/>
      </w:r>
      <w:r>
        <w:t xml:space="preserve"> </w:t>
      </w:r>
      <w:r>
        <w:tab/>
        <w:t xml:space="preserve">CCP3, </w:t>
      </w:r>
      <w:r w:rsidRPr="00A30733">
        <w:rPr>
          <w:rStyle w:val="AERtextitalic"/>
        </w:rPr>
        <w:t>Submission to the AER: An overview―Response to the AER Preliminary Decisions and revised proposals from Victorian electricity DNSPs for a revenue reset for the 2016–2020 regulatory period</w:t>
      </w:r>
      <w:r>
        <w:t xml:space="preserve">, 22 February 2016, p. 36; CCP3, </w:t>
      </w:r>
      <w:r w:rsidRPr="00A30733">
        <w:rPr>
          <w:rStyle w:val="AERtextitalic"/>
        </w:rPr>
        <w:t>Submission to the AER: Response to the AER Preliminary Decisions and revised proposals from Victorian electricity DNSPs for a revenue reset for the 2016–2020 regulatory period</w:t>
      </w:r>
      <w:r>
        <w:t xml:space="preserve">, 25 February 2016, p. 88; 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070">
    <w:p w:rsidR="003F1AAB" w:rsidRDefault="003F1AAB" w:rsidP="00312F8A">
      <w:pPr>
        <w:pStyle w:val="FootnoteText"/>
      </w:pPr>
      <w:r>
        <w:rPr>
          <w:rStyle w:val="FootnoteReference"/>
        </w:rPr>
        <w:footnoteRef/>
      </w:r>
      <w:r>
        <w:t xml:space="preserve"> </w:t>
      </w:r>
      <w:r>
        <w:tab/>
        <w:t xml:space="preserve">HoustonKemp also held this view in </w:t>
      </w:r>
      <w:r w:rsidRPr="006C2193">
        <w:rPr>
          <w:rStyle w:val="AERtextitalic"/>
        </w:rPr>
        <w:t>Appropriate objective to guide the setting of the cost of debt allowance</w:t>
      </w:r>
      <w:r>
        <w:t>, 3 March 2015, p. 5.</w:t>
      </w:r>
    </w:p>
  </w:footnote>
  <w:footnote w:id="1071">
    <w:p w:rsidR="003F1AAB" w:rsidRDefault="003F1AAB" w:rsidP="00312F8A">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45. Similarly, Partington and Satchell consider an immediate transition to a trailing average approach can be regarded as a material regulatory risk (Partington, G., Satchell, S., </w:t>
      </w:r>
      <w:r w:rsidRPr="00D001FE">
        <w:rPr>
          <w:rStyle w:val="AERtextitalic"/>
        </w:rPr>
        <w:t>Report to the AER: Discussion of the allowed cost of</w:t>
      </w:r>
      <w:r>
        <w:t xml:space="preserve"> </w:t>
      </w:r>
      <w:r w:rsidRPr="00D001FE">
        <w:rPr>
          <w:rStyle w:val="AERtextitalic"/>
        </w:rPr>
        <w:t>debt</w:t>
      </w:r>
      <w:r>
        <w:t>, 5 May 2016, p. 42).</w:t>
      </w:r>
    </w:p>
  </w:footnote>
  <w:footnote w:id="1072">
    <w:p w:rsidR="003F1AAB" w:rsidRDefault="003F1AAB" w:rsidP="00312F8A">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1073">
    <w:p w:rsidR="003F1AAB" w:rsidRDefault="003F1AAB" w:rsidP="00312F8A">
      <w:pPr>
        <w:pStyle w:val="FootnoteText"/>
      </w:pPr>
      <w:r>
        <w:rPr>
          <w:rStyle w:val="FootnoteReference"/>
        </w:rPr>
        <w:footnoteRef/>
      </w:r>
      <w:r>
        <w:t xml:space="preserve"> </w:t>
      </w:r>
      <w:r>
        <w:tab/>
        <w:t xml:space="preserve">Expert Panel on Energy Access Pricing, </w:t>
      </w:r>
      <w:r w:rsidRPr="0070748E">
        <w:rPr>
          <w:rStyle w:val="AERtextitalic"/>
        </w:rPr>
        <w:t>Report to the M</w:t>
      </w:r>
      <w:r>
        <w:rPr>
          <w:rStyle w:val="AERtextitalic"/>
        </w:rPr>
        <w:t>inisterial Council on Energy</w:t>
      </w:r>
      <w:r>
        <w:t>, April 2006, p. 59.</w:t>
      </w:r>
    </w:p>
  </w:footnote>
  <w:footnote w:id="1074">
    <w:p w:rsidR="003F1AAB" w:rsidRDefault="003F1AAB" w:rsidP="00312F8A">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1075">
    <w:p w:rsidR="003F1AAB" w:rsidRDefault="003F1AAB" w:rsidP="00312F8A">
      <w:pPr>
        <w:pStyle w:val="FootnoteText"/>
      </w:pPr>
      <w:r>
        <w:rPr>
          <w:rStyle w:val="FootnoteReference"/>
        </w:rPr>
        <w:footnoteRef/>
      </w:r>
      <w:r>
        <w:t xml:space="preserve"> </w:t>
      </w:r>
      <w:r>
        <w:tab/>
        <w:t>NEL, s. 7A(3)(b); NGL, s. 24(3)(b).</w:t>
      </w:r>
    </w:p>
  </w:footnote>
  <w:footnote w:id="1076">
    <w:p w:rsidR="003F1AAB" w:rsidRDefault="003F1AAB" w:rsidP="00312F8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42.</w:t>
      </w:r>
    </w:p>
  </w:footnote>
  <w:footnote w:id="1077">
    <w:p w:rsidR="003F1AAB" w:rsidRDefault="003F1AAB" w:rsidP="00312F8A">
      <w:pPr>
        <w:pStyle w:val="FootnoteText"/>
      </w:pPr>
      <w:r>
        <w:rPr>
          <w:rStyle w:val="FootnoteReference"/>
        </w:rPr>
        <w:footnoteRef/>
      </w:r>
      <w:r>
        <w:t xml:space="preserve"> </w:t>
      </w:r>
      <w:r>
        <w:tab/>
      </w:r>
      <w:r w:rsidRPr="00E2186B">
        <w:t xml:space="preserve">The </w:t>
      </w:r>
      <w:r w:rsidRPr="00CB2003">
        <w:t xml:space="preserve">on-the-day </w:t>
      </w:r>
      <w:r w:rsidRPr="00E2186B">
        <w:t xml:space="preserve">benchmark requires </w:t>
      </w:r>
      <w:r>
        <w:t xml:space="preserve">estimating </w:t>
      </w:r>
      <w:r w:rsidRPr="00E2186B">
        <w:t xml:space="preserve">the return of debt of a service provider on the first day of the regulatory period because, in theory, an </w:t>
      </w:r>
      <w:r w:rsidRPr="00CB2003">
        <w:t xml:space="preserve">on-the-day </w:t>
      </w:r>
      <w:r w:rsidRPr="00E2186B">
        <w:t xml:space="preserve">rate is considered the best indication of the opportunity cost of capital at a given point in time. However, in practice, </w:t>
      </w:r>
      <w:r>
        <w:t>it entails</w:t>
      </w:r>
      <w:r w:rsidRPr="00E2186B">
        <w:t xml:space="preserve"> estimating the return on debt over a short averaging period as close as practically possible to the start of the regulatory period. This is because using the</w:t>
      </w:r>
      <w:r w:rsidRPr="00CB2003">
        <w:t xml:space="preserve"> on-the-day </w:t>
      </w:r>
      <w:r>
        <w:t>approach</w:t>
      </w:r>
      <w:r w:rsidRPr="00E2186B">
        <w:t xml:space="preserve"> exposes the service provider to day-to-day volatility in the market rates.</w:t>
      </w:r>
    </w:p>
  </w:footnote>
  <w:footnote w:id="1078">
    <w:p w:rsidR="003F1AAB" w:rsidRDefault="003F1AAB" w:rsidP="00312F8A">
      <w:pPr>
        <w:pStyle w:val="FootnoteText"/>
      </w:pPr>
      <w:r>
        <w:rPr>
          <w:rStyle w:val="FootnoteReference"/>
        </w:rPr>
        <w:footnoteRef/>
      </w:r>
      <w:r>
        <w:t xml:space="preserve"> </w:t>
      </w:r>
      <w:r>
        <w:tab/>
      </w:r>
      <w:r w:rsidRPr="00CF726F">
        <w:t xml:space="preserve">The </w:t>
      </w:r>
      <w:r w:rsidRPr="00CB2003">
        <w:t xml:space="preserve">on-the-day </w:t>
      </w:r>
      <w:r w:rsidRPr="00CF726F">
        <w:t xml:space="preserve">approach has been used to estimate the return on debt of service providers in Australia since at least 1998, by the ACCC/AER as well as other state regulators. </w:t>
      </w:r>
      <w:r>
        <w:t>See, for example, ACCC</w:t>
      </w:r>
      <w:r w:rsidRPr="00CF726F">
        <w:t xml:space="preserve">, </w:t>
      </w:r>
      <w:r w:rsidRPr="00CF726F">
        <w:rPr>
          <w:rStyle w:val="AERtextitalic"/>
        </w:rPr>
        <w:t>Final decision</w:t>
      </w:r>
      <w:r>
        <w:rPr>
          <w:rStyle w:val="AERtextitalic"/>
        </w:rPr>
        <w:t>:</w:t>
      </w:r>
      <w:r w:rsidRPr="00CF726F">
        <w:rPr>
          <w:rStyle w:val="AERtextitalic"/>
        </w:rPr>
        <w:t xml:space="preserve"> APA GasNet transmission</w:t>
      </w:r>
      <w:r w:rsidRPr="00CF726F">
        <w:t xml:space="preserve">, </w:t>
      </w:r>
      <w:r>
        <w:t xml:space="preserve">October </w:t>
      </w:r>
      <w:r w:rsidRPr="00CF726F">
        <w:t>1998, p. xvi</w:t>
      </w:r>
      <w:r>
        <w:t xml:space="preserve">; ACCC, </w:t>
      </w:r>
      <w:r w:rsidRPr="000F2664">
        <w:rPr>
          <w:rStyle w:val="AERtextitalic"/>
        </w:rPr>
        <w:t>Statement of principles for the regulation of electricity transmission revenues—background paper</w:t>
      </w:r>
      <w:r>
        <w:t>, December 2004, pp. 96, 109</w:t>
      </w:r>
      <w:r w:rsidRPr="00CF726F">
        <w:t>. At this time, the risk free rate and DRP were estimated separately and added together to generate a return on debt estimate.</w:t>
      </w:r>
    </w:p>
  </w:footnote>
  <w:footnote w:id="1079">
    <w:p w:rsidR="003F1AAB" w:rsidRDefault="003F1AAB" w:rsidP="00312F8A">
      <w:pPr>
        <w:pStyle w:val="FootnoteText"/>
      </w:pPr>
      <w:r>
        <w:rPr>
          <w:rStyle w:val="FootnoteReference"/>
        </w:rPr>
        <w:footnoteRef/>
      </w:r>
      <w:r>
        <w:t xml:space="preserve"> </w:t>
      </w:r>
      <w:r>
        <w:tab/>
        <w:t>See NER, cl. 6.5.2(j)(1); NER, cl. 6A.6.2(j)(1); NGR, r. 87(10)(a).</w:t>
      </w:r>
    </w:p>
  </w:footnote>
  <w:footnote w:id="1080">
    <w:p w:rsidR="003F1AAB" w:rsidRDefault="003F1AAB" w:rsidP="00312F8A">
      <w:pPr>
        <w:pStyle w:val="FootnoteText"/>
      </w:pPr>
      <w:r>
        <w:rPr>
          <w:rStyle w:val="FootnoteReference"/>
        </w:rPr>
        <w:footnoteRef/>
      </w:r>
      <w:r>
        <w:t xml:space="preserve"> </w:t>
      </w:r>
      <w:r>
        <w:tab/>
        <w:t>NER, cl. 6.5.2(g); NER, cl. 6A.6.2(g); NGR, cl. 87(7).</w:t>
      </w:r>
    </w:p>
  </w:footnote>
  <w:footnote w:id="1081">
    <w:p w:rsidR="003F1AAB" w:rsidRDefault="003F1AAB" w:rsidP="00312F8A">
      <w:pPr>
        <w:pStyle w:val="FootnoteText"/>
      </w:pPr>
      <w:r>
        <w:rPr>
          <w:rStyle w:val="FootnoteReference"/>
        </w:rPr>
        <w:footnoteRef/>
      </w:r>
      <w:r>
        <w:t xml:space="preserve"> </w:t>
      </w:r>
      <w:r>
        <w:tab/>
        <w:t xml:space="preserve">SFG, </w:t>
      </w:r>
      <w:r w:rsidRPr="005772E3">
        <w:rPr>
          <w:rStyle w:val="AERtextitalic"/>
        </w:rPr>
        <w:t>Rule change proposals relating to the debt component of the regulated rate of return: Report for AEMC</w:t>
      </w:r>
      <w:r>
        <w:t>, August 2012, p. 5.</w:t>
      </w:r>
    </w:p>
  </w:footnote>
  <w:footnote w:id="1082">
    <w:p w:rsidR="003F1AAB" w:rsidRDefault="003F1AAB" w:rsidP="00312F8A">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p. 434.</w:t>
      </w:r>
    </w:p>
  </w:footnote>
  <w:footnote w:id="1083">
    <w:p w:rsidR="003F1AAB" w:rsidRDefault="003F1AAB" w:rsidP="00312F8A">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w:t>
      </w:r>
    </w:p>
  </w:footnote>
  <w:footnote w:id="1084">
    <w:p w:rsidR="003F1AAB" w:rsidRDefault="003F1AAB"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085">
    <w:p w:rsidR="003F1AAB" w:rsidRDefault="003F1AAB" w:rsidP="00312F8A">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1086">
    <w:p w:rsidR="003F1AAB" w:rsidRDefault="003F1AAB" w:rsidP="00312F8A">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46.</w:t>
      </w:r>
    </w:p>
  </w:footnote>
  <w:footnote w:id="1087">
    <w:p w:rsidR="003F1AAB" w:rsidRDefault="003F1AAB" w:rsidP="00312F8A">
      <w:pPr>
        <w:pStyle w:val="FootnoteText"/>
      </w:pPr>
      <w:r>
        <w:rPr>
          <w:rStyle w:val="FootnoteReference"/>
        </w:rPr>
        <w:footnoteRef/>
      </w:r>
      <w:r>
        <w:t xml:space="preserve"> </w:t>
      </w:r>
      <w:r>
        <w:tab/>
        <w:t xml:space="preserve">See Office of the Regulator General, </w:t>
      </w:r>
      <w:r w:rsidRPr="009D272F">
        <w:rPr>
          <w:rStyle w:val="AERtextitalic"/>
        </w:rPr>
        <w:t>Submission to the Productivity Commission review of the national access regime (part IIIA of the trade practices act) position paper</w:t>
      </w:r>
      <w:r>
        <w:t>, 2001, p. 6.</w:t>
      </w:r>
    </w:p>
  </w:footnote>
  <w:footnote w:id="1088">
    <w:p w:rsidR="003F1AAB" w:rsidRDefault="003F1AAB" w:rsidP="00312F8A">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3 March 2015, p. 1.</w:t>
      </w:r>
    </w:p>
  </w:footnote>
  <w:footnote w:id="1089">
    <w:p w:rsidR="003F1AAB" w:rsidRDefault="003F1AAB" w:rsidP="00312F8A">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xml:space="preserve">, 3 March 2015, p. 1. Also see Chairmont, </w:t>
      </w:r>
      <w:r w:rsidRPr="008A1995">
        <w:rPr>
          <w:rStyle w:val="AERtextitalic"/>
        </w:rPr>
        <w:t>Cost of debt comparative analysis</w:t>
      </w:r>
      <w:r>
        <w:t>, November 2013, p. 4.</w:t>
      </w:r>
    </w:p>
  </w:footnote>
  <w:footnote w:id="1090">
    <w:p w:rsidR="003F1AAB" w:rsidRDefault="003F1AAB" w:rsidP="00312F8A">
      <w:pPr>
        <w:pStyle w:val="FootnoteText"/>
      </w:pPr>
      <w:r>
        <w:rPr>
          <w:rStyle w:val="FootnoteReference"/>
        </w:rPr>
        <w:footnoteRef/>
      </w:r>
      <w:r>
        <w:t xml:space="preserve"> </w:t>
      </w:r>
      <w:r>
        <w:tab/>
        <w:t xml:space="preserve">Chairmont, </w:t>
      </w:r>
      <w:r w:rsidRPr="008A1995">
        <w:rPr>
          <w:rStyle w:val="AERtextitalic"/>
        </w:rPr>
        <w:t>Cost of debt comparative analysis</w:t>
      </w:r>
      <w:r>
        <w:t>, November 2013, p. 4.</w:t>
      </w:r>
    </w:p>
  </w:footnote>
  <w:footnote w:id="1091">
    <w:p w:rsidR="003F1AAB" w:rsidRDefault="003F1AAB"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46.</w:t>
      </w:r>
    </w:p>
  </w:footnote>
  <w:footnote w:id="1092">
    <w:p w:rsidR="003F1AAB" w:rsidRDefault="003F1AAB" w:rsidP="00312F8A">
      <w:pPr>
        <w:pStyle w:val="FootnoteText"/>
      </w:pPr>
      <w:r>
        <w:rPr>
          <w:rStyle w:val="FootnoteReference"/>
        </w:rPr>
        <w:footnoteRef/>
      </w:r>
      <w:r>
        <w:t xml:space="preserve"> </w:t>
      </w:r>
      <w:r>
        <w:tab/>
        <w:t>See NER, cl. 6.5.2(j)(2); NER, cl. 6A.6.2(j)(2); NGR, r. 87(10)(b).</w:t>
      </w:r>
    </w:p>
  </w:footnote>
  <w:footnote w:id="1093">
    <w:p w:rsidR="003F1AAB" w:rsidRDefault="003F1AAB" w:rsidP="00312F8A">
      <w:pPr>
        <w:pStyle w:val="FootnoteText"/>
      </w:pPr>
      <w:r>
        <w:rPr>
          <w:rStyle w:val="FootnoteReference"/>
        </w:rPr>
        <w:footnoteRef/>
      </w:r>
      <w:r>
        <w:t xml:space="preserve"> </w:t>
      </w:r>
      <w:r>
        <w:tab/>
        <w:t xml:space="preserve">SFG, </w:t>
      </w:r>
      <w:r w:rsidRPr="006E6F93">
        <w:rPr>
          <w:rStyle w:val="AERtextitalic"/>
        </w:rPr>
        <w:t>Preliminary analysis of rule change proposals: Report for AEMC</w:t>
      </w:r>
      <w:r>
        <w:t>, February 2012, p. 41.</w:t>
      </w:r>
    </w:p>
  </w:footnote>
  <w:footnote w:id="1094">
    <w:p w:rsidR="003F1AAB" w:rsidRDefault="003F1AAB" w:rsidP="00312F8A">
      <w:pPr>
        <w:pStyle w:val="FootnoteText"/>
      </w:pPr>
      <w:r>
        <w:rPr>
          <w:rStyle w:val="FootnoteReference"/>
        </w:rPr>
        <w:footnoteRef/>
      </w:r>
      <w:r>
        <w:t xml:space="preserve"> </w:t>
      </w:r>
      <w:r>
        <w:tab/>
        <w:t xml:space="preserve">Lally, </w:t>
      </w:r>
      <w:r w:rsidRPr="006B5568">
        <w:rPr>
          <w:rStyle w:val="AERtextitalic"/>
        </w:rPr>
        <w:t>The cost of debt</w:t>
      </w:r>
      <w:r>
        <w:t>, 10 October 2014, p. 3.</w:t>
      </w:r>
    </w:p>
  </w:footnote>
  <w:footnote w:id="1095">
    <w:p w:rsidR="003F1AAB" w:rsidRDefault="003F1AAB" w:rsidP="00312F8A">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1096">
    <w:p w:rsidR="003F1AAB" w:rsidRDefault="003F1AAB" w:rsidP="00312F8A">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1097">
    <w:p w:rsidR="003F1AAB" w:rsidRDefault="003F1AAB" w:rsidP="00312F8A">
      <w:pPr>
        <w:pStyle w:val="FootnoteText"/>
      </w:pPr>
      <w:r>
        <w:rPr>
          <w:rStyle w:val="FootnoteReference"/>
        </w:rPr>
        <w:footnoteRef/>
      </w:r>
      <w:r>
        <w:t xml:space="preserve"> </w:t>
      </w:r>
      <w:r>
        <w:tab/>
        <w:t xml:space="preserve">However, we note </w:t>
      </w:r>
      <w:r w:rsidRPr="00815D07">
        <w:t>Partington and Satchell consider that, 'It is difficult to see how the use of the trailing average will materially reduce the financing costs of firms since such costs are primarily driven by the assets the firms invest in'</w:t>
      </w:r>
      <w:r>
        <w:t>.</w:t>
      </w:r>
    </w:p>
  </w:footnote>
  <w:footnote w:id="1098">
    <w:p w:rsidR="003F1AAB" w:rsidRDefault="003F1AAB" w:rsidP="00312F8A">
      <w:pPr>
        <w:pStyle w:val="FootnoteText"/>
      </w:pPr>
      <w:r>
        <w:rPr>
          <w:rStyle w:val="FootnoteReference"/>
        </w:rPr>
        <w:footnoteRef/>
      </w:r>
      <w:r>
        <w:t xml:space="preserve"> </w:t>
      </w:r>
      <w:r>
        <w:tab/>
        <w:t xml:space="preserve">This is consistent with NEL s.7A(2). </w:t>
      </w:r>
      <w:r w:rsidRPr="00524990">
        <w:t>Lally advised that this principle in the NEL is ‘equiva</w:t>
      </w:r>
      <w:r>
        <w:t xml:space="preserve">lent’ to the NPV </w:t>
      </w:r>
      <w:r w:rsidRPr="00524990">
        <w:t>principle.</w:t>
      </w:r>
      <w:r>
        <w:t xml:space="preserve"> See </w:t>
      </w:r>
      <w:r w:rsidRPr="00524990">
        <w:t xml:space="preserve">Lally, </w:t>
      </w:r>
      <w:r w:rsidRPr="00524990">
        <w:rPr>
          <w:rStyle w:val="AERtextitalic"/>
        </w:rPr>
        <w:t>The risk free rate and the present value principle</w:t>
      </w:r>
      <w:r w:rsidRPr="00524990">
        <w:t xml:space="preserve">, 22 August, 2012. SFG also appears to support using the NPV principle to assess rate of return approaches. SFG, </w:t>
      </w:r>
      <w:r w:rsidRPr="00524990">
        <w:rPr>
          <w:rStyle w:val="AERtextitalic"/>
        </w:rPr>
        <w:t>Preliminary analysis on rule change proposals</w:t>
      </w:r>
      <w:r>
        <w:rPr>
          <w:rStyle w:val="AERtextitalic"/>
        </w:rPr>
        <w:t>: Report for AEMC</w:t>
      </w:r>
      <w:r w:rsidRPr="00524990">
        <w:t>, February 2012, p.</w:t>
      </w:r>
      <w:r>
        <w:t xml:space="preserve"> </w:t>
      </w:r>
      <w:r w:rsidRPr="00524990">
        <w:t>47.</w:t>
      </w:r>
    </w:p>
  </w:footnote>
  <w:footnote w:id="1099">
    <w:p w:rsidR="003F1AAB" w:rsidRDefault="003F1AAB" w:rsidP="00312F8A">
      <w:pPr>
        <w:pStyle w:val="FootnoteText"/>
      </w:pPr>
      <w:r>
        <w:rPr>
          <w:rStyle w:val="FootnoteReference"/>
        </w:rPr>
        <w:footnoteRef/>
      </w:r>
      <w:r>
        <w:t xml:space="preserve"> </w:t>
      </w:r>
      <w:r>
        <w:tab/>
        <w:t xml:space="preserve">We assume the expected net operating cash flows for year </w:t>
      </w:r>
      <m:oMath>
        <m:r>
          <w:rPr>
            <w:rFonts w:ascii="Cambria Math" w:hAnsi="Cambria Math"/>
          </w:rPr>
          <m:t>t</m:t>
        </m:r>
      </m:oMath>
      <w:r>
        <w:t xml:space="preserve"> are equal to those allowed through our regulatory determinations / access arrangements.</w:t>
      </w:r>
    </w:p>
  </w:footnote>
  <w:footnote w:id="1100">
    <w:p w:rsidR="003F1AAB" w:rsidRDefault="003F1AAB" w:rsidP="00312F8A">
      <w:pPr>
        <w:pStyle w:val="FootnoteText"/>
      </w:pPr>
      <w:r>
        <w:rPr>
          <w:rStyle w:val="FootnoteReference"/>
        </w:rPr>
        <w:footnoteRef/>
      </w:r>
      <w:r>
        <w:t xml:space="preserve"> </w:t>
      </w:r>
      <w:r>
        <w:tab/>
        <w:t xml:space="preserve">That is, </w:t>
      </w:r>
      <m:oMath>
        <m:sSub>
          <m:sSubPr>
            <m:ctrlPr>
              <w:rPr>
                <w:rFonts w:ascii="Cambria Math" w:hAnsi="Cambria Math"/>
              </w:rPr>
            </m:ctrlPr>
          </m:sSubPr>
          <m:e>
            <m:r>
              <w:rPr>
                <w:rFonts w:ascii="Cambria Math" w:hAnsi="Cambria Math"/>
              </w:rPr>
              <m:t>CF</m:t>
            </m:r>
          </m:e>
          <m:sub>
            <m:r>
              <w:rPr>
                <w:rFonts w:ascii="Cambria Math" w:hAnsi="Cambria Math"/>
              </w:rPr>
              <m:t>t</m:t>
            </m:r>
          </m:sub>
        </m:sSub>
      </m:oMath>
      <w:r>
        <w:t xml:space="preserve">  entails subtracting operating expenditure (opex) from total revenue on the assumption that the regulatory allowance for opex covers actual opex costs incurred. For clarity, this assumption is for ease of exposition and does not affect whether the ARORO is satisfied.</w:t>
      </w:r>
    </w:p>
  </w:footnote>
  <w:footnote w:id="1101">
    <w:p w:rsidR="003F1AAB" w:rsidRDefault="003F1AAB" w:rsidP="00312F8A">
      <w:pPr>
        <w:pStyle w:val="FootnoteText"/>
      </w:pPr>
      <w:r>
        <w:rPr>
          <w:rStyle w:val="FootnoteReference"/>
        </w:rPr>
        <w:footnoteRef/>
      </w:r>
      <w:r>
        <w:t xml:space="preserve"> </w:t>
      </w:r>
      <w:r>
        <w:tab/>
      </w:r>
      <m:oMath>
        <m:sSub>
          <m:sSubPr>
            <m:ctrlPr>
              <w:rPr>
                <w:rFonts w:ascii="Cambria Math" w:hAnsi="Cambria Math"/>
              </w:rPr>
            </m:ctrlPr>
          </m:sSubPr>
          <m:e>
            <m:r>
              <w:rPr>
                <w:rFonts w:ascii="Cambria Math" w:hAnsi="Cambria Math"/>
              </w:rPr>
              <m:t>r</m:t>
            </m:r>
          </m:e>
          <m:sub>
            <m:r>
              <w:rPr>
                <w:rFonts w:ascii="Cambria Math" w:hAnsi="Cambria Math"/>
              </w:rPr>
              <m:t>t</m:t>
            </m:r>
          </m:sub>
        </m:sSub>
      </m:oMath>
      <w:r>
        <w:t xml:space="preserve"> is the allowed rate of return applied to year </w:t>
      </w:r>
      <m:oMath>
        <m:r>
          <w:rPr>
            <w:rFonts w:ascii="Cambria Math" w:hAnsi="Cambria Math"/>
          </w:rPr>
          <m:t>t</m:t>
        </m:r>
      </m:oMath>
      <w:r>
        <w:t xml:space="preserve"> (that is, to determine the net operating cash flow for year </w:t>
      </w:r>
      <m:oMath>
        <m:r>
          <w:rPr>
            <w:rFonts w:ascii="Cambria Math" w:hAnsi="Cambria Math"/>
          </w:rPr>
          <m:t>t</m:t>
        </m:r>
      </m:oMath>
      <w:r>
        <w:t xml:space="preserve">). However, it is calculated using data in year </w:t>
      </w:r>
      <m:oMath>
        <m:r>
          <w:rPr>
            <w:rFonts w:ascii="Cambria Math" w:hAnsi="Cambria Math"/>
          </w:rPr>
          <m:t>t-1</m:t>
        </m:r>
      </m:oMath>
      <w:r>
        <w:t>.</w:t>
      </w:r>
    </w:p>
  </w:footnote>
  <w:footnote w:id="1102">
    <w:p w:rsidR="003F1AAB" w:rsidRDefault="003F1AAB" w:rsidP="00312F8A">
      <w:pPr>
        <w:pStyle w:val="FootnoteText"/>
      </w:pPr>
      <w:r>
        <w:rPr>
          <w:rStyle w:val="FootnoteReference"/>
        </w:rPr>
        <w:footnoteRef/>
      </w:r>
      <w:r>
        <w:t xml:space="preserve"> </w:t>
      </w:r>
      <w:r>
        <w:tab/>
        <w:t>The investment is an investment with similar degree of risk as a service provider with respect to the provision of regulated services.</w:t>
      </w:r>
    </w:p>
  </w:footnote>
  <w:footnote w:id="1103">
    <w:p w:rsidR="003F1AAB" w:rsidRDefault="003F1AAB" w:rsidP="00312F8A">
      <w:pPr>
        <w:pStyle w:val="FootnoteText"/>
      </w:pPr>
      <w:r>
        <w:rPr>
          <w:rStyle w:val="FootnoteReference"/>
        </w:rPr>
        <w:footnoteRef/>
      </w:r>
      <w:r>
        <w:t xml:space="preserve"> </w:t>
      </w:r>
      <w:r>
        <w:tab/>
        <w:t xml:space="preserve">The end of the term of the RAB occurs at time </w:t>
      </w:r>
      <m:oMath>
        <m:r>
          <w:rPr>
            <w:rFonts w:ascii="Cambria Math" w:hAnsi="Cambria Math"/>
          </w:rPr>
          <m:t>T</m:t>
        </m:r>
      </m:oMath>
      <w:r>
        <w:t xml:space="preserve"> when the final return on capital and return of capital revenue allowances are provided. After this year there is no more capital finance to return to investors.</w:t>
      </w:r>
    </w:p>
  </w:footnote>
  <w:footnote w:id="1104">
    <w:p w:rsidR="003F1AAB" w:rsidRDefault="003F1AAB" w:rsidP="00312F8A">
      <w:pPr>
        <w:pStyle w:val="FootnoteText"/>
      </w:pPr>
      <w:r>
        <w:rPr>
          <w:rStyle w:val="FootnoteReference"/>
        </w:rPr>
        <w:footnoteRef/>
      </w:r>
      <w:r>
        <w:t xml:space="preserve"> </w:t>
      </w:r>
      <w:r>
        <w:tab/>
        <w:t xml:space="preserve">We note there are academic articles which support the view that the depreciation schedule does not affect the zero NPV investment condition (all else equal). See for example Schmalansee, </w:t>
      </w:r>
      <w:r w:rsidRPr="005772E3">
        <w:rPr>
          <w:rStyle w:val="AERtextitalic"/>
        </w:rPr>
        <w:t>An expository note on depreciation and profitability under rate of return regulation</w:t>
      </w:r>
      <w:r>
        <w:t>,</w:t>
      </w:r>
      <w:r w:rsidRPr="00CB56E6">
        <w:t xml:space="preserve"> Journal of Regulatory Economics, </w:t>
      </w:r>
      <w:r>
        <w:t xml:space="preserve">1989, </w:t>
      </w:r>
      <w:r w:rsidRPr="00CB56E6">
        <w:t>1</w:t>
      </w:r>
      <w:r>
        <w:t>,</w:t>
      </w:r>
      <w:r w:rsidRPr="00CB56E6">
        <w:t xml:space="preserve"> </w:t>
      </w:r>
      <w:r>
        <w:t>pp. 293–</w:t>
      </w:r>
      <w:r w:rsidRPr="00CB56E6">
        <w:t>298</w:t>
      </w:r>
      <w:r>
        <w:t>.</w:t>
      </w:r>
    </w:p>
  </w:footnote>
  <w:footnote w:id="1105">
    <w:p w:rsidR="003F1AAB" w:rsidRDefault="003F1AAB" w:rsidP="00312F8A">
      <w:pPr>
        <w:pStyle w:val="FootnoteText"/>
      </w:pPr>
      <w:r>
        <w:rPr>
          <w:rStyle w:val="FootnoteReference"/>
        </w:rPr>
        <w:footnoteRef/>
      </w:r>
      <w:r>
        <w:t xml:space="preserve"> </w:t>
      </w:r>
      <w:r>
        <w:tab/>
        <w:t xml:space="preserve">Brennan, </w:t>
      </w:r>
      <w:r w:rsidRPr="002F0DC8">
        <w:rPr>
          <w:rStyle w:val="AERtextitalic"/>
        </w:rPr>
        <w:t>Depreciation, investor compensation and, welfare under rate-of-return regulation</w:t>
      </w:r>
      <w:r>
        <w:t>, Review of industrial organisation, 1991, 6, p. 75.</w:t>
      </w:r>
    </w:p>
  </w:footnote>
  <w:footnote w:id="1106">
    <w:p w:rsidR="003F1AAB" w:rsidRDefault="003F1AAB" w:rsidP="00312F8A">
      <w:pPr>
        <w:pStyle w:val="FootnoteText"/>
      </w:pPr>
      <w:r>
        <w:rPr>
          <w:rStyle w:val="FootnoteReference"/>
        </w:rPr>
        <w:footnoteRef/>
      </w:r>
      <w:r>
        <w:t xml:space="preserve"> </w:t>
      </w:r>
      <w:r>
        <w:tab/>
      </w:r>
      <w:r w:rsidRPr="009E5F8F">
        <w:t xml:space="preserve">In practice, we have used a 10 year term to estimate the allowed rate of return. Given </w:t>
      </w:r>
      <w:r w:rsidRPr="007F1840">
        <w:t>interest rates on longer-term debt securities are often higher than those on shorter-term debt securities</w:t>
      </w:r>
      <w:r>
        <w:t>, this would lead to overcompensation all else being equal. However, we assume no material overcompensation given this excess allowance on the return on debt may compensate service providers for their hedging costs in relation to debt capital. And, in relation to the return on equity, we assume no material overcompensation given we use a MRP estimate which his partly reliant on historical MRP estimates, which are estimated using the yield to maturity on 10 year Commonwealth Government Securities (CGS).</w:t>
      </w:r>
    </w:p>
  </w:footnote>
  <w:footnote w:id="1107">
    <w:p w:rsidR="003F1AAB" w:rsidRDefault="003F1AAB" w:rsidP="00312F8A">
      <w:pPr>
        <w:pStyle w:val="FootnoteText"/>
      </w:pPr>
      <w:r>
        <w:rPr>
          <w:rStyle w:val="FootnoteReference"/>
        </w:rPr>
        <w:footnoteRef/>
      </w:r>
      <w:r>
        <w:t xml:space="preserve"> </w:t>
      </w:r>
      <w:r>
        <w:tab/>
        <w:t xml:space="preserve">This is the weighted average cost of capital (WACC) for an investment with similar degree of risk as a service provider in the provision of regulated services, at time t. That is, </w:t>
      </w:r>
      <m:oMath>
        <m:sSub>
          <m:sSubPr>
            <m:ctrlPr>
              <w:rPr>
                <w:rFonts w:ascii="Cambria Math" w:hAnsi="Cambria Math"/>
              </w:rPr>
            </m:ctrlPr>
          </m:sSubPr>
          <m:e>
            <m:r>
              <w:rPr>
                <w:rFonts w:ascii="Cambria Math" w:hAnsi="Cambria Math"/>
              </w:rPr>
              <m:t>r</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r(e)</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where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is the proportion of equity capital; </w:t>
      </w:r>
      <m:oMath>
        <m:sSub>
          <m:sSubPr>
            <m:ctrlPr>
              <w:rPr>
                <w:rFonts w:ascii="Cambria Math" w:hAnsi="Cambria Math"/>
              </w:rPr>
            </m:ctrlPr>
          </m:sSubPr>
          <m:e>
            <m:r>
              <w:rPr>
                <w:rFonts w:ascii="Cambria Math" w:hAnsi="Cambria Math"/>
              </w:rPr>
              <m:t>r(e)</m:t>
            </m:r>
          </m:e>
          <m:sub>
            <m:r>
              <w:rPr>
                <w:rFonts w:ascii="Cambria Math" w:hAnsi="Cambria Math"/>
              </w:rPr>
              <m:t>t,5</m:t>
            </m:r>
          </m:sub>
        </m:sSub>
      </m:oMath>
      <w:r>
        <w:t xml:space="preserve"> is the cost of equity;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is the proportion of debt capital; and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is the cost of debt.</w:t>
      </w:r>
    </w:p>
  </w:footnote>
  <w:footnote w:id="1108">
    <w:p w:rsidR="003F1AAB" w:rsidRDefault="003F1AAB" w:rsidP="00312F8A">
      <w:pPr>
        <w:pStyle w:val="FootnoteText"/>
      </w:pPr>
      <w:r>
        <w:rPr>
          <w:rStyle w:val="FootnoteReference"/>
        </w:rPr>
        <w:footnoteRef/>
      </w:r>
      <w:r>
        <w:t xml:space="preserve"> </w:t>
      </w:r>
      <w:r>
        <w:tab/>
        <w:t xml:space="preserve">This is the closing RAB at the end of year t-1, which equals the opening RAB at the beginning of year t. </w:t>
      </w:r>
    </w:p>
  </w:footnote>
  <w:footnote w:id="1109">
    <w:p w:rsidR="003F1AAB" w:rsidRDefault="003F1AAB" w:rsidP="00312F8A">
      <w:pPr>
        <w:pStyle w:val="FootnoteText"/>
      </w:pPr>
      <w:r>
        <w:rPr>
          <w:rStyle w:val="FootnoteReference"/>
        </w:rPr>
        <w:footnoteRef/>
      </w:r>
      <w:r>
        <w:t xml:space="preserve"> </w:t>
      </w:r>
      <w:r>
        <w:tab/>
      </w:r>
      <m:oMath>
        <m:acc>
          <m:accPr>
            <m:ctrlPr>
              <w:rPr>
                <w:rFonts w:ascii="Cambria Math" w:hAnsi="Cambria Math"/>
              </w:rPr>
            </m:ctrlPr>
          </m:accPr>
          <m:e>
            <m:sSub>
              <m:sSubPr>
                <m:ctrlPr>
                  <w:rPr>
                    <w:rFonts w:ascii="Cambria Math" w:hAnsi="Cambria Math"/>
                  </w:rPr>
                </m:ctrlPr>
              </m:sSubPr>
              <m:e>
                <m:r>
                  <w:rPr>
                    <w:rFonts w:ascii="Cambria Math" w:hAnsi="Cambria Math"/>
                  </w:rPr>
                  <m:t>r</m:t>
                </m:r>
              </m:e>
              <m:sub>
                <m:r>
                  <w:rPr>
                    <w:rFonts w:ascii="Cambria Math" w:hAnsi="Cambria Math"/>
                  </w:rPr>
                  <m:t>t,5</m:t>
                </m:r>
              </m:sub>
            </m:sSub>
          </m:e>
        </m:acc>
      </m:oMath>
      <w:r>
        <w:t xml:space="preserve"> is our best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It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d</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debt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w:t>
      </w:r>
    </w:p>
  </w:footnote>
  <w:footnote w:id="1110">
    <w:p w:rsidR="003F1AAB" w:rsidRDefault="003F1AAB" w:rsidP="00312F8A">
      <w:pPr>
        <w:pStyle w:val="FootnoteText"/>
      </w:pPr>
      <w:r>
        <w:rPr>
          <w:rStyle w:val="FootnoteReference"/>
        </w:rPr>
        <w:footnoteRef/>
      </w:r>
      <w:r>
        <w:t xml:space="preserve"> </w:t>
      </w:r>
      <w:r>
        <w:tab/>
        <w:t>These assumptions are: we ignore changes to the capital stock and assume all initial capital is returned at the end of the term of the RAB.</w:t>
      </w:r>
    </w:p>
  </w:footnote>
  <w:footnote w:id="1111">
    <w:p w:rsidR="003F1AAB" w:rsidRDefault="003F1AAB" w:rsidP="00312F8A">
      <w:pPr>
        <w:pStyle w:val="FootnoteText"/>
      </w:pPr>
      <w:r>
        <w:rPr>
          <w:rStyle w:val="FootnoteReference"/>
        </w:rPr>
        <w:footnoteRef/>
      </w:r>
      <w:r>
        <w:t xml:space="preserve"> </w:t>
      </w:r>
      <w:r>
        <w:tab/>
        <w:t>These equalities hold under the expectation that the allowed rate of return is reset at the commencement of each regulatory period to reflect the prevailing market cost of capital at that time (</w:t>
      </w:r>
      <m:oMath>
        <m:sSub>
          <m:sSubPr>
            <m:ctrlPr>
              <w:rPr>
                <w:rFonts w:ascii="Cambria Math" w:hAnsi="Cambria Math"/>
              </w:rPr>
            </m:ctrlPr>
          </m:sSubPr>
          <m:e>
            <m:r>
              <w:rPr>
                <w:rFonts w:ascii="Cambria Math" w:hAnsi="Cambria Math"/>
              </w:rPr>
              <m:t>r</m:t>
            </m:r>
          </m:e>
          <m:sub>
            <m:r>
              <w:rPr>
                <w:rFonts w:ascii="Cambria Math" w:hAnsi="Cambria Math"/>
              </w:rPr>
              <m:t>t+5,5</m:t>
            </m:r>
          </m:sub>
        </m:sSub>
      </m:oMath>
      <w:r>
        <w:t xml:space="preserve">, </w:t>
      </w:r>
      <m:oMath>
        <m:sSub>
          <m:sSubPr>
            <m:ctrlPr>
              <w:rPr>
                <w:rFonts w:ascii="Cambria Math" w:hAnsi="Cambria Math"/>
              </w:rPr>
            </m:ctrlPr>
          </m:sSubPr>
          <m:e>
            <m:r>
              <w:rPr>
                <w:rFonts w:ascii="Cambria Math" w:hAnsi="Cambria Math"/>
              </w:rPr>
              <m:t>r</m:t>
            </m:r>
          </m:e>
          <m:sub>
            <m:r>
              <w:rPr>
                <w:rFonts w:ascii="Cambria Math" w:hAnsi="Cambria Math"/>
              </w:rPr>
              <m:t>t+10,5</m:t>
            </m:r>
          </m:sub>
        </m:sSub>
      </m:oMath>
      <w:r>
        <w:t>, etc.). However, these future rates are unknown at time t.</w:t>
      </w:r>
      <w:r w:rsidRPr="00AF6784">
        <w:t xml:space="preserve"> Also, </w:t>
      </w:r>
      <w:r>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t>.</w:t>
      </w:r>
    </w:p>
  </w:footnote>
  <w:footnote w:id="1112">
    <w:p w:rsidR="003F1AAB" w:rsidRDefault="003F1AAB" w:rsidP="00312F8A">
      <w:pPr>
        <w:pStyle w:val="FootnoteText"/>
      </w:pPr>
      <w:r>
        <w:rPr>
          <w:rStyle w:val="FootnoteReference"/>
        </w:rPr>
        <w:footnoteRef/>
      </w:r>
      <w:r>
        <w:t xml:space="preserve"> </w:t>
      </w:r>
      <w:r>
        <w:tab/>
        <w:t xml:space="preserve">The resetting of the allowed rate of return at the commencement of each regulatory period means the end-of-period closing RAB has a present value equal to its statutory value at that point in time. However, any cash flow with a present value equal to the statutory value of the end-of-period closing RAB </w:t>
      </w:r>
      <m:oMath>
        <m:sSub>
          <m:sSubPr>
            <m:ctrlPr>
              <w:rPr>
                <w:rFonts w:ascii="Cambria Math" w:hAnsi="Cambria Math"/>
              </w:rPr>
            </m:ctrlPr>
          </m:sSubPr>
          <m:e>
            <m:r>
              <w:rPr>
                <w:rFonts w:ascii="Cambria Math" w:hAnsi="Cambria Math"/>
              </w:rPr>
              <m:t>K</m:t>
            </m:r>
          </m:e>
          <m:sub>
            <m:r>
              <w:rPr>
                <w:rFonts w:ascii="Cambria Math" w:hAnsi="Cambria Math"/>
              </w:rPr>
              <m:t>t+5</m:t>
            </m:r>
          </m:sub>
        </m:sSub>
      </m:oMath>
      <w:r w:rsidRPr="00AF6784">
        <w:t xml:space="preserve"> </w:t>
      </w:r>
      <w:r>
        <w:t>at that time (for example, a cash flow transitioning to a trailing average) should result in the equality holding.</w:t>
      </w:r>
    </w:p>
  </w:footnote>
  <w:footnote w:id="1113">
    <w:p w:rsidR="003F1AAB" w:rsidRDefault="003F1AAB" w:rsidP="00312F8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114">
    <w:p w:rsidR="003F1AAB" w:rsidRDefault="003F1AAB" w:rsidP="00312F8A">
      <w:pPr>
        <w:pStyle w:val="FootnoteText"/>
      </w:pPr>
      <w:r>
        <w:rPr>
          <w:rStyle w:val="FootnoteReference"/>
        </w:rPr>
        <w:footnoteRef/>
      </w:r>
      <w:r>
        <w:t xml:space="preserve"> </w:t>
      </w:r>
      <w:r>
        <w:tab/>
      </w:r>
      <w:r w:rsidRPr="008948E5">
        <w:t xml:space="preserve">For clarity, we make this analogy to demonstrate why </w:t>
      </w:r>
      <w:r>
        <w:t>the rate of return</w:t>
      </w:r>
      <w:r w:rsidRPr="008948E5">
        <w:t xml:space="preserve"> should be reset on each reset date. We do not consider our return on debt cash flows are equivalent to a floating rate bond or require the allowed rate of return to be determined as such. We consider our benchmarked return on debt and return on equity estimates reasonably reflects the prevailing cost of debt and cost of equity for an investment with a similar degree of risk as a service provider in providing regulated services.</w:t>
      </w:r>
    </w:p>
  </w:footnote>
  <w:footnote w:id="1115">
    <w:p w:rsidR="003F1AAB" w:rsidRDefault="003F1AAB" w:rsidP="00312F8A">
      <w:pPr>
        <w:pStyle w:val="FootnoteText"/>
      </w:pPr>
      <w:r>
        <w:rPr>
          <w:rStyle w:val="FootnoteReference"/>
        </w:rPr>
        <w:footnoteRef/>
      </w:r>
      <w:r>
        <w:t xml:space="preserve"> </w:t>
      </w:r>
      <w:r>
        <w:tab/>
      </w:r>
      <w:r w:rsidRPr="008948E5">
        <w:t xml:space="preserve">Assuming the correct discount rate </w:t>
      </w:r>
      <w:r w:rsidRPr="006A4A74">
        <w:t>(or cost of capital) is used to benchmark the allowed rate of return (and therefore reset the RAB to its statutory value) at each reset date.</w:t>
      </w:r>
    </w:p>
  </w:footnote>
  <w:footnote w:id="1116">
    <w:p w:rsidR="003F1AAB" w:rsidRDefault="003F1AAB" w:rsidP="00312F8A">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xml:space="preserve">) is no longer an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The allowed rate of return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0.1*</w:t>
      </w:r>
      <m:oMath>
        <m:nary>
          <m:naryPr>
            <m:chr m:val="∑"/>
            <m:limLoc m:val="subSup"/>
            <m:ctrlPr>
              <w:rPr>
                <w:rFonts w:ascii="Cambria Math" w:hAnsi="Cambria Math"/>
              </w:rPr>
            </m:ctrlPr>
          </m:naryPr>
          <m:sub>
            <m:r>
              <w:rPr>
                <w:rFonts w:ascii="Cambria Math" w:hAnsi="Cambria Math"/>
              </w:rPr>
              <m:t xml:space="preserve">s=i-10 </m:t>
            </m:r>
          </m:sub>
          <m:sup>
            <m:r>
              <w:rPr>
                <w:rFonts w:ascii="Cambria Math" w:hAnsi="Cambria Math"/>
              </w:rPr>
              <m:t>i-1</m:t>
            </m:r>
          </m:sup>
          <m:e>
            <m:sSub>
              <m:sSubPr>
                <m:ctrlPr>
                  <w:rPr>
                    <w:rFonts w:ascii="Cambria Math" w:hAnsi="Cambria Math"/>
                  </w:rPr>
                </m:ctrlPr>
              </m:sSubPr>
              <m:e>
                <m:r>
                  <w:rPr>
                    <w:rFonts w:ascii="Cambria Math" w:hAnsi="Cambria Math"/>
                  </w:rPr>
                  <m:t>[r</m:t>
                </m:r>
              </m:e>
              <m:sub>
                <m:r>
                  <w:rPr>
                    <w:rFonts w:ascii="Cambria Math" w:hAnsi="Cambria Math"/>
                  </w:rPr>
                  <m:t>s,10</m:t>
                </m:r>
              </m:sub>
            </m:sSub>
            <m:r>
              <w:rPr>
                <w:rFonts w:ascii="Cambria Math" w:hAnsi="Cambria Math"/>
              </w:rPr>
              <m:t>]</m:t>
            </m:r>
          </m:e>
        </m:nary>
      </m:oMath>
      <w:r>
        <w:t xml:space="preserve">—a 10 year historical average cost of debt that is updated annually;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w:t>
      </w:r>
    </w:p>
  </w:footnote>
  <w:footnote w:id="1117">
    <w:p w:rsidR="003F1AAB" w:rsidRDefault="003F1AAB" w:rsidP="00312F8A">
      <w:pPr>
        <w:pStyle w:val="FootnoteText"/>
      </w:pPr>
      <w:r>
        <w:rPr>
          <w:rStyle w:val="FootnoteReference"/>
        </w:rPr>
        <w:footnoteRef/>
      </w:r>
      <w:r>
        <w:t xml:space="preserve"> </w:t>
      </w:r>
      <w:r>
        <w:tab/>
        <w:t xml:space="preserve">We consider this is consistent with Partington and Satchell's view that, 'if all future cash flows are positive, then there is a unique solution for the rate of return that sets the NPV to zero' (over each regulatory period). Partington, G., Satchell, S., </w:t>
      </w:r>
      <w:r w:rsidRPr="00D001FE">
        <w:rPr>
          <w:rStyle w:val="AERtextitalic"/>
        </w:rPr>
        <w:t>Report to the AER: Discussion of the allowed cost of</w:t>
      </w:r>
      <w:r>
        <w:t xml:space="preserve"> </w:t>
      </w:r>
      <w:r w:rsidRPr="00D001FE">
        <w:rPr>
          <w:rStyle w:val="AERtextitalic"/>
        </w:rPr>
        <w:t>debt</w:t>
      </w:r>
      <w:r>
        <w:t>, 5 May 2016, p. 45.</w:t>
      </w:r>
    </w:p>
  </w:footnote>
  <w:footnote w:id="1118">
    <w:p w:rsidR="003F1AAB" w:rsidRDefault="003F1AAB" w:rsidP="00312F8A">
      <w:pPr>
        <w:pStyle w:val="FootnoteText"/>
      </w:pPr>
      <w:r>
        <w:rPr>
          <w:rStyle w:val="FootnoteReference"/>
        </w:rPr>
        <w:footnoteRef/>
      </w:r>
      <w:r>
        <w:t xml:space="preserve"> </w:t>
      </w:r>
      <w:r>
        <w:tab/>
        <w:t xml:space="preserve">That is, they consider it is likely that the 'cost of equity will diverge from that assumed at a 60% leverage level'. See Partington, G., Satchell, S., </w:t>
      </w:r>
      <w:r w:rsidRPr="00D001FE">
        <w:rPr>
          <w:rStyle w:val="AERtextitalic"/>
        </w:rPr>
        <w:t>Report to the AER: Discussion of the allowed cost of</w:t>
      </w:r>
      <w:r>
        <w:t xml:space="preserve"> </w:t>
      </w:r>
      <w:r w:rsidRPr="00D001FE">
        <w:rPr>
          <w:rStyle w:val="AERtextitalic"/>
        </w:rPr>
        <w:t>debt</w:t>
      </w:r>
      <w:r>
        <w:t>, 5 May 2016, p. 21.</w:t>
      </w:r>
    </w:p>
  </w:footnote>
  <w:footnote w:id="1119">
    <w:p w:rsidR="003F1AAB" w:rsidRDefault="003F1AAB" w:rsidP="00312F8A">
      <w:pPr>
        <w:pStyle w:val="FootnoteText"/>
      </w:pPr>
      <w:r>
        <w:rPr>
          <w:rStyle w:val="FootnoteReference"/>
        </w:rPr>
        <w:footnoteRef/>
      </w:r>
      <w:r>
        <w:t xml:space="preserve"> </w:t>
      </w:r>
      <w:r>
        <w:tab/>
        <w:t xml:space="preserve">We have used spot rates </w:t>
      </w:r>
      <m:oMath>
        <m:sSub>
          <m:sSubPr>
            <m:ctrlPr>
              <w:rPr>
                <w:rFonts w:ascii="Cambria Math" w:hAnsi="Cambria Math"/>
              </w:rPr>
            </m:ctrlPr>
          </m:sSubPr>
          <m:e>
            <m:r>
              <w:rPr>
                <w:rFonts w:ascii="Cambria Math" w:hAnsi="Cambria Math"/>
              </w:rPr>
              <m:t>r</m:t>
            </m:r>
          </m:e>
          <m:sub>
            <m:r>
              <w:rPr>
                <w:rFonts w:ascii="Cambria Math" w:hAnsi="Cambria Math"/>
              </w:rPr>
              <m:t>0,t</m:t>
            </m:r>
          </m:sub>
        </m:sSub>
      </m:oMath>
      <w:r>
        <w:t xml:space="preserve"> to discount the cash flows for years t=1 to t=10 because the debt portfolio consists of debt with different maturities. The cost of (debt) capital in this case is a complicated average of the spot rates. </w:t>
      </w:r>
    </w:p>
  </w:footnote>
  <w:footnote w:id="1120">
    <w:p w:rsidR="003F1AAB" w:rsidRDefault="003F1AAB" w:rsidP="00312F8A">
      <w:pPr>
        <w:pStyle w:val="FootnoteText"/>
      </w:pPr>
      <w:r>
        <w:rPr>
          <w:rStyle w:val="FootnoteReference"/>
        </w:rPr>
        <w:footnoteRef/>
      </w:r>
      <w:r>
        <w:t xml:space="preserve"> </w:t>
      </w:r>
      <w:r>
        <w:tab/>
        <w:t>This equals the opening RAB at the beginning of year 0—because the opening RAB</w:t>
      </w:r>
      <w:r w:rsidRPr="003E2DB8">
        <w:t xml:space="preserve"> </w:t>
      </w:r>
      <w:r>
        <w:t>at the beginning of year t equals the closing RAB at the end of year t-1.</w:t>
      </w:r>
    </w:p>
  </w:footnote>
  <w:footnote w:id="1121">
    <w:p w:rsidR="003F1AAB" w:rsidRDefault="003F1AAB" w:rsidP="00312F8A">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is an average of estimates of the spot rates (at time 0) for different terms. The allowed rate of return differs each year because the proportion of expected net operating cash flow allocated to this debt portfolio reduces as each tranche of debt matures and the staggered portfolio is formed (see next section).</w:t>
      </w:r>
    </w:p>
  </w:footnote>
  <w:footnote w:id="1122">
    <w:p w:rsidR="003F1AAB" w:rsidRDefault="003F1AAB" w:rsidP="00312F8A">
      <w:pPr>
        <w:pStyle w:val="FootnoteText"/>
      </w:pPr>
      <w:r>
        <w:rPr>
          <w:rStyle w:val="FootnoteReference"/>
        </w:rPr>
        <w:footnoteRef/>
      </w:r>
      <w:r>
        <w:t xml:space="preserve"> </w:t>
      </w:r>
      <w:r>
        <w:tab/>
        <w:t>O</w:t>
      </w:r>
      <w:r w:rsidRPr="002D138D">
        <w:t>r</w:t>
      </w:r>
      <w:r>
        <w:t>,</w:t>
      </w:r>
      <w:r w:rsidRPr="002D138D">
        <w:t xml:space="preserve"> the expected cash flows generated from these portions</w:t>
      </w:r>
      <w:r>
        <w:t>.</w:t>
      </w:r>
    </w:p>
  </w:footnote>
  <w:footnote w:id="1123">
    <w:p w:rsidR="003F1AAB" w:rsidRDefault="003F1AAB" w:rsidP="00312F8A">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124">
    <w:p w:rsidR="003F1AAB" w:rsidRDefault="003F1AAB" w:rsidP="00312F8A">
      <w:pPr>
        <w:pStyle w:val="FootnoteText"/>
      </w:pPr>
      <w:r>
        <w:rPr>
          <w:rStyle w:val="FootnoteReference"/>
        </w:rPr>
        <w:footnoteRef/>
      </w:r>
      <w:r>
        <w:t xml:space="preserve"> </w:t>
      </w:r>
      <w:r>
        <w:tab/>
      </w:r>
      <w:r w:rsidRPr="00A758A8">
        <w:t>In likening this approach to ten long term floating rate securities, the proportion of expected net operating cash flow generated each year from portions 1 to 10 of the RAB can be seen as the fixed interest payments on the ten securities. One security is issued (at par value) each year 1 to 10 and the interest rate on each equals the prevailing market cost of capital at the time of issuance, until it is reset in ten years.</w:t>
      </w:r>
    </w:p>
  </w:footnote>
  <w:footnote w:id="1125">
    <w:p w:rsidR="003F1AAB" w:rsidRDefault="003F1AAB" w:rsidP="00312F8A">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 We note this represents only one tenth of the trailing average rate of return (on debt).</w:t>
      </w:r>
    </w:p>
  </w:footnote>
  <w:footnote w:id="1126">
    <w:p w:rsidR="003F1AAB" w:rsidRDefault="003F1AAB"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127">
    <w:p w:rsidR="003F1AAB" w:rsidRDefault="003F1AAB" w:rsidP="00312F8A">
      <w:pPr>
        <w:pStyle w:val="FootnoteText"/>
      </w:pPr>
      <w:r>
        <w:rPr>
          <w:rStyle w:val="FootnoteReference"/>
        </w:rPr>
        <w:footnoteRef/>
      </w:r>
      <w:r>
        <w:t xml:space="preserve"> </w:t>
      </w:r>
      <w:r>
        <w:tab/>
        <w:t>Note we ignore the treatment of changes to the capital stock before the end of the assets life (where we assume all capital is returned).</w:t>
      </w:r>
    </w:p>
  </w:footnote>
  <w:footnote w:id="1128">
    <w:p w:rsidR="003F1AAB" w:rsidRDefault="003F1AAB" w:rsidP="00312F8A">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129">
    <w:p w:rsidR="003F1AAB" w:rsidRDefault="003F1AAB" w:rsidP="00312F8A">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w:t>
      </w:r>
    </w:p>
  </w:footnote>
  <w:footnote w:id="1130">
    <w:p w:rsidR="003F1AAB" w:rsidRDefault="003F1AAB" w:rsidP="00312F8A">
      <w:pPr>
        <w:pStyle w:val="FootnoteText"/>
      </w:pPr>
      <w:r>
        <w:rPr>
          <w:rStyle w:val="FootnoteReference"/>
        </w:rPr>
        <w:footnoteRef/>
      </w:r>
      <w:r>
        <w:t xml:space="preserve"> </w:t>
      </w:r>
      <w:r>
        <w:tab/>
        <w:t>Wherever we say revenue neutral we mean revenue neutral in a present value sense. This is equivalent to avoiding wealth transfers from the change in methodology. This is also equivalent to saying there are no windfall gains or losses from the change in methodology (as HoustonKemp appear to use the term in their advice to ESCOSSA).</w:t>
      </w:r>
    </w:p>
  </w:footnote>
  <w:footnote w:id="1131">
    <w:p w:rsidR="003F1AAB" w:rsidRDefault="003F1AAB" w:rsidP="00312F8A">
      <w:pPr>
        <w:pStyle w:val="FootnoteText"/>
      </w:pPr>
      <w:r>
        <w:rPr>
          <w:rStyle w:val="FootnoteReference"/>
        </w:rPr>
        <w:footnoteRef/>
      </w:r>
      <w:r>
        <w:t xml:space="preserve"> </w:t>
      </w:r>
      <w:r>
        <w:tab/>
        <w:t xml:space="preserve">The change in the return on debt approach and the associated transition were necessarily discussed, consulted on and determined upon together. See AER, </w:t>
      </w:r>
      <w:r w:rsidRPr="00435485">
        <w:rPr>
          <w:rStyle w:val="AERtextitalic"/>
        </w:rPr>
        <w:t>Explanatory statement to the rate of return guideline</w:t>
      </w:r>
      <w:r>
        <w:t>, December 2013, pp. 98</w:t>
      </w:r>
      <w:r>
        <w:rPr>
          <w:rFonts w:cs="Arial"/>
        </w:rPr>
        <w:t>–</w:t>
      </w:r>
      <w:r>
        <w:t xml:space="preserve">125; AER, </w:t>
      </w:r>
      <w:r w:rsidRPr="00435485">
        <w:rPr>
          <w:rStyle w:val="AERtextitalic"/>
        </w:rPr>
        <w:t>Explanatory statement to the draft rate of return guideline</w:t>
      </w:r>
      <w:r>
        <w:t>, August 2013, pp. 73</w:t>
      </w:r>
      <w:r w:rsidRPr="00435485">
        <w:t>–</w:t>
      </w:r>
      <w:r>
        <w:t xml:space="preserve">97; AER, </w:t>
      </w:r>
      <w:r w:rsidRPr="00435485">
        <w:rPr>
          <w:rStyle w:val="AERtextitalic"/>
        </w:rPr>
        <w:t>Consultation paper: Rate of return guidelines</w:t>
      </w:r>
      <w:r>
        <w:t>, May 2013, pp. 49</w:t>
      </w:r>
      <w:r>
        <w:rPr>
          <w:rFonts w:cs="Arial"/>
        </w:rPr>
        <w:t>–</w:t>
      </w:r>
      <w:r>
        <w:t>55.</w:t>
      </w:r>
    </w:p>
  </w:footnote>
  <w:footnote w:id="1132">
    <w:p w:rsidR="003F1AAB" w:rsidRDefault="003F1AAB" w:rsidP="00312F8A">
      <w:pPr>
        <w:pStyle w:val="FootnoteText"/>
      </w:pPr>
      <w:r>
        <w:rPr>
          <w:rStyle w:val="FootnoteReference"/>
        </w:rPr>
        <w:footnoteRef/>
      </w:r>
      <w:r>
        <w:t xml:space="preserve"> </w:t>
      </w:r>
      <w:r>
        <w:tab/>
        <w:t xml:space="preserve">CCP3, </w:t>
      </w:r>
      <w:r w:rsidRPr="00A30733">
        <w:rPr>
          <w:rStyle w:val="AERtextitalic"/>
        </w:rPr>
        <w:t>Submission to the AER: Response to AER Preliminary Decisions and revised proposals from Victorian electricity DNSPs for revenue reset for the 2016–20 regulatory period</w:t>
      </w:r>
      <w:r>
        <w:t>, 25 February 2016, p. 109.</w:t>
      </w:r>
    </w:p>
  </w:footnote>
  <w:footnote w:id="1133">
    <w:p w:rsidR="003F1AAB" w:rsidRDefault="003F1AAB" w:rsidP="00312F8A">
      <w:pPr>
        <w:pStyle w:val="FootnoteText"/>
      </w:pPr>
      <w:r>
        <w:rPr>
          <w:rStyle w:val="FootnoteReference"/>
        </w:rPr>
        <w:footnoteRef/>
      </w:r>
      <w:r>
        <w:t xml:space="preserve"> </w:t>
      </w:r>
      <w:r>
        <w:tab/>
        <w:t xml:space="preserve">CCP3, </w:t>
      </w:r>
      <w:r w:rsidRPr="00A30733">
        <w:rPr>
          <w:rStyle w:val="AERtextitalic"/>
        </w:rPr>
        <w:t>Submission to the AER: An overview ―Response to AER Preliminary Decisions and revised proposals from Victorian electricity DNSPs for revenue reset for the 2016–20 regulatory period</w:t>
      </w:r>
      <w:r>
        <w:t>, 22 February 2016, p. 35.</w:t>
      </w:r>
    </w:p>
  </w:footnote>
  <w:footnote w:id="1134">
    <w:p w:rsidR="003F1AAB" w:rsidRDefault="003F1AAB"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135">
    <w:p w:rsidR="003F1AAB" w:rsidRDefault="003F1AAB"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45–46.</w:t>
      </w:r>
    </w:p>
  </w:footnote>
  <w:footnote w:id="1136">
    <w:p w:rsidR="003F1AAB" w:rsidRDefault="003F1AAB" w:rsidP="00312F8A">
      <w:pPr>
        <w:pStyle w:val="FootnoteText"/>
      </w:pPr>
      <w:r>
        <w:rPr>
          <w:rStyle w:val="FootnoteReference"/>
        </w:rPr>
        <w:footnoteRef/>
      </w:r>
      <w:r>
        <w:t xml:space="preserve"> </w:t>
      </w:r>
      <w:r>
        <w:tab/>
        <w:t>This was the preferred transitional approach in recent revised proposals from ActewAGL distribution (gas), AGN, APTNT, AusNet Services (distribution), CitiPower, Jen, Powercor and United Energy.</w:t>
      </w:r>
    </w:p>
  </w:footnote>
  <w:footnote w:id="1137">
    <w:p w:rsidR="003F1AAB" w:rsidRDefault="003F1AAB" w:rsidP="00312F8A">
      <w:pPr>
        <w:pStyle w:val="FootnoteText"/>
      </w:pPr>
      <w:r>
        <w:rPr>
          <w:rStyle w:val="FootnoteReference"/>
        </w:rPr>
        <w:footnoteRef/>
      </w:r>
      <w:r>
        <w:t xml:space="preserve"> </w:t>
      </w:r>
      <w:r>
        <w:tab/>
        <w:t xml:space="preserve">This example does not consider expected allowed return on debt cash flows beyond year ten because beyond year ten because these are the same under both transitional approaches (all else being equal). </w:t>
      </w:r>
    </w:p>
  </w:footnote>
  <w:footnote w:id="1138">
    <w:p w:rsidR="003F1AAB" w:rsidRDefault="003F1AAB" w:rsidP="00312F8A">
      <w:pPr>
        <w:pStyle w:val="FootnoteText"/>
      </w:pPr>
      <w:r>
        <w:rPr>
          <w:rStyle w:val="FootnoteReference"/>
        </w:rPr>
        <w:footnoteRef/>
      </w:r>
      <w:r>
        <w:t xml:space="preserve"> </w:t>
      </w:r>
      <w:r>
        <w:tab/>
      </w:r>
      <w:r w:rsidRPr="007B45CA">
        <w:t xml:space="preserve">We note </w:t>
      </w:r>
      <w:r>
        <w:t xml:space="preserve">that </w:t>
      </w:r>
      <w:r w:rsidRPr="007B45CA">
        <w:t xml:space="preserve">forecast capital investment and depreciation </w:t>
      </w:r>
      <w:r>
        <w:t>affects t</w:t>
      </w:r>
      <w:r w:rsidRPr="007B45CA">
        <w:t xml:space="preserve">he exact amount in each year. However, these forecasts will </w:t>
      </w:r>
      <w:r>
        <w:t>affect both transitional approaches</w:t>
      </w:r>
      <w:r w:rsidRPr="007B45CA">
        <w:t>, and the difference will still be a fixed amount which is a function of the known RAB at time 0 and the expected RAB at time 1 to 8.</w:t>
      </w:r>
    </w:p>
  </w:footnote>
  <w:footnote w:id="1139">
    <w:p w:rsidR="003F1AAB" w:rsidRDefault="003F1AAB" w:rsidP="00312F8A">
      <w:pPr>
        <w:pStyle w:val="FootnoteText"/>
      </w:pPr>
      <w:r>
        <w:rPr>
          <w:rStyle w:val="FootnoteReference"/>
        </w:rPr>
        <w:footnoteRef/>
      </w:r>
      <w:r>
        <w:t xml:space="preserve"> </w:t>
      </w:r>
      <w:r>
        <w:tab/>
      </w:r>
      <w:r w:rsidRPr="007B45CA">
        <w:t>This assumes you have forecasts for the RAB at time 1 to 8. This may not be realistic for time 6 onwards (i.e. beyond the end of the current regulatory control period). However, even in the absence of RAB forecasts for yeas 6 to 10 a reasonable approximation of the present value difference can be made today.</w:t>
      </w:r>
    </w:p>
  </w:footnote>
  <w:footnote w:id="1140">
    <w:p w:rsidR="003F1AAB" w:rsidRDefault="003F1AAB" w:rsidP="00312F8A">
      <w:pPr>
        <w:pStyle w:val="FootnoteText"/>
      </w:pPr>
      <w:r>
        <w:rPr>
          <w:rStyle w:val="FootnoteReference"/>
        </w:rPr>
        <w:footnoteRef/>
      </w:r>
      <w:r>
        <w:t xml:space="preserve"> </w:t>
      </w:r>
      <w:r>
        <w:tab/>
        <w:t xml:space="preserve">Noting we do not consider if there was a lesser mismatch under one approach it would justify an approach that did not result in an efficient (forward looking) return on debt allowance. </w:t>
      </w:r>
    </w:p>
  </w:footnote>
  <w:footnote w:id="1141">
    <w:p w:rsidR="003F1AAB" w:rsidRDefault="003F1AAB"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142">
    <w:p w:rsidR="003F1AAB" w:rsidRDefault="003F1AAB" w:rsidP="00E6234D">
      <w:pPr>
        <w:pStyle w:val="FootnoteText"/>
      </w:pPr>
      <w:r>
        <w:rPr>
          <w:rStyle w:val="FootnoteReference"/>
        </w:rPr>
        <w:footnoteRef/>
      </w:r>
      <w:r>
        <w:t xml:space="preserve"> </w:t>
      </w:r>
      <w:r>
        <w:tab/>
        <w:t xml:space="preserve">See for example AER, </w:t>
      </w:r>
      <w:r w:rsidRPr="00AC04F4">
        <w:rPr>
          <w:i/>
        </w:rPr>
        <w:t xml:space="preserve">Final decision: CitiPower distribution determination 2106 to 2020, Attachment 3 </w:t>
      </w:r>
      <w:r w:rsidRPr="00AC04F4">
        <w:rPr>
          <w:rFonts w:cs="Arial"/>
          <w:i/>
        </w:rPr>
        <w:t xml:space="preserve">– </w:t>
      </w:r>
      <w:r w:rsidRPr="00AC04F4">
        <w:rPr>
          <w:i/>
        </w:rPr>
        <w:t>Rate of return</w:t>
      </w:r>
      <w:r>
        <w:t>, May 2016, p. 318.</w:t>
      </w:r>
    </w:p>
  </w:footnote>
  <w:footnote w:id="1143">
    <w:p w:rsidR="003F1AAB" w:rsidRDefault="003F1AAB" w:rsidP="00E6234D">
      <w:pPr>
        <w:pStyle w:val="FootnoteText"/>
      </w:pPr>
      <w:r>
        <w:rPr>
          <w:rStyle w:val="FootnoteReference"/>
        </w:rPr>
        <w:footnoteRef/>
      </w:r>
      <w:r>
        <w:t xml:space="preserve"> </w:t>
      </w:r>
      <w:r>
        <w:tab/>
        <w:t xml:space="preserve">Specifically, AER staff met with Thomson Reuters staff on 18 April 2016. </w:t>
      </w:r>
    </w:p>
  </w:footnote>
  <w:footnote w:id="1144">
    <w:p w:rsidR="003F1AAB" w:rsidRDefault="003F1AAB" w:rsidP="00E6234D">
      <w:pPr>
        <w:pStyle w:val="FootnoteText"/>
      </w:pPr>
      <w:r>
        <w:rPr>
          <w:rStyle w:val="FootnoteReference"/>
        </w:rPr>
        <w:footnoteRef/>
      </w:r>
      <w:r>
        <w:t xml:space="preserve"> </w:t>
      </w:r>
      <w:r>
        <w:tab/>
        <w:t xml:space="preserve">CEG, </w:t>
      </w:r>
      <w:r>
        <w:rPr>
          <w:rStyle w:val="AERtextitalic"/>
        </w:rPr>
        <w:t>Response to AER information request</w:t>
      </w:r>
      <w:r>
        <w:t>, 8 February 2016.</w:t>
      </w:r>
    </w:p>
  </w:footnote>
  <w:footnote w:id="1145">
    <w:p w:rsidR="003F1AAB" w:rsidRDefault="003F1AAB" w:rsidP="00E6234D">
      <w:pPr>
        <w:pStyle w:val="FootnoteText"/>
      </w:pPr>
      <w:r>
        <w:rPr>
          <w:rStyle w:val="FootnoteReference"/>
        </w:rPr>
        <w:footnoteRef/>
      </w:r>
      <w:r>
        <w:t xml:space="preserve"> </w:t>
      </w:r>
      <w:r>
        <w:tab/>
        <w:t xml:space="preserve">CEG, </w:t>
      </w:r>
      <w:r w:rsidRPr="00D3347E">
        <w:rPr>
          <w:rStyle w:val="AERtextitalic"/>
        </w:rPr>
        <w:t>Criteria for assessing fair value curves</w:t>
      </w:r>
      <w:r>
        <w:t>, January 2016, p. 9.</w:t>
      </w:r>
    </w:p>
  </w:footnote>
  <w:footnote w:id="1146">
    <w:p w:rsidR="003F1AAB" w:rsidRDefault="003F1AAB" w:rsidP="00E6234D">
      <w:pPr>
        <w:pStyle w:val="FootnoteText"/>
      </w:pPr>
      <w:r>
        <w:rPr>
          <w:rStyle w:val="FootnoteReference"/>
        </w:rPr>
        <w:footnoteRef/>
      </w:r>
      <w:r>
        <w:t xml:space="preserve"> </w:t>
      </w:r>
      <w:r>
        <w:tab/>
        <w:t xml:space="preserve">AusNet Transmission Group Pty Ltd, </w:t>
      </w:r>
      <w:r w:rsidRPr="00AC04F4">
        <w:rPr>
          <w:i/>
        </w:rPr>
        <w:t>Transmission Revenue Review 2017</w:t>
      </w:r>
      <w:r w:rsidRPr="00AC04F4">
        <w:rPr>
          <w:rFonts w:cs="Arial"/>
          <w:i/>
        </w:rPr>
        <w:t>–</w:t>
      </w:r>
      <w:r w:rsidRPr="00AC04F4">
        <w:rPr>
          <w:i/>
        </w:rPr>
        <w:t>2022 regulatory proposal</w:t>
      </w:r>
      <w:r>
        <w:t>, 30 October 2015, pp. 272</w:t>
      </w:r>
      <w:r>
        <w:rPr>
          <w:rFonts w:cs="Arial"/>
        </w:rPr>
        <w:t>–</w:t>
      </w:r>
      <w:r>
        <w:t>274.</w:t>
      </w:r>
    </w:p>
  </w:footnote>
  <w:footnote w:id="1147">
    <w:p w:rsidR="003F1AAB" w:rsidRDefault="003F1AAB" w:rsidP="00E6234D">
      <w:pPr>
        <w:pStyle w:val="FootnoteText"/>
      </w:pPr>
      <w:r>
        <w:rPr>
          <w:rStyle w:val="FootnoteReference"/>
        </w:rPr>
        <w:footnoteRef/>
      </w:r>
      <w:r>
        <w:t xml:space="preserve"> </w:t>
      </w:r>
      <w:r>
        <w:tab/>
        <w:t xml:space="preserve">AusNet Services, </w:t>
      </w:r>
      <w:r w:rsidRPr="00E90439">
        <w:rPr>
          <w:rStyle w:val="AERtextitalic"/>
        </w:rPr>
        <w:t>AusNet Services’ response to submissions on the Victorian EDPR Preliminary Decision</w:t>
      </w:r>
      <w:r>
        <w:t>, February 2016, pp. 18–21.</w:t>
      </w:r>
    </w:p>
  </w:footnote>
  <w:footnote w:id="1148">
    <w:p w:rsidR="003F1AAB" w:rsidRDefault="003F1AAB" w:rsidP="00E6234D">
      <w:pPr>
        <w:pStyle w:val="FootnoteText"/>
      </w:pPr>
      <w:r>
        <w:rPr>
          <w:rStyle w:val="FootnoteReference"/>
        </w:rPr>
        <w:footnoteRef/>
      </w:r>
      <w:r>
        <w:t xml:space="preserve"> </w:t>
      </w:r>
      <w:r>
        <w:tab/>
        <w:t xml:space="preserve">CEG, </w:t>
      </w:r>
      <w:r w:rsidRPr="00D3347E">
        <w:rPr>
          <w:rStyle w:val="AERtextitalic"/>
        </w:rPr>
        <w:t>Criteria for assessing fair value curves</w:t>
      </w:r>
      <w:r>
        <w:t xml:space="preserve">, January 2016; CEG, </w:t>
      </w:r>
      <w:r w:rsidRPr="00CB2D08">
        <w:rPr>
          <w:rStyle w:val="AERtextitalic"/>
        </w:rPr>
        <w:t>Memorandum: Recent financial market conditions and the BVAL curve</w:t>
      </w:r>
      <w:r>
        <w:t>, February 2016.</w:t>
      </w:r>
    </w:p>
    <w:p w:rsidR="003F1AAB" w:rsidRDefault="003F1AAB" w:rsidP="00E6234D">
      <w:pPr>
        <w:pStyle w:val="FootnoteText"/>
      </w:pPr>
    </w:p>
  </w:footnote>
  <w:footnote w:id="1149">
    <w:p w:rsidR="003F1AAB" w:rsidRDefault="003F1AAB">
      <w:pPr>
        <w:pStyle w:val="FootnoteText"/>
      </w:pPr>
      <w:r>
        <w:rPr>
          <w:rStyle w:val="FootnoteReference"/>
        </w:rPr>
        <w:footnoteRef/>
      </w:r>
      <w:r>
        <w:t xml:space="preserve"> </w:t>
      </w:r>
      <w:r>
        <w:tab/>
        <w:t xml:space="preserve">AusNet Transmission Group Pty Ltd, </w:t>
      </w:r>
      <w:r w:rsidRPr="00580DDA">
        <w:t>Transmission Revenue Review 2017–2022 regulatory proposal</w:t>
      </w:r>
      <w:r>
        <w:t>, 30 October 2015, p.273.</w:t>
      </w:r>
    </w:p>
  </w:footnote>
  <w:footnote w:id="1150">
    <w:p w:rsidR="003F1AAB" w:rsidRDefault="003F1AAB">
      <w:pPr>
        <w:pStyle w:val="FootnoteText"/>
      </w:pPr>
      <w:r>
        <w:rPr>
          <w:rStyle w:val="FootnoteReference"/>
        </w:rPr>
        <w:footnoteRef/>
      </w:r>
      <w:r>
        <w:t xml:space="preserve"> </w:t>
      </w:r>
      <w:r>
        <w:tab/>
        <w:t xml:space="preserve">For the RBA and Bloomberg curves, see: ACCC Regulatory Economics Unit, </w:t>
      </w:r>
      <w:r w:rsidRPr="00DF4D11">
        <w:rPr>
          <w:rStyle w:val="AERtextitalic"/>
        </w:rPr>
        <w:t>Return on debt estimation: A review of the alternative third party data series</w:t>
      </w:r>
      <w:r>
        <w:t xml:space="preserve">, August 2014. For the Thomson Reuters curve, see section </w:t>
      </w:r>
      <w:r>
        <w:fldChar w:fldCharType="begin"/>
      </w:r>
      <w:r>
        <w:instrText xml:space="preserve"> REF _Ref453598488 \n \h </w:instrText>
      </w:r>
      <w:r>
        <w:fldChar w:fldCharType="separate"/>
      </w:r>
      <w:r>
        <w:t>I.1.1</w:t>
      </w:r>
      <w:r>
        <w:fldChar w:fldCharType="end"/>
      </w:r>
      <w:r>
        <w:t>.</w:t>
      </w:r>
    </w:p>
  </w:footnote>
  <w:footnote w:id="1151">
    <w:p w:rsidR="003F1AAB" w:rsidRDefault="003F1AAB">
      <w:pPr>
        <w:pStyle w:val="FootnoteText"/>
      </w:pPr>
      <w:r>
        <w:rPr>
          <w:rStyle w:val="FootnoteReference"/>
        </w:rPr>
        <w:footnoteRef/>
      </w:r>
      <w:r>
        <w:t xml:space="preserve"> </w:t>
      </w:r>
      <w:r>
        <w:tab/>
        <w:t>The BVAL score data was obtained from the Bloomberg terminal on the 9 June 2016.</w:t>
      </w:r>
    </w:p>
  </w:footnote>
  <w:footnote w:id="1152">
    <w:p w:rsidR="003F1AAB" w:rsidRDefault="003F1AAB" w:rsidP="00E6234D">
      <w:pPr>
        <w:pStyle w:val="FootnoteText"/>
      </w:pPr>
      <w:r>
        <w:rPr>
          <w:rStyle w:val="FootnoteReference"/>
        </w:rPr>
        <w:footnoteRef/>
      </w:r>
      <w:r>
        <w:t xml:space="preserve"> </w:t>
      </w:r>
      <w:r>
        <w:tab/>
        <w:t xml:space="preserve">For example: AER, </w:t>
      </w:r>
      <w:r w:rsidRPr="00E31FE5">
        <w:rPr>
          <w:rStyle w:val="AERtextitalic"/>
        </w:rPr>
        <w:t>Final decision—Ausgrid distribution determination—Attachment 3: Rate of return</w:t>
      </w:r>
      <w:r>
        <w:t>, April 2015, pp. 202</w:t>
      </w:r>
      <w:r>
        <w:softHyphen/>
        <w:t xml:space="preserve">–203; AER, </w:t>
      </w:r>
      <w:r w:rsidRPr="00E31FE5">
        <w:rPr>
          <w:rStyle w:val="AERtextitalic"/>
        </w:rPr>
        <w:t>Preliminary decision—AusNet Services—Attachment 3: Rate of return</w:t>
      </w:r>
      <w:r>
        <w:t>, October 2015, p. 224.</w:t>
      </w:r>
    </w:p>
  </w:footnote>
  <w:footnote w:id="1153">
    <w:p w:rsidR="003F1AAB" w:rsidRDefault="003F1AAB" w:rsidP="00E6234D">
      <w:pPr>
        <w:pStyle w:val="FootnoteText"/>
      </w:pPr>
      <w:r>
        <w:rPr>
          <w:rStyle w:val="FootnoteReference"/>
        </w:rPr>
        <w:footnoteRef/>
      </w:r>
      <w:r>
        <w:t xml:space="preserve"> </w:t>
      </w:r>
      <w:r>
        <w:tab/>
        <w:t xml:space="preserve">Some information is available on the RBA website: </w:t>
      </w:r>
      <w:r w:rsidRPr="009026AF">
        <w:t>http://www.rba.gov.au/statistics/tables/changes-to-tables.html</w:t>
      </w:r>
    </w:p>
  </w:footnote>
  <w:footnote w:id="1154">
    <w:p w:rsidR="003F1AAB" w:rsidRDefault="003F1AAB" w:rsidP="00E6234D">
      <w:pPr>
        <w:pStyle w:val="FootnoteText"/>
      </w:pPr>
      <w:r>
        <w:rPr>
          <w:rStyle w:val="FootnoteReference"/>
        </w:rPr>
        <w:footnoteRef/>
      </w:r>
      <w:r>
        <w:t xml:space="preserve"> </w:t>
      </w:r>
      <w:r>
        <w:tab/>
        <w:t>Specifically, AER staff met with RBA staff on 8 April 2016.</w:t>
      </w:r>
    </w:p>
  </w:footnote>
  <w:footnote w:id="1155">
    <w:p w:rsidR="003F1AAB" w:rsidRDefault="003F1AAB" w:rsidP="00E6234D">
      <w:pPr>
        <w:pStyle w:val="FootnoteText"/>
      </w:pPr>
      <w:r>
        <w:rPr>
          <w:rStyle w:val="FootnoteReference"/>
        </w:rPr>
        <w:footnoteRef/>
      </w:r>
      <w:r>
        <w:t xml:space="preserve"> </w:t>
      </w:r>
      <w:r>
        <w:tab/>
        <w:t xml:space="preserve">For example: CEG, </w:t>
      </w:r>
      <w:r w:rsidRPr="00E31FE5">
        <w:rPr>
          <w:rStyle w:val="AERtextitalic"/>
        </w:rPr>
        <w:t>Criteria for assessing fair value curves</w:t>
      </w:r>
      <w:r>
        <w:t xml:space="preserve">, January 2016, p. 9; CEG, </w:t>
      </w:r>
      <w:r w:rsidRPr="00E31FE5">
        <w:rPr>
          <w:rStyle w:val="AERtextitalic"/>
        </w:rPr>
        <w:t>Recent financial market conditions and the BVAL curve – updated to 19 February 2016</w:t>
      </w:r>
      <w:r>
        <w:t>, February 2016, p. 1.</w:t>
      </w:r>
    </w:p>
  </w:footnote>
  <w:footnote w:id="1156">
    <w:p w:rsidR="003F1AAB" w:rsidRDefault="003F1AAB" w:rsidP="00E6234D">
      <w:pPr>
        <w:pStyle w:val="FootnoteText"/>
      </w:pPr>
      <w:r>
        <w:rPr>
          <w:rStyle w:val="FootnoteReference"/>
        </w:rPr>
        <w:footnoteRef/>
      </w:r>
      <w:r>
        <w:t xml:space="preserve"> </w:t>
      </w:r>
      <w:r>
        <w:tab/>
        <w:t xml:space="preserve">See for example: AER, </w:t>
      </w:r>
      <w:r w:rsidRPr="00E8288C">
        <w:rPr>
          <w:rStyle w:val="AERtextitalic"/>
        </w:rPr>
        <w:t>Ausgrid distribution determination: Draft Decision—Attachment 3: Rate of return</w:t>
      </w:r>
      <w:r>
        <w:t xml:space="preserve">, pp. 135–150; </w:t>
      </w:r>
      <w:r w:rsidRPr="00DF4D11">
        <w:t xml:space="preserve">Lally, </w:t>
      </w:r>
      <w:r w:rsidRPr="00DF4D11">
        <w:rPr>
          <w:rStyle w:val="AERtextitalic"/>
        </w:rPr>
        <w:t>Implementation issues for the cost of debt</w:t>
      </w:r>
      <w:r w:rsidRPr="00DF4D11">
        <w:t>, November 2014</w:t>
      </w:r>
      <w:r>
        <w:t xml:space="preserve">; ACCC Regulatory Economics Unit, </w:t>
      </w:r>
      <w:r w:rsidRPr="00DF4D11">
        <w:rPr>
          <w:rStyle w:val="AERtextitalic"/>
        </w:rPr>
        <w:t>Return on debt estimation: A review of the alternative third party data series</w:t>
      </w:r>
      <w:r>
        <w:t xml:space="preserve">, August 2014;  Lally, </w:t>
      </w:r>
      <w:r w:rsidRPr="00DF4D11">
        <w:rPr>
          <w:rStyle w:val="AERtextitalic"/>
        </w:rPr>
        <w:t>Review of submissions on implementation issues for cost of deb</w:t>
      </w:r>
      <w:r>
        <w:t>t, October 2015.</w:t>
      </w:r>
    </w:p>
  </w:footnote>
  <w:footnote w:id="1157">
    <w:p w:rsidR="003F1AAB" w:rsidRDefault="003F1AAB" w:rsidP="00E6234D">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xml:space="preserve">, February 2016, p. 4; AusNet Services, </w:t>
      </w:r>
      <w:r w:rsidRPr="00EF333E">
        <w:rPr>
          <w:rStyle w:val="AERtextitalic"/>
        </w:rPr>
        <w:t>Response to submissions on AER's EDPR preliminary decision</w:t>
      </w:r>
      <w:r>
        <w:t>, February 2016, p. 21.</w:t>
      </w:r>
    </w:p>
  </w:footnote>
  <w:footnote w:id="1158">
    <w:p w:rsidR="003F1AAB" w:rsidRDefault="003F1AAB" w:rsidP="00E6234D">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xml:space="preserve">, February 2016, p. 4; AusNet Services, </w:t>
      </w:r>
      <w:r w:rsidRPr="00EF333E">
        <w:rPr>
          <w:rStyle w:val="AERtextitalic"/>
        </w:rPr>
        <w:t>Response to submissions on AER's EDPR preliminary decision</w:t>
      </w:r>
      <w:r>
        <w:t>, February 2016, p. 21.</w:t>
      </w:r>
    </w:p>
  </w:footnote>
  <w:footnote w:id="1159">
    <w:p w:rsidR="003F1AAB" w:rsidRDefault="003F1AAB" w:rsidP="00E6234D">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February 2016, p. 4.</w:t>
      </w:r>
    </w:p>
  </w:footnote>
  <w:footnote w:id="1160">
    <w:p w:rsidR="003F1AAB" w:rsidRDefault="003F1AAB" w:rsidP="00E6234D">
      <w:pPr>
        <w:pStyle w:val="FootnoteText"/>
      </w:pPr>
      <w:r>
        <w:rPr>
          <w:rStyle w:val="FootnoteReference"/>
        </w:rPr>
        <w:footnoteRef/>
      </w:r>
      <w:r>
        <w:t xml:space="preserve"> </w:t>
      </w:r>
      <w:r>
        <w:tab/>
        <w:t xml:space="preserve">AER, </w:t>
      </w:r>
      <w:r w:rsidRPr="00F775B5">
        <w:rPr>
          <w:rStyle w:val="AERtextitalic"/>
        </w:rPr>
        <w:t>Preliminary decision—AusNet Services—Attachment 3: Rate of return</w:t>
      </w:r>
      <w:r>
        <w:t>, October 2015, p. 242.</w:t>
      </w:r>
    </w:p>
  </w:footnote>
  <w:footnote w:id="1161">
    <w:p w:rsidR="003F1AAB" w:rsidRDefault="003F1AAB" w:rsidP="00E6234D">
      <w:pPr>
        <w:pStyle w:val="FootnoteText"/>
      </w:pPr>
      <w:r>
        <w:rPr>
          <w:rStyle w:val="FootnoteReference"/>
        </w:rPr>
        <w:footnoteRef/>
      </w:r>
      <w:r>
        <w:t xml:space="preserve"> </w:t>
      </w:r>
      <w:r>
        <w:tab/>
        <w:t xml:space="preserve">For example: </w:t>
      </w:r>
      <w:r w:rsidRPr="00283B13">
        <w:t xml:space="preserve">CEG, </w:t>
      </w:r>
      <w:r w:rsidRPr="00283B13">
        <w:rPr>
          <w:rStyle w:val="AERtextitalic"/>
        </w:rPr>
        <w:t>The hybrid method for the transition to the trailing average rate of return on debt—Assessment and calculations for AGN</w:t>
      </w:r>
      <w:r w:rsidRPr="00283B13">
        <w:t>, June 2015</w:t>
      </w:r>
      <w:r>
        <w:t>, p. 75.</w:t>
      </w:r>
    </w:p>
  </w:footnote>
  <w:footnote w:id="1162">
    <w:p w:rsidR="003F1AAB" w:rsidRDefault="003F1AAB" w:rsidP="00E6234D">
      <w:pPr>
        <w:pStyle w:val="FootnoteText"/>
      </w:pPr>
      <w:r>
        <w:rPr>
          <w:rStyle w:val="FootnoteReference"/>
        </w:rPr>
        <w:footnoteRef/>
      </w:r>
      <w:r>
        <w:t xml:space="preserve"> </w:t>
      </w:r>
      <w:r>
        <w:tab/>
        <w:t xml:space="preserve">AER, </w:t>
      </w:r>
      <w:r w:rsidRPr="00AC0EB9">
        <w:rPr>
          <w:rStyle w:val="AERtextitalic"/>
        </w:rPr>
        <w:t>Email</w:t>
      </w:r>
      <w:r>
        <w:t xml:space="preserve"> c</w:t>
      </w:r>
      <w:r w:rsidRPr="00283B13">
        <w:rPr>
          <w:rStyle w:val="AERtextitalic"/>
        </w:rPr>
        <w:t>orrespondence with Bloomberg</w:t>
      </w:r>
      <w:r>
        <w:t>, 12 September 2015.</w:t>
      </w:r>
    </w:p>
  </w:footnote>
  <w:footnote w:id="1163">
    <w:p w:rsidR="003F1AAB" w:rsidRDefault="003F1AAB" w:rsidP="00E6234D">
      <w:pPr>
        <w:pStyle w:val="FootnoteText"/>
      </w:pPr>
      <w:r>
        <w:rPr>
          <w:rStyle w:val="FootnoteReference"/>
        </w:rPr>
        <w:footnoteRef/>
      </w:r>
      <w:r>
        <w:t xml:space="preserve"> </w:t>
      </w:r>
      <w:r>
        <w:tab/>
        <w:t xml:space="preserve">CEG, </w:t>
      </w:r>
      <w:r w:rsidRPr="00E31FE5">
        <w:rPr>
          <w:rStyle w:val="AERtextitalic"/>
        </w:rPr>
        <w:t>Criteria for assessing fair value curves</w:t>
      </w:r>
      <w:r>
        <w:t>, January 2016, pp. 5–6.</w:t>
      </w:r>
    </w:p>
  </w:footnote>
  <w:footnote w:id="1164">
    <w:p w:rsidR="003F1AAB" w:rsidRDefault="003F1AAB" w:rsidP="00E6234D">
      <w:pPr>
        <w:pStyle w:val="FootnoteText"/>
      </w:pPr>
      <w:r>
        <w:rPr>
          <w:rStyle w:val="FootnoteReference"/>
        </w:rPr>
        <w:footnoteRef/>
      </w:r>
      <w:r>
        <w:t xml:space="preserve"> </w:t>
      </w:r>
      <w:r>
        <w:tab/>
        <w:t xml:space="preserve">CEG, </w:t>
      </w:r>
      <w:r w:rsidRPr="00E31FE5">
        <w:rPr>
          <w:rStyle w:val="AERtextitalic"/>
        </w:rPr>
        <w:t>Recent financial market conditions and the BVAL curve – updated to 19 February 2016</w:t>
      </w:r>
      <w:r>
        <w:t>, February 2016.</w:t>
      </w:r>
    </w:p>
  </w:footnote>
  <w:footnote w:id="1165">
    <w:p w:rsidR="003F1AAB" w:rsidRDefault="003F1AAB" w:rsidP="00E6234D">
      <w:pPr>
        <w:pStyle w:val="FootnoteText"/>
      </w:pPr>
      <w:r>
        <w:rPr>
          <w:rStyle w:val="FootnoteReference"/>
        </w:rPr>
        <w:footnoteRef/>
      </w:r>
      <w:r>
        <w:t xml:space="preserve"> </w:t>
      </w:r>
      <w:r>
        <w:tab/>
        <w:t xml:space="preserve">AusNet Services, </w:t>
      </w:r>
      <w:r w:rsidRPr="002656DF">
        <w:rPr>
          <w:rStyle w:val="AERtextitalic"/>
        </w:rPr>
        <w:t>Actual Debt Averaging Period – Additional Evidence</w:t>
      </w:r>
      <w:r>
        <w:t>, March 2016.</w:t>
      </w:r>
    </w:p>
  </w:footnote>
  <w:footnote w:id="1166">
    <w:p w:rsidR="003F1AAB" w:rsidRDefault="003F1AAB" w:rsidP="00E6234D">
      <w:pPr>
        <w:pStyle w:val="FootnoteText"/>
      </w:pPr>
      <w:r>
        <w:rPr>
          <w:rStyle w:val="FootnoteReference"/>
        </w:rPr>
        <w:footnoteRef/>
      </w:r>
      <w:r>
        <w:t xml:space="preserve"> </w:t>
      </w:r>
      <w:r>
        <w:tab/>
        <w:t>The correlation coefficient was –0.65.</w:t>
      </w:r>
    </w:p>
  </w:footnote>
  <w:footnote w:id="1167">
    <w:p w:rsidR="003F1AAB" w:rsidRDefault="003F1AAB" w:rsidP="00E6234D">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February 2016, p. 5.</w:t>
      </w:r>
    </w:p>
  </w:footnote>
  <w:footnote w:id="1168">
    <w:p w:rsidR="003F1AAB" w:rsidRDefault="003F1AAB" w:rsidP="00E6234D">
      <w:pPr>
        <w:pStyle w:val="FootnoteText"/>
      </w:pPr>
      <w:r>
        <w:rPr>
          <w:rStyle w:val="FootnoteReference"/>
        </w:rPr>
        <w:footnoteRef/>
      </w:r>
      <w:r>
        <w:t xml:space="preserve"> </w:t>
      </w:r>
      <w:r>
        <w:tab/>
        <w:t xml:space="preserve">We confirmed this by entering the bond tickers from CEG's 'Figure 3: Percentage change in spread-to-swap—31 December to 27 January 2016' into the Bloomberg terminal. See: CEG, </w:t>
      </w:r>
      <w:r w:rsidRPr="00CB2D08">
        <w:rPr>
          <w:rStyle w:val="AERtextitalic"/>
        </w:rPr>
        <w:t>Memorandum: Recent financial market conditions and the BVAL curve</w:t>
      </w:r>
      <w:r>
        <w:t>, February 2016, p. 4.</w:t>
      </w:r>
    </w:p>
  </w:footnote>
  <w:footnote w:id="1169">
    <w:p w:rsidR="003F1AAB" w:rsidRDefault="003F1AAB" w:rsidP="00E6234D">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41.</w:t>
      </w:r>
    </w:p>
  </w:footnote>
  <w:footnote w:id="1170">
    <w:p w:rsidR="003F1AAB" w:rsidRDefault="003F1AAB" w:rsidP="00E6234D">
      <w:pPr>
        <w:pStyle w:val="FootnoteText"/>
      </w:pPr>
      <w:r>
        <w:rPr>
          <w:rStyle w:val="FootnoteReference"/>
        </w:rPr>
        <w:footnoteRef/>
      </w:r>
      <w:r>
        <w:t xml:space="preserve"> </w:t>
      </w:r>
      <w:r>
        <w:tab/>
        <w:t xml:space="preserve">AusNet Services, </w:t>
      </w:r>
      <w:r w:rsidRPr="00E31FE5">
        <w:rPr>
          <w:rStyle w:val="AERtextitalic"/>
        </w:rPr>
        <w:t>Actual Debt Averaging Period – Additional Evidence</w:t>
      </w:r>
      <w:r>
        <w:t>, March 2016, pp. 12–13.</w:t>
      </w:r>
    </w:p>
  </w:footnote>
  <w:footnote w:id="1171">
    <w:p w:rsidR="003F1AAB" w:rsidRDefault="003F1AAB" w:rsidP="00E6234D">
      <w:pPr>
        <w:pStyle w:val="FootnoteText"/>
      </w:pPr>
      <w:r>
        <w:rPr>
          <w:rStyle w:val="FootnoteReference"/>
        </w:rPr>
        <w:footnoteRef/>
      </w:r>
      <w:r>
        <w:t xml:space="preserve"> </w:t>
      </w:r>
      <w:r>
        <w:tab/>
        <w:t xml:space="preserve">See for example: CEG, </w:t>
      </w:r>
      <w:r w:rsidRPr="00E31FE5">
        <w:rPr>
          <w:rStyle w:val="AERtextitalic"/>
        </w:rPr>
        <w:t>Recent financial market conditions and the BVAL curve – updated to 19 February 2016</w:t>
      </w:r>
      <w:r>
        <w:t>, February 2016, p. 1.</w:t>
      </w:r>
    </w:p>
  </w:footnote>
  <w:footnote w:id="1172">
    <w:p w:rsidR="003F1AAB" w:rsidRDefault="003F1AAB" w:rsidP="00E6234D">
      <w:pPr>
        <w:pStyle w:val="FootnoteText"/>
      </w:pPr>
      <w:r>
        <w:rPr>
          <w:rStyle w:val="FootnoteReference"/>
        </w:rPr>
        <w:footnoteRef/>
      </w:r>
      <w:r>
        <w:t xml:space="preserve"> </w:t>
      </w:r>
      <w:r>
        <w:tab/>
        <w:t xml:space="preserve">AER, </w:t>
      </w:r>
      <w:r w:rsidRPr="00E31FE5">
        <w:rPr>
          <w:rStyle w:val="AERtextitalic"/>
        </w:rPr>
        <w:t>Preliminary decision—AusNet Services—Attachment 3: Rate of return</w:t>
      </w:r>
      <w:r>
        <w:t>, October 2015, pp. 226–227.</w:t>
      </w:r>
    </w:p>
  </w:footnote>
  <w:footnote w:id="1173">
    <w:p w:rsidR="003F1AAB" w:rsidRDefault="003F1AAB" w:rsidP="00E6234D">
      <w:pPr>
        <w:pStyle w:val="FootnoteText"/>
      </w:pPr>
      <w:r>
        <w:rPr>
          <w:rStyle w:val="FootnoteReference"/>
        </w:rPr>
        <w:footnoteRef/>
      </w:r>
      <w:r>
        <w:t xml:space="preserve"> </w:t>
      </w:r>
      <w:r>
        <w:tab/>
        <w:t>See section I.1.</w:t>
      </w:r>
    </w:p>
  </w:footnote>
  <w:footnote w:id="1174">
    <w:p w:rsidR="003F1AAB" w:rsidRDefault="003F1AAB" w:rsidP="00E6234D">
      <w:pPr>
        <w:pStyle w:val="FootnoteText"/>
      </w:pPr>
      <w:r>
        <w:rPr>
          <w:rStyle w:val="FootnoteReference"/>
        </w:rPr>
        <w:footnoteRef/>
      </w:r>
      <w:r>
        <w:t xml:space="preserve"> </w:t>
      </w:r>
      <w:r>
        <w:tab/>
        <w:t xml:space="preserve">AER, </w:t>
      </w:r>
      <w:r w:rsidRPr="00F775B5">
        <w:rPr>
          <w:rStyle w:val="AERtextitalic"/>
        </w:rPr>
        <w:t>Preliminary decision—AusNet Services—Attachment 3: Rate of return</w:t>
      </w:r>
      <w:r>
        <w:t>, October 2015, pp. 226</w:t>
      </w:r>
      <w:r>
        <w:softHyphen/>
        <w:t>–227.</w:t>
      </w:r>
    </w:p>
  </w:footnote>
  <w:footnote w:id="1175">
    <w:p w:rsidR="003F1AAB" w:rsidRDefault="003F1AAB" w:rsidP="00E6234D">
      <w:pPr>
        <w:pStyle w:val="FootnoteText"/>
      </w:pPr>
      <w:r>
        <w:rPr>
          <w:rStyle w:val="FootnoteReference"/>
        </w:rPr>
        <w:footnoteRef/>
      </w:r>
      <w:r>
        <w:t xml:space="preserve"> </w:t>
      </w:r>
      <w:r>
        <w:tab/>
        <w:t xml:space="preserve">AER, </w:t>
      </w:r>
      <w:r w:rsidRPr="00E31FE5">
        <w:rPr>
          <w:rStyle w:val="AERtextitalic"/>
        </w:rPr>
        <w:t>Better Regulation: Explanatory statement—Rate of return guideline</w:t>
      </w:r>
      <w:r>
        <w:t xml:space="preserve">, December 2013, p. 136. </w:t>
      </w:r>
    </w:p>
  </w:footnote>
  <w:footnote w:id="1176">
    <w:p w:rsidR="003F1AAB" w:rsidRDefault="003F1AAB" w:rsidP="00E6234D">
      <w:pPr>
        <w:pStyle w:val="FootnoteText"/>
      </w:pPr>
      <w:r>
        <w:rPr>
          <w:rStyle w:val="FootnoteReference"/>
        </w:rPr>
        <w:footnoteRef/>
      </w:r>
      <w:r>
        <w:t xml:space="preserve"> </w:t>
      </w:r>
      <w:r>
        <w:tab/>
        <w:t xml:space="preserve">Australian Competition Tribunal, </w:t>
      </w:r>
      <w:r w:rsidRPr="0091529E">
        <w:rPr>
          <w:rStyle w:val="AERtextitalic"/>
        </w:rPr>
        <w:t>Applications by Public Interest Advocacy Centre Ltd and Ausgrid  [2016] ACompT 1</w:t>
      </w:r>
      <w:r>
        <w:t>, February 2016, para. 983.</w:t>
      </w:r>
    </w:p>
  </w:footnote>
  <w:footnote w:id="1177">
    <w:p w:rsidR="003F1AAB" w:rsidRDefault="003F1AAB" w:rsidP="00E6234D">
      <w:pPr>
        <w:pStyle w:val="FootnoteText"/>
      </w:pPr>
      <w:r>
        <w:rPr>
          <w:rStyle w:val="FootnoteReference"/>
        </w:rPr>
        <w:footnoteRef/>
      </w:r>
      <w:r>
        <w:t xml:space="preserve"> </w:t>
      </w:r>
      <w:r>
        <w:tab/>
        <w:t xml:space="preserve">Australian Competition Tribunal, </w:t>
      </w:r>
      <w:r w:rsidRPr="0091529E">
        <w:rPr>
          <w:rStyle w:val="AERtextitalic"/>
        </w:rPr>
        <w:t>Applications by Public Interest Advocacy Centre Ltd and Ausgrid  [2016] ACompT 1</w:t>
      </w:r>
      <w:r>
        <w:t>, February 2016, para. 983.</w:t>
      </w:r>
    </w:p>
  </w:footnote>
  <w:footnote w:id="1178">
    <w:p w:rsidR="003F1AAB" w:rsidRDefault="003F1AAB" w:rsidP="00E6234D">
      <w:pPr>
        <w:pStyle w:val="FootnoteText"/>
      </w:pPr>
      <w:r>
        <w:rPr>
          <w:rStyle w:val="FootnoteReference"/>
        </w:rPr>
        <w:footnoteRef/>
      </w:r>
      <w:r>
        <w:t xml:space="preserve"> </w:t>
      </w:r>
      <w:r>
        <w:tab/>
        <w:t xml:space="preserve">For example: CEG, </w:t>
      </w:r>
      <w:r w:rsidRPr="00E31FE5">
        <w:rPr>
          <w:rStyle w:val="AERtextitalic"/>
        </w:rPr>
        <w:t>Criteria for assessing fair value curves</w:t>
      </w:r>
      <w:r>
        <w:t>, January 2016, p. 31.</w:t>
      </w:r>
    </w:p>
  </w:footnote>
  <w:footnote w:id="1179">
    <w:p w:rsidR="003F1AAB" w:rsidRDefault="003F1AAB" w:rsidP="00E6234D">
      <w:pPr>
        <w:pStyle w:val="FootnoteText"/>
      </w:pPr>
      <w:r>
        <w:rPr>
          <w:rStyle w:val="FootnoteReference"/>
        </w:rPr>
        <w:footnoteRef/>
      </w:r>
      <w:r>
        <w:t xml:space="preserve"> </w:t>
      </w:r>
      <w:r>
        <w:tab/>
      </w:r>
      <w:r w:rsidRPr="00DF4D11">
        <w:t xml:space="preserve">Lally, </w:t>
      </w:r>
      <w:r w:rsidRPr="00DF4D11">
        <w:rPr>
          <w:rStyle w:val="AERtextitalic"/>
        </w:rPr>
        <w:t>Implementation issues for the cost of debt</w:t>
      </w:r>
      <w:r w:rsidRPr="00DF4D11">
        <w:t>, November 2014</w:t>
      </w:r>
      <w:r>
        <w:t xml:space="preserve">; ACCC Regulatory Economics Unit, </w:t>
      </w:r>
      <w:r w:rsidRPr="00DF4D11">
        <w:rPr>
          <w:rStyle w:val="AERtextitalic"/>
        </w:rPr>
        <w:t>Return on debt estimation: A review of the alternative third party data series</w:t>
      </w:r>
      <w:r>
        <w:t xml:space="preserve">, August 2014; Lally, </w:t>
      </w:r>
      <w:r w:rsidRPr="00DF4D11">
        <w:rPr>
          <w:rStyle w:val="AERtextitalic"/>
        </w:rPr>
        <w:t>Review of submissions on implementation issues for cost of deb</w:t>
      </w:r>
      <w:r>
        <w:t>t, October 2015.</w:t>
      </w:r>
    </w:p>
  </w:footnote>
  <w:footnote w:id="1180">
    <w:p w:rsidR="003F1AAB" w:rsidRDefault="003F1AAB" w:rsidP="00E6234D">
      <w:pPr>
        <w:pStyle w:val="FootnoteText"/>
      </w:pPr>
      <w:r>
        <w:rPr>
          <w:rStyle w:val="FootnoteReference"/>
        </w:rPr>
        <w:footnoteRef/>
      </w:r>
      <w:r>
        <w:t xml:space="preserve"> </w:t>
      </w:r>
      <w:r>
        <w:tab/>
        <w:t>To illustrate this, Bloomberg published data on 252 days in 2015, where the RBA published data on 12 days.</w:t>
      </w:r>
    </w:p>
  </w:footnote>
  <w:footnote w:id="1181">
    <w:p w:rsidR="003F1AAB" w:rsidRDefault="003F1AAB" w:rsidP="00E6234D">
      <w:pPr>
        <w:pStyle w:val="FootnoteText"/>
      </w:pPr>
      <w:r>
        <w:rPr>
          <w:rStyle w:val="FootnoteReference"/>
        </w:rPr>
        <w:footnoteRef/>
      </w:r>
      <w:r>
        <w:t xml:space="preserve"> </w:t>
      </w:r>
      <w:r>
        <w:tab/>
        <w:t xml:space="preserve">AusNet Services, </w:t>
      </w:r>
      <w:r w:rsidRPr="001B7438">
        <w:t>AusNet Services’ response to submissions on the Victorian EDPR Preliminary Decision</w:t>
      </w:r>
      <w:r>
        <w:t>, February 2016, pp. 20–21.</w:t>
      </w:r>
    </w:p>
  </w:footnote>
  <w:footnote w:id="1182">
    <w:p w:rsidR="003F1AAB" w:rsidRDefault="003F1AAB" w:rsidP="00E6234D">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pp. 2–3.</w:t>
      </w:r>
    </w:p>
  </w:footnote>
  <w:footnote w:id="1183">
    <w:p w:rsidR="003F1AAB" w:rsidRDefault="003F1AAB" w:rsidP="00E6234D">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20.</w:t>
      </w:r>
    </w:p>
  </w:footnote>
  <w:footnote w:id="1184">
    <w:p w:rsidR="003F1AAB" w:rsidRDefault="003F1AAB" w:rsidP="00E6234D">
      <w:pPr>
        <w:pStyle w:val="FootnoteText"/>
      </w:pPr>
      <w:r>
        <w:rPr>
          <w:rStyle w:val="FootnoteReference"/>
        </w:rPr>
        <w:footnoteRef/>
      </w:r>
      <w:r>
        <w:t xml:space="preserve"> </w:t>
      </w:r>
      <w:r>
        <w:tab/>
        <w:t xml:space="preserve">CEG, </w:t>
      </w:r>
      <w:r w:rsidRPr="00F95704">
        <w:rPr>
          <w:rStyle w:val="AERtextitalic"/>
        </w:rPr>
        <w:t>Critique of the AER's JGN draft decision on the cost of debt</w:t>
      </w:r>
      <w:r>
        <w:t>, April 2015, p. 64.</w:t>
      </w:r>
    </w:p>
  </w:footnote>
  <w:footnote w:id="1185">
    <w:p w:rsidR="003F1AAB" w:rsidRDefault="003F1AAB" w:rsidP="00E6234D">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20.</w:t>
      </w:r>
    </w:p>
  </w:footnote>
  <w:footnote w:id="1186">
    <w:p w:rsidR="003F1AAB" w:rsidRDefault="003F1AAB" w:rsidP="00E6234D">
      <w:pPr>
        <w:pStyle w:val="FootnoteText"/>
      </w:pPr>
      <w:r>
        <w:rPr>
          <w:rStyle w:val="FootnoteReference"/>
        </w:rPr>
        <w:footnoteRef/>
      </w:r>
      <w:r>
        <w:t xml:space="preserve"> </w:t>
      </w:r>
      <w:r>
        <w:tab/>
        <w:t xml:space="preserve">Chairmont, </w:t>
      </w:r>
      <w:r w:rsidRPr="000B4FF2">
        <w:rPr>
          <w:rStyle w:val="AERtextitalic"/>
        </w:rPr>
        <w:t>Financing practices under regulation</w:t>
      </w:r>
      <w:r>
        <w:t>, October 2015, pp. 24–26.</w:t>
      </w:r>
    </w:p>
  </w:footnote>
  <w:footnote w:id="1187">
    <w:p w:rsidR="003F1AAB" w:rsidRDefault="003F1AAB" w:rsidP="00E6234D">
      <w:pPr>
        <w:pStyle w:val="FootnoteText"/>
      </w:pPr>
      <w:r>
        <w:rPr>
          <w:rStyle w:val="FootnoteReference"/>
        </w:rPr>
        <w:footnoteRef/>
      </w:r>
      <w:r>
        <w:t xml:space="preserve"> </w:t>
      </w:r>
      <w:r>
        <w:tab/>
      </w:r>
      <w:r w:rsidRPr="005820BF">
        <w:t xml:space="preserve">ENA, </w:t>
      </w:r>
      <w:r w:rsidRPr="005820BF">
        <w:rPr>
          <w:rStyle w:val="AERtextitalic"/>
        </w:rPr>
        <w:t>Submission to the draft guideline</w:t>
      </w:r>
      <w:r w:rsidRPr="005820BF">
        <w:t>, October 2013.</w:t>
      </w:r>
    </w:p>
  </w:footnote>
  <w:footnote w:id="1188">
    <w:p w:rsidR="003F1AAB" w:rsidRDefault="003F1AAB" w:rsidP="00E6234D">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December 2013, December 2013, p. 143.</w:t>
      </w:r>
    </w:p>
  </w:footnote>
  <w:footnote w:id="1189">
    <w:p w:rsidR="003F1AAB" w:rsidRDefault="003F1AAB" w:rsidP="00E6234D">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55.</w:t>
      </w:r>
    </w:p>
  </w:footnote>
  <w:footnote w:id="1190">
    <w:p w:rsidR="003F1AAB" w:rsidRDefault="003F1AAB" w:rsidP="00E6234D">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xml:space="preserve">, December 2013, pp. 23–24; </w:t>
      </w:r>
      <w:r w:rsidRPr="00C50D37">
        <w:t>AER</w:t>
      </w:r>
      <w:r>
        <w:t xml:space="preserve">, </w:t>
      </w:r>
      <w:r>
        <w:rPr>
          <w:rStyle w:val="AERtextitalic"/>
        </w:rPr>
        <w:t>Preliminary decision— Ausgrid</w:t>
      </w:r>
      <w:r w:rsidRPr="00B96D23">
        <w:rPr>
          <w:rStyle w:val="AERtextitalic"/>
        </w:rPr>
        <w:t xml:space="preserve"> </w:t>
      </w:r>
      <w:r>
        <w:rPr>
          <w:rStyle w:val="AERtextitalic"/>
        </w:rPr>
        <w:t>—</w:t>
      </w:r>
      <w:r w:rsidRPr="00B96D23">
        <w:rPr>
          <w:rStyle w:val="AERtextitalic"/>
        </w:rPr>
        <w:t>Attachment 3</w:t>
      </w:r>
      <w:r>
        <w:rPr>
          <w:rStyle w:val="AERtextitalic"/>
        </w:rPr>
        <w:t>—</w:t>
      </w:r>
      <w:r w:rsidRPr="00B96D23">
        <w:rPr>
          <w:rStyle w:val="AERtextitalic"/>
        </w:rPr>
        <w:t>Rate of return</w:t>
      </w:r>
      <w:r>
        <w:t xml:space="preserve">, April 2015, p. 197pp. 320–322 ; CEG, </w:t>
      </w:r>
      <w:r w:rsidRPr="00E31FE5">
        <w:rPr>
          <w:rStyle w:val="AERtextitalic"/>
        </w:rPr>
        <w:t>Criteria for assessing fair value curves</w:t>
      </w:r>
      <w:r>
        <w:t>, January 2016, p. 17.</w:t>
      </w:r>
    </w:p>
  </w:footnote>
  <w:footnote w:id="1191">
    <w:p w:rsidR="003F1AAB" w:rsidRDefault="003F1AAB" w:rsidP="00E6234D">
      <w:pPr>
        <w:pStyle w:val="FootnoteText"/>
      </w:pPr>
      <w:r>
        <w:rPr>
          <w:rStyle w:val="FootnoteReference"/>
        </w:rPr>
        <w:footnoteRef/>
      </w:r>
      <w:r>
        <w:t xml:space="preserve"> </w:t>
      </w:r>
      <w:r>
        <w:tab/>
        <w:t xml:space="preserve">Australian Competition Tribunal, </w:t>
      </w:r>
      <w:r w:rsidRPr="0091529E">
        <w:rPr>
          <w:rStyle w:val="AERtextitalic"/>
        </w:rPr>
        <w:t>Applications by Public Interest Advocacy Centre Ltd and Ausgrid  [2016] ACompT 1</w:t>
      </w:r>
      <w:r>
        <w:t>, February 2016, para. 983.</w:t>
      </w:r>
    </w:p>
  </w:footnote>
  <w:footnote w:id="1192">
    <w:p w:rsidR="003F1AAB" w:rsidRDefault="003F1AAB" w:rsidP="00E6234D">
      <w:pPr>
        <w:pStyle w:val="FootnoteText"/>
      </w:pPr>
      <w:r>
        <w:rPr>
          <w:rStyle w:val="FootnoteReference"/>
        </w:rPr>
        <w:footnoteRef/>
      </w:r>
      <w:r>
        <w:t xml:space="preserve">  </w:t>
      </w:r>
      <w:r>
        <w:tab/>
        <w:t xml:space="preserve">See for example: AER, </w:t>
      </w:r>
      <w:r w:rsidRPr="00E31FE5">
        <w:rPr>
          <w:rStyle w:val="AERtextitalic"/>
        </w:rPr>
        <w:t>Preliminary decision—AusNet Services</w:t>
      </w:r>
      <w:r>
        <w:t xml:space="preserve">, October 2015, p. 224. </w:t>
      </w:r>
    </w:p>
  </w:footnote>
  <w:footnote w:id="1193">
    <w:p w:rsidR="003F1AAB" w:rsidRDefault="003F1AAB" w:rsidP="00E6234D">
      <w:pPr>
        <w:pStyle w:val="FootnoteText"/>
      </w:pPr>
      <w:r>
        <w:rPr>
          <w:rStyle w:val="FootnoteReference"/>
        </w:rPr>
        <w:footnoteRef/>
      </w:r>
      <w:r>
        <w:t xml:space="preserve"> </w:t>
      </w:r>
      <w:r>
        <w:tab/>
      </w:r>
      <w:r w:rsidRPr="0073565F">
        <w:t xml:space="preserve">Lally, </w:t>
      </w:r>
      <w:r w:rsidRPr="00E31FE5">
        <w:rPr>
          <w:rStyle w:val="AERtextitalic"/>
        </w:rPr>
        <w:t>Implementation issues for the cost of debt</w:t>
      </w:r>
      <w:r w:rsidRPr="0073565F">
        <w:t>, 20 November 2014, p. 5.</w:t>
      </w:r>
    </w:p>
  </w:footnote>
  <w:footnote w:id="1194">
    <w:p w:rsidR="003F1AAB" w:rsidRDefault="003F1AAB" w:rsidP="00E6234D">
      <w:pPr>
        <w:pStyle w:val="FootnoteText"/>
      </w:pPr>
      <w:r>
        <w:rPr>
          <w:rStyle w:val="FootnoteReference"/>
        </w:rPr>
        <w:footnoteRef/>
      </w:r>
      <w:r>
        <w:t xml:space="preserve"> </w:t>
      </w:r>
      <w:r>
        <w:tab/>
        <w:t xml:space="preserve">CEG, </w:t>
      </w:r>
      <w:r w:rsidRPr="00E31FE5">
        <w:rPr>
          <w:rStyle w:val="AERtextitalic"/>
        </w:rPr>
        <w:t>Criteria for assessing fair value curves</w:t>
      </w:r>
      <w:r>
        <w:t>, January 2016, pp. 59–61.</w:t>
      </w:r>
    </w:p>
  </w:footnote>
  <w:footnote w:id="1195">
    <w:p w:rsidR="003F1AAB" w:rsidRDefault="003F1AAB" w:rsidP="00E6234D">
      <w:pPr>
        <w:pStyle w:val="FootnoteText"/>
      </w:pPr>
      <w:r>
        <w:rPr>
          <w:rStyle w:val="FootnoteReference"/>
        </w:rPr>
        <w:footnoteRef/>
      </w:r>
      <w:r>
        <w:t xml:space="preserve"> </w:t>
      </w:r>
      <w:r>
        <w:tab/>
        <w:t xml:space="preserve">CEG, </w:t>
      </w:r>
      <w:r w:rsidRPr="00F775B5">
        <w:rPr>
          <w:rStyle w:val="AERtextitalic"/>
        </w:rPr>
        <w:t>Criteria for assessing fair value curves</w:t>
      </w:r>
      <w:r>
        <w:t>, January 2016, p. 60.</w:t>
      </w:r>
    </w:p>
  </w:footnote>
  <w:footnote w:id="1196">
    <w:p w:rsidR="003F1AAB" w:rsidRDefault="003F1AAB" w:rsidP="00E6234D">
      <w:pPr>
        <w:pStyle w:val="FootnoteText"/>
      </w:pPr>
      <w:r>
        <w:rPr>
          <w:rStyle w:val="FootnoteReference"/>
        </w:rPr>
        <w:footnoteRef/>
      </w:r>
      <w:r>
        <w:t xml:space="preserve"> </w:t>
      </w:r>
      <w:r>
        <w:tab/>
        <w:t xml:space="preserve">CEG, </w:t>
      </w:r>
      <w:r w:rsidRPr="00F775B5">
        <w:rPr>
          <w:rStyle w:val="AERtextitalic"/>
        </w:rPr>
        <w:t>Criteria for assessing fair value curves</w:t>
      </w:r>
      <w:r>
        <w:t>, January 2016, pp. 61.</w:t>
      </w:r>
    </w:p>
  </w:footnote>
  <w:footnote w:id="1197">
    <w:p w:rsidR="003F1AAB" w:rsidRDefault="003F1AAB" w:rsidP="00E6234D">
      <w:pPr>
        <w:pStyle w:val="FootnoteText"/>
      </w:pPr>
      <w:r>
        <w:rPr>
          <w:rStyle w:val="FootnoteReference"/>
        </w:rPr>
        <w:footnoteRef/>
      </w:r>
      <w:r>
        <w:t xml:space="preserve"> </w:t>
      </w:r>
      <w:r>
        <w:tab/>
        <w:t xml:space="preserve">We discuss this in section </w:t>
      </w:r>
      <w:r>
        <w:fldChar w:fldCharType="begin"/>
      </w:r>
      <w:r>
        <w:instrText xml:space="preserve"> REF _Ref451336564 \r \h </w:instrText>
      </w:r>
      <w:r>
        <w:fldChar w:fldCharType="separate"/>
      </w:r>
      <w:r>
        <w:t>3.4.2</w:t>
      </w:r>
      <w:r>
        <w:fldChar w:fldCharType="end"/>
      </w:r>
      <w:r>
        <w:t xml:space="preserve"> and in previous decisions. For example, </w:t>
      </w:r>
      <w:r w:rsidRPr="00C50D37">
        <w:t>AER</w:t>
      </w:r>
      <w:r>
        <w:t xml:space="preserve">, </w:t>
      </w:r>
      <w:r w:rsidRPr="00C50D37">
        <w:t xml:space="preserve"> </w:t>
      </w:r>
      <w:r>
        <w:rPr>
          <w:rStyle w:val="AERtextitalic"/>
        </w:rPr>
        <w:t>Preliminary decision— Ausgrid</w:t>
      </w:r>
      <w:r w:rsidRPr="00B96D23">
        <w:rPr>
          <w:rStyle w:val="AERtextitalic"/>
        </w:rPr>
        <w:t xml:space="preserve"> </w:t>
      </w:r>
      <w:r>
        <w:rPr>
          <w:rStyle w:val="AERtextitalic"/>
        </w:rPr>
        <w:t>—</w:t>
      </w:r>
      <w:r w:rsidRPr="00B96D23">
        <w:rPr>
          <w:rStyle w:val="AERtextitalic"/>
        </w:rPr>
        <w:t>Attachment 3</w:t>
      </w:r>
      <w:r>
        <w:rPr>
          <w:rStyle w:val="AERtextitalic"/>
        </w:rPr>
        <w:t>—</w:t>
      </w:r>
      <w:r w:rsidRPr="00B96D23">
        <w:rPr>
          <w:rStyle w:val="AERtextitalic"/>
        </w:rPr>
        <w:t>Rate of return</w:t>
      </w:r>
      <w:r>
        <w:t>, April 2015, pp. 230</w:t>
      </w:r>
      <w:r>
        <w:softHyphen/>
        <w:t>–236.</w:t>
      </w:r>
    </w:p>
  </w:footnote>
  <w:footnote w:id="1198">
    <w:p w:rsidR="003F1AAB" w:rsidRDefault="003F1AAB" w:rsidP="00E6234D">
      <w:pPr>
        <w:pStyle w:val="FootnoteText"/>
      </w:pPr>
      <w:r>
        <w:rPr>
          <w:rStyle w:val="FootnoteReference"/>
        </w:rPr>
        <w:footnoteRef/>
      </w:r>
      <w:r>
        <w:t xml:space="preserve"> </w:t>
      </w:r>
      <w:r>
        <w:tab/>
        <w:t xml:space="preserve">For example: CEG, </w:t>
      </w:r>
      <w:r w:rsidRPr="00142A80">
        <w:rPr>
          <w:rStyle w:val="AERtextitalic"/>
        </w:rPr>
        <w:t>Critique of the AER's JGN draft decision on the cost of debt</w:t>
      </w:r>
      <w:r>
        <w:t xml:space="preserve">, April 2015, p. 64.  </w:t>
      </w:r>
    </w:p>
  </w:footnote>
  <w:footnote w:id="1199">
    <w:p w:rsidR="003F1AAB" w:rsidRDefault="003F1AAB" w:rsidP="00E6234D">
      <w:pPr>
        <w:pStyle w:val="FootnoteText"/>
      </w:pPr>
      <w:r>
        <w:rPr>
          <w:rStyle w:val="FootnoteReference"/>
        </w:rPr>
        <w:footnoteRef/>
      </w:r>
      <w:r>
        <w:t xml:space="preserve"> </w:t>
      </w:r>
      <w:r>
        <w:tab/>
        <w:t xml:space="preserve">That is Ergon Energy Corp Ltd. </w:t>
      </w:r>
    </w:p>
  </w:footnote>
  <w:footnote w:id="1200">
    <w:p w:rsidR="003F1AAB" w:rsidRDefault="003F1AAB" w:rsidP="00E6234D">
      <w:pPr>
        <w:pStyle w:val="FootnoteText"/>
      </w:pPr>
      <w:r>
        <w:rPr>
          <w:rStyle w:val="FootnoteReference"/>
        </w:rPr>
        <w:footnoteRef/>
      </w:r>
      <w:r>
        <w:t xml:space="preserve"> </w:t>
      </w:r>
      <w:r>
        <w:tab/>
        <w:t xml:space="preserve">Powercor Australia LLC and the CitiPower Trust now raise debt under a common funding vehicle, Victoria Power Networks (Finance) Pty Ltd. As such, from 2015, the CitiPower Trust and Powercor Australia LLC fall out of our sample and Victorian Power Networks Pty Ltd is added. See Spark Infrastructure, </w:t>
      </w:r>
      <w:r w:rsidRPr="00FA2361">
        <w:rPr>
          <w:rStyle w:val="AERtextitalic"/>
        </w:rPr>
        <w:t>Victoria Power Networks announces new joint funding vehicle for CitiPower and Powerco</w:t>
      </w:r>
      <w:r w:rsidRPr="00E63C04">
        <w:t>r</w:t>
      </w:r>
      <w:r>
        <w:t xml:space="preserve">, 2 November 2015, see </w:t>
      </w:r>
      <w:r w:rsidRPr="007706A6">
        <w:t>http://www.asx.com.au/asxpdf/20151102/pdf/432p758z1zn56z.pdf</w:t>
      </w:r>
      <w:r>
        <w:t>.</w:t>
      </w:r>
    </w:p>
  </w:footnote>
  <w:footnote w:id="1201">
    <w:p w:rsidR="003F1AAB" w:rsidRDefault="003F1AAB" w:rsidP="00E6234D">
      <w:pPr>
        <w:pStyle w:val="FootnoteText"/>
      </w:pPr>
      <w:r>
        <w:rPr>
          <w:rStyle w:val="FootnoteReference"/>
        </w:rPr>
        <w:footnoteRef/>
      </w:r>
      <w:r>
        <w:t xml:space="preserve"> </w:t>
      </w:r>
      <w:r>
        <w:tab/>
        <w:t xml:space="preserve">AusNet Transmission Group Pty Ltd, </w:t>
      </w:r>
      <w:r w:rsidRPr="00AC04F4">
        <w:rPr>
          <w:i/>
        </w:rPr>
        <w:t>Transmission Revenue Review 2017</w:t>
      </w:r>
      <w:r w:rsidRPr="00AC04F4">
        <w:rPr>
          <w:rFonts w:cs="Arial"/>
          <w:i/>
        </w:rPr>
        <w:t>–</w:t>
      </w:r>
      <w:r w:rsidRPr="00AC04F4">
        <w:rPr>
          <w:i/>
        </w:rPr>
        <w:t>2022 regulatory proposal</w:t>
      </w:r>
      <w:r>
        <w:t>, 30 October 2015, p. 270.</w:t>
      </w:r>
    </w:p>
  </w:footnote>
  <w:footnote w:id="1202">
    <w:p w:rsidR="003F1AAB" w:rsidRDefault="003F1AAB" w:rsidP="00E6234D">
      <w:pPr>
        <w:pStyle w:val="FootnoteText"/>
      </w:pPr>
      <w:r>
        <w:rPr>
          <w:rStyle w:val="FootnoteReference"/>
        </w:rPr>
        <w:footnoteRef/>
      </w:r>
      <w:r>
        <w:t xml:space="preserve"> </w:t>
      </w:r>
      <w:r>
        <w:tab/>
        <w:t xml:space="preserve">This was in response to </w:t>
      </w:r>
      <w:r w:rsidRPr="00930291">
        <w:t xml:space="preserve">CEG, </w:t>
      </w:r>
      <w:r w:rsidRPr="00E3172F">
        <w:rPr>
          <w:rStyle w:val="AERtextitalic"/>
        </w:rPr>
        <w:t>Attachment 7.01: WACC estimates, a report for the NSW DNSPs</w:t>
      </w:r>
      <w:r w:rsidRPr="00930291">
        <w:t>, May 2014, p. 65</w:t>
      </w:r>
      <w:r>
        <w:t xml:space="preserve">. See AER, </w:t>
      </w:r>
      <w:r w:rsidRPr="00AC04F4">
        <w:rPr>
          <w:i/>
        </w:rPr>
        <w:t xml:space="preserve">Final decision: SA Power Networks determination 2015-16 to 2019-20, Attachment 3 </w:t>
      </w:r>
      <w:r w:rsidRPr="00AC04F4">
        <w:rPr>
          <w:rFonts w:cs="Arial"/>
          <w:i/>
        </w:rPr>
        <w:t>–</w:t>
      </w:r>
      <w:r w:rsidRPr="00AC04F4">
        <w:rPr>
          <w:i/>
        </w:rPr>
        <w:t xml:space="preserve"> Rate of return</w:t>
      </w:r>
      <w:r>
        <w:t>, October 2015.</w:t>
      </w:r>
    </w:p>
  </w:footnote>
  <w:footnote w:id="1203">
    <w:p w:rsidR="003F1AAB" w:rsidRDefault="003F1AAB" w:rsidP="00E6234D">
      <w:pPr>
        <w:pStyle w:val="FootnoteText"/>
      </w:pPr>
      <w:r>
        <w:rPr>
          <w:rStyle w:val="FootnoteReference"/>
        </w:rPr>
        <w:footnoteRef/>
      </w:r>
      <w:r>
        <w:t xml:space="preserve"> </w:t>
      </w:r>
      <w:r>
        <w:tab/>
      </w:r>
      <w:r w:rsidRPr="009020CE">
        <w:t>This is supported by Standard and Poor's who have stated that they consider the importance of the entities role to government and whether it could be considered a core investment when undertaking credit ratings assessments</w:t>
      </w:r>
    </w:p>
  </w:footnote>
  <w:footnote w:id="1204">
    <w:p w:rsidR="003F1AAB" w:rsidRDefault="003F1AAB" w:rsidP="00E6234D">
      <w:pPr>
        <w:pStyle w:val="FootnoteText"/>
      </w:pPr>
      <w:r>
        <w:rPr>
          <w:rStyle w:val="FootnoteReference"/>
        </w:rPr>
        <w:footnoteRef/>
      </w:r>
      <w:r>
        <w:t xml:space="preserve"> </w:t>
      </w:r>
      <w:r>
        <w:tab/>
        <w:t xml:space="preserve">ECCSA, </w:t>
      </w:r>
      <w:r w:rsidRPr="005C528A">
        <w:rPr>
          <w:rStyle w:val="AERtextitalic"/>
        </w:rPr>
        <w:t>AER review of SAPN application 2014: ECCSA response to AER's preliminary decision</w:t>
      </w:r>
      <w:r>
        <w:t>, June 2015</w:t>
      </w:r>
    </w:p>
  </w:footnote>
  <w:footnote w:id="1205">
    <w:p w:rsidR="003F1AAB" w:rsidRDefault="003F1AAB" w:rsidP="00E6234D">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December 2013, p. 156.</w:t>
      </w:r>
    </w:p>
  </w:footnote>
  <w:footnote w:id="1206">
    <w:p w:rsidR="003F1AAB" w:rsidRDefault="003F1AAB" w:rsidP="00E6234D">
      <w:pPr>
        <w:pStyle w:val="FootnoteText"/>
      </w:pPr>
      <w:r>
        <w:rPr>
          <w:rStyle w:val="FootnoteReference"/>
        </w:rPr>
        <w:footnoteRef/>
      </w:r>
      <w:r>
        <w:t xml:space="preserve"> </w:t>
      </w:r>
      <w:r>
        <w:tab/>
        <w:t xml:space="preserve">AusNet Transmission Group Pty Ltd, </w:t>
      </w:r>
      <w:r w:rsidRPr="0047386D">
        <w:rPr>
          <w:i/>
        </w:rPr>
        <w:t>Transmission Revenue Review 2017</w:t>
      </w:r>
      <w:r w:rsidRPr="0047386D">
        <w:rPr>
          <w:rFonts w:cs="Arial"/>
          <w:i/>
        </w:rPr>
        <w:t>–</w:t>
      </w:r>
      <w:r w:rsidRPr="0047386D">
        <w:rPr>
          <w:i/>
        </w:rPr>
        <w:t>2022 regulatory proposal</w:t>
      </w:r>
      <w:r>
        <w:t>, 30 October 2015, p. 270.</w:t>
      </w:r>
    </w:p>
  </w:footnote>
  <w:footnote w:id="1207">
    <w:p w:rsidR="003F1AAB" w:rsidRDefault="003F1AAB" w:rsidP="00E6234D">
      <w:pPr>
        <w:pStyle w:val="FootnoteText"/>
      </w:pPr>
      <w:r>
        <w:rPr>
          <w:rStyle w:val="FootnoteReference"/>
        </w:rPr>
        <w:footnoteRef/>
      </w:r>
      <w:r>
        <w:t xml:space="preserve"> </w:t>
      </w:r>
      <w:r>
        <w:tab/>
        <w:t xml:space="preserve">Australian Competition Tribunal, </w:t>
      </w:r>
      <w:r w:rsidRPr="00FA2361">
        <w:rPr>
          <w:rStyle w:val="AERtextitalic"/>
        </w:rPr>
        <w:t>Applications by Public Interest Advocacy Centre Ltd and Ausgrid [2016] ACompT 1</w:t>
      </w:r>
      <w:r>
        <w:t>, 26 February 2016, para 993.</w:t>
      </w:r>
    </w:p>
  </w:footnote>
  <w:footnote w:id="1208">
    <w:p w:rsidR="003F1AAB" w:rsidRDefault="003F1AAB" w:rsidP="00E6234D">
      <w:pPr>
        <w:pStyle w:val="FootnoteText"/>
      </w:pPr>
      <w:r>
        <w:rPr>
          <w:rStyle w:val="FootnoteReference"/>
        </w:rPr>
        <w:footnoteRef/>
      </w:r>
      <w:r>
        <w:t xml:space="preserve"> </w:t>
      </w:r>
      <w:r>
        <w:tab/>
        <w:t xml:space="preserve">AusNet Transmission Group Pty Ltd, </w:t>
      </w:r>
      <w:r w:rsidRPr="0047386D">
        <w:rPr>
          <w:i/>
        </w:rPr>
        <w:t>Transmission Revenue Review 2017</w:t>
      </w:r>
      <w:r w:rsidRPr="0047386D">
        <w:rPr>
          <w:rFonts w:cs="Arial"/>
          <w:i/>
        </w:rPr>
        <w:t>–</w:t>
      </w:r>
      <w:r w:rsidRPr="0047386D">
        <w:rPr>
          <w:i/>
        </w:rPr>
        <w:t>2022 regulatory proposal</w:t>
      </w:r>
      <w:r>
        <w:t>, 30 October 2015, p. 272.</w:t>
      </w:r>
    </w:p>
  </w:footnote>
  <w:footnote w:id="1209">
    <w:p w:rsidR="003F1AAB" w:rsidRDefault="003F1AAB" w:rsidP="00E6234D">
      <w:pPr>
        <w:pStyle w:val="FootnoteText"/>
      </w:pPr>
      <w:r>
        <w:rPr>
          <w:rStyle w:val="FootnoteReference"/>
        </w:rPr>
        <w:footnoteRef/>
      </w:r>
      <w:r>
        <w:t xml:space="preserve"> </w:t>
      </w:r>
      <w:r>
        <w:tab/>
        <w:t>For instance, Envestra, SP AusNet, Multinet and APA</w:t>
      </w:r>
      <w:r w:rsidDel="00E41095">
        <w:t xml:space="preserve"> </w:t>
      </w:r>
      <w:r>
        <w:t xml:space="preserve">Group raised this when submitting CEG, </w:t>
      </w:r>
      <w:r w:rsidRPr="00AC04F4">
        <w:rPr>
          <w:rStyle w:val="AERtextitalic"/>
        </w:rPr>
        <w:t>Internal consistent of risk free rate and MRP in the CAPM</w:t>
      </w:r>
      <w:r>
        <w:t xml:space="preserve">, March 2012, p. 4. Also see Powerlink, </w:t>
      </w:r>
      <w:r w:rsidRPr="00AC04F4">
        <w:rPr>
          <w:i/>
        </w:rPr>
        <w:t>Revised revenue proposal</w:t>
      </w:r>
      <w:r>
        <w:t>, January 2012, p. 24.</w:t>
      </w:r>
    </w:p>
  </w:footnote>
  <w:footnote w:id="1210">
    <w:p w:rsidR="003F1AAB" w:rsidRDefault="003F1AAB" w:rsidP="00E6234D">
      <w:pPr>
        <w:pStyle w:val="FootnoteText"/>
      </w:pPr>
      <w:r>
        <w:rPr>
          <w:rStyle w:val="FootnoteReference"/>
        </w:rPr>
        <w:footnoteRef/>
      </w:r>
      <w:r>
        <w:t xml:space="preserve"> </w:t>
      </w:r>
      <w:r>
        <w:tab/>
        <w:t xml:space="preserve">This is set out in AER, </w:t>
      </w:r>
      <w:r w:rsidRPr="00AC04F4">
        <w:rPr>
          <w:i/>
        </w:rPr>
        <w:t>Rate of return guideline</w:t>
      </w:r>
      <w:r>
        <w:t>, December 2013.</w:t>
      </w:r>
    </w:p>
  </w:footnote>
  <w:footnote w:id="1211">
    <w:p w:rsidR="003F1AAB" w:rsidRDefault="003F1AAB" w:rsidP="00E6234D">
      <w:pPr>
        <w:pStyle w:val="FootnoteText"/>
      </w:pPr>
      <w:r>
        <w:rPr>
          <w:rStyle w:val="FootnoteReference"/>
        </w:rPr>
        <w:footnoteRef/>
      </w:r>
      <w:r>
        <w:t xml:space="preserve"> </w:t>
      </w:r>
      <w:r>
        <w:tab/>
        <w:t xml:space="preserve">ECCV, </w:t>
      </w:r>
      <w:r w:rsidRPr="00AC04F4">
        <w:rPr>
          <w:i/>
        </w:rPr>
        <w:t>A response to AusNet revenue reset proposal</w:t>
      </w:r>
      <w:r>
        <w:t>, 9 February 2016, p. 41.</w:t>
      </w:r>
    </w:p>
  </w:footnote>
  <w:footnote w:id="1212">
    <w:p w:rsidR="003F1AAB" w:rsidRDefault="003F1AAB" w:rsidP="00E6234D">
      <w:pPr>
        <w:pStyle w:val="FootnoteText"/>
      </w:pPr>
      <w:r>
        <w:rPr>
          <w:rStyle w:val="FootnoteReference"/>
        </w:rPr>
        <w:footnoteRef/>
      </w:r>
      <w:r>
        <w:t xml:space="preserve"> </w:t>
      </w:r>
      <w:r>
        <w:tab/>
        <w:t xml:space="preserve">Moody's, </w:t>
      </w:r>
      <w:r w:rsidRPr="00F86BD8">
        <w:rPr>
          <w:rStyle w:val="AERtextitalic"/>
        </w:rPr>
        <w:t>Transparency in regulatory framework supports stable outlook, but countermeasures required to offset declining returns</w:t>
      </w:r>
      <w:r>
        <w:t>, 29 June 2015, pp.1–3.</w:t>
      </w:r>
    </w:p>
  </w:footnote>
  <w:footnote w:id="1213">
    <w:p w:rsidR="003F1AAB" w:rsidRDefault="003F1AAB" w:rsidP="00E6234D">
      <w:pPr>
        <w:pStyle w:val="FootnoteText"/>
      </w:pPr>
      <w:r>
        <w:rPr>
          <w:rStyle w:val="FootnoteReference"/>
        </w:rPr>
        <w:footnoteRef/>
      </w:r>
      <w:r>
        <w:t xml:space="preserve"> </w:t>
      </w:r>
      <w:r>
        <w:tab/>
        <w:t xml:space="preserve">Australian Competition Tribunal, </w:t>
      </w:r>
      <w:r w:rsidRPr="005772E3">
        <w:rPr>
          <w:rStyle w:val="AERtextitalic"/>
        </w:rPr>
        <w:t>Applications by Public Interest Advocacy Centre Ltd and Ausgrid [2016] ACompT 1</w:t>
      </w:r>
      <w:r>
        <w:t>, 26 February 2016, paras 813, 993. For our guideline approach, see 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214">
    <w:p w:rsidR="003F1AAB" w:rsidRDefault="003F1AAB" w:rsidP="00E6234D">
      <w:pPr>
        <w:pStyle w:val="FootnoteText"/>
      </w:pPr>
      <w:r>
        <w:rPr>
          <w:rStyle w:val="FootnoteReference"/>
        </w:rPr>
        <w:footnoteRef/>
      </w:r>
      <w:r>
        <w:t xml:space="preserve"> </w:t>
      </w:r>
      <w:r>
        <w:tab/>
        <w:t xml:space="preserve">CEG, </w:t>
      </w:r>
      <w:r w:rsidRPr="00AC04F4">
        <w:rPr>
          <w:i/>
        </w:rPr>
        <w:t xml:space="preserve">Efficient debt financing costs </w:t>
      </w:r>
      <w:r w:rsidRPr="00AC04F4">
        <w:rPr>
          <w:rFonts w:cs="Arial"/>
          <w:i/>
        </w:rPr>
        <w:t>–</w:t>
      </w:r>
      <w:r w:rsidRPr="00AC04F4">
        <w:rPr>
          <w:i/>
        </w:rPr>
        <w:t xml:space="preserve"> A report for ActewAGL</w:t>
      </w:r>
      <w:r>
        <w:t>, 19 January 2015.</w:t>
      </w:r>
    </w:p>
  </w:footnote>
  <w:footnote w:id="1215">
    <w:p w:rsidR="003F1AAB" w:rsidRDefault="003F1AAB" w:rsidP="00E6234D">
      <w:pPr>
        <w:pStyle w:val="FootnoteText"/>
      </w:pPr>
      <w:r>
        <w:rPr>
          <w:rStyle w:val="FootnoteReference"/>
        </w:rPr>
        <w:footnoteRef/>
      </w:r>
      <w:r>
        <w:t xml:space="preserve"> </w:t>
      </w:r>
      <w:r>
        <w:tab/>
        <w:t xml:space="preserve">AER, </w:t>
      </w:r>
      <w:r w:rsidRPr="00AC04F4">
        <w:rPr>
          <w:i/>
        </w:rPr>
        <w:t>Final decision: ActewAGL distribution determination 2015-16 to 2018-9, Attachment 3</w:t>
      </w:r>
      <w:r w:rsidRPr="00AC04F4">
        <w:rPr>
          <w:rFonts w:cs="Arial"/>
          <w:i/>
        </w:rPr>
        <w:t>–</w:t>
      </w:r>
      <w:r w:rsidRPr="00AC04F4">
        <w:rPr>
          <w:i/>
        </w:rPr>
        <w:t>Rate of return</w:t>
      </w:r>
      <w:r>
        <w:t>, April 2015, pp. 537</w:t>
      </w:r>
      <w:r>
        <w:rPr>
          <w:rFonts w:cs="Arial"/>
        </w:rPr>
        <w:t>–</w:t>
      </w:r>
      <w:r>
        <w:t>9.</w:t>
      </w:r>
    </w:p>
  </w:footnote>
  <w:footnote w:id="1216">
    <w:p w:rsidR="003F1AAB" w:rsidRDefault="003F1AAB" w:rsidP="00E6234D">
      <w:pPr>
        <w:pStyle w:val="FootnoteText"/>
      </w:pPr>
      <w:r>
        <w:rPr>
          <w:rStyle w:val="FootnoteReference"/>
        </w:rPr>
        <w:footnoteRef/>
      </w:r>
      <w:r>
        <w:t xml:space="preserve"> </w:t>
      </w:r>
      <w:r>
        <w:tab/>
        <w:t xml:space="preserve">CEG, </w:t>
      </w:r>
      <w:r w:rsidRPr="00C362CE">
        <w:rPr>
          <w:rStyle w:val="AERtextitalic"/>
        </w:rPr>
        <w:t>Efficient debt financing costs</w:t>
      </w:r>
      <w:r>
        <w:t>, January 2015, pp. 54</w:t>
      </w:r>
      <w:r>
        <w:rPr>
          <w:rFonts w:cs="Arial"/>
        </w:rPr>
        <w:t>–</w:t>
      </w:r>
      <w:r>
        <w:t xml:space="preserve">60. </w:t>
      </w:r>
      <w:r w:rsidRPr="00C362CE">
        <w:t xml:space="preserve">Moody’s Investor Service, </w:t>
      </w:r>
      <w:r w:rsidRPr="00C362CE">
        <w:rPr>
          <w:rStyle w:val="AERtextitalic"/>
        </w:rPr>
        <w:t>Rating Methodology: Regulated Electric and Gas Networks</w:t>
      </w:r>
      <w:r w:rsidRPr="00C362CE">
        <w:t>, 25 November 2014.</w:t>
      </w:r>
    </w:p>
  </w:footnote>
  <w:footnote w:id="1217">
    <w:p w:rsidR="003F1AAB" w:rsidRDefault="003F1AAB" w:rsidP="00E6234D">
      <w:pPr>
        <w:pStyle w:val="FootnoteText"/>
      </w:pPr>
      <w:r>
        <w:rPr>
          <w:rStyle w:val="FootnoteReference"/>
        </w:rPr>
        <w:footnoteRef/>
      </w:r>
      <w:r>
        <w:t xml:space="preserve"> </w:t>
      </w:r>
      <w:r>
        <w:tab/>
        <w:t xml:space="preserve">Moody's Investors Service, </w:t>
      </w:r>
      <w:r w:rsidRPr="00361F04">
        <w:rPr>
          <w:rStyle w:val="AERtextitalic"/>
        </w:rPr>
        <w:t>Rating methodology: Regulated electric and gas networks</w:t>
      </w:r>
      <w:r>
        <w:t>,  25 November 2014, p. 32.</w:t>
      </w:r>
    </w:p>
  </w:footnote>
  <w:footnote w:id="1218">
    <w:p w:rsidR="003F1AAB" w:rsidRDefault="003F1AAB" w:rsidP="00E6234D">
      <w:pPr>
        <w:pStyle w:val="FootnoteText"/>
      </w:pPr>
      <w:r>
        <w:rPr>
          <w:rStyle w:val="FootnoteReference"/>
        </w:rPr>
        <w:footnoteRef/>
      </w:r>
      <w:r>
        <w:t xml:space="preserve"> </w:t>
      </w:r>
      <w:r>
        <w:tab/>
        <w:t xml:space="preserve">In its report, </w:t>
      </w:r>
      <w:r w:rsidRPr="00506591">
        <w:t>CEG gave two</w:t>
      </w:r>
      <w:r>
        <w:t xml:space="preserve"> of Moody’s qualitative</w:t>
      </w:r>
      <w:r w:rsidRPr="00506591">
        <w:t xml:space="preserve"> risk factors sub-investment grade ratings—'stability and predictability of the regulatory regime' and 'cost investment recovery (ability and timeliness)'. It stated that this, 'largely reflects the AER's new and untested use of benchmarking in the draft decision to reduce ActewAGL’s opex allowance by around 40% relative to proposed opex'</w:t>
      </w:r>
      <w:r>
        <w:t xml:space="preserve">. See CEG, </w:t>
      </w:r>
      <w:r w:rsidRPr="00C362CE">
        <w:rPr>
          <w:rStyle w:val="AERtextitalic"/>
        </w:rPr>
        <w:t>Efficient debt financing costs</w:t>
      </w:r>
      <w:r>
        <w:t>, January 2015, pp. 58</w:t>
      </w:r>
      <w:r w:rsidRPr="008A71B2">
        <w:t>–</w:t>
      </w:r>
      <w:r>
        <w:t>59.</w:t>
      </w:r>
    </w:p>
  </w:footnote>
  <w:footnote w:id="1219">
    <w:p w:rsidR="003F1AAB" w:rsidRDefault="003F1AAB" w:rsidP="00E6234D">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rPr>
          <w:rStyle w:val="AERtextitalic"/>
        </w:rPr>
        <w:t>: Attachment 1</w:t>
      </w:r>
      <w:r>
        <w:t>, August 2015, p. 86.</w:t>
      </w:r>
    </w:p>
  </w:footnote>
  <w:footnote w:id="1220">
    <w:p w:rsidR="003F1AAB" w:rsidRDefault="003F1AAB" w:rsidP="00E6234D">
      <w:pPr>
        <w:pStyle w:val="FootnoteText"/>
      </w:pPr>
      <w:r>
        <w:rPr>
          <w:rStyle w:val="FootnoteReference"/>
        </w:rPr>
        <w:footnoteRef/>
      </w:r>
      <w:r>
        <w:t xml:space="preserve"> </w:t>
      </w:r>
      <w:r>
        <w:tab/>
        <w:t xml:space="preserve">All these service providers nominated an averaging period for their first regulatory year (except for United Energy, who nominated averaging periods for its first and second regulatory years). They proposed an annual process to nominate averaging periods for the subsequent regulatory years. See: United Energy, </w:t>
      </w:r>
      <w:r w:rsidRPr="004D1E24">
        <w:rPr>
          <w:rStyle w:val="AERtextitalic"/>
        </w:rPr>
        <w:t>Regulatory proposal—Rate of return on debt attachment</w:t>
      </w:r>
      <w:r>
        <w:t>, 30 April 2015, pp. 31–36; JEN</w:t>
      </w:r>
      <w:r w:rsidRPr="004D1E24">
        <w:rPr>
          <w:rStyle w:val="AERtextitalic"/>
        </w:rPr>
        <w:t>, Regulatory proposal—Attachment 9-2: Rate of return proposal</w:t>
      </w:r>
      <w:r>
        <w:t xml:space="preserve">, 30 April 2015, pp. 101–102; CitiPower, </w:t>
      </w:r>
      <w:r w:rsidRPr="004D1E24">
        <w:rPr>
          <w:rStyle w:val="AERtextitalic"/>
        </w:rPr>
        <w:t>Regulatory proposal</w:t>
      </w:r>
      <w:r>
        <w:t xml:space="preserve">, 30 April 2015, pp. 235–238; Powercor, </w:t>
      </w:r>
      <w:r w:rsidRPr="004D1E24">
        <w:rPr>
          <w:rStyle w:val="AERtextitalic"/>
        </w:rPr>
        <w:t>Regulatory proposal</w:t>
      </w:r>
      <w:r>
        <w:t xml:space="preserve">, 30 April 2015, pp. 243–246; ActewAGL, </w:t>
      </w:r>
      <w:r w:rsidRPr="004D1E24">
        <w:rPr>
          <w:rStyle w:val="AERtextitalic"/>
        </w:rPr>
        <w:t>Access arrangement proposal—Appendix 8.01: Detailed return on debt proposal</w:t>
      </w:r>
      <w:r>
        <w:t>, 1 July 2015, pp. 15–17.</w:t>
      </w:r>
    </w:p>
  </w:footnote>
  <w:footnote w:id="1221">
    <w:p w:rsidR="003F1AAB" w:rsidRDefault="003F1AAB" w:rsidP="00E6234D">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222">
    <w:p w:rsidR="003F1AAB" w:rsidRDefault="003F1AAB" w:rsidP="00E6234D">
      <w:pPr>
        <w:pStyle w:val="FootnoteText"/>
      </w:pPr>
      <w:r>
        <w:rPr>
          <w:rStyle w:val="FootnoteReference"/>
        </w:rPr>
        <w:footnoteRef/>
      </w:r>
      <w:r>
        <w:t xml:space="preserve"> </w:t>
      </w:r>
      <w:r>
        <w:tab/>
        <w:t xml:space="preserve">CitiPower, </w:t>
      </w:r>
      <w:r w:rsidRPr="004D1E24">
        <w:rPr>
          <w:rStyle w:val="AERtextitalic"/>
        </w:rPr>
        <w:t>R</w:t>
      </w:r>
      <w:r>
        <w:rPr>
          <w:rStyle w:val="AERtextitalic"/>
        </w:rPr>
        <w:t>evised r</w:t>
      </w:r>
      <w:r w:rsidRPr="004D1E24">
        <w:rPr>
          <w:rStyle w:val="AERtextitalic"/>
        </w:rPr>
        <w:t>egulatory proposal</w:t>
      </w:r>
      <w:r>
        <w:t xml:space="preserve">, 6 January 2016, p. 349; Powercor, </w:t>
      </w:r>
      <w:r w:rsidRPr="004D1E24">
        <w:rPr>
          <w:rStyle w:val="AERtextitalic"/>
        </w:rPr>
        <w:t>R</w:t>
      </w:r>
      <w:r>
        <w:rPr>
          <w:rStyle w:val="AERtextitalic"/>
        </w:rPr>
        <w:t>evised r</w:t>
      </w:r>
      <w:r w:rsidRPr="004D1E24">
        <w:rPr>
          <w:rStyle w:val="AERtextitalic"/>
        </w:rPr>
        <w:t>egulatory proposal</w:t>
      </w:r>
      <w:r>
        <w:t xml:space="preserve">, 6 January 2016, p. 343; United Energy, </w:t>
      </w:r>
      <w:r w:rsidRPr="004D1E24">
        <w:rPr>
          <w:rStyle w:val="AERtextitalic"/>
        </w:rPr>
        <w:t>R</w:t>
      </w:r>
      <w:r>
        <w:rPr>
          <w:rStyle w:val="AERtextitalic"/>
        </w:rPr>
        <w:t>evised r</w:t>
      </w:r>
      <w:r w:rsidRPr="004D1E24">
        <w:rPr>
          <w:rStyle w:val="AERtextitalic"/>
        </w:rPr>
        <w:t>egulatory proposal</w:t>
      </w:r>
      <w:r>
        <w:t>, 6 January 2016, p. 75</w:t>
      </w:r>
      <w:r>
        <w:rPr>
          <w:rStyle w:val="AERtextitalic"/>
        </w:rPr>
        <w:t>.</w:t>
      </w:r>
    </w:p>
  </w:footnote>
  <w:footnote w:id="1223">
    <w:p w:rsidR="003F1AAB" w:rsidRDefault="003F1AAB" w:rsidP="00E6234D">
      <w:pPr>
        <w:pStyle w:val="FootnoteText"/>
      </w:pPr>
      <w:r>
        <w:rPr>
          <w:rStyle w:val="FootnoteReference"/>
        </w:rPr>
        <w:footnoteRef/>
      </w:r>
      <w:r>
        <w:t xml:space="preserve"> </w:t>
      </w:r>
      <w:r>
        <w:tab/>
        <w:t>NER, cl. 6.5.2(h</w:t>
      </w:r>
      <w:r w:rsidRPr="005F1830">
        <w:t>)</w:t>
      </w:r>
      <w:r>
        <w:t xml:space="preserve"> and 6A.6.2(h); NGR, r. 87(8)</w:t>
      </w:r>
      <w:r w:rsidRPr="005F1830">
        <w:t>.</w:t>
      </w:r>
    </w:p>
  </w:footnote>
  <w:footnote w:id="1224">
    <w:p w:rsidR="003F1AAB" w:rsidRDefault="003F1AAB" w:rsidP="00E6234D">
      <w:pPr>
        <w:pStyle w:val="FootnoteText"/>
      </w:pPr>
      <w:r>
        <w:rPr>
          <w:rStyle w:val="FootnoteReference"/>
        </w:rPr>
        <w:footnoteRef/>
      </w:r>
      <w:r>
        <w:t xml:space="preserve"> </w:t>
      </w:r>
      <w:r>
        <w:tab/>
        <w:t xml:space="preserve">The service providers also considered this approach </w:t>
      </w:r>
      <w:r w:rsidRPr="009446C8">
        <w:t xml:space="preserve">reduces the risk of the </w:t>
      </w:r>
      <w:r>
        <w:t xml:space="preserve">confidential </w:t>
      </w:r>
      <w:r w:rsidRPr="009446C8">
        <w:t>averaging periods becoming known to third parties</w:t>
      </w:r>
      <w:r>
        <w:t xml:space="preserve">. We are satisfied that our approach to handling confidential material minimises the risk of confidential averaging periods becoming known to third parties. United Energy, </w:t>
      </w:r>
      <w:r w:rsidRPr="004D1E24">
        <w:rPr>
          <w:rStyle w:val="AERtextitalic"/>
        </w:rPr>
        <w:t>Regulatory proposal—Rate of return on debt attachment</w:t>
      </w:r>
      <w:r>
        <w:t>, 30 April 2015, pp. 31–36; JEN</w:t>
      </w:r>
      <w:r w:rsidRPr="004D1E24">
        <w:rPr>
          <w:rStyle w:val="AERtextitalic"/>
        </w:rPr>
        <w:t>, Regulatory proposal—Attachment 9-2: Rate of return proposal</w:t>
      </w:r>
      <w:r>
        <w:t xml:space="preserve">, 30 April 2015, pp. 101–102; CitiPower, </w:t>
      </w:r>
      <w:r w:rsidRPr="004D1E24">
        <w:rPr>
          <w:rStyle w:val="AERtextitalic"/>
        </w:rPr>
        <w:t>Regulatory proposal</w:t>
      </w:r>
      <w:r>
        <w:t xml:space="preserve">, 30 April 2015, pp. 235–238; Powercor, </w:t>
      </w:r>
      <w:r w:rsidRPr="004D1E24">
        <w:rPr>
          <w:rStyle w:val="AERtextitalic"/>
        </w:rPr>
        <w:t>Regulatory proposal</w:t>
      </w:r>
      <w:r>
        <w:t xml:space="preserve">, 30 April 2015, pp. 243–246; ActewAGL, </w:t>
      </w:r>
      <w:r w:rsidRPr="004D1E24">
        <w:rPr>
          <w:rStyle w:val="AERtextitalic"/>
        </w:rPr>
        <w:t>Access arrangement proposal—Appendix 8.01: Detailed return on debt proposal</w:t>
      </w:r>
      <w:r>
        <w:t>, 1 July 2015, pp. 15–17.</w:t>
      </w:r>
    </w:p>
  </w:footnote>
  <w:footnote w:id="1225">
    <w:p w:rsidR="003F1AAB" w:rsidRDefault="003F1AAB" w:rsidP="00E6234D">
      <w:pPr>
        <w:pStyle w:val="FootnoteText"/>
      </w:pPr>
      <w:r>
        <w:rPr>
          <w:rStyle w:val="FootnoteReference"/>
        </w:rPr>
        <w:footnoteRef/>
      </w:r>
      <w:r>
        <w:t xml:space="preserve"> </w:t>
      </w:r>
      <w:r>
        <w:tab/>
        <w:t>NER, cl. 6.5.2(k</w:t>
      </w:r>
      <w:r w:rsidRPr="005F1830">
        <w:t>)</w:t>
      </w:r>
      <w:r>
        <w:t>(1) and 6A.6.2(k)(1); NGR, r. 87(11)(1)</w:t>
      </w:r>
      <w:r w:rsidRPr="005F1830">
        <w:t>.</w:t>
      </w:r>
    </w:p>
  </w:footnote>
  <w:footnote w:id="1226">
    <w:p w:rsidR="003F1AAB" w:rsidRDefault="003F1AAB" w:rsidP="00E6234D">
      <w:pPr>
        <w:pStyle w:val="FootnoteText"/>
      </w:pPr>
      <w:r>
        <w:rPr>
          <w:rStyle w:val="FootnoteReference"/>
        </w:rPr>
        <w:footnoteRef/>
      </w:r>
      <w:r>
        <w:t xml:space="preserve"> </w:t>
      </w:r>
      <w:r>
        <w:tab/>
        <w:t>NER, cl.</w:t>
      </w:r>
      <w:r w:rsidRPr="005F1830">
        <w:t xml:space="preserve"> 6.5.2(l)</w:t>
      </w:r>
      <w:r>
        <w:t xml:space="preserve"> and 6A.6.2(l); NGR, r. 87(12)</w:t>
      </w:r>
      <w:r w:rsidRPr="005F1830">
        <w:t>.</w:t>
      </w:r>
    </w:p>
  </w:footnote>
  <w:footnote w:id="1227">
    <w:p w:rsidR="003F1AAB" w:rsidRDefault="003F1AAB" w:rsidP="00E6234D">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228">
    <w:p w:rsidR="003F1AAB" w:rsidRDefault="003F1AAB" w:rsidP="00E6234D">
      <w:pPr>
        <w:pStyle w:val="FootnoteText"/>
      </w:pPr>
      <w:r>
        <w:rPr>
          <w:rStyle w:val="FootnoteReference"/>
        </w:rPr>
        <w:footnoteRef/>
      </w:r>
      <w:r>
        <w:t xml:space="preserve"> </w:t>
      </w:r>
      <w:r>
        <w:tab/>
        <w:t>NER, cl. 6.5.2(h</w:t>
      </w:r>
      <w:r w:rsidRPr="005F1830">
        <w:t>)</w:t>
      </w:r>
      <w:r>
        <w:t xml:space="preserve"> and 6A.6.2(h); NGR, r. 87(8)</w:t>
      </w:r>
      <w:r w:rsidRPr="005F1830">
        <w:t>.</w:t>
      </w:r>
    </w:p>
  </w:footnote>
  <w:footnote w:id="1229">
    <w:p w:rsidR="003F1AAB" w:rsidRDefault="003F1AAB" w:rsidP="00E6234D">
      <w:pPr>
        <w:pStyle w:val="FootnoteText"/>
      </w:pPr>
      <w:r>
        <w:rPr>
          <w:rStyle w:val="FootnoteReference"/>
        </w:rPr>
        <w:footnoteRef/>
      </w:r>
      <w:r>
        <w:t xml:space="preserve"> </w:t>
      </w:r>
      <w:r>
        <w:tab/>
        <w:t>Lally observed that if</w:t>
      </w:r>
      <w:r w:rsidRPr="00B60748">
        <w:t xml:space="preserve"> a regulated business can select an averaging period by looking at historical yields, it </w:t>
      </w:r>
      <w:r>
        <w:t>may introduce an upward bias. Lally</w:t>
      </w:r>
      <w:r w:rsidRPr="00B60748">
        <w:t xml:space="preserve">, </w:t>
      </w:r>
      <w:r w:rsidRPr="0033179F">
        <w:rPr>
          <w:rStyle w:val="AERtextitalic"/>
        </w:rPr>
        <w:t>Expert Report of Martin Thomas Lally</w:t>
      </w:r>
      <w:r>
        <w:t>, 13 February 2011, pp. 9</w:t>
      </w:r>
      <w:r>
        <w:rPr>
          <w:rFonts w:cs="Gautami"/>
        </w:rPr>
        <w:t>–</w:t>
      </w:r>
      <w:r w:rsidRPr="00B60748">
        <w:t>10.</w:t>
      </w:r>
    </w:p>
  </w:footnote>
  <w:footnote w:id="1230">
    <w:p w:rsidR="003F1AAB" w:rsidRDefault="003F1AAB" w:rsidP="00E6234D">
      <w:pPr>
        <w:pStyle w:val="FootnoteText"/>
      </w:pPr>
      <w:r>
        <w:rPr>
          <w:rStyle w:val="FootnoteReference"/>
        </w:rPr>
        <w:footnoteRef/>
      </w:r>
      <w:r>
        <w:t xml:space="preserve"> </w:t>
      </w:r>
      <w:r>
        <w:tab/>
        <w:t>In the Federal Court, the reference to 'an unbiased rate of return' was interpolated to involve, '</w:t>
      </w:r>
      <w:r w:rsidRPr="00F31ACD">
        <w:t>making a</w:t>
      </w:r>
      <w:r>
        <w:t xml:space="preserve"> </w:t>
      </w:r>
      <w:r w:rsidRPr="00F31ACD">
        <w:t>prediction about interest rates which although too high or too low at any particular point in</w:t>
      </w:r>
      <w:r>
        <w:t xml:space="preserve"> </w:t>
      </w:r>
      <w:r w:rsidRPr="00F31ACD">
        <w:t>time, is on average correct</w:t>
      </w:r>
      <w:r>
        <w:t xml:space="preserve">'. Federal Court of Australia, </w:t>
      </w:r>
      <w:r w:rsidRPr="007B70AB">
        <w:rPr>
          <w:rStyle w:val="AERtextitalic"/>
        </w:rPr>
        <w:t>ActewAGL Distribution v The Australian Energy Regulator [2011] FCA 639</w:t>
      </w:r>
      <w:r>
        <w:t>, 8 June 2011, para 39.</w:t>
      </w:r>
    </w:p>
  </w:footnote>
  <w:footnote w:id="1231">
    <w:p w:rsidR="003F1AAB" w:rsidRDefault="003F1AAB" w:rsidP="00E6234D">
      <w:pPr>
        <w:pStyle w:val="FootnoteText"/>
      </w:pPr>
      <w:r>
        <w:rPr>
          <w:rStyle w:val="FootnoteReference"/>
        </w:rPr>
        <w:footnoteRef/>
      </w:r>
      <w:r>
        <w:t xml:space="preserve"> </w:t>
      </w:r>
      <w:r>
        <w:tab/>
        <w:t xml:space="preserve">Similar considerations apply when setting averaging periods in advance for estimating both the return on debt and the risk free rate to inform the return on equity.  See AER, </w:t>
      </w:r>
      <w:r w:rsidRPr="00A92047">
        <w:rPr>
          <w:rStyle w:val="AERtextitalic"/>
        </w:rPr>
        <w:t>Explanatory statement to the rate of return guideline</w:t>
      </w:r>
      <w:r>
        <w:t>, December 2013, pp. 79</w:t>
      </w:r>
      <w:r>
        <w:rPr>
          <w:rFonts w:cs="Arial"/>
        </w:rPr>
        <w:t>–</w:t>
      </w:r>
      <w:r>
        <w:t xml:space="preserve">80; </w:t>
      </w:r>
      <w:r w:rsidRPr="00586A00">
        <w:t xml:space="preserve">Lally, M., </w:t>
      </w:r>
      <w:r w:rsidRPr="00586A00">
        <w:rPr>
          <w:rStyle w:val="AERtextitalic"/>
        </w:rPr>
        <w:t>Expert Report of Martin Thomas Lally</w:t>
      </w:r>
      <w:r w:rsidRPr="00586A00">
        <w:t xml:space="preserve">, 13 February 2011, pp. </w:t>
      </w:r>
      <w:r>
        <w:t>9–</w:t>
      </w:r>
      <w:r w:rsidRPr="00586A00">
        <w:t>10</w:t>
      </w:r>
      <w:r>
        <w:t xml:space="preserve">. See the Federal Court of Australia's observations of the views expressed by Houston and Lally in Federal Court of Australia, </w:t>
      </w:r>
      <w:r w:rsidRPr="007826AB">
        <w:rPr>
          <w:rStyle w:val="AERtextitalic"/>
        </w:rPr>
        <w:t>ActewAGL Distribution v The Australian Energy Regulator [2011] FCA 639</w:t>
      </w:r>
      <w:r>
        <w:t xml:space="preserve">, 8 June 2011, para 145. </w:t>
      </w:r>
    </w:p>
  </w:footnote>
  <w:footnote w:id="1232">
    <w:p w:rsidR="003F1AAB" w:rsidRDefault="003F1AAB" w:rsidP="00E6234D">
      <w:pPr>
        <w:pStyle w:val="FootnoteText"/>
      </w:pPr>
      <w:r>
        <w:rPr>
          <w:rStyle w:val="FootnoteReference"/>
        </w:rPr>
        <w:footnoteRef/>
      </w:r>
      <w:r>
        <w:t xml:space="preserve"> </w:t>
      </w:r>
      <w:r>
        <w:tab/>
        <w:t xml:space="preserve">Ausgrid, </w:t>
      </w:r>
      <w:r w:rsidRPr="00DE4ADB">
        <w:rPr>
          <w:rStyle w:val="AERtextitalic"/>
        </w:rPr>
        <w:t>Revised regulatory proposal and preliminary submission</w:t>
      </w:r>
      <w:r>
        <w:t>, January 2015, pp. 175, 189;</w:t>
      </w:r>
      <w:r w:rsidRPr="00A13612">
        <w:t xml:space="preserve"> </w:t>
      </w:r>
      <w:r>
        <w:t xml:space="preserve">Endeavour Energy, </w:t>
      </w:r>
      <w:r w:rsidRPr="007D1684">
        <w:rPr>
          <w:rStyle w:val="AERtextitalic"/>
        </w:rPr>
        <w:t>Revised regulatory proposal</w:t>
      </w:r>
      <w:r>
        <w:t>, January 2015, pp. 205, 214;</w:t>
      </w:r>
      <w:r w:rsidRPr="00A13612">
        <w:t xml:space="preserve"> </w:t>
      </w:r>
      <w:r>
        <w:t xml:space="preserve">Essential Energy, </w:t>
      </w:r>
      <w:r w:rsidRPr="007D1684">
        <w:rPr>
          <w:rStyle w:val="AERtextitalic"/>
        </w:rPr>
        <w:t>Revised regulatory proposal</w:t>
      </w:r>
      <w:r>
        <w:t>, January 2015, pp. 215, 232.</w:t>
      </w:r>
    </w:p>
  </w:footnote>
  <w:footnote w:id="1233">
    <w:p w:rsidR="003F1AAB" w:rsidRDefault="003F1AAB" w:rsidP="00E6234D">
      <w:pPr>
        <w:pStyle w:val="FootnoteText"/>
      </w:pPr>
      <w:r>
        <w:rPr>
          <w:rStyle w:val="FootnoteReference"/>
        </w:rPr>
        <w:footnoteRef/>
      </w:r>
      <w:r>
        <w:t xml:space="preserve"> </w:t>
      </w:r>
      <w:r>
        <w:tab/>
      </w:r>
      <w:r w:rsidRPr="00352395">
        <w:t xml:space="preserve">Australian Competition Tribunal, </w:t>
      </w:r>
      <w:r w:rsidRPr="00DE4ADB">
        <w:rPr>
          <w:rStyle w:val="AERtextitalic"/>
        </w:rPr>
        <w:t>Application by Energy</w:t>
      </w:r>
      <w:r>
        <w:rPr>
          <w:rStyle w:val="AERtextitalic"/>
        </w:rPr>
        <w:t xml:space="preserve"> </w:t>
      </w:r>
      <w:r w:rsidRPr="00DE4ADB">
        <w:rPr>
          <w:rStyle w:val="AERtextitalic"/>
        </w:rPr>
        <w:t>Australia and Others [2009] ACompT 8</w:t>
      </w:r>
      <w:r w:rsidRPr="00352395">
        <w:t>, 12 November 2009</w:t>
      </w:r>
      <w:r>
        <w:t xml:space="preserve">; Federal Court of Australia, </w:t>
      </w:r>
      <w:r w:rsidRPr="00DE4ADB">
        <w:rPr>
          <w:rStyle w:val="AERtextitalic"/>
        </w:rPr>
        <w:t>ActewAGL Distribution v The Australian Energy Regulator [2011] FCA 639</w:t>
      </w:r>
      <w:r>
        <w:t>, 8 June 2011.</w:t>
      </w:r>
    </w:p>
  </w:footnote>
  <w:footnote w:id="1234">
    <w:p w:rsidR="003F1AAB" w:rsidRDefault="003F1AAB" w:rsidP="00E6234D">
      <w:pPr>
        <w:pStyle w:val="FootnoteText"/>
      </w:pPr>
      <w:r>
        <w:rPr>
          <w:rStyle w:val="FootnoteReference"/>
        </w:rPr>
        <w:footnoteRef/>
      </w:r>
      <w:r>
        <w:t xml:space="preserve"> </w:t>
      </w:r>
      <w:r>
        <w:tab/>
        <w:t xml:space="preserve">For example see, AER, </w:t>
      </w:r>
      <w:r w:rsidRPr="00DE4ADB">
        <w:rPr>
          <w:rStyle w:val="AERtextitalic"/>
        </w:rPr>
        <w:t>distribution determination, Aurora 2012–13 to 2016–17</w:t>
      </w:r>
      <w:r>
        <w:t>, pp. 192</w:t>
      </w:r>
      <w:r>
        <w:rPr>
          <w:rFonts w:cs="Arial"/>
        </w:rPr>
        <w:t>–</w:t>
      </w:r>
      <w:r>
        <w:t xml:space="preserve">209; AER, </w:t>
      </w:r>
      <w:r w:rsidRPr="00DE4ADB">
        <w:rPr>
          <w:rStyle w:val="AERtextitalic"/>
        </w:rPr>
        <w:t>SP AusNet final decision part 2: Attachments</w:t>
      </w:r>
      <w:r>
        <w:t xml:space="preserve">, March 2013, p. 75; AER, </w:t>
      </w:r>
      <w:r w:rsidRPr="00DE4ADB">
        <w:rPr>
          <w:rStyle w:val="AERtextitalic"/>
        </w:rPr>
        <w:t>SP AusNet final decision part 2: Attachments</w:t>
      </w:r>
      <w:r>
        <w:t xml:space="preserve">, March 2013, p. 114; AER, </w:t>
      </w:r>
      <w:r w:rsidRPr="00DE4ADB">
        <w:rPr>
          <w:rStyle w:val="AERtextitalic"/>
        </w:rPr>
        <w:t>Multinet final decision part 2: Attachments</w:t>
      </w:r>
      <w:r>
        <w:t>, March 2013, p. 97.</w:t>
      </w:r>
    </w:p>
  </w:footnote>
  <w:footnote w:id="1235">
    <w:p w:rsidR="003F1AAB" w:rsidRDefault="003F1AAB" w:rsidP="00E6234D">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 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 46.</w:t>
      </w:r>
    </w:p>
  </w:footnote>
  <w:footnote w:id="1236">
    <w:p w:rsidR="003F1AAB" w:rsidRDefault="003F1AAB" w:rsidP="00E6234D">
      <w:pPr>
        <w:pStyle w:val="FootnoteText"/>
      </w:pPr>
      <w:r>
        <w:rPr>
          <w:rStyle w:val="FootnoteReference"/>
        </w:rPr>
        <w:footnoteRef/>
      </w:r>
      <w:r>
        <w:t xml:space="preserve"> </w:t>
      </w:r>
      <w:r>
        <w:tab/>
        <w:t xml:space="preserve">AER, </w:t>
      </w:r>
      <w:r w:rsidRPr="0033179F">
        <w:rPr>
          <w:rStyle w:val="AERtextitalic"/>
        </w:rPr>
        <w:t>Explanatory statement to the rate of return guideline</w:t>
      </w:r>
      <w:r>
        <w:t>, 17 December 2013, p. 112.</w:t>
      </w:r>
    </w:p>
  </w:footnote>
  <w:footnote w:id="1237">
    <w:p w:rsidR="003F1AAB" w:rsidRDefault="003F1AAB" w:rsidP="00E6234D">
      <w:pPr>
        <w:pStyle w:val="FootnoteText"/>
      </w:pPr>
      <w:r>
        <w:rPr>
          <w:rStyle w:val="FootnoteReference"/>
        </w:rPr>
        <w:footnoteRef/>
      </w:r>
      <w:r>
        <w:t xml:space="preserve"> </w:t>
      </w:r>
      <w:r>
        <w:tab/>
      </w:r>
      <w:r w:rsidRPr="00F201AD">
        <w:t xml:space="preserve">JEN, </w:t>
      </w:r>
      <w:r w:rsidRPr="00024C7E">
        <w:rPr>
          <w:rStyle w:val="AERtextitalic"/>
        </w:rPr>
        <w:t>Regulatory proposal—Attachment 9-2: Rate of return proposal</w:t>
      </w:r>
      <w:r w:rsidRPr="00F201AD">
        <w:t>, 30 April 2015</w:t>
      </w:r>
      <w:r>
        <w:t xml:space="preserve">, pp. 101–102; </w:t>
      </w:r>
      <w:r w:rsidRPr="00F201AD">
        <w:t xml:space="preserve">ActewAGL, </w:t>
      </w:r>
      <w:r w:rsidRPr="00024C7E">
        <w:rPr>
          <w:rStyle w:val="AERtextitalic"/>
        </w:rPr>
        <w:t>Access arrangement proposal—Appendix 8.01: Detailed return on debt proposal</w:t>
      </w:r>
      <w:r w:rsidRPr="00F201AD">
        <w:t>, 1 July 2015, pp. 15–17</w:t>
      </w:r>
      <w:r>
        <w:t xml:space="preserve">;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238">
    <w:p w:rsidR="003F1AAB" w:rsidRDefault="003F1AAB" w:rsidP="00E6234D">
      <w:pPr>
        <w:pStyle w:val="FootnoteText"/>
      </w:pPr>
      <w:r>
        <w:rPr>
          <w:rStyle w:val="FootnoteReference"/>
        </w:rPr>
        <w:footnoteRef/>
      </w:r>
      <w:r>
        <w:t xml:space="preserve"> </w:t>
      </w:r>
      <w:r>
        <w:tab/>
        <w:t xml:space="preserve">See Chairmont, </w:t>
      </w:r>
      <w:r w:rsidRPr="0037727B">
        <w:rPr>
          <w:rStyle w:val="AERtextitalic"/>
        </w:rPr>
        <w:t>Cost of debt: Transitional analysis</w:t>
      </w:r>
      <w:r>
        <w:t>, April 2015.</w:t>
      </w:r>
    </w:p>
  </w:footnote>
  <w:footnote w:id="1239">
    <w:p w:rsidR="003F1AAB" w:rsidRDefault="003F1AAB" w:rsidP="00E6234D">
      <w:pPr>
        <w:pStyle w:val="FootnoteText"/>
      </w:pPr>
      <w:r>
        <w:rPr>
          <w:rStyle w:val="FootnoteReference"/>
        </w:rPr>
        <w:footnoteRef/>
      </w:r>
      <w:r>
        <w:t xml:space="preserve"> </w:t>
      </w:r>
      <w:r>
        <w:tab/>
        <w:t xml:space="preserve">AER, </w:t>
      </w:r>
      <w:r w:rsidRPr="0052137B">
        <w:rPr>
          <w:rStyle w:val="AERtextitalic"/>
        </w:rPr>
        <w:t>Rate of return guideline</w:t>
      </w:r>
      <w:r>
        <w:t>, December 2013, p. 21.</w:t>
      </w:r>
    </w:p>
  </w:footnote>
  <w:footnote w:id="1240">
    <w:p w:rsidR="003F1AAB" w:rsidRDefault="003F1AAB" w:rsidP="00E6234D">
      <w:pPr>
        <w:pStyle w:val="FootnoteText"/>
      </w:pPr>
      <w:r>
        <w:rPr>
          <w:rStyle w:val="FootnoteReference"/>
        </w:rPr>
        <w:footnoteRef/>
      </w:r>
      <w:r>
        <w:t xml:space="preserve"> </w:t>
      </w:r>
      <w:r>
        <w:tab/>
        <w:t xml:space="preserve">That is, service providers could nominate a long averaging period, and issue debt sometime within that period. Or they could issue debt around the averaging period. </w:t>
      </w:r>
      <w:r w:rsidRPr="00BF61B5">
        <w:t xml:space="preserve"> </w:t>
      </w:r>
      <w:r>
        <w:t xml:space="preserve">We do not consider it is necessary for a benchmark efficient entity to issue or hedge all debt perfectly within the averaging period for it to receive significant risk reduction benefits. For example, in relation to the NSW service providers, we considered that during the global financing crisis, even if a benchmark efficient entity in their circumstances required 90 business days to hedge their debt, and the averaging periods was 15 or 40 businesses days, this would still be efficient and significantly reduce their interest rate risk relative to not hedging at all. This position is supported by expert advice we received from Chairmont and Lally. AER, </w:t>
      </w:r>
      <w:r w:rsidRPr="00484916">
        <w:rPr>
          <w:rStyle w:val="AERtextitalic"/>
        </w:rPr>
        <w:t>Final decision—TransGrid</w:t>
      </w:r>
      <w:r>
        <w:rPr>
          <w:rStyle w:val="AERtextitalic"/>
        </w:rPr>
        <w:t>–Transmission determination</w:t>
      </w:r>
      <w:r>
        <w:t xml:space="preserve">, April 2015, Attachment 3; Chairmont, </w:t>
      </w:r>
      <w:r w:rsidRPr="00821C3F">
        <w:rPr>
          <w:rStyle w:val="AERtextitalic"/>
        </w:rPr>
        <w:t>Cost of debt: Transitional analysis</w:t>
      </w:r>
      <w:r>
        <w:t xml:space="preserve">, April 2015; Lally, </w:t>
      </w:r>
      <w:r w:rsidRPr="00821C3F">
        <w:rPr>
          <w:rStyle w:val="AERtextitalic"/>
        </w:rPr>
        <w:t>Review of submissions on the cost of debt</w:t>
      </w:r>
      <w:r>
        <w:t>, April 2015.</w:t>
      </w:r>
    </w:p>
  </w:footnote>
  <w:footnote w:id="1241">
    <w:p w:rsidR="003F1AAB" w:rsidRDefault="003F1AAB" w:rsidP="00E6234D">
      <w:pPr>
        <w:pStyle w:val="FootnoteText"/>
      </w:pPr>
      <w:r>
        <w:rPr>
          <w:rStyle w:val="FootnoteReference"/>
        </w:rPr>
        <w:footnoteRef/>
      </w:r>
      <w:r>
        <w:t xml:space="preserve"> </w:t>
      </w:r>
      <w:r>
        <w:tab/>
        <w:t xml:space="preserve">AGN, </w:t>
      </w:r>
      <w:r w:rsidRPr="004D1E24">
        <w:rPr>
          <w:rStyle w:val="AERtextitalic"/>
        </w:rPr>
        <w:t>Access arrangement proposal—Attachment 10.1: Rate of return</w:t>
      </w:r>
      <w:r>
        <w:t xml:space="preserve">, 1 July 2015, pp. 56–57; </w:t>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pp. 41–42.</w:t>
      </w:r>
    </w:p>
  </w:footnote>
  <w:footnote w:id="1242">
    <w:p w:rsidR="003F1AAB" w:rsidRDefault="003F1AAB" w:rsidP="00E6234D">
      <w:pPr>
        <w:pStyle w:val="FootnoteText"/>
      </w:pPr>
      <w:r>
        <w:rPr>
          <w:rStyle w:val="FootnoteReference"/>
        </w:rPr>
        <w:footnoteRef/>
      </w:r>
      <w:r>
        <w:t xml:space="preserve"> </w:t>
      </w:r>
      <w:r>
        <w:tab/>
        <w:t xml:space="preserve">CEG, </w:t>
      </w:r>
      <w:r w:rsidRPr="00E50BD0">
        <w:rPr>
          <w:rStyle w:val="AERtextitalic"/>
        </w:rPr>
        <w:t>The hybrid method for the transition to the trailing average rate of return on debt: Assessment and calculations for AGN</w:t>
      </w:r>
      <w:r>
        <w:t xml:space="preserve">, June 2015, pp. 83–84; CEG, </w:t>
      </w:r>
      <w:r>
        <w:rPr>
          <w:rStyle w:val="AERtextitalic"/>
        </w:rPr>
        <w:t>Curve testing and selecting averaging periods: A report for AGN</w:t>
      </w:r>
      <w:r>
        <w:t>, January 2016, pp. 11–14.</w:t>
      </w:r>
    </w:p>
  </w:footnote>
  <w:footnote w:id="1243">
    <w:p w:rsidR="003F1AAB" w:rsidRDefault="003F1AAB" w:rsidP="00E6234D">
      <w:pPr>
        <w:pStyle w:val="FootnoteText"/>
      </w:pPr>
      <w:r>
        <w:rPr>
          <w:rStyle w:val="FootnoteReference"/>
        </w:rPr>
        <w:footnoteRef/>
      </w:r>
      <w:r>
        <w:t xml:space="preserve"> </w:t>
      </w:r>
      <w:r>
        <w:tab/>
        <w:t xml:space="preserve">AGN, </w:t>
      </w:r>
      <w:r w:rsidRPr="004D1E24">
        <w:rPr>
          <w:rStyle w:val="AERtextitalic"/>
        </w:rPr>
        <w:t>Access arrangement proposal—Attachment 10.1: Rate of return</w:t>
      </w:r>
      <w:r>
        <w:t xml:space="preserve">, 1 July 2015, pp. 56–57; </w:t>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pp. 41–42; CEG, </w:t>
      </w:r>
      <w:r w:rsidRPr="00E50BD0">
        <w:rPr>
          <w:rStyle w:val="AERtextitalic"/>
        </w:rPr>
        <w:t>The hybrid method for the transition to the trailing average rate of return on debt: Assessment and calculations for AGN</w:t>
      </w:r>
      <w:r>
        <w:t xml:space="preserve">, June 2015, pp. 83–84; CEG, </w:t>
      </w:r>
      <w:r>
        <w:rPr>
          <w:rStyle w:val="AERtextitalic"/>
        </w:rPr>
        <w:t>Curve testing and selecting averaging periods: A report for AGN</w:t>
      </w:r>
      <w:r>
        <w:t>, January 2016, pp. 11–14.</w:t>
      </w:r>
    </w:p>
  </w:footnote>
  <w:footnote w:id="1244">
    <w:p w:rsidR="003F1AAB" w:rsidRDefault="003F1AAB" w:rsidP="00E6234D">
      <w:pPr>
        <w:pStyle w:val="FootnoteText"/>
      </w:pPr>
      <w:r>
        <w:rPr>
          <w:rStyle w:val="FootnoteReference"/>
        </w:rPr>
        <w:footnoteRef/>
      </w:r>
      <w:r>
        <w:t xml:space="preserve"> </w:t>
      </w:r>
      <w:r>
        <w:tab/>
        <w:t xml:space="preserve">See AER, </w:t>
      </w:r>
      <w:r w:rsidRPr="00024C7E">
        <w:rPr>
          <w:rStyle w:val="AERtextitalic"/>
        </w:rPr>
        <w:t>Draft decision: Australian Gas Networks access arrangement 2016 to 2021: Attachment 3—Rate of return</w:t>
      </w:r>
      <w:r>
        <w:t xml:space="preserve">, November 2015, pp. 609–611. </w:t>
      </w:r>
    </w:p>
  </w:footnote>
  <w:footnote w:id="1245">
    <w:p w:rsidR="003F1AAB" w:rsidRDefault="003F1AAB" w:rsidP="00E6234D">
      <w:pPr>
        <w:pStyle w:val="FootnoteText"/>
      </w:pPr>
      <w:r>
        <w:rPr>
          <w:rStyle w:val="FootnoteReference"/>
        </w:rPr>
        <w:footnoteRef/>
      </w:r>
      <w:r>
        <w:t xml:space="preserve"> </w:t>
      </w:r>
      <w:r>
        <w:tab/>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 42; CEG, </w:t>
      </w:r>
      <w:r>
        <w:rPr>
          <w:rStyle w:val="AERtextitalic"/>
        </w:rPr>
        <w:t>Curve testing and selecting averaging periods: A report for AGN</w:t>
      </w:r>
      <w:r>
        <w:t>, January 2016, pp. 12–14.</w:t>
      </w:r>
    </w:p>
  </w:footnote>
  <w:footnote w:id="1246">
    <w:p w:rsidR="003F1AAB" w:rsidRDefault="003F1AAB" w:rsidP="00E6234D">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15–16, 22–23</w:t>
      </w:r>
    </w:p>
  </w:footnote>
  <w:footnote w:id="1247">
    <w:p w:rsidR="003F1AAB" w:rsidRDefault="003F1AAB" w:rsidP="00E6234D">
      <w:pPr>
        <w:pStyle w:val="FootnoteText"/>
      </w:pPr>
      <w:r>
        <w:rPr>
          <w:rStyle w:val="FootnoteReference"/>
        </w:rPr>
        <w:footnoteRef/>
      </w:r>
      <w:r>
        <w:t xml:space="preserve"> </w:t>
      </w:r>
      <w:r>
        <w:tab/>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 42; CEG, </w:t>
      </w:r>
      <w:r>
        <w:rPr>
          <w:rStyle w:val="AERtextitalic"/>
        </w:rPr>
        <w:t>Curve testing and selecting averaging periods: A report for AGN</w:t>
      </w:r>
      <w:r>
        <w:t>, January 2016, pp. 12–14.</w:t>
      </w:r>
    </w:p>
  </w:footnote>
  <w:footnote w:id="1248">
    <w:p w:rsidR="003F1AAB" w:rsidRDefault="003F1AAB" w:rsidP="00E6234D">
      <w:pPr>
        <w:pStyle w:val="FootnoteText"/>
      </w:pPr>
      <w:r>
        <w:rPr>
          <w:rStyle w:val="FootnoteReference"/>
        </w:rPr>
        <w:footnoteRef/>
      </w:r>
      <w:r>
        <w:t xml:space="preserve"> </w:t>
      </w:r>
      <w:r>
        <w:tab/>
        <w:t xml:space="preserve">AER, </w:t>
      </w:r>
      <w:r w:rsidRPr="0052137B">
        <w:rPr>
          <w:rStyle w:val="AERtextitalic"/>
        </w:rPr>
        <w:t>Rate of return guideline</w:t>
      </w:r>
      <w:r>
        <w:t>, December 2013, p. 21.</w:t>
      </w:r>
    </w:p>
  </w:footnote>
  <w:footnote w:id="1249">
    <w:p w:rsidR="003F1AAB" w:rsidRDefault="003F1AAB" w:rsidP="00E6234D">
      <w:pPr>
        <w:pStyle w:val="FootnoteText"/>
      </w:pPr>
      <w:r>
        <w:rPr>
          <w:rStyle w:val="FootnoteReference"/>
        </w:rPr>
        <w:footnoteRef/>
      </w:r>
      <w:r>
        <w:t xml:space="preserve"> </w:t>
      </w:r>
      <w:r>
        <w:tab/>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 41; CEG, </w:t>
      </w:r>
      <w:r>
        <w:rPr>
          <w:rStyle w:val="AERtextitalic"/>
        </w:rPr>
        <w:t>Curve testing and selecting averaging periods: A report for AGN</w:t>
      </w:r>
      <w:r>
        <w:t>, January 2016, pp. 13–14.</w:t>
      </w:r>
    </w:p>
  </w:footnote>
  <w:footnote w:id="1250">
    <w:p w:rsidR="003F1AAB" w:rsidRDefault="003F1AAB" w:rsidP="00E6234D">
      <w:pPr>
        <w:pStyle w:val="FootnoteText"/>
      </w:pPr>
      <w:r>
        <w:rPr>
          <w:rStyle w:val="FootnoteReference"/>
        </w:rPr>
        <w:footnoteRef/>
      </w:r>
      <w:r>
        <w:t xml:space="preserve"> </w:t>
      </w:r>
      <w:r>
        <w:tab/>
        <w:t xml:space="preserve">AER, </w:t>
      </w:r>
      <w:r w:rsidRPr="00D5478D">
        <w:rPr>
          <w:rStyle w:val="AERtextitalic"/>
        </w:rPr>
        <w:t>Draft decision: Australian Gas Networks access arrangement 2016 to 2021: Attachment 3—Rate of return</w:t>
      </w:r>
      <w:r>
        <w:t xml:space="preserve">, November 2015, </w:t>
      </w:r>
      <w:r w:rsidRPr="00694B70">
        <w:t>section G.8.1</w:t>
      </w:r>
      <w:r>
        <w:t xml:space="preserve">. </w:t>
      </w:r>
    </w:p>
  </w:footnote>
  <w:footnote w:id="1251">
    <w:p w:rsidR="003F1AAB" w:rsidRDefault="003F1AAB" w:rsidP="00BF1E98">
      <w:pPr>
        <w:pStyle w:val="FootnoteText"/>
      </w:pPr>
      <w:r>
        <w:rPr>
          <w:rStyle w:val="FootnoteReference"/>
        </w:rPr>
        <w:footnoteRef/>
      </w:r>
      <w:r>
        <w:t xml:space="preserve"> </w:t>
      </w:r>
      <w:r>
        <w:tab/>
        <w:t xml:space="preserve">AusNet Services, </w:t>
      </w:r>
      <w:r w:rsidRPr="006C0405">
        <w:rPr>
          <w:rStyle w:val="AERtextitalic"/>
        </w:rPr>
        <w:t>Transmission Revenue Review 2017–2022 regulatory proposal</w:t>
      </w:r>
      <w:r>
        <w:t xml:space="preserve">, 30 October 2015, p. 275. </w:t>
      </w:r>
    </w:p>
  </w:footnote>
  <w:footnote w:id="1252">
    <w:p w:rsidR="003F1AAB" w:rsidRDefault="003F1AAB" w:rsidP="00A96DB2">
      <w:pPr>
        <w:pStyle w:val="FootnoteText"/>
      </w:pPr>
      <w:r>
        <w:rPr>
          <w:rStyle w:val="FootnoteReference"/>
        </w:rPr>
        <w:footnoteRef/>
      </w:r>
      <w:r>
        <w:t xml:space="preserve"> </w:t>
      </w:r>
      <w:r>
        <w:tab/>
        <w:t xml:space="preserve">AusNet, </w:t>
      </w:r>
      <w:r w:rsidRPr="004D1E24">
        <w:rPr>
          <w:rStyle w:val="AERtextitalic"/>
        </w:rPr>
        <w:t>Regulatory proposal</w:t>
      </w:r>
      <w:r>
        <w:t>, 30 April 2015, p. 346;</w:t>
      </w:r>
      <w:r w:rsidRPr="00A96DB2">
        <w:t xml:space="preserve"> </w:t>
      </w:r>
      <w:r w:rsidRPr="00986B6E">
        <w:t xml:space="preserve">AusNet, </w:t>
      </w:r>
      <w:r w:rsidRPr="00986B6E">
        <w:rPr>
          <w:rStyle w:val="AERtextitalic"/>
        </w:rPr>
        <w:t>R</w:t>
      </w:r>
      <w:r>
        <w:rPr>
          <w:rStyle w:val="AERtextitalic"/>
        </w:rPr>
        <w:t>evised r</w:t>
      </w:r>
      <w:r w:rsidRPr="00986B6E">
        <w:rPr>
          <w:rStyle w:val="AERtextitalic"/>
        </w:rPr>
        <w:t>egulatory proposal</w:t>
      </w:r>
      <w:r w:rsidRPr="00986B6E">
        <w:t xml:space="preserve">, </w:t>
      </w:r>
      <w:r>
        <w:t>6 January 2016</w:t>
      </w:r>
      <w:r w:rsidRPr="00986B6E">
        <w:t xml:space="preserve">, p. </w:t>
      </w:r>
      <w:r>
        <w:t>177.</w:t>
      </w:r>
    </w:p>
  </w:footnote>
  <w:footnote w:id="1253">
    <w:p w:rsidR="003F1AAB" w:rsidRDefault="003F1AAB" w:rsidP="00E6234D">
      <w:pPr>
        <w:pStyle w:val="FootnoteText"/>
      </w:pPr>
      <w:r>
        <w:rPr>
          <w:rStyle w:val="FootnoteReference"/>
        </w:rPr>
        <w:footnoteRef/>
      </w:r>
      <w:r>
        <w:t xml:space="preserve"> </w:t>
      </w:r>
      <w:r>
        <w:tab/>
        <w:t xml:space="preserve">United Energy, </w:t>
      </w:r>
      <w:r w:rsidRPr="004D1E24">
        <w:rPr>
          <w:rStyle w:val="AERtextitalic"/>
        </w:rPr>
        <w:t>Regulatory proposal—Rate of return on debt attachment</w:t>
      </w:r>
      <w:r>
        <w:t>, 30 April 2015, pp. 31–36; JEN</w:t>
      </w:r>
      <w:r w:rsidRPr="004D1E24">
        <w:rPr>
          <w:rStyle w:val="AERtextitalic"/>
        </w:rPr>
        <w:t>, Regulatory proposal—Attachment 9-2: Rate of return proposal</w:t>
      </w:r>
      <w:r>
        <w:t xml:space="preserve">, 30 April 2015, pp. 101–102; CitiPower, </w:t>
      </w:r>
      <w:r w:rsidRPr="004D1E24">
        <w:rPr>
          <w:rStyle w:val="AERtextitalic"/>
        </w:rPr>
        <w:t>Regulatory proposal</w:t>
      </w:r>
      <w:r>
        <w:t xml:space="preserve">, 30 April 2015, pp. 235–238; Powercor, </w:t>
      </w:r>
      <w:r w:rsidRPr="004D1E24">
        <w:rPr>
          <w:rStyle w:val="AERtextitalic"/>
        </w:rPr>
        <w:t>Regulatory proposal</w:t>
      </w:r>
      <w:r>
        <w:t xml:space="preserve">, 30 April 2015, pp. 243–246; ActewAGL, </w:t>
      </w:r>
      <w:r w:rsidRPr="004D1E24">
        <w:rPr>
          <w:rStyle w:val="AERtextitalic"/>
        </w:rPr>
        <w:t>Access arrangement proposal—Appendix 8.01: Detailed return on debt proposal</w:t>
      </w:r>
      <w:r>
        <w:t xml:space="preserve">, 1 July 2015, pp. 15–17. Also see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254">
    <w:p w:rsidR="003F1AAB" w:rsidRDefault="003F1AAB" w:rsidP="00E6234D">
      <w:pPr>
        <w:pStyle w:val="FootnoteText"/>
      </w:pPr>
      <w:r>
        <w:rPr>
          <w:rStyle w:val="FootnoteReference"/>
        </w:rPr>
        <w:footnoteRef/>
      </w:r>
      <w:r>
        <w:t xml:space="preserve"> </w:t>
      </w:r>
      <w:r>
        <w:tab/>
        <w:t xml:space="preserve">AER, </w:t>
      </w:r>
      <w:r>
        <w:rPr>
          <w:rStyle w:val="AERtextitalic"/>
        </w:rPr>
        <w:t>Explanatory statement to the r</w:t>
      </w:r>
      <w:r w:rsidRPr="0052137B">
        <w:rPr>
          <w:rStyle w:val="AERtextitalic"/>
        </w:rPr>
        <w:t>ate of return guideline</w:t>
      </w:r>
      <w:r>
        <w:t>, December 2013, p. 104.</w:t>
      </w:r>
    </w:p>
  </w:footnote>
  <w:footnote w:id="1255">
    <w:p w:rsidR="003F1AAB" w:rsidRDefault="003F1AAB" w:rsidP="00E6234D">
      <w:pPr>
        <w:pStyle w:val="FootnoteText"/>
      </w:pPr>
      <w:r>
        <w:rPr>
          <w:rStyle w:val="FootnoteReference"/>
        </w:rPr>
        <w:footnoteRef/>
      </w:r>
      <w:r>
        <w:t xml:space="preserve"> </w:t>
      </w:r>
      <w:r>
        <w:tab/>
        <w:t>We have also proposed and adopted a full transition into the trailing average approach. This s</w:t>
      </w:r>
      <w:r w:rsidRPr="00553558">
        <w:t>tart</w:t>
      </w:r>
      <w:r>
        <w:t>s</w:t>
      </w:r>
      <w:r w:rsidRPr="00553558">
        <w:t xml:space="preserve"> with an on-the-day rate for the first regulatory year and gradually transition</w:t>
      </w:r>
      <w:r>
        <w:t>s</w:t>
      </w:r>
      <w:r w:rsidRPr="00553558">
        <w:t xml:space="preserve"> into a trailing average approach over 10 years</w:t>
      </w:r>
      <w:r>
        <w:t>.</w:t>
      </w:r>
      <w:r w:rsidRPr="00553558">
        <w:t xml:space="preserve"> </w:t>
      </w:r>
    </w:p>
  </w:footnote>
  <w:footnote w:id="1256">
    <w:p w:rsidR="003F1AAB" w:rsidRDefault="003F1AAB" w:rsidP="00E6234D">
      <w:pPr>
        <w:pStyle w:val="FootnoteText"/>
      </w:pPr>
      <w:r>
        <w:rPr>
          <w:rStyle w:val="FootnoteReference"/>
        </w:rPr>
        <w:footnoteRef/>
      </w:r>
      <w:r>
        <w:t xml:space="preserve"> </w:t>
      </w:r>
      <w:r>
        <w:tab/>
        <w:t xml:space="preserve">AER, </w:t>
      </w:r>
      <w:r>
        <w:rPr>
          <w:rStyle w:val="AERtextitalic"/>
        </w:rPr>
        <w:t>Explanatory statement to the r</w:t>
      </w:r>
      <w:r w:rsidRPr="0052137B">
        <w:rPr>
          <w:rStyle w:val="AERtextitalic"/>
        </w:rPr>
        <w:t>ate of return guideline</w:t>
      </w:r>
      <w:r>
        <w:t>, December 2013, p. 108.</w:t>
      </w:r>
    </w:p>
  </w:footnote>
  <w:footnote w:id="1257">
    <w:p w:rsidR="003F1AAB" w:rsidRDefault="003F1AAB" w:rsidP="00E6234D">
      <w:pPr>
        <w:pStyle w:val="FootnoteText"/>
      </w:pPr>
      <w:r>
        <w:rPr>
          <w:rStyle w:val="FootnoteReference"/>
        </w:rPr>
        <w:footnoteRef/>
      </w:r>
      <w:r>
        <w:t xml:space="preserve"> </w:t>
      </w:r>
      <w:r>
        <w:tab/>
        <w:t xml:space="preserve">AusNet, </w:t>
      </w:r>
      <w:r w:rsidRPr="004D1E24">
        <w:rPr>
          <w:rStyle w:val="AERtextitalic"/>
        </w:rPr>
        <w:t>Regulatory proposal</w:t>
      </w:r>
      <w:r>
        <w:t>, 30 April 2015, p. 346.</w:t>
      </w:r>
    </w:p>
  </w:footnote>
  <w:footnote w:id="1258">
    <w:p w:rsidR="003F1AAB" w:rsidRDefault="003F1AAB" w:rsidP="00E6234D">
      <w:pPr>
        <w:pStyle w:val="FootnoteText"/>
      </w:pPr>
      <w:r>
        <w:rPr>
          <w:rStyle w:val="FootnoteReference"/>
        </w:rPr>
        <w:footnoteRef/>
      </w:r>
      <w:r>
        <w:t xml:space="preserve"> </w:t>
      </w:r>
      <w:r>
        <w:tab/>
        <w:t>NER, cl. 6.5.2(k</w:t>
      </w:r>
      <w:r w:rsidRPr="005F1830">
        <w:t>)</w:t>
      </w:r>
      <w:r>
        <w:t>(1) and 6A.6.2(k)(1); NGR, r. 87(11)(1)</w:t>
      </w:r>
      <w:r w:rsidRPr="005F1830">
        <w:t>.</w:t>
      </w:r>
    </w:p>
  </w:footnote>
  <w:footnote w:id="1259">
    <w:p w:rsidR="003F1AAB" w:rsidRDefault="003F1AAB" w:rsidP="00972CF8">
      <w:pPr>
        <w:pStyle w:val="FootnoteText"/>
      </w:pPr>
      <w:r>
        <w:rPr>
          <w:rStyle w:val="FootnoteReference"/>
        </w:rPr>
        <w:footnoteRef/>
      </w:r>
      <w:r>
        <w:t xml:space="preserve"> </w:t>
      </w:r>
      <w:r>
        <w:tab/>
        <w:t>This draft decision determines the return on debt methodology for the 2017–22 regulatory control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for that period must be determined in future decisions that relate to that period.</w:t>
      </w:r>
    </w:p>
  </w:footnote>
  <w:footnote w:id="1260">
    <w:p w:rsidR="003F1AAB" w:rsidRDefault="003F1AAB" w:rsidP="00972CF8">
      <w:pPr>
        <w:pStyle w:val="FootnoteText"/>
      </w:pPr>
      <w:r>
        <w:rPr>
          <w:rStyle w:val="FootnoteReference"/>
        </w:rPr>
        <w:footnoteRef/>
      </w:r>
      <w:r>
        <w:t xml:space="preserve"> </w:t>
      </w:r>
      <w:r>
        <w:tab/>
        <w:t>NER, cl. 6A.6.2(i).</w:t>
      </w:r>
    </w:p>
  </w:footnote>
  <w:footnote w:id="1261">
    <w:p w:rsidR="003F1AAB" w:rsidRDefault="003F1AAB" w:rsidP="00972CF8">
      <w:pPr>
        <w:pStyle w:val="FootnoteText"/>
      </w:pPr>
      <w:r>
        <w:rPr>
          <w:rStyle w:val="FootnoteReference"/>
        </w:rPr>
        <w:footnoteRef/>
      </w:r>
      <w:r>
        <w:t xml:space="preserve"> </w:t>
      </w:r>
      <w:r>
        <w:tab/>
        <w:t>NER, cl. 6A.6.2(l).</w:t>
      </w:r>
    </w:p>
  </w:footnote>
  <w:footnote w:id="1262">
    <w:p w:rsidR="003F1AAB" w:rsidRDefault="003F1AAB" w:rsidP="00972CF8">
      <w:pPr>
        <w:pStyle w:val="FootnoteText"/>
      </w:pPr>
      <w:r>
        <w:rPr>
          <w:rStyle w:val="FootnoteReference"/>
        </w:rPr>
        <w:footnoteRef/>
      </w:r>
      <w:r>
        <w:t xml:space="preserve"> </w:t>
      </w:r>
      <w:r>
        <w:tab/>
      </w:r>
      <w:r w:rsidRPr="00127B75">
        <w:t xml:space="preserve">AER, </w:t>
      </w:r>
      <w:r w:rsidRPr="001E76AF">
        <w:rPr>
          <w:rStyle w:val="AERtextitalic"/>
        </w:rPr>
        <w:t>Final decision—Amendm</w:t>
      </w:r>
      <w:r>
        <w:rPr>
          <w:rStyle w:val="AERtextitalic"/>
        </w:rPr>
        <w:t>ent—Electricity T</w:t>
      </w:r>
      <w:r w:rsidRPr="001E76AF">
        <w:rPr>
          <w:rStyle w:val="AERtextitalic"/>
        </w:rPr>
        <w:t>NSPs PTRM handbook</w:t>
      </w:r>
      <w:r w:rsidRPr="00127B75">
        <w:t>, 29 January 2015</w:t>
      </w:r>
      <w:r>
        <w:t>.</w:t>
      </w:r>
    </w:p>
  </w:footnote>
  <w:footnote w:id="1263">
    <w:p w:rsidR="003F1AAB" w:rsidRDefault="003F1AAB" w:rsidP="00972CF8">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w:t>
      </w:r>
    </w:p>
  </w:footnote>
  <w:footnote w:id="1264">
    <w:p w:rsidR="003F1AAB" w:rsidRDefault="003F1AAB" w:rsidP="00972CF8">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1265">
    <w:p w:rsidR="003F1AAB" w:rsidRDefault="003F1AAB" w:rsidP="00972CF8">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1266">
    <w:p w:rsidR="003F1AAB" w:rsidRDefault="003F1AAB" w:rsidP="00972CF8">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17"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1267">
    <w:p w:rsidR="003F1AAB" w:rsidRDefault="003F1AAB" w:rsidP="00972CF8">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1268">
    <w:p w:rsidR="003F1AAB" w:rsidRDefault="003F1AAB" w:rsidP="00972CF8">
      <w:pPr>
        <w:pStyle w:val="FootnoteText"/>
      </w:pPr>
      <w:r>
        <w:rPr>
          <w:rStyle w:val="FootnoteReference"/>
        </w:rPr>
        <w:footnoteRef/>
      </w:r>
      <w:r>
        <w:t xml:space="preserve"> </w:t>
      </w:r>
      <w:r>
        <w:tab/>
        <w:t>Specifically, from 15 September 2014 to 3 November 2014.</w:t>
      </w:r>
    </w:p>
  </w:footnote>
  <w:footnote w:id="1269">
    <w:p w:rsidR="003F1AAB" w:rsidRDefault="003F1AAB" w:rsidP="00972CF8">
      <w:pPr>
        <w:pStyle w:val="FootnoteText"/>
      </w:pPr>
      <w:r>
        <w:rPr>
          <w:rStyle w:val="FootnoteReference"/>
        </w:rPr>
        <w:footnoteRef/>
      </w:r>
      <w:r>
        <w:t xml:space="preserve"> </w:t>
      </w:r>
      <w:r>
        <w:tab/>
        <w:t>Specifically, 14 April 2015.</w:t>
      </w:r>
    </w:p>
  </w:footnote>
  <w:footnote w:id="1270">
    <w:p w:rsidR="003F1AAB" w:rsidRDefault="003F1AAB" w:rsidP="00972CF8">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1271">
    <w:p w:rsidR="003F1AAB" w:rsidRDefault="003F1AAB" w:rsidP="00972CF8">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1272">
    <w:p w:rsidR="003F1AAB" w:rsidRDefault="003F1AAB" w:rsidP="00972CF8">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1273">
    <w:p w:rsidR="003F1AAB" w:rsidRDefault="003F1AAB" w:rsidP="00972CF8">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1274">
    <w:p w:rsidR="003F1AAB" w:rsidRDefault="003F1AAB" w:rsidP="00972CF8">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275">
    <w:p w:rsidR="003F1AAB" w:rsidRDefault="003F1AAB" w:rsidP="00972CF8">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276">
    <w:p w:rsidR="003F1AAB" w:rsidRDefault="003F1AAB" w:rsidP="00972CF8">
      <w:pPr>
        <w:pStyle w:val="FootnoteText"/>
      </w:pPr>
      <w:r>
        <w:rPr>
          <w:rStyle w:val="FootnoteReference"/>
        </w:rPr>
        <w:footnoteRef/>
      </w:r>
      <w:r>
        <w:t xml:space="preserve"> </w:t>
      </w:r>
      <w:r>
        <w:tab/>
        <w:t>We have re-calculated the published 'spread to CGS' by subtracting our estimate of the interpolated CGS, as calculated in step 4, from the RBA's published yield to maturity. This allows us to combine daily data from the CGS with an estimate of the spread calculated correctly with reference to both the RBA's yield estimate and our estimate of CGS.</w:t>
      </w:r>
    </w:p>
  </w:footnote>
  <w:footnote w:id="1277">
    <w:p w:rsidR="003F1AAB" w:rsidRDefault="003F1AAB" w:rsidP="00972CF8">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1278">
    <w:p w:rsidR="003F1AAB" w:rsidRDefault="003F1AAB">
      <w:pPr>
        <w:pStyle w:val="FootnoteText"/>
      </w:pPr>
      <w:r>
        <w:rPr>
          <w:rStyle w:val="FootnoteReference"/>
        </w:rPr>
        <w:footnoteRef/>
      </w:r>
      <w:r>
        <w:t xml:space="preserve"> </w:t>
      </w:r>
      <w:r>
        <w:tab/>
        <w:t xml:space="preserve">In previous decisions, we have stated that for dates before 14 April 2015, calculating the adjusted BVAL estimate would require downloading </w:t>
      </w:r>
      <w:r w:rsidRPr="00FB18DC">
        <w:t>the 7 year Corporate BBB rated Austral</w:t>
      </w:r>
      <w:r>
        <w:t xml:space="preserve">ian BVAL curve (BVCSAB07 index) and adding the </w:t>
      </w:r>
      <w:r w:rsidRPr="00FB18DC">
        <w:t>difference between the 7 and 10 year daily RBA adjuste</w:t>
      </w:r>
      <w:r>
        <w:t>d yields (as calculated in step 8 of the RBA process) to this yield.</w:t>
      </w:r>
      <w:r w:rsidRPr="00FB18DC">
        <w:t xml:space="preserve"> </w:t>
      </w:r>
      <w:r>
        <w:t>However, under the approach in this draft decision, all averaging period dates should be after 14 April 2015.</w:t>
      </w:r>
    </w:p>
  </w:footnote>
  <w:footnote w:id="1279">
    <w:p w:rsidR="003F1AAB" w:rsidRDefault="003F1AAB" w:rsidP="00972CF8">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publishing a 10 year yiel</w:t>
      </w:r>
      <w:r>
        <w:t xml:space="preserve">d estimate. </w:t>
      </w:r>
    </w:p>
  </w:footnote>
  <w:footnote w:id="1280">
    <w:p w:rsidR="003F1AAB" w:rsidRDefault="003F1AAB" w:rsidP="00972CF8">
      <w:pPr>
        <w:pStyle w:val="FootnoteText"/>
      </w:pPr>
      <w:r>
        <w:rPr>
          <w:rStyle w:val="FootnoteReference"/>
        </w:rPr>
        <w:footnoteRef/>
      </w:r>
      <w:r>
        <w:t xml:space="preserve"> </w:t>
      </w:r>
      <w:r>
        <w:tab/>
        <w:t>Thompson Reuters publishes a BBB par yield curve to 10 years from 25 May 2015 (</w:t>
      </w:r>
      <w:r w:rsidRPr="00392E44">
        <w:t>BBBAUDBMK Par Yield</w:t>
      </w:r>
      <w:r>
        <w:t xml:space="preserve">). However, we have had limited opportunity to review and consult on f this information  as this was first put before us with the revised regulatory proposals in  January 2016. Nevertheless, we have performed a preliminary assessment of this information (see appendix </w:t>
      </w:r>
      <w:r>
        <w:fldChar w:fldCharType="begin"/>
      </w:r>
      <w:r>
        <w:instrText xml:space="preserve"> REF _Ref451268065 \r \h </w:instrText>
      </w:r>
      <w:r>
        <w:fldChar w:fldCharType="separate"/>
      </w:r>
      <w:r>
        <w:t>A</w:t>
      </w:r>
      <w:r>
        <w:fldChar w:fldCharType="end"/>
      </w:r>
      <w:r>
        <w:t xml:space="preserve">). This indicates that the Reuters curve would </w:t>
      </w:r>
      <w:r w:rsidRPr="009A2F59">
        <w:t xml:space="preserve">produce comparable </w:t>
      </w:r>
      <w:r>
        <w:t xml:space="preserve">estimates </w:t>
      </w:r>
      <w:r w:rsidRPr="009A2F59">
        <w:t>to the existing combination</w:t>
      </w:r>
      <w:r>
        <w:t>. We do not rule out including the</w:t>
      </w:r>
      <w:r w:rsidRPr="009A2F59">
        <w:t xml:space="preserve"> Reuters curve in future determinations following a proper period of consultation.</w:t>
      </w:r>
    </w:p>
  </w:footnote>
  <w:footnote w:id="1281">
    <w:p w:rsidR="003F1AAB" w:rsidRDefault="003F1AAB" w:rsidP="00972CF8">
      <w:pPr>
        <w:pStyle w:val="FootnoteText"/>
      </w:pPr>
      <w:r>
        <w:rPr>
          <w:rStyle w:val="FootnoteReference"/>
        </w:rPr>
        <w:footnoteRef/>
      </w:r>
      <w:r>
        <w:t xml:space="preserve"> </w:t>
      </w:r>
      <w:r>
        <w:tab/>
        <w:t>NER cl. 6A.6.2(l).</w:t>
      </w:r>
    </w:p>
  </w:footnote>
  <w:footnote w:id="1282">
    <w:p w:rsidR="003F1AAB" w:rsidRDefault="003F1AAB" w:rsidP="00972CF8">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1283">
    <w:p w:rsidR="003F1AAB" w:rsidRDefault="003F1AAB">
      <w:pPr>
        <w:pStyle w:val="FootnoteText"/>
      </w:pPr>
      <w:r>
        <w:rPr>
          <w:rStyle w:val="FootnoteReference"/>
        </w:rPr>
        <w:footnoteRef/>
      </w:r>
      <w:r>
        <w:t xml:space="preserve"> </w:t>
      </w:r>
      <w:r>
        <w:tab/>
        <w:t>For example, where Bloomberg only publishes a 6 year curve, we will extrapolate it to 10 years using the 6 to 10 year yield margin from the RBA curve. Or, where Bloomberg only publishes a 7 year estimate, we will extrapolate it to 10 years using the 7 to 10 year yield margin from the RBA curve.</w:t>
      </w:r>
    </w:p>
  </w:footnote>
  <w:footnote w:id="1284">
    <w:p w:rsidR="003F1AAB" w:rsidRDefault="003F1AAB" w:rsidP="00972CF8">
      <w:pPr>
        <w:pStyle w:val="FootnoteText"/>
      </w:pPr>
      <w:r>
        <w:rPr>
          <w:rStyle w:val="FootnoteReference"/>
        </w:rPr>
        <w:footnoteRef/>
      </w:r>
      <w:r>
        <w:t xml:space="preserve"> </w:t>
      </w:r>
      <w:r>
        <w:tab/>
        <w:t>Specifically, the spread to CGS.</w:t>
      </w:r>
    </w:p>
  </w:footnote>
  <w:footnote w:id="1285">
    <w:p w:rsidR="003F1AAB" w:rsidRDefault="003F1AAB" w:rsidP="00972CF8">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1286">
    <w:p w:rsidR="003F1AAB" w:rsidRDefault="003F1AAB" w:rsidP="00F02BF9">
      <w:pPr>
        <w:pStyle w:val="FootnoteText"/>
      </w:pPr>
      <w:r>
        <w:rPr>
          <w:rStyle w:val="FootnoteReference"/>
        </w:rPr>
        <w:footnoteRef/>
      </w:r>
      <w:r>
        <w:t xml:space="preserve"> </w:t>
      </w:r>
      <w:r>
        <w:tab/>
        <w:t xml:space="preserve">The RBA publishes its month end data on the third day of the following month. We consider the 6th business day of February will allow us to finalise our required calculations to inform AusNet of their debt allowance outcomes.  </w:t>
      </w:r>
    </w:p>
  </w:footnote>
  <w:footnote w:id="1287">
    <w:p w:rsidR="003F1AAB" w:rsidRDefault="003F1AAB" w:rsidP="00F02BF9">
      <w:pPr>
        <w:pStyle w:val="FootnoteText"/>
      </w:pPr>
      <w:r>
        <w:rPr>
          <w:rStyle w:val="FootnoteReference"/>
        </w:rPr>
        <w:footnoteRef/>
      </w:r>
      <w:r>
        <w:t xml:space="preserve"> </w:t>
      </w:r>
      <w:r>
        <w:tab/>
        <w:t>A further possible constraint on the start date is</w:t>
      </w:r>
      <w:r w:rsidRPr="00D76D56">
        <w:t>, as set out in the previous section, one of our conditions is at the time it is nominated all dates in the averaging period must take place in the future.</w:t>
      </w:r>
    </w:p>
  </w:footnote>
  <w:footnote w:id="1288">
    <w:p w:rsidR="003F1AAB" w:rsidRDefault="003F1AAB">
      <w:pPr>
        <w:pStyle w:val="FootnoteText"/>
      </w:pPr>
      <w:r>
        <w:rPr>
          <w:rStyle w:val="FootnoteReference"/>
        </w:rPr>
        <w:footnoteRef/>
      </w:r>
      <w:r>
        <w:t xml:space="preserve"> </w:t>
      </w:r>
      <w:r>
        <w:tab/>
        <w:t>AusNet Services, AST Transmission 2017–22 PTRM Model, October 2015.</w:t>
      </w:r>
    </w:p>
  </w:footnote>
  <w:footnote w:id="1289">
    <w:p w:rsidR="003F1AAB" w:rsidRDefault="003F1AAB" w:rsidP="00254561">
      <w:pPr>
        <w:pStyle w:val="FootnoteText"/>
      </w:pPr>
      <w:r>
        <w:rPr>
          <w:rStyle w:val="FootnoteReference"/>
        </w:rPr>
        <w:footnoteRef/>
      </w:r>
      <w:r>
        <w:t xml:space="preserve"> </w:t>
      </w:r>
      <w:r>
        <w:tab/>
        <w:t xml:space="preserve">ACG, </w:t>
      </w:r>
      <w:r w:rsidRPr="00402E19">
        <w:rPr>
          <w:rStyle w:val="Emphasis"/>
        </w:rPr>
        <w:t>Estimation of Powerlink's SEO transaction cost allowance-Memorandum</w:t>
      </w:r>
      <w:r>
        <w:t>, 5 February 2007.</w:t>
      </w:r>
    </w:p>
  </w:footnote>
  <w:footnote w:id="1290">
    <w:p w:rsidR="003F1AAB" w:rsidRDefault="003F1AAB" w:rsidP="00254561">
      <w:pPr>
        <w:pStyle w:val="FootnoteText"/>
      </w:pPr>
      <w:r>
        <w:rPr>
          <w:rStyle w:val="FootnoteReference"/>
        </w:rPr>
        <w:footnoteRef/>
      </w:r>
      <w:r>
        <w:t xml:space="preserve"> </w:t>
      </w:r>
      <w:r>
        <w:tab/>
        <w:t xml:space="preserve">AER, </w:t>
      </w:r>
      <w:r w:rsidRPr="00402E19">
        <w:rPr>
          <w:rStyle w:val="Emphasis"/>
        </w:rPr>
        <w:t>Final decision, ACT distribution determination 2009–10 to 2013–14</w:t>
      </w:r>
      <w:r w:rsidRPr="00402E19">
        <w:t xml:space="preserve">, April 2009, appendix H; AER, </w:t>
      </w:r>
      <w:r w:rsidRPr="00402E19">
        <w:rPr>
          <w:rStyle w:val="Emphasis"/>
        </w:rPr>
        <w:t>Final decision, NSW distribution determination 2009–10 to 2013–14</w:t>
      </w:r>
      <w:r w:rsidRPr="00402E19">
        <w:t xml:space="preserve">, April 2009, appendix N; AER, </w:t>
      </w:r>
      <w:r w:rsidRPr="00402E19">
        <w:rPr>
          <w:rStyle w:val="Emphasis"/>
        </w:rPr>
        <w:t>Final decision, TransGrid transmission determination 2009–10 to 2013–14</w:t>
      </w:r>
      <w:r w:rsidRPr="00402E19">
        <w:t xml:space="preserve">, April 2009, appendix E; AER, </w:t>
      </w:r>
      <w:r w:rsidRPr="00402E19">
        <w:rPr>
          <w:rStyle w:val="Emphasis"/>
        </w:rPr>
        <w:t>Final decision, Transend transmission determination 2009–10 to 2013–14</w:t>
      </w:r>
      <w:r w:rsidRPr="00402E19">
        <w:t>, April 2009, appendix E.</w:t>
      </w:r>
    </w:p>
  </w:footnote>
  <w:footnote w:id="1291">
    <w:p w:rsidR="003F1AAB" w:rsidRDefault="003F1AAB" w:rsidP="00254561">
      <w:pPr>
        <w:pStyle w:val="FootnoteText"/>
      </w:pPr>
      <w:r>
        <w:rPr>
          <w:rStyle w:val="FootnoteReference"/>
        </w:rPr>
        <w:footnoteRef/>
      </w:r>
      <w:r>
        <w:t xml:space="preserve"> </w:t>
      </w:r>
      <w:r>
        <w:tab/>
        <w:t xml:space="preserve">AER, </w:t>
      </w:r>
      <w:r w:rsidRPr="00751F65">
        <w:rPr>
          <w:rStyle w:val="Emphasis"/>
        </w:rPr>
        <w:t>Final decision, Powerlink Transmission determination 2012-13 to 2016-17</w:t>
      </w:r>
      <w:r>
        <w:t>, April 2012, pp. 151-152.</w:t>
      </w:r>
    </w:p>
  </w:footnote>
  <w:footnote w:id="1292">
    <w:p w:rsidR="003F1AAB" w:rsidRDefault="003F1AAB">
      <w:pPr>
        <w:pStyle w:val="FootnoteText"/>
      </w:pPr>
      <w:r>
        <w:rPr>
          <w:rStyle w:val="FootnoteReference"/>
        </w:rPr>
        <w:footnoteRef/>
      </w:r>
      <w:r>
        <w:t xml:space="preserve"> </w:t>
      </w:r>
      <w:r>
        <w:tab/>
        <w:t xml:space="preserve">AER, </w:t>
      </w:r>
      <w:r w:rsidRPr="002A032E">
        <w:rPr>
          <w:rStyle w:val="AERtextitalic"/>
        </w:rPr>
        <w:t>Final decision AusNet Services determination 2016–20 - Attachment 3 - Rate of return</w:t>
      </w:r>
      <w:r w:rsidRPr="00157C26">
        <w:t xml:space="preserve"> - </w:t>
      </w:r>
      <w:r>
        <w:t xml:space="preserve">May </w:t>
      </w:r>
      <w:r w:rsidRPr="00157C26">
        <w:t>201</w:t>
      </w:r>
      <w:r>
        <w:t>6</w:t>
      </w:r>
      <w:r w:rsidRPr="00157C26">
        <w:t xml:space="preserve">, </w:t>
      </w:r>
      <w:r>
        <w:t>Appendix K.</w:t>
      </w:r>
    </w:p>
  </w:footnote>
  <w:footnote w:id="1293">
    <w:p w:rsidR="003F1AAB" w:rsidRDefault="003F1AAB" w:rsidP="002A032E">
      <w:pPr>
        <w:pStyle w:val="FootnoteText"/>
      </w:pPr>
      <w:r>
        <w:rPr>
          <w:rStyle w:val="FootnoteReference"/>
        </w:rPr>
        <w:footnoteRef/>
      </w:r>
      <w:r>
        <w:t xml:space="preserve"> </w:t>
      </w:r>
      <w:r>
        <w:tab/>
        <w:t xml:space="preserve"> AusNet Electricity Services, </w:t>
      </w:r>
      <w:r>
        <w:rPr>
          <w:rStyle w:val="AERtextitalic"/>
        </w:rPr>
        <w:t xml:space="preserve">Electricity transmission revenue review 2017–22, </w:t>
      </w:r>
      <w:r w:rsidRPr="002A032E">
        <w:rPr>
          <w:rStyle w:val="AERtextitalic"/>
          <w:i w:val="0"/>
        </w:rPr>
        <w:t>October 2015, p.119–121</w:t>
      </w:r>
      <w:r w:rsidRPr="00DF730B">
        <w:rPr>
          <w:rStyle w:val="AERtextitalic"/>
          <w:i w:val="0"/>
        </w:rPr>
        <w:t>.</w:t>
      </w:r>
    </w:p>
  </w:footnote>
  <w:footnote w:id="1294">
    <w:p w:rsidR="003F1AAB" w:rsidRDefault="003F1AAB" w:rsidP="002A032E">
      <w:pPr>
        <w:pStyle w:val="FootnoteText"/>
      </w:pPr>
      <w:r>
        <w:rPr>
          <w:rStyle w:val="FootnoteReference"/>
        </w:rPr>
        <w:footnoteRef/>
      </w:r>
      <w:r>
        <w:t xml:space="preserve"> </w:t>
      </w:r>
      <w:r>
        <w:tab/>
      </w:r>
      <w:r w:rsidRPr="00E64828">
        <w:t xml:space="preserve">The Allen Consulting Group, </w:t>
      </w:r>
      <w:r w:rsidRPr="004B7B8C">
        <w:rPr>
          <w:rStyle w:val="AERtextitalic"/>
        </w:rPr>
        <w:t>Debt and equity raising transaction costs: Final report</w:t>
      </w:r>
      <w:r w:rsidRPr="00E64828">
        <w:t>, December 2004</w:t>
      </w:r>
      <w:r>
        <w:t>.</w:t>
      </w:r>
    </w:p>
  </w:footnote>
  <w:footnote w:id="1295">
    <w:p w:rsidR="003F1AAB" w:rsidRDefault="003F1AAB" w:rsidP="002A032E">
      <w:pPr>
        <w:pStyle w:val="FootnoteText"/>
      </w:pPr>
      <w:r>
        <w:rPr>
          <w:rStyle w:val="FootnoteReference"/>
        </w:rPr>
        <w:footnoteRef/>
      </w:r>
      <w:r>
        <w:t xml:space="preserve"> </w:t>
      </w:r>
      <w:r>
        <w:tab/>
      </w:r>
      <w:r w:rsidRPr="00E64828">
        <w:t xml:space="preserve">PricewaterhouseCoopers, </w:t>
      </w:r>
      <w:r w:rsidRPr="004B7B8C">
        <w:rPr>
          <w:rStyle w:val="AERtextitalic"/>
        </w:rPr>
        <w:t>Energy Networks Association: Debt financing costs</w:t>
      </w:r>
      <w:r w:rsidRPr="00E64828">
        <w:t xml:space="preserve">, June 2013, p. i. </w:t>
      </w:r>
      <w:r>
        <w:t xml:space="preserve"> </w:t>
      </w:r>
    </w:p>
  </w:footnote>
  <w:footnote w:id="1296">
    <w:p w:rsidR="003F1AAB" w:rsidRDefault="003F1AAB" w:rsidP="002A032E">
      <w:pPr>
        <w:pStyle w:val="FootnoteText"/>
      </w:pPr>
      <w:r>
        <w:rPr>
          <w:rStyle w:val="FootnoteReference"/>
        </w:rPr>
        <w:footnoteRef/>
      </w:r>
      <w:r>
        <w:t xml:space="preserve"> </w:t>
      </w:r>
      <w:r>
        <w:tab/>
        <w:t>NER cl. 6.5.6(c); NER cl. 6A.6.6(c).</w:t>
      </w:r>
    </w:p>
  </w:footnote>
  <w:footnote w:id="1297">
    <w:p w:rsidR="003F1AAB" w:rsidRDefault="003F1AAB" w:rsidP="002A032E">
      <w:pPr>
        <w:pStyle w:val="FootnoteText"/>
      </w:pPr>
      <w:r>
        <w:rPr>
          <w:rStyle w:val="FootnoteReference"/>
        </w:rPr>
        <w:footnoteRef/>
      </w:r>
      <w:r>
        <w:t xml:space="preserve"> </w:t>
      </w:r>
      <w:r>
        <w:tab/>
      </w:r>
      <w:r w:rsidRPr="004537AA">
        <w:t xml:space="preserve">Incenta, Economic Consulting, </w:t>
      </w:r>
      <w:r w:rsidRPr="004537AA">
        <w:rPr>
          <w:rStyle w:val="AERtextitalic"/>
        </w:rPr>
        <w:t>Debt raising transaction costs: updated report–TransGrid</w:t>
      </w:r>
      <w:r w:rsidRPr="004537AA">
        <w:t>, January 2015</w:t>
      </w:r>
      <w:r>
        <w:t>.</w:t>
      </w:r>
    </w:p>
  </w:footnote>
  <w:footnote w:id="1298">
    <w:p w:rsidR="003F1AAB" w:rsidRDefault="003F1AAB" w:rsidP="002A032E">
      <w:pPr>
        <w:pStyle w:val="FootnoteText"/>
      </w:pPr>
      <w:r>
        <w:rPr>
          <w:rStyle w:val="FootnoteReference"/>
        </w:rPr>
        <w:footnoteRef/>
      </w:r>
      <w:r>
        <w:t xml:space="preserve"> </w:t>
      </w:r>
      <w:r>
        <w:tab/>
        <w:t xml:space="preserve">AusNet Electricity Services, </w:t>
      </w:r>
      <w:r>
        <w:rPr>
          <w:rStyle w:val="AERtextitalic"/>
        </w:rPr>
        <w:t xml:space="preserve">Electricity transmission revenue review 2017–22, </w:t>
      </w:r>
      <w:r w:rsidRPr="002A032E">
        <w:rPr>
          <w:rStyle w:val="AERtextitalic"/>
          <w:i w:val="0"/>
        </w:rPr>
        <w:t>October 2015</w:t>
      </w:r>
      <w:r w:rsidRPr="002A032E">
        <w:rPr>
          <w:rStyle w:val="AERtextitalic"/>
        </w:rPr>
        <w:t xml:space="preserve">, </w:t>
      </w:r>
      <w:r>
        <w:t>pp.120-121.</w:t>
      </w:r>
    </w:p>
  </w:footnote>
  <w:footnote w:id="1299">
    <w:p w:rsidR="003F1AAB" w:rsidRDefault="003F1AAB" w:rsidP="002A032E">
      <w:pPr>
        <w:pStyle w:val="FootnoteText"/>
      </w:pPr>
      <w:r>
        <w:rPr>
          <w:rStyle w:val="FootnoteReference"/>
        </w:rPr>
        <w:footnoteRef/>
      </w:r>
      <w:r>
        <w:t xml:space="preserve"> </w:t>
      </w:r>
      <w:r>
        <w:tab/>
      </w:r>
      <w:r w:rsidRPr="00333970">
        <w:t>Incenta Economic Consulting, Debt raising transaction costs–CitiPower, April 2015; Incenta Economic Consulting, Debt raising transaction costs–Updated report Jemena, February 2015; Incenta Economic Consulting, Debt raising transaction costs–Powercor, April 2015; Incenta Economic Consulting, Debt r</w:t>
      </w:r>
      <w:r>
        <w:t>aising transaction costs–United.</w:t>
      </w:r>
    </w:p>
  </w:footnote>
  <w:footnote w:id="1300">
    <w:p w:rsidR="003F1AAB" w:rsidRDefault="003F1AAB" w:rsidP="002A032E">
      <w:pPr>
        <w:pStyle w:val="FootnoteText"/>
      </w:pPr>
      <w:r>
        <w:rPr>
          <w:rStyle w:val="FootnoteReference"/>
        </w:rPr>
        <w:footnoteRef/>
      </w:r>
      <w:r>
        <w:t xml:space="preserve"> </w:t>
      </w:r>
      <w:r>
        <w:tab/>
        <w:t>AusNet rolled these 2014–15 actual costs forward to forecast the proposed debt raising costs.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3">
    <w:nsid w:val="19B737F8"/>
    <w:multiLevelType w:val="multilevel"/>
    <w:tmpl w:val="6FB04A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4418" w:hanging="1440"/>
      </w:pPr>
      <w:rPr>
        <w:rFonts w:hint="default"/>
      </w:rPr>
    </w:lvl>
    <w:lvl w:ilvl="8">
      <w:start w:val="1"/>
      <w:numFmt w:val="decimal"/>
      <w:lvlText w:val="%1.%2.%3.%4.%5.%6.%7.%8.%9"/>
      <w:lvlJc w:val="left"/>
      <w:pPr>
        <w:ind w:left="1584" w:hanging="1584"/>
      </w:pPr>
      <w:rPr>
        <w:rFonts w:hint="default"/>
      </w:rPr>
    </w:lvl>
  </w:abstractNum>
  <w:abstractNum w:abstractNumId="14">
    <w:nsid w:val="1C3F44DE"/>
    <w:multiLevelType w:val="multilevel"/>
    <w:tmpl w:val="950A1C52"/>
    <w:numStyleLink w:val="AERHeadings"/>
  </w:abstractNum>
  <w:abstractNum w:abstractNumId="15">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6">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592056E"/>
    <w:multiLevelType w:val="multilevel"/>
    <w:tmpl w:val="950A1C52"/>
    <w:numStyleLink w:val="AERHeadings"/>
  </w:abstractNum>
  <w:abstractNum w:abstractNumId="19">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1">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3">
    <w:nsid w:val="31AA058E"/>
    <w:multiLevelType w:val="hybridMultilevel"/>
    <w:tmpl w:val="3C70101E"/>
    <w:lvl w:ilvl="0" w:tplc="B336B1FC">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CF07D5F"/>
    <w:multiLevelType w:val="hybridMultilevel"/>
    <w:tmpl w:val="D6DC675A"/>
    <w:lvl w:ilvl="0" w:tplc="6C6CF7F2">
      <w:start w:val="1"/>
      <w:numFmt w:val="lowerLetter"/>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8">
    <w:nsid w:val="3F5F4FFC"/>
    <w:multiLevelType w:val="multilevel"/>
    <w:tmpl w:val="950A1C52"/>
    <w:numStyleLink w:val="AERHeadings"/>
  </w:abstractNum>
  <w:abstractNum w:abstractNumId="29">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nsid w:val="41A80E45"/>
    <w:multiLevelType w:val="multilevel"/>
    <w:tmpl w:val="950A1C52"/>
    <w:numStyleLink w:val="AERHeadings"/>
  </w:abstractNum>
  <w:abstractNum w:abstractNumId="31">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32">
    <w:nsid w:val="487C7731"/>
    <w:multiLevelType w:val="multilevel"/>
    <w:tmpl w:val="950A1C52"/>
    <w:numStyleLink w:val="AERHeadings"/>
  </w:abstractNum>
  <w:abstractNum w:abstractNumId="3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6">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8">
    <w:nsid w:val="5ECE4384"/>
    <w:multiLevelType w:val="multilevel"/>
    <w:tmpl w:val="70A61A9C"/>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40">
    <w:nsid w:val="6DE36827"/>
    <w:multiLevelType w:val="multilevel"/>
    <w:tmpl w:val="950A1C52"/>
    <w:numStyleLink w:val="AERHeadings"/>
  </w:abstractNum>
  <w:abstractNum w:abstractNumId="41">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A5A23DF"/>
    <w:multiLevelType w:val="hybridMultilevel"/>
    <w:tmpl w:val="440CFCC4"/>
    <w:lvl w:ilvl="0" w:tplc="D6DAED3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AAC6DD7"/>
    <w:multiLevelType w:val="multilevel"/>
    <w:tmpl w:val="950A1C52"/>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45">
    <w:nsid w:val="7AEA3AE1"/>
    <w:multiLevelType w:val="hybridMultilevel"/>
    <w:tmpl w:val="52969776"/>
    <w:lvl w:ilvl="0" w:tplc="1B665800">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4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9"/>
  </w:num>
  <w:num w:numId="13">
    <w:abstractNumId w:val="25"/>
  </w:num>
  <w:num w:numId="14">
    <w:abstractNumId w:val="11"/>
  </w:num>
  <w:num w:numId="15">
    <w:abstractNumId w:val="15"/>
  </w:num>
  <w:num w:numId="16">
    <w:abstractNumId w:val="33"/>
  </w:num>
  <w:num w:numId="17">
    <w:abstractNumId w:val="10"/>
  </w:num>
  <w:num w:numId="18">
    <w:abstractNumId w:val="20"/>
  </w:num>
  <w:num w:numId="19">
    <w:abstractNumId w:val="34"/>
  </w:num>
  <w:num w:numId="20">
    <w:abstractNumId w:val="41"/>
  </w:num>
  <w:num w:numId="21">
    <w:abstractNumId w:val="16"/>
  </w:num>
  <w:num w:numId="22">
    <w:abstractNumId w:val="37"/>
  </w:num>
  <w:num w:numId="23">
    <w:abstractNumId w:val="35"/>
  </w:num>
  <w:num w:numId="24">
    <w:abstractNumId w:val="22"/>
  </w:num>
  <w:num w:numId="25">
    <w:abstractNumId w:val="36"/>
  </w:num>
  <w:num w:numId="26">
    <w:abstractNumId w:val="38"/>
  </w:num>
  <w:num w:numId="27">
    <w:abstractNumId w:val="24"/>
  </w:num>
  <w:num w:numId="28">
    <w:abstractNumId w:val="21"/>
  </w:num>
  <w:num w:numId="29">
    <w:abstractNumId w:val="19"/>
  </w:num>
  <w:num w:numId="30">
    <w:abstractNumId w:val="42"/>
  </w:num>
  <w:num w:numId="31">
    <w:abstractNumId w:val="17"/>
  </w:num>
  <w:num w:numId="32">
    <w:abstractNumId w:val="29"/>
  </w:num>
  <w:num w:numId="33">
    <w:abstractNumId w:val="22"/>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40"/>
  </w:num>
  <w:num w:numId="37">
    <w:abstractNumId w:val="32"/>
  </w:num>
  <w:num w:numId="38">
    <w:abstractNumId w:val="28"/>
  </w:num>
  <w:num w:numId="39">
    <w:abstractNumId w:val="14"/>
  </w:num>
  <w:num w:numId="40">
    <w:abstractNumId w:val="38"/>
  </w:num>
  <w:num w:numId="41">
    <w:abstractNumId w:val="38"/>
  </w:num>
  <w:num w:numId="42">
    <w:abstractNumId w:val="30"/>
  </w:num>
  <w:num w:numId="43">
    <w:abstractNumId w:val="18"/>
  </w:num>
  <w:num w:numId="44">
    <w:abstractNumId w:val="31"/>
  </w:num>
  <w:num w:numId="45">
    <w:abstractNumId w:val="26"/>
  </w:num>
  <w:num w:numId="46">
    <w:abstractNumId w:val="9"/>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num>
  <w:num w:numId="50">
    <w:abstractNumId w:val="44"/>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2.%3.%4"/>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51">
    <w:abstractNumId w:val="22"/>
    <w:lvlOverride w:ilvl="3">
      <w:lvl w:ilvl="3">
        <w:start w:val="1"/>
        <w:numFmt w:val="decimal"/>
        <w:lvlText w:val="%2.%3.%4"/>
        <w:lvlJc w:val="left"/>
        <w:pPr>
          <w:tabs>
            <w:tab w:val="num" w:pos="0"/>
          </w:tabs>
          <w:ind w:left="0" w:hanging="851"/>
        </w:pPr>
        <w:rPr>
          <w:rFonts w:hint="default"/>
        </w:rPr>
      </w:lvl>
    </w:lvlOverride>
  </w:num>
  <w:num w:numId="52">
    <w:abstractNumId w:val="13"/>
  </w:num>
  <w:num w:numId="5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6"/>
    <w:lvlOverride w:ilvl="2">
      <w:lvl w:ilvl="2">
        <w:start w:val="1"/>
        <w:numFmt w:val="lowerLetter"/>
        <w:lvlText w:val="%3."/>
        <w:lvlJc w:val="left"/>
        <w:pPr>
          <w:tabs>
            <w:tab w:val="num" w:pos="720"/>
          </w:tabs>
          <w:ind w:left="720" w:hanging="363"/>
        </w:pPr>
        <w:rPr>
          <w:rFonts w:hint="default"/>
        </w:rPr>
      </w:lvl>
    </w:lvlOverride>
  </w:num>
  <w:num w:numId="55">
    <w:abstractNumId w:val="27"/>
  </w:num>
  <w:num w:numId="56">
    <w:abstractNumId w:val="8"/>
    <w:lvlOverride w:ilvl="0">
      <w:startOverride w:val="1"/>
    </w:lvlOverride>
  </w:num>
  <w:num w:numId="57">
    <w:abstractNumId w:val="43"/>
  </w:num>
  <w:num w:numId="58">
    <w:abstractNumId w:val="23"/>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562HWp8wReHoTS7oD4n/o2Ce5t9P+omeLG3OprGfY9I=" w:saltValue="UiaAYHAYnSk7ncvU+qfH+A==" w:algorithmName="SHA-256"/>
  <w:defaultTabStop w:val="340"/>
  <w:characterSpacingControl w:val="doNotCompress"/>
  <w:hdrShapeDefaults>
    <o:shapedefaults v:ext="edit" spidmax="2232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mleco\ausnet services 2017-22 - draft decision - attachment 3 - rate of return (AER2015-004425).docx"/>
  </w:docVars>
  <w:rsids>
    <w:rsidRoot w:val="00961A4A"/>
    <w:rsid w:val="000035FC"/>
    <w:rsid w:val="000049B0"/>
    <w:rsid w:val="00005540"/>
    <w:rsid w:val="000055D3"/>
    <w:rsid w:val="00012296"/>
    <w:rsid w:val="00021202"/>
    <w:rsid w:val="00021C2B"/>
    <w:rsid w:val="0002517F"/>
    <w:rsid w:val="000262BD"/>
    <w:rsid w:val="00026F3B"/>
    <w:rsid w:val="00031913"/>
    <w:rsid w:val="0003578C"/>
    <w:rsid w:val="000448EF"/>
    <w:rsid w:val="00045B06"/>
    <w:rsid w:val="00055AB6"/>
    <w:rsid w:val="00063247"/>
    <w:rsid w:val="00070F9F"/>
    <w:rsid w:val="0007137B"/>
    <w:rsid w:val="00077389"/>
    <w:rsid w:val="00085663"/>
    <w:rsid w:val="00085EBF"/>
    <w:rsid w:val="00086871"/>
    <w:rsid w:val="000A1BE4"/>
    <w:rsid w:val="000A3020"/>
    <w:rsid w:val="000A53E0"/>
    <w:rsid w:val="000A61FA"/>
    <w:rsid w:val="000A6C7B"/>
    <w:rsid w:val="000A75C8"/>
    <w:rsid w:val="000B321F"/>
    <w:rsid w:val="000B380D"/>
    <w:rsid w:val="000C2B40"/>
    <w:rsid w:val="000D122C"/>
    <w:rsid w:val="000D58C8"/>
    <w:rsid w:val="000E1819"/>
    <w:rsid w:val="000E4821"/>
    <w:rsid w:val="000E6C72"/>
    <w:rsid w:val="000F260B"/>
    <w:rsid w:val="0010250E"/>
    <w:rsid w:val="001053B4"/>
    <w:rsid w:val="00106D93"/>
    <w:rsid w:val="00116EB2"/>
    <w:rsid w:val="001203C4"/>
    <w:rsid w:val="001234AD"/>
    <w:rsid w:val="00124609"/>
    <w:rsid w:val="00126A4C"/>
    <w:rsid w:val="00132B31"/>
    <w:rsid w:val="0014573B"/>
    <w:rsid w:val="00151831"/>
    <w:rsid w:val="001573E4"/>
    <w:rsid w:val="00160756"/>
    <w:rsid w:val="0017232E"/>
    <w:rsid w:val="00174102"/>
    <w:rsid w:val="001754EE"/>
    <w:rsid w:val="00180157"/>
    <w:rsid w:val="00185C55"/>
    <w:rsid w:val="00185CB9"/>
    <w:rsid w:val="00186F77"/>
    <w:rsid w:val="00190932"/>
    <w:rsid w:val="001921F2"/>
    <w:rsid w:val="001923FD"/>
    <w:rsid w:val="001926A4"/>
    <w:rsid w:val="00192AD5"/>
    <w:rsid w:val="00195758"/>
    <w:rsid w:val="001A0447"/>
    <w:rsid w:val="001A1D23"/>
    <w:rsid w:val="001B3052"/>
    <w:rsid w:val="001B41E7"/>
    <w:rsid w:val="001B45A0"/>
    <w:rsid w:val="001D055E"/>
    <w:rsid w:val="001D25D9"/>
    <w:rsid w:val="001D6815"/>
    <w:rsid w:val="001E11B5"/>
    <w:rsid w:val="001E4566"/>
    <w:rsid w:val="001E5651"/>
    <w:rsid w:val="001F492E"/>
    <w:rsid w:val="001F5D3F"/>
    <w:rsid w:val="001F6DA3"/>
    <w:rsid w:val="002010BC"/>
    <w:rsid w:val="002016E7"/>
    <w:rsid w:val="00202BA2"/>
    <w:rsid w:val="00202E03"/>
    <w:rsid w:val="002046A9"/>
    <w:rsid w:val="0020492C"/>
    <w:rsid w:val="00223D31"/>
    <w:rsid w:val="00224858"/>
    <w:rsid w:val="00224DB9"/>
    <w:rsid w:val="00233775"/>
    <w:rsid w:val="00234AE3"/>
    <w:rsid w:val="00235844"/>
    <w:rsid w:val="00235A14"/>
    <w:rsid w:val="0023735D"/>
    <w:rsid w:val="002444DB"/>
    <w:rsid w:val="00251745"/>
    <w:rsid w:val="00254561"/>
    <w:rsid w:val="00257DA2"/>
    <w:rsid w:val="00263AC0"/>
    <w:rsid w:val="00264264"/>
    <w:rsid w:val="0026772D"/>
    <w:rsid w:val="0027072E"/>
    <w:rsid w:val="0028246C"/>
    <w:rsid w:val="00286874"/>
    <w:rsid w:val="002876B3"/>
    <w:rsid w:val="00290C63"/>
    <w:rsid w:val="00294D22"/>
    <w:rsid w:val="00296B65"/>
    <w:rsid w:val="002970AE"/>
    <w:rsid w:val="00297C2E"/>
    <w:rsid w:val="002A032E"/>
    <w:rsid w:val="002A0C23"/>
    <w:rsid w:val="002A442E"/>
    <w:rsid w:val="002A7DEF"/>
    <w:rsid w:val="002B0A8A"/>
    <w:rsid w:val="002C233C"/>
    <w:rsid w:val="002C7F6B"/>
    <w:rsid w:val="002D72E8"/>
    <w:rsid w:val="002E7389"/>
    <w:rsid w:val="002E7B22"/>
    <w:rsid w:val="002F6577"/>
    <w:rsid w:val="002F6AD1"/>
    <w:rsid w:val="002F6FA6"/>
    <w:rsid w:val="002F7986"/>
    <w:rsid w:val="00301B40"/>
    <w:rsid w:val="00302212"/>
    <w:rsid w:val="003029EE"/>
    <w:rsid w:val="00303A07"/>
    <w:rsid w:val="00305CC8"/>
    <w:rsid w:val="00306CB1"/>
    <w:rsid w:val="00307F6D"/>
    <w:rsid w:val="00311B07"/>
    <w:rsid w:val="00312F8A"/>
    <w:rsid w:val="003177A2"/>
    <w:rsid w:val="003271B5"/>
    <w:rsid w:val="00327A1E"/>
    <w:rsid w:val="00327A6B"/>
    <w:rsid w:val="00330D30"/>
    <w:rsid w:val="00331264"/>
    <w:rsid w:val="00331A01"/>
    <w:rsid w:val="00334C8D"/>
    <w:rsid w:val="003365D2"/>
    <w:rsid w:val="00342846"/>
    <w:rsid w:val="00343A18"/>
    <w:rsid w:val="003518B3"/>
    <w:rsid w:val="00352BE7"/>
    <w:rsid w:val="00352F6A"/>
    <w:rsid w:val="00367881"/>
    <w:rsid w:val="00367C32"/>
    <w:rsid w:val="00376690"/>
    <w:rsid w:val="003846F1"/>
    <w:rsid w:val="003903F6"/>
    <w:rsid w:val="003920C5"/>
    <w:rsid w:val="003957BF"/>
    <w:rsid w:val="003A670E"/>
    <w:rsid w:val="003B484F"/>
    <w:rsid w:val="003B7E97"/>
    <w:rsid w:val="003B7FBA"/>
    <w:rsid w:val="003C303F"/>
    <w:rsid w:val="003C3A9C"/>
    <w:rsid w:val="003D3376"/>
    <w:rsid w:val="003E2480"/>
    <w:rsid w:val="003E76AA"/>
    <w:rsid w:val="003F174D"/>
    <w:rsid w:val="003F1AAB"/>
    <w:rsid w:val="003F2928"/>
    <w:rsid w:val="00400514"/>
    <w:rsid w:val="00402681"/>
    <w:rsid w:val="00415F31"/>
    <w:rsid w:val="00423A77"/>
    <w:rsid w:val="0042654C"/>
    <w:rsid w:val="0045777E"/>
    <w:rsid w:val="00475461"/>
    <w:rsid w:val="0047611F"/>
    <w:rsid w:val="00480B4B"/>
    <w:rsid w:val="004858B1"/>
    <w:rsid w:val="00485DC4"/>
    <w:rsid w:val="00490B57"/>
    <w:rsid w:val="00491349"/>
    <w:rsid w:val="00492389"/>
    <w:rsid w:val="00497017"/>
    <w:rsid w:val="004A17E9"/>
    <w:rsid w:val="004A4208"/>
    <w:rsid w:val="004A43D1"/>
    <w:rsid w:val="004A5187"/>
    <w:rsid w:val="004A5EE0"/>
    <w:rsid w:val="004B4412"/>
    <w:rsid w:val="004C348C"/>
    <w:rsid w:val="004D1D78"/>
    <w:rsid w:val="004D20D1"/>
    <w:rsid w:val="004D2DB6"/>
    <w:rsid w:val="004D4888"/>
    <w:rsid w:val="004D55BA"/>
    <w:rsid w:val="004E22EC"/>
    <w:rsid w:val="004E7852"/>
    <w:rsid w:val="004F6A0E"/>
    <w:rsid w:val="004F7E21"/>
    <w:rsid w:val="00502256"/>
    <w:rsid w:val="005079AB"/>
    <w:rsid w:val="0051538E"/>
    <w:rsid w:val="00517384"/>
    <w:rsid w:val="00524B1F"/>
    <w:rsid w:val="00525114"/>
    <w:rsid w:val="00527DDF"/>
    <w:rsid w:val="00530128"/>
    <w:rsid w:val="00532467"/>
    <w:rsid w:val="00540418"/>
    <w:rsid w:val="00544C12"/>
    <w:rsid w:val="00550430"/>
    <w:rsid w:val="00553342"/>
    <w:rsid w:val="00564A4D"/>
    <w:rsid w:val="00567BA5"/>
    <w:rsid w:val="00570C0D"/>
    <w:rsid w:val="00571B35"/>
    <w:rsid w:val="00571D57"/>
    <w:rsid w:val="00572422"/>
    <w:rsid w:val="00577A09"/>
    <w:rsid w:val="0058001B"/>
    <w:rsid w:val="00580DDA"/>
    <w:rsid w:val="005829C2"/>
    <w:rsid w:val="00584D8F"/>
    <w:rsid w:val="00592600"/>
    <w:rsid w:val="005940EC"/>
    <w:rsid w:val="005A404D"/>
    <w:rsid w:val="005A66F1"/>
    <w:rsid w:val="005B1E3C"/>
    <w:rsid w:val="005B1E4E"/>
    <w:rsid w:val="005B3A95"/>
    <w:rsid w:val="005B704A"/>
    <w:rsid w:val="005C26CC"/>
    <w:rsid w:val="005C5A52"/>
    <w:rsid w:val="005D0622"/>
    <w:rsid w:val="005D270A"/>
    <w:rsid w:val="005D7BA2"/>
    <w:rsid w:val="005E1C36"/>
    <w:rsid w:val="005E36C2"/>
    <w:rsid w:val="005E45DB"/>
    <w:rsid w:val="005F34EC"/>
    <w:rsid w:val="005F3CA6"/>
    <w:rsid w:val="00612F4F"/>
    <w:rsid w:val="0061357B"/>
    <w:rsid w:val="00615C6B"/>
    <w:rsid w:val="00621DCE"/>
    <w:rsid w:val="006230F1"/>
    <w:rsid w:val="006277F3"/>
    <w:rsid w:val="006310C3"/>
    <w:rsid w:val="00631982"/>
    <w:rsid w:val="00632D6D"/>
    <w:rsid w:val="006358ED"/>
    <w:rsid w:val="00642C3E"/>
    <w:rsid w:val="006432F7"/>
    <w:rsid w:val="00651424"/>
    <w:rsid w:val="00651C15"/>
    <w:rsid w:val="006537AA"/>
    <w:rsid w:val="006539E6"/>
    <w:rsid w:val="0066104A"/>
    <w:rsid w:val="00663DAD"/>
    <w:rsid w:val="00666FB5"/>
    <w:rsid w:val="006719DF"/>
    <w:rsid w:val="00674021"/>
    <w:rsid w:val="00675E20"/>
    <w:rsid w:val="00676679"/>
    <w:rsid w:val="00683C89"/>
    <w:rsid w:val="0068642E"/>
    <w:rsid w:val="006A0187"/>
    <w:rsid w:val="006A08A8"/>
    <w:rsid w:val="006B2395"/>
    <w:rsid w:val="006B4CF9"/>
    <w:rsid w:val="006B6433"/>
    <w:rsid w:val="006B7AC8"/>
    <w:rsid w:val="006C1736"/>
    <w:rsid w:val="006C49DC"/>
    <w:rsid w:val="006C5058"/>
    <w:rsid w:val="006D5008"/>
    <w:rsid w:val="006D550F"/>
    <w:rsid w:val="006D7E6B"/>
    <w:rsid w:val="006E296C"/>
    <w:rsid w:val="00701CAB"/>
    <w:rsid w:val="00704CF9"/>
    <w:rsid w:val="00707478"/>
    <w:rsid w:val="00707563"/>
    <w:rsid w:val="00713956"/>
    <w:rsid w:val="00720FD1"/>
    <w:rsid w:val="0072348C"/>
    <w:rsid w:val="00724A37"/>
    <w:rsid w:val="00725729"/>
    <w:rsid w:val="007303C3"/>
    <w:rsid w:val="007309F8"/>
    <w:rsid w:val="00731756"/>
    <w:rsid w:val="007429BE"/>
    <w:rsid w:val="007430C3"/>
    <w:rsid w:val="00743223"/>
    <w:rsid w:val="00746513"/>
    <w:rsid w:val="00746E01"/>
    <w:rsid w:val="007516F4"/>
    <w:rsid w:val="007522B6"/>
    <w:rsid w:val="0075272C"/>
    <w:rsid w:val="007571D0"/>
    <w:rsid w:val="00757364"/>
    <w:rsid w:val="00757BDF"/>
    <w:rsid w:val="007609D0"/>
    <w:rsid w:val="00763E5D"/>
    <w:rsid w:val="007673C1"/>
    <w:rsid w:val="00767740"/>
    <w:rsid w:val="00777EE6"/>
    <w:rsid w:val="00782EEA"/>
    <w:rsid w:val="00784B0F"/>
    <w:rsid w:val="00784C73"/>
    <w:rsid w:val="00795542"/>
    <w:rsid w:val="00796270"/>
    <w:rsid w:val="007B186E"/>
    <w:rsid w:val="007B2C72"/>
    <w:rsid w:val="007B5531"/>
    <w:rsid w:val="007C1C53"/>
    <w:rsid w:val="007C74BB"/>
    <w:rsid w:val="007D2051"/>
    <w:rsid w:val="007D456E"/>
    <w:rsid w:val="007D4F36"/>
    <w:rsid w:val="007D5546"/>
    <w:rsid w:val="007E4904"/>
    <w:rsid w:val="007E4CB5"/>
    <w:rsid w:val="007F066B"/>
    <w:rsid w:val="007F235D"/>
    <w:rsid w:val="007F77B8"/>
    <w:rsid w:val="00800A30"/>
    <w:rsid w:val="008033C4"/>
    <w:rsid w:val="00806C88"/>
    <w:rsid w:val="0081034E"/>
    <w:rsid w:val="0081695A"/>
    <w:rsid w:val="00820BB5"/>
    <w:rsid w:val="008262CF"/>
    <w:rsid w:val="008344F6"/>
    <w:rsid w:val="0083510F"/>
    <w:rsid w:val="00835300"/>
    <w:rsid w:val="00836AA3"/>
    <w:rsid w:val="00841137"/>
    <w:rsid w:val="00842AFA"/>
    <w:rsid w:val="0084613C"/>
    <w:rsid w:val="00851209"/>
    <w:rsid w:val="00860C28"/>
    <w:rsid w:val="00865B52"/>
    <w:rsid w:val="00874BB4"/>
    <w:rsid w:val="008770AC"/>
    <w:rsid w:val="008837AC"/>
    <w:rsid w:val="00892DD3"/>
    <w:rsid w:val="008A587D"/>
    <w:rsid w:val="008A6729"/>
    <w:rsid w:val="008A7100"/>
    <w:rsid w:val="008B1614"/>
    <w:rsid w:val="008B35CD"/>
    <w:rsid w:val="008B5FCC"/>
    <w:rsid w:val="008B6F5B"/>
    <w:rsid w:val="008C5486"/>
    <w:rsid w:val="008D1661"/>
    <w:rsid w:val="008D5ADF"/>
    <w:rsid w:val="008E7031"/>
    <w:rsid w:val="008E77DE"/>
    <w:rsid w:val="008F07A3"/>
    <w:rsid w:val="009001B6"/>
    <w:rsid w:val="00900E1B"/>
    <w:rsid w:val="0090431C"/>
    <w:rsid w:val="009116B0"/>
    <w:rsid w:val="009233EE"/>
    <w:rsid w:val="00933E3E"/>
    <w:rsid w:val="00937AD3"/>
    <w:rsid w:val="009460AA"/>
    <w:rsid w:val="00951978"/>
    <w:rsid w:val="00961A4A"/>
    <w:rsid w:val="009631D9"/>
    <w:rsid w:val="00964836"/>
    <w:rsid w:val="009661DE"/>
    <w:rsid w:val="00967F65"/>
    <w:rsid w:val="00972CF8"/>
    <w:rsid w:val="00980315"/>
    <w:rsid w:val="00981B07"/>
    <w:rsid w:val="00983C25"/>
    <w:rsid w:val="009856B7"/>
    <w:rsid w:val="00985C86"/>
    <w:rsid w:val="00987484"/>
    <w:rsid w:val="00993795"/>
    <w:rsid w:val="00996349"/>
    <w:rsid w:val="00996A8E"/>
    <w:rsid w:val="009A0B2E"/>
    <w:rsid w:val="009A5FC3"/>
    <w:rsid w:val="009A7D9D"/>
    <w:rsid w:val="009B0060"/>
    <w:rsid w:val="009B090B"/>
    <w:rsid w:val="009B74B0"/>
    <w:rsid w:val="009C0D47"/>
    <w:rsid w:val="009D3906"/>
    <w:rsid w:val="009D6B46"/>
    <w:rsid w:val="009D7ECE"/>
    <w:rsid w:val="009E1A67"/>
    <w:rsid w:val="009E2035"/>
    <w:rsid w:val="009F1213"/>
    <w:rsid w:val="009F1358"/>
    <w:rsid w:val="009F4940"/>
    <w:rsid w:val="009F5BA1"/>
    <w:rsid w:val="009F6140"/>
    <w:rsid w:val="00A02A88"/>
    <w:rsid w:val="00A0562E"/>
    <w:rsid w:val="00A056D5"/>
    <w:rsid w:val="00A06474"/>
    <w:rsid w:val="00A0726D"/>
    <w:rsid w:val="00A31B4E"/>
    <w:rsid w:val="00A32FBB"/>
    <w:rsid w:val="00A344D3"/>
    <w:rsid w:val="00A428EE"/>
    <w:rsid w:val="00A4478A"/>
    <w:rsid w:val="00A44852"/>
    <w:rsid w:val="00A44864"/>
    <w:rsid w:val="00A57D04"/>
    <w:rsid w:val="00A60A26"/>
    <w:rsid w:val="00A61598"/>
    <w:rsid w:val="00A63EDD"/>
    <w:rsid w:val="00A704B2"/>
    <w:rsid w:val="00A71C54"/>
    <w:rsid w:val="00A74ABC"/>
    <w:rsid w:val="00A74EE6"/>
    <w:rsid w:val="00A76CFB"/>
    <w:rsid w:val="00A84A99"/>
    <w:rsid w:val="00A84F46"/>
    <w:rsid w:val="00A86F59"/>
    <w:rsid w:val="00A871F4"/>
    <w:rsid w:val="00A95FA2"/>
    <w:rsid w:val="00A967E4"/>
    <w:rsid w:val="00A96DB2"/>
    <w:rsid w:val="00AA3B8E"/>
    <w:rsid w:val="00AA5EE2"/>
    <w:rsid w:val="00AA7CC7"/>
    <w:rsid w:val="00AB085E"/>
    <w:rsid w:val="00AB4D90"/>
    <w:rsid w:val="00AB74A2"/>
    <w:rsid w:val="00AC0C43"/>
    <w:rsid w:val="00AC1B2C"/>
    <w:rsid w:val="00AC3264"/>
    <w:rsid w:val="00AC4546"/>
    <w:rsid w:val="00AD0C1D"/>
    <w:rsid w:val="00AD469F"/>
    <w:rsid w:val="00AE1BF1"/>
    <w:rsid w:val="00AF0DD2"/>
    <w:rsid w:val="00AF4259"/>
    <w:rsid w:val="00B01D49"/>
    <w:rsid w:val="00B06C2F"/>
    <w:rsid w:val="00B11C6E"/>
    <w:rsid w:val="00B13048"/>
    <w:rsid w:val="00B1716D"/>
    <w:rsid w:val="00B17A1D"/>
    <w:rsid w:val="00B207A0"/>
    <w:rsid w:val="00B20C82"/>
    <w:rsid w:val="00B217BD"/>
    <w:rsid w:val="00B2303F"/>
    <w:rsid w:val="00B24305"/>
    <w:rsid w:val="00B26CA3"/>
    <w:rsid w:val="00B44678"/>
    <w:rsid w:val="00B46746"/>
    <w:rsid w:val="00B514DD"/>
    <w:rsid w:val="00B517DF"/>
    <w:rsid w:val="00B52AF0"/>
    <w:rsid w:val="00B561BD"/>
    <w:rsid w:val="00B56E03"/>
    <w:rsid w:val="00B80121"/>
    <w:rsid w:val="00B8080B"/>
    <w:rsid w:val="00B82223"/>
    <w:rsid w:val="00B86A1D"/>
    <w:rsid w:val="00B87262"/>
    <w:rsid w:val="00B87BA5"/>
    <w:rsid w:val="00B87C39"/>
    <w:rsid w:val="00B927B3"/>
    <w:rsid w:val="00B9562D"/>
    <w:rsid w:val="00B9733D"/>
    <w:rsid w:val="00BA4665"/>
    <w:rsid w:val="00BB2FB2"/>
    <w:rsid w:val="00BB3304"/>
    <w:rsid w:val="00BB4CAA"/>
    <w:rsid w:val="00BB7518"/>
    <w:rsid w:val="00BC57AE"/>
    <w:rsid w:val="00BC6489"/>
    <w:rsid w:val="00BD0452"/>
    <w:rsid w:val="00BD2D7C"/>
    <w:rsid w:val="00BD3446"/>
    <w:rsid w:val="00BD3EA2"/>
    <w:rsid w:val="00BD5688"/>
    <w:rsid w:val="00BD5D87"/>
    <w:rsid w:val="00BE1F1B"/>
    <w:rsid w:val="00BE47B5"/>
    <w:rsid w:val="00BF1E98"/>
    <w:rsid w:val="00C23257"/>
    <w:rsid w:val="00C25DC2"/>
    <w:rsid w:val="00C25FA6"/>
    <w:rsid w:val="00C26737"/>
    <w:rsid w:val="00C420BC"/>
    <w:rsid w:val="00C42CB5"/>
    <w:rsid w:val="00C533BD"/>
    <w:rsid w:val="00C538A9"/>
    <w:rsid w:val="00C53B5A"/>
    <w:rsid w:val="00C5466B"/>
    <w:rsid w:val="00C54F5A"/>
    <w:rsid w:val="00C569B4"/>
    <w:rsid w:val="00C65DA1"/>
    <w:rsid w:val="00C67A92"/>
    <w:rsid w:val="00C73D89"/>
    <w:rsid w:val="00C81758"/>
    <w:rsid w:val="00C84560"/>
    <w:rsid w:val="00C86679"/>
    <w:rsid w:val="00C8739E"/>
    <w:rsid w:val="00C931A2"/>
    <w:rsid w:val="00C93619"/>
    <w:rsid w:val="00CA3632"/>
    <w:rsid w:val="00CA3F61"/>
    <w:rsid w:val="00CA489E"/>
    <w:rsid w:val="00CA67ED"/>
    <w:rsid w:val="00CA6F4F"/>
    <w:rsid w:val="00CB0279"/>
    <w:rsid w:val="00CB666B"/>
    <w:rsid w:val="00CC7E65"/>
    <w:rsid w:val="00CC7F1D"/>
    <w:rsid w:val="00CD007F"/>
    <w:rsid w:val="00CD32B4"/>
    <w:rsid w:val="00CD72C4"/>
    <w:rsid w:val="00CE1843"/>
    <w:rsid w:val="00CE484B"/>
    <w:rsid w:val="00CE6191"/>
    <w:rsid w:val="00CF503C"/>
    <w:rsid w:val="00CF6177"/>
    <w:rsid w:val="00D006AE"/>
    <w:rsid w:val="00D009F3"/>
    <w:rsid w:val="00D01CF0"/>
    <w:rsid w:val="00D01F43"/>
    <w:rsid w:val="00D0442A"/>
    <w:rsid w:val="00D109CC"/>
    <w:rsid w:val="00D10F39"/>
    <w:rsid w:val="00D143DA"/>
    <w:rsid w:val="00D14CFA"/>
    <w:rsid w:val="00D14E25"/>
    <w:rsid w:val="00D1563D"/>
    <w:rsid w:val="00D16364"/>
    <w:rsid w:val="00D17061"/>
    <w:rsid w:val="00D27530"/>
    <w:rsid w:val="00D325B8"/>
    <w:rsid w:val="00D43769"/>
    <w:rsid w:val="00D46494"/>
    <w:rsid w:val="00D5686F"/>
    <w:rsid w:val="00D61388"/>
    <w:rsid w:val="00D61A54"/>
    <w:rsid w:val="00D61FDA"/>
    <w:rsid w:val="00D64DEA"/>
    <w:rsid w:val="00D7168E"/>
    <w:rsid w:val="00D71E57"/>
    <w:rsid w:val="00D80893"/>
    <w:rsid w:val="00D81FBD"/>
    <w:rsid w:val="00D84854"/>
    <w:rsid w:val="00D87D52"/>
    <w:rsid w:val="00D9223C"/>
    <w:rsid w:val="00D92CF1"/>
    <w:rsid w:val="00D92D38"/>
    <w:rsid w:val="00D92D96"/>
    <w:rsid w:val="00D950F5"/>
    <w:rsid w:val="00D96EE9"/>
    <w:rsid w:val="00DA33BB"/>
    <w:rsid w:val="00DA4752"/>
    <w:rsid w:val="00DA61F3"/>
    <w:rsid w:val="00DA6A65"/>
    <w:rsid w:val="00DB0F93"/>
    <w:rsid w:val="00DB1A67"/>
    <w:rsid w:val="00DB48C6"/>
    <w:rsid w:val="00DB49B0"/>
    <w:rsid w:val="00DB5074"/>
    <w:rsid w:val="00DB752F"/>
    <w:rsid w:val="00DC0445"/>
    <w:rsid w:val="00DC48AF"/>
    <w:rsid w:val="00DC5D3C"/>
    <w:rsid w:val="00DC63DE"/>
    <w:rsid w:val="00DC7981"/>
    <w:rsid w:val="00DC7F8C"/>
    <w:rsid w:val="00DD1A34"/>
    <w:rsid w:val="00DD448D"/>
    <w:rsid w:val="00DD684F"/>
    <w:rsid w:val="00DE1093"/>
    <w:rsid w:val="00DE3695"/>
    <w:rsid w:val="00DE4EFA"/>
    <w:rsid w:val="00DE5520"/>
    <w:rsid w:val="00DE5579"/>
    <w:rsid w:val="00DE563D"/>
    <w:rsid w:val="00E04818"/>
    <w:rsid w:val="00E06442"/>
    <w:rsid w:val="00E06885"/>
    <w:rsid w:val="00E21951"/>
    <w:rsid w:val="00E23993"/>
    <w:rsid w:val="00E25B8C"/>
    <w:rsid w:val="00E35FF7"/>
    <w:rsid w:val="00E42A91"/>
    <w:rsid w:val="00E43C30"/>
    <w:rsid w:val="00E4520A"/>
    <w:rsid w:val="00E6234D"/>
    <w:rsid w:val="00E65C11"/>
    <w:rsid w:val="00E65C85"/>
    <w:rsid w:val="00E66199"/>
    <w:rsid w:val="00E716F3"/>
    <w:rsid w:val="00E73BA8"/>
    <w:rsid w:val="00E74701"/>
    <w:rsid w:val="00E755EC"/>
    <w:rsid w:val="00E7624D"/>
    <w:rsid w:val="00E7682C"/>
    <w:rsid w:val="00E8585F"/>
    <w:rsid w:val="00E9144F"/>
    <w:rsid w:val="00E97452"/>
    <w:rsid w:val="00EA3D42"/>
    <w:rsid w:val="00EA6B1B"/>
    <w:rsid w:val="00EB0723"/>
    <w:rsid w:val="00EB2351"/>
    <w:rsid w:val="00EC04F1"/>
    <w:rsid w:val="00EC5E93"/>
    <w:rsid w:val="00ED2A57"/>
    <w:rsid w:val="00ED3996"/>
    <w:rsid w:val="00ED7323"/>
    <w:rsid w:val="00EE28F3"/>
    <w:rsid w:val="00EE50D1"/>
    <w:rsid w:val="00EE51B2"/>
    <w:rsid w:val="00EF2C77"/>
    <w:rsid w:val="00EF5110"/>
    <w:rsid w:val="00EF6D51"/>
    <w:rsid w:val="00F01591"/>
    <w:rsid w:val="00F02BF9"/>
    <w:rsid w:val="00F032A5"/>
    <w:rsid w:val="00F0689C"/>
    <w:rsid w:val="00F10411"/>
    <w:rsid w:val="00F13AB3"/>
    <w:rsid w:val="00F15882"/>
    <w:rsid w:val="00F16330"/>
    <w:rsid w:val="00F171E0"/>
    <w:rsid w:val="00F20BD3"/>
    <w:rsid w:val="00F33D1C"/>
    <w:rsid w:val="00F34DB3"/>
    <w:rsid w:val="00F373A5"/>
    <w:rsid w:val="00F46DA8"/>
    <w:rsid w:val="00F47559"/>
    <w:rsid w:val="00F63450"/>
    <w:rsid w:val="00F64C7B"/>
    <w:rsid w:val="00F66F0B"/>
    <w:rsid w:val="00F676DD"/>
    <w:rsid w:val="00F73143"/>
    <w:rsid w:val="00F75A26"/>
    <w:rsid w:val="00F76706"/>
    <w:rsid w:val="00F77C1D"/>
    <w:rsid w:val="00F83FAD"/>
    <w:rsid w:val="00F94C6D"/>
    <w:rsid w:val="00F952A0"/>
    <w:rsid w:val="00F96A40"/>
    <w:rsid w:val="00FA0339"/>
    <w:rsid w:val="00FA3C7F"/>
    <w:rsid w:val="00FB2460"/>
    <w:rsid w:val="00FB2D91"/>
    <w:rsid w:val="00FB5548"/>
    <w:rsid w:val="00FB60FE"/>
    <w:rsid w:val="00FB74E2"/>
    <w:rsid w:val="00FC01B1"/>
    <w:rsid w:val="00FC7271"/>
    <w:rsid w:val="00FD1D42"/>
    <w:rsid w:val="00FD4521"/>
    <w:rsid w:val="00FD5614"/>
    <w:rsid w:val="00FD5E78"/>
    <w:rsid w:val="00FD61C4"/>
    <w:rsid w:val="00FD676C"/>
    <w:rsid w:val="00FD67C9"/>
    <w:rsid w:val="00FE0BE1"/>
    <w:rsid w:val="00FE1DE9"/>
    <w:rsid w:val="00FE36AF"/>
    <w:rsid w:val="00FE39C2"/>
    <w:rsid w:val="00FE3C32"/>
    <w:rsid w:val="00FE55BF"/>
    <w:rsid w:val="00FE55EF"/>
    <w:rsid w:val="00FE64AE"/>
    <w:rsid w:val="00FF73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32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2F6FA6"/>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2F6FA6"/>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2F6FA6"/>
    <w:rPr>
      <w:rFonts w:ascii="Verdana" w:eastAsia="Times New Roman" w:hAnsi="Verdana" w:cs="Times New Roman"/>
      <w:sz w:val="24"/>
      <w:szCs w:val="24"/>
      <w:lang w:eastAsia="en-AU"/>
    </w:rPr>
  </w:style>
  <w:style w:type="paragraph" w:styleId="BodyText">
    <w:name w:val="Body Text"/>
    <w:basedOn w:val="Normal"/>
    <w:link w:val="BodyTextChar"/>
    <w:uiPriority w:val="99"/>
    <w:unhideWhenUsed/>
    <w:rsid w:val="002F6FA6"/>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rsid w:val="002F6FA6"/>
    <w:rPr>
      <w:rFonts w:ascii="Gautami" w:eastAsia="Calibri" w:hAnsi="Gautami" w:cs="Times New Roman"/>
      <w:sz w:val="20"/>
      <w:szCs w:val="20"/>
    </w:rPr>
  </w:style>
  <w:style w:type="paragraph" w:styleId="MessageHeader">
    <w:name w:val="Message Header"/>
    <w:basedOn w:val="Normal"/>
    <w:link w:val="MessageHeaderChar"/>
    <w:uiPriority w:val="99"/>
    <w:unhideWhenUsed/>
    <w:rsid w:val="002F6FA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2F6FA6"/>
    <w:rPr>
      <w:rFonts w:asciiTheme="majorHAnsi" w:eastAsiaTheme="majorEastAsia" w:hAnsiTheme="majorHAnsi" w:cstheme="majorBidi"/>
      <w:sz w:val="24"/>
      <w:szCs w:val="24"/>
      <w:shd w:val="pct20" w:color="auto" w:fill="auto"/>
    </w:rPr>
  </w:style>
  <w:style w:type="paragraph" w:styleId="BodyTextIndent3">
    <w:name w:val="Body Text Indent 3"/>
    <w:basedOn w:val="Normal"/>
    <w:link w:val="BodyTextIndent3Char"/>
    <w:rsid w:val="002F6FA6"/>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2F6FA6"/>
    <w:rPr>
      <w:rFonts w:ascii="Arial Narrow" w:eastAsia="Times New Roman" w:hAnsi="Arial Narrow" w:cs="Times New Roman"/>
      <w:sz w:val="24"/>
      <w:szCs w:val="2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2F6FA6"/>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2F6FA6"/>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2F6FA6"/>
    <w:rPr>
      <w:rFonts w:ascii="Verdana" w:eastAsia="Times New Roman" w:hAnsi="Verdana" w:cs="Times New Roman"/>
      <w:sz w:val="24"/>
      <w:szCs w:val="24"/>
      <w:lang w:eastAsia="en-AU"/>
    </w:rPr>
  </w:style>
  <w:style w:type="paragraph" w:styleId="BodyText">
    <w:name w:val="Body Text"/>
    <w:basedOn w:val="Normal"/>
    <w:link w:val="BodyTextChar"/>
    <w:uiPriority w:val="99"/>
    <w:unhideWhenUsed/>
    <w:rsid w:val="002F6FA6"/>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rsid w:val="002F6FA6"/>
    <w:rPr>
      <w:rFonts w:ascii="Gautami" w:eastAsia="Calibri" w:hAnsi="Gautami" w:cs="Times New Roman"/>
      <w:sz w:val="20"/>
      <w:szCs w:val="20"/>
    </w:rPr>
  </w:style>
  <w:style w:type="paragraph" w:styleId="MessageHeader">
    <w:name w:val="Message Header"/>
    <w:basedOn w:val="Normal"/>
    <w:link w:val="MessageHeaderChar"/>
    <w:uiPriority w:val="99"/>
    <w:unhideWhenUsed/>
    <w:rsid w:val="002F6FA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2F6FA6"/>
    <w:rPr>
      <w:rFonts w:asciiTheme="majorHAnsi" w:eastAsiaTheme="majorEastAsia" w:hAnsiTheme="majorHAnsi" w:cstheme="majorBidi"/>
      <w:sz w:val="24"/>
      <w:szCs w:val="24"/>
      <w:shd w:val="pct20" w:color="auto" w:fill="auto"/>
    </w:rPr>
  </w:style>
  <w:style w:type="paragraph" w:styleId="BodyTextIndent3">
    <w:name w:val="Body Text Indent 3"/>
    <w:basedOn w:val="Normal"/>
    <w:link w:val="BodyTextIndent3Char"/>
    <w:rsid w:val="002F6FA6"/>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2F6FA6"/>
    <w:rPr>
      <w:rFonts w:ascii="Arial Narrow" w:eastAsia="Times New Roman" w:hAnsi="Arial Narrow" w:cs="Times New Roman"/>
      <w:sz w:val="24"/>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72075">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image" Target="media/image21.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png"/><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18.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s>
</file>

<file path=word/_rels/footnotes.xml.rels><?xml version="1.0" encoding="UTF-8" standalone="yes"?>
<Relationships xmlns="http://schemas.openxmlformats.org/package/2006/relationships"><Relationship Id="rId8" Type="http://schemas.openxmlformats.org/officeDocument/2006/relationships/hyperlink" Target="https://www.aer.gov.au/networks-pipelines/determinations-access-arrangements/transgrid-determination-2014-18" TargetMode="External"/><Relationship Id="rId13" Type="http://schemas.openxmlformats.org/officeDocument/2006/relationships/hyperlink" Target="http://www.aemc.gov.au/Energy-Rules/National-gas-rules/Gas-scheme-register/WA-Pilbara-Pipeline-System" TargetMode="External"/><Relationship Id="rId3" Type="http://schemas.openxmlformats.org/officeDocument/2006/relationships/hyperlink" Target="http://www.aer.gov.au/node/18859" TargetMode="External"/><Relationship Id="rId7" Type="http://schemas.openxmlformats.org/officeDocument/2006/relationships/hyperlink" Target="https://www.aer.gov.au/networks-pipelines/determinations-access-arrangements/energex-determination-2015-2020/final-decision" TargetMode="External"/><Relationship Id="rId12" Type="http://schemas.openxmlformats.org/officeDocument/2006/relationships/hyperlink" Target="http://www.asx.com.au/asx/statistics/announcements.do?by=asxCode&amp;asxCode=ENV&amp;timeframe=Y&amp;year=2014" TargetMode="External"/><Relationship Id="rId17" Type="http://schemas.openxmlformats.org/officeDocument/2006/relationships/hyperlink" Target="http://www.rba.gov.au/statistics/tables/xls/f03hist.xls" TargetMode="External"/><Relationship Id="rId2" Type="http://schemas.openxmlformats.org/officeDocument/2006/relationships/hyperlink" Target="http://www.aer.gov.au/node/18859" TargetMode="External"/><Relationship Id="rId16" Type="http://schemas.openxmlformats.org/officeDocument/2006/relationships/hyperlink" Target="https://infrastructure.gov.au/aviation/airport/airport_economic_regulation/economic_regulation.aspx" TargetMode="External"/><Relationship Id="rId1" Type="http://schemas.openxmlformats.org/officeDocument/2006/relationships/hyperlink" Target="http://www.aer.gov.au/node/18859" TargetMode="External"/><Relationship Id="rId6" Type="http://schemas.openxmlformats.org/officeDocument/2006/relationships/hyperlink" Target="https://www.aer.gov.au/networks-pipelines/determinations-access-arrangements/transgrid-determination-2014-18" TargetMode="External"/><Relationship Id="rId11" Type="http://schemas.openxmlformats.org/officeDocument/2006/relationships/hyperlink" Target="http://www.rba.gov.au/statistics/tables/xls/f03hist.xls" TargetMode="External"/><Relationship Id="rId5" Type="http://schemas.openxmlformats.org/officeDocument/2006/relationships/hyperlink" Target="http://www.aer.gov.au/node/27616" TargetMode="External"/><Relationship Id="rId15" Type="http://schemas.openxmlformats.org/officeDocument/2006/relationships/hyperlink" Target="http://www.aer.gov.au/node/5219" TargetMode="External"/><Relationship Id="rId10" Type="http://schemas.openxmlformats.org/officeDocument/2006/relationships/hyperlink" Target="http://www.rba.gov.au/statistics/tables/index.html" TargetMode="External"/><Relationship Id="rId4" Type="http://schemas.openxmlformats.org/officeDocument/2006/relationships/hyperlink" Target="http://www.aer.gov.au/node/18859" TargetMode="External"/><Relationship Id="rId9" Type="http://schemas.openxmlformats.org/officeDocument/2006/relationships/hyperlink" Target="https://www.aer.gov.au/networks-pipelines/determinations-access-arrangements/energex-determination-2015-2020/final-decision" TargetMode="External"/><Relationship Id="rId14" Type="http://schemas.openxmlformats.org/officeDocument/2006/relationships/hyperlink" Target="http://www.aer.gov.au/node/5453"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8CA4A4-8855-4BB7-B182-F54B97660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2C05EBFB</Template>
  <TotalTime>0</TotalTime>
  <Pages>343</Pages>
  <Words>100969</Words>
  <Characters>575524</Characters>
  <Application>Microsoft Office Word</Application>
  <DocSecurity>0</DocSecurity>
  <Lines>4796</Lines>
  <Paragraphs>1350</Paragraphs>
  <ScaleCrop>false</ScaleCrop>
  <HeadingPairs>
    <vt:vector size="2" baseType="variant">
      <vt:variant>
        <vt:lpstr>Title</vt:lpstr>
      </vt:variant>
      <vt:variant>
        <vt:i4>1</vt:i4>
      </vt:variant>
    </vt:vector>
  </HeadingPairs>
  <TitlesOfParts>
    <vt:vector size="1" baseType="lpstr">
      <vt:lpstr>AusNet Services 2017-22 - Draft decision - Attachment 3 - Rate of return</vt:lpstr>
    </vt:vector>
  </TitlesOfParts>
  <LinksUpToDate>false</LinksUpToDate>
  <CharactersWithSpaces>675143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AusNet Services 2017-22 - Draft decision - Attachment 3 - Rate of return</dc:title>
  <dc:creator/>
  <cp:lastModifiedBy/>
  <cp:revision>1</cp:revision>
  <dcterms:created xsi:type="dcterms:W3CDTF">2016-07-19T00:40:00Z</dcterms:created>
  <dcterms:modified xsi:type="dcterms:W3CDTF">2016-07-19T04:58:00Z</dcterms:modified>
</cp:coreProperties>
</file>