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E69" w:rsidRDefault="00E17C25" w:rsidP="00290C63">
      <w:r w:rsidRPr="0003437A">
        <w:rPr>
          <w:noProof/>
          <w:lang w:eastAsia="en-AU"/>
        </w:rPr>
        <w:drawing>
          <wp:anchor distT="0" distB="0" distL="114300" distR="114300" simplePos="0" relativeHeight="251665408" behindDoc="1" locked="0" layoutInCell="1" allowOverlap="1" wp14:anchorId="753C496E" wp14:editId="24D9EAE9">
            <wp:simplePos x="0" y="0"/>
            <wp:positionH relativeFrom="column">
              <wp:posOffset>-1121361</wp:posOffset>
            </wp:positionH>
            <wp:positionV relativeFrom="paragraph">
              <wp:posOffset>-937845</wp:posOffset>
            </wp:positionV>
            <wp:extent cx="7631723" cy="10761784"/>
            <wp:effectExtent l="0" t="0" r="762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1723" cy="10761784"/>
                    </a:xfrm>
                    <a:prstGeom prst="rect">
                      <a:avLst/>
                    </a:prstGeom>
                    <a:noFill/>
                  </pic:spPr>
                </pic:pic>
              </a:graphicData>
            </a:graphic>
            <wp14:sizeRelH relativeFrom="page">
              <wp14:pctWidth>0</wp14:pctWidth>
            </wp14:sizeRelH>
            <wp14:sizeRelV relativeFrom="page">
              <wp14:pctHeight>0</wp14:pctHeight>
            </wp14:sizeRelV>
          </wp:anchor>
        </w:drawing>
      </w:r>
    </w:p>
    <w:p w:rsidR="008E6E69" w:rsidRDefault="008E6E69" w:rsidP="00290C63">
      <w:pPr>
        <w:rPr>
          <w:rFonts w:eastAsiaTheme="majorEastAsia" w:cstheme="majorBidi"/>
          <w:noProof/>
          <w:sz w:val="36"/>
          <w:szCs w:val="36"/>
          <w:lang w:eastAsia="en-AU"/>
        </w:rPr>
      </w:pP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bookmarkStart w:id="0" w:name="_GoBack"/>
          <w:bookmarkEnd w:id="0"/>
        </w:p>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B9733D">
            <w:t>DRAFT</w:t>
          </w:r>
          <w:r w:rsidR="00DA4752">
            <w:t xml:space="preserve"> DECISION</w:t>
          </w:r>
        </w:p>
        <w:p w:rsidR="00415F31" w:rsidRDefault="00B9733D" w:rsidP="008F07A3">
          <w:pPr>
            <w:pStyle w:val="ReportSubtitle"/>
          </w:pPr>
          <w:r>
            <w:t>AusNet Services</w:t>
          </w:r>
          <w:r w:rsidR="00415F31">
            <w:t xml:space="preserve"> transmission </w:t>
          </w:r>
          <w:r w:rsidR="00DA4752">
            <w:t>determination</w:t>
          </w:r>
        </w:p>
        <w:p w:rsidR="0003437A" w:rsidRDefault="0003437A" w:rsidP="008F07A3">
          <w:pPr>
            <w:pStyle w:val="ReportSubtitle"/>
          </w:pPr>
          <w:r>
            <w:t>2017–18 to 2021–22</w:t>
          </w:r>
        </w:p>
        <w:p w:rsidR="008F07A3" w:rsidRPr="000A6C7B" w:rsidRDefault="008F07A3" w:rsidP="008F07A3">
          <w:pPr>
            <w:pStyle w:val="ReportSubtitle"/>
          </w:pPr>
        </w:p>
        <w:p w:rsidR="000A6C7B" w:rsidRPr="000A6C7B" w:rsidRDefault="0021537A" w:rsidP="008F07A3">
          <w:pPr>
            <w:pStyle w:val="ReportSubtitle"/>
          </w:pPr>
          <w:r>
            <w:t>Attachment 6</w:t>
          </w:r>
          <w:r w:rsidR="00DA4752">
            <w:t xml:space="preserve"> </w:t>
          </w:r>
          <w:r w:rsidR="00415F31">
            <w:rPr>
              <w:rFonts w:cs="Arial"/>
            </w:rPr>
            <w:t>–</w:t>
          </w:r>
          <w:r w:rsidR="00DA4752">
            <w:t xml:space="preserve"> </w:t>
          </w:r>
          <w:r>
            <w:t>Capital expenditure</w:t>
          </w:r>
        </w:p>
        <w:p w:rsidR="00B9733D" w:rsidRDefault="00B9733D" w:rsidP="00327A1E">
          <w:pPr>
            <w:pStyle w:val="ReportDate"/>
          </w:pPr>
        </w:p>
        <w:p w:rsidR="000A6C7B" w:rsidRPr="00327A1E" w:rsidRDefault="0003437A" w:rsidP="00327A1E">
          <w:pPr>
            <w:pStyle w:val="ReportDate"/>
          </w:pPr>
          <w:r>
            <w:t xml:space="preserve">July </w:t>
          </w:r>
          <w:r w:rsidR="00DA4752">
            <w:t>201</w:t>
          </w:r>
          <w:r w:rsidR="00B9733D">
            <w:t>6</w:t>
          </w:r>
        </w:p>
      </w:sdtContent>
    </w:sdt>
    <w:p w:rsidR="00327A1E" w:rsidRPr="00290C63" w:rsidRDefault="00327A1E" w:rsidP="00290C63">
      <w:r>
        <w:br w:type="page"/>
      </w:r>
    </w:p>
    <w:p w:rsidR="000A6C7B" w:rsidRDefault="008F07A3" w:rsidP="00961A4A">
      <w:pPr>
        <w:pStyle w:val="Copyright"/>
      </w:pPr>
      <w:r>
        <w:lastRenderedPageBreak/>
        <w:t>© Commonwealth of Australia 201</w:t>
      </w:r>
      <w:r w:rsidR="008A3F21">
        <w:t>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proofErr w:type="gramStart"/>
      <w:r>
        <w:t>or</w:t>
      </w:r>
      <w:proofErr w:type="gramEnd"/>
      <w:r>
        <w:t xml:space="preserve">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B9562D" w:rsidRDefault="000A6C7B" w:rsidP="00B9562D">
      <w:pPr>
        <w:pStyle w:val="Copyright"/>
      </w:pPr>
      <w:r>
        <w:t xml:space="preserve">Tel: </w:t>
      </w:r>
      <w:r w:rsidR="00CD2504">
        <w:t>1300 585 165</w:t>
      </w:r>
      <w:r w:rsidR="00951978">
        <w:br/>
      </w:r>
      <w:r>
        <w:t xml:space="preserve">Email: </w:t>
      </w:r>
      <w:hyperlink r:id="rId11" w:history="1">
        <w:r w:rsidRPr="00D64888">
          <w:rPr>
            <w:rStyle w:val="Hyperlink"/>
          </w:rPr>
          <w:t>AERInquiry@aer.gov.au</w:t>
        </w:r>
      </w:hyperlink>
      <w:r w:rsidR="00951978">
        <w:rPr>
          <w:rStyle w:val="Hyperlink"/>
        </w:rPr>
        <w:br/>
      </w:r>
    </w:p>
    <w:p w:rsidR="008F07A3" w:rsidRPr="009D3906" w:rsidRDefault="00415F31" w:rsidP="00B9562D">
      <w:pPr>
        <w:pStyle w:val="Copyright"/>
      </w:pPr>
      <w:r w:rsidRPr="009D3906">
        <w:t>AER reference:</w:t>
      </w:r>
      <w:r w:rsidRPr="009D3906">
        <w:tab/>
        <w:t>5</w:t>
      </w:r>
      <w:r w:rsidR="00986A00">
        <w:t>6417</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56608773"/>
      <w:r>
        <w:lastRenderedPageBreak/>
        <w:t>N</w:t>
      </w:r>
      <w:r w:rsidR="008F07A3">
        <w:t>ote</w:t>
      </w:r>
      <w:bookmarkEnd w:id="1"/>
      <w:bookmarkEnd w:id="2"/>
      <w:bookmarkEnd w:id="3"/>
      <w:bookmarkEnd w:id="4"/>
      <w:bookmarkEnd w:id="5"/>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w:t>
      </w:r>
      <w:r w:rsidR="000B321F">
        <w:t>draft</w:t>
      </w:r>
      <w:r w:rsidR="00415F31">
        <w:t xml:space="preserve"> decision on </w:t>
      </w:r>
      <w:r w:rsidR="000B321F">
        <w:t>AusNet Services’</w:t>
      </w:r>
      <w:r w:rsidR="00415F31">
        <w:t xml:space="preserve"> revenue proposal 201</w:t>
      </w:r>
      <w:r w:rsidR="000B321F">
        <w:t>7</w:t>
      </w:r>
      <w:r w:rsidR="00415F31" w:rsidRPr="00D904FA">
        <w:t>–</w:t>
      </w:r>
      <w:r w:rsidR="000B321F">
        <w:t>22</w:t>
      </w:r>
      <w:r w:rsidR="00415F31">
        <w:t xml:space="preserve">. It should be read with other parts of the </w:t>
      </w:r>
      <w:r w:rsidR="000B321F">
        <w:t>draft</w:t>
      </w:r>
      <w:r w:rsidR="00415F31">
        <w:t xml:space="preserve"> decision.</w:t>
      </w:r>
    </w:p>
    <w:p w:rsidR="00415F31" w:rsidRDefault="00415F31" w:rsidP="00415F31">
      <w:pPr>
        <w:numPr>
          <w:ilvl w:val="0"/>
          <w:numId w:val="25"/>
        </w:numPr>
        <w:spacing w:before="0" w:after="240" w:line="288" w:lineRule="auto"/>
        <w:jc w:val="both"/>
      </w:pPr>
      <w:r>
        <w:t xml:space="preserve">The </w:t>
      </w:r>
      <w:r w:rsidR="000B321F">
        <w:t>draft</w:t>
      </w:r>
      <w:r>
        <w:t xml:space="preserve"> decision includes the following documents:</w:t>
      </w:r>
    </w:p>
    <w:p w:rsidR="00415F31" w:rsidRDefault="00415F31" w:rsidP="00415F31">
      <w:pPr>
        <w:numPr>
          <w:ilvl w:val="0"/>
          <w:numId w:val="25"/>
        </w:numPr>
        <w:spacing w:before="0" w:after="240" w:line="288" w:lineRule="auto"/>
        <w:jc w:val="both"/>
      </w:pPr>
      <w:r>
        <w:t>Overview</w:t>
      </w:r>
    </w:p>
    <w:p w:rsidR="00415F31" w:rsidRDefault="00415F31" w:rsidP="00415F31">
      <w:pPr>
        <w:numPr>
          <w:ilvl w:val="0"/>
          <w:numId w:val="25"/>
        </w:numPr>
        <w:spacing w:before="0" w:after="240" w:line="288" w:lineRule="auto"/>
        <w:jc w:val="both"/>
      </w:pPr>
      <w:r>
        <w:t>Attachment 1 – maximum allowed revenue</w:t>
      </w:r>
    </w:p>
    <w:p w:rsidR="00415F31" w:rsidRDefault="00415F31" w:rsidP="00415F31">
      <w:pPr>
        <w:numPr>
          <w:ilvl w:val="0"/>
          <w:numId w:val="25"/>
        </w:numPr>
        <w:spacing w:before="0" w:after="240" w:line="288" w:lineRule="auto"/>
        <w:jc w:val="both"/>
      </w:pPr>
      <w:r>
        <w:t>Attachment 2 – regulatory asset base</w:t>
      </w:r>
    </w:p>
    <w:p w:rsidR="00415F31" w:rsidRDefault="00415F31" w:rsidP="00415F31">
      <w:pPr>
        <w:numPr>
          <w:ilvl w:val="0"/>
          <w:numId w:val="25"/>
        </w:numPr>
        <w:spacing w:before="0" w:after="240" w:line="288" w:lineRule="auto"/>
        <w:jc w:val="both"/>
      </w:pPr>
      <w:r>
        <w:t>Attachment 3 – rate of return</w:t>
      </w:r>
    </w:p>
    <w:p w:rsidR="00415F31" w:rsidRDefault="00415F31" w:rsidP="00415F31">
      <w:pPr>
        <w:numPr>
          <w:ilvl w:val="0"/>
          <w:numId w:val="25"/>
        </w:numPr>
        <w:spacing w:before="0" w:after="240" w:line="288" w:lineRule="auto"/>
        <w:jc w:val="both"/>
      </w:pPr>
      <w:r>
        <w:t>Attachment 4 – value of imputation credits</w:t>
      </w:r>
    </w:p>
    <w:p w:rsidR="00415F31" w:rsidRDefault="00415F31" w:rsidP="00415F31">
      <w:pPr>
        <w:numPr>
          <w:ilvl w:val="0"/>
          <w:numId w:val="25"/>
        </w:numPr>
        <w:spacing w:before="0" w:after="240" w:line="288" w:lineRule="auto"/>
        <w:jc w:val="both"/>
      </w:pPr>
      <w:r>
        <w:t>Attachment 5 – regulatory depreciation</w:t>
      </w:r>
    </w:p>
    <w:p w:rsidR="00415F31" w:rsidRDefault="00415F31" w:rsidP="00415F31">
      <w:pPr>
        <w:numPr>
          <w:ilvl w:val="0"/>
          <w:numId w:val="25"/>
        </w:numPr>
        <w:spacing w:before="0" w:after="240" w:line="288" w:lineRule="auto"/>
        <w:jc w:val="both"/>
      </w:pPr>
      <w:r>
        <w:t xml:space="preserve">Attachment 6 – capital expenditure </w:t>
      </w:r>
    </w:p>
    <w:p w:rsidR="00415F31" w:rsidRDefault="00415F31" w:rsidP="00415F31">
      <w:pPr>
        <w:numPr>
          <w:ilvl w:val="0"/>
          <w:numId w:val="25"/>
        </w:numPr>
        <w:spacing w:before="0" w:after="240" w:line="288" w:lineRule="auto"/>
        <w:jc w:val="both"/>
      </w:pPr>
      <w:r>
        <w:t>Attachment 7 – operating expenditure</w:t>
      </w:r>
    </w:p>
    <w:p w:rsidR="00415F31" w:rsidRDefault="00415F31" w:rsidP="00415F31">
      <w:pPr>
        <w:numPr>
          <w:ilvl w:val="0"/>
          <w:numId w:val="25"/>
        </w:numPr>
        <w:spacing w:before="0" w:after="240" w:line="288" w:lineRule="auto"/>
        <w:jc w:val="both"/>
      </w:pPr>
      <w:r>
        <w:t>Attachment 8 – corporate income tax</w:t>
      </w:r>
    </w:p>
    <w:p w:rsidR="00415F31" w:rsidRDefault="00415F31" w:rsidP="00415F31">
      <w:pPr>
        <w:numPr>
          <w:ilvl w:val="0"/>
          <w:numId w:val="25"/>
        </w:numPr>
        <w:spacing w:before="0" w:after="240" w:line="288" w:lineRule="auto"/>
        <w:jc w:val="both"/>
      </w:pPr>
      <w:r>
        <w:t>Attachment 9 – efficiency benefit sharing scheme</w:t>
      </w:r>
    </w:p>
    <w:p w:rsidR="00415F31" w:rsidRDefault="00415F31" w:rsidP="00415F31">
      <w:pPr>
        <w:numPr>
          <w:ilvl w:val="0"/>
          <w:numId w:val="25"/>
        </w:numPr>
        <w:spacing w:before="0" w:after="240" w:line="288" w:lineRule="auto"/>
        <w:jc w:val="both"/>
      </w:pPr>
      <w:r>
        <w:t>Attachment 10 – capital expenditure sharing scheme</w:t>
      </w:r>
    </w:p>
    <w:p w:rsidR="00415F31" w:rsidRDefault="00415F31" w:rsidP="00415F31">
      <w:pPr>
        <w:numPr>
          <w:ilvl w:val="0"/>
          <w:numId w:val="25"/>
        </w:numPr>
        <w:spacing w:before="0" w:after="240" w:line="288" w:lineRule="auto"/>
        <w:jc w:val="both"/>
      </w:pPr>
      <w:r>
        <w:t>Attachment 11 – service target performance incentive scheme</w:t>
      </w:r>
    </w:p>
    <w:p w:rsidR="00415F31" w:rsidRPr="00D904FA" w:rsidRDefault="00415F31" w:rsidP="00415F31">
      <w:pPr>
        <w:numPr>
          <w:ilvl w:val="0"/>
          <w:numId w:val="25"/>
        </w:numPr>
        <w:spacing w:before="0" w:after="240" w:line="288" w:lineRule="auto"/>
        <w:jc w:val="both"/>
      </w:pPr>
      <w:r>
        <w:t xml:space="preserve">Attachment 12 – </w:t>
      </w:r>
      <w:r w:rsidRPr="00D904FA">
        <w:t>pricing methodology</w:t>
      </w:r>
    </w:p>
    <w:p w:rsidR="00415F31" w:rsidRPr="00D904FA" w:rsidRDefault="00415F31" w:rsidP="00415F31">
      <w:pPr>
        <w:numPr>
          <w:ilvl w:val="0"/>
          <w:numId w:val="25"/>
        </w:numPr>
        <w:spacing w:before="0" w:after="240" w:line="288" w:lineRule="auto"/>
        <w:jc w:val="both"/>
      </w:pPr>
      <w:r>
        <w:t xml:space="preserve">Attachment 13 </w:t>
      </w:r>
      <w:r w:rsidRPr="00D904FA">
        <w:t>– pass through events</w:t>
      </w:r>
    </w:p>
    <w:p w:rsidR="00415F31" w:rsidRDefault="00415F31" w:rsidP="00415F31">
      <w:r w:rsidRPr="00D904FA">
        <w:t>Attachment 14 – negotiated services</w:t>
      </w:r>
    </w:p>
    <w:p w:rsidR="008F07A3" w:rsidRPr="008F07A3" w:rsidRDefault="008F07A3" w:rsidP="00415F31">
      <w:pPr>
        <w:numPr>
          <w:ilvl w:val="0"/>
          <w:numId w:val="25"/>
        </w:numPr>
        <w:sectPr w:rsidR="008F07A3" w:rsidRPr="008F07A3" w:rsidSect="001754EE">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56608774"/>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sdtContent>
        <w:p w:rsidR="00BD484A" w:rsidRDefault="00DE563D">
          <w:pPr>
            <w:pStyle w:val="TOC1"/>
            <w:rPr>
              <w:rFonts w:asciiTheme="minorHAnsi" w:eastAsiaTheme="minorEastAsia" w:hAnsiTheme="minorHAnsi"/>
              <w:b w:val="0"/>
              <w:color w:val="auto"/>
              <w:sz w:val="22"/>
              <w:lang w:val="en-AU" w:eastAsia="en-AU"/>
            </w:rPr>
          </w:pPr>
          <w:r>
            <w:rPr>
              <w:color w:val="auto"/>
              <w:sz w:val="22"/>
            </w:rPr>
            <w:fldChar w:fldCharType="begin"/>
          </w:r>
          <w:r>
            <w:instrText xml:space="preserve"> TOC \o \h \z \u </w:instrText>
          </w:r>
          <w:r>
            <w:rPr>
              <w:color w:val="auto"/>
              <w:sz w:val="22"/>
            </w:rPr>
            <w:fldChar w:fldCharType="separate"/>
          </w:r>
          <w:hyperlink w:anchor="_Toc456608773" w:history="1">
            <w:r w:rsidR="00BD484A" w:rsidRPr="002253D3">
              <w:rPr>
                <w:rStyle w:val="Hyperlink"/>
              </w:rPr>
              <w:t>Note</w:t>
            </w:r>
            <w:r w:rsidR="00BD484A">
              <w:rPr>
                <w:webHidden/>
              </w:rPr>
              <w:tab/>
            </w:r>
            <w:r w:rsidR="00BD484A">
              <w:rPr>
                <w:webHidden/>
              </w:rPr>
              <w:fldChar w:fldCharType="begin"/>
            </w:r>
            <w:r w:rsidR="00BD484A">
              <w:rPr>
                <w:webHidden/>
              </w:rPr>
              <w:instrText xml:space="preserve"> PAGEREF _Toc456608773 \h </w:instrText>
            </w:r>
            <w:r w:rsidR="00BD484A">
              <w:rPr>
                <w:webHidden/>
              </w:rPr>
            </w:r>
            <w:r w:rsidR="00BD484A">
              <w:rPr>
                <w:webHidden/>
              </w:rPr>
              <w:fldChar w:fldCharType="separate"/>
            </w:r>
            <w:r w:rsidR="00C60946">
              <w:rPr>
                <w:webHidden/>
              </w:rPr>
              <w:t>6-2</w:t>
            </w:r>
            <w:r w:rsidR="00BD484A">
              <w:rPr>
                <w:webHidden/>
              </w:rPr>
              <w:fldChar w:fldCharType="end"/>
            </w:r>
          </w:hyperlink>
        </w:p>
        <w:p w:rsidR="00BD484A" w:rsidRDefault="00C60946">
          <w:pPr>
            <w:pStyle w:val="TOC1"/>
            <w:rPr>
              <w:rFonts w:asciiTheme="minorHAnsi" w:eastAsiaTheme="minorEastAsia" w:hAnsiTheme="minorHAnsi"/>
              <w:b w:val="0"/>
              <w:color w:val="auto"/>
              <w:sz w:val="22"/>
              <w:lang w:val="en-AU" w:eastAsia="en-AU"/>
            </w:rPr>
          </w:pPr>
          <w:hyperlink w:anchor="_Toc456608774" w:history="1">
            <w:r w:rsidR="00BD484A" w:rsidRPr="002253D3">
              <w:rPr>
                <w:rStyle w:val="Hyperlink"/>
              </w:rPr>
              <w:t>Contents</w:t>
            </w:r>
            <w:r w:rsidR="00BD484A">
              <w:rPr>
                <w:webHidden/>
              </w:rPr>
              <w:tab/>
            </w:r>
            <w:r w:rsidR="00BD484A">
              <w:rPr>
                <w:webHidden/>
              </w:rPr>
              <w:fldChar w:fldCharType="begin"/>
            </w:r>
            <w:r w:rsidR="00BD484A">
              <w:rPr>
                <w:webHidden/>
              </w:rPr>
              <w:instrText xml:space="preserve"> PAGEREF _Toc456608774 \h </w:instrText>
            </w:r>
            <w:r w:rsidR="00BD484A">
              <w:rPr>
                <w:webHidden/>
              </w:rPr>
            </w:r>
            <w:r w:rsidR="00BD484A">
              <w:rPr>
                <w:webHidden/>
              </w:rPr>
              <w:fldChar w:fldCharType="separate"/>
            </w:r>
            <w:r>
              <w:rPr>
                <w:webHidden/>
              </w:rPr>
              <w:t>6-3</w:t>
            </w:r>
            <w:r w:rsidR="00BD484A">
              <w:rPr>
                <w:webHidden/>
              </w:rPr>
              <w:fldChar w:fldCharType="end"/>
            </w:r>
          </w:hyperlink>
        </w:p>
        <w:p w:rsidR="00BD484A" w:rsidRDefault="00C60946">
          <w:pPr>
            <w:pStyle w:val="TOC1"/>
            <w:rPr>
              <w:rFonts w:asciiTheme="minorHAnsi" w:eastAsiaTheme="minorEastAsia" w:hAnsiTheme="minorHAnsi"/>
              <w:b w:val="0"/>
              <w:color w:val="auto"/>
              <w:sz w:val="22"/>
              <w:lang w:val="en-AU" w:eastAsia="en-AU"/>
            </w:rPr>
          </w:pPr>
          <w:hyperlink w:anchor="_Toc456608775" w:history="1">
            <w:r w:rsidR="00BD484A" w:rsidRPr="002253D3">
              <w:rPr>
                <w:rStyle w:val="Hyperlink"/>
              </w:rPr>
              <w:t>Shortened forms</w:t>
            </w:r>
            <w:r w:rsidR="00BD484A">
              <w:rPr>
                <w:webHidden/>
              </w:rPr>
              <w:tab/>
            </w:r>
            <w:r w:rsidR="00BD484A">
              <w:rPr>
                <w:webHidden/>
              </w:rPr>
              <w:fldChar w:fldCharType="begin"/>
            </w:r>
            <w:r w:rsidR="00BD484A">
              <w:rPr>
                <w:webHidden/>
              </w:rPr>
              <w:instrText xml:space="preserve"> PAGEREF _Toc456608775 \h </w:instrText>
            </w:r>
            <w:r w:rsidR="00BD484A">
              <w:rPr>
                <w:webHidden/>
              </w:rPr>
            </w:r>
            <w:r w:rsidR="00BD484A">
              <w:rPr>
                <w:webHidden/>
              </w:rPr>
              <w:fldChar w:fldCharType="separate"/>
            </w:r>
            <w:r>
              <w:rPr>
                <w:webHidden/>
              </w:rPr>
              <w:t>6-6</w:t>
            </w:r>
            <w:r w:rsidR="00BD484A">
              <w:rPr>
                <w:webHidden/>
              </w:rPr>
              <w:fldChar w:fldCharType="end"/>
            </w:r>
          </w:hyperlink>
        </w:p>
        <w:p w:rsidR="00BD484A" w:rsidRDefault="00C60946">
          <w:pPr>
            <w:pStyle w:val="TOC1"/>
            <w:rPr>
              <w:rFonts w:asciiTheme="minorHAnsi" w:eastAsiaTheme="minorEastAsia" w:hAnsiTheme="minorHAnsi"/>
              <w:b w:val="0"/>
              <w:color w:val="auto"/>
              <w:sz w:val="22"/>
              <w:lang w:val="en-AU" w:eastAsia="en-AU"/>
            </w:rPr>
          </w:pPr>
          <w:hyperlink w:anchor="_Toc456608776" w:history="1">
            <w:r w:rsidR="00BD484A" w:rsidRPr="002253D3">
              <w:rPr>
                <w:rStyle w:val="Hyperlink"/>
              </w:rPr>
              <w:t>6</w:t>
            </w:r>
            <w:r w:rsidR="00BD484A">
              <w:rPr>
                <w:rFonts w:asciiTheme="minorHAnsi" w:eastAsiaTheme="minorEastAsia" w:hAnsiTheme="minorHAnsi"/>
                <w:b w:val="0"/>
                <w:color w:val="auto"/>
                <w:sz w:val="22"/>
                <w:lang w:val="en-AU" w:eastAsia="en-AU"/>
              </w:rPr>
              <w:tab/>
            </w:r>
            <w:r w:rsidR="00BD484A" w:rsidRPr="002253D3">
              <w:rPr>
                <w:rStyle w:val="Hyperlink"/>
              </w:rPr>
              <w:t>Capital expenditure</w:t>
            </w:r>
            <w:r w:rsidR="00BD484A">
              <w:rPr>
                <w:webHidden/>
              </w:rPr>
              <w:tab/>
            </w:r>
            <w:r w:rsidR="00BD484A">
              <w:rPr>
                <w:webHidden/>
              </w:rPr>
              <w:fldChar w:fldCharType="begin"/>
            </w:r>
            <w:r w:rsidR="00BD484A">
              <w:rPr>
                <w:webHidden/>
              </w:rPr>
              <w:instrText xml:space="preserve"> PAGEREF _Toc456608776 \h </w:instrText>
            </w:r>
            <w:r w:rsidR="00BD484A">
              <w:rPr>
                <w:webHidden/>
              </w:rPr>
            </w:r>
            <w:r w:rsidR="00BD484A">
              <w:rPr>
                <w:webHidden/>
              </w:rPr>
              <w:fldChar w:fldCharType="separate"/>
            </w:r>
            <w:r>
              <w:rPr>
                <w:webHidden/>
              </w:rPr>
              <w:t>6-8</w:t>
            </w:r>
            <w:r w:rsidR="00BD484A">
              <w:rPr>
                <w:webHidden/>
              </w:rPr>
              <w:fldChar w:fldCharType="end"/>
            </w:r>
          </w:hyperlink>
        </w:p>
        <w:p w:rsidR="00BD484A" w:rsidRDefault="00C60946">
          <w:pPr>
            <w:pStyle w:val="TOC2"/>
            <w:rPr>
              <w:rFonts w:asciiTheme="minorHAnsi" w:eastAsiaTheme="minorEastAsia" w:hAnsiTheme="minorHAnsi"/>
              <w:b w:val="0"/>
              <w:color w:val="auto"/>
              <w:sz w:val="22"/>
              <w:lang w:eastAsia="en-AU"/>
            </w:rPr>
          </w:pPr>
          <w:hyperlink w:anchor="_Toc456608777" w:history="1">
            <w:r w:rsidR="00BD484A" w:rsidRPr="002253D3">
              <w:rPr>
                <w:rStyle w:val="Hyperlink"/>
              </w:rPr>
              <w:t>6.1</w:t>
            </w:r>
            <w:r w:rsidR="00BD484A">
              <w:rPr>
                <w:rFonts w:asciiTheme="minorHAnsi" w:eastAsiaTheme="minorEastAsia" w:hAnsiTheme="minorHAnsi"/>
                <w:b w:val="0"/>
                <w:color w:val="auto"/>
                <w:sz w:val="22"/>
                <w:lang w:eastAsia="en-AU"/>
              </w:rPr>
              <w:tab/>
            </w:r>
            <w:r w:rsidR="00BD484A" w:rsidRPr="002253D3">
              <w:rPr>
                <w:rStyle w:val="Hyperlink"/>
              </w:rPr>
              <w:t>Draft decision</w:t>
            </w:r>
            <w:r w:rsidR="00BD484A">
              <w:rPr>
                <w:webHidden/>
              </w:rPr>
              <w:tab/>
            </w:r>
            <w:r w:rsidR="00BD484A">
              <w:rPr>
                <w:webHidden/>
              </w:rPr>
              <w:fldChar w:fldCharType="begin"/>
            </w:r>
            <w:r w:rsidR="00BD484A">
              <w:rPr>
                <w:webHidden/>
              </w:rPr>
              <w:instrText xml:space="preserve"> PAGEREF _Toc456608777 \h </w:instrText>
            </w:r>
            <w:r w:rsidR="00BD484A">
              <w:rPr>
                <w:webHidden/>
              </w:rPr>
            </w:r>
            <w:r w:rsidR="00BD484A">
              <w:rPr>
                <w:webHidden/>
              </w:rPr>
              <w:fldChar w:fldCharType="separate"/>
            </w:r>
            <w:r>
              <w:rPr>
                <w:webHidden/>
              </w:rPr>
              <w:t>6-8</w:t>
            </w:r>
            <w:r w:rsidR="00BD484A">
              <w:rPr>
                <w:webHidden/>
              </w:rPr>
              <w:fldChar w:fldCharType="end"/>
            </w:r>
          </w:hyperlink>
        </w:p>
        <w:p w:rsidR="00BD484A" w:rsidRDefault="00C60946">
          <w:pPr>
            <w:pStyle w:val="TOC2"/>
            <w:rPr>
              <w:rFonts w:asciiTheme="minorHAnsi" w:eastAsiaTheme="minorEastAsia" w:hAnsiTheme="minorHAnsi"/>
              <w:b w:val="0"/>
              <w:color w:val="auto"/>
              <w:sz w:val="22"/>
              <w:lang w:eastAsia="en-AU"/>
            </w:rPr>
          </w:pPr>
          <w:hyperlink w:anchor="_Toc456608778" w:history="1">
            <w:r w:rsidR="00BD484A" w:rsidRPr="002253D3">
              <w:rPr>
                <w:rStyle w:val="Hyperlink"/>
              </w:rPr>
              <w:t>6.2</w:t>
            </w:r>
            <w:r w:rsidR="00BD484A">
              <w:rPr>
                <w:rFonts w:asciiTheme="minorHAnsi" w:eastAsiaTheme="minorEastAsia" w:hAnsiTheme="minorHAnsi"/>
                <w:b w:val="0"/>
                <w:color w:val="auto"/>
                <w:sz w:val="22"/>
                <w:lang w:eastAsia="en-AU"/>
              </w:rPr>
              <w:tab/>
            </w:r>
            <w:r w:rsidR="00BD484A" w:rsidRPr="002253D3">
              <w:rPr>
                <w:rStyle w:val="Hyperlink"/>
              </w:rPr>
              <w:t>AusNet Services’ proposal</w:t>
            </w:r>
            <w:r w:rsidR="00BD484A">
              <w:rPr>
                <w:webHidden/>
              </w:rPr>
              <w:tab/>
            </w:r>
            <w:r w:rsidR="00BD484A">
              <w:rPr>
                <w:webHidden/>
              </w:rPr>
              <w:fldChar w:fldCharType="begin"/>
            </w:r>
            <w:r w:rsidR="00BD484A">
              <w:rPr>
                <w:webHidden/>
              </w:rPr>
              <w:instrText xml:space="preserve"> PAGEREF _Toc456608778 \h </w:instrText>
            </w:r>
            <w:r w:rsidR="00BD484A">
              <w:rPr>
                <w:webHidden/>
              </w:rPr>
            </w:r>
            <w:r w:rsidR="00BD484A">
              <w:rPr>
                <w:webHidden/>
              </w:rPr>
              <w:fldChar w:fldCharType="separate"/>
            </w:r>
            <w:r>
              <w:rPr>
                <w:webHidden/>
              </w:rPr>
              <w:t>6-11</w:t>
            </w:r>
            <w:r w:rsidR="00BD484A">
              <w:rPr>
                <w:webHidden/>
              </w:rPr>
              <w:fldChar w:fldCharType="end"/>
            </w:r>
          </w:hyperlink>
        </w:p>
        <w:p w:rsidR="00BD484A" w:rsidRDefault="00C60946">
          <w:pPr>
            <w:pStyle w:val="TOC2"/>
            <w:rPr>
              <w:rFonts w:asciiTheme="minorHAnsi" w:eastAsiaTheme="minorEastAsia" w:hAnsiTheme="minorHAnsi"/>
              <w:b w:val="0"/>
              <w:color w:val="auto"/>
              <w:sz w:val="22"/>
              <w:lang w:eastAsia="en-AU"/>
            </w:rPr>
          </w:pPr>
          <w:hyperlink w:anchor="_Toc456608779" w:history="1">
            <w:r w:rsidR="00BD484A" w:rsidRPr="002253D3">
              <w:rPr>
                <w:rStyle w:val="Hyperlink"/>
              </w:rPr>
              <w:t>6.3</w:t>
            </w:r>
            <w:r w:rsidR="00BD484A">
              <w:rPr>
                <w:rFonts w:asciiTheme="minorHAnsi" w:eastAsiaTheme="minorEastAsia" w:hAnsiTheme="minorHAnsi"/>
                <w:b w:val="0"/>
                <w:color w:val="auto"/>
                <w:sz w:val="22"/>
                <w:lang w:eastAsia="en-AU"/>
              </w:rPr>
              <w:tab/>
            </w:r>
            <w:r w:rsidR="00BD484A" w:rsidRPr="002253D3">
              <w:rPr>
                <w:rStyle w:val="Hyperlink"/>
              </w:rPr>
              <w:t>AER’s assessment approach</w:t>
            </w:r>
            <w:r w:rsidR="00BD484A">
              <w:rPr>
                <w:webHidden/>
              </w:rPr>
              <w:tab/>
            </w:r>
            <w:r w:rsidR="00BD484A">
              <w:rPr>
                <w:webHidden/>
              </w:rPr>
              <w:fldChar w:fldCharType="begin"/>
            </w:r>
            <w:r w:rsidR="00BD484A">
              <w:rPr>
                <w:webHidden/>
              </w:rPr>
              <w:instrText xml:space="preserve"> PAGEREF _Toc456608779 \h </w:instrText>
            </w:r>
            <w:r w:rsidR="00BD484A">
              <w:rPr>
                <w:webHidden/>
              </w:rPr>
            </w:r>
            <w:r w:rsidR="00BD484A">
              <w:rPr>
                <w:webHidden/>
              </w:rPr>
              <w:fldChar w:fldCharType="separate"/>
            </w:r>
            <w:r>
              <w:rPr>
                <w:webHidden/>
              </w:rPr>
              <w:t>6-12</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80" w:history="1">
            <w:r w:rsidR="00BD484A" w:rsidRPr="002253D3">
              <w:rPr>
                <w:rStyle w:val="Hyperlink"/>
              </w:rPr>
              <w:t>Expenditure Assessment Guideline</w:t>
            </w:r>
            <w:r w:rsidR="00BD484A">
              <w:rPr>
                <w:webHidden/>
              </w:rPr>
              <w:tab/>
            </w:r>
            <w:r w:rsidR="00BD484A">
              <w:rPr>
                <w:webHidden/>
              </w:rPr>
              <w:fldChar w:fldCharType="begin"/>
            </w:r>
            <w:r w:rsidR="00BD484A">
              <w:rPr>
                <w:webHidden/>
              </w:rPr>
              <w:instrText xml:space="preserve"> PAGEREF _Toc456608780 \h </w:instrText>
            </w:r>
            <w:r w:rsidR="00BD484A">
              <w:rPr>
                <w:webHidden/>
              </w:rPr>
            </w:r>
            <w:r w:rsidR="00BD484A">
              <w:rPr>
                <w:webHidden/>
              </w:rPr>
              <w:fldChar w:fldCharType="separate"/>
            </w:r>
            <w:r>
              <w:rPr>
                <w:webHidden/>
              </w:rPr>
              <w:t>6-15</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81" w:history="1">
            <w:r w:rsidR="00BD484A" w:rsidRPr="002253D3">
              <w:rPr>
                <w:rStyle w:val="Hyperlink"/>
              </w:rPr>
              <w:t>6.3.1</w:t>
            </w:r>
            <w:r w:rsidR="00BD484A">
              <w:rPr>
                <w:rFonts w:asciiTheme="minorHAnsi" w:eastAsiaTheme="minorEastAsia" w:hAnsiTheme="minorHAnsi"/>
                <w:lang w:eastAsia="en-AU"/>
              </w:rPr>
              <w:tab/>
            </w:r>
            <w:r w:rsidR="00BD484A" w:rsidRPr="002253D3">
              <w:rPr>
                <w:rStyle w:val="Hyperlink"/>
              </w:rPr>
              <w:t>Building an alternative estimate of total forecast capex</w:t>
            </w:r>
            <w:r w:rsidR="00BD484A">
              <w:rPr>
                <w:webHidden/>
              </w:rPr>
              <w:tab/>
            </w:r>
            <w:r w:rsidR="00BD484A">
              <w:rPr>
                <w:webHidden/>
              </w:rPr>
              <w:fldChar w:fldCharType="begin"/>
            </w:r>
            <w:r w:rsidR="00BD484A">
              <w:rPr>
                <w:webHidden/>
              </w:rPr>
              <w:instrText xml:space="preserve"> PAGEREF _Toc456608781 \h </w:instrText>
            </w:r>
            <w:r w:rsidR="00BD484A">
              <w:rPr>
                <w:webHidden/>
              </w:rPr>
            </w:r>
            <w:r w:rsidR="00BD484A">
              <w:rPr>
                <w:webHidden/>
              </w:rPr>
              <w:fldChar w:fldCharType="separate"/>
            </w:r>
            <w:r>
              <w:rPr>
                <w:webHidden/>
              </w:rPr>
              <w:t>6-15</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82" w:history="1">
            <w:r w:rsidR="00BD484A" w:rsidRPr="002253D3">
              <w:rPr>
                <w:rStyle w:val="Hyperlink"/>
              </w:rPr>
              <w:t>6.3.2</w:t>
            </w:r>
            <w:r w:rsidR="00BD484A">
              <w:rPr>
                <w:rFonts w:asciiTheme="minorHAnsi" w:eastAsiaTheme="minorEastAsia" w:hAnsiTheme="minorHAnsi"/>
                <w:lang w:eastAsia="en-AU"/>
              </w:rPr>
              <w:tab/>
            </w:r>
            <w:r w:rsidR="00BD484A" w:rsidRPr="002253D3">
              <w:rPr>
                <w:rStyle w:val="Hyperlink"/>
              </w:rPr>
              <w:t>Comparing the service provider's proposal with our alternative estimate</w:t>
            </w:r>
            <w:r w:rsidR="00BD484A">
              <w:rPr>
                <w:webHidden/>
              </w:rPr>
              <w:tab/>
            </w:r>
            <w:r w:rsidR="00BD484A">
              <w:rPr>
                <w:webHidden/>
              </w:rPr>
              <w:fldChar w:fldCharType="begin"/>
            </w:r>
            <w:r w:rsidR="00BD484A">
              <w:rPr>
                <w:webHidden/>
              </w:rPr>
              <w:instrText xml:space="preserve"> PAGEREF _Toc456608782 \h </w:instrText>
            </w:r>
            <w:r w:rsidR="00BD484A">
              <w:rPr>
                <w:webHidden/>
              </w:rPr>
            </w:r>
            <w:r w:rsidR="00BD484A">
              <w:rPr>
                <w:webHidden/>
              </w:rPr>
              <w:fldChar w:fldCharType="separate"/>
            </w:r>
            <w:r>
              <w:rPr>
                <w:webHidden/>
              </w:rPr>
              <w:t>6-17</w:t>
            </w:r>
            <w:r w:rsidR="00BD484A">
              <w:rPr>
                <w:webHidden/>
              </w:rPr>
              <w:fldChar w:fldCharType="end"/>
            </w:r>
          </w:hyperlink>
        </w:p>
        <w:p w:rsidR="00BD484A" w:rsidRDefault="00C60946">
          <w:pPr>
            <w:pStyle w:val="TOC2"/>
            <w:rPr>
              <w:rFonts w:asciiTheme="minorHAnsi" w:eastAsiaTheme="minorEastAsia" w:hAnsiTheme="minorHAnsi"/>
              <w:b w:val="0"/>
              <w:color w:val="auto"/>
              <w:sz w:val="22"/>
              <w:lang w:eastAsia="en-AU"/>
            </w:rPr>
          </w:pPr>
          <w:hyperlink w:anchor="_Toc456608783" w:history="1">
            <w:r w:rsidR="00BD484A" w:rsidRPr="002253D3">
              <w:rPr>
                <w:rStyle w:val="Hyperlink"/>
              </w:rPr>
              <w:t>6.4</w:t>
            </w:r>
            <w:r w:rsidR="00BD484A">
              <w:rPr>
                <w:rFonts w:asciiTheme="minorHAnsi" w:eastAsiaTheme="minorEastAsia" w:hAnsiTheme="minorHAnsi"/>
                <w:b w:val="0"/>
                <w:color w:val="auto"/>
                <w:sz w:val="22"/>
                <w:lang w:eastAsia="en-AU"/>
              </w:rPr>
              <w:tab/>
            </w:r>
            <w:r w:rsidR="00BD484A" w:rsidRPr="002253D3">
              <w:rPr>
                <w:rStyle w:val="Hyperlink"/>
              </w:rPr>
              <w:t>Reasons for draft decision</w:t>
            </w:r>
            <w:r w:rsidR="00BD484A">
              <w:rPr>
                <w:webHidden/>
              </w:rPr>
              <w:tab/>
            </w:r>
            <w:r w:rsidR="00BD484A">
              <w:rPr>
                <w:webHidden/>
              </w:rPr>
              <w:fldChar w:fldCharType="begin"/>
            </w:r>
            <w:r w:rsidR="00BD484A">
              <w:rPr>
                <w:webHidden/>
              </w:rPr>
              <w:instrText xml:space="preserve"> PAGEREF _Toc456608783 \h </w:instrText>
            </w:r>
            <w:r w:rsidR="00BD484A">
              <w:rPr>
                <w:webHidden/>
              </w:rPr>
            </w:r>
            <w:r w:rsidR="00BD484A">
              <w:rPr>
                <w:webHidden/>
              </w:rPr>
              <w:fldChar w:fldCharType="separate"/>
            </w:r>
            <w:r>
              <w:rPr>
                <w:webHidden/>
              </w:rPr>
              <w:t>6-18</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84" w:history="1">
            <w:r w:rsidR="00BD484A" w:rsidRPr="002253D3">
              <w:rPr>
                <w:rStyle w:val="Hyperlink"/>
              </w:rPr>
              <w:t>6.4.1</w:t>
            </w:r>
            <w:r w:rsidR="00BD484A">
              <w:rPr>
                <w:rFonts w:asciiTheme="minorHAnsi" w:eastAsiaTheme="minorEastAsia" w:hAnsiTheme="minorHAnsi"/>
                <w:lang w:eastAsia="en-AU"/>
              </w:rPr>
              <w:tab/>
            </w:r>
            <w:r w:rsidR="00BD484A" w:rsidRPr="002253D3">
              <w:rPr>
                <w:rStyle w:val="Hyperlink"/>
              </w:rPr>
              <w:t>Efficiency review of past capital expenditure</w:t>
            </w:r>
            <w:r w:rsidR="00BD484A">
              <w:rPr>
                <w:webHidden/>
              </w:rPr>
              <w:tab/>
            </w:r>
            <w:r w:rsidR="00BD484A">
              <w:rPr>
                <w:webHidden/>
              </w:rPr>
              <w:fldChar w:fldCharType="begin"/>
            </w:r>
            <w:r w:rsidR="00BD484A">
              <w:rPr>
                <w:webHidden/>
              </w:rPr>
              <w:instrText xml:space="preserve"> PAGEREF _Toc456608784 \h </w:instrText>
            </w:r>
            <w:r w:rsidR="00BD484A">
              <w:rPr>
                <w:webHidden/>
              </w:rPr>
            </w:r>
            <w:r w:rsidR="00BD484A">
              <w:rPr>
                <w:webHidden/>
              </w:rPr>
              <w:fldChar w:fldCharType="separate"/>
            </w:r>
            <w:r>
              <w:rPr>
                <w:webHidden/>
              </w:rPr>
              <w:t>6-19</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85" w:history="1">
            <w:r w:rsidR="00BD484A" w:rsidRPr="002253D3">
              <w:rPr>
                <w:rStyle w:val="Hyperlink"/>
              </w:rPr>
              <w:t>6.4.2</w:t>
            </w:r>
            <w:r w:rsidR="00BD484A">
              <w:rPr>
                <w:rFonts w:asciiTheme="minorHAnsi" w:eastAsiaTheme="minorEastAsia" w:hAnsiTheme="minorHAnsi"/>
                <w:lang w:eastAsia="en-AU"/>
              </w:rPr>
              <w:tab/>
            </w:r>
            <w:r w:rsidR="00BD484A" w:rsidRPr="002253D3">
              <w:rPr>
                <w:rStyle w:val="Hyperlink"/>
              </w:rPr>
              <w:t>Key assumptions</w:t>
            </w:r>
            <w:r w:rsidR="00BD484A">
              <w:rPr>
                <w:webHidden/>
              </w:rPr>
              <w:tab/>
            </w:r>
            <w:r w:rsidR="00BD484A">
              <w:rPr>
                <w:webHidden/>
              </w:rPr>
              <w:fldChar w:fldCharType="begin"/>
            </w:r>
            <w:r w:rsidR="00BD484A">
              <w:rPr>
                <w:webHidden/>
              </w:rPr>
              <w:instrText xml:space="preserve"> PAGEREF _Toc456608785 \h </w:instrText>
            </w:r>
            <w:r w:rsidR="00BD484A">
              <w:rPr>
                <w:webHidden/>
              </w:rPr>
            </w:r>
            <w:r w:rsidR="00BD484A">
              <w:rPr>
                <w:webHidden/>
              </w:rPr>
              <w:fldChar w:fldCharType="separate"/>
            </w:r>
            <w:r>
              <w:rPr>
                <w:webHidden/>
              </w:rPr>
              <w:t>6-20</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86" w:history="1">
            <w:r w:rsidR="00BD484A" w:rsidRPr="002253D3">
              <w:rPr>
                <w:rStyle w:val="Hyperlink"/>
              </w:rPr>
              <w:t>6.4.3</w:t>
            </w:r>
            <w:r w:rsidR="00BD484A">
              <w:rPr>
                <w:rFonts w:asciiTheme="minorHAnsi" w:eastAsiaTheme="minorEastAsia" w:hAnsiTheme="minorHAnsi"/>
                <w:lang w:eastAsia="en-AU"/>
              </w:rPr>
              <w:tab/>
            </w:r>
            <w:r w:rsidR="00BD484A" w:rsidRPr="002253D3">
              <w:rPr>
                <w:rStyle w:val="Hyperlink"/>
              </w:rPr>
              <w:t>Forecasting methodology</w:t>
            </w:r>
            <w:r w:rsidR="00BD484A">
              <w:rPr>
                <w:webHidden/>
              </w:rPr>
              <w:tab/>
            </w:r>
            <w:r w:rsidR="00BD484A">
              <w:rPr>
                <w:webHidden/>
              </w:rPr>
              <w:fldChar w:fldCharType="begin"/>
            </w:r>
            <w:r w:rsidR="00BD484A">
              <w:rPr>
                <w:webHidden/>
              </w:rPr>
              <w:instrText xml:space="preserve"> PAGEREF _Toc456608786 \h </w:instrText>
            </w:r>
            <w:r w:rsidR="00BD484A">
              <w:rPr>
                <w:webHidden/>
              </w:rPr>
            </w:r>
            <w:r w:rsidR="00BD484A">
              <w:rPr>
                <w:webHidden/>
              </w:rPr>
              <w:fldChar w:fldCharType="separate"/>
            </w:r>
            <w:r>
              <w:rPr>
                <w:webHidden/>
              </w:rPr>
              <w:t>6-21</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87" w:history="1">
            <w:r w:rsidR="00BD484A" w:rsidRPr="002253D3">
              <w:rPr>
                <w:rStyle w:val="Hyperlink"/>
              </w:rPr>
              <w:t>6.4.4</w:t>
            </w:r>
            <w:r w:rsidR="00BD484A">
              <w:rPr>
                <w:rFonts w:asciiTheme="minorHAnsi" w:eastAsiaTheme="minorEastAsia" w:hAnsiTheme="minorHAnsi"/>
                <w:lang w:eastAsia="en-AU"/>
              </w:rPr>
              <w:tab/>
            </w:r>
            <w:r w:rsidR="00BD484A" w:rsidRPr="002253D3">
              <w:rPr>
                <w:rStyle w:val="Hyperlink"/>
              </w:rPr>
              <w:t>AusNet Services' capex performance</w:t>
            </w:r>
            <w:r w:rsidR="00BD484A">
              <w:rPr>
                <w:webHidden/>
              </w:rPr>
              <w:tab/>
            </w:r>
            <w:r w:rsidR="00BD484A">
              <w:rPr>
                <w:webHidden/>
              </w:rPr>
              <w:fldChar w:fldCharType="begin"/>
            </w:r>
            <w:r w:rsidR="00BD484A">
              <w:rPr>
                <w:webHidden/>
              </w:rPr>
              <w:instrText xml:space="preserve"> PAGEREF _Toc456608787 \h </w:instrText>
            </w:r>
            <w:r w:rsidR="00BD484A">
              <w:rPr>
                <w:webHidden/>
              </w:rPr>
            </w:r>
            <w:r w:rsidR="00BD484A">
              <w:rPr>
                <w:webHidden/>
              </w:rPr>
              <w:fldChar w:fldCharType="separate"/>
            </w:r>
            <w:r>
              <w:rPr>
                <w:webHidden/>
              </w:rPr>
              <w:t>6-22</w:t>
            </w:r>
            <w:r w:rsidR="00BD484A">
              <w:rPr>
                <w:webHidden/>
              </w:rPr>
              <w:fldChar w:fldCharType="end"/>
            </w:r>
          </w:hyperlink>
        </w:p>
        <w:p w:rsidR="00BD484A" w:rsidRDefault="00C60946">
          <w:pPr>
            <w:pStyle w:val="TOC4"/>
            <w:tabs>
              <w:tab w:val="left" w:pos="2552"/>
            </w:tabs>
            <w:rPr>
              <w:rFonts w:asciiTheme="minorHAnsi" w:eastAsiaTheme="minorEastAsia" w:hAnsiTheme="minorHAnsi"/>
              <w:lang w:eastAsia="en-AU"/>
            </w:rPr>
          </w:pPr>
          <w:hyperlink w:anchor="_Toc456608788" w:history="1">
            <w:r w:rsidR="00BD484A" w:rsidRPr="002253D3">
              <w:rPr>
                <w:rStyle w:val="Hyperlink"/>
              </w:rPr>
              <w:t>6.4.4.1</w:t>
            </w:r>
            <w:r w:rsidR="00BD484A">
              <w:rPr>
                <w:rFonts w:asciiTheme="minorHAnsi" w:eastAsiaTheme="minorEastAsia" w:hAnsiTheme="minorHAnsi"/>
                <w:lang w:eastAsia="en-AU"/>
              </w:rPr>
              <w:tab/>
            </w:r>
            <w:r w:rsidR="00BD484A" w:rsidRPr="002253D3">
              <w:rPr>
                <w:rStyle w:val="Hyperlink"/>
              </w:rPr>
              <w:t>AusNet Services' historical capex trends</w:t>
            </w:r>
            <w:r w:rsidR="00BD484A">
              <w:rPr>
                <w:webHidden/>
              </w:rPr>
              <w:tab/>
            </w:r>
            <w:r w:rsidR="00BD484A">
              <w:rPr>
                <w:webHidden/>
              </w:rPr>
              <w:fldChar w:fldCharType="begin"/>
            </w:r>
            <w:r w:rsidR="00BD484A">
              <w:rPr>
                <w:webHidden/>
              </w:rPr>
              <w:instrText xml:space="preserve"> PAGEREF _Toc456608788 \h </w:instrText>
            </w:r>
            <w:r w:rsidR="00BD484A">
              <w:rPr>
                <w:webHidden/>
              </w:rPr>
            </w:r>
            <w:r w:rsidR="00BD484A">
              <w:rPr>
                <w:webHidden/>
              </w:rPr>
              <w:fldChar w:fldCharType="separate"/>
            </w:r>
            <w:r>
              <w:rPr>
                <w:webHidden/>
              </w:rPr>
              <w:t>6-23</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89" w:history="1">
            <w:r w:rsidR="00BD484A" w:rsidRPr="002253D3">
              <w:rPr>
                <w:rStyle w:val="Hyperlink"/>
              </w:rPr>
              <w:t>6.4.5</w:t>
            </w:r>
            <w:r w:rsidR="00BD484A">
              <w:rPr>
                <w:rFonts w:asciiTheme="minorHAnsi" w:eastAsiaTheme="minorEastAsia" w:hAnsiTheme="minorHAnsi"/>
                <w:lang w:eastAsia="en-AU"/>
              </w:rPr>
              <w:tab/>
            </w:r>
            <w:r w:rsidR="00BD484A" w:rsidRPr="002253D3">
              <w:rPr>
                <w:rStyle w:val="Hyperlink"/>
              </w:rPr>
              <w:t>Interrelationships</w:t>
            </w:r>
            <w:r w:rsidR="00BD484A">
              <w:rPr>
                <w:webHidden/>
              </w:rPr>
              <w:tab/>
            </w:r>
            <w:r w:rsidR="00BD484A">
              <w:rPr>
                <w:webHidden/>
              </w:rPr>
              <w:fldChar w:fldCharType="begin"/>
            </w:r>
            <w:r w:rsidR="00BD484A">
              <w:rPr>
                <w:webHidden/>
              </w:rPr>
              <w:instrText xml:space="preserve"> PAGEREF _Toc456608789 \h </w:instrText>
            </w:r>
            <w:r w:rsidR="00BD484A">
              <w:rPr>
                <w:webHidden/>
              </w:rPr>
            </w:r>
            <w:r w:rsidR="00BD484A">
              <w:rPr>
                <w:webHidden/>
              </w:rPr>
              <w:fldChar w:fldCharType="separate"/>
            </w:r>
            <w:r>
              <w:rPr>
                <w:webHidden/>
              </w:rPr>
              <w:t>6-25</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790" w:history="1">
            <w:r w:rsidR="00BD484A" w:rsidRPr="002253D3">
              <w:rPr>
                <w:rStyle w:val="Hyperlink"/>
              </w:rPr>
              <w:t>6.4.6</w:t>
            </w:r>
            <w:r w:rsidR="00BD484A">
              <w:rPr>
                <w:rFonts w:asciiTheme="minorHAnsi" w:eastAsiaTheme="minorEastAsia" w:hAnsiTheme="minorHAnsi"/>
                <w:lang w:eastAsia="en-AU"/>
              </w:rPr>
              <w:tab/>
            </w:r>
            <w:r w:rsidR="00BD484A" w:rsidRPr="002253D3">
              <w:rPr>
                <w:rStyle w:val="Hyperlink"/>
              </w:rPr>
              <w:t>Consideration of the capex factors</w:t>
            </w:r>
            <w:r w:rsidR="00BD484A">
              <w:rPr>
                <w:webHidden/>
              </w:rPr>
              <w:tab/>
            </w:r>
            <w:r w:rsidR="00BD484A">
              <w:rPr>
                <w:webHidden/>
              </w:rPr>
              <w:fldChar w:fldCharType="begin"/>
            </w:r>
            <w:r w:rsidR="00BD484A">
              <w:rPr>
                <w:webHidden/>
              </w:rPr>
              <w:instrText xml:space="preserve"> PAGEREF _Toc456608790 \h </w:instrText>
            </w:r>
            <w:r w:rsidR="00BD484A">
              <w:rPr>
                <w:webHidden/>
              </w:rPr>
            </w:r>
            <w:r w:rsidR="00BD484A">
              <w:rPr>
                <w:webHidden/>
              </w:rPr>
              <w:fldChar w:fldCharType="separate"/>
            </w:r>
            <w:r>
              <w:rPr>
                <w:webHidden/>
              </w:rPr>
              <w:t>6-26</w:t>
            </w:r>
            <w:r w:rsidR="00BD484A">
              <w:rPr>
                <w:webHidden/>
              </w:rPr>
              <w:fldChar w:fldCharType="end"/>
            </w:r>
          </w:hyperlink>
        </w:p>
        <w:p w:rsidR="00BD484A" w:rsidRDefault="00C60946">
          <w:pPr>
            <w:pStyle w:val="TOC7"/>
            <w:tabs>
              <w:tab w:val="left" w:pos="2977"/>
            </w:tabs>
            <w:rPr>
              <w:rFonts w:asciiTheme="minorHAnsi" w:eastAsiaTheme="minorEastAsia" w:hAnsiTheme="minorHAnsi"/>
              <w:lang w:eastAsia="en-AU"/>
            </w:rPr>
          </w:pPr>
          <w:hyperlink w:anchor="_Toc456608791" w:history="1">
            <w:r w:rsidR="00BD484A" w:rsidRPr="002253D3">
              <w:rPr>
                <w:rStyle w:val="Hyperlink"/>
              </w:rPr>
              <w:t>A</w:t>
            </w:r>
            <w:r w:rsidR="00BD484A">
              <w:rPr>
                <w:rFonts w:asciiTheme="minorHAnsi" w:eastAsiaTheme="minorEastAsia" w:hAnsiTheme="minorHAnsi"/>
                <w:lang w:eastAsia="en-AU"/>
              </w:rPr>
              <w:tab/>
            </w:r>
            <w:r w:rsidR="00BD484A" w:rsidRPr="002253D3">
              <w:rPr>
                <w:rStyle w:val="Hyperlink"/>
              </w:rPr>
              <w:t>Assessment techniques</w:t>
            </w:r>
            <w:r w:rsidR="00BD484A">
              <w:rPr>
                <w:webHidden/>
              </w:rPr>
              <w:tab/>
            </w:r>
            <w:r w:rsidR="00BD484A">
              <w:rPr>
                <w:webHidden/>
              </w:rPr>
              <w:fldChar w:fldCharType="begin"/>
            </w:r>
            <w:r w:rsidR="00BD484A">
              <w:rPr>
                <w:webHidden/>
              </w:rPr>
              <w:instrText xml:space="preserve"> PAGEREF _Toc456608791 \h </w:instrText>
            </w:r>
            <w:r w:rsidR="00BD484A">
              <w:rPr>
                <w:webHidden/>
              </w:rPr>
            </w:r>
            <w:r w:rsidR="00BD484A">
              <w:rPr>
                <w:webHidden/>
              </w:rPr>
              <w:fldChar w:fldCharType="separate"/>
            </w:r>
            <w:r>
              <w:rPr>
                <w:webHidden/>
              </w:rPr>
              <w:t>6-28</w:t>
            </w:r>
            <w:r w:rsidR="00BD484A">
              <w:rPr>
                <w:webHidden/>
              </w:rPr>
              <w:fldChar w:fldCharType="end"/>
            </w:r>
          </w:hyperlink>
        </w:p>
        <w:p w:rsidR="00BD484A" w:rsidRDefault="00C60946">
          <w:pPr>
            <w:pStyle w:val="TOC8"/>
            <w:tabs>
              <w:tab w:val="left" w:pos="3527"/>
            </w:tabs>
            <w:rPr>
              <w:rFonts w:asciiTheme="minorHAnsi" w:eastAsiaTheme="minorEastAsia" w:hAnsiTheme="minorHAnsi"/>
              <w:lang w:eastAsia="en-AU"/>
            </w:rPr>
          </w:pPr>
          <w:hyperlink w:anchor="_Toc456608792" w:history="1">
            <w:r w:rsidR="00BD484A" w:rsidRPr="002253D3">
              <w:rPr>
                <w:rStyle w:val="Hyperlink"/>
              </w:rPr>
              <w:t>A.1</w:t>
            </w:r>
            <w:r w:rsidR="00BD484A">
              <w:rPr>
                <w:rFonts w:asciiTheme="minorHAnsi" w:eastAsiaTheme="minorEastAsia" w:hAnsiTheme="minorHAnsi"/>
                <w:lang w:eastAsia="en-AU"/>
              </w:rPr>
              <w:tab/>
            </w:r>
            <w:r w:rsidR="00BD484A" w:rsidRPr="002253D3">
              <w:rPr>
                <w:rStyle w:val="Hyperlink"/>
              </w:rPr>
              <w:t>Economic benchmarking</w:t>
            </w:r>
            <w:r w:rsidR="00BD484A">
              <w:rPr>
                <w:webHidden/>
              </w:rPr>
              <w:tab/>
            </w:r>
            <w:r w:rsidR="00BD484A">
              <w:rPr>
                <w:webHidden/>
              </w:rPr>
              <w:fldChar w:fldCharType="begin"/>
            </w:r>
            <w:r w:rsidR="00BD484A">
              <w:rPr>
                <w:webHidden/>
              </w:rPr>
              <w:instrText xml:space="preserve"> PAGEREF _Toc456608792 \h </w:instrText>
            </w:r>
            <w:r w:rsidR="00BD484A">
              <w:rPr>
                <w:webHidden/>
              </w:rPr>
            </w:r>
            <w:r w:rsidR="00BD484A">
              <w:rPr>
                <w:webHidden/>
              </w:rPr>
              <w:fldChar w:fldCharType="separate"/>
            </w:r>
            <w:r>
              <w:rPr>
                <w:webHidden/>
              </w:rPr>
              <w:t>6-28</w:t>
            </w:r>
            <w:r w:rsidR="00BD484A">
              <w:rPr>
                <w:webHidden/>
              </w:rPr>
              <w:fldChar w:fldCharType="end"/>
            </w:r>
          </w:hyperlink>
        </w:p>
        <w:p w:rsidR="00BD484A" w:rsidRDefault="00C60946">
          <w:pPr>
            <w:pStyle w:val="TOC8"/>
            <w:tabs>
              <w:tab w:val="left" w:pos="3527"/>
            </w:tabs>
            <w:rPr>
              <w:rFonts w:asciiTheme="minorHAnsi" w:eastAsiaTheme="minorEastAsia" w:hAnsiTheme="minorHAnsi"/>
              <w:lang w:eastAsia="en-AU"/>
            </w:rPr>
          </w:pPr>
          <w:hyperlink w:anchor="_Toc456608793" w:history="1">
            <w:r w:rsidR="00BD484A" w:rsidRPr="002253D3">
              <w:rPr>
                <w:rStyle w:val="Hyperlink"/>
              </w:rPr>
              <w:t>A.2</w:t>
            </w:r>
            <w:r w:rsidR="00BD484A">
              <w:rPr>
                <w:rFonts w:asciiTheme="minorHAnsi" w:eastAsiaTheme="minorEastAsia" w:hAnsiTheme="minorHAnsi"/>
                <w:lang w:eastAsia="en-AU"/>
              </w:rPr>
              <w:tab/>
            </w:r>
            <w:r w:rsidR="00BD484A" w:rsidRPr="002253D3">
              <w:rPr>
                <w:rStyle w:val="Hyperlink"/>
              </w:rPr>
              <w:t>Trend analysis</w:t>
            </w:r>
            <w:r w:rsidR="00BD484A">
              <w:rPr>
                <w:webHidden/>
              </w:rPr>
              <w:tab/>
            </w:r>
            <w:r w:rsidR="00BD484A">
              <w:rPr>
                <w:webHidden/>
              </w:rPr>
              <w:fldChar w:fldCharType="begin"/>
            </w:r>
            <w:r w:rsidR="00BD484A">
              <w:rPr>
                <w:webHidden/>
              </w:rPr>
              <w:instrText xml:space="preserve"> PAGEREF _Toc456608793 \h </w:instrText>
            </w:r>
            <w:r w:rsidR="00BD484A">
              <w:rPr>
                <w:webHidden/>
              </w:rPr>
            </w:r>
            <w:r w:rsidR="00BD484A">
              <w:rPr>
                <w:webHidden/>
              </w:rPr>
              <w:fldChar w:fldCharType="separate"/>
            </w:r>
            <w:r>
              <w:rPr>
                <w:webHidden/>
              </w:rPr>
              <w:t>6-29</w:t>
            </w:r>
            <w:r w:rsidR="00BD484A">
              <w:rPr>
                <w:webHidden/>
              </w:rPr>
              <w:fldChar w:fldCharType="end"/>
            </w:r>
          </w:hyperlink>
        </w:p>
        <w:p w:rsidR="00BD484A" w:rsidRDefault="00C60946">
          <w:pPr>
            <w:pStyle w:val="TOC8"/>
            <w:tabs>
              <w:tab w:val="left" w:pos="3527"/>
            </w:tabs>
            <w:rPr>
              <w:rFonts w:asciiTheme="minorHAnsi" w:eastAsiaTheme="minorEastAsia" w:hAnsiTheme="minorHAnsi"/>
              <w:lang w:eastAsia="en-AU"/>
            </w:rPr>
          </w:pPr>
          <w:hyperlink w:anchor="_Toc456608794" w:history="1">
            <w:r w:rsidR="00BD484A" w:rsidRPr="002253D3">
              <w:rPr>
                <w:rStyle w:val="Hyperlink"/>
              </w:rPr>
              <w:t>A.3</w:t>
            </w:r>
            <w:r w:rsidR="00BD484A">
              <w:rPr>
                <w:rFonts w:asciiTheme="minorHAnsi" w:eastAsiaTheme="minorEastAsia" w:hAnsiTheme="minorHAnsi"/>
                <w:lang w:eastAsia="en-AU"/>
              </w:rPr>
              <w:tab/>
            </w:r>
            <w:r w:rsidR="00BD484A" w:rsidRPr="002253D3">
              <w:rPr>
                <w:rStyle w:val="Hyperlink"/>
              </w:rPr>
              <w:t>Methodology review</w:t>
            </w:r>
            <w:r w:rsidR="00BD484A">
              <w:rPr>
                <w:webHidden/>
              </w:rPr>
              <w:tab/>
            </w:r>
            <w:r w:rsidR="00BD484A">
              <w:rPr>
                <w:webHidden/>
              </w:rPr>
              <w:fldChar w:fldCharType="begin"/>
            </w:r>
            <w:r w:rsidR="00BD484A">
              <w:rPr>
                <w:webHidden/>
              </w:rPr>
              <w:instrText xml:space="preserve"> PAGEREF _Toc456608794 \h </w:instrText>
            </w:r>
            <w:r w:rsidR="00BD484A">
              <w:rPr>
                <w:webHidden/>
              </w:rPr>
            </w:r>
            <w:r w:rsidR="00BD484A">
              <w:rPr>
                <w:webHidden/>
              </w:rPr>
              <w:fldChar w:fldCharType="separate"/>
            </w:r>
            <w:r>
              <w:rPr>
                <w:webHidden/>
              </w:rPr>
              <w:t>6-30</w:t>
            </w:r>
            <w:r w:rsidR="00BD484A">
              <w:rPr>
                <w:webHidden/>
              </w:rPr>
              <w:fldChar w:fldCharType="end"/>
            </w:r>
          </w:hyperlink>
        </w:p>
        <w:p w:rsidR="00BD484A" w:rsidRDefault="00C60946">
          <w:pPr>
            <w:pStyle w:val="TOC8"/>
            <w:tabs>
              <w:tab w:val="left" w:pos="3527"/>
            </w:tabs>
            <w:rPr>
              <w:rFonts w:asciiTheme="minorHAnsi" w:eastAsiaTheme="minorEastAsia" w:hAnsiTheme="minorHAnsi"/>
              <w:lang w:eastAsia="en-AU"/>
            </w:rPr>
          </w:pPr>
          <w:hyperlink w:anchor="_Toc456608795" w:history="1">
            <w:r w:rsidR="00BD484A" w:rsidRPr="002253D3">
              <w:rPr>
                <w:rStyle w:val="Hyperlink"/>
              </w:rPr>
              <w:t>A.4</w:t>
            </w:r>
            <w:r w:rsidR="00BD484A">
              <w:rPr>
                <w:rFonts w:asciiTheme="minorHAnsi" w:eastAsiaTheme="minorEastAsia" w:hAnsiTheme="minorHAnsi"/>
                <w:lang w:eastAsia="en-AU"/>
              </w:rPr>
              <w:tab/>
            </w:r>
            <w:r w:rsidR="00BD484A" w:rsidRPr="002253D3">
              <w:rPr>
                <w:rStyle w:val="Hyperlink"/>
              </w:rPr>
              <w:t>Predictive modelling</w:t>
            </w:r>
            <w:r w:rsidR="00BD484A">
              <w:rPr>
                <w:webHidden/>
              </w:rPr>
              <w:tab/>
            </w:r>
            <w:r w:rsidR="00BD484A">
              <w:rPr>
                <w:webHidden/>
              </w:rPr>
              <w:fldChar w:fldCharType="begin"/>
            </w:r>
            <w:r w:rsidR="00BD484A">
              <w:rPr>
                <w:webHidden/>
              </w:rPr>
              <w:instrText xml:space="preserve"> PAGEREF _Toc456608795 \h </w:instrText>
            </w:r>
            <w:r w:rsidR="00BD484A">
              <w:rPr>
                <w:webHidden/>
              </w:rPr>
            </w:r>
            <w:r w:rsidR="00BD484A">
              <w:rPr>
                <w:webHidden/>
              </w:rPr>
              <w:fldChar w:fldCharType="separate"/>
            </w:r>
            <w:r>
              <w:rPr>
                <w:webHidden/>
              </w:rPr>
              <w:t>6-31</w:t>
            </w:r>
            <w:r w:rsidR="00BD484A">
              <w:rPr>
                <w:webHidden/>
              </w:rPr>
              <w:fldChar w:fldCharType="end"/>
            </w:r>
          </w:hyperlink>
        </w:p>
        <w:p w:rsidR="00BD484A" w:rsidRDefault="00C60946">
          <w:pPr>
            <w:pStyle w:val="TOC7"/>
            <w:tabs>
              <w:tab w:val="left" w:pos="2977"/>
            </w:tabs>
            <w:rPr>
              <w:rFonts w:asciiTheme="minorHAnsi" w:eastAsiaTheme="minorEastAsia" w:hAnsiTheme="minorHAnsi"/>
              <w:lang w:eastAsia="en-AU"/>
            </w:rPr>
          </w:pPr>
          <w:hyperlink w:anchor="_Toc456608796" w:history="1">
            <w:r w:rsidR="00BD484A" w:rsidRPr="002253D3">
              <w:rPr>
                <w:rStyle w:val="Hyperlink"/>
              </w:rPr>
              <w:t>B</w:t>
            </w:r>
            <w:r w:rsidR="00BD484A">
              <w:rPr>
                <w:rFonts w:asciiTheme="minorHAnsi" w:eastAsiaTheme="minorEastAsia" w:hAnsiTheme="minorHAnsi"/>
                <w:lang w:eastAsia="en-AU"/>
              </w:rPr>
              <w:tab/>
            </w:r>
            <w:r w:rsidR="00BD484A" w:rsidRPr="002253D3">
              <w:rPr>
                <w:rStyle w:val="Hyperlink"/>
              </w:rPr>
              <w:t>Assessment of capex drivers</w:t>
            </w:r>
            <w:r w:rsidR="00BD484A">
              <w:rPr>
                <w:webHidden/>
              </w:rPr>
              <w:tab/>
            </w:r>
            <w:r w:rsidR="00BD484A">
              <w:rPr>
                <w:webHidden/>
              </w:rPr>
              <w:fldChar w:fldCharType="begin"/>
            </w:r>
            <w:r w:rsidR="00BD484A">
              <w:rPr>
                <w:webHidden/>
              </w:rPr>
              <w:instrText xml:space="preserve"> PAGEREF _Toc456608796 \h </w:instrText>
            </w:r>
            <w:r w:rsidR="00BD484A">
              <w:rPr>
                <w:webHidden/>
              </w:rPr>
            </w:r>
            <w:r w:rsidR="00BD484A">
              <w:rPr>
                <w:webHidden/>
              </w:rPr>
              <w:fldChar w:fldCharType="separate"/>
            </w:r>
            <w:r>
              <w:rPr>
                <w:webHidden/>
              </w:rPr>
              <w:t>6-32</w:t>
            </w:r>
            <w:r w:rsidR="00BD484A">
              <w:rPr>
                <w:webHidden/>
              </w:rPr>
              <w:fldChar w:fldCharType="end"/>
            </w:r>
          </w:hyperlink>
        </w:p>
        <w:p w:rsidR="00BD484A" w:rsidRDefault="00C60946">
          <w:pPr>
            <w:pStyle w:val="TOC8"/>
            <w:tabs>
              <w:tab w:val="left" w:pos="3527"/>
            </w:tabs>
            <w:rPr>
              <w:rFonts w:asciiTheme="minorHAnsi" w:eastAsiaTheme="minorEastAsia" w:hAnsiTheme="minorHAnsi"/>
              <w:lang w:eastAsia="en-AU"/>
            </w:rPr>
          </w:pPr>
          <w:hyperlink w:anchor="_Toc456608797" w:history="1">
            <w:r w:rsidR="00BD484A" w:rsidRPr="002253D3">
              <w:rPr>
                <w:rStyle w:val="Hyperlink"/>
              </w:rPr>
              <w:t>B.1</w:t>
            </w:r>
            <w:r w:rsidR="00BD484A">
              <w:rPr>
                <w:rFonts w:asciiTheme="minorHAnsi" w:eastAsiaTheme="minorEastAsia" w:hAnsiTheme="minorHAnsi"/>
                <w:lang w:eastAsia="en-AU"/>
              </w:rPr>
              <w:tab/>
            </w:r>
            <w:r w:rsidR="00BD484A" w:rsidRPr="002253D3">
              <w:rPr>
                <w:rStyle w:val="Hyperlink"/>
              </w:rPr>
              <w:t>Alternative estimate</w:t>
            </w:r>
            <w:r w:rsidR="00BD484A">
              <w:rPr>
                <w:webHidden/>
              </w:rPr>
              <w:tab/>
            </w:r>
            <w:r w:rsidR="00BD484A">
              <w:rPr>
                <w:webHidden/>
              </w:rPr>
              <w:fldChar w:fldCharType="begin"/>
            </w:r>
            <w:r w:rsidR="00BD484A">
              <w:rPr>
                <w:webHidden/>
              </w:rPr>
              <w:instrText xml:space="preserve"> PAGEREF _Toc456608797 \h </w:instrText>
            </w:r>
            <w:r w:rsidR="00BD484A">
              <w:rPr>
                <w:webHidden/>
              </w:rPr>
            </w:r>
            <w:r w:rsidR="00BD484A">
              <w:rPr>
                <w:webHidden/>
              </w:rPr>
              <w:fldChar w:fldCharType="separate"/>
            </w:r>
            <w:r>
              <w:rPr>
                <w:webHidden/>
              </w:rPr>
              <w:t>6-32</w:t>
            </w:r>
            <w:r w:rsidR="00BD484A">
              <w:rPr>
                <w:webHidden/>
              </w:rPr>
              <w:fldChar w:fldCharType="end"/>
            </w:r>
          </w:hyperlink>
        </w:p>
        <w:p w:rsidR="00BD484A" w:rsidRDefault="00C60946">
          <w:pPr>
            <w:pStyle w:val="TOC8"/>
            <w:tabs>
              <w:tab w:val="left" w:pos="3527"/>
            </w:tabs>
            <w:rPr>
              <w:rFonts w:asciiTheme="minorHAnsi" w:eastAsiaTheme="minorEastAsia" w:hAnsiTheme="minorHAnsi"/>
              <w:lang w:eastAsia="en-AU"/>
            </w:rPr>
          </w:pPr>
          <w:hyperlink w:anchor="_Toc456608798" w:history="1">
            <w:r w:rsidR="00BD484A" w:rsidRPr="002253D3">
              <w:rPr>
                <w:rStyle w:val="Hyperlink"/>
              </w:rPr>
              <w:t>B.2</w:t>
            </w:r>
            <w:r w:rsidR="00BD484A">
              <w:rPr>
                <w:rFonts w:asciiTheme="minorHAnsi" w:eastAsiaTheme="minorEastAsia" w:hAnsiTheme="minorHAnsi"/>
                <w:lang w:eastAsia="en-AU"/>
              </w:rPr>
              <w:tab/>
            </w:r>
            <w:r w:rsidR="00BD484A" w:rsidRPr="002253D3">
              <w:rPr>
                <w:rStyle w:val="Hyperlink"/>
              </w:rPr>
              <w:t>Forecast repex</w:t>
            </w:r>
            <w:r w:rsidR="00BD484A">
              <w:rPr>
                <w:webHidden/>
              </w:rPr>
              <w:tab/>
            </w:r>
            <w:r w:rsidR="00BD484A">
              <w:rPr>
                <w:webHidden/>
              </w:rPr>
              <w:fldChar w:fldCharType="begin"/>
            </w:r>
            <w:r w:rsidR="00BD484A">
              <w:rPr>
                <w:webHidden/>
              </w:rPr>
              <w:instrText xml:space="preserve"> PAGEREF _Toc456608798 \h </w:instrText>
            </w:r>
            <w:r w:rsidR="00BD484A">
              <w:rPr>
                <w:webHidden/>
              </w:rPr>
            </w:r>
            <w:r w:rsidR="00BD484A">
              <w:rPr>
                <w:webHidden/>
              </w:rPr>
              <w:fldChar w:fldCharType="separate"/>
            </w:r>
            <w:r>
              <w:rPr>
                <w:webHidden/>
              </w:rPr>
              <w:t>6-32</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799" w:history="1">
            <w:r w:rsidR="00BD484A" w:rsidRPr="002253D3">
              <w:rPr>
                <w:rStyle w:val="Hyperlink"/>
              </w:rPr>
              <w:t>B.2.1</w:t>
            </w:r>
            <w:r w:rsidR="00BD484A">
              <w:rPr>
                <w:rFonts w:asciiTheme="minorHAnsi" w:eastAsiaTheme="minorEastAsia" w:hAnsiTheme="minorHAnsi"/>
                <w:lang w:eastAsia="en-AU"/>
              </w:rPr>
              <w:tab/>
            </w:r>
            <w:r w:rsidR="00BD484A" w:rsidRPr="002253D3">
              <w:rPr>
                <w:rStyle w:val="Hyperlink"/>
              </w:rPr>
              <w:t>Position</w:t>
            </w:r>
            <w:r w:rsidR="00BD484A">
              <w:rPr>
                <w:webHidden/>
              </w:rPr>
              <w:tab/>
            </w:r>
            <w:r w:rsidR="00BD484A">
              <w:rPr>
                <w:webHidden/>
              </w:rPr>
              <w:fldChar w:fldCharType="begin"/>
            </w:r>
            <w:r w:rsidR="00BD484A">
              <w:rPr>
                <w:webHidden/>
              </w:rPr>
              <w:instrText xml:space="preserve"> PAGEREF _Toc456608799 \h </w:instrText>
            </w:r>
            <w:r w:rsidR="00BD484A">
              <w:rPr>
                <w:webHidden/>
              </w:rPr>
            </w:r>
            <w:r w:rsidR="00BD484A">
              <w:rPr>
                <w:webHidden/>
              </w:rPr>
              <w:fldChar w:fldCharType="separate"/>
            </w:r>
            <w:r>
              <w:rPr>
                <w:webHidden/>
              </w:rPr>
              <w:t>6-32</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00" w:history="1">
            <w:r w:rsidR="00BD484A" w:rsidRPr="002253D3">
              <w:rPr>
                <w:rStyle w:val="Hyperlink"/>
              </w:rPr>
              <w:t>B.2.2</w:t>
            </w:r>
            <w:r w:rsidR="00BD484A">
              <w:rPr>
                <w:rFonts w:asciiTheme="minorHAnsi" w:eastAsiaTheme="minorEastAsia" w:hAnsiTheme="minorHAnsi"/>
                <w:lang w:eastAsia="en-AU"/>
              </w:rPr>
              <w:tab/>
            </w:r>
            <w:r w:rsidR="00BD484A" w:rsidRPr="002253D3">
              <w:rPr>
                <w:rStyle w:val="Hyperlink"/>
              </w:rPr>
              <w:t>AusNet Services' revenue proposal</w:t>
            </w:r>
            <w:r w:rsidR="00BD484A">
              <w:rPr>
                <w:webHidden/>
              </w:rPr>
              <w:tab/>
            </w:r>
            <w:r w:rsidR="00BD484A">
              <w:rPr>
                <w:webHidden/>
              </w:rPr>
              <w:fldChar w:fldCharType="begin"/>
            </w:r>
            <w:r w:rsidR="00BD484A">
              <w:rPr>
                <w:webHidden/>
              </w:rPr>
              <w:instrText xml:space="preserve"> PAGEREF _Toc456608800 \h </w:instrText>
            </w:r>
            <w:r w:rsidR="00BD484A">
              <w:rPr>
                <w:webHidden/>
              </w:rPr>
            </w:r>
            <w:r w:rsidR="00BD484A">
              <w:rPr>
                <w:webHidden/>
              </w:rPr>
              <w:fldChar w:fldCharType="separate"/>
            </w:r>
            <w:r>
              <w:rPr>
                <w:webHidden/>
              </w:rPr>
              <w:t>6-33</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01" w:history="1">
            <w:r w:rsidR="00BD484A" w:rsidRPr="002253D3">
              <w:rPr>
                <w:rStyle w:val="Hyperlink"/>
              </w:rPr>
              <w:t>B.2.3</w:t>
            </w:r>
            <w:r w:rsidR="00BD484A">
              <w:rPr>
                <w:rFonts w:asciiTheme="minorHAnsi" w:eastAsiaTheme="minorEastAsia" w:hAnsiTheme="minorHAnsi"/>
                <w:lang w:eastAsia="en-AU"/>
              </w:rPr>
              <w:tab/>
            </w:r>
            <w:r w:rsidR="00BD484A" w:rsidRPr="002253D3">
              <w:rPr>
                <w:rStyle w:val="Hyperlink"/>
              </w:rPr>
              <w:t>AER repex findings</w:t>
            </w:r>
            <w:r w:rsidR="00BD484A">
              <w:rPr>
                <w:webHidden/>
              </w:rPr>
              <w:tab/>
            </w:r>
            <w:r w:rsidR="00BD484A">
              <w:rPr>
                <w:webHidden/>
              </w:rPr>
              <w:fldChar w:fldCharType="begin"/>
            </w:r>
            <w:r w:rsidR="00BD484A">
              <w:rPr>
                <w:webHidden/>
              </w:rPr>
              <w:instrText xml:space="preserve"> PAGEREF _Toc456608801 \h </w:instrText>
            </w:r>
            <w:r w:rsidR="00BD484A">
              <w:rPr>
                <w:webHidden/>
              </w:rPr>
            </w:r>
            <w:r w:rsidR="00BD484A">
              <w:rPr>
                <w:webHidden/>
              </w:rPr>
              <w:fldChar w:fldCharType="separate"/>
            </w:r>
            <w:r>
              <w:rPr>
                <w:webHidden/>
              </w:rPr>
              <w:t>6-33</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802" w:history="1">
            <w:r w:rsidR="00BD484A" w:rsidRPr="002253D3">
              <w:rPr>
                <w:rStyle w:val="Hyperlink"/>
              </w:rPr>
              <w:t>Historical and forecast repex trends</w:t>
            </w:r>
            <w:r w:rsidR="00BD484A">
              <w:rPr>
                <w:webHidden/>
              </w:rPr>
              <w:tab/>
            </w:r>
            <w:r w:rsidR="00BD484A">
              <w:rPr>
                <w:webHidden/>
              </w:rPr>
              <w:fldChar w:fldCharType="begin"/>
            </w:r>
            <w:r w:rsidR="00BD484A">
              <w:rPr>
                <w:webHidden/>
              </w:rPr>
              <w:instrText xml:space="preserve"> PAGEREF _Toc456608802 \h </w:instrText>
            </w:r>
            <w:r w:rsidR="00BD484A">
              <w:rPr>
                <w:webHidden/>
              </w:rPr>
            </w:r>
            <w:r w:rsidR="00BD484A">
              <w:rPr>
                <w:webHidden/>
              </w:rPr>
              <w:fldChar w:fldCharType="separate"/>
            </w:r>
            <w:r>
              <w:rPr>
                <w:webHidden/>
              </w:rPr>
              <w:t>6-33</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803" w:history="1">
            <w:r w:rsidR="00BD484A" w:rsidRPr="002253D3">
              <w:rPr>
                <w:rStyle w:val="Hyperlink"/>
              </w:rPr>
              <w:t xml:space="preserve">Methodology review </w:t>
            </w:r>
            <w:r w:rsidR="00BD484A" w:rsidRPr="002253D3">
              <w:rPr>
                <w:rStyle w:val="Hyperlink"/>
              </w:rPr>
              <w:noBreakHyphen/>
              <w:t xml:space="preserve"> key findings</w:t>
            </w:r>
            <w:r w:rsidR="00BD484A">
              <w:rPr>
                <w:webHidden/>
              </w:rPr>
              <w:tab/>
            </w:r>
            <w:r w:rsidR="00BD484A">
              <w:rPr>
                <w:webHidden/>
              </w:rPr>
              <w:fldChar w:fldCharType="begin"/>
            </w:r>
            <w:r w:rsidR="00BD484A">
              <w:rPr>
                <w:webHidden/>
              </w:rPr>
              <w:instrText xml:space="preserve"> PAGEREF _Toc456608803 \h </w:instrText>
            </w:r>
            <w:r w:rsidR="00BD484A">
              <w:rPr>
                <w:webHidden/>
              </w:rPr>
            </w:r>
            <w:r w:rsidR="00BD484A">
              <w:rPr>
                <w:webHidden/>
              </w:rPr>
              <w:fldChar w:fldCharType="separate"/>
            </w:r>
            <w:r>
              <w:rPr>
                <w:webHidden/>
              </w:rPr>
              <w:t>6-36</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04" w:history="1">
            <w:r w:rsidR="00BD484A" w:rsidRPr="002253D3">
              <w:rPr>
                <w:rStyle w:val="Hyperlink"/>
              </w:rPr>
              <w:t>Project cost estimation</w:t>
            </w:r>
            <w:r w:rsidR="00BD484A">
              <w:rPr>
                <w:webHidden/>
              </w:rPr>
              <w:tab/>
            </w:r>
            <w:r w:rsidR="00BD484A">
              <w:rPr>
                <w:webHidden/>
              </w:rPr>
              <w:fldChar w:fldCharType="begin"/>
            </w:r>
            <w:r w:rsidR="00BD484A">
              <w:rPr>
                <w:webHidden/>
              </w:rPr>
              <w:instrText xml:space="preserve"> PAGEREF _Toc456608804 \h </w:instrText>
            </w:r>
            <w:r w:rsidR="00BD484A">
              <w:rPr>
                <w:webHidden/>
              </w:rPr>
            </w:r>
            <w:r w:rsidR="00BD484A">
              <w:rPr>
                <w:webHidden/>
              </w:rPr>
              <w:fldChar w:fldCharType="separate"/>
            </w:r>
            <w:r>
              <w:rPr>
                <w:webHidden/>
              </w:rPr>
              <w:t>6-36</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05" w:history="1">
            <w:r w:rsidR="00BD484A" w:rsidRPr="002253D3">
              <w:rPr>
                <w:rStyle w:val="Hyperlink"/>
              </w:rPr>
              <w:t>Top-down adjustment to cost estimates</w:t>
            </w:r>
            <w:r w:rsidR="00BD484A">
              <w:rPr>
                <w:webHidden/>
              </w:rPr>
              <w:tab/>
            </w:r>
            <w:r w:rsidR="00BD484A">
              <w:rPr>
                <w:webHidden/>
              </w:rPr>
              <w:fldChar w:fldCharType="begin"/>
            </w:r>
            <w:r w:rsidR="00BD484A">
              <w:rPr>
                <w:webHidden/>
              </w:rPr>
              <w:instrText xml:space="preserve"> PAGEREF _Toc456608805 \h </w:instrText>
            </w:r>
            <w:r w:rsidR="00BD484A">
              <w:rPr>
                <w:webHidden/>
              </w:rPr>
            </w:r>
            <w:r w:rsidR="00BD484A">
              <w:rPr>
                <w:webHidden/>
              </w:rPr>
              <w:fldChar w:fldCharType="separate"/>
            </w:r>
            <w:r>
              <w:rPr>
                <w:webHidden/>
              </w:rPr>
              <w:t>6-40</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06" w:history="1">
            <w:r w:rsidR="00BD484A" w:rsidRPr="002253D3">
              <w:rPr>
                <w:rStyle w:val="Hyperlink"/>
              </w:rPr>
              <w:t>Assessment of economic risk based approach</w:t>
            </w:r>
            <w:r w:rsidR="00BD484A">
              <w:rPr>
                <w:webHidden/>
              </w:rPr>
              <w:tab/>
            </w:r>
            <w:r w:rsidR="00BD484A">
              <w:rPr>
                <w:webHidden/>
              </w:rPr>
              <w:fldChar w:fldCharType="begin"/>
            </w:r>
            <w:r w:rsidR="00BD484A">
              <w:rPr>
                <w:webHidden/>
              </w:rPr>
              <w:instrText xml:space="preserve"> PAGEREF _Toc456608806 \h </w:instrText>
            </w:r>
            <w:r w:rsidR="00BD484A">
              <w:rPr>
                <w:webHidden/>
              </w:rPr>
            </w:r>
            <w:r w:rsidR="00BD484A">
              <w:rPr>
                <w:webHidden/>
              </w:rPr>
              <w:fldChar w:fldCharType="separate"/>
            </w:r>
            <w:r>
              <w:rPr>
                <w:webHidden/>
              </w:rPr>
              <w:t>6-42</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07" w:history="1">
            <w:r w:rsidR="00BD484A" w:rsidRPr="002253D3">
              <w:rPr>
                <w:rStyle w:val="Hyperlink"/>
              </w:rPr>
              <w:t>Application of demand forecasts</w:t>
            </w:r>
            <w:r w:rsidR="00BD484A">
              <w:rPr>
                <w:webHidden/>
              </w:rPr>
              <w:tab/>
            </w:r>
            <w:r w:rsidR="00BD484A">
              <w:rPr>
                <w:webHidden/>
              </w:rPr>
              <w:fldChar w:fldCharType="begin"/>
            </w:r>
            <w:r w:rsidR="00BD484A">
              <w:rPr>
                <w:webHidden/>
              </w:rPr>
              <w:instrText xml:space="preserve"> PAGEREF _Toc456608807 \h </w:instrText>
            </w:r>
            <w:r w:rsidR="00BD484A">
              <w:rPr>
                <w:webHidden/>
              </w:rPr>
            </w:r>
            <w:r w:rsidR="00BD484A">
              <w:rPr>
                <w:webHidden/>
              </w:rPr>
              <w:fldChar w:fldCharType="separate"/>
            </w:r>
            <w:r>
              <w:rPr>
                <w:webHidden/>
              </w:rPr>
              <w:t>6-42</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08" w:history="1">
            <w:r w:rsidR="00BD484A" w:rsidRPr="002253D3">
              <w:rPr>
                <w:rStyle w:val="Hyperlink"/>
              </w:rPr>
              <w:t>Estimation of safety risk</w:t>
            </w:r>
            <w:r w:rsidR="00BD484A">
              <w:rPr>
                <w:webHidden/>
              </w:rPr>
              <w:tab/>
            </w:r>
            <w:r w:rsidR="00BD484A">
              <w:rPr>
                <w:webHidden/>
              </w:rPr>
              <w:fldChar w:fldCharType="begin"/>
            </w:r>
            <w:r w:rsidR="00BD484A">
              <w:rPr>
                <w:webHidden/>
              </w:rPr>
              <w:instrText xml:space="preserve"> PAGEREF _Toc456608808 \h </w:instrText>
            </w:r>
            <w:r w:rsidR="00BD484A">
              <w:rPr>
                <w:webHidden/>
              </w:rPr>
            </w:r>
            <w:r w:rsidR="00BD484A">
              <w:rPr>
                <w:webHidden/>
              </w:rPr>
              <w:fldChar w:fldCharType="separate"/>
            </w:r>
            <w:r>
              <w:rPr>
                <w:webHidden/>
              </w:rPr>
              <w:t>6-44</w:t>
            </w:r>
            <w:r w:rsidR="00BD484A">
              <w:rPr>
                <w:webHidden/>
              </w:rPr>
              <w:fldChar w:fldCharType="end"/>
            </w:r>
          </w:hyperlink>
        </w:p>
        <w:p w:rsidR="00BD484A" w:rsidRDefault="00C60946">
          <w:pPr>
            <w:pStyle w:val="TOC5"/>
            <w:rPr>
              <w:rFonts w:asciiTheme="minorHAnsi" w:eastAsiaTheme="minorEastAsia" w:hAnsiTheme="minorHAnsi"/>
              <w:lang w:eastAsia="en-AU"/>
            </w:rPr>
          </w:pPr>
          <w:hyperlink w:anchor="_Toc456608809" w:history="1">
            <w:r w:rsidR="00BD484A" w:rsidRPr="002253D3">
              <w:rPr>
                <w:rStyle w:val="Hyperlink"/>
              </w:rPr>
              <w:t>Quantifying safety risk</w:t>
            </w:r>
            <w:r w:rsidR="00BD484A">
              <w:rPr>
                <w:webHidden/>
              </w:rPr>
              <w:tab/>
            </w:r>
            <w:r w:rsidR="00BD484A">
              <w:rPr>
                <w:webHidden/>
              </w:rPr>
              <w:fldChar w:fldCharType="begin"/>
            </w:r>
            <w:r w:rsidR="00BD484A">
              <w:rPr>
                <w:webHidden/>
              </w:rPr>
              <w:instrText xml:space="preserve"> PAGEREF _Toc456608809 \h </w:instrText>
            </w:r>
            <w:r w:rsidR="00BD484A">
              <w:rPr>
                <w:webHidden/>
              </w:rPr>
            </w:r>
            <w:r w:rsidR="00BD484A">
              <w:rPr>
                <w:webHidden/>
              </w:rPr>
              <w:fldChar w:fldCharType="separate"/>
            </w:r>
            <w:r>
              <w:rPr>
                <w:webHidden/>
              </w:rPr>
              <w:t>6-46</w:t>
            </w:r>
            <w:r w:rsidR="00BD484A">
              <w:rPr>
                <w:webHidden/>
              </w:rPr>
              <w:fldChar w:fldCharType="end"/>
            </w:r>
          </w:hyperlink>
        </w:p>
        <w:p w:rsidR="00BD484A" w:rsidRDefault="00C60946">
          <w:pPr>
            <w:pStyle w:val="TOC5"/>
            <w:rPr>
              <w:rFonts w:asciiTheme="minorHAnsi" w:eastAsiaTheme="minorEastAsia" w:hAnsiTheme="minorHAnsi"/>
              <w:lang w:eastAsia="en-AU"/>
            </w:rPr>
          </w:pPr>
          <w:hyperlink w:anchor="_Toc456608810" w:history="1">
            <w:r w:rsidR="00BD484A" w:rsidRPr="002253D3">
              <w:rPr>
                <w:rStyle w:val="Hyperlink"/>
              </w:rPr>
              <w:t>AusNet Services’ operating environment</w:t>
            </w:r>
            <w:r w:rsidR="00BD484A">
              <w:rPr>
                <w:webHidden/>
              </w:rPr>
              <w:tab/>
            </w:r>
            <w:r w:rsidR="00BD484A">
              <w:rPr>
                <w:webHidden/>
              </w:rPr>
              <w:fldChar w:fldCharType="begin"/>
            </w:r>
            <w:r w:rsidR="00BD484A">
              <w:rPr>
                <w:webHidden/>
              </w:rPr>
              <w:instrText xml:space="preserve"> PAGEREF _Toc456608810 \h </w:instrText>
            </w:r>
            <w:r w:rsidR="00BD484A">
              <w:rPr>
                <w:webHidden/>
              </w:rPr>
            </w:r>
            <w:r w:rsidR="00BD484A">
              <w:rPr>
                <w:webHidden/>
              </w:rPr>
              <w:fldChar w:fldCharType="separate"/>
            </w:r>
            <w:r>
              <w:rPr>
                <w:webHidden/>
              </w:rPr>
              <w:t>6-47</w:t>
            </w:r>
            <w:r w:rsidR="00BD484A">
              <w:rPr>
                <w:webHidden/>
              </w:rPr>
              <w:fldChar w:fldCharType="end"/>
            </w:r>
          </w:hyperlink>
        </w:p>
        <w:p w:rsidR="00BD484A" w:rsidRDefault="00C60946">
          <w:pPr>
            <w:pStyle w:val="TOC5"/>
            <w:rPr>
              <w:rFonts w:asciiTheme="minorHAnsi" w:eastAsiaTheme="minorEastAsia" w:hAnsiTheme="minorHAnsi"/>
              <w:lang w:eastAsia="en-AU"/>
            </w:rPr>
          </w:pPr>
          <w:hyperlink w:anchor="_Toc456608811" w:history="1">
            <w:r w:rsidR="00BD484A" w:rsidRPr="002253D3">
              <w:rPr>
                <w:rStyle w:val="Hyperlink"/>
              </w:rPr>
              <w:t>AusNet Services’ safety risk controls</w:t>
            </w:r>
            <w:r w:rsidR="00BD484A">
              <w:rPr>
                <w:webHidden/>
              </w:rPr>
              <w:tab/>
            </w:r>
            <w:r w:rsidR="00BD484A">
              <w:rPr>
                <w:webHidden/>
              </w:rPr>
              <w:fldChar w:fldCharType="begin"/>
            </w:r>
            <w:r w:rsidR="00BD484A">
              <w:rPr>
                <w:webHidden/>
              </w:rPr>
              <w:instrText xml:space="preserve"> PAGEREF _Toc456608811 \h </w:instrText>
            </w:r>
            <w:r w:rsidR="00BD484A">
              <w:rPr>
                <w:webHidden/>
              </w:rPr>
            </w:r>
            <w:r w:rsidR="00BD484A">
              <w:rPr>
                <w:webHidden/>
              </w:rPr>
              <w:fldChar w:fldCharType="separate"/>
            </w:r>
            <w:r>
              <w:rPr>
                <w:webHidden/>
              </w:rPr>
              <w:t>6-49</w:t>
            </w:r>
            <w:r w:rsidR="00BD484A">
              <w:rPr>
                <w:webHidden/>
              </w:rPr>
              <w:fldChar w:fldCharType="end"/>
            </w:r>
          </w:hyperlink>
        </w:p>
        <w:p w:rsidR="00BD484A" w:rsidRDefault="00C60946">
          <w:pPr>
            <w:pStyle w:val="TOC5"/>
            <w:rPr>
              <w:rFonts w:asciiTheme="minorHAnsi" w:eastAsiaTheme="minorEastAsia" w:hAnsiTheme="minorHAnsi"/>
              <w:lang w:eastAsia="en-AU"/>
            </w:rPr>
          </w:pPr>
          <w:hyperlink w:anchor="_Toc456608812" w:history="1">
            <w:r w:rsidR="00BD484A" w:rsidRPr="002253D3">
              <w:rPr>
                <w:rStyle w:val="Hyperlink"/>
              </w:rPr>
              <w:t>Summary</w:t>
            </w:r>
            <w:r w:rsidR="00BD484A">
              <w:rPr>
                <w:webHidden/>
              </w:rPr>
              <w:tab/>
            </w:r>
            <w:r w:rsidR="00BD484A">
              <w:rPr>
                <w:webHidden/>
              </w:rPr>
              <w:fldChar w:fldCharType="begin"/>
            </w:r>
            <w:r w:rsidR="00BD484A">
              <w:rPr>
                <w:webHidden/>
              </w:rPr>
              <w:instrText xml:space="preserve"> PAGEREF _Toc456608812 \h </w:instrText>
            </w:r>
            <w:r w:rsidR="00BD484A">
              <w:rPr>
                <w:webHidden/>
              </w:rPr>
            </w:r>
            <w:r w:rsidR="00BD484A">
              <w:rPr>
                <w:webHidden/>
              </w:rPr>
              <w:fldChar w:fldCharType="separate"/>
            </w:r>
            <w:r>
              <w:rPr>
                <w:webHidden/>
              </w:rPr>
              <w:t>6-51</w:t>
            </w:r>
            <w:r w:rsidR="00BD484A">
              <w:rPr>
                <w:webHidden/>
              </w:rPr>
              <w:fldChar w:fldCharType="end"/>
            </w:r>
          </w:hyperlink>
        </w:p>
        <w:p w:rsidR="00BD484A" w:rsidRDefault="00C60946">
          <w:pPr>
            <w:pStyle w:val="TOC5"/>
            <w:rPr>
              <w:rFonts w:asciiTheme="minorHAnsi" w:eastAsiaTheme="minorEastAsia" w:hAnsiTheme="minorHAnsi"/>
              <w:lang w:eastAsia="en-AU"/>
            </w:rPr>
          </w:pPr>
          <w:hyperlink w:anchor="_Toc456608813" w:history="1">
            <w:r w:rsidR="00BD484A" w:rsidRPr="002253D3">
              <w:rPr>
                <w:rStyle w:val="Hyperlink"/>
              </w:rPr>
              <w:t>Asset replacement programs</w:t>
            </w:r>
            <w:r w:rsidR="00BD484A">
              <w:rPr>
                <w:webHidden/>
              </w:rPr>
              <w:tab/>
            </w:r>
            <w:r w:rsidR="00BD484A">
              <w:rPr>
                <w:webHidden/>
              </w:rPr>
              <w:fldChar w:fldCharType="begin"/>
            </w:r>
            <w:r w:rsidR="00BD484A">
              <w:rPr>
                <w:webHidden/>
              </w:rPr>
              <w:instrText xml:space="preserve"> PAGEREF _Toc456608813 \h </w:instrText>
            </w:r>
            <w:r w:rsidR="00BD484A">
              <w:rPr>
                <w:webHidden/>
              </w:rPr>
            </w:r>
            <w:r w:rsidR="00BD484A">
              <w:rPr>
                <w:webHidden/>
              </w:rPr>
              <w:fldChar w:fldCharType="separate"/>
            </w:r>
            <w:r>
              <w:rPr>
                <w:webHidden/>
              </w:rPr>
              <w:t>6-52</w:t>
            </w:r>
            <w:r w:rsidR="00BD484A">
              <w:rPr>
                <w:webHidden/>
              </w:rPr>
              <w:fldChar w:fldCharType="end"/>
            </w:r>
          </w:hyperlink>
        </w:p>
        <w:p w:rsidR="00BD484A" w:rsidRDefault="00C60946">
          <w:pPr>
            <w:pStyle w:val="TOC5"/>
            <w:rPr>
              <w:rFonts w:asciiTheme="minorHAnsi" w:eastAsiaTheme="minorEastAsia" w:hAnsiTheme="minorHAnsi"/>
              <w:lang w:eastAsia="en-AU"/>
            </w:rPr>
          </w:pPr>
          <w:hyperlink w:anchor="_Toc456608814" w:history="1">
            <w:r w:rsidR="00BD484A" w:rsidRPr="002253D3">
              <w:rPr>
                <w:rStyle w:val="Hyperlink"/>
              </w:rPr>
              <w:t>CBD station rebuilds and major station replacement projects</w:t>
            </w:r>
            <w:r w:rsidR="00BD484A">
              <w:rPr>
                <w:webHidden/>
              </w:rPr>
              <w:tab/>
            </w:r>
            <w:r w:rsidR="00BD484A">
              <w:rPr>
                <w:webHidden/>
              </w:rPr>
              <w:fldChar w:fldCharType="begin"/>
            </w:r>
            <w:r w:rsidR="00BD484A">
              <w:rPr>
                <w:webHidden/>
              </w:rPr>
              <w:instrText xml:space="preserve"> PAGEREF _Toc456608814 \h </w:instrText>
            </w:r>
            <w:r w:rsidR="00BD484A">
              <w:rPr>
                <w:webHidden/>
              </w:rPr>
            </w:r>
            <w:r w:rsidR="00BD484A">
              <w:rPr>
                <w:webHidden/>
              </w:rPr>
              <w:fldChar w:fldCharType="separate"/>
            </w:r>
            <w:r>
              <w:rPr>
                <w:webHidden/>
              </w:rPr>
              <w:t>6-54</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15" w:history="1">
            <w:r w:rsidR="00BD484A" w:rsidRPr="002253D3">
              <w:rPr>
                <w:rStyle w:val="Hyperlink"/>
              </w:rPr>
              <w:t>Summary of repex findings</w:t>
            </w:r>
            <w:r w:rsidR="00BD484A">
              <w:rPr>
                <w:webHidden/>
              </w:rPr>
              <w:tab/>
            </w:r>
            <w:r w:rsidR="00BD484A">
              <w:rPr>
                <w:webHidden/>
              </w:rPr>
              <w:fldChar w:fldCharType="begin"/>
            </w:r>
            <w:r w:rsidR="00BD484A">
              <w:rPr>
                <w:webHidden/>
              </w:rPr>
              <w:instrText xml:space="preserve"> PAGEREF _Toc456608815 \h </w:instrText>
            </w:r>
            <w:r w:rsidR="00BD484A">
              <w:rPr>
                <w:webHidden/>
              </w:rPr>
            </w:r>
            <w:r w:rsidR="00BD484A">
              <w:rPr>
                <w:webHidden/>
              </w:rPr>
              <w:fldChar w:fldCharType="separate"/>
            </w:r>
            <w:r>
              <w:rPr>
                <w:webHidden/>
              </w:rPr>
              <w:t>6-56</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16" w:history="1">
            <w:r w:rsidR="00BD484A" w:rsidRPr="002253D3">
              <w:rPr>
                <w:rStyle w:val="Hyperlink"/>
              </w:rPr>
              <w:t>West Melbourne Terminal Station project</w:t>
            </w:r>
            <w:r w:rsidR="00BD484A">
              <w:rPr>
                <w:webHidden/>
              </w:rPr>
              <w:tab/>
            </w:r>
            <w:r w:rsidR="00BD484A">
              <w:rPr>
                <w:webHidden/>
              </w:rPr>
              <w:fldChar w:fldCharType="begin"/>
            </w:r>
            <w:r w:rsidR="00BD484A">
              <w:rPr>
                <w:webHidden/>
              </w:rPr>
              <w:instrText xml:space="preserve"> PAGEREF _Toc456608816 \h </w:instrText>
            </w:r>
            <w:r w:rsidR="00BD484A">
              <w:rPr>
                <w:webHidden/>
              </w:rPr>
            </w:r>
            <w:r w:rsidR="00BD484A">
              <w:rPr>
                <w:webHidden/>
              </w:rPr>
              <w:fldChar w:fldCharType="separate"/>
            </w:r>
            <w:r>
              <w:rPr>
                <w:webHidden/>
              </w:rPr>
              <w:t>6-57</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817" w:history="1">
            <w:r w:rsidR="00BD484A" w:rsidRPr="002253D3">
              <w:rPr>
                <w:rStyle w:val="Hyperlink"/>
              </w:rPr>
              <w:t>Predictive modelling</w:t>
            </w:r>
            <w:r w:rsidR="00BD484A">
              <w:rPr>
                <w:webHidden/>
              </w:rPr>
              <w:tab/>
            </w:r>
            <w:r w:rsidR="00BD484A">
              <w:rPr>
                <w:webHidden/>
              </w:rPr>
              <w:fldChar w:fldCharType="begin"/>
            </w:r>
            <w:r w:rsidR="00BD484A">
              <w:rPr>
                <w:webHidden/>
              </w:rPr>
              <w:instrText xml:space="preserve"> PAGEREF _Toc456608817 \h </w:instrText>
            </w:r>
            <w:r w:rsidR="00BD484A">
              <w:rPr>
                <w:webHidden/>
              </w:rPr>
            </w:r>
            <w:r w:rsidR="00BD484A">
              <w:rPr>
                <w:webHidden/>
              </w:rPr>
              <w:fldChar w:fldCharType="separate"/>
            </w:r>
            <w:r>
              <w:rPr>
                <w:webHidden/>
              </w:rPr>
              <w:t>6-58</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818" w:history="1">
            <w:r w:rsidR="00BD484A" w:rsidRPr="002253D3">
              <w:rPr>
                <w:rStyle w:val="Hyperlink"/>
              </w:rPr>
              <w:t>Network health indicators</w:t>
            </w:r>
            <w:r w:rsidR="00BD484A">
              <w:rPr>
                <w:webHidden/>
              </w:rPr>
              <w:tab/>
            </w:r>
            <w:r w:rsidR="00BD484A">
              <w:rPr>
                <w:webHidden/>
              </w:rPr>
              <w:fldChar w:fldCharType="begin"/>
            </w:r>
            <w:r w:rsidR="00BD484A">
              <w:rPr>
                <w:webHidden/>
              </w:rPr>
              <w:instrText xml:space="preserve"> PAGEREF _Toc456608818 \h </w:instrText>
            </w:r>
            <w:r w:rsidR="00BD484A">
              <w:rPr>
                <w:webHidden/>
              </w:rPr>
            </w:r>
            <w:r w:rsidR="00BD484A">
              <w:rPr>
                <w:webHidden/>
              </w:rPr>
              <w:fldChar w:fldCharType="separate"/>
            </w:r>
            <w:r>
              <w:rPr>
                <w:webHidden/>
              </w:rPr>
              <w:t>6-59</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19" w:history="1">
            <w:r w:rsidR="00BD484A" w:rsidRPr="002253D3">
              <w:rPr>
                <w:rStyle w:val="Hyperlink"/>
              </w:rPr>
              <w:t>Asset condition</w:t>
            </w:r>
            <w:r w:rsidR="00BD484A">
              <w:rPr>
                <w:webHidden/>
              </w:rPr>
              <w:tab/>
            </w:r>
            <w:r w:rsidR="00BD484A">
              <w:rPr>
                <w:webHidden/>
              </w:rPr>
              <w:fldChar w:fldCharType="begin"/>
            </w:r>
            <w:r w:rsidR="00BD484A">
              <w:rPr>
                <w:webHidden/>
              </w:rPr>
              <w:instrText xml:space="preserve"> PAGEREF _Toc456608819 \h </w:instrText>
            </w:r>
            <w:r w:rsidR="00BD484A">
              <w:rPr>
                <w:webHidden/>
              </w:rPr>
            </w:r>
            <w:r w:rsidR="00BD484A">
              <w:rPr>
                <w:webHidden/>
              </w:rPr>
              <w:fldChar w:fldCharType="separate"/>
            </w:r>
            <w:r>
              <w:rPr>
                <w:webHidden/>
              </w:rPr>
              <w:t>6-61</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20" w:history="1">
            <w:r w:rsidR="00BD484A" w:rsidRPr="002253D3">
              <w:rPr>
                <w:rStyle w:val="Hyperlink"/>
              </w:rPr>
              <w:t>Asset failure performance</w:t>
            </w:r>
            <w:r w:rsidR="00BD484A">
              <w:rPr>
                <w:webHidden/>
              </w:rPr>
              <w:tab/>
            </w:r>
            <w:r w:rsidR="00BD484A">
              <w:rPr>
                <w:webHidden/>
              </w:rPr>
              <w:fldChar w:fldCharType="begin"/>
            </w:r>
            <w:r w:rsidR="00BD484A">
              <w:rPr>
                <w:webHidden/>
              </w:rPr>
              <w:instrText xml:space="preserve"> PAGEREF _Toc456608820 \h </w:instrText>
            </w:r>
            <w:r w:rsidR="00BD484A">
              <w:rPr>
                <w:webHidden/>
              </w:rPr>
            </w:r>
            <w:r w:rsidR="00BD484A">
              <w:rPr>
                <w:webHidden/>
              </w:rPr>
              <w:fldChar w:fldCharType="separate"/>
            </w:r>
            <w:r>
              <w:rPr>
                <w:webHidden/>
              </w:rPr>
              <w:t>6-62</w:t>
            </w:r>
            <w:r w:rsidR="00BD484A">
              <w:rPr>
                <w:webHidden/>
              </w:rPr>
              <w:fldChar w:fldCharType="end"/>
            </w:r>
          </w:hyperlink>
        </w:p>
        <w:p w:rsidR="00BD484A" w:rsidRDefault="00C60946">
          <w:pPr>
            <w:pStyle w:val="TOC4"/>
            <w:rPr>
              <w:rFonts w:asciiTheme="minorHAnsi" w:eastAsiaTheme="minorEastAsia" w:hAnsiTheme="minorHAnsi"/>
              <w:lang w:eastAsia="en-AU"/>
            </w:rPr>
          </w:pPr>
          <w:hyperlink w:anchor="_Toc456608821" w:history="1">
            <w:r w:rsidR="00BD484A" w:rsidRPr="002253D3">
              <w:rPr>
                <w:rStyle w:val="Hyperlink"/>
              </w:rPr>
              <w:t>Asset age profile</w:t>
            </w:r>
            <w:r w:rsidR="00BD484A">
              <w:rPr>
                <w:webHidden/>
              </w:rPr>
              <w:tab/>
            </w:r>
            <w:r w:rsidR="00BD484A">
              <w:rPr>
                <w:webHidden/>
              </w:rPr>
              <w:fldChar w:fldCharType="begin"/>
            </w:r>
            <w:r w:rsidR="00BD484A">
              <w:rPr>
                <w:webHidden/>
              </w:rPr>
              <w:instrText xml:space="preserve"> PAGEREF _Toc456608821 \h </w:instrText>
            </w:r>
            <w:r w:rsidR="00BD484A">
              <w:rPr>
                <w:webHidden/>
              </w:rPr>
            </w:r>
            <w:r w:rsidR="00BD484A">
              <w:rPr>
                <w:webHidden/>
              </w:rPr>
              <w:fldChar w:fldCharType="separate"/>
            </w:r>
            <w:r>
              <w:rPr>
                <w:webHidden/>
              </w:rPr>
              <w:t>6-63</w:t>
            </w:r>
            <w:r w:rsidR="00BD484A">
              <w:rPr>
                <w:webHidden/>
              </w:rPr>
              <w:fldChar w:fldCharType="end"/>
            </w:r>
          </w:hyperlink>
        </w:p>
        <w:p w:rsidR="00BD484A" w:rsidRDefault="00C60946">
          <w:pPr>
            <w:pStyle w:val="TOC8"/>
            <w:tabs>
              <w:tab w:val="left" w:pos="3527"/>
            </w:tabs>
            <w:rPr>
              <w:rFonts w:asciiTheme="minorHAnsi" w:eastAsiaTheme="minorEastAsia" w:hAnsiTheme="minorHAnsi"/>
              <w:lang w:eastAsia="en-AU"/>
            </w:rPr>
          </w:pPr>
          <w:hyperlink w:anchor="_Toc456608822" w:history="1">
            <w:r w:rsidR="00BD484A" w:rsidRPr="002253D3">
              <w:rPr>
                <w:rStyle w:val="Hyperlink"/>
              </w:rPr>
              <w:t>B.3</w:t>
            </w:r>
            <w:r w:rsidR="00BD484A">
              <w:rPr>
                <w:rFonts w:asciiTheme="minorHAnsi" w:eastAsiaTheme="minorEastAsia" w:hAnsiTheme="minorHAnsi"/>
                <w:lang w:eastAsia="en-AU"/>
              </w:rPr>
              <w:tab/>
            </w:r>
            <w:r w:rsidR="00BD484A" w:rsidRPr="002253D3">
              <w:rPr>
                <w:rStyle w:val="Hyperlink"/>
              </w:rPr>
              <w:t>Forecast non-network capex</w:t>
            </w:r>
            <w:r w:rsidR="00BD484A">
              <w:rPr>
                <w:webHidden/>
              </w:rPr>
              <w:tab/>
            </w:r>
            <w:r w:rsidR="00BD484A">
              <w:rPr>
                <w:webHidden/>
              </w:rPr>
              <w:fldChar w:fldCharType="begin"/>
            </w:r>
            <w:r w:rsidR="00BD484A">
              <w:rPr>
                <w:webHidden/>
              </w:rPr>
              <w:instrText xml:space="preserve"> PAGEREF _Toc456608822 \h </w:instrText>
            </w:r>
            <w:r w:rsidR="00BD484A">
              <w:rPr>
                <w:webHidden/>
              </w:rPr>
            </w:r>
            <w:r w:rsidR="00BD484A">
              <w:rPr>
                <w:webHidden/>
              </w:rPr>
              <w:fldChar w:fldCharType="separate"/>
            </w:r>
            <w:r>
              <w:rPr>
                <w:webHidden/>
              </w:rPr>
              <w:t>6-67</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23" w:history="1">
            <w:r w:rsidR="00BD484A" w:rsidRPr="002253D3">
              <w:rPr>
                <w:rStyle w:val="Hyperlink"/>
              </w:rPr>
              <w:t>B.3.1</w:t>
            </w:r>
            <w:r w:rsidR="00BD484A">
              <w:rPr>
                <w:rFonts w:asciiTheme="minorHAnsi" w:eastAsiaTheme="minorEastAsia" w:hAnsiTheme="minorHAnsi"/>
                <w:lang w:eastAsia="en-AU"/>
              </w:rPr>
              <w:tab/>
            </w:r>
            <w:r w:rsidR="00BD484A" w:rsidRPr="002253D3">
              <w:rPr>
                <w:rStyle w:val="Hyperlink"/>
              </w:rPr>
              <w:t>Position</w:t>
            </w:r>
            <w:r w:rsidR="00BD484A">
              <w:rPr>
                <w:webHidden/>
              </w:rPr>
              <w:tab/>
            </w:r>
            <w:r w:rsidR="00BD484A">
              <w:rPr>
                <w:webHidden/>
              </w:rPr>
              <w:fldChar w:fldCharType="begin"/>
            </w:r>
            <w:r w:rsidR="00BD484A">
              <w:rPr>
                <w:webHidden/>
              </w:rPr>
              <w:instrText xml:space="preserve"> PAGEREF _Toc456608823 \h </w:instrText>
            </w:r>
            <w:r w:rsidR="00BD484A">
              <w:rPr>
                <w:webHidden/>
              </w:rPr>
            </w:r>
            <w:r w:rsidR="00BD484A">
              <w:rPr>
                <w:webHidden/>
              </w:rPr>
              <w:fldChar w:fldCharType="separate"/>
            </w:r>
            <w:r>
              <w:rPr>
                <w:webHidden/>
              </w:rPr>
              <w:t>6-67</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24" w:history="1">
            <w:r w:rsidR="00BD484A" w:rsidRPr="002253D3">
              <w:rPr>
                <w:rStyle w:val="Hyperlink"/>
              </w:rPr>
              <w:t>B.3.2</w:t>
            </w:r>
            <w:r w:rsidR="00BD484A">
              <w:rPr>
                <w:rFonts w:asciiTheme="minorHAnsi" w:eastAsiaTheme="minorEastAsia" w:hAnsiTheme="minorHAnsi"/>
                <w:lang w:eastAsia="en-AU"/>
              </w:rPr>
              <w:tab/>
            </w:r>
            <w:r w:rsidR="00BD484A" w:rsidRPr="002253D3">
              <w:rPr>
                <w:rStyle w:val="Hyperlink"/>
              </w:rPr>
              <w:t>AusNet Services' proposal</w:t>
            </w:r>
            <w:r w:rsidR="00BD484A">
              <w:rPr>
                <w:webHidden/>
              </w:rPr>
              <w:tab/>
            </w:r>
            <w:r w:rsidR="00BD484A">
              <w:rPr>
                <w:webHidden/>
              </w:rPr>
              <w:fldChar w:fldCharType="begin"/>
            </w:r>
            <w:r w:rsidR="00BD484A">
              <w:rPr>
                <w:webHidden/>
              </w:rPr>
              <w:instrText xml:space="preserve"> PAGEREF _Toc456608824 \h </w:instrText>
            </w:r>
            <w:r w:rsidR="00BD484A">
              <w:rPr>
                <w:webHidden/>
              </w:rPr>
            </w:r>
            <w:r w:rsidR="00BD484A">
              <w:rPr>
                <w:webHidden/>
              </w:rPr>
              <w:fldChar w:fldCharType="separate"/>
            </w:r>
            <w:r>
              <w:rPr>
                <w:webHidden/>
              </w:rPr>
              <w:t>6-68</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25" w:history="1">
            <w:r w:rsidR="00BD484A" w:rsidRPr="002253D3">
              <w:rPr>
                <w:rStyle w:val="Hyperlink"/>
              </w:rPr>
              <w:t>B.3.3</w:t>
            </w:r>
            <w:r w:rsidR="00BD484A">
              <w:rPr>
                <w:rFonts w:asciiTheme="minorHAnsi" w:eastAsiaTheme="minorEastAsia" w:hAnsiTheme="minorHAnsi"/>
                <w:lang w:eastAsia="en-AU"/>
              </w:rPr>
              <w:tab/>
            </w:r>
            <w:r w:rsidR="00BD484A" w:rsidRPr="002253D3">
              <w:rPr>
                <w:rStyle w:val="Hyperlink"/>
              </w:rPr>
              <w:t>Information and communications technology capex</w:t>
            </w:r>
            <w:r w:rsidR="00BD484A">
              <w:rPr>
                <w:webHidden/>
              </w:rPr>
              <w:tab/>
            </w:r>
            <w:r w:rsidR="00BD484A">
              <w:rPr>
                <w:webHidden/>
              </w:rPr>
              <w:fldChar w:fldCharType="begin"/>
            </w:r>
            <w:r w:rsidR="00BD484A">
              <w:rPr>
                <w:webHidden/>
              </w:rPr>
              <w:instrText xml:space="preserve"> PAGEREF _Toc456608825 \h </w:instrText>
            </w:r>
            <w:r w:rsidR="00BD484A">
              <w:rPr>
                <w:webHidden/>
              </w:rPr>
            </w:r>
            <w:r w:rsidR="00BD484A">
              <w:rPr>
                <w:webHidden/>
              </w:rPr>
              <w:fldChar w:fldCharType="separate"/>
            </w:r>
            <w:r>
              <w:rPr>
                <w:webHidden/>
              </w:rPr>
              <w:t>6-70</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26" w:history="1">
            <w:r w:rsidR="00BD484A" w:rsidRPr="002253D3">
              <w:rPr>
                <w:rStyle w:val="Hyperlink"/>
              </w:rPr>
              <w:t>B.3.4</w:t>
            </w:r>
            <w:r w:rsidR="00BD484A">
              <w:rPr>
                <w:rFonts w:asciiTheme="minorHAnsi" w:eastAsiaTheme="minorEastAsia" w:hAnsiTheme="minorHAnsi"/>
                <w:lang w:eastAsia="en-AU"/>
              </w:rPr>
              <w:tab/>
            </w:r>
            <w:r w:rsidR="00BD484A" w:rsidRPr="002253D3">
              <w:rPr>
                <w:rStyle w:val="Hyperlink"/>
              </w:rPr>
              <w:t>Fleet capex</w:t>
            </w:r>
            <w:r w:rsidR="00BD484A">
              <w:rPr>
                <w:webHidden/>
              </w:rPr>
              <w:tab/>
            </w:r>
            <w:r w:rsidR="00BD484A">
              <w:rPr>
                <w:webHidden/>
              </w:rPr>
              <w:fldChar w:fldCharType="begin"/>
            </w:r>
            <w:r w:rsidR="00BD484A">
              <w:rPr>
                <w:webHidden/>
              </w:rPr>
              <w:instrText xml:space="preserve"> PAGEREF _Toc456608826 \h </w:instrText>
            </w:r>
            <w:r w:rsidR="00BD484A">
              <w:rPr>
                <w:webHidden/>
              </w:rPr>
            </w:r>
            <w:r w:rsidR="00BD484A">
              <w:rPr>
                <w:webHidden/>
              </w:rPr>
              <w:fldChar w:fldCharType="separate"/>
            </w:r>
            <w:r>
              <w:rPr>
                <w:webHidden/>
              </w:rPr>
              <w:t>6-72</w:t>
            </w:r>
            <w:r w:rsidR="00BD484A">
              <w:rPr>
                <w:webHidden/>
              </w:rPr>
              <w:fldChar w:fldCharType="end"/>
            </w:r>
          </w:hyperlink>
        </w:p>
        <w:p w:rsidR="00BD484A" w:rsidRDefault="00C60946">
          <w:pPr>
            <w:pStyle w:val="TOC3"/>
            <w:rPr>
              <w:rFonts w:asciiTheme="minorHAnsi" w:eastAsiaTheme="minorEastAsia" w:hAnsiTheme="minorHAnsi"/>
              <w:lang w:eastAsia="en-AU"/>
            </w:rPr>
          </w:pPr>
          <w:hyperlink w:anchor="_Toc456608827" w:history="1">
            <w:r w:rsidR="00BD484A" w:rsidRPr="002253D3">
              <w:rPr>
                <w:rStyle w:val="Hyperlink"/>
              </w:rPr>
              <w:t>Fleet asset disposals</w:t>
            </w:r>
            <w:r w:rsidR="00BD484A">
              <w:rPr>
                <w:webHidden/>
              </w:rPr>
              <w:tab/>
            </w:r>
            <w:r w:rsidR="00BD484A">
              <w:rPr>
                <w:webHidden/>
              </w:rPr>
              <w:fldChar w:fldCharType="begin"/>
            </w:r>
            <w:r w:rsidR="00BD484A">
              <w:rPr>
                <w:webHidden/>
              </w:rPr>
              <w:instrText xml:space="preserve"> PAGEREF _Toc456608827 \h </w:instrText>
            </w:r>
            <w:r w:rsidR="00BD484A">
              <w:rPr>
                <w:webHidden/>
              </w:rPr>
            </w:r>
            <w:r w:rsidR="00BD484A">
              <w:rPr>
                <w:webHidden/>
              </w:rPr>
              <w:fldChar w:fldCharType="separate"/>
            </w:r>
            <w:r>
              <w:rPr>
                <w:webHidden/>
              </w:rPr>
              <w:t>6-72</w:t>
            </w:r>
            <w:r w:rsidR="00BD484A">
              <w:rPr>
                <w:webHidden/>
              </w:rPr>
              <w:fldChar w:fldCharType="end"/>
            </w:r>
          </w:hyperlink>
        </w:p>
        <w:p w:rsidR="00BD484A" w:rsidRDefault="00C60946">
          <w:pPr>
            <w:pStyle w:val="TOC8"/>
            <w:tabs>
              <w:tab w:val="left" w:pos="3527"/>
            </w:tabs>
            <w:rPr>
              <w:rFonts w:asciiTheme="minorHAnsi" w:eastAsiaTheme="minorEastAsia" w:hAnsiTheme="minorHAnsi"/>
              <w:lang w:eastAsia="en-AU"/>
            </w:rPr>
          </w:pPr>
          <w:hyperlink w:anchor="_Toc456608828" w:history="1">
            <w:r w:rsidR="00BD484A" w:rsidRPr="002253D3">
              <w:rPr>
                <w:rStyle w:val="Hyperlink"/>
              </w:rPr>
              <w:t>B.4</w:t>
            </w:r>
            <w:r w:rsidR="00BD484A">
              <w:rPr>
                <w:rFonts w:asciiTheme="minorHAnsi" w:eastAsiaTheme="minorEastAsia" w:hAnsiTheme="minorHAnsi"/>
                <w:lang w:eastAsia="en-AU"/>
              </w:rPr>
              <w:tab/>
            </w:r>
            <w:r w:rsidR="00BD484A" w:rsidRPr="002253D3">
              <w:rPr>
                <w:rStyle w:val="Hyperlink"/>
              </w:rPr>
              <w:t>Forecast capitalised overheads</w:t>
            </w:r>
            <w:r w:rsidR="00BD484A">
              <w:rPr>
                <w:webHidden/>
              </w:rPr>
              <w:tab/>
            </w:r>
            <w:r w:rsidR="00BD484A">
              <w:rPr>
                <w:webHidden/>
              </w:rPr>
              <w:fldChar w:fldCharType="begin"/>
            </w:r>
            <w:r w:rsidR="00BD484A">
              <w:rPr>
                <w:webHidden/>
              </w:rPr>
              <w:instrText xml:space="preserve"> PAGEREF _Toc456608828 \h </w:instrText>
            </w:r>
            <w:r w:rsidR="00BD484A">
              <w:rPr>
                <w:webHidden/>
              </w:rPr>
            </w:r>
            <w:r w:rsidR="00BD484A">
              <w:rPr>
                <w:webHidden/>
              </w:rPr>
              <w:fldChar w:fldCharType="separate"/>
            </w:r>
            <w:r>
              <w:rPr>
                <w:webHidden/>
              </w:rPr>
              <w:t>6-74</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29" w:history="1">
            <w:r w:rsidR="00BD484A" w:rsidRPr="002253D3">
              <w:rPr>
                <w:rStyle w:val="Hyperlink"/>
              </w:rPr>
              <w:t>B.4.1</w:t>
            </w:r>
            <w:r w:rsidR="00BD484A">
              <w:rPr>
                <w:rFonts w:asciiTheme="minorHAnsi" w:eastAsiaTheme="minorEastAsia" w:hAnsiTheme="minorHAnsi"/>
                <w:lang w:eastAsia="en-AU"/>
              </w:rPr>
              <w:tab/>
            </w:r>
            <w:r w:rsidR="00BD484A" w:rsidRPr="002253D3">
              <w:rPr>
                <w:rStyle w:val="Hyperlink"/>
              </w:rPr>
              <w:t>Position</w:t>
            </w:r>
            <w:r w:rsidR="00BD484A">
              <w:rPr>
                <w:webHidden/>
              </w:rPr>
              <w:tab/>
            </w:r>
            <w:r w:rsidR="00BD484A">
              <w:rPr>
                <w:webHidden/>
              </w:rPr>
              <w:fldChar w:fldCharType="begin"/>
            </w:r>
            <w:r w:rsidR="00BD484A">
              <w:rPr>
                <w:webHidden/>
              </w:rPr>
              <w:instrText xml:space="preserve"> PAGEREF _Toc456608829 \h </w:instrText>
            </w:r>
            <w:r w:rsidR="00BD484A">
              <w:rPr>
                <w:webHidden/>
              </w:rPr>
            </w:r>
            <w:r w:rsidR="00BD484A">
              <w:rPr>
                <w:webHidden/>
              </w:rPr>
              <w:fldChar w:fldCharType="separate"/>
            </w:r>
            <w:r>
              <w:rPr>
                <w:webHidden/>
              </w:rPr>
              <w:t>6-74</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30" w:history="1">
            <w:r w:rsidR="00BD484A" w:rsidRPr="002253D3">
              <w:rPr>
                <w:rStyle w:val="Hyperlink"/>
              </w:rPr>
              <w:t>B.4.2</w:t>
            </w:r>
            <w:r w:rsidR="00BD484A">
              <w:rPr>
                <w:rFonts w:asciiTheme="minorHAnsi" w:eastAsiaTheme="minorEastAsia" w:hAnsiTheme="minorHAnsi"/>
                <w:lang w:eastAsia="en-AU"/>
              </w:rPr>
              <w:tab/>
            </w:r>
            <w:r w:rsidR="00BD484A" w:rsidRPr="002253D3">
              <w:rPr>
                <w:rStyle w:val="Hyperlink"/>
              </w:rPr>
              <w:t>Our assessment</w:t>
            </w:r>
            <w:r w:rsidR="00BD484A">
              <w:rPr>
                <w:webHidden/>
              </w:rPr>
              <w:tab/>
            </w:r>
            <w:r w:rsidR="00BD484A">
              <w:rPr>
                <w:webHidden/>
              </w:rPr>
              <w:fldChar w:fldCharType="begin"/>
            </w:r>
            <w:r w:rsidR="00BD484A">
              <w:rPr>
                <w:webHidden/>
              </w:rPr>
              <w:instrText xml:space="preserve"> PAGEREF _Toc456608830 \h </w:instrText>
            </w:r>
            <w:r w:rsidR="00BD484A">
              <w:rPr>
                <w:webHidden/>
              </w:rPr>
            </w:r>
            <w:r w:rsidR="00BD484A">
              <w:rPr>
                <w:webHidden/>
              </w:rPr>
              <w:fldChar w:fldCharType="separate"/>
            </w:r>
            <w:r>
              <w:rPr>
                <w:webHidden/>
              </w:rPr>
              <w:t>6-74</w:t>
            </w:r>
            <w:r w:rsidR="00BD484A">
              <w:rPr>
                <w:webHidden/>
              </w:rPr>
              <w:fldChar w:fldCharType="end"/>
            </w:r>
          </w:hyperlink>
        </w:p>
        <w:p w:rsidR="00BD484A" w:rsidRDefault="00C60946">
          <w:pPr>
            <w:pStyle w:val="TOC7"/>
            <w:tabs>
              <w:tab w:val="left" w:pos="2977"/>
            </w:tabs>
            <w:rPr>
              <w:rFonts w:asciiTheme="minorHAnsi" w:eastAsiaTheme="minorEastAsia" w:hAnsiTheme="minorHAnsi"/>
              <w:lang w:eastAsia="en-AU"/>
            </w:rPr>
          </w:pPr>
          <w:hyperlink w:anchor="_Toc456608831" w:history="1">
            <w:r w:rsidR="00BD484A" w:rsidRPr="002253D3">
              <w:rPr>
                <w:rStyle w:val="Hyperlink"/>
              </w:rPr>
              <w:t>C</w:t>
            </w:r>
            <w:r w:rsidR="00BD484A">
              <w:rPr>
                <w:rFonts w:asciiTheme="minorHAnsi" w:eastAsiaTheme="minorEastAsia" w:hAnsiTheme="minorHAnsi"/>
                <w:lang w:eastAsia="en-AU"/>
              </w:rPr>
              <w:tab/>
            </w:r>
            <w:r w:rsidR="00BD484A" w:rsidRPr="002253D3">
              <w:rPr>
                <w:rStyle w:val="Hyperlink"/>
              </w:rPr>
              <w:t>Demand</w:t>
            </w:r>
            <w:r w:rsidR="00BD484A">
              <w:rPr>
                <w:webHidden/>
              </w:rPr>
              <w:tab/>
            </w:r>
            <w:r w:rsidR="00BD484A">
              <w:rPr>
                <w:webHidden/>
              </w:rPr>
              <w:fldChar w:fldCharType="begin"/>
            </w:r>
            <w:r w:rsidR="00BD484A">
              <w:rPr>
                <w:webHidden/>
              </w:rPr>
              <w:instrText xml:space="preserve"> PAGEREF _Toc456608831 \h </w:instrText>
            </w:r>
            <w:r w:rsidR="00BD484A">
              <w:rPr>
                <w:webHidden/>
              </w:rPr>
            </w:r>
            <w:r w:rsidR="00BD484A">
              <w:rPr>
                <w:webHidden/>
              </w:rPr>
              <w:fldChar w:fldCharType="separate"/>
            </w:r>
            <w:r>
              <w:rPr>
                <w:webHidden/>
              </w:rPr>
              <w:t>6-76</w:t>
            </w:r>
            <w:r w:rsidR="00BD484A">
              <w:rPr>
                <w:webHidden/>
              </w:rPr>
              <w:fldChar w:fldCharType="end"/>
            </w:r>
          </w:hyperlink>
        </w:p>
        <w:p w:rsidR="00BD484A" w:rsidRDefault="00C60946">
          <w:pPr>
            <w:pStyle w:val="TOC7"/>
            <w:tabs>
              <w:tab w:val="left" w:pos="2977"/>
            </w:tabs>
            <w:rPr>
              <w:rFonts w:asciiTheme="minorHAnsi" w:eastAsiaTheme="minorEastAsia" w:hAnsiTheme="minorHAnsi"/>
              <w:lang w:eastAsia="en-AU"/>
            </w:rPr>
          </w:pPr>
          <w:hyperlink w:anchor="_Toc456608832" w:history="1">
            <w:r w:rsidR="00BD484A" w:rsidRPr="002253D3">
              <w:rPr>
                <w:rStyle w:val="Hyperlink"/>
              </w:rPr>
              <w:t>D</w:t>
            </w:r>
            <w:r w:rsidR="00BD484A">
              <w:rPr>
                <w:rFonts w:asciiTheme="minorHAnsi" w:eastAsiaTheme="minorEastAsia" w:hAnsiTheme="minorHAnsi"/>
                <w:lang w:eastAsia="en-AU"/>
              </w:rPr>
              <w:tab/>
            </w:r>
            <w:r w:rsidR="00BD484A" w:rsidRPr="002253D3">
              <w:rPr>
                <w:rStyle w:val="Hyperlink"/>
              </w:rPr>
              <w:t>Contingent projects</w:t>
            </w:r>
            <w:r w:rsidR="00BD484A">
              <w:rPr>
                <w:webHidden/>
              </w:rPr>
              <w:tab/>
            </w:r>
            <w:r w:rsidR="00BD484A">
              <w:rPr>
                <w:webHidden/>
              </w:rPr>
              <w:fldChar w:fldCharType="begin"/>
            </w:r>
            <w:r w:rsidR="00BD484A">
              <w:rPr>
                <w:webHidden/>
              </w:rPr>
              <w:instrText xml:space="preserve"> PAGEREF _Toc456608832 \h </w:instrText>
            </w:r>
            <w:r w:rsidR="00BD484A">
              <w:rPr>
                <w:webHidden/>
              </w:rPr>
            </w:r>
            <w:r w:rsidR="00BD484A">
              <w:rPr>
                <w:webHidden/>
              </w:rPr>
              <w:fldChar w:fldCharType="separate"/>
            </w:r>
            <w:r>
              <w:rPr>
                <w:webHidden/>
              </w:rPr>
              <w:t>6-80</w:t>
            </w:r>
            <w:r w:rsidR="00BD484A">
              <w:rPr>
                <w:webHidden/>
              </w:rPr>
              <w:fldChar w:fldCharType="end"/>
            </w:r>
          </w:hyperlink>
        </w:p>
        <w:p w:rsidR="00BD484A" w:rsidRDefault="00C60946">
          <w:pPr>
            <w:pStyle w:val="TOC7"/>
            <w:tabs>
              <w:tab w:val="left" w:pos="2977"/>
            </w:tabs>
            <w:rPr>
              <w:rFonts w:asciiTheme="minorHAnsi" w:eastAsiaTheme="minorEastAsia" w:hAnsiTheme="minorHAnsi"/>
              <w:lang w:eastAsia="en-AU"/>
            </w:rPr>
          </w:pPr>
          <w:hyperlink w:anchor="_Toc456608833" w:history="1">
            <w:r w:rsidR="00BD484A" w:rsidRPr="002253D3">
              <w:rPr>
                <w:rStyle w:val="Hyperlink"/>
              </w:rPr>
              <w:t>E</w:t>
            </w:r>
            <w:r w:rsidR="00BD484A">
              <w:rPr>
                <w:rFonts w:asciiTheme="minorHAnsi" w:eastAsiaTheme="minorEastAsia" w:hAnsiTheme="minorHAnsi"/>
                <w:lang w:eastAsia="en-AU"/>
              </w:rPr>
              <w:tab/>
            </w:r>
            <w:r w:rsidR="00BD484A" w:rsidRPr="002253D3">
              <w:rPr>
                <w:rStyle w:val="Hyperlink"/>
              </w:rPr>
              <w:t>Statement of efficiency – 2014-15 capex</w:t>
            </w:r>
            <w:r w:rsidR="00BD484A">
              <w:rPr>
                <w:webHidden/>
              </w:rPr>
              <w:tab/>
            </w:r>
            <w:r w:rsidR="00BD484A">
              <w:rPr>
                <w:webHidden/>
              </w:rPr>
              <w:fldChar w:fldCharType="begin"/>
            </w:r>
            <w:r w:rsidR="00BD484A">
              <w:rPr>
                <w:webHidden/>
              </w:rPr>
              <w:instrText xml:space="preserve"> PAGEREF _Toc456608833 \h </w:instrText>
            </w:r>
            <w:r w:rsidR="00BD484A">
              <w:rPr>
                <w:webHidden/>
              </w:rPr>
            </w:r>
            <w:r w:rsidR="00BD484A">
              <w:rPr>
                <w:webHidden/>
              </w:rPr>
              <w:fldChar w:fldCharType="separate"/>
            </w:r>
            <w:r>
              <w:rPr>
                <w:webHidden/>
              </w:rPr>
              <w:t>6-81</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34" w:history="1">
            <w:r w:rsidR="00BD484A" w:rsidRPr="002253D3">
              <w:rPr>
                <w:rStyle w:val="Hyperlink"/>
              </w:rPr>
              <w:t>E.4.1</w:t>
            </w:r>
            <w:r w:rsidR="00BD484A">
              <w:rPr>
                <w:rFonts w:asciiTheme="minorHAnsi" w:eastAsiaTheme="minorEastAsia" w:hAnsiTheme="minorHAnsi"/>
                <w:lang w:eastAsia="en-AU"/>
              </w:rPr>
              <w:tab/>
            </w:r>
            <w:r w:rsidR="00BD484A" w:rsidRPr="002253D3">
              <w:rPr>
                <w:rStyle w:val="Hyperlink"/>
              </w:rPr>
              <w:t>Position</w:t>
            </w:r>
            <w:r w:rsidR="00BD484A">
              <w:rPr>
                <w:webHidden/>
              </w:rPr>
              <w:tab/>
            </w:r>
            <w:r w:rsidR="00BD484A">
              <w:rPr>
                <w:webHidden/>
              </w:rPr>
              <w:fldChar w:fldCharType="begin"/>
            </w:r>
            <w:r w:rsidR="00BD484A">
              <w:rPr>
                <w:webHidden/>
              </w:rPr>
              <w:instrText xml:space="preserve"> PAGEREF _Toc456608834 \h </w:instrText>
            </w:r>
            <w:r w:rsidR="00BD484A">
              <w:rPr>
                <w:webHidden/>
              </w:rPr>
            </w:r>
            <w:r w:rsidR="00BD484A">
              <w:rPr>
                <w:webHidden/>
              </w:rPr>
              <w:fldChar w:fldCharType="separate"/>
            </w:r>
            <w:r>
              <w:rPr>
                <w:webHidden/>
              </w:rPr>
              <w:t>6-81</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35" w:history="1">
            <w:r w:rsidR="00BD484A" w:rsidRPr="002253D3">
              <w:rPr>
                <w:rStyle w:val="Hyperlink"/>
              </w:rPr>
              <w:t>E.4.2</w:t>
            </w:r>
            <w:r w:rsidR="00BD484A">
              <w:rPr>
                <w:rFonts w:asciiTheme="minorHAnsi" w:eastAsiaTheme="minorEastAsia" w:hAnsiTheme="minorHAnsi"/>
                <w:lang w:eastAsia="en-AU"/>
              </w:rPr>
              <w:tab/>
            </w:r>
            <w:r w:rsidR="00BD484A" w:rsidRPr="002253D3">
              <w:rPr>
                <w:rStyle w:val="Hyperlink"/>
              </w:rPr>
              <w:t>AER approach</w:t>
            </w:r>
            <w:r w:rsidR="00BD484A">
              <w:rPr>
                <w:webHidden/>
              </w:rPr>
              <w:tab/>
            </w:r>
            <w:r w:rsidR="00BD484A">
              <w:rPr>
                <w:webHidden/>
              </w:rPr>
              <w:fldChar w:fldCharType="begin"/>
            </w:r>
            <w:r w:rsidR="00BD484A">
              <w:rPr>
                <w:webHidden/>
              </w:rPr>
              <w:instrText xml:space="preserve"> PAGEREF _Toc456608835 \h </w:instrText>
            </w:r>
            <w:r w:rsidR="00BD484A">
              <w:rPr>
                <w:webHidden/>
              </w:rPr>
            </w:r>
            <w:r w:rsidR="00BD484A">
              <w:rPr>
                <w:webHidden/>
              </w:rPr>
              <w:fldChar w:fldCharType="separate"/>
            </w:r>
            <w:r>
              <w:rPr>
                <w:webHidden/>
              </w:rPr>
              <w:t>6-81</w:t>
            </w:r>
            <w:r w:rsidR="00BD484A">
              <w:rPr>
                <w:webHidden/>
              </w:rPr>
              <w:fldChar w:fldCharType="end"/>
            </w:r>
          </w:hyperlink>
        </w:p>
        <w:p w:rsidR="00BD484A" w:rsidRDefault="00C60946">
          <w:pPr>
            <w:pStyle w:val="TOC9"/>
            <w:tabs>
              <w:tab w:val="left" w:pos="4136"/>
            </w:tabs>
            <w:rPr>
              <w:rFonts w:asciiTheme="minorHAnsi" w:eastAsiaTheme="minorEastAsia" w:hAnsiTheme="minorHAnsi"/>
              <w:lang w:eastAsia="en-AU"/>
            </w:rPr>
          </w:pPr>
          <w:hyperlink w:anchor="_Toc456608836" w:history="1">
            <w:r w:rsidR="00BD484A" w:rsidRPr="002253D3">
              <w:rPr>
                <w:rStyle w:val="Hyperlink"/>
              </w:rPr>
              <w:t>E.4.3</w:t>
            </w:r>
            <w:r w:rsidR="00BD484A">
              <w:rPr>
                <w:rFonts w:asciiTheme="minorHAnsi" w:eastAsiaTheme="minorEastAsia" w:hAnsiTheme="minorHAnsi"/>
                <w:lang w:eastAsia="en-AU"/>
              </w:rPr>
              <w:tab/>
            </w:r>
            <w:r w:rsidR="00BD484A" w:rsidRPr="002253D3">
              <w:rPr>
                <w:rStyle w:val="Hyperlink"/>
              </w:rPr>
              <w:t>AER assessment</w:t>
            </w:r>
            <w:r w:rsidR="00BD484A">
              <w:rPr>
                <w:webHidden/>
              </w:rPr>
              <w:tab/>
            </w:r>
            <w:r w:rsidR="00BD484A">
              <w:rPr>
                <w:webHidden/>
              </w:rPr>
              <w:fldChar w:fldCharType="begin"/>
            </w:r>
            <w:r w:rsidR="00BD484A">
              <w:rPr>
                <w:webHidden/>
              </w:rPr>
              <w:instrText xml:space="preserve"> PAGEREF _Toc456608836 \h </w:instrText>
            </w:r>
            <w:r w:rsidR="00BD484A">
              <w:rPr>
                <w:webHidden/>
              </w:rPr>
            </w:r>
            <w:r w:rsidR="00BD484A">
              <w:rPr>
                <w:webHidden/>
              </w:rPr>
              <w:fldChar w:fldCharType="separate"/>
            </w:r>
            <w:r>
              <w:rPr>
                <w:webHidden/>
              </w:rPr>
              <w:t>6-82</w:t>
            </w:r>
            <w:r w:rsidR="00BD484A">
              <w:rPr>
                <w:webHidden/>
              </w:rPr>
              <w:fldChar w:fldCharType="end"/>
            </w:r>
          </w:hyperlink>
        </w:p>
        <w:p w:rsidR="00BD484A" w:rsidRDefault="00C60946">
          <w:pPr>
            <w:pStyle w:val="TOC7"/>
            <w:tabs>
              <w:tab w:val="left" w:pos="2977"/>
            </w:tabs>
            <w:rPr>
              <w:rFonts w:asciiTheme="minorHAnsi" w:eastAsiaTheme="minorEastAsia" w:hAnsiTheme="minorHAnsi"/>
              <w:lang w:eastAsia="en-AU"/>
            </w:rPr>
          </w:pPr>
          <w:hyperlink w:anchor="_Toc456608837" w:history="1">
            <w:r w:rsidR="00BD484A" w:rsidRPr="002253D3">
              <w:rPr>
                <w:rStyle w:val="Hyperlink"/>
              </w:rPr>
              <w:t>F</w:t>
            </w:r>
            <w:r w:rsidR="00BD484A">
              <w:rPr>
                <w:rFonts w:asciiTheme="minorHAnsi" w:eastAsiaTheme="minorEastAsia" w:hAnsiTheme="minorHAnsi"/>
                <w:lang w:eastAsia="en-AU"/>
              </w:rPr>
              <w:tab/>
            </w:r>
            <w:r w:rsidR="00BD484A" w:rsidRPr="002253D3">
              <w:rPr>
                <w:rStyle w:val="Hyperlink"/>
              </w:rPr>
              <w:t>Information and communications technology capex - confidential appendix</w:t>
            </w:r>
            <w:r w:rsidR="00BD484A">
              <w:rPr>
                <w:webHidden/>
              </w:rPr>
              <w:tab/>
            </w:r>
            <w:r w:rsidR="00BD484A">
              <w:rPr>
                <w:webHidden/>
              </w:rPr>
              <w:fldChar w:fldCharType="begin"/>
            </w:r>
            <w:r w:rsidR="00BD484A">
              <w:rPr>
                <w:webHidden/>
              </w:rPr>
              <w:instrText xml:space="preserve"> PAGEREF _Toc456608837 \h </w:instrText>
            </w:r>
            <w:r w:rsidR="00BD484A">
              <w:rPr>
                <w:webHidden/>
              </w:rPr>
            </w:r>
            <w:r w:rsidR="00BD484A">
              <w:rPr>
                <w:webHidden/>
              </w:rPr>
              <w:fldChar w:fldCharType="separate"/>
            </w:r>
            <w:r>
              <w:rPr>
                <w:webHidden/>
              </w:rPr>
              <w:t>6-85</w:t>
            </w:r>
            <w:r w:rsidR="00BD484A">
              <w:rPr>
                <w:webHidden/>
              </w:rPr>
              <w:fldChar w:fldCharType="end"/>
            </w:r>
          </w:hyperlink>
        </w:p>
        <w:p w:rsidR="00DE563D" w:rsidRDefault="00DE563D">
          <w:pPr>
            <w:spacing w:line="240" w:lineRule="auto"/>
          </w:pPr>
          <w:r>
            <w:fldChar w:fldCharType="end"/>
          </w:r>
        </w:p>
      </w:sdtContent>
    </w:sdt>
    <w:p w:rsidR="00DE563D" w:rsidRDefault="00DE563D" w:rsidP="00DE563D">
      <w:pPr>
        <w:pStyle w:val="UnnumberedHeading"/>
        <w:numPr>
          <w:ilvl w:val="0"/>
          <w:numId w:val="24"/>
        </w:numPr>
      </w:pPr>
      <w:bookmarkStart w:id="8" w:name="_Toc404700925"/>
      <w:bookmarkStart w:id="9" w:name="_Toc456608775"/>
      <w:r>
        <w:lastRenderedPageBreak/>
        <w:t>Shortened forms</w:t>
      </w:r>
      <w:bookmarkEnd w:id="8"/>
      <w:bookmarkEnd w:id="9"/>
    </w:p>
    <w:p w:rsidR="00DE563D" w:rsidRDefault="00DE563D" w:rsidP="00415F31"/>
    <w:tbl>
      <w:tblPr>
        <w:tblStyle w:val="AERtable-numbers"/>
        <w:tblW w:w="0" w:type="auto"/>
        <w:tblLook w:val="04A0" w:firstRow="1" w:lastRow="0" w:firstColumn="1" w:lastColumn="0" w:noHBand="0" w:noVBand="1"/>
      </w:tblPr>
      <w:tblGrid>
        <w:gridCol w:w="4340"/>
        <w:gridCol w:w="4353"/>
      </w:tblGrid>
      <w:tr w:rsidR="00415F31" w:rsidTr="00BD5D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Shortened form</w:t>
            </w:r>
          </w:p>
        </w:tc>
        <w:tc>
          <w:tcPr>
            <w:tcW w:w="4621" w:type="dxa"/>
          </w:tcPr>
          <w:p w:rsidR="00415F31" w:rsidRDefault="00415F31" w:rsidP="00415F31">
            <w:pPr>
              <w:numPr>
                <w:ilvl w:val="0"/>
                <w:numId w:val="25"/>
              </w:numPr>
              <w:spacing w:after="240" w:line="288" w:lineRule="auto"/>
              <w:jc w:val="both"/>
              <w:cnfStyle w:val="100000000000" w:firstRow="1" w:lastRow="0" w:firstColumn="0" w:lastColumn="0" w:oddVBand="0" w:evenVBand="0" w:oddHBand="0" w:evenHBand="0" w:firstRowFirstColumn="0" w:firstRowLastColumn="0" w:lastRowFirstColumn="0" w:lastRowLastColumn="0"/>
            </w:pPr>
            <w:r>
              <w:t>Extended form</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AARR</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AEMC</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AEMO</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Australian Energy Market Operator</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AER</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Regulator</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ASRR</w:t>
            </w:r>
          </w:p>
        </w:tc>
        <w:tc>
          <w:tcPr>
            <w:tcW w:w="4621" w:type="dxa"/>
          </w:tcPr>
          <w:p w:rsidR="00415F31" w:rsidRDefault="009D3906"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annual</w:t>
            </w:r>
            <w:r w:rsidR="00415F31">
              <w:t xml:space="preserve"> service revenue requirement</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augex</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augmentation expenditure</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capex</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CCP</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Challenge Panel</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CESS</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 sharing scheme</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CPI</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price index</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DRP</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debt risk premium</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EBSS</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efficiency benefit sharing scheme</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ERP</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equity risk premium</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MAR</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maximum allowed revenue</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MRP</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market risk premium</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NEL</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law</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NEM</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market</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NEO</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objective</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NER</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rules</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NSP</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network service provider</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lastRenderedPageBreak/>
              <w:t>NTSC</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negotiated transmission service criteria</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opex</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operating expenditure</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PPI</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partial performance indicators</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PTRM</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post-tax revenue model</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RAB</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asset base</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RBA</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Reserve Bank of Australia</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repex</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replacement expenditure</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RFM</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roll forward model</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RIN</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information notice</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RPP</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 xml:space="preserve">revenue </w:t>
            </w:r>
            <w:r w:rsidR="002D72E8">
              <w:t xml:space="preserve">and </w:t>
            </w:r>
            <w:r>
              <w:t>pricing principles</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SLCAPM</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Sharpe-Lintner capital asset pricing model</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STPIS</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service target performance incentive scheme</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TNSP</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transmission network service provider</w:t>
            </w:r>
          </w:p>
        </w:tc>
      </w:tr>
      <w:tr w:rsidR="00415F31" w:rsidTr="00BD5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TUoS</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transmission use of system</w:t>
            </w:r>
          </w:p>
        </w:tc>
      </w:tr>
      <w:tr w:rsidR="00415F31" w:rsidTr="00BD5D87">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WACC</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weighted average cost of capital</w:t>
            </w:r>
          </w:p>
        </w:tc>
      </w:tr>
    </w:tbl>
    <w:p w:rsidR="00415F31" w:rsidRPr="00271F7C" w:rsidRDefault="00415F31" w:rsidP="00415F31"/>
    <w:p w:rsidR="00DE563D" w:rsidRPr="00436A39" w:rsidRDefault="00DE563D" w:rsidP="00DE563D">
      <w:pPr>
        <w:numPr>
          <w:ilvl w:val="0"/>
          <w:numId w:val="25"/>
        </w:numPr>
      </w:pPr>
    </w:p>
    <w:p w:rsidR="00DE563D" w:rsidRDefault="00DE563D" w:rsidP="00DE563D"/>
    <w:p w:rsidR="00DE563D" w:rsidRDefault="0021537A" w:rsidP="0021537A">
      <w:pPr>
        <w:pStyle w:val="Heading1"/>
      </w:pPr>
      <w:bookmarkStart w:id="10" w:name="_Toc456608776"/>
      <w:r>
        <w:lastRenderedPageBreak/>
        <w:t>Capital expenditure</w:t>
      </w:r>
      <w:bookmarkEnd w:id="10"/>
    </w:p>
    <w:p w:rsidR="008618E0" w:rsidRDefault="008618E0" w:rsidP="008618E0">
      <w:pPr>
        <w:numPr>
          <w:ilvl w:val="0"/>
          <w:numId w:val="25"/>
        </w:numPr>
      </w:pPr>
      <w:bookmarkStart w:id="11" w:name="_Toc403144136"/>
      <w:r>
        <w:t xml:space="preserve">Capital expenditure (capex) refers to the capital expenses incurred in the provision of prescribed transmission services. </w:t>
      </w:r>
      <w:r w:rsidR="00F2330D" w:rsidRPr="000168E0">
        <w:t>This investment mostly relates to assets with lon</w:t>
      </w:r>
      <w:r w:rsidR="008F612B">
        <w:t>g lives</w:t>
      </w:r>
      <w:r w:rsidR="00F2330D" w:rsidRPr="000168E0">
        <w:t xml:space="preserve"> and these costs are recovered over several regulatory </w:t>
      </w:r>
      <w:r w:rsidR="00F2330D">
        <w:t xml:space="preserve">control </w:t>
      </w:r>
      <w:r w:rsidR="00F2330D" w:rsidRPr="000168E0">
        <w:t xml:space="preserve">periods. </w:t>
      </w:r>
      <w:r w:rsidR="00F2330D" w:rsidRPr="00F2330D">
        <w:t>On an annual basis, however, the financing cost and depreciation associated with these assets are recovered (return o</w:t>
      </w:r>
      <w:r w:rsidR="00B622AB">
        <w:t>n</w:t>
      </w:r>
      <w:r w:rsidR="00F2330D" w:rsidRPr="00F2330D">
        <w:t xml:space="preserve"> and o</w:t>
      </w:r>
      <w:r w:rsidR="00B622AB">
        <w:t>f</w:t>
      </w:r>
      <w:r w:rsidR="00F2330D" w:rsidRPr="00F2330D">
        <w:t xml:space="preserve"> capital) as part of the building blocks that form AusNet Services' total revenue requirement.</w:t>
      </w:r>
      <w:r w:rsidR="00F2330D">
        <w:rPr>
          <w:rStyle w:val="FootnoteReference"/>
        </w:rPr>
        <w:footnoteReference w:id="1"/>
      </w:r>
    </w:p>
    <w:p w:rsidR="008618E0" w:rsidRDefault="008618E0" w:rsidP="008618E0">
      <w:r w:rsidRPr="00C10597">
        <w:t>This attachment se</w:t>
      </w:r>
      <w:r>
        <w:t>ts out our</w:t>
      </w:r>
      <w:r w:rsidRPr="00C10597">
        <w:t xml:space="preserve"> </w:t>
      </w:r>
      <w:r>
        <w:t>draft</w:t>
      </w:r>
      <w:r w:rsidRPr="00C10597">
        <w:t xml:space="preserve"> decision on </w:t>
      </w:r>
      <w:r>
        <w:t xml:space="preserve">AusNet Services' proposed total forecast capex for the 2017–22 regulatory control </w:t>
      </w:r>
      <w:proofErr w:type="gramStart"/>
      <w:r>
        <w:t>period</w:t>
      </w:r>
      <w:proofErr w:type="gramEnd"/>
      <w:r>
        <w:t>.</w:t>
      </w:r>
      <w:r w:rsidRPr="00C10597">
        <w:t xml:space="preserve"> </w:t>
      </w:r>
      <w:r>
        <w:t>Further detailed analysis is in the following appendices:</w:t>
      </w:r>
    </w:p>
    <w:p w:rsidR="008618E0" w:rsidRDefault="008618E0" w:rsidP="008618E0">
      <w:pPr>
        <w:pStyle w:val="AERbulletlistfirststyle"/>
      </w:pPr>
      <w:r>
        <w:t>Appendix A - Assessment techniques</w:t>
      </w:r>
    </w:p>
    <w:p w:rsidR="008618E0" w:rsidRDefault="008618E0" w:rsidP="008618E0">
      <w:pPr>
        <w:pStyle w:val="AERbulletlistfirststyle"/>
      </w:pPr>
      <w:r>
        <w:t>Appendix B - Assessment of capex drivers</w:t>
      </w:r>
    </w:p>
    <w:p w:rsidR="008618E0" w:rsidRDefault="008618E0" w:rsidP="008618E0">
      <w:pPr>
        <w:pStyle w:val="AERbulletlistfirststyle"/>
      </w:pPr>
      <w:r>
        <w:t>Appendix C - Demand</w:t>
      </w:r>
    </w:p>
    <w:p w:rsidR="008618E0" w:rsidRDefault="00B225EC" w:rsidP="008618E0">
      <w:pPr>
        <w:pStyle w:val="AERbulletlistfirststyle"/>
      </w:pPr>
      <w:r>
        <w:t>Appendix D</w:t>
      </w:r>
      <w:r w:rsidR="008618E0">
        <w:t xml:space="preserve"> - Contingent projects</w:t>
      </w:r>
    </w:p>
    <w:p w:rsidR="00B225EC" w:rsidRDefault="00B225EC" w:rsidP="008618E0">
      <w:pPr>
        <w:pStyle w:val="AERbulletlistfirststyle"/>
      </w:pPr>
      <w:r>
        <w:t>Appendix E - Statement of efficiency</w:t>
      </w:r>
    </w:p>
    <w:p w:rsidR="00EB19CC" w:rsidRDefault="00EB19CC" w:rsidP="008618E0">
      <w:pPr>
        <w:pStyle w:val="AERbulletlistfirststyle"/>
      </w:pPr>
      <w:r>
        <w:t>Appendix F - Information and communications technology capex (confidential)</w:t>
      </w:r>
    </w:p>
    <w:p w:rsidR="00DE563D" w:rsidRDefault="000B321F" w:rsidP="001754EE">
      <w:pPr>
        <w:pStyle w:val="Heading2"/>
      </w:pPr>
      <w:bookmarkStart w:id="12" w:name="_Toc456608777"/>
      <w:r>
        <w:t>D</w:t>
      </w:r>
      <w:r w:rsidR="000C4E63">
        <w:t>raft</w:t>
      </w:r>
      <w:r w:rsidR="00DE563D" w:rsidRPr="001754EE">
        <w:t xml:space="preserve"> decision</w:t>
      </w:r>
      <w:bookmarkEnd w:id="11"/>
      <w:bookmarkEnd w:id="12"/>
    </w:p>
    <w:p w:rsidR="005D738F" w:rsidRDefault="005D738F" w:rsidP="005A6371">
      <w:r>
        <w:t xml:space="preserve">We are not satisfied that AusNet Services' proposed total forecast </w:t>
      </w:r>
      <w:r w:rsidRPr="005D738F">
        <w:t>capex of $</w:t>
      </w:r>
      <w:r>
        <w:t>745.6</w:t>
      </w:r>
      <w:r w:rsidR="009D5811">
        <w:rPr>
          <w:rStyle w:val="AERbody"/>
        </w:rPr>
        <w:t> </w:t>
      </w:r>
      <w:r w:rsidRPr="00834B86">
        <w:rPr>
          <w:rStyle w:val="AERbody"/>
        </w:rPr>
        <w:t>million ($</w:t>
      </w:r>
      <w:r w:rsidRPr="00B4601C">
        <w:rPr>
          <w:rStyle w:val="AERbody"/>
        </w:rPr>
        <w:t>201</w:t>
      </w:r>
      <w:r>
        <w:rPr>
          <w:rStyle w:val="AERbody"/>
        </w:rPr>
        <w:t>6-17</w:t>
      </w:r>
      <w:r w:rsidRPr="00B4601C">
        <w:rPr>
          <w:rStyle w:val="AERbody"/>
        </w:rPr>
        <w:t xml:space="preserve">) </w:t>
      </w:r>
      <w:r>
        <w:t xml:space="preserve">for the 2017–22 </w:t>
      </w:r>
      <w:r w:rsidR="004D17F1">
        <w:t>regulatory control period</w:t>
      </w:r>
      <w:r>
        <w:t xml:space="preserve"> </w:t>
      </w:r>
      <w:r w:rsidRPr="00B4601C">
        <w:rPr>
          <w:rStyle w:val="AERbody"/>
        </w:rPr>
        <w:t>reasonably</w:t>
      </w:r>
      <w:r>
        <w:t xml:space="preserve"> reflects the capex criteria. </w:t>
      </w:r>
      <w:r w:rsidR="004D17F1">
        <w:t xml:space="preserve">We have substituted it with our estimate of AusNet Services' total forecast capex for the 2017–22 regulatory control </w:t>
      </w:r>
      <w:proofErr w:type="gramStart"/>
      <w:r w:rsidR="004D17F1">
        <w:t>period</w:t>
      </w:r>
      <w:proofErr w:type="gramEnd"/>
      <w:r w:rsidR="004D17F1">
        <w:t>. We are satisfied that our substitute</w:t>
      </w:r>
      <w:r>
        <w:t xml:space="preserve"> estimate </w:t>
      </w:r>
      <w:r w:rsidR="004D17F1">
        <w:t>of</w:t>
      </w:r>
      <w:r>
        <w:t xml:space="preserve"> </w:t>
      </w:r>
      <w:r w:rsidRPr="005A6371">
        <w:t>$</w:t>
      </w:r>
      <w:r w:rsidR="005C6B30" w:rsidRPr="005A6371">
        <w:t>57</w:t>
      </w:r>
      <w:r w:rsidR="001F4012">
        <w:t>3.1</w:t>
      </w:r>
      <w:r w:rsidRPr="005A6371">
        <w:t xml:space="preserve"> million</w:t>
      </w:r>
      <w:r w:rsidR="004D17F1">
        <w:t xml:space="preserve"> ($2016–17</w:t>
      </w:r>
      <w:r>
        <w:t>)</w:t>
      </w:r>
      <w:r w:rsidR="004D17F1">
        <w:t xml:space="preserve"> reasonably reflects the capex criteria</w:t>
      </w:r>
      <w:r>
        <w:t xml:space="preserve">. </w:t>
      </w:r>
      <w:fldSimple w:instr=" REF _Ref453680169 ">
        <w:r w:rsidR="00C60946">
          <w:t xml:space="preserve">Table </w:t>
        </w:r>
        <w:r w:rsidR="00C60946">
          <w:rPr>
            <w:noProof/>
          </w:rPr>
          <w:t>6</w:t>
        </w:r>
        <w:r w:rsidR="00C60946">
          <w:t>.</w:t>
        </w:r>
        <w:r w:rsidR="00C60946">
          <w:rPr>
            <w:noProof/>
          </w:rPr>
          <w:t>1</w:t>
        </w:r>
      </w:fldSimple>
      <w:r w:rsidR="00633226">
        <w:t xml:space="preserve"> </w:t>
      </w:r>
      <w:r>
        <w:t>outlines our draft decision.</w:t>
      </w:r>
      <w:r w:rsidR="00CD1B77" w:rsidRPr="00CD1B77">
        <w:t xml:space="preserve"> The difference is largely due to our findings that </w:t>
      </w:r>
      <w:r w:rsidR="00CD1B77">
        <w:t>AusNet Services has</w:t>
      </w:r>
      <w:r w:rsidR="00CD1B77" w:rsidRPr="00CD1B77">
        <w:t xml:space="preserve"> </w:t>
      </w:r>
      <w:r w:rsidR="002E78F6">
        <w:t>adopted an</w:t>
      </w:r>
      <w:r w:rsidR="00CD1B77" w:rsidRPr="00CD1B77">
        <w:t xml:space="preserve"> </w:t>
      </w:r>
      <w:r w:rsidR="002E78F6">
        <w:t xml:space="preserve">overly conservative approach to quantifying </w:t>
      </w:r>
      <w:r w:rsidR="00CD1B77" w:rsidRPr="00CD1B77">
        <w:t>risk.</w:t>
      </w:r>
    </w:p>
    <w:p w:rsidR="005D738F" w:rsidRPr="004268A1" w:rsidRDefault="00633226" w:rsidP="00633226">
      <w:pPr>
        <w:pStyle w:val="Caption"/>
      </w:pPr>
      <w:bookmarkStart w:id="13" w:name="_Ref453680169"/>
      <w:bookmarkStart w:id="14" w:name="_Ref402258469"/>
      <w:proofErr w:type="gramStart"/>
      <w:r>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1</w:t>
      </w:r>
      <w:r w:rsidR="00735181">
        <w:rPr>
          <w:noProof/>
        </w:rPr>
        <w:fldChar w:fldCharType="end"/>
      </w:r>
      <w:bookmarkEnd w:id="13"/>
      <w:r w:rsidR="005D738F" w:rsidRPr="004268A1">
        <w:tab/>
      </w:r>
      <w:r w:rsidR="00E54AAE">
        <w:t>D</w:t>
      </w:r>
      <w:r w:rsidR="005D738F" w:rsidRPr="004268A1">
        <w:t xml:space="preserve">raft decision on </w:t>
      </w:r>
      <w:r w:rsidR="005D738F">
        <w:t xml:space="preserve">AusNet Services' </w:t>
      </w:r>
      <w:r w:rsidR="005D738F" w:rsidRPr="004268A1">
        <w:t xml:space="preserve">total </w:t>
      </w:r>
      <w:r w:rsidR="005D738F">
        <w:t xml:space="preserve">forecast </w:t>
      </w:r>
      <w:r w:rsidR="005D738F" w:rsidRPr="004268A1">
        <w:t>capex (</w:t>
      </w:r>
      <w:r w:rsidR="00432031">
        <w:t>$</w:t>
      </w:r>
      <w:r w:rsidR="00432031" w:rsidRPr="004268A1">
        <w:t>201</w:t>
      </w:r>
      <w:r w:rsidR="00432031">
        <w:t>6</w:t>
      </w:r>
      <w:r w:rsidR="00432031" w:rsidRPr="004268A1">
        <w:t>–1</w:t>
      </w:r>
      <w:r w:rsidR="00432031">
        <w:t>7</w:t>
      </w:r>
      <w:r w:rsidR="0041423C">
        <w:t xml:space="preserve">, </w:t>
      </w:r>
      <w:r w:rsidR="00432031">
        <w:t>million</w:t>
      </w:r>
      <w:r w:rsidR="005D738F" w:rsidRPr="004268A1">
        <w:t>)</w:t>
      </w:r>
      <w:bookmarkEnd w:id="14"/>
    </w:p>
    <w:tbl>
      <w:tblPr>
        <w:tblStyle w:val="AERtable-numbers"/>
        <w:tblW w:w="5000" w:type="pct"/>
        <w:tblLook w:val="04A0" w:firstRow="1" w:lastRow="0" w:firstColumn="1" w:lastColumn="0" w:noHBand="0" w:noVBand="1"/>
      </w:tblPr>
      <w:tblGrid>
        <w:gridCol w:w="2803"/>
        <w:gridCol w:w="981"/>
        <w:gridCol w:w="982"/>
        <w:gridCol w:w="982"/>
        <w:gridCol w:w="981"/>
        <w:gridCol w:w="982"/>
        <w:gridCol w:w="982"/>
      </w:tblGrid>
      <w:tr w:rsidR="00355E98" w:rsidRPr="005667CE" w:rsidTr="007E5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rsidR="00355E98" w:rsidRPr="00355E98" w:rsidRDefault="00355E98" w:rsidP="00355E98"/>
        </w:tc>
        <w:tc>
          <w:tcPr>
            <w:tcW w:w="564"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2017–18</w:t>
            </w:r>
          </w:p>
        </w:tc>
        <w:tc>
          <w:tcPr>
            <w:tcW w:w="565"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2018–19</w:t>
            </w:r>
          </w:p>
        </w:tc>
        <w:tc>
          <w:tcPr>
            <w:tcW w:w="565"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2019–20</w:t>
            </w:r>
          </w:p>
        </w:tc>
        <w:tc>
          <w:tcPr>
            <w:tcW w:w="564"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2020–21</w:t>
            </w:r>
          </w:p>
        </w:tc>
        <w:tc>
          <w:tcPr>
            <w:tcW w:w="565"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2021–22</w:t>
            </w:r>
          </w:p>
        </w:tc>
        <w:tc>
          <w:tcPr>
            <w:tcW w:w="565"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Total</w:t>
            </w:r>
          </w:p>
        </w:tc>
      </w:tr>
      <w:tr w:rsidR="00355E98" w:rsidRPr="005667CE" w:rsidTr="007E5129">
        <w:tc>
          <w:tcPr>
            <w:cnfStyle w:val="001000000000" w:firstRow="0" w:lastRow="0" w:firstColumn="1" w:lastColumn="0" w:oddVBand="0" w:evenVBand="0" w:oddHBand="0" w:evenHBand="0" w:firstRowFirstColumn="0" w:firstRowLastColumn="0" w:lastRowFirstColumn="0" w:lastRowLastColumn="0"/>
            <w:tcW w:w="1612" w:type="pct"/>
          </w:tcPr>
          <w:p w:rsidR="00355E98" w:rsidRPr="00355E98" w:rsidRDefault="00355E98" w:rsidP="00355E98">
            <w:r w:rsidRPr="00355E98">
              <w:t>AusNet Services' proposal</w:t>
            </w:r>
          </w:p>
        </w:tc>
        <w:tc>
          <w:tcPr>
            <w:tcW w:w="56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178.9</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155.3</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151.6</w:t>
            </w:r>
          </w:p>
        </w:tc>
        <w:tc>
          <w:tcPr>
            <w:tcW w:w="56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140.5</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119.3</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745.6</w:t>
            </w:r>
          </w:p>
        </w:tc>
      </w:tr>
      <w:tr w:rsidR="00355E98" w:rsidTr="007E5129">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12" w:type="pct"/>
          </w:tcPr>
          <w:p w:rsidR="00355E98" w:rsidRPr="00355E98" w:rsidRDefault="00355E98" w:rsidP="00355E98">
            <w:r w:rsidRPr="00355E98">
              <w:t xml:space="preserve">CPI adjustment </w:t>
            </w:r>
          </w:p>
        </w:tc>
        <w:tc>
          <w:tcPr>
            <w:tcW w:w="56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-3.2</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-2.8</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-2.7</w:t>
            </w:r>
          </w:p>
        </w:tc>
        <w:tc>
          <w:tcPr>
            <w:tcW w:w="56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-2.5</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-2.1</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-13.3</w:t>
            </w:r>
          </w:p>
        </w:tc>
      </w:tr>
      <w:tr w:rsidR="00355E98" w:rsidRPr="005667CE" w:rsidTr="007E5129">
        <w:tc>
          <w:tcPr>
            <w:cnfStyle w:val="001000000000" w:firstRow="0" w:lastRow="0" w:firstColumn="1" w:lastColumn="0" w:oddVBand="0" w:evenVBand="0" w:oddHBand="0" w:evenHBand="0" w:firstRowFirstColumn="0" w:firstRowLastColumn="0" w:lastRowFirstColumn="0" w:lastRowLastColumn="0"/>
            <w:tcW w:w="1612" w:type="pct"/>
          </w:tcPr>
          <w:p w:rsidR="00355E98" w:rsidRPr="00355E98" w:rsidRDefault="00355E98" w:rsidP="00355E98">
            <w:r w:rsidRPr="00355E98">
              <w:t>AusNet Services' proposal</w:t>
            </w:r>
          </w:p>
          <w:p w:rsidR="00355E98" w:rsidRPr="00355E98" w:rsidRDefault="00355E98" w:rsidP="00355E98">
            <w:r w:rsidRPr="00355E98">
              <w:t>(CPI adjusted)</w:t>
            </w:r>
          </w:p>
        </w:tc>
        <w:tc>
          <w:tcPr>
            <w:tcW w:w="56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175.7</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152.5</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148.9</w:t>
            </w:r>
          </w:p>
        </w:tc>
        <w:tc>
          <w:tcPr>
            <w:tcW w:w="56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137.9</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117.1</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732.2</w:t>
            </w:r>
          </w:p>
        </w:tc>
      </w:tr>
      <w:tr w:rsidR="00355E98" w:rsidRPr="005667CE" w:rsidTr="007E5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rsidR="00355E98" w:rsidRPr="00355E98" w:rsidRDefault="00355E98" w:rsidP="00355E98">
            <w:r w:rsidRPr="00355E98">
              <w:t>Non CPI adjustment</w:t>
            </w:r>
          </w:p>
        </w:tc>
        <w:tc>
          <w:tcPr>
            <w:tcW w:w="56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-19.2</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-30.6</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-42.6</w:t>
            </w:r>
          </w:p>
        </w:tc>
        <w:tc>
          <w:tcPr>
            <w:tcW w:w="56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-39.0</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-27.7</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-159.1</w:t>
            </w:r>
          </w:p>
        </w:tc>
      </w:tr>
      <w:tr w:rsidR="00355E98" w:rsidRPr="005667CE" w:rsidTr="007E5129">
        <w:tc>
          <w:tcPr>
            <w:cnfStyle w:val="001000000000" w:firstRow="0" w:lastRow="0" w:firstColumn="1" w:lastColumn="0" w:oddVBand="0" w:evenVBand="0" w:oddHBand="0" w:evenHBand="0" w:firstRowFirstColumn="0" w:firstRowLastColumn="0" w:lastRowFirstColumn="0" w:lastRowLastColumn="0"/>
            <w:tcW w:w="1612" w:type="pct"/>
          </w:tcPr>
          <w:p w:rsidR="00355E98" w:rsidRPr="00355E98" w:rsidRDefault="00355E98" w:rsidP="00355E98">
            <w:pPr>
              <w:rPr>
                <w:rStyle w:val="Strong"/>
              </w:rPr>
            </w:pPr>
            <w:r w:rsidRPr="00355E98">
              <w:rPr>
                <w:rStyle w:val="Strong"/>
              </w:rPr>
              <w:lastRenderedPageBreak/>
              <w:t>AER draft decision</w:t>
            </w:r>
          </w:p>
        </w:tc>
        <w:tc>
          <w:tcPr>
            <w:tcW w:w="56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156.5</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121.9</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106.3</w:t>
            </w:r>
          </w:p>
        </w:tc>
        <w:tc>
          <w:tcPr>
            <w:tcW w:w="56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99.0</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89.4</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573.1</w:t>
            </w:r>
          </w:p>
        </w:tc>
      </w:tr>
      <w:tr w:rsidR="00355E98" w:rsidRPr="005667CE" w:rsidTr="007E5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rsidR="00355E98" w:rsidRPr="00355E98" w:rsidRDefault="00355E98" w:rsidP="00355E98">
            <w:pPr>
              <w:rPr>
                <w:rStyle w:val="AERtextitalic"/>
              </w:rPr>
            </w:pPr>
            <w:r w:rsidRPr="00355E98">
              <w:t xml:space="preserve">Total adjustment </w:t>
            </w:r>
          </w:p>
        </w:tc>
        <w:tc>
          <w:tcPr>
            <w:tcW w:w="56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rPr>
                <w:rStyle w:val="AERtextitalic"/>
              </w:rPr>
            </w:pPr>
            <w:r w:rsidRPr="00355E98">
              <w:t>-22.4</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rPr>
                <w:rStyle w:val="AERtextitalic"/>
              </w:rPr>
            </w:pPr>
            <w:r w:rsidRPr="00355E98">
              <w:t>-33.4</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rPr>
                <w:rStyle w:val="AERtextitalic"/>
              </w:rPr>
            </w:pPr>
            <w:r w:rsidRPr="00355E98">
              <w:t>-45.3</w:t>
            </w:r>
          </w:p>
        </w:tc>
        <w:tc>
          <w:tcPr>
            <w:tcW w:w="56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rPr>
                <w:rStyle w:val="AERtextitalic"/>
              </w:rPr>
            </w:pPr>
            <w:r w:rsidRPr="00355E98">
              <w:t>-41.5</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rPr>
                <w:rStyle w:val="AERtextitalic"/>
              </w:rPr>
            </w:pPr>
            <w:r w:rsidRPr="00355E98">
              <w:t>-29.8</w:t>
            </w:r>
          </w:p>
        </w:tc>
        <w:tc>
          <w:tcPr>
            <w:tcW w:w="56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rPr>
                <w:rStyle w:val="AERtextitalic"/>
              </w:rPr>
            </w:pPr>
            <w:r w:rsidRPr="00355E98">
              <w:t>-172.5</w:t>
            </w:r>
          </w:p>
        </w:tc>
      </w:tr>
      <w:tr w:rsidR="00355E98" w:rsidRPr="005667CE" w:rsidTr="007E5129">
        <w:tc>
          <w:tcPr>
            <w:cnfStyle w:val="001000000000" w:firstRow="0" w:lastRow="0" w:firstColumn="1" w:lastColumn="0" w:oddVBand="0" w:evenVBand="0" w:oddHBand="0" w:evenHBand="0" w:firstRowFirstColumn="0" w:firstRowLastColumn="0" w:lastRowFirstColumn="0" w:lastRowLastColumn="0"/>
            <w:tcW w:w="1612" w:type="pct"/>
          </w:tcPr>
          <w:p w:rsidR="00355E98" w:rsidRPr="00355E98" w:rsidRDefault="00355E98" w:rsidP="00355E98">
            <w:r w:rsidRPr="00355E98">
              <w:t>Total adjustment (%)</w:t>
            </w:r>
          </w:p>
        </w:tc>
        <w:tc>
          <w:tcPr>
            <w:tcW w:w="56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-12.5%</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-21.5%</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-29.9%</w:t>
            </w:r>
          </w:p>
        </w:tc>
        <w:tc>
          <w:tcPr>
            <w:tcW w:w="56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-29.5%</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-25.0%</w:t>
            </w:r>
          </w:p>
        </w:tc>
        <w:tc>
          <w:tcPr>
            <w:tcW w:w="56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-23.1%</w:t>
            </w:r>
          </w:p>
        </w:tc>
      </w:tr>
    </w:tbl>
    <w:p w:rsidR="005D738F" w:rsidRDefault="005D738F" w:rsidP="005D738F">
      <w:pPr>
        <w:pStyle w:val="AERtablesource"/>
        <w:numPr>
          <w:ilvl w:val="0"/>
          <w:numId w:val="25"/>
        </w:numPr>
        <w:rPr>
          <w:rStyle w:val="AERtextsize8"/>
        </w:rPr>
      </w:pPr>
      <w:r w:rsidRPr="008E18E7">
        <w:rPr>
          <w:rStyle w:val="AERtextsize8"/>
        </w:rPr>
        <w:t>Source:</w:t>
      </w:r>
      <w:r w:rsidRPr="008E18E7">
        <w:rPr>
          <w:rStyle w:val="AERtextsize8"/>
        </w:rPr>
        <w:tab/>
      </w:r>
      <w:r w:rsidR="009673B9">
        <w:rPr>
          <w:rStyle w:val="AERtextsize8"/>
        </w:rPr>
        <w:t xml:space="preserve">AusNet Services, </w:t>
      </w:r>
      <w:r w:rsidR="00880E37">
        <w:rPr>
          <w:rStyle w:val="AERtextitalic"/>
        </w:rPr>
        <w:t>Revenue p</w:t>
      </w:r>
      <w:r w:rsidRPr="008E18E7">
        <w:rPr>
          <w:rStyle w:val="AERtextitalic"/>
        </w:rPr>
        <w:t>roposal,</w:t>
      </w:r>
      <w:r w:rsidR="009673B9">
        <w:rPr>
          <w:rStyle w:val="AERtextitalic"/>
        </w:rPr>
        <w:t xml:space="preserve"> </w:t>
      </w:r>
      <w:r w:rsidR="004D17F1">
        <w:rPr>
          <w:rStyle w:val="AERtextsize8"/>
        </w:rPr>
        <w:t>October 2015, p. 81;</w:t>
      </w:r>
      <w:r w:rsidR="009673B9">
        <w:rPr>
          <w:rStyle w:val="AERtextsize8"/>
        </w:rPr>
        <w:t xml:space="preserve"> A</w:t>
      </w:r>
      <w:r w:rsidRPr="008E18E7">
        <w:rPr>
          <w:rStyle w:val="AERtextsize8"/>
        </w:rPr>
        <w:t>ER analysis</w:t>
      </w:r>
    </w:p>
    <w:p w:rsidR="00A52715" w:rsidRPr="00FC3E3F" w:rsidRDefault="00A52715" w:rsidP="00FC3E3F">
      <w:pPr>
        <w:pStyle w:val="AERtablesource"/>
        <w:numPr>
          <w:ilvl w:val="0"/>
          <w:numId w:val="25"/>
        </w:numPr>
        <w:rPr>
          <w:rFonts w:eastAsiaTheme="minorHAnsi"/>
        </w:rPr>
      </w:pPr>
      <w:r w:rsidRPr="005531F2">
        <w:t>Note:</w:t>
      </w:r>
      <w:r w:rsidRPr="005531F2" w:rsidDel="002A0B9F">
        <w:t xml:space="preserve"> </w:t>
      </w:r>
      <w:r w:rsidRPr="005531F2">
        <w:tab/>
        <w:t>Numbers may not add up due to rounding.</w:t>
      </w:r>
      <w:r>
        <w:t xml:space="preserve"> </w:t>
      </w:r>
    </w:p>
    <w:p w:rsidR="00CD1B77" w:rsidRPr="00CD1B77" w:rsidRDefault="00CD1B77" w:rsidP="00CD1B77">
      <w:pPr>
        <w:numPr>
          <w:ilvl w:val="0"/>
          <w:numId w:val="25"/>
        </w:numPr>
        <w:rPr>
          <w:rStyle w:val="AERbody"/>
        </w:rPr>
      </w:pPr>
      <w:r w:rsidRPr="00CD1B77">
        <w:rPr>
          <w:rStyle w:val="AERbody"/>
        </w:rPr>
        <w:t>We are guided by the NER</w:t>
      </w:r>
      <w:r>
        <w:rPr>
          <w:rStyle w:val="AERbody"/>
        </w:rPr>
        <w:t xml:space="preserve"> in our assessment </w:t>
      </w:r>
      <w:r w:rsidRPr="00CD1B77">
        <w:rPr>
          <w:rStyle w:val="AERbody"/>
        </w:rPr>
        <w:t xml:space="preserve">of a network </w:t>
      </w:r>
      <w:r>
        <w:rPr>
          <w:rStyle w:val="AERbody"/>
        </w:rPr>
        <w:t>service provider's capex</w:t>
      </w:r>
      <w:r w:rsidRPr="00CD1B77">
        <w:rPr>
          <w:rStyle w:val="AERbody"/>
        </w:rPr>
        <w:t xml:space="preserve"> forecasts (and indeed many other aspects of the </w:t>
      </w:r>
      <w:r>
        <w:rPr>
          <w:rStyle w:val="AERbody"/>
        </w:rPr>
        <w:t>service provider's</w:t>
      </w:r>
      <w:r w:rsidRPr="00CD1B77">
        <w:rPr>
          <w:rStyle w:val="AERbody"/>
        </w:rPr>
        <w:t xml:space="preserve"> </w:t>
      </w:r>
      <w:r w:rsidR="00880E37">
        <w:rPr>
          <w:rStyle w:val="AERbody"/>
        </w:rPr>
        <w:t>revenue proposal</w:t>
      </w:r>
      <w:r>
        <w:rPr>
          <w:rStyle w:val="AERbody"/>
        </w:rPr>
        <w:t xml:space="preserve">). </w:t>
      </w:r>
      <w:r w:rsidRPr="00CD1B77">
        <w:rPr>
          <w:rStyle w:val="AERbody"/>
        </w:rPr>
        <w:t>The NER requires us to accept the forecast of required c</w:t>
      </w:r>
      <w:r>
        <w:rPr>
          <w:rStyle w:val="AERbody"/>
        </w:rPr>
        <w:t>apex</w:t>
      </w:r>
      <w:r w:rsidRPr="00CD1B77">
        <w:rPr>
          <w:rStyle w:val="AERbody"/>
        </w:rPr>
        <w:t xml:space="preserve"> included in a building block proposal if we are satisfied that the total of </w:t>
      </w:r>
      <w:r>
        <w:rPr>
          <w:rStyle w:val="AERbody"/>
        </w:rPr>
        <w:t>the forecast capex</w:t>
      </w:r>
      <w:r w:rsidRPr="00CD1B77">
        <w:rPr>
          <w:rStyle w:val="AERbody"/>
        </w:rPr>
        <w:t xml:space="preserve"> for the regulatory control period reasonably reflects </w:t>
      </w:r>
      <w:r>
        <w:rPr>
          <w:rStyle w:val="AERbody"/>
        </w:rPr>
        <w:t>the criteria set out in clause 6A.6.7(c) of the NER</w:t>
      </w:r>
      <w:r w:rsidRPr="00CD1B77">
        <w:rPr>
          <w:rStyle w:val="AERbody"/>
        </w:rPr>
        <w:t xml:space="preserve">. In the event that we are not so satisfied, the NER guides us to substitute the </w:t>
      </w:r>
      <w:r>
        <w:rPr>
          <w:rStyle w:val="AERbody"/>
        </w:rPr>
        <w:t xml:space="preserve">service provider's </w:t>
      </w:r>
      <w:r w:rsidRPr="00CD1B77">
        <w:rPr>
          <w:rStyle w:val="AERbody"/>
        </w:rPr>
        <w:t>forecast</w:t>
      </w:r>
      <w:r>
        <w:rPr>
          <w:rStyle w:val="AERbody"/>
        </w:rPr>
        <w:t xml:space="preserve"> of required capex</w:t>
      </w:r>
      <w:r w:rsidRPr="00CD1B77">
        <w:rPr>
          <w:rStyle w:val="AERbody"/>
        </w:rPr>
        <w:t xml:space="preserve"> with one that we are satisfied does meet </w:t>
      </w:r>
      <w:r>
        <w:rPr>
          <w:rStyle w:val="AERbody"/>
        </w:rPr>
        <w:t>the capex criteria</w:t>
      </w:r>
      <w:r w:rsidRPr="00CD1B77">
        <w:rPr>
          <w:rStyle w:val="AERbody"/>
        </w:rPr>
        <w:t>.</w:t>
      </w:r>
    </w:p>
    <w:p w:rsidR="00CD1B77" w:rsidRPr="00CD1B77" w:rsidRDefault="00CD1B77">
      <w:pPr>
        <w:numPr>
          <w:ilvl w:val="0"/>
          <w:numId w:val="25"/>
        </w:numPr>
        <w:rPr>
          <w:rStyle w:val="AERbody"/>
          <w:rFonts w:eastAsia="Calibri" w:cs="Times New Roman"/>
          <w:szCs w:val="20"/>
          <w:lang w:eastAsia="en-AU"/>
        </w:rPr>
      </w:pPr>
      <w:r w:rsidRPr="00CD1B77">
        <w:rPr>
          <w:rStyle w:val="AERbody"/>
        </w:rPr>
        <w:t>We use a variety of techniques in arriving at a forecast of requir</w:t>
      </w:r>
      <w:r w:rsidR="00103C97">
        <w:rPr>
          <w:rStyle w:val="AERbody"/>
        </w:rPr>
        <w:t>ed capex that we are satisfied</w:t>
      </w:r>
      <w:r w:rsidRPr="00CD1B77">
        <w:rPr>
          <w:rStyle w:val="AERbody"/>
        </w:rPr>
        <w:t xml:space="preserve"> meet the </w:t>
      </w:r>
      <w:r w:rsidR="00103C97">
        <w:rPr>
          <w:rStyle w:val="AERbody"/>
        </w:rPr>
        <w:t xml:space="preserve">capex criteria, including economic benchmarking, trend analysis, predictive modelling, and </w:t>
      </w:r>
      <w:r w:rsidR="00C46BC7">
        <w:rPr>
          <w:rStyle w:val="AERbody"/>
        </w:rPr>
        <w:t xml:space="preserve">a </w:t>
      </w:r>
      <w:r w:rsidR="00103C97">
        <w:rPr>
          <w:rStyle w:val="AERbody"/>
        </w:rPr>
        <w:t xml:space="preserve">review of forecasting methodology, inputs and assumptions. </w:t>
      </w:r>
      <w:r w:rsidRPr="00CD1B77">
        <w:rPr>
          <w:rStyle w:val="AERbody"/>
        </w:rPr>
        <w:t xml:space="preserve">We also have regard to stakeholder submissions in arriving at our findings. </w:t>
      </w:r>
    </w:p>
    <w:p w:rsidR="006768F4" w:rsidRPr="006768F4" w:rsidRDefault="002403BB" w:rsidP="006768F4">
      <w:pPr>
        <w:numPr>
          <w:ilvl w:val="0"/>
          <w:numId w:val="25"/>
        </w:numPr>
        <w:rPr>
          <w:rStyle w:val="AERbody"/>
        </w:rPr>
      </w:pPr>
      <w:r w:rsidRPr="002403BB">
        <w:rPr>
          <w:rStyle w:val="AERbody"/>
        </w:rPr>
        <w:t>A summary of our reasons and findings that we present i</w:t>
      </w:r>
      <w:r w:rsidR="00FF3F88">
        <w:rPr>
          <w:rStyle w:val="AERbody"/>
        </w:rPr>
        <w:t xml:space="preserve">n this attachment and appendix </w:t>
      </w:r>
      <w:r w:rsidR="00FF3F88">
        <w:rPr>
          <w:rStyle w:val="AERbody"/>
        </w:rPr>
        <w:fldChar w:fldCharType="begin"/>
      </w:r>
      <w:r w:rsidR="00FF3F88">
        <w:rPr>
          <w:rStyle w:val="AERbody"/>
        </w:rPr>
        <w:instrText xml:space="preserve"> REF _Ref448499504 \r </w:instrText>
      </w:r>
      <w:r w:rsidR="00FF3F88">
        <w:rPr>
          <w:rStyle w:val="AERbody"/>
        </w:rPr>
        <w:fldChar w:fldCharType="separate"/>
      </w:r>
      <w:r w:rsidR="00C60946">
        <w:rPr>
          <w:rStyle w:val="AERbody"/>
        </w:rPr>
        <w:t>B</w:t>
      </w:r>
      <w:r w:rsidR="00FF3F88">
        <w:rPr>
          <w:rStyle w:val="AERbody"/>
        </w:rPr>
        <w:fldChar w:fldCharType="end"/>
      </w:r>
      <w:r w:rsidRPr="002403BB">
        <w:rPr>
          <w:rStyle w:val="AERbody"/>
        </w:rPr>
        <w:t xml:space="preserve"> </w:t>
      </w:r>
      <w:r w:rsidR="00C46BC7">
        <w:rPr>
          <w:rStyle w:val="AERbody"/>
        </w:rPr>
        <w:t>is</w:t>
      </w:r>
      <w:r w:rsidRPr="002403BB">
        <w:rPr>
          <w:rStyle w:val="AERbody"/>
        </w:rPr>
        <w:t xml:space="preserve"> set out in</w:t>
      </w:r>
      <w:r w:rsidR="00FF3F88">
        <w:rPr>
          <w:rStyle w:val="AERbody"/>
        </w:rPr>
        <w:t xml:space="preserve"> </w:t>
      </w:r>
      <w:r w:rsidR="00FF3F88">
        <w:rPr>
          <w:rStyle w:val="AERbody"/>
        </w:rPr>
        <w:fldChar w:fldCharType="begin"/>
      </w:r>
      <w:r w:rsidR="00FF3F88">
        <w:rPr>
          <w:rStyle w:val="AERbody"/>
        </w:rPr>
        <w:instrText xml:space="preserve"> REF _Ref448499723 </w:instrText>
      </w:r>
      <w:r w:rsidR="00FF3F88">
        <w:rPr>
          <w:rStyle w:val="AERbody"/>
        </w:rPr>
        <w:fldChar w:fldCharType="separate"/>
      </w:r>
      <w:r w:rsidR="00C60946">
        <w:t xml:space="preserve">Table </w:t>
      </w:r>
      <w:r w:rsidR="00C60946">
        <w:rPr>
          <w:noProof/>
        </w:rPr>
        <w:t>6</w:t>
      </w:r>
      <w:r w:rsidR="00C60946">
        <w:t>.</w:t>
      </w:r>
      <w:r w:rsidR="00C60946">
        <w:rPr>
          <w:noProof/>
        </w:rPr>
        <w:t>2</w:t>
      </w:r>
      <w:r w:rsidR="00FF3F88">
        <w:rPr>
          <w:rStyle w:val="AERbody"/>
        </w:rPr>
        <w:fldChar w:fldCharType="end"/>
      </w:r>
      <w:r w:rsidRPr="002403BB">
        <w:rPr>
          <w:rStyle w:val="AERbody"/>
        </w:rPr>
        <w:t xml:space="preserve">. </w:t>
      </w:r>
      <w:r w:rsidR="006768F4" w:rsidRPr="006768F4">
        <w:rPr>
          <w:rStyle w:val="AERbody"/>
        </w:rPr>
        <w:t xml:space="preserve">In the table we present </w:t>
      </w:r>
      <w:r w:rsidR="00EB6123">
        <w:rPr>
          <w:rStyle w:val="AERbody"/>
        </w:rPr>
        <w:t>our reasons largely by ‘capex category</w:t>
      </w:r>
      <w:r w:rsidR="006768F4">
        <w:rPr>
          <w:rStyle w:val="AERbody"/>
        </w:rPr>
        <w:t xml:space="preserve">’ such as </w:t>
      </w:r>
      <w:r w:rsidR="00EB6123">
        <w:rPr>
          <w:rStyle w:val="AERbody"/>
        </w:rPr>
        <w:t>station rebuilds and non</w:t>
      </w:r>
      <w:r w:rsidR="0049082E">
        <w:rPr>
          <w:rStyle w:val="AERbody"/>
        </w:rPr>
        <w:noBreakHyphen/>
      </w:r>
      <w:r w:rsidR="00EB6123">
        <w:rPr>
          <w:rStyle w:val="AERbody"/>
        </w:rPr>
        <w:t>network capex.</w:t>
      </w:r>
      <w:r w:rsidR="006768F4">
        <w:rPr>
          <w:rStyle w:val="AERbody"/>
        </w:rPr>
        <w:t xml:space="preserve"> </w:t>
      </w:r>
      <w:r w:rsidR="006768F4" w:rsidRPr="006768F4">
        <w:rPr>
          <w:rStyle w:val="AERbody"/>
        </w:rPr>
        <w:t xml:space="preserve">This reflects the way in which we tested </w:t>
      </w:r>
      <w:r w:rsidR="007B6ABF">
        <w:rPr>
          <w:rStyle w:val="AERbody"/>
        </w:rPr>
        <w:t>AusNet Services'</w:t>
      </w:r>
      <w:r w:rsidR="006768F4" w:rsidRPr="006768F4">
        <w:rPr>
          <w:rStyle w:val="AERbody"/>
        </w:rPr>
        <w:t xml:space="preserve"> </w:t>
      </w:r>
      <w:r w:rsidR="006768F4">
        <w:rPr>
          <w:rStyle w:val="AERbody"/>
        </w:rPr>
        <w:t xml:space="preserve">proposed total forecast capex. </w:t>
      </w:r>
      <w:r w:rsidR="006768F4" w:rsidRPr="006768F4">
        <w:rPr>
          <w:rStyle w:val="AERbody"/>
        </w:rPr>
        <w:t xml:space="preserve">Our testing used techniques tailored to the different capex </w:t>
      </w:r>
      <w:r w:rsidR="007B6ABF">
        <w:rPr>
          <w:rStyle w:val="AERbody"/>
        </w:rPr>
        <w:t>categories</w:t>
      </w:r>
      <w:r w:rsidR="006768F4" w:rsidRPr="006768F4">
        <w:rPr>
          <w:rStyle w:val="AERbody"/>
        </w:rPr>
        <w:t xml:space="preserve"> taking into account</w:t>
      </w:r>
      <w:r w:rsidR="006768F4">
        <w:rPr>
          <w:rStyle w:val="AERbody"/>
        </w:rPr>
        <w:t xml:space="preserve"> the best available evidence. </w:t>
      </w:r>
      <w:r w:rsidR="00FA65C1">
        <w:rPr>
          <w:rStyle w:val="AERbody"/>
        </w:rPr>
        <w:t xml:space="preserve">Through our techniques, we found </w:t>
      </w:r>
      <w:r w:rsidR="006768F4" w:rsidRPr="006768F4">
        <w:rPr>
          <w:rStyle w:val="AERbody"/>
        </w:rPr>
        <w:t xml:space="preserve">some aspects of </w:t>
      </w:r>
      <w:r w:rsidR="00FA65C1">
        <w:rPr>
          <w:rStyle w:val="AERbody"/>
        </w:rPr>
        <w:t>AusNet Services'</w:t>
      </w:r>
      <w:r w:rsidR="006768F4" w:rsidRPr="006768F4">
        <w:rPr>
          <w:rStyle w:val="AERbody"/>
        </w:rPr>
        <w:t xml:space="preserve"> proposal</w:t>
      </w:r>
      <w:r w:rsidR="00FA65C1">
        <w:rPr>
          <w:rStyle w:val="AERbody"/>
        </w:rPr>
        <w:t xml:space="preserve"> were </w:t>
      </w:r>
      <w:r w:rsidR="00417ED8">
        <w:rPr>
          <w:rStyle w:val="AERbody"/>
        </w:rPr>
        <w:t xml:space="preserve">not </w:t>
      </w:r>
      <w:r w:rsidR="00FA65C1">
        <w:rPr>
          <w:rStyle w:val="AERbody"/>
        </w:rPr>
        <w:t xml:space="preserve">consistent with the NER. </w:t>
      </w:r>
      <w:r w:rsidR="002E78F6">
        <w:rPr>
          <w:rStyle w:val="AERbody"/>
        </w:rPr>
        <w:t>O</w:t>
      </w:r>
      <w:r w:rsidR="006768F4" w:rsidRPr="006768F4">
        <w:rPr>
          <w:rStyle w:val="AERbody"/>
        </w:rPr>
        <w:t xml:space="preserve">ur findings on </w:t>
      </w:r>
      <w:r w:rsidR="00C46BC7">
        <w:rPr>
          <w:rStyle w:val="AERbody"/>
        </w:rPr>
        <w:t xml:space="preserve">AusNet Services' quantification of safety and reliability risks, </w:t>
      </w:r>
      <w:r w:rsidR="00DE1F37">
        <w:rPr>
          <w:rStyle w:val="AERbody"/>
        </w:rPr>
        <w:t xml:space="preserve">and </w:t>
      </w:r>
      <w:r w:rsidR="002E78F6">
        <w:rPr>
          <w:rStyle w:val="AERbody"/>
        </w:rPr>
        <w:t>the cost estimation methodology</w:t>
      </w:r>
      <w:r w:rsidR="00DE1F37">
        <w:rPr>
          <w:rStyle w:val="AERbody"/>
        </w:rPr>
        <w:t xml:space="preserve"> used to derive project cost estimates </w:t>
      </w:r>
      <w:r w:rsidR="006768F4" w:rsidRPr="006768F4">
        <w:rPr>
          <w:rStyle w:val="AERbody"/>
        </w:rPr>
        <w:t>largely explain wh</w:t>
      </w:r>
      <w:r w:rsidR="000C4A38">
        <w:rPr>
          <w:rStyle w:val="AERbody"/>
        </w:rPr>
        <w:t>y we are not satisfied that</w:t>
      </w:r>
      <w:r w:rsidR="006768F4" w:rsidRPr="006768F4">
        <w:rPr>
          <w:rStyle w:val="AERbody"/>
        </w:rPr>
        <w:t xml:space="preserve"> </w:t>
      </w:r>
      <w:r w:rsidR="00FA65C1">
        <w:rPr>
          <w:rStyle w:val="AERbody"/>
        </w:rPr>
        <w:t>AusNet Services'</w:t>
      </w:r>
      <w:r w:rsidR="006768F4" w:rsidRPr="006768F4">
        <w:rPr>
          <w:rStyle w:val="AERbody"/>
        </w:rPr>
        <w:t xml:space="preserve"> proposed total forecast capex</w:t>
      </w:r>
      <w:r w:rsidR="000C4A38">
        <w:rPr>
          <w:rStyle w:val="AERbody"/>
        </w:rPr>
        <w:t xml:space="preserve"> meets the capex criteria</w:t>
      </w:r>
      <w:r w:rsidR="006768F4" w:rsidRPr="006768F4">
        <w:rPr>
          <w:rStyle w:val="AERbody"/>
        </w:rPr>
        <w:t>.</w:t>
      </w:r>
    </w:p>
    <w:p w:rsidR="006768F4" w:rsidRDefault="006768F4" w:rsidP="006768F4">
      <w:pPr>
        <w:numPr>
          <w:ilvl w:val="0"/>
          <w:numId w:val="25"/>
        </w:numPr>
        <w:rPr>
          <w:rStyle w:val="AERbody"/>
        </w:rPr>
      </w:pPr>
      <w:r w:rsidRPr="006768F4">
        <w:rPr>
          <w:rStyle w:val="AERbody"/>
        </w:rPr>
        <w:t xml:space="preserve">Our findings on the capex </w:t>
      </w:r>
      <w:r w:rsidR="007B6ABF">
        <w:rPr>
          <w:rStyle w:val="AERbody"/>
        </w:rPr>
        <w:t>categories</w:t>
      </w:r>
      <w:r w:rsidRPr="006768F4">
        <w:rPr>
          <w:rStyle w:val="AERbody"/>
        </w:rPr>
        <w:t xml:space="preserve"> are part of our broader analysis </w:t>
      </w:r>
      <w:r w:rsidR="002E78F6">
        <w:rPr>
          <w:rStyle w:val="AERbody"/>
        </w:rPr>
        <w:t xml:space="preserve">of overall expenditure </w:t>
      </w:r>
      <w:r w:rsidRPr="006768F4">
        <w:rPr>
          <w:rStyle w:val="AERbody"/>
        </w:rPr>
        <w:t xml:space="preserve">and </w:t>
      </w:r>
      <w:r w:rsidR="00FA65C1">
        <w:rPr>
          <w:rStyle w:val="AERbody"/>
        </w:rPr>
        <w:t xml:space="preserve">should not </w:t>
      </w:r>
      <w:r w:rsidRPr="006768F4">
        <w:rPr>
          <w:rStyle w:val="AERbody"/>
        </w:rPr>
        <w:t xml:space="preserve">be considered in isolation. </w:t>
      </w:r>
      <w:r w:rsidR="002E78F6" w:rsidRPr="006768F4">
        <w:rPr>
          <w:rStyle w:val="AERbody"/>
        </w:rPr>
        <w:t>We do not approve an amount of forecast expe</w:t>
      </w:r>
      <w:r w:rsidR="002E78F6">
        <w:rPr>
          <w:rStyle w:val="AERbody"/>
        </w:rPr>
        <w:t xml:space="preserve">nditure for each capex category. </w:t>
      </w:r>
      <w:r w:rsidRPr="006768F4">
        <w:rPr>
          <w:rStyle w:val="AERbody"/>
        </w:rPr>
        <w:t xml:space="preserve">Our </w:t>
      </w:r>
      <w:r w:rsidR="00FA65C1">
        <w:rPr>
          <w:rStyle w:val="AERbody"/>
        </w:rPr>
        <w:t>draft</w:t>
      </w:r>
      <w:r w:rsidRPr="006768F4">
        <w:rPr>
          <w:rStyle w:val="AERbody"/>
        </w:rPr>
        <w:t xml:space="preserve"> decision concerns </w:t>
      </w:r>
      <w:r w:rsidR="00FA65C1">
        <w:rPr>
          <w:rStyle w:val="AERbody"/>
        </w:rPr>
        <w:t>AusNet Services'</w:t>
      </w:r>
      <w:r w:rsidRPr="006768F4">
        <w:rPr>
          <w:rStyle w:val="AERbody"/>
        </w:rPr>
        <w:t xml:space="preserve"> t</w:t>
      </w:r>
      <w:r w:rsidR="00FA65C1">
        <w:rPr>
          <w:rStyle w:val="AERbody"/>
        </w:rPr>
        <w:t>otal forecast capex for the 2017–22</w:t>
      </w:r>
      <w:r w:rsidRPr="006768F4">
        <w:rPr>
          <w:rStyle w:val="AERbody"/>
        </w:rPr>
        <w:t xml:space="preserve"> </w:t>
      </w:r>
      <w:r w:rsidR="00FA65C1">
        <w:rPr>
          <w:rStyle w:val="AERbody"/>
        </w:rPr>
        <w:t xml:space="preserve">regulatory control </w:t>
      </w:r>
      <w:proofErr w:type="gramStart"/>
      <w:r w:rsidR="00FA65C1">
        <w:rPr>
          <w:rStyle w:val="AERbody"/>
        </w:rPr>
        <w:t>period</w:t>
      </w:r>
      <w:proofErr w:type="gramEnd"/>
      <w:r w:rsidRPr="006768F4">
        <w:rPr>
          <w:rStyle w:val="AERbody"/>
        </w:rPr>
        <w:t xml:space="preserve">. </w:t>
      </w:r>
      <w:r w:rsidR="002E78F6">
        <w:rPr>
          <w:rStyle w:val="AERbody"/>
        </w:rPr>
        <w:t>W</w:t>
      </w:r>
      <w:r w:rsidR="00FA65C1">
        <w:rPr>
          <w:rStyle w:val="AERbody"/>
        </w:rPr>
        <w:t>e</w:t>
      </w:r>
      <w:r w:rsidRPr="006768F4">
        <w:rPr>
          <w:rStyle w:val="AERbody"/>
        </w:rPr>
        <w:t xml:space="preserve"> use our findings on the different capex </w:t>
      </w:r>
      <w:r w:rsidR="00EB6123">
        <w:rPr>
          <w:rStyle w:val="AERbody"/>
        </w:rPr>
        <w:t>categories</w:t>
      </w:r>
      <w:r w:rsidRPr="006768F4">
        <w:rPr>
          <w:rStyle w:val="AERbody"/>
        </w:rPr>
        <w:t xml:space="preserve"> to arrive at a subs</w:t>
      </w:r>
      <w:r w:rsidR="00FA65C1">
        <w:rPr>
          <w:rStyle w:val="AERbody"/>
        </w:rPr>
        <w:t xml:space="preserve">titute estimate for total capex. We </w:t>
      </w:r>
      <w:r w:rsidR="00B47140">
        <w:rPr>
          <w:rStyle w:val="AERbody"/>
        </w:rPr>
        <w:t xml:space="preserve">then </w:t>
      </w:r>
      <w:r w:rsidR="00FA65C1">
        <w:rPr>
          <w:rStyle w:val="AERbody"/>
        </w:rPr>
        <w:t xml:space="preserve">test this total estimate of capex against the NER requirements. </w:t>
      </w:r>
      <w:r w:rsidRPr="006768F4">
        <w:rPr>
          <w:rStyle w:val="AERbody"/>
        </w:rPr>
        <w:t>We are satisfied that our estimate represents the total forecast capex that as a whole rea</w:t>
      </w:r>
      <w:r w:rsidR="00FA65C1">
        <w:rPr>
          <w:rStyle w:val="AERbody"/>
        </w:rPr>
        <w:t xml:space="preserve">sonably reflects </w:t>
      </w:r>
      <w:r w:rsidRPr="006768F4">
        <w:rPr>
          <w:rStyle w:val="AERbody"/>
        </w:rPr>
        <w:t>the capex criteria.</w:t>
      </w:r>
    </w:p>
    <w:p w:rsidR="002403BB" w:rsidRDefault="00FF3F88" w:rsidP="00FF3F88">
      <w:pPr>
        <w:pStyle w:val="Caption"/>
      </w:pPr>
      <w:bookmarkStart w:id="15" w:name="_Ref448499723"/>
      <w:bookmarkStart w:id="16" w:name="_Ref403468179"/>
      <w:proofErr w:type="gramStart"/>
      <w:r>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2</w:t>
      </w:r>
      <w:r w:rsidR="00735181">
        <w:rPr>
          <w:noProof/>
        </w:rPr>
        <w:fldChar w:fldCharType="end"/>
      </w:r>
      <w:bookmarkEnd w:id="15"/>
      <w:r>
        <w:tab/>
      </w:r>
      <w:r w:rsidR="002403BB">
        <w:t>Summary of AER reasons and findings</w:t>
      </w:r>
      <w:bookmarkEnd w:id="16"/>
    </w:p>
    <w:tbl>
      <w:tblPr>
        <w:tblStyle w:val="AERtable-text0"/>
        <w:tblW w:w="0" w:type="auto"/>
        <w:tblLook w:val="04A0" w:firstRow="1" w:lastRow="0" w:firstColumn="1" w:lastColumn="0" w:noHBand="0" w:noVBand="1"/>
      </w:tblPr>
      <w:tblGrid>
        <w:gridCol w:w="2332"/>
        <w:gridCol w:w="6361"/>
      </w:tblGrid>
      <w:tr w:rsidR="007E7E31" w:rsidRPr="007B6ABF" w:rsidTr="007B6ABF">
        <w:trPr>
          <w:cnfStyle w:val="100000000000" w:firstRow="1" w:lastRow="0" w:firstColumn="0" w:lastColumn="0" w:oddVBand="0" w:evenVBand="0" w:oddHBand="0" w:evenHBand="0" w:firstRowFirstColumn="0" w:firstRowLastColumn="0" w:lastRowFirstColumn="0" w:lastRowLastColumn="0"/>
        </w:trPr>
        <w:tc>
          <w:tcPr>
            <w:tcW w:w="2332" w:type="dxa"/>
            <w:hideMark/>
          </w:tcPr>
          <w:p w:rsidR="007E7E31" w:rsidRPr="007B6ABF" w:rsidRDefault="007E7E31" w:rsidP="007B6ABF">
            <w:r w:rsidRPr="007B6ABF">
              <w:t>Issue</w:t>
            </w:r>
          </w:p>
        </w:tc>
        <w:tc>
          <w:tcPr>
            <w:tcW w:w="6361" w:type="dxa"/>
            <w:hideMark/>
          </w:tcPr>
          <w:p w:rsidR="007E7E31" w:rsidRPr="007B6ABF" w:rsidRDefault="007E7E31" w:rsidP="007B6ABF">
            <w:r w:rsidRPr="007B6ABF">
              <w:t>Reasons and findings</w:t>
            </w:r>
          </w:p>
        </w:tc>
      </w:tr>
      <w:tr w:rsidR="007B6ABF" w:rsidRPr="007B6ABF" w:rsidTr="007B6ABF">
        <w:tc>
          <w:tcPr>
            <w:tcW w:w="2332" w:type="dxa"/>
          </w:tcPr>
          <w:p w:rsidR="007B6ABF" w:rsidRPr="007B6ABF" w:rsidRDefault="007B6ABF" w:rsidP="007B6ABF">
            <w:r>
              <w:t>Total capex forecast</w:t>
            </w:r>
          </w:p>
        </w:tc>
        <w:tc>
          <w:tcPr>
            <w:tcW w:w="6361" w:type="dxa"/>
          </w:tcPr>
          <w:p w:rsidR="007B6ABF" w:rsidRPr="007B6ABF" w:rsidRDefault="007B6ABF" w:rsidP="007B6ABF">
            <w:r w:rsidRPr="007B6ABF">
              <w:t xml:space="preserve">AusNet Services proposed </w:t>
            </w:r>
            <w:r>
              <w:t>a total capex forecast of $745.6 million ($2016–17</w:t>
            </w:r>
            <w:r w:rsidRPr="007B6ABF">
              <w:t>) in its proposal. We are not satisfied this forecast reflects the capex criteria.</w:t>
            </w:r>
          </w:p>
          <w:p w:rsidR="007B6ABF" w:rsidRPr="007B6ABF" w:rsidRDefault="007B6ABF" w:rsidP="007B6ABF">
            <w:r w:rsidRPr="007B6ABF">
              <w:lastRenderedPageBreak/>
              <w:t>We are satisfied o</w:t>
            </w:r>
            <w:r>
              <w:t xml:space="preserve">ur substitute estimate of </w:t>
            </w:r>
            <w:r w:rsidR="005C6B30">
              <w:t>$</w:t>
            </w:r>
            <w:r w:rsidR="0049082E">
              <w:t>573.1</w:t>
            </w:r>
            <w:r w:rsidR="005C6B30">
              <w:t xml:space="preserve"> million </w:t>
            </w:r>
            <w:r>
              <w:t>($2016–17</w:t>
            </w:r>
            <w:r w:rsidRPr="007B6ABF">
              <w:t>) reasonably reflects the capex criteri</w:t>
            </w:r>
            <w:r>
              <w:t>a. Our substitute estimate is</w:t>
            </w:r>
            <w:r w:rsidR="005C6B30">
              <w:t xml:space="preserve"> 23</w:t>
            </w:r>
            <w:r w:rsidRPr="007B6ABF">
              <w:t xml:space="preserve"> per cent lower than AusNet Services' proposal.</w:t>
            </w:r>
          </w:p>
          <w:p w:rsidR="007B6ABF" w:rsidRPr="007B6ABF" w:rsidRDefault="007B6ABF" w:rsidP="007B6ABF">
            <w:r w:rsidRPr="007B6ABF">
              <w:t xml:space="preserve">The reasons for this </w:t>
            </w:r>
            <w:r w:rsidR="00AA77F2">
              <w:t xml:space="preserve">draft </w:t>
            </w:r>
            <w:r w:rsidRPr="007B6ABF">
              <w:t>decision are summarised in this table and detailed in the remainder of this attachment.</w:t>
            </w:r>
          </w:p>
        </w:tc>
      </w:tr>
      <w:tr w:rsidR="007E7E31" w:rsidRPr="00B82F93" w:rsidTr="007B6ABF">
        <w:trPr>
          <w:cnfStyle w:val="000000010000" w:firstRow="0" w:lastRow="0" w:firstColumn="0" w:lastColumn="0" w:oddVBand="0" w:evenVBand="0" w:oddHBand="0" w:evenHBand="1" w:firstRowFirstColumn="0" w:firstRowLastColumn="0" w:lastRowFirstColumn="0" w:lastRowLastColumn="0"/>
        </w:trPr>
        <w:tc>
          <w:tcPr>
            <w:tcW w:w="2332" w:type="dxa"/>
          </w:tcPr>
          <w:p w:rsidR="007E7E31" w:rsidRPr="007B6ABF" w:rsidRDefault="007E7E31" w:rsidP="007B6ABF">
            <w:r w:rsidRPr="007B6ABF">
              <w:lastRenderedPageBreak/>
              <w:t>Forecasting methodology, key assumptions and past capex performance</w:t>
            </w:r>
          </w:p>
        </w:tc>
        <w:tc>
          <w:tcPr>
            <w:tcW w:w="6361" w:type="dxa"/>
          </w:tcPr>
          <w:p w:rsidR="007B6ABF" w:rsidRPr="00C010EB" w:rsidRDefault="000427A1" w:rsidP="004529A8">
            <w:pPr>
              <w:rPr>
                <w:rStyle w:val="AERtexthighlight"/>
              </w:rPr>
            </w:pPr>
            <w:r>
              <w:t xml:space="preserve">Our concerns involve some aspects of AusNet Services' forecasting methodology and key assumptions which are material to our view that we are not reasonably satisfied that its proposed total forecast capex reasonably reflects the capex criteria. </w:t>
            </w:r>
          </w:p>
          <w:p w:rsidR="00B93842" w:rsidRDefault="000427A1" w:rsidP="004529A8">
            <w:r>
              <w:t>AusNet Services' forecasting methodology predominately relies upon a botto</w:t>
            </w:r>
            <w:r w:rsidR="009879C5">
              <w:t xml:space="preserve">m-up build </w:t>
            </w:r>
            <w:r w:rsidR="003E3FA5">
              <w:t xml:space="preserve">of projects and programs </w:t>
            </w:r>
            <w:r w:rsidR="009879C5">
              <w:t>(or bottom-up assess</w:t>
            </w:r>
            <w:r>
              <w:t>m</w:t>
            </w:r>
            <w:r w:rsidR="00CA0BE7">
              <w:t xml:space="preserve">ent) to estimate the </w:t>
            </w:r>
            <w:r>
              <w:t xml:space="preserve">forecast expenditure. As </w:t>
            </w:r>
            <w:r w:rsidR="00F773AB">
              <w:t>di</w:t>
            </w:r>
            <w:r w:rsidR="00992C7B">
              <w:t>s</w:t>
            </w:r>
            <w:r w:rsidR="00F773AB">
              <w:t>cussed in recent determinations</w:t>
            </w:r>
            <w:r w:rsidR="00106913">
              <w:t>,</w:t>
            </w:r>
            <w:r w:rsidR="00F773AB">
              <w:t xml:space="preserve"> </w:t>
            </w:r>
            <w:r>
              <w:t xml:space="preserve">bottom up </w:t>
            </w:r>
            <w:r w:rsidR="009879C5">
              <w:t>approach</w:t>
            </w:r>
            <w:r w:rsidR="00106913">
              <w:t>es</w:t>
            </w:r>
            <w:r w:rsidR="009879C5">
              <w:t xml:space="preserve"> have tende</w:t>
            </w:r>
            <w:r>
              <w:t xml:space="preserve">ncy </w:t>
            </w:r>
            <w:r w:rsidR="009879C5">
              <w:t>to overstate the efficient capex as they do not ad</w:t>
            </w:r>
            <w:r w:rsidR="00F773AB">
              <w:t>equately account for inter-relationships and synergies between projects or areas of work. AusNet Services has made an explicit adjustment of 0.89 per cent to the total capex forecast to reflect the cost savings that are expected at the</w:t>
            </w:r>
            <w:r w:rsidR="00992C7B">
              <w:t xml:space="preserve"> portfolio level. While we cons</w:t>
            </w:r>
            <w:r w:rsidR="00F773AB">
              <w:t>i</w:t>
            </w:r>
            <w:r w:rsidR="00992C7B">
              <w:t>der AusNet Services' planning s</w:t>
            </w:r>
            <w:r w:rsidR="00F773AB">
              <w:t>tr</w:t>
            </w:r>
            <w:r w:rsidR="00992C7B">
              <w:t>a</w:t>
            </w:r>
            <w:r w:rsidR="00F773AB">
              <w:t>tegy to be reasonabl</w:t>
            </w:r>
            <w:r w:rsidR="00E54AAE">
              <w:t>e, we have not accepted this 0.</w:t>
            </w:r>
            <w:r w:rsidR="00F773AB">
              <w:t>89 per cent adjustment is likely to</w:t>
            </w:r>
            <w:r w:rsidR="00E5308F">
              <w:t xml:space="preserve"> capture</w:t>
            </w:r>
            <w:r w:rsidR="00F773AB">
              <w:t xml:space="preserve"> expected cost efficiencies at the portfolio level</w:t>
            </w:r>
            <w:r w:rsidR="00B93842">
              <w:t xml:space="preserve">. We have also identified some </w:t>
            </w:r>
            <w:r w:rsidR="00A85EAE">
              <w:t xml:space="preserve">deficiencies </w:t>
            </w:r>
            <w:r w:rsidR="00992C7B">
              <w:t>with AusNet Services' fore</w:t>
            </w:r>
            <w:r w:rsidR="00B93842">
              <w:t>c</w:t>
            </w:r>
            <w:r w:rsidR="00992C7B">
              <w:t>a</w:t>
            </w:r>
            <w:r w:rsidR="00B93842">
              <w:t>sting methodology and key assu</w:t>
            </w:r>
            <w:r w:rsidR="00992C7B">
              <w:t>mp</w:t>
            </w:r>
            <w:r w:rsidR="00B93842">
              <w:t>tions</w:t>
            </w:r>
            <w:r w:rsidR="00992C7B">
              <w:t xml:space="preserve"> such t</w:t>
            </w:r>
            <w:r w:rsidR="00B93842">
              <w:t>h</w:t>
            </w:r>
            <w:r w:rsidR="00992C7B">
              <w:t>a</w:t>
            </w:r>
            <w:r w:rsidR="00B93842">
              <w:t>t t</w:t>
            </w:r>
            <w:r w:rsidR="00992C7B">
              <w:t xml:space="preserve">he total </w:t>
            </w:r>
            <w:r w:rsidR="00B93842">
              <w:t>c</w:t>
            </w:r>
            <w:r w:rsidR="00992C7B">
              <w:t>apex foreca</w:t>
            </w:r>
            <w:r w:rsidR="00B93842">
              <w:t xml:space="preserve">st </w:t>
            </w:r>
            <w:r w:rsidR="00992C7B">
              <w:t>is not reasonably likely to refl</w:t>
            </w:r>
            <w:r w:rsidR="00B93842">
              <w:t>ect the capex criteria. These issues include:</w:t>
            </w:r>
          </w:p>
          <w:p w:rsidR="00B93842" w:rsidRPr="00B93842" w:rsidRDefault="00992C7B" w:rsidP="00B93842">
            <w:pPr>
              <w:pStyle w:val="AERbulletlistfirststyle"/>
              <w:rPr>
                <w:shd w:val="clear" w:color="auto" w:fill="FFFF00"/>
              </w:rPr>
            </w:pPr>
            <w:r>
              <w:t>o</w:t>
            </w:r>
            <w:r w:rsidR="00B93842">
              <w:t>ver</w:t>
            </w:r>
            <w:r>
              <w:t>-</w:t>
            </w:r>
            <w:r w:rsidR="00B93842">
              <w:t>estimation of project cost estimates resulting in an overestimation of the capex forecast</w:t>
            </w:r>
          </w:p>
          <w:p w:rsidR="00B93842" w:rsidRPr="00B93842" w:rsidRDefault="00992C7B" w:rsidP="00B93842">
            <w:pPr>
              <w:pStyle w:val="AERbulletlistfirststyle"/>
              <w:rPr>
                <w:shd w:val="clear" w:color="auto" w:fill="FFFF00"/>
              </w:rPr>
            </w:pPr>
            <w:r>
              <w:t>o</w:t>
            </w:r>
            <w:r w:rsidR="00B93842">
              <w:t>ver</w:t>
            </w:r>
            <w:r>
              <w:t>-</w:t>
            </w:r>
            <w:r w:rsidR="00B93842">
              <w:t>estimation of safety related risks from asset failures resulting in an overestimation of the capex forecast</w:t>
            </w:r>
          </w:p>
          <w:p w:rsidR="00B93842" w:rsidRPr="00B93842" w:rsidRDefault="00992C7B" w:rsidP="00B93842">
            <w:pPr>
              <w:pStyle w:val="AERbulletlistfirststyle"/>
              <w:rPr>
                <w:shd w:val="clear" w:color="auto" w:fill="FFFF00"/>
              </w:rPr>
            </w:pPr>
            <w:proofErr w:type="gramStart"/>
            <w:r>
              <w:t>ov</w:t>
            </w:r>
            <w:r w:rsidR="00B93842">
              <w:t>er</w:t>
            </w:r>
            <w:r>
              <w:t>-</w:t>
            </w:r>
            <w:r w:rsidR="00B93842">
              <w:t>estimation</w:t>
            </w:r>
            <w:proofErr w:type="gramEnd"/>
            <w:r w:rsidR="00B93842">
              <w:t xml:space="preserve"> of energy at risk from asset failures resulti</w:t>
            </w:r>
            <w:r>
              <w:t xml:space="preserve">ng in an overestimation of the </w:t>
            </w:r>
            <w:r w:rsidR="00B93842">
              <w:t>capex forecast.</w:t>
            </w:r>
          </w:p>
          <w:p w:rsidR="007E7E31" w:rsidRPr="004529A8" w:rsidRDefault="00B93842" w:rsidP="00A85EAE">
            <w:pPr>
              <w:pStyle w:val="AERbulletlistfirststyle"/>
              <w:numPr>
                <w:ilvl w:val="0"/>
                <w:numId w:val="0"/>
              </w:numPr>
              <w:rPr>
                <w:rStyle w:val="AERtexthighlight"/>
              </w:rPr>
            </w:pPr>
            <w:r>
              <w:t xml:space="preserve">In constructing our alternative estimate we have addressed these </w:t>
            </w:r>
            <w:r w:rsidR="00106913">
              <w:t>aspects of</w:t>
            </w:r>
            <w:r w:rsidR="00992C7B">
              <w:t xml:space="preserve"> AusNet Ser</w:t>
            </w:r>
            <w:r>
              <w:t xml:space="preserve">vices' forecasting methodology and key assumptions. </w:t>
            </w:r>
          </w:p>
        </w:tc>
      </w:tr>
      <w:tr w:rsidR="007E7E31" w:rsidRPr="007B6ABF" w:rsidTr="007B6ABF">
        <w:tc>
          <w:tcPr>
            <w:tcW w:w="2332" w:type="dxa"/>
            <w:hideMark/>
          </w:tcPr>
          <w:p w:rsidR="007E7E31" w:rsidRPr="007B6ABF" w:rsidRDefault="00947689" w:rsidP="007B6ABF">
            <w:r w:rsidRPr="007B6ABF">
              <w:t>CBD station rebuilds</w:t>
            </w:r>
          </w:p>
        </w:tc>
        <w:tc>
          <w:tcPr>
            <w:tcW w:w="6361" w:type="dxa"/>
          </w:tcPr>
          <w:p w:rsidR="007E7E31" w:rsidRPr="007B6ABF" w:rsidRDefault="00AA1B0A" w:rsidP="00AA1B0A">
            <w:r>
              <w:t>We do not accept AusNet Services' f</w:t>
            </w:r>
            <w:r w:rsidRPr="00AA1B0A">
              <w:t>orecast repex of $</w:t>
            </w:r>
            <w:r w:rsidR="00B20AD2">
              <w:t>109.5</w:t>
            </w:r>
            <w:r w:rsidRPr="00AA1B0A">
              <w:t xml:space="preserve"> million</w:t>
            </w:r>
            <w:r>
              <w:t xml:space="preserve"> ($2016-17)</w:t>
            </w:r>
            <w:r w:rsidR="00B20AD2">
              <w:t>, excluding overheads</w:t>
            </w:r>
            <w:r w:rsidRPr="00AA1B0A">
              <w:t>. In particular</w:t>
            </w:r>
            <w:r>
              <w:t>, on</w:t>
            </w:r>
            <w:r w:rsidR="00A95109">
              <w:t xml:space="preserve"> the basis that AusNet Services</w:t>
            </w:r>
            <w:r>
              <w:t xml:space="preserve"> has overestimated safety risk, energy at risk</w:t>
            </w:r>
            <w:r w:rsidRPr="00AA1B0A">
              <w:t xml:space="preserve"> </w:t>
            </w:r>
            <w:r>
              <w:t xml:space="preserve">and project costs </w:t>
            </w:r>
            <w:r w:rsidRPr="00AA1B0A">
              <w:t xml:space="preserve">we </w:t>
            </w:r>
            <w:r>
              <w:t xml:space="preserve">consider that a lower amount of capex is prudent and efficient. </w:t>
            </w:r>
            <w:r w:rsidRPr="00AA1B0A">
              <w:t>We have instead included in our substitute estimate of overall</w:t>
            </w:r>
            <w:r w:rsidR="00CA0BE7">
              <w:t xml:space="preserve"> total capex an amount of $</w:t>
            </w:r>
            <w:r w:rsidR="00B20AD2">
              <w:t>64.9</w:t>
            </w:r>
            <w:r>
              <w:t xml:space="preserve"> million ($2016-17</w:t>
            </w:r>
            <w:r w:rsidRPr="00AA1B0A">
              <w:t>) for repex</w:t>
            </w:r>
            <w:r>
              <w:t xml:space="preserve"> related to CBD station rebuilds</w:t>
            </w:r>
            <w:r w:rsidRPr="00AA1B0A">
              <w:t>.</w:t>
            </w:r>
          </w:p>
        </w:tc>
      </w:tr>
      <w:tr w:rsidR="007E7E31" w:rsidRPr="007B6ABF" w:rsidTr="007B6ABF">
        <w:trPr>
          <w:cnfStyle w:val="000000010000" w:firstRow="0" w:lastRow="0" w:firstColumn="0" w:lastColumn="0" w:oddVBand="0" w:evenVBand="0" w:oddHBand="0" w:evenHBand="1" w:firstRowFirstColumn="0" w:firstRowLastColumn="0" w:lastRowFirstColumn="0" w:lastRowLastColumn="0"/>
        </w:trPr>
        <w:tc>
          <w:tcPr>
            <w:tcW w:w="2332" w:type="dxa"/>
            <w:hideMark/>
          </w:tcPr>
          <w:p w:rsidR="007E7E31" w:rsidRPr="007B6ABF" w:rsidRDefault="00E907E8" w:rsidP="007B6ABF">
            <w:r w:rsidRPr="007B6ABF">
              <w:t>Major stations replacement</w:t>
            </w:r>
          </w:p>
        </w:tc>
        <w:tc>
          <w:tcPr>
            <w:tcW w:w="6361" w:type="dxa"/>
          </w:tcPr>
          <w:p w:rsidR="007E7E31" w:rsidRPr="007B6ABF" w:rsidRDefault="00AA1B0A" w:rsidP="007B6ABF">
            <w:r>
              <w:t>We do not accept AusNet Services' f</w:t>
            </w:r>
            <w:r w:rsidR="00CA0BE7">
              <w:t>orecast repex of $</w:t>
            </w:r>
            <w:r w:rsidR="00B20AD2">
              <w:t>177.5</w:t>
            </w:r>
            <w:r w:rsidRPr="00AA1B0A">
              <w:t xml:space="preserve"> million</w:t>
            </w:r>
            <w:r>
              <w:t xml:space="preserve"> ($2016-17)</w:t>
            </w:r>
            <w:r w:rsidR="00B20AD2">
              <w:t>, excluding overheads</w:t>
            </w:r>
            <w:r w:rsidRPr="00AA1B0A">
              <w:t>. In particular, on</w:t>
            </w:r>
            <w:r w:rsidR="00A95109">
              <w:t xml:space="preserve"> the basis that AusNet Services</w:t>
            </w:r>
            <w:r w:rsidRPr="00AA1B0A">
              <w:t xml:space="preserve"> has overestimated safety risk, energy at risk and project costs we consider that a lower amount of capex is prudent and efficient. We have instead included in our substitute estimate of overall total capex an amount of $</w:t>
            </w:r>
            <w:r w:rsidR="007F7504">
              <w:t>100.4</w:t>
            </w:r>
            <w:r w:rsidRPr="00AA1B0A">
              <w:t xml:space="preserve"> </w:t>
            </w:r>
            <w:r>
              <w:t>million ($2016-17</w:t>
            </w:r>
            <w:r w:rsidRPr="00AA1B0A">
              <w:t>) for repex</w:t>
            </w:r>
            <w:r>
              <w:t xml:space="preserve"> related to major stations</w:t>
            </w:r>
            <w:r w:rsidRPr="00AA1B0A">
              <w:t>.</w:t>
            </w:r>
          </w:p>
        </w:tc>
      </w:tr>
      <w:tr w:rsidR="007E7E31" w:rsidRPr="007B6ABF" w:rsidTr="007B6ABF">
        <w:tc>
          <w:tcPr>
            <w:tcW w:w="2332" w:type="dxa"/>
          </w:tcPr>
          <w:p w:rsidR="007E7E31" w:rsidRPr="007B6ABF" w:rsidRDefault="00E907E8" w:rsidP="007B6ABF">
            <w:r w:rsidRPr="007B6ABF">
              <w:t>Asset replacement programs</w:t>
            </w:r>
          </w:p>
        </w:tc>
        <w:tc>
          <w:tcPr>
            <w:tcW w:w="6361" w:type="dxa"/>
          </w:tcPr>
          <w:p w:rsidR="007E7E31" w:rsidRPr="007B6ABF" w:rsidRDefault="00AA1B0A" w:rsidP="00AA1B0A">
            <w:r>
              <w:t>We do not accept AusNet Services' f</w:t>
            </w:r>
            <w:r w:rsidR="00CA0BE7">
              <w:t>orecast repex of $</w:t>
            </w:r>
            <w:r w:rsidR="00B20AD2">
              <w:t>230.5</w:t>
            </w:r>
            <w:r w:rsidRPr="00AA1B0A">
              <w:t xml:space="preserve"> million</w:t>
            </w:r>
            <w:r>
              <w:t xml:space="preserve"> ($2016-17)</w:t>
            </w:r>
            <w:r w:rsidR="00B20AD2">
              <w:t>, excluding overheads</w:t>
            </w:r>
            <w:r w:rsidRPr="00AA1B0A">
              <w:t>. In particular, on</w:t>
            </w:r>
            <w:r w:rsidR="00A95109">
              <w:t xml:space="preserve"> the basis that AusNet Services</w:t>
            </w:r>
            <w:r w:rsidRPr="00AA1B0A">
              <w:t xml:space="preserve"> has overestimated safety</w:t>
            </w:r>
            <w:r>
              <w:t xml:space="preserve"> risk</w:t>
            </w:r>
            <w:r w:rsidRPr="00AA1B0A">
              <w:t xml:space="preserve"> and project costs we consider that a lower amount of capex is prudent and efficient. We have instead included in our substitute estimate of overall total capex an amount of $</w:t>
            </w:r>
            <w:r w:rsidR="005D7697">
              <w:t>199.1</w:t>
            </w:r>
            <w:r w:rsidRPr="00AA1B0A">
              <w:t xml:space="preserve"> million ($2016-17) for repex related to </w:t>
            </w:r>
            <w:r>
              <w:t>asset replacement programs</w:t>
            </w:r>
            <w:r w:rsidRPr="00AA1B0A">
              <w:t>.</w:t>
            </w:r>
          </w:p>
        </w:tc>
      </w:tr>
      <w:tr w:rsidR="007E7E31" w:rsidRPr="007B6ABF" w:rsidTr="007B6ABF">
        <w:trPr>
          <w:cnfStyle w:val="000000010000" w:firstRow="0" w:lastRow="0" w:firstColumn="0" w:lastColumn="0" w:oddVBand="0" w:evenVBand="0" w:oddHBand="0" w:evenHBand="1" w:firstRowFirstColumn="0" w:firstRowLastColumn="0" w:lastRowFirstColumn="0" w:lastRowLastColumn="0"/>
        </w:trPr>
        <w:tc>
          <w:tcPr>
            <w:tcW w:w="2332" w:type="dxa"/>
          </w:tcPr>
          <w:p w:rsidR="007E7E31" w:rsidRPr="007B6ABF" w:rsidRDefault="00E907E8" w:rsidP="007B6ABF">
            <w:r w:rsidRPr="007B6ABF">
              <w:t>Safety, security and compliance</w:t>
            </w:r>
          </w:p>
        </w:tc>
        <w:tc>
          <w:tcPr>
            <w:tcW w:w="6361" w:type="dxa"/>
          </w:tcPr>
          <w:p w:rsidR="007E7E31" w:rsidRPr="007B6ABF" w:rsidRDefault="00AA1B0A" w:rsidP="00551606">
            <w:r>
              <w:t>We do not accept AusNet Services' f</w:t>
            </w:r>
            <w:r w:rsidR="00165E35">
              <w:t>orecast repex of $65.9</w:t>
            </w:r>
            <w:r w:rsidRPr="00AA1B0A">
              <w:t xml:space="preserve"> million</w:t>
            </w:r>
            <w:r>
              <w:t xml:space="preserve"> ($2016-17)</w:t>
            </w:r>
            <w:r w:rsidR="005D7697">
              <w:t>, excluding overheads</w:t>
            </w:r>
            <w:r w:rsidRPr="00AA1B0A">
              <w:t>. In particular, on</w:t>
            </w:r>
            <w:r w:rsidR="00A95109">
              <w:t xml:space="preserve"> the basis that AusNet Services</w:t>
            </w:r>
            <w:r w:rsidRPr="00AA1B0A">
              <w:t xml:space="preserve"> has overestimated safety risk and project costs we consider that a lower amount of capex is prudent and efficient. We have instead included in our substitute estimate of overall total capex an amount of $</w:t>
            </w:r>
            <w:r w:rsidR="005D7697">
              <w:t>56.9</w:t>
            </w:r>
            <w:r w:rsidR="00551606">
              <w:t xml:space="preserve"> </w:t>
            </w:r>
            <w:r w:rsidRPr="00AA1B0A">
              <w:t xml:space="preserve">million ($2016-17) for repex related to </w:t>
            </w:r>
            <w:r>
              <w:t>safety security and compliance.</w:t>
            </w:r>
          </w:p>
        </w:tc>
      </w:tr>
      <w:tr w:rsidR="007E7E31" w:rsidRPr="007B6ABF" w:rsidTr="007B6ABF">
        <w:tc>
          <w:tcPr>
            <w:tcW w:w="2332" w:type="dxa"/>
          </w:tcPr>
          <w:p w:rsidR="007E7E31" w:rsidRPr="007B6ABF" w:rsidRDefault="007E7E31" w:rsidP="007B6ABF">
            <w:r w:rsidRPr="007B6ABF">
              <w:t>Non-network capex</w:t>
            </w:r>
          </w:p>
        </w:tc>
        <w:tc>
          <w:tcPr>
            <w:tcW w:w="6361" w:type="dxa"/>
          </w:tcPr>
          <w:p w:rsidR="00AA1B0A" w:rsidRPr="00AA1B0A" w:rsidRDefault="00AA1B0A" w:rsidP="00AA1B0A">
            <w:r>
              <w:t>We do not accept AusNet Services' f</w:t>
            </w:r>
            <w:r w:rsidR="00CA0BE7">
              <w:t>ore</w:t>
            </w:r>
            <w:r w:rsidR="00165E35">
              <w:t>cast non-network capex of $105.8</w:t>
            </w:r>
            <w:r>
              <w:t xml:space="preserve"> million ($2016-17)</w:t>
            </w:r>
            <w:r w:rsidR="005D7697">
              <w:t>, excluding overheads</w:t>
            </w:r>
            <w:r>
              <w:t xml:space="preserve">. </w:t>
            </w:r>
            <w:r w:rsidRPr="00AA1B0A">
              <w:t>We have instead included an amount of $</w:t>
            </w:r>
            <w:r w:rsidR="007F7504">
              <w:t>99.4</w:t>
            </w:r>
            <w:r w:rsidR="00165E35">
              <w:t> </w:t>
            </w:r>
            <w:r>
              <w:t>million ($2016-17</w:t>
            </w:r>
            <w:r w:rsidRPr="00AA1B0A">
              <w:t>).</w:t>
            </w:r>
          </w:p>
          <w:p w:rsidR="007E7E31" w:rsidRPr="007B6ABF" w:rsidRDefault="00AA1B0A" w:rsidP="00503A90">
            <w:r>
              <w:lastRenderedPageBreak/>
              <w:t>We accept AusNet Services' forecasts for motor vehicles and buildings and property capex as reasonably reflecting required expenditure in these categories. We do not accept AusNet Services' forecast for I</w:t>
            </w:r>
            <w:r w:rsidR="00043571">
              <w:t>C</w:t>
            </w:r>
            <w:r>
              <w:t xml:space="preserve">T capex. In our view, AusNet Services' IT forecast does not reflect the efficient costs of a prudent operator. We consider that </w:t>
            </w:r>
            <w:r w:rsidR="00503A90">
              <w:t xml:space="preserve">AusNet Services has not supported </w:t>
            </w:r>
            <w:r>
              <w:t xml:space="preserve">some elements of </w:t>
            </w:r>
            <w:r w:rsidR="00503A90">
              <w:t xml:space="preserve">its </w:t>
            </w:r>
            <w:r w:rsidR="00043571">
              <w:t xml:space="preserve">forecast </w:t>
            </w:r>
            <w:r w:rsidR="00503A90">
              <w:t>either with</w:t>
            </w:r>
            <w:r w:rsidR="00A87EB4">
              <w:t xml:space="preserve"> business cases or </w:t>
            </w:r>
            <w:r w:rsidR="00503A90">
              <w:t xml:space="preserve">other </w:t>
            </w:r>
            <w:r w:rsidR="00A87EB4">
              <w:t>supporting information.</w:t>
            </w:r>
          </w:p>
        </w:tc>
      </w:tr>
      <w:tr w:rsidR="005C3DB4" w:rsidRPr="007B6ABF" w:rsidTr="007B6ABF">
        <w:trPr>
          <w:cnfStyle w:val="000000010000" w:firstRow="0" w:lastRow="0" w:firstColumn="0" w:lastColumn="0" w:oddVBand="0" w:evenVBand="0" w:oddHBand="0" w:evenHBand="1" w:firstRowFirstColumn="0" w:firstRowLastColumn="0" w:lastRowFirstColumn="0" w:lastRowLastColumn="0"/>
        </w:trPr>
        <w:tc>
          <w:tcPr>
            <w:tcW w:w="2332" w:type="dxa"/>
          </w:tcPr>
          <w:p w:rsidR="005C3DB4" w:rsidRDefault="005C3DB4" w:rsidP="007B6ABF">
            <w:r>
              <w:lastRenderedPageBreak/>
              <w:t>Capitalised overheads</w:t>
            </w:r>
          </w:p>
        </w:tc>
        <w:tc>
          <w:tcPr>
            <w:tcW w:w="6361" w:type="dxa"/>
          </w:tcPr>
          <w:p w:rsidR="005C3DB4" w:rsidRPr="005C3DB4" w:rsidRDefault="005C3DB4" w:rsidP="005C3DB4">
            <w:r w:rsidRPr="00B77E92">
              <w:t xml:space="preserve">We do </w:t>
            </w:r>
            <w:r w:rsidRPr="005C3DB4">
              <w:t>not accept AusNet Services' proposed forecast of capitalised overheads of $</w:t>
            </w:r>
            <w:r w:rsidR="00CA0BE7">
              <w:t>56.</w:t>
            </w:r>
            <w:r w:rsidR="005D7697">
              <w:t>5</w:t>
            </w:r>
            <w:r>
              <w:t xml:space="preserve"> million ($2016-17</w:t>
            </w:r>
            <w:r w:rsidRPr="005C3DB4">
              <w:t>). We have instead included in our substitute estimate of overall total capex an amount of $</w:t>
            </w:r>
            <w:r w:rsidR="007F7504">
              <w:t>52.4</w:t>
            </w:r>
            <w:r>
              <w:t xml:space="preserve"> million ($2016-17</w:t>
            </w:r>
            <w:r w:rsidRPr="005C3DB4">
              <w:t xml:space="preserve">) for capitalised overheads. </w:t>
            </w:r>
          </w:p>
          <w:p w:rsidR="005C3DB4" w:rsidRPr="007B6ABF" w:rsidRDefault="005C3DB4" w:rsidP="005C3DB4">
            <w:r w:rsidRPr="00B77E92">
              <w:t xml:space="preserve">We reduced </w:t>
            </w:r>
            <w:r w:rsidRPr="005C3DB4">
              <w:t>AusNet Services' capitalised overheads to reflect the reductions we made to their total capex forecast, particularly those components with overheads</w:t>
            </w:r>
          </w:p>
        </w:tc>
      </w:tr>
      <w:tr w:rsidR="00AA77F2" w:rsidRPr="007B6ABF" w:rsidTr="007B6ABF">
        <w:tc>
          <w:tcPr>
            <w:tcW w:w="2332" w:type="dxa"/>
          </w:tcPr>
          <w:p w:rsidR="00AA77F2" w:rsidRPr="007B6ABF" w:rsidRDefault="005C3DB4" w:rsidP="00C86188">
            <w:r>
              <w:t xml:space="preserve">Real </w:t>
            </w:r>
            <w:r w:rsidR="00AA77F2">
              <w:t>cost escalators</w:t>
            </w:r>
          </w:p>
        </w:tc>
        <w:tc>
          <w:tcPr>
            <w:tcW w:w="6361" w:type="dxa"/>
          </w:tcPr>
          <w:p w:rsidR="005C3DB4" w:rsidRPr="005C3DB4" w:rsidRDefault="005C3DB4" w:rsidP="005C3DB4">
            <w:r>
              <w:t>W</w:t>
            </w:r>
            <w:r w:rsidRPr="005C3DB4">
              <w:t>e are sat</w:t>
            </w:r>
            <w:r w:rsidR="004738EC">
              <w:t xml:space="preserve">isfied AusNet Services' </w:t>
            </w:r>
            <w:r w:rsidR="00DA08C6">
              <w:t>proposed</w:t>
            </w:r>
            <w:r w:rsidR="004738EC">
              <w:t xml:space="preserve"> real labour cost escalat</w:t>
            </w:r>
            <w:r w:rsidR="00DA08C6">
              <w:t>ors</w:t>
            </w:r>
            <w:r w:rsidRPr="005C3DB4">
              <w:t xml:space="preserve"> which form part of its total forecast capex reasonably reflect a realistic expectation of the cost inputs required to achieve th</w:t>
            </w:r>
            <w:r>
              <w:t>e capex objectives over the 2017–22</w:t>
            </w:r>
            <w:r w:rsidRPr="005C3DB4">
              <w:t xml:space="preserve"> regulatory period. </w:t>
            </w:r>
            <w:r w:rsidR="00D51C34">
              <w:t>AusNet Services' forecast</w:t>
            </w:r>
            <w:r w:rsidR="004738EC">
              <w:t xml:space="preserve"> methodology</w:t>
            </w:r>
            <w:r w:rsidR="00D51C34">
              <w:t xml:space="preserve"> is consistent with our approach in our recent Victorian distribution determinations</w:t>
            </w:r>
            <w:r w:rsidR="00DA08C6">
              <w:t xml:space="preserve"> and our updated forecasts</w:t>
            </w:r>
            <w:r w:rsidR="000C4A38">
              <w:t>. We will</w:t>
            </w:r>
            <w:r w:rsidR="00D51C34">
              <w:t xml:space="preserve"> </w:t>
            </w:r>
            <w:r w:rsidR="00DA08C6">
              <w:t>consider updating</w:t>
            </w:r>
            <w:r w:rsidR="00D51C34">
              <w:t xml:space="preserve"> these fore</w:t>
            </w:r>
            <w:r w:rsidR="004738EC">
              <w:t>casts for the latest available data</w:t>
            </w:r>
            <w:r w:rsidR="00D51C34">
              <w:t xml:space="preserve"> as part of our final decision.  </w:t>
            </w:r>
            <w:r w:rsidRPr="005C3DB4">
              <w:t>We discuss our assessment of forecast our labour price growth for AusNet Services in attachment 7.</w:t>
            </w:r>
          </w:p>
          <w:p w:rsidR="00C86188" w:rsidRPr="007B6ABF" w:rsidRDefault="00C86188" w:rsidP="00A85EAE">
            <w:r>
              <w:t xml:space="preserve">AusNet Services has also used CPI estimates to </w:t>
            </w:r>
            <w:r w:rsidR="00064F1D">
              <w:t>represent</w:t>
            </w:r>
            <w:r>
              <w:t xml:space="preserve"> its capex forecast</w:t>
            </w:r>
            <w:r w:rsidR="00064F1D">
              <w:t xml:space="preserve"> in 2016</w:t>
            </w:r>
            <w:r w:rsidR="00B04700">
              <w:noBreakHyphen/>
            </w:r>
            <w:r w:rsidR="00064F1D">
              <w:t>17 dollars</w:t>
            </w:r>
            <w:r>
              <w:t>. We substituted these estimates for the actual CPI. This has reduced AusNet Services' forecast capex by $13</w:t>
            </w:r>
            <w:r w:rsidR="0006611A">
              <w:t>.3</w:t>
            </w:r>
            <w:r>
              <w:t xml:space="preserve"> million over the 2017-22 regulatory control </w:t>
            </w:r>
            <w:proofErr w:type="gramStart"/>
            <w:r>
              <w:t>period</w:t>
            </w:r>
            <w:proofErr w:type="gramEnd"/>
            <w:r>
              <w:t>.</w:t>
            </w:r>
            <w:r w:rsidR="00880C9E">
              <w:t xml:space="preserve"> </w:t>
            </w:r>
            <w:r>
              <w:t xml:space="preserve">AusNet Services has not </w:t>
            </w:r>
            <w:r w:rsidR="00CE3D57">
              <w:t>proposed</w:t>
            </w:r>
            <w:r>
              <w:t xml:space="preserve"> </w:t>
            </w:r>
            <w:r w:rsidR="00CE3D57">
              <w:t xml:space="preserve">to apply </w:t>
            </w:r>
            <w:r>
              <w:t xml:space="preserve">real cost escalation for materials in its capex forecast. </w:t>
            </w:r>
            <w:r w:rsidR="00503A90">
              <w:t xml:space="preserve">We have accepted this approach.  </w:t>
            </w:r>
          </w:p>
        </w:tc>
      </w:tr>
    </w:tbl>
    <w:p w:rsidR="007E7E31" w:rsidRDefault="00E907E8" w:rsidP="007E7E31">
      <w:pPr>
        <w:rPr>
          <w:rStyle w:val="AERtextsize8"/>
        </w:rPr>
      </w:pPr>
      <w:r w:rsidRPr="00E907E8">
        <w:rPr>
          <w:rStyle w:val="AERtextsize8"/>
        </w:rPr>
        <w:t>Source:</w:t>
      </w:r>
      <w:r w:rsidRPr="00E907E8">
        <w:rPr>
          <w:rStyle w:val="AERtextsize8"/>
        </w:rPr>
        <w:tab/>
        <w:t>AER analysis.</w:t>
      </w:r>
    </w:p>
    <w:p w:rsidR="00EB6123" w:rsidRPr="00EB6123" w:rsidRDefault="00EB6123" w:rsidP="00EB6123">
      <w:r w:rsidRPr="00EB6123">
        <w:t xml:space="preserve">We consider that our overall capex forecast addresses the revenue and pricing principles. In particular, we consider our overall capex forecast provides AusNet Services a reasonable opportunity to recover at least the efficient costs it incurs in: </w:t>
      </w:r>
    </w:p>
    <w:p w:rsidR="00EB6123" w:rsidRPr="00EB6123" w:rsidRDefault="00EB6123" w:rsidP="00EB6123">
      <w:pPr>
        <w:pStyle w:val="AERbulletlistfirststyle"/>
      </w:pPr>
      <w:r w:rsidRPr="00EB6123">
        <w:t>providing direct control network services; and</w:t>
      </w:r>
    </w:p>
    <w:p w:rsidR="00EB6123" w:rsidRPr="00EB6123" w:rsidRDefault="00EB6123" w:rsidP="00EB6123">
      <w:pPr>
        <w:pStyle w:val="AERbulletlistfirststyle"/>
      </w:pPr>
      <w:proofErr w:type="gramStart"/>
      <w:r w:rsidRPr="00EB6123">
        <w:t>complying</w:t>
      </w:r>
      <w:proofErr w:type="gramEnd"/>
      <w:r w:rsidRPr="00EB6123">
        <w:t xml:space="preserve"> with its regulatory obligations and requirements. </w:t>
      </w:r>
    </w:p>
    <w:p w:rsidR="00EB6123" w:rsidRPr="00EB6123" w:rsidRDefault="00751204" w:rsidP="00EB6123">
      <w:r>
        <w:t>W</w:t>
      </w:r>
      <w:r w:rsidR="00EB6123" w:rsidRPr="00EB6123">
        <w:t xml:space="preserve">e are satisfied that our overall capex forecast is consistent with the national electricity objective (NEO). We consider our decision promotes efficient investment in, and efficient operation and use of, electricity services for the long term interests of consumers of electricity. </w:t>
      </w:r>
    </w:p>
    <w:p w:rsidR="00EB6123" w:rsidRPr="00EB6123" w:rsidRDefault="00EB6123" w:rsidP="00EB6123">
      <w:r w:rsidRPr="00EB6123">
        <w:t>We also consider that overall our capex forecast addresses the c</w:t>
      </w:r>
      <w:r w:rsidR="00751204">
        <w:t xml:space="preserve">apital expenditure objectives. </w:t>
      </w:r>
      <w:r w:rsidRPr="00EB6123">
        <w:t>In making our preliminary decision, we specifically considered the impact our decision will have on the safety and reliability of AusNet Services' network. We consider this capex forecast should be sufficient for a prudent and efficient service provider in AusNet Services' circumstances to be able to maintain the safety, service quality, security and reliability of its network consistent with its current obligations.</w:t>
      </w:r>
    </w:p>
    <w:p w:rsidR="00DE563D" w:rsidRPr="001754EE" w:rsidRDefault="000B321F" w:rsidP="001754EE">
      <w:pPr>
        <w:pStyle w:val="Heading2"/>
      </w:pPr>
      <w:bookmarkStart w:id="17" w:name="_Toc403144137"/>
      <w:bookmarkStart w:id="18" w:name="_Toc456608778"/>
      <w:r>
        <w:t>AusNet Services</w:t>
      </w:r>
      <w:r w:rsidR="00415F31" w:rsidRPr="001754EE">
        <w:t>’</w:t>
      </w:r>
      <w:r w:rsidR="00DE563D" w:rsidRPr="001754EE">
        <w:t xml:space="preserve"> proposal</w:t>
      </w:r>
      <w:bookmarkEnd w:id="17"/>
      <w:bookmarkEnd w:id="18"/>
    </w:p>
    <w:p w:rsidR="008618E0" w:rsidRPr="00472ABE" w:rsidRDefault="008618E0" w:rsidP="008618E0">
      <w:bookmarkStart w:id="19" w:name="_Toc403144138"/>
      <w:r w:rsidRPr="00472ABE">
        <w:t>AusNet Services prop</w:t>
      </w:r>
      <w:r>
        <w:t>osed total forecast capex of $745.6 million ($2016–17) for</w:t>
      </w:r>
      <w:r w:rsidR="00E54AAE">
        <w:t xml:space="preserve"> the 2017–22 regulatory control </w:t>
      </w:r>
      <w:proofErr w:type="gramStart"/>
      <w:r>
        <w:t>period</w:t>
      </w:r>
      <w:proofErr w:type="gramEnd"/>
      <w:r>
        <w:t xml:space="preserve">. </w:t>
      </w:r>
      <w:r w:rsidRPr="00472ABE">
        <w:t>This</w:t>
      </w:r>
      <w:r>
        <w:t xml:space="preserve"> is $85.2 million ($2016–17</w:t>
      </w:r>
      <w:r w:rsidRPr="00472ABE">
        <w:t xml:space="preserve">) </w:t>
      </w:r>
      <w:r>
        <w:t xml:space="preserve">or 10 per cent </w:t>
      </w:r>
      <w:r w:rsidRPr="00472ABE">
        <w:t>below Aus</w:t>
      </w:r>
      <w:r>
        <w:t>Net Services' actual and estimated capex of $830.8</w:t>
      </w:r>
      <w:r w:rsidR="00E54AAE">
        <w:t xml:space="preserve"> million</w:t>
      </w:r>
      <w:r w:rsidRPr="00472ABE">
        <w:t xml:space="preserve"> for the </w:t>
      </w:r>
      <w:r>
        <w:t xml:space="preserve">2012–17 </w:t>
      </w:r>
      <w:proofErr w:type="gramStart"/>
      <w:r w:rsidRPr="00472ABE">
        <w:t>period</w:t>
      </w:r>
      <w:proofErr w:type="gramEnd"/>
      <w:r w:rsidRPr="00472ABE">
        <w:t xml:space="preserve">. </w:t>
      </w:r>
    </w:p>
    <w:p w:rsidR="008618E0" w:rsidRPr="00472ABE" w:rsidRDefault="006E5D6B" w:rsidP="008618E0">
      <w:r>
        <w:lastRenderedPageBreak/>
        <w:t xml:space="preserve">AusNet Services' capex forecast relates to only replacement of </w:t>
      </w:r>
      <w:r w:rsidR="00A95109">
        <w:t>network assets. AusNet Services</w:t>
      </w:r>
      <w:r w:rsidR="0029629D">
        <w:t>'</w:t>
      </w:r>
      <w:r>
        <w:t xml:space="preserve"> has not proposed augmentation related capex as AEMO is responsible for the planning and procuring augmentation of AusNet Services' </w:t>
      </w:r>
      <w:r w:rsidR="006E248A">
        <w:t xml:space="preserve">shared </w:t>
      </w:r>
      <w:r>
        <w:t>transmission network.</w:t>
      </w:r>
      <w:r w:rsidR="00F41792">
        <w:t xml:space="preserve"> </w:t>
      </w:r>
      <w:r w:rsidR="006E248A" w:rsidRPr="00472ABE">
        <w:t>Using its own capex categorisation, AusNet Services</w:t>
      </w:r>
      <w:r w:rsidR="006E248A">
        <w:t>'</w:t>
      </w:r>
      <w:r w:rsidR="006E248A" w:rsidRPr="00472ABE">
        <w:t xml:space="preserve"> </w:t>
      </w:r>
      <w:r w:rsidR="006E248A">
        <w:t>proposed</w:t>
      </w:r>
      <w:r w:rsidR="006E248A" w:rsidRPr="00472ABE">
        <w:t xml:space="preserve"> expenditure on </w:t>
      </w:r>
      <w:r w:rsidR="006E248A">
        <w:t xml:space="preserve">major station rebuilds </w:t>
      </w:r>
      <w:r w:rsidR="006E248A" w:rsidRPr="00472ABE">
        <w:t>is a major driver of its capex forecast</w:t>
      </w:r>
      <w:r w:rsidR="006E248A">
        <w:t xml:space="preserve"> and the profile of its forecast, accounting for around 42 per cent of its capex forecast</w:t>
      </w:r>
      <w:r w:rsidR="006E248A" w:rsidRPr="00472ABE">
        <w:t>.</w:t>
      </w:r>
      <w:r w:rsidR="00704ABE">
        <w:rPr>
          <w:rStyle w:val="FootnoteReference"/>
        </w:rPr>
        <w:footnoteReference w:id="2"/>
      </w:r>
      <w:r w:rsidR="006E248A">
        <w:t xml:space="preserve"> </w:t>
      </w:r>
      <w:r w:rsidR="008618E0">
        <w:t xml:space="preserve">Asset replacement programs addressing specific plant items or </w:t>
      </w:r>
      <w:r>
        <w:t xml:space="preserve">asset condition issues for particular types of assets (e.g. circuit breakers) </w:t>
      </w:r>
      <w:r w:rsidR="008618E0">
        <w:t>is the next largest category</w:t>
      </w:r>
      <w:r w:rsidR="008618E0" w:rsidRPr="00472ABE">
        <w:t>,</w:t>
      </w:r>
      <w:r w:rsidR="008618E0">
        <w:t xml:space="preserve"> accounting for approximately 34 per cent</w:t>
      </w:r>
      <w:r w:rsidR="008618E0" w:rsidRPr="00472ABE">
        <w:t xml:space="preserve"> of total forecast capex.</w:t>
      </w:r>
      <w:r w:rsidR="00CA0BE7">
        <w:rPr>
          <w:rStyle w:val="FootnoteReference"/>
        </w:rPr>
        <w:footnoteReference w:id="3"/>
      </w:r>
      <w:r w:rsidR="008618E0" w:rsidRPr="00472ABE">
        <w:t xml:space="preserve"> </w:t>
      </w:r>
    </w:p>
    <w:p w:rsidR="008618E0" w:rsidRDefault="00327273" w:rsidP="008618E0">
      <w:fldSimple w:instr=" REF _Ref453680268 ">
        <w:r w:rsidR="00C60946">
          <w:t xml:space="preserve">Figure </w:t>
        </w:r>
        <w:r w:rsidR="00C60946">
          <w:rPr>
            <w:noProof/>
          </w:rPr>
          <w:t>6</w:t>
        </w:r>
        <w:r w:rsidR="00C60946">
          <w:t>.</w:t>
        </w:r>
        <w:r w:rsidR="00C60946">
          <w:rPr>
            <w:noProof/>
          </w:rPr>
          <w:t>1</w:t>
        </w:r>
      </w:fldSimple>
      <w:r w:rsidR="00633226">
        <w:t xml:space="preserve"> </w:t>
      </w:r>
      <w:r w:rsidR="008618E0" w:rsidRPr="00472ABE">
        <w:t>shows AusNet Services' forecast</w:t>
      </w:r>
      <w:r w:rsidR="008618E0">
        <w:t xml:space="preserve"> capex for each year of the 2017–22</w:t>
      </w:r>
      <w:r w:rsidR="008618E0" w:rsidRPr="00472ABE">
        <w:t xml:space="preserve"> regulatory control </w:t>
      </w:r>
      <w:proofErr w:type="gramStart"/>
      <w:r w:rsidR="008618E0" w:rsidRPr="00472ABE">
        <w:t>period</w:t>
      </w:r>
      <w:proofErr w:type="gramEnd"/>
      <w:r w:rsidR="008618E0" w:rsidRPr="00472ABE">
        <w:t>. It also shows AusNet Services' actual</w:t>
      </w:r>
      <w:r w:rsidR="008618E0">
        <w:t xml:space="preserve"> capex for each year of the 2012–17</w:t>
      </w:r>
      <w:r w:rsidR="008618E0" w:rsidRPr="00472ABE">
        <w:t xml:space="preserve"> </w:t>
      </w:r>
      <w:proofErr w:type="gramStart"/>
      <w:r w:rsidR="008618E0" w:rsidRPr="00472ABE">
        <w:t>period</w:t>
      </w:r>
      <w:proofErr w:type="gramEnd"/>
      <w:r w:rsidR="008618E0" w:rsidRPr="00472ABE">
        <w:t>.</w:t>
      </w:r>
    </w:p>
    <w:p w:rsidR="008618E0" w:rsidRDefault="00633226" w:rsidP="00633226">
      <w:pPr>
        <w:pStyle w:val="Caption"/>
      </w:pPr>
      <w:bookmarkStart w:id="20" w:name="_Ref453680268"/>
      <w:proofErr w:type="gramStart"/>
      <w:r>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1</w:t>
      </w:r>
      <w:r w:rsidR="00735181">
        <w:rPr>
          <w:noProof/>
        </w:rPr>
        <w:fldChar w:fldCharType="end"/>
      </w:r>
      <w:bookmarkEnd w:id="20"/>
      <w:r w:rsidR="008618E0">
        <w:tab/>
        <w:t xml:space="preserve">AusNet Services' total actual and forecast capex </w:t>
      </w:r>
    </w:p>
    <w:p w:rsidR="008618E0" w:rsidRDefault="00E872B8" w:rsidP="008618E0">
      <w:r>
        <w:rPr>
          <w:noProof/>
          <w:lang w:eastAsia="en-AU"/>
        </w:rPr>
        <w:drawing>
          <wp:inline distT="0" distB="0" distL="0" distR="0" wp14:anchorId="685C5751" wp14:editId="398E9A5D">
            <wp:extent cx="5824800" cy="3492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4800" cy="3492000"/>
                    </a:xfrm>
                    <a:prstGeom prst="rect">
                      <a:avLst/>
                    </a:prstGeom>
                    <a:noFill/>
                  </pic:spPr>
                </pic:pic>
              </a:graphicData>
            </a:graphic>
          </wp:inline>
        </w:drawing>
      </w:r>
    </w:p>
    <w:p w:rsidR="008618E0" w:rsidRPr="00AD3221" w:rsidRDefault="008618E0" w:rsidP="008618E0">
      <w:pPr>
        <w:pStyle w:val="AERtablesource"/>
      </w:pPr>
      <w:r w:rsidRPr="00AD3221">
        <w:t>Source:</w:t>
      </w:r>
      <w:r w:rsidRPr="00AD3221">
        <w:tab/>
        <w:t>AER analysis.</w:t>
      </w:r>
    </w:p>
    <w:p w:rsidR="00DE563D" w:rsidRDefault="00DE563D" w:rsidP="00165E35">
      <w:pPr>
        <w:pStyle w:val="Heading2"/>
      </w:pPr>
      <w:bookmarkStart w:id="21" w:name="_Ref448499467"/>
      <w:bookmarkStart w:id="22" w:name="_Toc456608779"/>
      <w:r w:rsidRPr="00165E35">
        <w:t>AER’s</w:t>
      </w:r>
      <w:r>
        <w:t xml:space="preserve"> assessment approach</w:t>
      </w:r>
      <w:bookmarkEnd w:id="19"/>
      <w:bookmarkEnd w:id="21"/>
      <w:bookmarkEnd w:id="22"/>
    </w:p>
    <w:p w:rsidR="00A34664" w:rsidRPr="00774ECB" w:rsidRDefault="00A34664" w:rsidP="00A34664">
      <w:pPr>
        <w:numPr>
          <w:ilvl w:val="0"/>
          <w:numId w:val="25"/>
        </w:numPr>
      </w:pPr>
      <w:r w:rsidRPr="00774ECB">
        <w:t xml:space="preserve">This section outlines our approach to capex assessments. It sets out the relevant legislative and rule requirements, </w:t>
      </w:r>
      <w:r>
        <w:t xml:space="preserve">and </w:t>
      </w:r>
      <w:r w:rsidRPr="00774ECB">
        <w:t>out</w:t>
      </w:r>
      <w:r>
        <w:t>lines our assessment techniques. It also</w:t>
      </w:r>
      <w:r w:rsidRPr="00774ECB">
        <w:t xml:space="preserve"> explains how we </w:t>
      </w:r>
      <w:r>
        <w:t>derive</w:t>
      </w:r>
      <w:r w:rsidRPr="00774ECB">
        <w:t xml:space="preserve"> an alternative estimate of total forecast capex against wh</w:t>
      </w:r>
      <w:r>
        <w:t xml:space="preserve">ich </w:t>
      </w:r>
      <w:r>
        <w:lastRenderedPageBreak/>
        <w:t xml:space="preserve">we compare </w:t>
      </w:r>
      <w:r w:rsidRPr="00774ECB">
        <w:t>the service provider</w:t>
      </w:r>
      <w:r>
        <w:t>'s total forecast capex</w:t>
      </w:r>
      <w:r w:rsidRPr="00774ECB">
        <w:t xml:space="preserve">. The information </w:t>
      </w:r>
      <w:r>
        <w:t xml:space="preserve">AusNet Services </w:t>
      </w:r>
      <w:r w:rsidRPr="00774ECB">
        <w:t xml:space="preserve">provided in its </w:t>
      </w:r>
      <w:r w:rsidR="00D032C2">
        <w:t>revenue</w:t>
      </w:r>
      <w:r w:rsidR="00D032C2" w:rsidRPr="00774ECB">
        <w:t xml:space="preserve"> </w:t>
      </w:r>
      <w:r w:rsidRPr="00774ECB">
        <w:t>proposal, including its response to our RIN, is a</w:t>
      </w:r>
      <w:r w:rsidR="00D032C2">
        <w:t>n important</w:t>
      </w:r>
      <w:r>
        <w:t xml:space="preserve"> part of our assessment. We have also taken</w:t>
      </w:r>
      <w:r w:rsidRPr="00774ECB">
        <w:t xml:space="preserve"> into account information that </w:t>
      </w:r>
      <w:r w:rsidR="00A95109">
        <w:t>AusNet Services</w:t>
      </w:r>
      <w:r w:rsidR="00D032C2" w:rsidRPr="00774ECB">
        <w:t xml:space="preserve"> </w:t>
      </w:r>
      <w:r w:rsidRPr="00774ECB">
        <w:t>provided in response to our information requests, and submissions from stakeholders.</w:t>
      </w:r>
    </w:p>
    <w:p w:rsidR="00A34664" w:rsidRPr="00774ECB" w:rsidRDefault="00A34664" w:rsidP="00A34664">
      <w:pPr>
        <w:numPr>
          <w:ilvl w:val="0"/>
          <w:numId w:val="25"/>
        </w:numPr>
      </w:pPr>
      <w:r w:rsidRPr="00774ECB">
        <w:t xml:space="preserve">Our assessment approach involves </w:t>
      </w:r>
      <w:r>
        <w:t>the following</w:t>
      </w:r>
      <w:r w:rsidRPr="00774ECB">
        <w:t xml:space="preserve"> steps:</w:t>
      </w:r>
    </w:p>
    <w:p w:rsidR="00A34664" w:rsidRPr="00774ECB" w:rsidRDefault="00A34664" w:rsidP="00A34664">
      <w:pPr>
        <w:pStyle w:val="AERbulletlistfirststyle"/>
      </w:pPr>
      <w:r>
        <w:t>O</w:t>
      </w:r>
      <w:r w:rsidRPr="00774ECB">
        <w:t xml:space="preserve">ur starting point is </w:t>
      </w:r>
      <w:r>
        <w:t>AusNet Services' revenue</w:t>
      </w:r>
      <w:r w:rsidRPr="00774ECB">
        <w:t xml:space="preserve"> proposal.</w:t>
      </w:r>
      <w:r>
        <w:rPr>
          <w:rStyle w:val="FootnoteReference"/>
        </w:rPr>
        <w:footnoteReference w:id="4"/>
      </w:r>
      <w:r w:rsidRPr="00774ECB">
        <w:t xml:space="preserve"> We apply our various assessment techniques, both qualitative and quantitative, to assess the different elements of </w:t>
      </w:r>
      <w:r>
        <w:t>AusNet Services'</w:t>
      </w:r>
      <w:r w:rsidRPr="00774ECB">
        <w:t xml:space="preserve"> proposal</w:t>
      </w:r>
      <w:r>
        <w:t xml:space="preserve">. </w:t>
      </w:r>
      <w:r w:rsidRPr="00774ECB">
        <w:t xml:space="preserve">This analysis informs our view on whether </w:t>
      </w:r>
      <w:r>
        <w:t>AusNet Services'</w:t>
      </w:r>
      <w:r w:rsidRPr="00774ECB">
        <w:t xml:space="preserve"> proposal reasonably reflects the capex criteria set out in the NER</w:t>
      </w:r>
      <w:r>
        <w:t>.</w:t>
      </w:r>
      <w:r w:rsidRPr="00A81D13">
        <w:rPr>
          <w:rStyle w:val="FootnoteReference"/>
        </w:rPr>
        <w:footnoteReference w:id="5"/>
      </w:r>
      <w:r>
        <w:t xml:space="preserve"> It</w:t>
      </w:r>
      <w:r w:rsidRPr="00774ECB">
        <w:t xml:space="preserve"> also provides us with an alternative forecast that </w:t>
      </w:r>
      <w:r>
        <w:t xml:space="preserve">we consider </w:t>
      </w:r>
      <w:r w:rsidRPr="00774ECB">
        <w:t>meet</w:t>
      </w:r>
      <w:r>
        <w:t>s</w:t>
      </w:r>
      <w:r w:rsidRPr="00774ECB">
        <w:t xml:space="preserve"> the criteria. In arriving at our alternative estimate, we </w:t>
      </w:r>
      <w:r>
        <w:t>weight the various techniques</w:t>
      </w:r>
      <w:r w:rsidRPr="007A546E">
        <w:t xml:space="preserve"> used in our assessment. We give more weight to techniques we consider are more robust in the particular circumstances of the assessment.</w:t>
      </w:r>
    </w:p>
    <w:p w:rsidR="00A34664" w:rsidRPr="00774ECB" w:rsidRDefault="00A34664" w:rsidP="00A34664">
      <w:pPr>
        <w:pStyle w:val="AERbulletlistfirststyle"/>
      </w:pPr>
      <w:r>
        <w:t>H</w:t>
      </w:r>
      <w:r w:rsidRPr="00774ECB">
        <w:t xml:space="preserve">aving established our alternative estimate of the </w:t>
      </w:r>
      <w:r w:rsidRPr="007A546E">
        <w:rPr>
          <w:rStyle w:val="AERtextitalic"/>
        </w:rPr>
        <w:t>total</w:t>
      </w:r>
      <w:r w:rsidRPr="00774ECB">
        <w:t xml:space="preserve"> forecast capex, we can test</w:t>
      </w:r>
      <w:r>
        <w:t xml:space="preserve"> the service provider's</w:t>
      </w:r>
      <w:r w:rsidRPr="00774ECB">
        <w:t xml:space="preserve"> total forecast capex. This includes comparing our alternative estimate total with the ser</w:t>
      </w:r>
      <w:r>
        <w:t>vice provider's total forecast capex and what the reasons for any differences are.</w:t>
      </w:r>
      <w:r w:rsidRPr="00774ECB">
        <w:t xml:space="preserve"> If there is a difference between the two, we may need to exercise our judgement as to what is a reasonable margin of difference.</w:t>
      </w:r>
    </w:p>
    <w:p w:rsidR="00A34664" w:rsidRPr="007A546E" w:rsidRDefault="00A34664" w:rsidP="00A34664">
      <w:proofErr w:type="gramStart"/>
      <w:r w:rsidRPr="00774ECB">
        <w:t>If we are satisfied that the service provider's proposal reasonably reflects the capex criteria</w:t>
      </w:r>
      <w:r>
        <w:t xml:space="preserve"> in meeting the capex objectives, we accept it.</w:t>
      </w:r>
      <w:proofErr w:type="gramEnd"/>
      <w:r>
        <w:t xml:space="preserve"> </w:t>
      </w:r>
      <w:r w:rsidRPr="007A546E">
        <w:t>The capital expenditure objectives (capex objectives) re</w:t>
      </w:r>
      <w:r>
        <w:t>ferred to in the capex criteria</w:t>
      </w:r>
      <w:r w:rsidRPr="007A546E">
        <w:t xml:space="preserve"> are to:</w:t>
      </w:r>
      <w:r>
        <w:rPr>
          <w:rStyle w:val="FootnoteReference"/>
        </w:rPr>
        <w:footnoteReference w:id="6"/>
      </w:r>
      <w:r w:rsidRPr="007A546E">
        <w:t xml:space="preserve"> </w:t>
      </w:r>
    </w:p>
    <w:p w:rsidR="00A34664" w:rsidRPr="007A546E" w:rsidRDefault="00A34664" w:rsidP="00A34664">
      <w:pPr>
        <w:pStyle w:val="AERbulletlistfirststyle"/>
      </w:pPr>
      <w:r w:rsidRPr="007A546E">
        <w:t xml:space="preserve">meet or manage the expected demand for </w:t>
      </w:r>
      <w:r>
        <w:t>prescribed transmission</w:t>
      </w:r>
      <w:r w:rsidRPr="007A546E">
        <w:t xml:space="preserve"> services over the period</w:t>
      </w:r>
    </w:p>
    <w:p w:rsidR="00A34664" w:rsidRPr="007A546E" w:rsidRDefault="00A34664" w:rsidP="00A34664">
      <w:pPr>
        <w:pStyle w:val="AERbulletlistfirststyle"/>
      </w:pPr>
      <w:r w:rsidRPr="007A546E">
        <w:t xml:space="preserve">comply with all regulatory obligations or requirements associated with the provision of </w:t>
      </w:r>
      <w:r>
        <w:t>prescribed transmission</w:t>
      </w:r>
      <w:r w:rsidRPr="007A546E">
        <w:t xml:space="preserve"> services</w:t>
      </w:r>
    </w:p>
    <w:p w:rsidR="00A34664" w:rsidRPr="007A546E" w:rsidRDefault="00A34664" w:rsidP="00A34664">
      <w:pPr>
        <w:pStyle w:val="AERbulletlistfirststyle"/>
      </w:pPr>
      <w:r w:rsidRPr="007A546E">
        <w:t xml:space="preserve">to the extent that there are no such obligations or requirements, maintain service quality, reliability and security of supply of </w:t>
      </w:r>
      <w:r>
        <w:t>prescribed transmission</w:t>
      </w:r>
      <w:r w:rsidRPr="007A546E">
        <w:t xml:space="preserve"> services and maintain the reliability </w:t>
      </w:r>
      <w:r>
        <w:t>and security of the transmission</w:t>
      </w:r>
      <w:r w:rsidRPr="007A546E">
        <w:t xml:space="preserve"> system</w:t>
      </w:r>
    </w:p>
    <w:p w:rsidR="00A34664" w:rsidRDefault="00A34664" w:rsidP="00A34664">
      <w:pPr>
        <w:pStyle w:val="AERbulletlistfirststyle"/>
      </w:pPr>
      <w:proofErr w:type="gramStart"/>
      <w:r w:rsidRPr="007A546E">
        <w:t>maintain</w:t>
      </w:r>
      <w:proofErr w:type="gramEnd"/>
      <w:r w:rsidRPr="007A546E">
        <w:t xml:space="preserve"> the safety of the </w:t>
      </w:r>
      <w:r>
        <w:t>transmission</w:t>
      </w:r>
      <w:r w:rsidRPr="007A546E">
        <w:t xml:space="preserve"> system through the supply of </w:t>
      </w:r>
      <w:r>
        <w:t>prescribed transmission</w:t>
      </w:r>
      <w:r w:rsidRPr="007A546E">
        <w:t xml:space="preserve"> services.</w:t>
      </w:r>
    </w:p>
    <w:p w:rsidR="00A34664" w:rsidRPr="00774ECB" w:rsidRDefault="00A34664" w:rsidP="00A34664">
      <w:r w:rsidRPr="00774ECB">
        <w:t>If we are not satisfied, the</w:t>
      </w:r>
      <w:r>
        <w:t xml:space="preserve"> NER</w:t>
      </w:r>
      <w:r w:rsidRPr="00774ECB">
        <w:t xml:space="preserve"> require</w:t>
      </w:r>
      <w:r>
        <w:t>s</w:t>
      </w:r>
      <w:r w:rsidRPr="00774ECB">
        <w:t xml:space="preserve"> us to put in place a substitute estimate which we are satisfied reasonab</w:t>
      </w:r>
      <w:r>
        <w:t>ly reflects the capex criteria.</w:t>
      </w:r>
      <w:r>
        <w:rPr>
          <w:rStyle w:val="FootnoteReference"/>
        </w:rPr>
        <w:footnoteReference w:id="7"/>
      </w:r>
      <w:r w:rsidRPr="00774ECB">
        <w:t xml:space="preserve"> Where we have done this, our substitute estimate is based on our alternative estimate.</w:t>
      </w:r>
    </w:p>
    <w:p w:rsidR="00A34664" w:rsidRPr="00774ECB" w:rsidRDefault="00A34664" w:rsidP="00A34664">
      <w:r w:rsidRPr="00774ECB">
        <w:lastRenderedPageBreak/>
        <w:t>The capex criteria are:</w:t>
      </w:r>
    </w:p>
    <w:p w:rsidR="00A34664" w:rsidRPr="00774ECB" w:rsidRDefault="00A34664" w:rsidP="00A34664">
      <w:pPr>
        <w:pStyle w:val="AERbulletlistfirststyle"/>
      </w:pPr>
      <w:r w:rsidRPr="00774ECB">
        <w:t>the efficient costs of achieving the capital expenditure objectives</w:t>
      </w:r>
    </w:p>
    <w:p w:rsidR="00A34664" w:rsidRPr="00774ECB" w:rsidRDefault="00A34664" w:rsidP="00A34664">
      <w:pPr>
        <w:pStyle w:val="AERbulletlistfirststyle"/>
      </w:pPr>
      <w:r w:rsidRPr="00774ECB">
        <w:t>the costs that a prudent operator would require to achieve the capital expenditure objectives</w:t>
      </w:r>
    </w:p>
    <w:p w:rsidR="00A34664" w:rsidRPr="00774ECB" w:rsidRDefault="00A34664" w:rsidP="00A34664">
      <w:pPr>
        <w:pStyle w:val="AERbulletlistfirststyle"/>
      </w:pPr>
      <w:proofErr w:type="gramStart"/>
      <w:r w:rsidRPr="00774ECB">
        <w:t>a</w:t>
      </w:r>
      <w:proofErr w:type="gramEnd"/>
      <w:r w:rsidRPr="00774ECB">
        <w:t xml:space="preserve"> realistic expectation of the demand forecast and cost inputs required to achieve the capital expenditure objectives.</w:t>
      </w:r>
    </w:p>
    <w:p w:rsidR="00A34664" w:rsidRPr="00774ECB" w:rsidRDefault="00A34664" w:rsidP="00A34664">
      <w:pPr>
        <w:numPr>
          <w:ilvl w:val="0"/>
          <w:numId w:val="25"/>
        </w:numPr>
      </w:pPr>
      <w:r w:rsidRPr="00774ECB">
        <w:t>The AEMC noted that '[t]hese criteria broadly reflect the NEO [National Electricity Objective]'.</w:t>
      </w:r>
      <w:r w:rsidRPr="003B694C">
        <w:rPr>
          <w:rStyle w:val="FootnoteReference"/>
        </w:rPr>
        <w:footnoteReference w:id="8"/>
      </w:r>
      <w:r w:rsidRPr="00774ECB">
        <w:t xml:space="preserve"> Importantly, </w:t>
      </w:r>
      <w:r>
        <w:t>we approve a</w:t>
      </w:r>
      <w:r w:rsidRPr="00774ECB">
        <w:t xml:space="preserve"> total capex forecast </w:t>
      </w:r>
      <w:r>
        <w:t xml:space="preserve">and not </w:t>
      </w:r>
      <w:r w:rsidRPr="00774ECB">
        <w:t>particular categories</w:t>
      </w:r>
      <w:r>
        <w:t>,</w:t>
      </w:r>
      <w:r w:rsidRPr="00774ECB">
        <w:t xml:space="preserve"> projects</w:t>
      </w:r>
      <w:r>
        <w:t xml:space="preserve"> or programs</w:t>
      </w:r>
      <w:r w:rsidRPr="00774ECB">
        <w:t xml:space="preserve"> in the capex forecast. </w:t>
      </w:r>
      <w:r w:rsidRPr="003B694C">
        <w:t xml:space="preserve">Our review of particular categories or projects informs our assessment of the total capex forecast. </w:t>
      </w:r>
      <w:r>
        <w:t>The AEMC stated</w:t>
      </w:r>
      <w:r w:rsidRPr="00774ECB">
        <w:t>:</w:t>
      </w:r>
      <w:r w:rsidRPr="003B694C">
        <w:rPr>
          <w:rStyle w:val="FootnoteReference"/>
        </w:rPr>
        <w:footnoteReference w:id="9"/>
      </w:r>
    </w:p>
    <w:p w:rsidR="00A34664" w:rsidRPr="00774ECB" w:rsidRDefault="00A34664" w:rsidP="00A34664">
      <w:pPr>
        <w:pStyle w:val="AERquoteindent1"/>
      </w:pPr>
      <w:r w:rsidRPr="00774ECB">
        <w:t>It should be noted here that what the AER approves in this context is expenditure allowances, not projects.</w:t>
      </w:r>
    </w:p>
    <w:p w:rsidR="00A34664" w:rsidRPr="00774ECB" w:rsidRDefault="00A34664" w:rsidP="00A34664">
      <w:r w:rsidRPr="00774ECB">
        <w:t xml:space="preserve">In deciding whether we are satisfied that </w:t>
      </w:r>
      <w:r>
        <w:t>AusNet Services'</w:t>
      </w:r>
      <w:r w:rsidRPr="00774ECB">
        <w:t xml:space="preserve"> proposed total forecast capex reasonably reflects the capex criteria, we have regard to the capex factors.</w:t>
      </w:r>
      <w:r>
        <w:rPr>
          <w:rStyle w:val="FootnoteReference"/>
        </w:rPr>
        <w:footnoteReference w:id="10"/>
      </w:r>
      <w:r w:rsidRPr="00774ECB">
        <w:t xml:space="preserve"> </w:t>
      </w:r>
    </w:p>
    <w:p w:rsidR="00A34664" w:rsidRPr="00774ECB" w:rsidRDefault="00A34664" w:rsidP="00A34664">
      <w:r w:rsidRPr="00774ECB">
        <w:t>In taking these factors into account, the AEMC has noted that:</w:t>
      </w:r>
      <w:r w:rsidRPr="003B694C">
        <w:rPr>
          <w:rStyle w:val="FootnoteReference"/>
        </w:rPr>
        <w:footnoteReference w:id="11"/>
      </w:r>
    </w:p>
    <w:p w:rsidR="00A34664" w:rsidRPr="00774ECB" w:rsidRDefault="00A34664" w:rsidP="00A34664">
      <w:pPr>
        <w:pStyle w:val="AERquoteindent1"/>
      </w:pPr>
      <w:r w:rsidRPr="00774ECB">
        <w:t>…this does not mean that every factor will be relevant to every aspect of every regulatory determination the AER makes. The AER may decide that certain factors are not relevant in certain cases once it has considered them.</w:t>
      </w:r>
    </w:p>
    <w:p w:rsidR="00A34664" w:rsidRDefault="00327273" w:rsidP="00A34664">
      <w:pPr>
        <w:numPr>
          <w:ilvl w:val="0"/>
          <w:numId w:val="25"/>
        </w:numPr>
      </w:pPr>
      <w:fldSimple w:instr=" REF _Ref403666738 ">
        <w:r w:rsidR="00C60946" w:rsidRPr="008C6DC8">
          <w:t xml:space="preserve">Table </w:t>
        </w:r>
        <w:r w:rsidR="00C60946">
          <w:rPr>
            <w:noProof/>
          </w:rPr>
          <w:t>6</w:t>
        </w:r>
        <w:r w:rsidR="00C60946">
          <w:t>.</w:t>
        </w:r>
        <w:r w:rsidR="00C60946">
          <w:rPr>
            <w:noProof/>
          </w:rPr>
          <w:t>5</w:t>
        </w:r>
      </w:fldSimple>
      <w:r w:rsidR="00A34664" w:rsidRPr="00B913B2">
        <w:t xml:space="preserve"> summarises how we took the capex factors into consideration.</w:t>
      </w:r>
    </w:p>
    <w:p w:rsidR="00A34664" w:rsidRPr="00B913B2" w:rsidRDefault="00A34664" w:rsidP="00A34664">
      <w:pPr>
        <w:numPr>
          <w:ilvl w:val="0"/>
          <w:numId w:val="25"/>
        </w:numPr>
      </w:pPr>
      <w:r>
        <w:t>More broadly, we</w:t>
      </w:r>
      <w:r w:rsidRPr="00774ECB">
        <w:t xml:space="preserve"> note that in exercising our discretion, we take into </w:t>
      </w:r>
      <w:r w:rsidRPr="00B913B2">
        <w:t>account the revenue and pricing</w:t>
      </w:r>
      <w:r>
        <w:t xml:space="preserve"> principles set out in the NEL.</w:t>
      </w:r>
      <w:r>
        <w:rPr>
          <w:rStyle w:val="FootnoteReference"/>
        </w:rPr>
        <w:footnoteReference w:id="12"/>
      </w:r>
      <w:r w:rsidRPr="00B913B2">
        <w:t xml:space="preserve"> In particular, we take into account whether our overall capex forecast provides </w:t>
      </w:r>
      <w:r>
        <w:t>AusNet Services</w:t>
      </w:r>
      <w:r w:rsidRPr="00B913B2">
        <w:t xml:space="preserve"> a reasonable opportunity to recover at least the efficient costs it incurs in: </w:t>
      </w:r>
    </w:p>
    <w:p w:rsidR="00A34664" w:rsidRPr="00B913B2" w:rsidRDefault="00A34664" w:rsidP="00A34664">
      <w:pPr>
        <w:pStyle w:val="AERbulletlistfirststyle"/>
      </w:pPr>
      <w:r w:rsidRPr="00B913B2">
        <w:t>providing direct control network services; and</w:t>
      </w:r>
    </w:p>
    <w:p w:rsidR="00A34664" w:rsidRDefault="00A34664" w:rsidP="00A34664">
      <w:pPr>
        <w:pStyle w:val="AERbulletlistfirststyle"/>
      </w:pPr>
      <w:proofErr w:type="gramStart"/>
      <w:r w:rsidRPr="00B913B2">
        <w:t>complying</w:t>
      </w:r>
      <w:proofErr w:type="gramEnd"/>
      <w:r w:rsidRPr="00B913B2">
        <w:t xml:space="preserve"> with its regulatory obligations and requirements.</w:t>
      </w:r>
      <w:r>
        <w:rPr>
          <w:rStyle w:val="FootnoteReference"/>
        </w:rPr>
        <w:footnoteReference w:id="13"/>
      </w:r>
      <w:r w:rsidRPr="00B913B2">
        <w:t xml:space="preserve"> </w:t>
      </w:r>
    </w:p>
    <w:p w:rsidR="00E976E0" w:rsidRDefault="00E976E0" w:rsidP="00E976E0">
      <w:pPr>
        <w:pStyle w:val="AERbulletlistfirststyle"/>
        <w:numPr>
          <w:ilvl w:val="0"/>
          <w:numId w:val="0"/>
        </w:numPr>
        <w:ind w:left="357" w:hanging="357"/>
      </w:pPr>
    </w:p>
    <w:p w:rsidR="00E976E0" w:rsidRPr="00B913B2" w:rsidRDefault="00E976E0" w:rsidP="00E976E0">
      <w:pPr>
        <w:pStyle w:val="AERbulletlistfirststyle"/>
        <w:numPr>
          <w:ilvl w:val="0"/>
          <w:numId w:val="0"/>
        </w:numPr>
        <w:ind w:left="357" w:hanging="357"/>
      </w:pPr>
    </w:p>
    <w:p w:rsidR="00A34664" w:rsidRPr="00774ECB" w:rsidRDefault="00A34664" w:rsidP="00A34664">
      <w:pPr>
        <w:pStyle w:val="HeadingBoldBlue"/>
      </w:pPr>
      <w:bookmarkStart w:id="23" w:name="_Toc456608780"/>
      <w:r w:rsidRPr="00774ECB">
        <w:lastRenderedPageBreak/>
        <w:t>E</w:t>
      </w:r>
      <w:r>
        <w:t>xpenditure Assessment Guideline</w:t>
      </w:r>
      <w:bookmarkEnd w:id="23"/>
      <w:r w:rsidRPr="00774ECB">
        <w:t xml:space="preserve"> </w:t>
      </w:r>
    </w:p>
    <w:p w:rsidR="00A34664" w:rsidRPr="00774ECB" w:rsidRDefault="00BD20A7" w:rsidP="00A34664">
      <w:r>
        <w:t>We published our</w:t>
      </w:r>
      <w:r w:rsidR="00A34664" w:rsidRPr="00774ECB">
        <w:t xml:space="preserve"> Expenditure For</w:t>
      </w:r>
      <w:r w:rsidR="00A34664">
        <w:t>ecast Assessment Guideline for electricity t</w:t>
      </w:r>
      <w:r w:rsidR="00A34664" w:rsidRPr="00774ECB">
        <w:t>ransmission</w:t>
      </w:r>
      <w:r w:rsidR="00A34664">
        <w:t xml:space="preserve"> (Guideline) </w:t>
      </w:r>
      <w:r w:rsidR="00A34664" w:rsidRPr="00774ECB">
        <w:t>in November 2013.</w:t>
      </w:r>
      <w:r w:rsidR="00A34664" w:rsidRPr="00B913B2">
        <w:rPr>
          <w:rStyle w:val="FootnoteReference"/>
        </w:rPr>
        <w:footnoteReference w:id="14"/>
      </w:r>
      <w:r w:rsidR="00A34664" w:rsidRPr="00774ECB">
        <w:t xml:space="preserve"> </w:t>
      </w:r>
      <w:r w:rsidR="00A34664">
        <w:t xml:space="preserve">The </w:t>
      </w:r>
      <w:r w:rsidR="00A34664" w:rsidRPr="00774ECB">
        <w:t xml:space="preserve">Guideline sets out </w:t>
      </w:r>
      <w:r w:rsidR="00A34664">
        <w:t>our</w:t>
      </w:r>
      <w:r w:rsidR="00A34664" w:rsidRPr="00774ECB">
        <w:t xml:space="preserve"> proposed general approach to assessing capex (and opex) forecasts. </w:t>
      </w:r>
      <w:r>
        <w:t>This assists in providing transparency and predictability in regulatory processes and outcomes. We also</w:t>
      </w:r>
      <w:r w:rsidR="00A34664" w:rsidRPr="00774ECB">
        <w:t xml:space="preserve"> set out our approach to assessing capex in the relevant framework a</w:t>
      </w:r>
      <w:r w:rsidR="00A34664">
        <w:t>nd approach paper. For AusNet Services</w:t>
      </w:r>
      <w:r w:rsidR="00A34664" w:rsidRPr="00774ECB">
        <w:t>, our framework and approach p</w:t>
      </w:r>
      <w:r w:rsidR="00A34664">
        <w:t>aper</w:t>
      </w:r>
      <w:r w:rsidR="00A34664" w:rsidRPr="00774ECB">
        <w:t xml:space="preserve"> stated tha</w:t>
      </w:r>
      <w:r w:rsidR="00A34664">
        <w:t>t we would apply the</w:t>
      </w:r>
      <w:r w:rsidR="00A34664" w:rsidRPr="00774ECB">
        <w:t xml:space="preserve"> Guideline, including the assessment techniques outlined in it.</w:t>
      </w:r>
      <w:r w:rsidR="00A34664" w:rsidRPr="000013A2">
        <w:rPr>
          <w:rStyle w:val="FootnoteReference"/>
        </w:rPr>
        <w:footnoteReference w:id="15"/>
      </w:r>
      <w:r w:rsidR="00A34664" w:rsidRPr="000013A2">
        <w:t xml:space="preserve"> </w:t>
      </w:r>
      <w:r w:rsidR="00A34664" w:rsidRPr="00774ECB">
        <w:t xml:space="preserve">We </w:t>
      </w:r>
      <w:r w:rsidR="00A34664">
        <w:t xml:space="preserve">may depart from our </w:t>
      </w:r>
      <w:r w:rsidR="00A34664" w:rsidRPr="00774ECB">
        <w:t xml:space="preserve">Guideline approach and if </w:t>
      </w:r>
      <w:r w:rsidR="00A34664">
        <w:t>we do so, we need to provide reasons</w:t>
      </w:r>
      <w:r w:rsidR="00A34664" w:rsidRPr="00774ECB">
        <w:t>. In this determination</w:t>
      </w:r>
      <w:r w:rsidR="00A34664">
        <w:t>,</w:t>
      </w:r>
      <w:r w:rsidR="00A34664" w:rsidRPr="00774ECB">
        <w:t xml:space="preserve"> we have not departed from the appr</w:t>
      </w:r>
      <w:r w:rsidR="00A34664">
        <w:t xml:space="preserve">oach set out in our </w:t>
      </w:r>
      <w:r w:rsidR="00A34664" w:rsidRPr="00774ECB">
        <w:t>Guideline.</w:t>
      </w:r>
    </w:p>
    <w:p w:rsidR="00A34664" w:rsidRPr="00774ECB" w:rsidRDefault="00A34664" w:rsidP="00A34664">
      <w:pPr>
        <w:numPr>
          <w:ilvl w:val="0"/>
          <w:numId w:val="25"/>
        </w:numPr>
      </w:pPr>
      <w:r>
        <w:t>We note that the RIN data form</w:t>
      </w:r>
      <w:r w:rsidRPr="00774ECB">
        <w:t xml:space="preserve"> part of a service provider's </w:t>
      </w:r>
      <w:r w:rsidR="00880E37">
        <w:t>revenue proposal</w:t>
      </w:r>
      <w:r w:rsidRPr="00774ECB">
        <w:t>.</w:t>
      </w:r>
      <w:r w:rsidRPr="000013A2">
        <w:rPr>
          <w:rStyle w:val="FootnoteReference"/>
        </w:rPr>
        <w:footnoteReference w:id="16"/>
      </w:r>
      <w:r>
        <w:t xml:space="preserve"> In our </w:t>
      </w:r>
      <w:r w:rsidRPr="00774ECB">
        <w:t xml:space="preserve">Guideline we </w:t>
      </w:r>
      <w:r>
        <w:t>stated</w:t>
      </w:r>
      <w:r w:rsidRPr="00774ECB">
        <w:t xml:space="preserve"> we would "require all the data that facilitate the application of our assessment approach and assessment techniques"</w:t>
      </w:r>
      <w:r>
        <w:t>. We also stated that</w:t>
      </w:r>
      <w:r w:rsidRPr="00774ECB">
        <w:t xml:space="preserve"> the RIN we issued in advance of a service provider lodging its re</w:t>
      </w:r>
      <w:r>
        <w:t>venue</w:t>
      </w:r>
      <w:r w:rsidRPr="00774ECB">
        <w:t xml:space="preserve"> proposal would specify the exact information </w:t>
      </w:r>
      <w:r>
        <w:t>we require</w:t>
      </w:r>
      <w:r w:rsidRPr="00774ECB">
        <w:t>.</w:t>
      </w:r>
      <w:r w:rsidRPr="0071557C">
        <w:rPr>
          <w:rStyle w:val="FootnoteReference"/>
        </w:rPr>
        <w:footnoteReference w:id="17"/>
      </w:r>
      <w:r>
        <w:t xml:space="preserve"> Our Guideline made clear</w:t>
      </w:r>
      <w:r w:rsidRPr="00774ECB">
        <w:t xml:space="preserve"> our intention to </w:t>
      </w:r>
      <w:r>
        <w:t>rely upon RIN data in transmission revenue determinations</w:t>
      </w:r>
      <w:r w:rsidRPr="00774ECB">
        <w:t xml:space="preserve">. </w:t>
      </w:r>
    </w:p>
    <w:p w:rsidR="00A34664" w:rsidRPr="00774ECB" w:rsidRDefault="00A34664" w:rsidP="00A34664">
      <w:pPr>
        <w:pStyle w:val="Heading3"/>
      </w:pPr>
      <w:bookmarkStart w:id="24" w:name="_Toc413855476"/>
      <w:bookmarkStart w:id="25" w:name="_Toc413858626"/>
      <w:bookmarkStart w:id="26" w:name="_Toc417727145"/>
      <w:bookmarkStart w:id="27" w:name="_Toc456608781"/>
      <w:r w:rsidRPr="00774ECB">
        <w:t>Building an alternative estimate of total forecast capex</w:t>
      </w:r>
      <w:bookmarkEnd w:id="24"/>
      <w:bookmarkEnd w:id="25"/>
      <w:bookmarkEnd w:id="26"/>
      <w:bookmarkEnd w:id="27"/>
    </w:p>
    <w:p w:rsidR="00A34664" w:rsidRDefault="00A34664" w:rsidP="00A34664">
      <w:r w:rsidRPr="0080305C">
        <w:t>The following section sets out the approach we apply to arrive at an alternative estimate of total forecast capex.</w:t>
      </w:r>
    </w:p>
    <w:p w:rsidR="00A34664" w:rsidRPr="00774ECB" w:rsidRDefault="00A34664" w:rsidP="00A34664">
      <w:r w:rsidRPr="00774ECB">
        <w:t xml:space="preserve">Our starting point for building an alternative estimate is </w:t>
      </w:r>
      <w:r>
        <w:t>AusNet Services'</w:t>
      </w:r>
      <w:r w:rsidRPr="00774ECB">
        <w:t xml:space="preserve"> proposal.</w:t>
      </w:r>
      <w:r w:rsidRPr="00824836">
        <w:rPr>
          <w:rStyle w:val="FootnoteReference"/>
        </w:rPr>
        <w:footnoteReference w:id="18"/>
      </w:r>
      <w:r w:rsidRPr="00824836">
        <w:rPr>
          <w:rStyle w:val="FootnoteReference"/>
        </w:rPr>
        <w:t xml:space="preserve"> </w:t>
      </w:r>
      <w:r>
        <w:t>We review</w:t>
      </w:r>
      <w:r w:rsidRPr="00774ECB" w:rsidDel="00D91250">
        <w:t xml:space="preserve"> </w:t>
      </w:r>
      <w:r>
        <w:t>the</w:t>
      </w:r>
      <w:r w:rsidRPr="00774ECB" w:rsidDel="00D91250">
        <w:t xml:space="preserve"> proposed forecast methodology and </w:t>
      </w:r>
      <w:r>
        <w:t>the</w:t>
      </w:r>
      <w:r w:rsidRPr="00774ECB" w:rsidDel="00D91250">
        <w:t xml:space="preserve"> k</w:t>
      </w:r>
      <w:r>
        <w:t>ey assumptions that underlie the</w:t>
      </w:r>
      <w:r w:rsidRPr="00774ECB" w:rsidDel="00D91250">
        <w:t xml:space="preserve"> forecast.</w:t>
      </w:r>
      <w:r>
        <w:t xml:space="preserve"> We also consider</w:t>
      </w:r>
      <w:r w:rsidRPr="00774ECB">
        <w:t xml:space="preserve"> its performance in the previous regulatory control period to inform our alternative estimate. </w:t>
      </w:r>
    </w:p>
    <w:p w:rsidR="00A34664" w:rsidRPr="00774ECB" w:rsidRDefault="00A34664" w:rsidP="00A34664">
      <w:r>
        <w:t>We then apply</w:t>
      </w:r>
      <w:r w:rsidRPr="00774ECB">
        <w:t xml:space="preserve"> our</w:t>
      </w:r>
      <w:r>
        <w:t xml:space="preserve"> specific assessment techniques to develop an</w:t>
      </w:r>
      <w:r w:rsidRPr="00774ECB">
        <w:t xml:space="preserve"> estimate and assess the economic justifications that </w:t>
      </w:r>
      <w:r>
        <w:t>AusNet Services</w:t>
      </w:r>
      <w:r w:rsidRPr="00774ECB">
        <w:t xml:space="preserve"> put forward. Many of our techniques encompass the capex factors that we are </w:t>
      </w:r>
      <w:r>
        <w:t>required to take into account. Appendix A and a</w:t>
      </w:r>
      <w:r w:rsidRPr="00774ECB">
        <w:t xml:space="preserve">ppendix B </w:t>
      </w:r>
      <w:r>
        <w:t>contain f</w:t>
      </w:r>
      <w:r w:rsidRPr="00774ECB">
        <w:t xml:space="preserve">urther details on each of </w:t>
      </w:r>
      <w:r>
        <w:t>these techniques</w:t>
      </w:r>
      <w:r w:rsidRPr="00774ECB">
        <w:t>.</w:t>
      </w:r>
    </w:p>
    <w:p w:rsidR="00A34664" w:rsidRDefault="00A34664" w:rsidP="00A34664">
      <w:pPr>
        <w:numPr>
          <w:ilvl w:val="0"/>
          <w:numId w:val="25"/>
        </w:numPr>
      </w:pPr>
      <w:r w:rsidRPr="00774ECB">
        <w:t xml:space="preserve">Some of these techniques focus on total capex; others focus on high level, standardised sub-categories of capex. Importantly, </w:t>
      </w:r>
      <w:r w:rsidRPr="00AD73E9">
        <w:t xml:space="preserve">while we may consider certain projects and programs in forming a view on the total capex forecast, we do not determine which projects or programs the </w:t>
      </w:r>
      <w:r w:rsidR="00C703EA">
        <w:t>service provider</w:t>
      </w:r>
      <w:r w:rsidRPr="00AD73E9">
        <w:t xml:space="preserve"> </w:t>
      </w:r>
      <w:r>
        <w:t xml:space="preserve">should or should not </w:t>
      </w:r>
      <w:r>
        <w:lastRenderedPageBreak/>
        <w:t>undertake.</w:t>
      </w:r>
      <w:r w:rsidRPr="00774ECB">
        <w:t xml:space="preserve"> This is consistent with the regulatory framework and the AEMC's statement that the AER does not approve specific projects</w:t>
      </w:r>
      <w:r>
        <w:t>. R</w:t>
      </w:r>
      <w:r w:rsidRPr="00774ECB">
        <w:t>ather</w:t>
      </w:r>
      <w:r>
        <w:t>, we approve</w:t>
      </w:r>
      <w:r w:rsidRPr="00774ECB">
        <w:t xml:space="preserve"> an overall revenue requirement that includes</w:t>
      </w:r>
      <w:r>
        <w:t xml:space="preserve"> </w:t>
      </w:r>
      <w:r w:rsidRPr="00880E07">
        <w:t>an assessment of what we find to be an efficient total capex forecast</w:t>
      </w:r>
      <w:r w:rsidR="00715ABE">
        <w:t>.</w:t>
      </w:r>
      <w:r w:rsidRPr="00880E07">
        <w:rPr>
          <w:rStyle w:val="FootnoteReference"/>
        </w:rPr>
        <w:footnoteReference w:id="19"/>
      </w:r>
    </w:p>
    <w:p w:rsidR="00A34664" w:rsidRPr="00774ECB" w:rsidRDefault="00A34664" w:rsidP="00A34664">
      <w:pPr>
        <w:numPr>
          <w:ilvl w:val="0"/>
          <w:numId w:val="25"/>
        </w:numPr>
      </w:pPr>
      <w:r w:rsidRPr="004F01FE">
        <w:t xml:space="preserve">We determine total revenue by reference to our analysis of the proposed capex and the various building blocks. Once we approve total revenue, the </w:t>
      </w:r>
      <w:r w:rsidR="00C703EA">
        <w:t>service provider</w:t>
      </w:r>
      <w:r w:rsidRPr="004F01FE">
        <w:t xml:space="preserve"> is able to prioritise its capex program given its circumstances over the course of the regulatory control period.</w:t>
      </w:r>
      <w:r>
        <w:t xml:space="preserve"> AusNet Services </w:t>
      </w:r>
      <w:r w:rsidRPr="004F01FE">
        <w:t xml:space="preserve">may need to undertake projects or programs it did not anticipate </w:t>
      </w:r>
      <w:r>
        <w:t>in its revenue proposal</w:t>
      </w:r>
      <w:r w:rsidRPr="004F01FE">
        <w:t xml:space="preserve">. </w:t>
      </w:r>
      <w:r>
        <w:t>AusNet Services</w:t>
      </w:r>
      <w:r w:rsidRPr="004F01FE">
        <w:t xml:space="preserve"> may also not require some of the projects or programs it proposed for the regulatory control period. </w:t>
      </w:r>
      <w:r>
        <w:t>We consider</w:t>
      </w:r>
      <w:r w:rsidRPr="00774ECB">
        <w:t xml:space="preserve"> a prudent and efficient service provider would consider the changing environment throughout the regulatory </w:t>
      </w:r>
      <w:r>
        <w:t xml:space="preserve">control </w:t>
      </w:r>
      <w:r w:rsidRPr="00774ECB">
        <w:t xml:space="preserve">period </w:t>
      </w:r>
      <w:r>
        <w:t>in its decision-making.</w:t>
      </w:r>
    </w:p>
    <w:p w:rsidR="00A34664" w:rsidRPr="00774ECB" w:rsidRDefault="00A34664" w:rsidP="00A34664">
      <w:pPr>
        <w:numPr>
          <w:ilvl w:val="0"/>
          <w:numId w:val="25"/>
        </w:numPr>
      </w:pPr>
      <w:r w:rsidRPr="00774ECB">
        <w:t xml:space="preserve">As </w:t>
      </w:r>
      <w:r>
        <w:t>we explained in our Guideline:</w:t>
      </w:r>
      <w:r w:rsidRPr="002E2C7D">
        <w:rPr>
          <w:rStyle w:val="FootnoteReference"/>
        </w:rPr>
        <w:footnoteReference w:id="20"/>
      </w:r>
    </w:p>
    <w:p w:rsidR="00A34664" w:rsidRPr="00774ECB" w:rsidRDefault="00A34664" w:rsidP="00A34664">
      <w:pPr>
        <w:pStyle w:val="AERquoteindent1"/>
      </w:pPr>
      <w:r w:rsidRPr="00774ECB">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BF7BE7" w:rsidRPr="00774ECB" w:rsidRDefault="00BF7BE7" w:rsidP="00BF7BE7">
      <w:bookmarkStart w:id="28" w:name="_Toc403144140"/>
      <w:r w:rsidRPr="00774ECB">
        <w:t>In arriving</w:t>
      </w:r>
      <w:r>
        <w:t xml:space="preserve"> at our estimate, we</w:t>
      </w:r>
      <w:r w:rsidRPr="00774ECB">
        <w:t xml:space="preserve"> weight the various techniqu</w:t>
      </w:r>
      <w:r>
        <w:t>es used in our assessment. W</w:t>
      </w:r>
      <w:r w:rsidRPr="00774ECB">
        <w:t>e weight the</w:t>
      </w:r>
      <w:r>
        <w:t>se techniques</w:t>
      </w:r>
      <w:r w:rsidRPr="00774ECB">
        <w:t xml:space="preserve"> on a case by case basis using our judgement</w:t>
      </w:r>
      <w:r>
        <w:t>. Broadly, we give more weight to techniques we consider to be more robust</w:t>
      </w:r>
      <w:r w:rsidRPr="00774ECB">
        <w:t xml:space="preserve"> in the </w:t>
      </w:r>
      <w:r>
        <w:t>particular circumstances of the</w:t>
      </w:r>
      <w:r w:rsidRPr="00774ECB">
        <w:t xml:space="preserve"> assessment. By relying on a number of tech</w:t>
      </w:r>
      <w:r>
        <w:t>niques</w:t>
      </w:r>
      <w:r w:rsidRPr="00774ECB">
        <w:t>, we ensur</w:t>
      </w:r>
      <w:r>
        <w:t>e we consider</w:t>
      </w:r>
      <w:r w:rsidRPr="00774ECB">
        <w:t xml:space="preserve"> a wide variety of information and can take a </w:t>
      </w:r>
      <w:r>
        <w:t xml:space="preserve">holistic approach to assessing the service provider's </w:t>
      </w:r>
      <w:r w:rsidRPr="00774ECB">
        <w:t>capex</w:t>
      </w:r>
      <w:r>
        <w:t xml:space="preserve"> forecast</w:t>
      </w:r>
      <w:r w:rsidRPr="00774ECB">
        <w:t xml:space="preserve">. </w:t>
      </w:r>
    </w:p>
    <w:p w:rsidR="00BF7BE7" w:rsidRDefault="00BF7BE7" w:rsidP="00BF7BE7">
      <w:pPr>
        <w:numPr>
          <w:ilvl w:val="0"/>
          <w:numId w:val="25"/>
        </w:numPr>
      </w:pPr>
      <w:r>
        <w:t>We also</w:t>
      </w:r>
      <w:r w:rsidRPr="00774ECB">
        <w:t xml:space="preserve"> take into account the various interrelationships between the total forecast capex and other components of a service provider's transmission determination. The other components that directly affect the total forecast capex </w:t>
      </w:r>
      <w:r>
        <w:t>include:</w:t>
      </w:r>
    </w:p>
    <w:p w:rsidR="00BF7BE7" w:rsidRDefault="00BF7BE7" w:rsidP="00BF7BE7">
      <w:pPr>
        <w:pStyle w:val="AERbulletlistfirststyle"/>
      </w:pPr>
      <w:r>
        <w:t>forecast opex</w:t>
      </w:r>
    </w:p>
    <w:p w:rsidR="00BF7BE7" w:rsidRDefault="00BF7BE7" w:rsidP="00BF7BE7">
      <w:pPr>
        <w:pStyle w:val="AERbulletlistfirststyle"/>
      </w:pPr>
      <w:r>
        <w:t>forecast demand</w:t>
      </w:r>
    </w:p>
    <w:p w:rsidR="00BF7BE7" w:rsidRDefault="00BF7BE7" w:rsidP="00BF7BE7">
      <w:pPr>
        <w:pStyle w:val="AERbulletlistfirststyle"/>
      </w:pPr>
      <w:r>
        <w:t>the service target performance incentive scheme</w:t>
      </w:r>
    </w:p>
    <w:p w:rsidR="00BF7BE7" w:rsidRDefault="00BF7BE7" w:rsidP="00BF7BE7">
      <w:pPr>
        <w:pStyle w:val="AERbulletlistfirststyle"/>
      </w:pPr>
      <w:r>
        <w:t>the capital expenditure sharing scheme</w:t>
      </w:r>
    </w:p>
    <w:p w:rsidR="00BF7BE7" w:rsidRDefault="00715ABE" w:rsidP="00BF7BE7">
      <w:pPr>
        <w:pStyle w:val="AERbulletlistfirststyle"/>
      </w:pPr>
      <w:r>
        <w:t>real cost escalation</w:t>
      </w:r>
    </w:p>
    <w:p w:rsidR="00BF7BE7" w:rsidRDefault="00BF7BE7" w:rsidP="00BF7BE7">
      <w:pPr>
        <w:pStyle w:val="AERbulletlistfirststyle"/>
      </w:pPr>
      <w:proofErr w:type="gramStart"/>
      <w:r w:rsidRPr="00774ECB">
        <w:t>contingent</w:t>
      </w:r>
      <w:proofErr w:type="gramEnd"/>
      <w:r w:rsidRPr="00774ECB">
        <w:t xml:space="preserve"> projects. </w:t>
      </w:r>
    </w:p>
    <w:p w:rsidR="00BF7BE7" w:rsidRPr="00774ECB" w:rsidRDefault="00BF7BE7" w:rsidP="00BF7BE7">
      <w:r w:rsidRPr="00774ECB">
        <w:lastRenderedPageBreak/>
        <w:t xml:space="preserve">We discuss how these components </w:t>
      </w:r>
      <w:r>
        <w:t>impact the total forecast capex</w:t>
      </w:r>
      <w:r w:rsidRPr="00774ECB">
        <w:t xml:space="preserve"> in</w:t>
      </w:r>
      <w:r w:rsidR="008B2486">
        <w:t xml:space="preserve"> </w:t>
      </w:r>
      <w:fldSimple w:instr=" REF _Ref453680679 ">
        <w:r w:rsidR="00C60946">
          <w:t xml:space="preserve">Table </w:t>
        </w:r>
        <w:r w:rsidR="00C60946">
          <w:rPr>
            <w:noProof/>
          </w:rPr>
          <w:t>6</w:t>
        </w:r>
        <w:r w:rsidR="00C60946">
          <w:t>.</w:t>
        </w:r>
        <w:r w:rsidR="00C60946">
          <w:rPr>
            <w:noProof/>
          </w:rPr>
          <w:t>4</w:t>
        </w:r>
      </w:fldSimple>
      <w:r w:rsidR="008B2486">
        <w:t>.</w:t>
      </w:r>
    </w:p>
    <w:p w:rsidR="00BF7BE7" w:rsidRPr="00774ECB" w:rsidRDefault="00BF7BE7" w:rsidP="00BF7BE7">
      <w:pPr>
        <w:numPr>
          <w:ilvl w:val="0"/>
          <w:numId w:val="25"/>
        </w:numPr>
      </w:pPr>
      <w:r w:rsidRPr="00774ECB">
        <w:t>Underlying our approach are two general assumptions:</w:t>
      </w:r>
    </w:p>
    <w:p w:rsidR="00BF7BE7" w:rsidRPr="00774ECB" w:rsidRDefault="00BF7BE7" w:rsidP="00BF7BE7">
      <w:pPr>
        <w:pStyle w:val="AERbulletlistfirststyle"/>
      </w:pPr>
      <w:proofErr w:type="gramStart"/>
      <w:r>
        <w:t>t</w:t>
      </w:r>
      <w:r w:rsidRPr="00774ECB">
        <w:t>he</w:t>
      </w:r>
      <w:proofErr w:type="gramEnd"/>
      <w:r w:rsidRPr="00774ECB">
        <w:t xml:space="preserve"> capex criteria relating to a prudent operator and ef</w:t>
      </w:r>
      <w:r>
        <w:t>ficient costs are complementary. P</w:t>
      </w:r>
      <w:r w:rsidRPr="00774ECB">
        <w:t>rudent and efficient expenditure reflects the lowest long-term cost to consumers for the most appropriate investment or activity required to achieve the expenditure objectives.</w:t>
      </w:r>
      <w:r w:rsidRPr="00C42A33">
        <w:rPr>
          <w:rStyle w:val="FootnoteReference"/>
        </w:rPr>
        <w:footnoteReference w:id="21"/>
      </w:r>
      <w:r w:rsidRPr="00C42A33">
        <w:rPr>
          <w:rStyle w:val="FootnoteReference"/>
        </w:rPr>
        <w:t xml:space="preserve"> </w:t>
      </w:r>
    </w:p>
    <w:p w:rsidR="00BF7BE7" w:rsidRPr="00774ECB" w:rsidRDefault="00BF7BE7" w:rsidP="00BF7BE7">
      <w:pPr>
        <w:pStyle w:val="AERbulletlistfirststyle"/>
      </w:pPr>
      <w:proofErr w:type="gramStart"/>
      <w:r>
        <w:t>p</w:t>
      </w:r>
      <w:r w:rsidRPr="00774ECB">
        <w:t>ast</w:t>
      </w:r>
      <w:proofErr w:type="gramEnd"/>
      <w:r w:rsidRPr="00774ECB">
        <w:t xml:space="preserve"> expenditure was sufficient for </w:t>
      </w:r>
      <w:r>
        <w:t>AusNet Services</w:t>
      </w:r>
      <w:r w:rsidRPr="00774ECB">
        <w:t xml:space="preserve"> to manage and oper</w:t>
      </w:r>
      <w:r>
        <w:t>ate its network in past</w:t>
      </w:r>
      <w:r w:rsidRPr="00774ECB">
        <w:t xml:space="preserve"> period</w:t>
      </w:r>
      <w:r>
        <w:t>s</w:t>
      </w:r>
      <w:r w:rsidRPr="00774ECB">
        <w:t>, in a manner that achieved the capex objectives.</w:t>
      </w:r>
      <w:r w:rsidRPr="00C42A33">
        <w:rPr>
          <w:rStyle w:val="FootnoteReference"/>
        </w:rPr>
        <w:footnoteReference w:id="22"/>
      </w:r>
      <w:r w:rsidRPr="00C42A33">
        <w:rPr>
          <w:rStyle w:val="FootnoteReference"/>
        </w:rPr>
        <w:t xml:space="preserve"> </w:t>
      </w:r>
    </w:p>
    <w:p w:rsidR="00BF7BE7" w:rsidRPr="00774ECB" w:rsidRDefault="00BF7BE7" w:rsidP="00BF7BE7">
      <w:pPr>
        <w:pStyle w:val="Heading3"/>
      </w:pPr>
      <w:bookmarkStart w:id="29" w:name="_Toc413855477"/>
      <w:bookmarkStart w:id="30" w:name="_Toc413858627"/>
      <w:bookmarkStart w:id="31" w:name="_Toc417727146"/>
      <w:bookmarkStart w:id="32" w:name="_Toc456608782"/>
      <w:r w:rsidRPr="00774ECB">
        <w:t>Comparing the service provider's proposal with our alternative estimate</w:t>
      </w:r>
      <w:bookmarkEnd w:id="29"/>
      <w:bookmarkEnd w:id="30"/>
      <w:bookmarkEnd w:id="31"/>
      <w:bookmarkEnd w:id="32"/>
    </w:p>
    <w:p w:rsidR="00BF7BE7" w:rsidRPr="00774ECB" w:rsidRDefault="00BF7BE7" w:rsidP="00BF7BE7">
      <w:pPr>
        <w:numPr>
          <w:ilvl w:val="0"/>
          <w:numId w:val="25"/>
        </w:numPr>
      </w:pPr>
      <w:r w:rsidRPr="00774ECB">
        <w:t>Hav</w:t>
      </w:r>
      <w:r>
        <w:t xml:space="preserve">ing established our </w:t>
      </w:r>
      <w:r w:rsidRPr="00774ECB">
        <w:t>estimate of the total forecast capex, we can test the service provider's proposed total forecast capex. This inc</w:t>
      </w:r>
      <w:r>
        <w:t xml:space="preserve">ludes comparing our </w:t>
      </w:r>
      <w:r w:rsidRPr="00774ECB">
        <w:t xml:space="preserve">estimate </w:t>
      </w:r>
      <w:r>
        <w:t xml:space="preserve">of forecast total capex </w:t>
      </w:r>
      <w:r w:rsidRPr="00774ECB">
        <w:t xml:space="preserve">with </w:t>
      </w:r>
      <w:r>
        <w:t>AusNet Services'</w:t>
      </w:r>
      <w:r w:rsidRPr="00774ECB">
        <w:t xml:space="preserve"> proposal. </w:t>
      </w:r>
      <w:r>
        <w:t>AusNet Services'</w:t>
      </w:r>
      <w:r w:rsidRPr="00774ECB">
        <w:t xml:space="preserve"> forecast</w:t>
      </w:r>
      <w:r w:rsidR="00A95109">
        <w:t>ing</w:t>
      </w:r>
      <w:r w:rsidRPr="00774ECB">
        <w:t xml:space="preserve"> methodology and its key assumptions may explain any differences between our alternative estimate and its proposal. </w:t>
      </w:r>
    </w:p>
    <w:p w:rsidR="00BF7BE7" w:rsidRPr="00774ECB" w:rsidRDefault="00BF7BE7" w:rsidP="00BF7BE7">
      <w:pPr>
        <w:numPr>
          <w:ilvl w:val="0"/>
          <w:numId w:val="25"/>
        </w:numPr>
      </w:pPr>
      <w:r w:rsidRPr="00774ECB">
        <w:t>As the AEMC foreshadowed, we may need to exercise our judgement in determining whether any 'margin of difference' is reasonable:</w:t>
      </w:r>
      <w:r w:rsidRPr="00DF0337">
        <w:rPr>
          <w:rStyle w:val="FootnoteReference"/>
        </w:rPr>
        <w:footnoteReference w:id="23"/>
      </w:r>
    </w:p>
    <w:p w:rsidR="00BF7BE7" w:rsidRPr="00774ECB" w:rsidRDefault="00BF7BE7" w:rsidP="00BF7BE7">
      <w:pPr>
        <w:pStyle w:val="AERquoteindent1"/>
      </w:pPr>
      <w:r w:rsidRPr="00774ECB">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BF7BE7" w:rsidRPr="00B1200A" w:rsidRDefault="00BF7BE7" w:rsidP="00BF7BE7">
      <w:r>
        <w:t>As noted above, w</w:t>
      </w:r>
      <w:r w:rsidRPr="00B1200A">
        <w:t xml:space="preserve">e </w:t>
      </w:r>
      <w:r>
        <w:t>draw</w:t>
      </w:r>
      <w:r w:rsidRPr="00B1200A">
        <w:t xml:space="preserve"> on a range of techniques</w:t>
      </w:r>
      <w:r>
        <w:t>,</w:t>
      </w:r>
      <w:r w:rsidRPr="00B1200A">
        <w:t xml:space="preserve"> as well as our assessment of elements that impact upon capex such as demand and real cost escalators.</w:t>
      </w:r>
    </w:p>
    <w:p w:rsidR="00BF7BE7" w:rsidRPr="00B1200A" w:rsidRDefault="00BF7BE7" w:rsidP="00BF7BE7">
      <w:r w:rsidRPr="00B1200A">
        <w:t>Our decision</w:t>
      </w:r>
      <w:r>
        <w:t xml:space="preserve"> on</w:t>
      </w:r>
      <w:r w:rsidRPr="00B1200A">
        <w:t xml:space="preserve"> </w:t>
      </w:r>
      <w:r>
        <w:t xml:space="preserve">the </w:t>
      </w:r>
      <w:r w:rsidRPr="00B1200A">
        <w:t xml:space="preserve">total </w:t>
      </w:r>
      <w:r>
        <w:t xml:space="preserve">forecast </w:t>
      </w:r>
      <w:r w:rsidRPr="00B1200A">
        <w:t xml:space="preserve">capex does not </w:t>
      </w:r>
      <w:r>
        <w:t xml:space="preserve">strictly limit </w:t>
      </w:r>
      <w:r w:rsidRPr="00B1200A">
        <w:t xml:space="preserve">a </w:t>
      </w:r>
      <w:r>
        <w:t>service provider</w:t>
      </w:r>
      <w:r w:rsidRPr="00B1200A">
        <w:t xml:space="preserve">’s actual spending. </w:t>
      </w:r>
      <w:r>
        <w:t>A</w:t>
      </w:r>
      <w:r w:rsidRPr="00B1200A">
        <w:t xml:space="preserve"> </w:t>
      </w:r>
      <w:r>
        <w:t>service provider</w:t>
      </w:r>
      <w:r w:rsidRPr="00B1200A">
        <w:t xml:space="preserve"> might </w:t>
      </w:r>
      <w:r>
        <w:t xml:space="preserve">spend more on capex than the </w:t>
      </w:r>
      <w:r w:rsidRPr="00B1200A">
        <w:t xml:space="preserve">total forecast </w:t>
      </w:r>
      <w:r w:rsidRPr="00B1200A">
        <w:lastRenderedPageBreak/>
        <w:t>capex</w:t>
      </w:r>
      <w:r>
        <w:t xml:space="preserve"> amount specified in </w:t>
      </w:r>
      <w:r w:rsidRPr="00B1200A">
        <w:t>our decision</w:t>
      </w:r>
      <w:r>
        <w:t xml:space="preserve"> in response to unanticipated expenditure needs</w:t>
      </w:r>
      <w:r w:rsidRPr="00B1200A">
        <w:t xml:space="preserve">. </w:t>
      </w:r>
    </w:p>
    <w:p w:rsidR="00BF7BE7" w:rsidRPr="00774ECB" w:rsidRDefault="00BF7BE7" w:rsidP="00BF7BE7">
      <w:r w:rsidRPr="00774ECB">
        <w:t xml:space="preserve">The regulatory framework has a number of mechanisms to deal with </w:t>
      </w:r>
      <w:r>
        <w:t>such circumstances</w:t>
      </w:r>
      <w:r w:rsidRPr="00774ECB">
        <w:t xml:space="preserve">. Importantly, </w:t>
      </w:r>
      <w:r w:rsidRPr="00DF0337">
        <w:t xml:space="preserve">a </w:t>
      </w:r>
      <w:r>
        <w:t>service provider</w:t>
      </w:r>
      <w:r w:rsidRPr="00DF0337">
        <w:t xml:space="preserve"> does not bear the full cost where unexpected events lead to </w:t>
      </w:r>
      <w:proofErr w:type="gramStart"/>
      <w:r w:rsidRPr="00DF0337">
        <w:t>an overspend</w:t>
      </w:r>
      <w:proofErr w:type="gramEnd"/>
      <w:r w:rsidRPr="00DF0337">
        <w:t xml:space="preserve"> of the approved capex forecast.</w:t>
      </w:r>
      <w:r>
        <w:t xml:space="preserve"> </w:t>
      </w:r>
      <w:r w:rsidRPr="00DF0337">
        <w:t xml:space="preserve">Rather, the </w:t>
      </w:r>
      <w:r>
        <w:t>service provider</w:t>
      </w:r>
      <w:r w:rsidRPr="00DF0337">
        <w:t xml:space="preserve"> bears 30 per cent of this cost if the expenditure is subsequently found to be prudent and efficient. </w:t>
      </w:r>
      <w:r>
        <w:t xml:space="preserve">Further, the </w:t>
      </w:r>
      <w:proofErr w:type="gramStart"/>
      <w:r>
        <w:t xml:space="preserve">pass </w:t>
      </w:r>
      <w:r w:rsidRPr="00774ECB">
        <w:t>through provisions provide</w:t>
      </w:r>
      <w:proofErr w:type="gramEnd"/>
      <w:r w:rsidRPr="00774ECB">
        <w:t xml:space="preserve"> a means for a </w:t>
      </w:r>
      <w:r>
        <w:t>service provider to pass on</w:t>
      </w:r>
      <w:r w:rsidRPr="00774ECB">
        <w:t xml:space="preserve"> significant</w:t>
      </w:r>
      <w:r>
        <w:t>,</w:t>
      </w:r>
      <w:r w:rsidRPr="00774ECB">
        <w:t xml:space="preserve"> unexpected capex to customers</w:t>
      </w:r>
      <w:r>
        <w:t>,</w:t>
      </w:r>
      <w:r w:rsidRPr="00774ECB">
        <w:t xml:space="preserve"> where appropriate.</w:t>
      </w:r>
      <w:r>
        <w:rPr>
          <w:rStyle w:val="FootnoteReference"/>
        </w:rPr>
        <w:footnoteReference w:id="24"/>
      </w:r>
      <w:r w:rsidRPr="00774ECB">
        <w:t xml:space="preserve"> </w:t>
      </w:r>
      <w:r w:rsidRPr="009105B7">
        <w:t xml:space="preserve">Similarly, a </w:t>
      </w:r>
      <w:r>
        <w:t xml:space="preserve">service provider </w:t>
      </w:r>
      <w:r w:rsidRPr="009105B7">
        <w:t xml:space="preserve">may spend less than the capex forecast because they have been more efficient than expected. In this case the </w:t>
      </w:r>
      <w:r>
        <w:t>service provider</w:t>
      </w:r>
      <w:r w:rsidRPr="009105B7">
        <w:t xml:space="preserve"> will keep on average 30 per cent of this reduction over time.</w:t>
      </w:r>
    </w:p>
    <w:p w:rsidR="00BF7BE7" w:rsidRDefault="00BF7BE7" w:rsidP="00BF7BE7">
      <w:r w:rsidRPr="009105B7">
        <w:t xml:space="preserve">We set our alternative estimate at the level where the </w:t>
      </w:r>
      <w:r>
        <w:t>service provider</w:t>
      </w:r>
      <w:r w:rsidRPr="009105B7">
        <w:t xml:space="preserve"> has a reasonable opportunity to recover efficient costs. The regulatory framework allows the </w:t>
      </w:r>
      <w:r>
        <w:t>service provider</w:t>
      </w:r>
      <w:r w:rsidRPr="009105B7">
        <w:t xml:space="preserve"> to respond to any unanticipated issues that arise during the regulatory control period. In the event that this leads to the approved total revenue underestimating the total capex required, the </w:t>
      </w:r>
      <w:r>
        <w:t>service provider</w:t>
      </w:r>
      <w:r w:rsidRPr="009105B7">
        <w:t xml:space="preserve"> should have sufficient flexibility to allow it to meet its safety and reliability obligations by reallocating its budget. Conversely, if there is an overestimation, the stronger incentives the AEMC put in place in 2012 should result in the </w:t>
      </w:r>
      <w:r>
        <w:t>service provider</w:t>
      </w:r>
      <w:r w:rsidRPr="009105B7">
        <w:t xml:space="preserve"> only spending what is efficient. As noted, the </w:t>
      </w:r>
      <w:r>
        <w:t>service provider</w:t>
      </w:r>
      <w:r w:rsidRPr="009105B7">
        <w:t xml:space="preserve"> and consumers share the benefits of </w:t>
      </w:r>
      <w:proofErr w:type="gramStart"/>
      <w:r w:rsidRPr="009105B7">
        <w:t>the underspend</w:t>
      </w:r>
      <w:proofErr w:type="gramEnd"/>
      <w:r w:rsidRPr="009105B7">
        <w:t xml:space="preserve"> and the costs of an overspend under the regulatory regime.</w:t>
      </w:r>
    </w:p>
    <w:p w:rsidR="00DE563D" w:rsidRDefault="00DE563D" w:rsidP="001754EE">
      <w:pPr>
        <w:pStyle w:val="Heading2"/>
      </w:pPr>
      <w:bookmarkStart w:id="33" w:name="_Toc456608783"/>
      <w:r w:rsidRPr="001754EE">
        <w:t>Reasons</w:t>
      </w:r>
      <w:r>
        <w:t xml:space="preserve"> for </w:t>
      </w:r>
      <w:r w:rsidR="000B321F">
        <w:t>draft</w:t>
      </w:r>
      <w:r>
        <w:t xml:space="preserve"> decision</w:t>
      </w:r>
      <w:bookmarkEnd w:id="28"/>
      <w:bookmarkEnd w:id="33"/>
    </w:p>
    <w:p w:rsidR="00FF3F88" w:rsidRPr="005D11CE" w:rsidRDefault="00FF3F88" w:rsidP="00FF3F88">
      <w:r w:rsidRPr="005D11CE">
        <w:t>We applied the assessment approach set out in</w:t>
      </w:r>
      <w:r>
        <w:t xml:space="preserve"> section</w:t>
      </w:r>
      <w:r w:rsidRPr="005D11CE">
        <w:t xml:space="preserve"> </w:t>
      </w:r>
      <w:fldSimple w:instr=" REF _Ref448499467 \r ">
        <w:r w:rsidR="00C60946">
          <w:t>6.3</w:t>
        </w:r>
      </w:fldSimple>
      <w:r w:rsidRPr="005D11CE">
        <w:t xml:space="preserve"> to </w:t>
      </w:r>
      <w:r>
        <w:t>AusNet Services</w:t>
      </w:r>
      <w:r w:rsidRPr="005D11CE">
        <w:t xml:space="preserve">. </w:t>
      </w:r>
      <w:r>
        <w:t>In this draft decision, we</w:t>
      </w:r>
      <w:r w:rsidRPr="005D11CE">
        <w:t xml:space="preserve"> are not satisfied </w:t>
      </w:r>
      <w:r>
        <w:t>AusNet Services'</w:t>
      </w:r>
      <w:r w:rsidRPr="005D11CE">
        <w:t xml:space="preserve"> total forecast capex reasonably reflects the capex criteria. We compared </w:t>
      </w:r>
      <w:r>
        <w:t>AusNet</w:t>
      </w:r>
      <w:r w:rsidRPr="005D11CE">
        <w:t xml:space="preserve"> Services' capex forecast to the alternative capex forecast we constructed using the approach and techniques outlined in appendices </w:t>
      </w:r>
      <w:fldSimple w:instr=" REF _Ref448499492 \r ">
        <w:r w:rsidR="00C60946">
          <w:t>A</w:t>
        </w:r>
      </w:fldSimple>
      <w:r>
        <w:t xml:space="preserve"> </w:t>
      </w:r>
      <w:r w:rsidRPr="005D11CE">
        <w:t>and</w:t>
      </w:r>
      <w:r>
        <w:t xml:space="preserve"> </w:t>
      </w:r>
      <w:fldSimple w:instr=" REF _Ref448499504 \r ">
        <w:r w:rsidR="00C60946">
          <w:t>B</w:t>
        </w:r>
      </w:fldSimple>
      <w:r w:rsidRPr="005D11CE">
        <w:t xml:space="preserve">. </w:t>
      </w:r>
      <w:r>
        <w:t>AusNet</w:t>
      </w:r>
      <w:r w:rsidRPr="005D11CE">
        <w:t xml:space="preserve"> Services' proposal is materially higher than ours. We are satisfied that our alternative estimate reasonably reflects the capex criteria.</w:t>
      </w:r>
    </w:p>
    <w:p w:rsidR="00FF3F88" w:rsidRDefault="00327273" w:rsidP="00FF3F88">
      <w:fldSimple w:instr=" REF _Ref448499611 ">
        <w:r w:rsidR="00C60946">
          <w:t xml:space="preserve">Table </w:t>
        </w:r>
        <w:r w:rsidR="00C60946">
          <w:rPr>
            <w:noProof/>
          </w:rPr>
          <w:t>6</w:t>
        </w:r>
        <w:r w:rsidR="00C60946">
          <w:t>.</w:t>
        </w:r>
        <w:r w:rsidR="00C60946">
          <w:rPr>
            <w:noProof/>
          </w:rPr>
          <w:t>3</w:t>
        </w:r>
      </w:fldSimple>
      <w:r w:rsidR="008B50AF">
        <w:t xml:space="preserve"> </w:t>
      </w:r>
      <w:r w:rsidR="00FF3F88" w:rsidRPr="005D11CE">
        <w:t xml:space="preserve">sets out the capex amounts by driver that we included in our alternative estimate of </w:t>
      </w:r>
      <w:r w:rsidR="00FF3F88">
        <w:t>AusNet</w:t>
      </w:r>
      <w:r w:rsidR="00FF3F88" w:rsidRPr="005D11CE">
        <w:t xml:space="preserve"> Services' total forecast capex for the 201</w:t>
      </w:r>
      <w:r w:rsidR="00586EE3">
        <w:t>7–22</w:t>
      </w:r>
      <w:r w:rsidR="00FF3F88" w:rsidRPr="005D11CE">
        <w:t xml:space="preserve"> </w:t>
      </w:r>
      <w:r w:rsidR="00FF3F88">
        <w:t xml:space="preserve">regulatory control </w:t>
      </w:r>
      <w:proofErr w:type="gramStart"/>
      <w:r w:rsidR="00FF3F88" w:rsidRPr="005D11CE">
        <w:t>period</w:t>
      </w:r>
      <w:proofErr w:type="gramEnd"/>
      <w:r w:rsidR="00FF3F88" w:rsidRPr="005D11CE">
        <w:t>.</w:t>
      </w:r>
    </w:p>
    <w:p w:rsidR="00FF3F88" w:rsidRPr="005531F2" w:rsidRDefault="00FF3F88" w:rsidP="00FF3F88">
      <w:pPr>
        <w:pStyle w:val="Caption"/>
      </w:pPr>
      <w:bookmarkStart w:id="34" w:name="_Ref448499611"/>
      <w:bookmarkStart w:id="35" w:name="_Ref403485719"/>
      <w:proofErr w:type="gramStart"/>
      <w:r>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3</w:t>
      </w:r>
      <w:r w:rsidR="00735181">
        <w:rPr>
          <w:noProof/>
        </w:rPr>
        <w:fldChar w:fldCharType="end"/>
      </w:r>
      <w:bookmarkEnd w:id="34"/>
      <w:r w:rsidRPr="005531F2">
        <w:tab/>
      </w:r>
      <w:r w:rsidR="0054679E">
        <w:t>Draft decision</w:t>
      </w:r>
      <w:r w:rsidRPr="005531F2">
        <w:t xml:space="preserve"> assessment of required capex by capex driver 201</w:t>
      </w:r>
      <w:r w:rsidR="0038577F">
        <w:t>7–22</w:t>
      </w:r>
      <w:r w:rsidRPr="005531F2">
        <w:t xml:space="preserve"> ($</w:t>
      </w:r>
      <w:r w:rsidR="0038577F">
        <w:t>2016-17</w:t>
      </w:r>
      <w:r>
        <w:t>,</w:t>
      </w:r>
      <w:r w:rsidRPr="005531F2">
        <w:t> million)</w:t>
      </w:r>
      <w:bookmarkEnd w:id="35"/>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5667CE" w:rsidRPr="005667CE" w:rsidTr="005667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5667CE" w:rsidRPr="005667CE" w:rsidRDefault="005667CE" w:rsidP="005667CE">
            <w:r w:rsidRPr="005667CE">
              <w:t>Category</w:t>
            </w:r>
          </w:p>
        </w:tc>
        <w:tc>
          <w:tcPr>
            <w:tcW w:w="625" w:type="pct"/>
            <w:hideMark/>
          </w:tcPr>
          <w:p w:rsidR="005667CE" w:rsidRPr="005667CE" w:rsidRDefault="005667CE" w:rsidP="005667CE">
            <w:pPr>
              <w:cnfStyle w:val="100000000000" w:firstRow="1" w:lastRow="0" w:firstColumn="0" w:lastColumn="0" w:oddVBand="0" w:evenVBand="0" w:oddHBand="0" w:evenHBand="0" w:firstRowFirstColumn="0" w:firstRowLastColumn="0" w:lastRowFirstColumn="0" w:lastRowLastColumn="0"/>
            </w:pPr>
            <w:r w:rsidRPr="005667CE">
              <w:t>2017–18</w:t>
            </w:r>
          </w:p>
        </w:tc>
        <w:tc>
          <w:tcPr>
            <w:tcW w:w="625" w:type="pct"/>
            <w:hideMark/>
          </w:tcPr>
          <w:p w:rsidR="005667CE" w:rsidRPr="005667CE" w:rsidRDefault="005667CE" w:rsidP="005667CE">
            <w:pPr>
              <w:cnfStyle w:val="100000000000" w:firstRow="1" w:lastRow="0" w:firstColumn="0" w:lastColumn="0" w:oddVBand="0" w:evenVBand="0" w:oddHBand="0" w:evenHBand="0" w:firstRowFirstColumn="0" w:firstRowLastColumn="0" w:lastRowFirstColumn="0" w:lastRowLastColumn="0"/>
            </w:pPr>
            <w:r w:rsidRPr="005667CE">
              <w:t>2018–19</w:t>
            </w:r>
          </w:p>
        </w:tc>
        <w:tc>
          <w:tcPr>
            <w:tcW w:w="625" w:type="pct"/>
            <w:hideMark/>
          </w:tcPr>
          <w:p w:rsidR="005667CE" w:rsidRPr="005667CE" w:rsidRDefault="005667CE" w:rsidP="005667CE">
            <w:pPr>
              <w:cnfStyle w:val="100000000000" w:firstRow="1" w:lastRow="0" w:firstColumn="0" w:lastColumn="0" w:oddVBand="0" w:evenVBand="0" w:oddHBand="0" w:evenHBand="0" w:firstRowFirstColumn="0" w:firstRowLastColumn="0" w:lastRowFirstColumn="0" w:lastRowLastColumn="0"/>
            </w:pPr>
            <w:r w:rsidRPr="005667CE">
              <w:t>2019–20</w:t>
            </w:r>
          </w:p>
        </w:tc>
        <w:tc>
          <w:tcPr>
            <w:tcW w:w="625" w:type="pct"/>
            <w:hideMark/>
          </w:tcPr>
          <w:p w:rsidR="005667CE" w:rsidRPr="005667CE" w:rsidRDefault="005667CE" w:rsidP="005667CE">
            <w:pPr>
              <w:cnfStyle w:val="100000000000" w:firstRow="1" w:lastRow="0" w:firstColumn="0" w:lastColumn="0" w:oddVBand="0" w:evenVBand="0" w:oddHBand="0" w:evenHBand="0" w:firstRowFirstColumn="0" w:firstRowLastColumn="0" w:lastRowFirstColumn="0" w:lastRowLastColumn="0"/>
            </w:pPr>
            <w:r w:rsidRPr="005667CE">
              <w:t>2020–21</w:t>
            </w:r>
          </w:p>
        </w:tc>
        <w:tc>
          <w:tcPr>
            <w:tcW w:w="625" w:type="pct"/>
            <w:hideMark/>
          </w:tcPr>
          <w:p w:rsidR="005667CE" w:rsidRPr="005667CE" w:rsidRDefault="005667CE" w:rsidP="005667CE">
            <w:pPr>
              <w:cnfStyle w:val="100000000000" w:firstRow="1" w:lastRow="0" w:firstColumn="0" w:lastColumn="0" w:oddVBand="0" w:evenVBand="0" w:oddHBand="0" w:evenHBand="0" w:firstRowFirstColumn="0" w:firstRowLastColumn="0" w:lastRowFirstColumn="0" w:lastRowLastColumn="0"/>
            </w:pPr>
            <w:r>
              <w:t>2021–</w:t>
            </w:r>
            <w:r w:rsidRPr="005667CE">
              <w:t>22</w:t>
            </w:r>
          </w:p>
        </w:tc>
        <w:tc>
          <w:tcPr>
            <w:tcW w:w="625" w:type="pct"/>
            <w:hideMark/>
          </w:tcPr>
          <w:p w:rsidR="005667CE" w:rsidRPr="005667CE" w:rsidRDefault="005667CE" w:rsidP="005667CE">
            <w:pPr>
              <w:cnfStyle w:val="100000000000" w:firstRow="1" w:lastRow="0" w:firstColumn="0" w:lastColumn="0" w:oddVBand="0" w:evenVBand="0" w:oddHBand="0" w:evenHBand="0" w:firstRowFirstColumn="0" w:firstRowLastColumn="0" w:lastRowFirstColumn="0" w:lastRowLastColumn="0"/>
            </w:pPr>
            <w:r w:rsidRPr="005667CE">
              <w:t>Total</w:t>
            </w:r>
          </w:p>
        </w:tc>
      </w:tr>
      <w:tr w:rsidR="00FF3F88" w:rsidRPr="005667CE" w:rsidTr="005667CE">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F3F88" w:rsidRPr="005667CE" w:rsidRDefault="005667CE" w:rsidP="005667CE">
            <w:r w:rsidRPr="005667CE">
              <w:t>CBD station rebuilds</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23.5</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13.5</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14.7</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9.1</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4.1</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64.9</w:t>
            </w:r>
          </w:p>
        </w:tc>
      </w:tr>
      <w:tr w:rsidR="00FF3F88" w:rsidRPr="005667CE" w:rsidTr="005667C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F3F88" w:rsidRPr="005667CE" w:rsidRDefault="005667CE" w:rsidP="005667CE">
            <w:r w:rsidRPr="005667CE">
              <w:t>Major stations replacement</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42.5</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16.1</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10.9</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15.6</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15.4</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100.4</w:t>
            </w:r>
          </w:p>
        </w:tc>
      </w:tr>
      <w:tr w:rsidR="00FF3F88" w:rsidRPr="005667CE" w:rsidTr="005667CE">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F3F88" w:rsidRPr="005667CE" w:rsidRDefault="005667CE" w:rsidP="005667CE">
            <w:r w:rsidRPr="005667CE">
              <w:lastRenderedPageBreak/>
              <w:t>Asset replacement programs</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39.6</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44.4</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40.4</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39.0</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35.6</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199.1</w:t>
            </w:r>
          </w:p>
        </w:tc>
      </w:tr>
      <w:tr w:rsidR="00FF3F88" w:rsidRPr="005667CE" w:rsidTr="005667C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F3F88" w:rsidRPr="005667CE" w:rsidRDefault="005667CE" w:rsidP="005667CE">
            <w:r w:rsidRPr="005667CE">
              <w:t>Safety, security and compliance</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11.7</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11.1</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11.7</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10.6</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11.8</w:t>
            </w:r>
          </w:p>
        </w:tc>
        <w:tc>
          <w:tcPr>
            <w:tcW w:w="625" w:type="pct"/>
          </w:tcPr>
          <w:p w:rsidR="00FF3F88" w:rsidRPr="005667CE" w:rsidRDefault="00D66FA8" w:rsidP="005667CE">
            <w:pPr>
              <w:cnfStyle w:val="000000010000" w:firstRow="0" w:lastRow="0" w:firstColumn="0" w:lastColumn="0" w:oddVBand="0" w:evenVBand="0" w:oddHBand="0" w:evenHBand="1" w:firstRowFirstColumn="0" w:firstRowLastColumn="0" w:lastRowFirstColumn="0" w:lastRowLastColumn="0"/>
            </w:pPr>
            <w:r>
              <w:t>56.9</w:t>
            </w:r>
          </w:p>
        </w:tc>
      </w:tr>
      <w:tr w:rsidR="00FF3F88" w:rsidRPr="005667CE" w:rsidTr="005667CE">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F3F88" w:rsidRPr="005667CE" w:rsidRDefault="005667CE" w:rsidP="005667CE">
            <w:r w:rsidRPr="005667CE">
              <w:t>Non-network</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27.4</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25.3</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17.2</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15.1</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14.4</w:t>
            </w:r>
          </w:p>
        </w:tc>
        <w:tc>
          <w:tcPr>
            <w:tcW w:w="625" w:type="pct"/>
          </w:tcPr>
          <w:p w:rsidR="00FF3F88" w:rsidRPr="005667CE" w:rsidRDefault="00D66FA8" w:rsidP="005667CE">
            <w:pPr>
              <w:cnfStyle w:val="000000000000" w:firstRow="0" w:lastRow="0" w:firstColumn="0" w:lastColumn="0" w:oddVBand="0" w:evenVBand="0" w:oddHBand="0" w:evenHBand="0" w:firstRowFirstColumn="0" w:firstRowLastColumn="0" w:lastRowFirstColumn="0" w:lastRowLastColumn="0"/>
            </w:pPr>
            <w:r>
              <w:t>99.4</w:t>
            </w:r>
          </w:p>
        </w:tc>
      </w:tr>
      <w:tr w:rsidR="00101E39" w:rsidRPr="005667CE" w:rsidTr="005667C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rsidR="00101E39" w:rsidRPr="00551606" w:rsidRDefault="00101E39" w:rsidP="005667CE">
            <w:pPr>
              <w:rPr>
                <w:rStyle w:val="Strong"/>
              </w:rPr>
            </w:pPr>
            <w:r w:rsidRPr="00551606">
              <w:rPr>
                <w:rStyle w:val="Strong"/>
              </w:rPr>
              <w:t>Total direct costs</w:t>
            </w:r>
          </w:p>
        </w:tc>
        <w:tc>
          <w:tcPr>
            <w:tcW w:w="625" w:type="pct"/>
          </w:tcPr>
          <w:p w:rsidR="00101E39" w:rsidRPr="00551606" w:rsidRDefault="00101E39" w:rsidP="005667CE">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144.7</w:t>
            </w:r>
          </w:p>
        </w:tc>
        <w:tc>
          <w:tcPr>
            <w:tcW w:w="625" w:type="pct"/>
          </w:tcPr>
          <w:p w:rsidR="00101E39" w:rsidRPr="00551606" w:rsidRDefault="00101E39" w:rsidP="005667CE">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110.4</w:t>
            </w:r>
          </w:p>
        </w:tc>
        <w:tc>
          <w:tcPr>
            <w:tcW w:w="625" w:type="pct"/>
          </w:tcPr>
          <w:p w:rsidR="00101E39" w:rsidRPr="00551606" w:rsidRDefault="00101E39" w:rsidP="005667CE">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94.9</w:t>
            </w:r>
          </w:p>
        </w:tc>
        <w:tc>
          <w:tcPr>
            <w:tcW w:w="625" w:type="pct"/>
          </w:tcPr>
          <w:p w:rsidR="00101E39" w:rsidRPr="00551606" w:rsidRDefault="00101E39" w:rsidP="005667CE">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89.4</w:t>
            </w:r>
          </w:p>
        </w:tc>
        <w:tc>
          <w:tcPr>
            <w:tcW w:w="625" w:type="pct"/>
          </w:tcPr>
          <w:p w:rsidR="00101E39" w:rsidRPr="00551606" w:rsidRDefault="00101E39" w:rsidP="005667CE">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81.3</w:t>
            </w:r>
          </w:p>
        </w:tc>
        <w:tc>
          <w:tcPr>
            <w:tcW w:w="625" w:type="pct"/>
          </w:tcPr>
          <w:p w:rsidR="00101E39" w:rsidRPr="00551606" w:rsidRDefault="00101E39" w:rsidP="005667CE">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520.7</w:t>
            </w:r>
          </w:p>
        </w:tc>
      </w:tr>
      <w:tr w:rsidR="00FF3F88" w:rsidRPr="005667CE" w:rsidTr="005667CE">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F3F88" w:rsidRPr="005667CE" w:rsidRDefault="005667CE" w:rsidP="005667CE">
            <w:r w:rsidRPr="005667CE">
              <w:t>Capitalised overheads</w:t>
            </w:r>
          </w:p>
        </w:tc>
        <w:tc>
          <w:tcPr>
            <w:tcW w:w="625" w:type="pct"/>
          </w:tcPr>
          <w:p w:rsidR="00FF3F88" w:rsidRPr="005667CE" w:rsidRDefault="005A508F" w:rsidP="005667CE">
            <w:pPr>
              <w:cnfStyle w:val="000000000000" w:firstRow="0" w:lastRow="0" w:firstColumn="0" w:lastColumn="0" w:oddVBand="0" w:evenVBand="0" w:oddHBand="0" w:evenHBand="0" w:firstRowFirstColumn="0" w:firstRowLastColumn="0" w:lastRowFirstColumn="0" w:lastRowLastColumn="0"/>
            </w:pPr>
            <w:r>
              <w:t>11.8</w:t>
            </w:r>
          </w:p>
        </w:tc>
        <w:tc>
          <w:tcPr>
            <w:tcW w:w="625" w:type="pct"/>
          </w:tcPr>
          <w:p w:rsidR="00FF3F88" w:rsidRPr="005667CE" w:rsidRDefault="005A508F" w:rsidP="005667CE">
            <w:pPr>
              <w:cnfStyle w:val="000000000000" w:firstRow="0" w:lastRow="0" w:firstColumn="0" w:lastColumn="0" w:oddVBand="0" w:evenVBand="0" w:oddHBand="0" w:evenHBand="0" w:firstRowFirstColumn="0" w:firstRowLastColumn="0" w:lastRowFirstColumn="0" w:lastRowLastColumn="0"/>
            </w:pPr>
            <w:r>
              <w:t>11.5</w:t>
            </w:r>
          </w:p>
        </w:tc>
        <w:tc>
          <w:tcPr>
            <w:tcW w:w="625" w:type="pct"/>
          </w:tcPr>
          <w:p w:rsidR="00FF3F88" w:rsidRPr="005667CE" w:rsidRDefault="005A508F" w:rsidP="005667CE">
            <w:pPr>
              <w:cnfStyle w:val="000000000000" w:firstRow="0" w:lastRow="0" w:firstColumn="0" w:lastColumn="0" w:oddVBand="0" w:evenVBand="0" w:oddHBand="0" w:evenHBand="0" w:firstRowFirstColumn="0" w:firstRowLastColumn="0" w:lastRowFirstColumn="0" w:lastRowLastColumn="0"/>
            </w:pPr>
            <w:r>
              <w:t>11.4</w:t>
            </w:r>
          </w:p>
        </w:tc>
        <w:tc>
          <w:tcPr>
            <w:tcW w:w="625" w:type="pct"/>
          </w:tcPr>
          <w:p w:rsidR="00FF3F88" w:rsidRPr="005667CE" w:rsidRDefault="005A508F" w:rsidP="005667CE">
            <w:pPr>
              <w:cnfStyle w:val="000000000000" w:firstRow="0" w:lastRow="0" w:firstColumn="0" w:lastColumn="0" w:oddVBand="0" w:evenVBand="0" w:oddHBand="0" w:evenHBand="0" w:firstRowFirstColumn="0" w:firstRowLastColumn="0" w:lastRowFirstColumn="0" w:lastRowLastColumn="0"/>
            </w:pPr>
            <w:r>
              <w:t>9.6</w:t>
            </w:r>
          </w:p>
        </w:tc>
        <w:tc>
          <w:tcPr>
            <w:tcW w:w="625" w:type="pct"/>
          </w:tcPr>
          <w:p w:rsidR="00FF3F88" w:rsidRPr="005667CE" w:rsidRDefault="005A508F" w:rsidP="005667CE">
            <w:pPr>
              <w:cnfStyle w:val="000000000000" w:firstRow="0" w:lastRow="0" w:firstColumn="0" w:lastColumn="0" w:oddVBand="0" w:evenVBand="0" w:oddHBand="0" w:evenHBand="0" w:firstRowFirstColumn="0" w:firstRowLastColumn="0" w:lastRowFirstColumn="0" w:lastRowLastColumn="0"/>
            </w:pPr>
            <w:r>
              <w:t>8.1</w:t>
            </w:r>
          </w:p>
        </w:tc>
        <w:tc>
          <w:tcPr>
            <w:tcW w:w="625" w:type="pct"/>
          </w:tcPr>
          <w:p w:rsidR="00FF3F88" w:rsidRPr="005667CE" w:rsidRDefault="007F7504" w:rsidP="005667CE">
            <w:pPr>
              <w:cnfStyle w:val="000000000000" w:firstRow="0" w:lastRow="0" w:firstColumn="0" w:lastColumn="0" w:oddVBand="0" w:evenVBand="0" w:oddHBand="0" w:evenHBand="0" w:firstRowFirstColumn="0" w:firstRowLastColumn="0" w:lastRowFirstColumn="0" w:lastRowLastColumn="0"/>
            </w:pPr>
            <w:r>
              <w:t>52</w:t>
            </w:r>
            <w:r w:rsidR="005D7697">
              <w:t>.</w:t>
            </w:r>
            <w:r>
              <w:t>4</w:t>
            </w:r>
          </w:p>
        </w:tc>
      </w:tr>
      <w:tr w:rsidR="005A508F" w:rsidRPr="005667CE" w:rsidTr="005667C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5A508F" w:rsidRPr="00551606" w:rsidRDefault="005A508F" w:rsidP="005A508F">
            <w:pPr>
              <w:rPr>
                <w:rStyle w:val="Strong"/>
              </w:rPr>
            </w:pPr>
            <w:r w:rsidRPr="00551606">
              <w:rPr>
                <w:rStyle w:val="Strong"/>
              </w:rPr>
              <w:t>Total capex</w:t>
            </w:r>
          </w:p>
        </w:tc>
        <w:tc>
          <w:tcPr>
            <w:tcW w:w="625" w:type="pct"/>
          </w:tcPr>
          <w:p w:rsidR="005A508F" w:rsidRPr="00551606" w:rsidRDefault="005A508F" w:rsidP="005A508F">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156.5</w:t>
            </w:r>
          </w:p>
        </w:tc>
        <w:tc>
          <w:tcPr>
            <w:tcW w:w="625" w:type="pct"/>
          </w:tcPr>
          <w:p w:rsidR="005A508F" w:rsidRPr="00551606" w:rsidRDefault="005A508F" w:rsidP="005A508F">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121.9</w:t>
            </w:r>
          </w:p>
        </w:tc>
        <w:tc>
          <w:tcPr>
            <w:tcW w:w="625" w:type="pct"/>
          </w:tcPr>
          <w:p w:rsidR="005A508F" w:rsidRPr="00551606" w:rsidRDefault="005A508F" w:rsidP="005A508F">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106.3</w:t>
            </w:r>
          </w:p>
        </w:tc>
        <w:tc>
          <w:tcPr>
            <w:tcW w:w="625" w:type="pct"/>
          </w:tcPr>
          <w:p w:rsidR="005A508F" w:rsidRPr="00551606" w:rsidRDefault="005A508F" w:rsidP="005A508F">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99.0</w:t>
            </w:r>
          </w:p>
        </w:tc>
        <w:tc>
          <w:tcPr>
            <w:tcW w:w="625" w:type="pct"/>
          </w:tcPr>
          <w:p w:rsidR="005A508F" w:rsidRPr="00551606" w:rsidRDefault="005A508F" w:rsidP="005A508F">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89.4</w:t>
            </w:r>
          </w:p>
        </w:tc>
        <w:tc>
          <w:tcPr>
            <w:tcW w:w="625" w:type="pct"/>
          </w:tcPr>
          <w:p w:rsidR="005A508F" w:rsidRPr="00551606" w:rsidRDefault="005A508F" w:rsidP="005A508F">
            <w:pPr>
              <w:cnfStyle w:val="000000010000" w:firstRow="0" w:lastRow="0" w:firstColumn="0" w:lastColumn="0" w:oddVBand="0" w:evenVBand="0" w:oddHBand="0" w:evenHBand="1" w:firstRowFirstColumn="0" w:firstRowLastColumn="0" w:lastRowFirstColumn="0" w:lastRowLastColumn="0"/>
              <w:rPr>
                <w:rStyle w:val="Strong"/>
              </w:rPr>
            </w:pPr>
            <w:r w:rsidRPr="00551606">
              <w:rPr>
                <w:rStyle w:val="Strong"/>
              </w:rPr>
              <w:t>573.1</w:t>
            </w:r>
          </w:p>
        </w:tc>
      </w:tr>
    </w:tbl>
    <w:p w:rsidR="00FF3F88" w:rsidRPr="005531F2" w:rsidRDefault="00FF3F88" w:rsidP="00FF3F88">
      <w:pPr>
        <w:pStyle w:val="AERtablesource"/>
      </w:pPr>
      <w:r w:rsidRPr="005531F2">
        <w:t>Source:</w:t>
      </w:r>
      <w:r w:rsidRPr="005531F2">
        <w:tab/>
        <w:t>AER analysis</w:t>
      </w:r>
      <w:r>
        <w:t>.</w:t>
      </w:r>
      <w:r w:rsidRPr="005531F2">
        <w:tab/>
      </w:r>
    </w:p>
    <w:p w:rsidR="003C2037" w:rsidRPr="005531F2" w:rsidRDefault="003C2037" w:rsidP="003C2037">
      <w:pPr>
        <w:pStyle w:val="AERtablesource"/>
        <w:numPr>
          <w:ilvl w:val="0"/>
          <w:numId w:val="25"/>
        </w:numPr>
      </w:pPr>
      <w:r w:rsidRPr="005531F2">
        <w:t>Note:</w:t>
      </w:r>
      <w:r w:rsidRPr="005531F2" w:rsidDel="002A0B9F">
        <w:t xml:space="preserve"> </w:t>
      </w:r>
      <w:r w:rsidRPr="005531F2">
        <w:tab/>
        <w:t>Numbers may not add up due to rounding.</w:t>
      </w:r>
      <w:r>
        <w:t xml:space="preserve"> The AER draft decision numbers include updated CPI estimates </w:t>
      </w:r>
      <w:r w:rsidR="004E52FF">
        <w:tab/>
      </w:r>
      <w:r>
        <w:t>to escalate the forecasts into 2016-17 dollars</w:t>
      </w:r>
      <w:r w:rsidR="004E52FF">
        <w:t>.</w:t>
      </w:r>
      <w:r>
        <w:t xml:space="preserve"> </w:t>
      </w:r>
    </w:p>
    <w:p w:rsidR="005C6531" w:rsidRPr="00E2407E" w:rsidRDefault="005C6531" w:rsidP="005C6531">
      <w:r>
        <w:t>Our</w:t>
      </w:r>
      <w:r w:rsidRPr="00E2407E">
        <w:t xml:space="preserve"> </w:t>
      </w:r>
      <w:r>
        <w:t>alternative estimate of $</w:t>
      </w:r>
      <w:r w:rsidR="00345F81">
        <w:t>573.1</w:t>
      </w:r>
      <w:r w:rsidRPr="00E2407E">
        <w:t xml:space="preserve"> mil</w:t>
      </w:r>
      <w:r>
        <w:t>lion is $</w:t>
      </w:r>
      <w:r w:rsidR="00B5726C">
        <w:t>172.</w:t>
      </w:r>
      <w:r w:rsidR="00345F81">
        <w:t xml:space="preserve">5 </w:t>
      </w:r>
      <w:r>
        <w:t>million lower</w:t>
      </w:r>
      <w:r w:rsidRPr="00E2407E">
        <w:t xml:space="preserve"> than </w:t>
      </w:r>
      <w:r>
        <w:t xml:space="preserve">AusNet Services' forecast of </w:t>
      </w:r>
      <w:r w:rsidR="00FC539C">
        <w:t>$</w:t>
      </w:r>
      <w:r w:rsidR="0038577F">
        <w:t>745.6</w:t>
      </w:r>
      <w:r w:rsidRPr="00E2407E">
        <w:t xml:space="preserve"> million. The key components of our </w:t>
      </w:r>
      <w:r>
        <w:t xml:space="preserve">draft </w:t>
      </w:r>
      <w:r w:rsidRPr="00E2407E">
        <w:t xml:space="preserve">decision include: </w:t>
      </w:r>
    </w:p>
    <w:p w:rsidR="00FC539C" w:rsidRDefault="005C6531" w:rsidP="005C6531">
      <w:pPr>
        <w:pStyle w:val="AERbulletlistfirststyle"/>
      </w:pPr>
      <w:r>
        <w:t>r</w:t>
      </w:r>
      <w:r w:rsidR="00FC539C">
        <w:t xml:space="preserve">eductions in </w:t>
      </w:r>
      <w:r w:rsidR="00880C9E">
        <w:t>repex related to e</w:t>
      </w:r>
      <w:r>
        <w:t xml:space="preserve">stimated risks associated with safety </w:t>
      </w:r>
      <w:r w:rsidR="00412B86">
        <w:t>($</w:t>
      </w:r>
      <w:r w:rsidR="004E52FF">
        <w:t>99.0</w:t>
      </w:r>
      <w:r w:rsidR="0006611A">
        <w:t xml:space="preserve"> </w:t>
      </w:r>
      <w:r w:rsidR="00412B86">
        <w:t>million)</w:t>
      </w:r>
      <w:r w:rsidR="00880C9E">
        <w:t xml:space="preserve"> </w:t>
      </w:r>
      <w:r>
        <w:t>based on a more realistic assumption of the probability of safety related outcomes</w:t>
      </w:r>
      <w:r w:rsidR="00FC539C">
        <w:t xml:space="preserve"> </w:t>
      </w:r>
    </w:p>
    <w:p w:rsidR="005C6531" w:rsidRPr="00E2407E" w:rsidRDefault="005C6531" w:rsidP="005C6531">
      <w:pPr>
        <w:pStyle w:val="AERbulletlistfirststyle"/>
      </w:pPr>
      <w:r>
        <w:t xml:space="preserve">reductions in </w:t>
      </w:r>
      <w:r w:rsidR="00880C9E">
        <w:t xml:space="preserve">repex related to </w:t>
      </w:r>
      <w:r>
        <w:t xml:space="preserve">reliability risk </w:t>
      </w:r>
      <w:r w:rsidR="00412B86">
        <w:t>($</w:t>
      </w:r>
      <w:r w:rsidR="0006611A">
        <w:t>4</w:t>
      </w:r>
      <w:r w:rsidR="004E52FF">
        <w:t>4</w:t>
      </w:r>
      <w:r w:rsidR="0006611A">
        <w:t>.1</w:t>
      </w:r>
      <w:r w:rsidR="00412B86">
        <w:t xml:space="preserve"> million)</w:t>
      </w:r>
      <w:r w:rsidR="00880C9E">
        <w:t xml:space="preserve"> </w:t>
      </w:r>
      <w:r w:rsidRPr="00E2407E">
        <w:t xml:space="preserve">driven by updated forecasts of </w:t>
      </w:r>
      <w:r>
        <w:t xml:space="preserve">transmission connection point demand and adoption of </w:t>
      </w:r>
      <w:r w:rsidR="00FC539C">
        <w:t xml:space="preserve">the </w:t>
      </w:r>
      <w:r>
        <w:t xml:space="preserve">AEMO forecasts </w:t>
      </w:r>
    </w:p>
    <w:p w:rsidR="00D867B6" w:rsidRDefault="00D867B6" w:rsidP="00D867B6">
      <w:pPr>
        <w:pStyle w:val="AERbulletlistfirststyle"/>
      </w:pPr>
      <w:r>
        <w:t xml:space="preserve">reductions in project cost estimates to ensure the forecast is unbiased </w:t>
      </w:r>
      <w:r w:rsidR="00412B86">
        <w:t>($</w:t>
      </w:r>
      <w:r w:rsidR="004E52FF">
        <w:t>13.5 </w:t>
      </w:r>
      <w:r w:rsidR="00412B86">
        <w:t>million)</w:t>
      </w:r>
    </w:p>
    <w:p w:rsidR="004E52FF" w:rsidRPr="00E2407E" w:rsidRDefault="004E52FF" w:rsidP="00D867B6">
      <w:pPr>
        <w:pStyle w:val="AERbulletlistfirststyle"/>
      </w:pPr>
      <w:r>
        <w:t>reductions resulting from the application of updated CPI figures ($13.3 million)</w:t>
      </w:r>
    </w:p>
    <w:p w:rsidR="00D867B6" w:rsidRDefault="00300F01" w:rsidP="005C6531">
      <w:pPr>
        <w:pStyle w:val="AERbulletlistfirststyle"/>
      </w:pPr>
      <w:proofErr w:type="gramStart"/>
      <w:r>
        <w:t>reductions</w:t>
      </w:r>
      <w:proofErr w:type="gramEnd"/>
      <w:r>
        <w:t xml:space="preserve"> in non-network</w:t>
      </w:r>
      <w:r w:rsidR="00FC539C">
        <w:t xml:space="preserve"> </w:t>
      </w:r>
      <w:r w:rsidR="00056EFC">
        <w:t xml:space="preserve">ICT </w:t>
      </w:r>
      <w:r w:rsidR="00FC539C">
        <w:t>expenditure</w:t>
      </w:r>
      <w:r w:rsidR="00610DE2">
        <w:t xml:space="preserve"> ($</w:t>
      </w:r>
      <w:r w:rsidR="00444343">
        <w:t>4.6</w:t>
      </w:r>
      <w:r w:rsidR="0006611A">
        <w:t xml:space="preserve"> </w:t>
      </w:r>
      <w:r w:rsidR="00610DE2">
        <w:t>million)</w:t>
      </w:r>
      <w:r w:rsidR="00FC539C">
        <w:t>, where this expenditure has not been supported by business cases or where no supporting information was provided</w:t>
      </w:r>
      <w:r w:rsidR="00880C9E">
        <w:t>.</w:t>
      </w:r>
    </w:p>
    <w:p w:rsidR="00BF7BE7" w:rsidRDefault="00FF3F88" w:rsidP="00BF7BE7">
      <w:r w:rsidRPr="00994E53">
        <w:t>Our assessment</w:t>
      </w:r>
      <w:r w:rsidR="004C7C35">
        <w:t>s</w:t>
      </w:r>
      <w:r w:rsidRPr="00994E53">
        <w:t xml:space="preserve"> of</w:t>
      </w:r>
      <w:r w:rsidR="0054679E">
        <w:t xml:space="preserve"> capex drivers are in appendix</w:t>
      </w:r>
      <w:r w:rsidRPr="00994E53">
        <w:t xml:space="preserve"> </w:t>
      </w:r>
      <w:r w:rsidR="0054679E">
        <w:t>B</w:t>
      </w:r>
      <w:r w:rsidRPr="00994E53">
        <w:t>. These set out the application of our assessment techniques to the capex drivers, and the weighting we gave to particular techniques. We used our reasoning in the appendices to form our alternative estimate.</w:t>
      </w:r>
    </w:p>
    <w:p w:rsidR="00043467" w:rsidRDefault="00043467" w:rsidP="00BF7BE7">
      <w:r w:rsidRPr="00994E53">
        <w:t xml:space="preserve">We discuss our assessment of </w:t>
      </w:r>
      <w:r>
        <w:t>AusNet Services'</w:t>
      </w:r>
      <w:r w:rsidRPr="00994E53">
        <w:t xml:space="preserve"> forecasting methodology, key assumptions and past capex performance in the sections below. </w:t>
      </w:r>
    </w:p>
    <w:p w:rsidR="00C249BE" w:rsidRDefault="0038577F" w:rsidP="00C010EB">
      <w:pPr>
        <w:pStyle w:val="Heading3"/>
      </w:pPr>
      <w:bookmarkStart w:id="36" w:name="_Toc456608784"/>
      <w:r>
        <w:t>Efficiency r</w:t>
      </w:r>
      <w:r w:rsidR="000905D0">
        <w:t>eview</w:t>
      </w:r>
      <w:r w:rsidR="00C249BE">
        <w:t xml:space="preserve"> of past capital expenditure</w:t>
      </w:r>
      <w:bookmarkEnd w:id="36"/>
    </w:p>
    <w:p w:rsidR="00742683" w:rsidRDefault="00B27F43" w:rsidP="00B27F43">
      <w:r>
        <w:t xml:space="preserve">The capex incentive regime aims to ensure that </w:t>
      </w:r>
      <w:r w:rsidRPr="00B27F43">
        <w:t xml:space="preserve">only </w:t>
      </w:r>
      <w:r>
        <w:t>capex</w:t>
      </w:r>
      <w:r w:rsidRPr="00B27F43">
        <w:t xml:space="preserve"> that i</w:t>
      </w:r>
      <w:r>
        <w:t>s efficient should enter the regulatory asset base</w:t>
      </w:r>
      <w:r w:rsidRPr="00B27F43">
        <w:t xml:space="preserve"> to be recovered from</w:t>
      </w:r>
      <w:r>
        <w:t xml:space="preserve"> consumers.</w:t>
      </w:r>
      <w:r>
        <w:rPr>
          <w:rStyle w:val="FootnoteReference"/>
        </w:rPr>
        <w:footnoteReference w:id="25"/>
      </w:r>
      <w:r>
        <w:t xml:space="preserve"> </w:t>
      </w:r>
      <w:r w:rsidR="00742683">
        <w:t>W</w:t>
      </w:r>
      <w:r>
        <w:t xml:space="preserve">e are required to </w:t>
      </w:r>
      <w:r>
        <w:lastRenderedPageBreak/>
        <w:t xml:space="preserve">provide a statement on whether past expenditure included in the </w:t>
      </w:r>
      <w:r w:rsidR="0016256D">
        <w:t xml:space="preserve">roll forward of the </w:t>
      </w:r>
      <w:r>
        <w:t>regulatory asset base is efficient and prudent.</w:t>
      </w:r>
      <w:r>
        <w:rPr>
          <w:rStyle w:val="FootnoteReference"/>
        </w:rPr>
        <w:footnoteReference w:id="26"/>
      </w:r>
      <w:r>
        <w:t xml:space="preserve"> </w:t>
      </w:r>
      <w:r w:rsidR="00742683">
        <w:t>For this decision, our statement relates only to the 2014</w:t>
      </w:r>
      <w:r w:rsidR="00742683">
        <w:noBreakHyphen/>
        <w:t>15 regulatory year.</w:t>
      </w:r>
      <w:r w:rsidR="00742683">
        <w:rPr>
          <w:rStyle w:val="FootnoteReference"/>
        </w:rPr>
        <w:footnoteReference w:id="27"/>
      </w:r>
      <w:r w:rsidR="00742683">
        <w:t xml:space="preserve"> </w:t>
      </w:r>
    </w:p>
    <w:p w:rsidR="000905D0" w:rsidRDefault="00B27F43" w:rsidP="00B27F43">
      <w:r>
        <w:t xml:space="preserve">We have assessed </w:t>
      </w:r>
      <w:r w:rsidRPr="00D6334E">
        <w:t xml:space="preserve">the extent to which the roll forward of the regulatory asset base from the </w:t>
      </w:r>
      <w:r>
        <w:t>2014-17</w:t>
      </w:r>
      <w:r w:rsidRPr="00D6334E">
        <w:t xml:space="preserve"> regulatory control period to the commencement of the </w:t>
      </w:r>
      <w:r>
        <w:t xml:space="preserve">2017-22 </w:t>
      </w:r>
      <w:r w:rsidRPr="00D6334E">
        <w:t>regulatory control period contributes to the achievement of the capital expenditure incentive objective</w:t>
      </w:r>
      <w:r>
        <w:t>.</w:t>
      </w:r>
      <w:r>
        <w:rPr>
          <w:rStyle w:val="FootnoteReference"/>
        </w:rPr>
        <w:footnoteReference w:id="28"/>
      </w:r>
      <w:r>
        <w:t xml:space="preserve"> The capital expenditure objective essentially requires that only prudent and efficient expenditure is included in the regulatory asset base. </w:t>
      </w:r>
    </w:p>
    <w:p w:rsidR="008D73A5" w:rsidRDefault="008D73A5" w:rsidP="00C249BE">
      <w:r>
        <w:t xml:space="preserve">Our approach to this assessment is consistent with our </w:t>
      </w:r>
      <w:r w:rsidR="008E61CC">
        <w:t xml:space="preserve">Capital </w:t>
      </w:r>
      <w:r>
        <w:t>Expenditure Incentive Guideline</w:t>
      </w:r>
      <w:r w:rsidR="0088353D">
        <w:t>.</w:t>
      </w:r>
      <w:r w:rsidR="00F96387">
        <w:rPr>
          <w:rStyle w:val="FootnoteReference"/>
        </w:rPr>
        <w:footnoteReference w:id="29"/>
      </w:r>
      <w:r w:rsidR="0088353D">
        <w:t xml:space="preserve"> Our Guideline outlines a two stage process for assessing whether past expenditure is likely to be efficient and prudent.</w:t>
      </w:r>
      <w:r w:rsidR="00F96387">
        <w:rPr>
          <w:rStyle w:val="FootnoteReference"/>
        </w:rPr>
        <w:footnoteReference w:id="30"/>
      </w:r>
      <w:r>
        <w:t xml:space="preserve"> </w:t>
      </w:r>
      <w:r w:rsidR="0088353D">
        <w:t>The first stage co</w:t>
      </w:r>
      <w:r w:rsidR="009D7722">
        <w:t xml:space="preserve">nsiders whether a </w:t>
      </w:r>
      <w:r w:rsidR="00AD0690">
        <w:t>service provider</w:t>
      </w:r>
      <w:r w:rsidR="009D7722">
        <w:t xml:space="preserve"> has over</w:t>
      </w:r>
      <w:r w:rsidR="0088353D">
        <w:t>-spen</w:t>
      </w:r>
      <w:r w:rsidR="0016256D">
        <w:t>t</w:t>
      </w:r>
      <w:r w:rsidR="0088353D">
        <w:t xml:space="preserve"> against its approved total capex forecast and whether the </w:t>
      </w:r>
      <w:r w:rsidR="00AD0690">
        <w:t>service provider</w:t>
      </w:r>
      <w:r w:rsidR="0016256D">
        <w:t>'</w:t>
      </w:r>
      <w:r w:rsidR="00AD0690">
        <w:t>s</w:t>
      </w:r>
      <w:r w:rsidR="0088353D">
        <w:t xml:space="preserve"> expenditure compares favourably with previous levels of capex and with other </w:t>
      </w:r>
      <w:r w:rsidR="00AD0690">
        <w:t>service providers</w:t>
      </w:r>
      <w:r w:rsidR="0088353D">
        <w:t>.</w:t>
      </w:r>
    </w:p>
    <w:p w:rsidR="000905D0" w:rsidRDefault="006F4924" w:rsidP="00C249BE">
      <w:r>
        <w:t>As discussed in appendix E</w:t>
      </w:r>
      <w:r w:rsidR="000905D0">
        <w:t xml:space="preserve">, our assessment of AusNet Services' past capex relates only to the 2014-15 regulatory year. We </w:t>
      </w:r>
      <w:r w:rsidR="0038577F">
        <w:t xml:space="preserve">are satisfied that </w:t>
      </w:r>
      <w:r w:rsidR="00097F1E">
        <w:t xml:space="preserve">AusNet Services' </w:t>
      </w:r>
      <w:r w:rsidR="0038577F">
        <w:t xml:space="preserve">actual </w:t>
      </w:r>
      <w:r w:rsidR="00097F1E">
        <w:t xml:space="preserve">capex was </w:t>
      </w:r>
      <w:r w:rsidR="00322644">
        <w:t xml:space="preserve">likely to be </w:t>
      </w:r>
      <w:r w:rsidR="00097F1E">
        <w:t xml:space="preserve">prudent and efficient </w:t>
      </w:r>
      <w:r w:rsidR="000905D0">
        <w:t>on the basis that:</w:t>
      </w:r>
    </w:p>
    <w:p w:rsidR="00C249BE" w:rsidRDefault="000905D0" w:rsidP="00C010EB">
      <w:pPr>
        <w:pStyle w:val="AERbulletlistfirststyle"/>
      </w:pPr>
      <w:r>
        <w:t xml:space="preserve">AusNet Services has under-spent its total capex </w:t>
      </w:r>
      <w:r w:rsidR="0088353D">
        <w:t>against our approved total capex forecast</w:t>
      </w:r>
      <w:r>
        <w:t>; and</w:t>
      </w:r>
    </w:p>
    <w:p w:rsidR="000905D0" w:rsidRPr="00C249BE" w:rsidRDefault="000905D0" w:rsidP="00C010EB">
      <w:pPr>
        <w:pStyle w:val="AERbulletlistfirststyle"/>
      </w:pPr>
      <w:proofErr w:type="gramStart"/>
      <w:r>
        <w:t>economic</w:t>
      </w:r>
      <w:proofErr w:type="gramEnd"/>
      <w:r>
        <w:t xml:space="preserve"> benchmarking analysis does not suggest that </w:t>
      </w:r>
      <w:r w:rsidR="00097F1E">
        <w:t xml:space="preserve">expenditure in </w:t>
      </w:r>
      <w:r>
        <w:t xml:space="preserve">the 2014-15 regulatory year </w:t>
      </w:r>
      <w:r w:rsidR="00097F1E">
        <w:t xml:space="preserve">was inefficient relative to </w:t>
      </w:r>
      <w:r w:rsidR="0047022E">
        <w:t>previous</w:t>
      </w:r>
      <w:r w:rsidR="00097F1E">
        <w:t xml:space="preserve"> levels of efficiency performance.</w:t>
      </w:r>
    </w:p>
    <w:p w:rsidR="000C1C93" w:rsidRPr="000C1C93" w:rsidRDefault="000C1C93" w:rsidP="000C1C93">
      <w:pPr>
        <w:pStyle w:val="Heading3"/>
      </w:pPr>
      <w:bookmarkStart w:id="37" w:name="_Toc456608785"/>
      <w:r w:rsidRPr="000C1C93">
        <w:t>Key assumptions</w:t>
      </w:r>
      <w:bookmarkEnd w:id="37"/>
    </w:p>
    <w:p w:rsidR="00BF5B4A" w:rsidRDefault="00BF5B4A" w:rsidP="00BF5B4A">
      <w:r>
        <w:t>The NER requires AusNet Services</w:t>
      </w:r>
      <w:r w:rsidR="0029629D">
        <w:t>'</w:t>
      </w:r>
      <w:r>
        <w:t xml:space="preserve"> to include in its </w:t>
      </w:r>
      <w:r w:rsidR="00880E37">
        <w:t>revenue proposal</w:t>
      </w:r>
      <w:r>
        <w:t xml:space="preserve"> the key assumptions that underlie its proposed forecast capex. AusNet Services</w:t>
      </w:r>
      <w:r w:rsidR="0029629D">
        <w:t>'</w:t>
      </w:r>
      <w:r>
        <w:t xml:space="preserve"> must also provide a certification by its Directors that those key assumptions are reasonable.</w:t>
      </w:r>
      <w:r>
        <w:rPr>
          <w:rStyle w:val="FootnoteReference"/>
        </w:rPr>
        <w:footnoteReference w:id="31"/>
      </w:r>
    </w:p>
    <w:p w:rsidR="00BF5B4A" w:rsidRDefault="00BF5B4A" w:rsidP="00BF5B4A">
      <w:r>
        <w:t>The key assumptions and inputs that underlie AusNet Services' capex forecasts are:</w:t>
      </w:r>
      <w:r>
        <w:rPr>
          <w:rStyle w:val="FootnoteReference"/>
        </w:rPr>
        <w:footnoteReference w:id="32"/>
      </w:r>
    </w:p>
    <w:p w:rsidR="00D51030" w:rsidRDefault="00D51030" w:rsidP="00BF5B4A">
      <w:pPr>
        <w:pStyle w:val="AERbulletlistfirststyle"/>
      </w:pPr>
      <w:r>
        <w:t>compliance with applicable regulatory and legislative requirements</w:t>
      </w:r>
    </w:p>
    <w:p w:rsidR="00BF5B4A" w:rsidRPr="00506AC0" w:rsidRDefault="00BF5B4A" w:rsidP="00BF5B4A">
      <w:pPr>
        <w:pStyle w:val="AERbulletlistfirststyle"/>
      </w:pPr>
      <w:r>
        <w:t>demand forecasts</w:t>
      </w:r>
    </w:p>
    <w:p w:rsidR="00BF5B4A" w:rsidRPr="00506AC0" w:rsidRDefault="008617DB" w:rsidP="00BF5B4A">
      <w:pPr>
        <w:pStyle w:val="AERbulletlistfirststyle"/>
      </w:pPr>
      <w:r>
        <w:t xml:space="preserve">the value of customer </w:t>
      </w:r>
      <w:r w:rsidR="00BF5B4A">
        <w:t>reliability</w:t>
      </w:r>
    </w:p>
    <w:p w:rsidR="00BF5B4A" w:rsidRPr="00506AC0" w:rsidRDefault="00BF5B4A" w:rsidP="00BF5B4A">
      <w:pPr>
        <w:pStyle w:val="AERbulletlistfirststyle"/>
      </w:pPr>
      <w:r>
        <w:lastRenderedPageBreak/>
        <w:t>a</w:t>
      </w:r>
      <w:r w:rsidR="008617DB">
        <w:t>sset condition and failure risk assessments</w:t>
      </w:r>
    </w:p>
    <w:p w:rsidR="00BF5B4A" w:rsidRDefault="00BF5B4A" w:rsidP="00BF5B4A">
      <w:pPr>
        <w:pStyle w:val="AERbulletlistfirststyle"/>
      </w:pPr>
      <w:r>
        <w:t>p</w:t>
      </w:r>
      <w:r w:rsidRPr="00506AC0">
        <w:t>rojec</w:t>
      </w:r>
      <w:r>
        <w:t>t cost estimates and unit rates</w:t>
      </w:r>
    </w:p>
    <w:p w:rsidR="008617DB" w:rsidRPr="00506AC0" w:rsidRDefault="008617DB" w:rsidP="00BF5B4A">
      <w:pPr>
        <w:pStyle w:val="AERbulletlistfirststyle"/>
      </w:pPr>
      <w:r>
        <w:t xml:space="preserve">capex portfolio efficiency </w:t>
      </w:r>
    </w:p>
    <w:p w:rsidR="008617DB" w:rsidRPr="00506AC0" w:rsidRDefault="008617DB" w:rsidP="008617DB">
      <w:pPr>
        <w:pStyle w:val="AERbulletlistfirststyle"/>
      </w:pPr>
      <w:r>
        <w:t>capex / opex interactions</w:t>
      </w:r>
    </w:p>
    <w:p w:rsidR="00BF5B4A" w:rsidRDefault="00BF5B4A" w:rsidP="008617DB">
      <w:pPr>
        <w:pStyle w:val="AERbulletlistfirststyle"/>
      </w:pPr>
      <w:proofErr w:type="gramStart"/>
      <w:r>
        <w:t>cost</w:t>
      </w:r>
      <w:proofErr w:type="gramEnd"/>
      <w:r>
        <w:t xml:space="preserve"> escalators</w:t>
      </w:r>
      <w:r w:rsidRPr="00506AC0">
        <w:t>.</w:t>
      </w:r>
    </w:p>
    <w:p w:rsidR="000C1C93" w:rsidRDefault="00BF5B4A" w:rsidP="00BF7BE7">
      <w:r>
        <w:t>We assessed AusNet S</w:t>
      </w:r>
      <w:r w:rsidR="00A52F7E">
        <w:t xml:space="preserve">ervices' key assumptions in </w:t>
      </w:r>
      <w:r>
        <w:t xml:space="preserve">appendices </w:t>
      </w:r>
      <w:r w:rsidR="005935ED">
        <w:t xml:space="preserve">B and C </w:t>
      </w:r>
      <w:r>
        <w:t>to this capex attachment.</w:t>
      </w:r>
      <w:r w:rsidR="008617DB">
        <w:t xml:space="preserve"> </w:t>
      </w:r>
      <w:r w:rsidR="008617DB" w:rsidRPr="008617DB">
        <w:t xml:space="preserve">We have identified concerns with some of the key assumptions relied upon by </w:t>
      </w:r>
      <w:r w:rsidR="008617DB">
        <w:t>AusNet Services</w:t>
      </w:r>
      <w:r w:rsidR="0029629D">
        <w:t>'</w:t>
      </w:r>
      <w:r w:rsidR="008617DB" w:rsidRPr="008617DB">
        <w:t xml:space="preserve"> either in how they were formulated or applied</w:t>
      </w:r>
      <w:r w:rsidR="00C84D37">
        <w:t xml:space="preserve"> (e.g</w:t>
      </w:r>
      <w:r w:rsidR="00A566AB">
        <w:t>.</w:t>
      </w:r>
      <w:r w:rsidR="00C84D37">
        <w:t xml:space="preserve"> we have used updated demand forecasts</w:t>
      </w:r>
      <w:r w:rsidR="006F4924">
        <w:t xml:space="preserve"> and </w:t>
      </w:r>
      <w:r w:rsidR="00704ABE">
        <w:t>adopted some alternative assumptions/inputs</w:t>
      </w:r>
      <w:r w:rsidR="006F4924">
        <w:t xml:space="preserve"> used to quantify risk</w:t>
      </w:r>
      <w:r w:rsidR="00C84D37">
        <w:t>)</w:t>
      </w:r>
      <w:r w:rsidR="008617DB" w:rsidRPr="008617DB">
        <w:t xml:space="preserve">. These concerns contribute to our </w:t>
      </w:r>
      <w:r w:rsidR="005935ED">
        <w:t xml:space="preserve">draft </w:t>
      </w:r>
      <w:r w:rsidR="008617DB" w:rsidRPr="008617DB">
        <w:t xml:space="preserve">decision that we are not satisfied that </w:t>
      </w:r>
      <w:r w:rsidR="008617DB">
        <w:t>AusNet Services'</w:t>
      </w:r>
      <w:r w:rsidR="008617DB" w:rsidRPr="008617DB">
        <w:t xml:space="preserve"> forecast capex reasonably reflects the capex criteria.</w:t>
      </w:r>
    </w:p>
    <w:p w:rsidR="000C1C93" w:rsidRDefault="000C1C93" w:rsidP="000C1C93">
      <w:pPr>
        <w:pStyle w:val="Heading3"/>
      </w:pPr>
      <w:bookmarkStart w:id="38" w:name="_Toc456608786"/>
      <w:r>
        <w:t>Forecasting methodology</w:t>
      </w:r>
      <w:bookmarkEnd w:id="38"/>
    </w:p>
    <w:p w:rsidR="00894BB0" w:rsidRPr="00894BB0" w:rsidRDefault="00894BB0" w:rsidP="00894BB0">
      <w:r>
        <w:t>The NER requires AusNet Services</w:t>
      </w:r>
      <w:r w:rsidRPr="00894BB0">
        <w:t xml:space="preserve"> to </w:t>
      </w:r>
      <w:r>
        <w:t xml:space="preserve">set out </w:t>
      </w:r>
      <w:r w:rsidRPr="00894BB0">
        <w:t xml:space="preserve">the methodology it proposes to use to prepare its forecast capex allowance before it submits its </w:t>
      </w:r>
      <w:r w:rsidR="00AF4C69">
        <w:t>revenue</w:t>
      </w:r>
      <w:r w:rsidRPr="00894BB0">
        <w:t xml:space="preserve"> proposal.</w:t>
      </w:r>
      <w:r w:rsidRPr="00894BB0">
        <w:rPr>
          <w:rStyle w:val="FootnoteReference"/>
        </w:rPr>
        <w:footnoteReference w:id="33"/>
      </w:r>
      <w:r w:rsidRPr="00894BB0">
        <w:t xml:space="preserve"> </w:t>
      </w:r>
      <w:r>
        <w:t>AusNet Services</w:t>
      </w:r>
      <w:r w:rsidR="0029629D">
        <w:t>'</w:t>
      </w:r>
      <w:r>
        <w:t xml:space="preserve"> </w:t>
      </w:r>
      <w:r w:rsidRPr="00894BB0">
        <w:t xml:space="preserve">must include this information in its </w:t>
      </w:r>
      <w:r w:rsidR="00A566AB">
        <w:t>revenue</w:t>
      </w:r>
      <w:r w:rsidR="00A566AB" w:rsidRPr="00894BB0">
        <w:t xml:space="preserve"> </w:t>
      </w:r>
      <w:r w:rsidRPr="00894BB0">
        <w:t>proposal.</w:t>
      </w:r>
      <w:r w:rsidRPr="00894BB0">
        <w:rPr>
          <w:rStyle w:val="FootnoteReference"/>
        </w:rPr>
        <w:footnoteReference w:id="34"/>
      </w:r>
    </w:p>
    <w:p w:rsidR="00894BB0" w:rsidRDefault="00894BB0" w:rsidP="00894BB0">
      <w:r>
        <w:t>AusNet Services submitted that its forecasting methodology for replacement expenditure has two stages:</w:t>
      </w:r>
      <w:r w:rsidR="00172AD4">
        <w:rPr>
          <w:rStyle w:val="FootnoteReference"/>
        </w:rPr>
        <w:footnoteReference w:id="35"/>
      </w:r>
    </w:p>
    <w:p w:rsidR="00894BB0" w:rsidRDefault="00894BB0" w:rsidP="00C010EB">
      <w:pPr>
        <w:pStyle w:val="AERbulletlistfirststyle"/>
      </w:pPr>
      <w:r>
        <w:t>Stage 1: project based evaluation (bottom up); and</w:t>
      </w:r>
    </w:p>
    <w:p w:rsidR="00894BB0" w:rsidRPr="00894BB0" w:rsidRDefault="00894BB0" w:rsidP="00C010EB">
      <w:pPr>
        <w:pStyle w:val="AERbulletlistfirststyle"/>
      </w:pPr>
      <w:r>
        <w:t>Stage 2: aggregation and efficiencies (top down).</w:t>
      </w:r>
    </w:p>
    <w:p w:rsidR="000C1C93" w:rsidRDefault="00043467" w:rsidP="00BF7BE7">
      <w:r>
        <w:t>AusNet Services</w:t>
      </w:r>
      <w:r w:rsidR="0029629D">
        <w:t>'</w:t>
      </w:r>
      <w:r>
        <w:t xml:space="preserve"> submitted that t</w:t>
      </w:r>
      <w:r w:rsidR="00894BB0">
        <w:t>he key aspects of stage one involves:</w:t>
      </w:r>
      <w:r w:rsidR="00172AD4">
        <w:rPr>
          <w:rStyle w:val="FootnoteReference"/>
        </w:rPr>
        <w:footnoteReference w:id="36"/>
      </w:r>
    </w:p>
    <w:p w:rsidR="00894BB0" w:rsidRDefault="00DB6324" w:rsidP="00C010EB">
      <w:pPr>
        <w:pStyle w:val="AERbulletlistfirststyle"/>
      </w:pPr>
      <w:r>
        <w:t>a</w:t>
      </w:r>
      <w:r w:rsidR="00894BB0">
        <w:t>n</w:t>
      </w:r>
      <w:r w:rsidR="00D2451B">
        <w:t xml:space="preserve"> economic evaluation which focuses on the expected cost of asset failure to determine the need for replacement </w:t>
      </w:r>
    </w:p>
    <w:p w:rsidR="00D2451B" w:rsidRDefault="00DB6324" w:rsidP="00C010EB">
      <w:pPr>
        <w:pStyle w:val="AERbulletlistfirststyle"/>
      </w:pPr>
      <w:r>
        <w:t>i</w:t>
      </w:r>
      <w:r w:rsidR="00D2451B">
        <w:t>dentification of technically feasible options to address the identified risk</w:t>
      </w:r>
    </w:p>
    <w:p w:rsidR="00D2451B" w:rsidRDefault="006C58DB" w:rsidP="00C010EB">
      <w:pPr>
        <w:pStyle w:val="AERbulletlistfirststyle"/>
      </w:pPr>
      <w:r>
        <w:t>the prefer</w:t>
      </w:r>
      <w:r w:rsidR="00D2451B">
        <w:t xml:space="preserve">red option </w:t>
      </w:r>
      <w:r w:rsidR="00547456">
        <w:t>is</w:t>
      </w:r>
      <w:r>
        <w:t xml:space="preserve"> selected a</w:t>
      </w:r>
      <w:r w:rsidR="00547456">
        <w:t>nd a</w:t>
      </w:r>
      <w:r>
        <w:t xml:space="preserve"> detailed project scope and de</w:t>
      </w:r>
      <w:r w:rsidR="00D2451B">
        <w:t>t</w:t>
      </w:r>
      <w:r>
        <w:t>a</w:t>
      </w:r>
      <w:r w:rsidR="00D2451B">
        <w:t>iled project cost is estimated</w:t>
      </w:r>
    </w:p>
    <w:p w:rsidR="00D2451B" w:rsidRDefault="00DB6324" w:rsidP="00C010EB">
      <w:pPr>
        <w:pStyle w:val="AERbulletlistfirststyle"/>
      </w:pPr>
      <w:proofErr w:type="gramStart"/>
      <w:r>
        <w:t>t</w:t>
      </w:r>
      <w:r w:rsidR="00D2451B">
        <w:t>he</w:t>
      </w:r>
      <w:proofErr w:type="gramEnd"/>
      <w:r w:rsidR="00D2451B">
        <w:t xml:space="preserve"> economic timing of the preferred option is established by comparing the annualised </w:t>
      </w:r>
      <w:r w:rsidR="006C58DB">
        <w:t xml:space="preserve">cost of the selected option with the annual incremental benefits, where the economic timing is identified as the point in time where the annualised incremental benefits just exceed the annualised costs. </w:t>
      </w:r>
    </w:p>
    <w:p w:rsidR="00894BB0" w:rsidRDefault="00711278" w:rsidP="00BF7BE7">
      <w:r>
        <w:t>AusNet Services</w:t>
      </w:r>
      <w:r w:rsidR="0029629D">
        <w:t>'</w:t>
      </w:r>
      <w:r w:rsidR="00043467">
        <w:t xml:space="preserve"> submitted that t</w:t>
      </w:r>
      <w:r w:rsidR="006C58DB">
        <w:t>he keys aspects of stage two involve</w:t>
      </w:r>
      <w:r w:rsidR="00DB6324">
        <w:t>s identifying synergies and savings when bottom up forecasts are aggregated</w:t>
      </w:r>
      <w:r w:rsidR="00C84D37">
        <w:t>, where</w:t>
      </w:r>
      <w:r w:rsidR="006C58DB">
        <w:t>:</w:t>
      </w:r>
      <w:r w:rsidR="00172AD4">
        <w:rPr>
          <w:rStyle w:val="FootnoteReference"/>
        </w:rPr>
        <w:footnoteReference w:id="37"/>
      </w:r>
    </w:p>
    <w:p w:rsidR="00894BB0" w:rsidRDefault="00DB6324" w:rsidP="00C84D37">
      <w:pPr>
        <w:pStyle w:val="AERbulletlistfirststyle"/>
      </w:pPr>
      <w:r>
        <w:lastRenderedPageBreak/>
        <w:t>minor replacement works may be included in a major replacement project to attain synergies in project design, project management and project establishment costs</w:t>
      </w:r>
    </w:p>
    <w:p w:rsidR="00DB6324" w:rsidRDefault="00DB6324" w:rsidP="00C84D37">
      <w:pPr>
        <w:pStyle w:val="AERbulletlistfirststyle"/>
      </w:pPr>
      <w:r>
        <w:t>project based replacement may be combined with AEMO's shared network augmentation requirements or the distrib</w:t>
      </w:r>
      <w:r w:rsidR="00C84D37">
        <w:t>u</w:t>
      </w:r>
      <w:r>
        <w:t>tor's connection augmentation needs</w:t>
      </w:r>
    </w:p>
    <w:p w:rsidR="00DB6324" w:rsidRDefault="00DB6324" w:rsidP="00C84D37">
      <w:pPr>
        <w:pStyle w:val="AERbulletlistfirststyle"/>
      </w:pPr>
      <w:r>
        <w:t>project timing is reviewed so that projects with the highest asset failure risks are addressed more quickly, while lower risk projects may be deferred</w:t>
      </w:r>
    </w:p>
    <w:p w:rsidR="00DB6324" w:rsidRDefault="00DB6324" w:rsidP="00C84D37">
      <w:pPr>
        <w:pStyle w:val="AERbulletlistfirststyle"/>
      </w:pPr>
      <w:proofErr w:type="gramStart"/>
      <w:r>
        <w:t>a</w:t>
      </w:r>
      <w:proofErr w:type="gramEnd"/>
      <w:r>
        <w:t xml:space="preserve"> review </w:t>
      </w:r>
      <w:r w:rsidR="00C84D37">
        <w:t xml:space="preserve">is undertaken </w:t>
      </w:r>
      <w:r>
        <w:t>of the affordability and deliverability of the tot</w:t>
      </w:r>
      <w:r w:rsidR="00C84D37">
        <w:t>a</w:t>
      </w:r>
      <w:r>
        <w:t>l repl</w:t>
      </w:r>
      <w:r w:rsidR="00C84D37">
        <w:t>a</w:t>
      </w:r>
      <w:r>
        <w:t>cement expenditure forecasts.</w:t>
      </w:r>
    </w:p>
    <w:p w:rsidR="00DB6324" w:rsidRDefault="00DB6324" w:rsidP="00C84D37">
      <w:pPr>
        <w:pStyle w:val="AERbulletlistfirststyle"/>
        <w:numPr>
          <w:ilvl w:val="0"/>
          <w:numId w:val="0"/>
        </w:numPr>
      </w:pPr>
      <w:r>
        <w:t>In relation to non-network expenditure AusNet Services</w:t>
      </w:r>
      <w:r w:rsidR="0029629D">
        <w:t>'</w:t>
      </w:r>
      <w:r>
        <w:t xml:space="preserve"> submitted that with the exception of IT systems, expenditure on assets is generally non-recurrent in nature, which reflects the economic lifecycle of each asset.</w:t>
      </w:r>
      <w:r w:rsidR="00547456">
        <w:t xml:space="preserve"> AusNet Services submitted that the IT expenditure forecast is based on its corporate IT strategy.</w:t>
      </w:r>
      <w:r w:rsidR="00711278">
        <w:rPr>
          <w:rStyle w:val="FootnoteReference"/>
        </w:rPr>
        <w:footnoteReference w:id="38"/>
      </w:r>
    </w:p>
    <w:p w:rsidR="00C010EB" w:rsidRPr="00C010EB" w:rsidRDefault="00C84D37" w:rsidP="00C010EB">
      <w:pPr>
        <w:rPr>
          <w:rStyle w:val="AERbody"/>
          <w:color w:val="70635A" w:themeColor="text2"/>
          <w:sz w:val="28"/>
        </w:rPr>
      </w:pPr>
      <w:r w:rsidRPr="00C010EB">
        <w:rPr>
          <w:rStyle w:val="AERbody"/>
        </w:rPr>
        <w:t xml:space="preserve">We consider </w:t>
      </w:r>
      <w:r w:rsidR="00203E7F" w:rsidRPr="00C010EB">
        <w:rPr>
          <w:rStyle w:val="AERbody"/>
        </w:rPr>
        <w:t xml:space="preserve">that </w:t>
      </w:r>
      <w:r w:rsidRPr="00C010EB">
        <w:rPr>
          <w:rStyle w:val="AERbody"/>
        </w:rPr>
        <w:t xml:space="preserve">AusNet Services' forecasting methodology </w:t>
      </w:r>
      <w:r w:rsidR="00D54F60">
        <w:rPr>
          <w:rStyle w:val="AERbody"/>
        </w:rPr>
        <w:t>which adopts</w:t>
      </w:r>
      <w:r w:rsidRPr="00C010EB">
        <w:rPr>
          <w:rStyle w:val="AERbody"/>
        </w:rPr>
        <w:t xml:space="preserve"> a risk based economic planning approach reflects good industry practice. Where we identified specific areas of concern, these relate to some of the input assumptions used in AusNet Services</w:t>
      </w:r>
      <w:r w:rsidR="00711278">
        <w:rPr>
          <w:rStyle w:val="AERbody"/>
        </w:rPr>
        <w:t>'</w:t>
      </w:r>
      <w:r w:rsidRPr="00C010EB">
        <w:rPr>
          <w:rStyle w:val="AERbody"/>
        </w:rPr>
        <w:t xml:space="preserve"> forecasting methodology.</w:t>
      </w:r>
    </w:p>
    <w:p w:rsidR="000C1C93" w:rsidRDefault="000C1C93" w:rsidP="000C1C93">
      <w:pPr>
        <w:pStyle w:val="Heading3"/>
      </w:pPr>
      <w:bookmarkStart w:id="39" w:name="_Ref454793417"/>
      <w:bookmarkStart w:id="40" w:name="_Toc456608787"/>
      <w:r>
        <w:t>AusNet Services' capex performance</w:t>
      </w:r>
      <w:bookmarkEnd w:id="39"/>
      <w:bookmarkEnd w:id="40"/>
    </w:p>
    <w:p w:rsidR="00C84D37" w:rsidRPr="00C84D37" w:rsidRDefault="00C84D37" w:rsidP="00C84D37">
      <w:pPr>
        <w:numPr>
          <w:ilvl w:val="0"/>
          <w:numId w:val="25"/>
        </w:numPr>
      </w:pPr>
      <w:r w:rsidRPr="00C84D37">
        <w:t xml:space="preserve">We have looked at a number of </w:t>
      </w:r>
      <w:r>
        <w:t>historical metrics of AusNet Services'</w:t>
      </w:r>
      <w:r w:rsidRPr="00C84D37">
        <w:t xml:space="preserve"> capex performance to help info</w:t>
      </w:r>
      <w:r>
        <w:t>rm our assessment of AusNet Services'</w:t>
      </w:r>
      <w:r w:rsidRPr="00C84D37">
        <w:t xml:space="preserve"> proposed capex for</w:t>
      </w:r>
      <w:r>
        <w:t>ecast. This includes AusNet Services'</w:t>
      </w:r>
      <w:r w:rsidRPr="00C84D37">
        <w:t xml:space="preserve"> relative multilateral total factor productivity (MTFP) performance from our annual benchmarking report, and its proposed forecast capex allowance against historical trends.</w:t>
      </w:r>
    </w:p>
    <w:p w:rsidR="00C84D37" w:rsidRPr="00C84D37" w:rsidRDefault="00C84D37" w:rsidP="004F290D">
      <w:pPr>
        <w:pStyle w:val="ListParagraph"/>
        <w:numPr>
          <w:ilvl w:val="0"/>
          <w:numId w:val="25"/>
        </w:numPr>
      </w:pPr>
      <w:r w:rsidRPr="00C84D37">
        <w:t xml:space="preserve">We note that the NER sets out that we must have regard to our annual benchmarking report. This section shows how </w:t>
      </w:r>
      <w:r w:rsidR="00210CDA">
        <w:t xml:space="preserve">we have taken it into account. </w:t>
      </w:r>
      <w:r w:rsidRPr="00C84D37">
        <w:t xml:space="preserve">We consider this high level benchmarking at the overall capex level is suitable to gain an overall understanding of </w:t>
      </w:r>
      <w:r w:rsidR="004F290D">
        <w:t>AusNet Services'</w:t>
      </w:r>
      <w:r w:rsidRPr="00C84D37">
        <w:t xml:space="preserve"> proposal in a broader context. However, in our capex assessment we have not relied on our high level benchmarking metrics set out below other than to note that these metrics generally support the outcomes of our other techniques. We have not used this analysis deterministically in our capex assessment. </w:t>
      </w:r>
    </w:p>
    <w:p w:rsidR="00C84D37" w:rsidRPr="004F290D" w:rsidRDefault="00327273" w:rsidP="00711278">
      <w:pPr>
        <w:rPr>
          <w:rStyle w:val="AERtexthighlight"/>
        </w:rPr>
      </w:pPr>
      <w:fldSimple w:instr=" REF _Ref453680981 ">
        <w:r w:rsidR="00C60946">
          <w:t xml:space="preserve">Figure </w:t>
        </w:r>
        <w:r w:rsidR="00C60946">
          <w:rPr>
            <w:noProof/>
          </w:rPr>
          <w:t>6</w:t>
        </w:r>
        <w:r w:rsidR="00C60946">
          <w:t>.</w:t>
        </w:r>
        <w:r w:rsidR="00C60946">
          <w:rPr>
            <w:noProof/>
          </w:rPr>
          <w:t>2</w:t>
        </w:r>
      </w:fldSimple>
      <w:r w:rsidR="008B2486">
        <w:t xml:space="preserve"> </w:t>
      </w:r>
      <w:r w:rsidR="00C84D37" w:rsidRPr="00C84D37">
        <w:t xml:space="preserve">shows </w:t>
      </w:r>
      <w:r w:rsidR="004F290D">
        <w:t>AusNet Services'</w:t>
      </w:r>
      <w:r w:rsidR="00C84D37" w:rsidRPr="00C84D37">
        <w:t xml:space="preserve"> MTFP performance over time and relative to the other service providers. MTFP measures how efficient a business is in terms of its inputs (costs) and outputs (customer numbers, ratcheted maximum demand, reliability, circuit line length and energy delivered). </w:t>
      </w:r>
      <w:r w:rsidR="00704ABE">
        <w:t>These results show that AusNet Services' cost efficiency has remained relatively steady since 2010 and is closely aligned to the industry average</w:t>
      </w:r>
      <w:r w:rsidR="0042305B">
        <w:t>.</w:t>
      </w:r>
      <w:r w:rsidR="00466F57" w:rsidRPr="00711278">
        <w:rPr>
          <w:rStyle w:val="FootnoteReference"/>
        </w:rPr>
        <w:footnoteReference w:id="39"/>
      </w:r>
    </w:p>
    <w:p w:rsidR="00C84D37" w:rsidRDefault="008B2486" w:rsidP="008B2486">
      <w:pPr>
        <w:pStyle w:val="Caption"/>
      </w:pPr>
      <w:bookmarkStart w:id="41" w:name="_Ref453680981"/>
      <w:proofErr w:type="gramStart"/>
      <w:r>
        <w:lastRenderedPageBreak/>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2</w:t>
      </w:r>
      <w:r w:rsidR="00735181">
        <w:rPr>
          <w:noProof/>
        </w:rPr>
        <w:fldChar w:fldCharType="end"/>
      </w:r>
      <w:bookmarkEnd w:id="41"/>
      <w:r>
        <w:tab/>
      </w:r>
      <w:r w:rsidR="004F290D">
        <w:t>Relative MFTP performance of transmission networks</w:t>
      </w:r>
    </w:p>
    <w:p w:rsidR="004F290D" w:rsidRDefault="004F290D" w:rsidP="001A6ECD">
      <w:pPr>
        <w:pStyle w:val="AERtablesource"/>
      </w:pPr>
      <w:r w:rsidRPr="004F290D">
        <w:rPr>
          <w:noProof/>
          <w:lang w:eastAsia="en-AU"/>
        </w:rPr>
        <w:drawing>
          <wp:inline distT="0" distB="0" distL="0" distR="0" wp14:anchorId="7783EEF0" wp14:editId="1B726214">
            <wp:extent cx="5148000" cy="31252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8000" cy="3125237"/>
                    </a:xfrm>
                    <a:prstGeom prst="rect">
                      <a:avLst/>
                    </a:prstGeom>
                    <a:noFill/>
                    <a:ln>
                      <a:noFill/>
                    </a:ln>
                  </pic:spPr>
                </pic:pic>
              </a:graphicData>
            </a:graphic>
          </wp:inline>
        </w:drawing>
      </w:r>
      <w:r w:rsidR="001A6ECD">
        <w:t xml:space="preserve">Source: AER, </w:t>
      </w:r>
      <w:r w:rsidR="001A6ECD" w:rsidRPr="001A6ECD">
        <w:rPr>
          <w:rStyle w:val="AERtextitalic"/>
        </w:rPr>
        <w:t>Annual benchmarking report: Electricity transmission network service providers</w:t>
      </w:r>
      <w:r w:rsidR="001A6ECD">
        <w:t>, November 2015, p.11.</w:t>
      </w:r>
    </w:p>
    <w:p w:rsidR="000C1C93" w:rsidRPr="00074213" w:rsidRDefault="00270052" w:rsidP="00074213">
      <w:pPr>
        <w:pStyle w:val="Heading4"/>
      </w:pPr>
      <w:bookmarkStart w:id="42" w:name="_Toc456608788"/>
      <w:r>
        <w:t>AusNet Services' h</w:t>
      </w:r>
      <w:r w:rsidR="00074213" w:rsidRPr="00074213">
        <w:t>istoric</w:t>
      </w:r>
      <w:r>
        <w:t>al</w:t>
      </w:r>
      <w:r w:rsidR="00074213" w:rsidRPr="00074213">
        <w:t xml:space="preserve"> capex trends</w:t>
      </w:r>
      <w:bookmarkEnd w:id="42"/>
    </w:p>
    <w:p w:rsidR="00270052" w:rsidRPr="00270052" w:rsidRDefault="00270052" w:rsidP="00270052">
      <w:r w:rsidRPr="00270052">
        <w:t>We compared AusNet Services' capex proposal for the 201</w:t>
      </w:r>
      <w:r w:rsidR="001A6ECD">
        <w:t>7–22</w:t>
      </w:r>
      <w:r w:rsidRPr="00270052">
        <w:t xml:space="preserve"> regulatory control period against the long term historical trend in capex levels. </w:t>
      </w:r>
    </w:p>
    <w:p w:rsidR="00270052" w:rsidRDefault="00327273" w:rsidP="00270052">
      <w:fldSimple w:instr=" REF _Ref453681025 ">
        <w:r w:rsidR="00C60946">
          <w:t xml:space="preserve">Figure </w:t>
        </w:r>
        <w:r w:rsidR="00C60946">
          <w:rPr>
            <w:noProof/>
          </w:rPr>
          <w:t>6</w:t>
        </w:r>
        <w:r w:rsidR="00C60946">
          <w:t>.</w:t>
        </w:r>
        <w:r w:rsidR="00C60946">
          <w:rPr>
            <w:noProof/>
          </w:rPr>
          <w:t>3</w:t>
        </w:r>
      </w:fldSimple>
      <w:r w:rsidR="008B2486">
        <w:t xml:space="preserve"> </w:t>
      </w:r>
      <w:r w:rsidR="00270052" w:rsidRPr="00270052">
        <w:t xml:space="preserve">shows actual historic capex and proposed capex </w:t>
      </w:r>
      <w:r w:rsidR="000A47BE">
        <w:t>between 2008 and</w:t>
      </w:r>
      <w:r w:rsidR="00270052" w:rsidRPr="00270052">
        <w:t xml:space="preserve"> </w:t>
      </w:r>
      <w:r w:rsidR="00270052">
        <w:t>2022</w:t>
      </w:r>
      <w:r w:rsidR="00270052" w:rsidRPr="00270052">
        <w:t xml:space="preserve">. This figure shows AusNet Services forecasted </w:t>
      </w:r>
      <w:r w:rsidR="00270052">
        <w:t>slightly lower capex in the 2017–22</w:t>
      </w:r>
      <w:r w:rsidR="00270052" w:rsidRPr="00270052">
        <w:t xml:space="preserve"> regulatory control period compared to ac</w:t>
      </w:r>
      <w:r w:rsidR="00270052">
        <w:t>tual</w:t>
      </w:r>
      <w:r w:rsidR="001F044F">
        <w:t>/estimated</w:t>
      </w:r>
      <w:r w:rsidR="00A52F7E">
        <w:t xml:space="preserve"> capex in the 2014</w:t>
      </w:r>
      <w:r w:rsidR="00270052">
        <w:t>–17</w:t>
      </w:r>
      <w:r w:rsidR="00270052" w:rsidRPr="00270052">
        <w:t xml:space="preserve"> period</w:t>
      </w:r>
      <w:r w:rsidR="00B8467B">
        <w:t xml:space="preserve">. </w:t>
      </w:r>
      <w:r w:rsidR="00270052" w:rsidRPr="00270052">
        <w:t>AusNet Services'</w:t>
      </w:r>
      <w:r w:rsidR="00270052">
        <w:t xml:space="preserve"> capex forecast for the 2017–22</w:t>
      </w:r>
      <w:r w:rsidR="00270052" w:rsidRPr="00270052">
        <w:t xml:space="preserve"> regulatory control period </w:t>
      </w:r>
      <w:r w:rsidR="001F044F">
        <w:t xml:space="preserve">is </w:t>
      </w:r>
      <w:r w:rsidR="00B8467B">
        <w:t xml:space="preserve">also </w:t>
      </w:r>
      <w:r w:rsidR="001F044F">
        <w:t>forecast to decline to relatively low levels compared to historical expenditure</w:t>
      </w:r>
      <w:r w:rsidR="00270052" w:rsidRPr="00270052">
        <w:t xml:space="preserve">. </w:t>
      </w:r>
    </w:p>
    <w:p w:rsidR="00E976E0" w:rsidRDefault="00E976E0" w:rsidP="00270052"/>
    <w:p w:rsidR="00E976E0" w:rsidRDefault="00E976E0" w:rsidP="00270052"/>
    <w:p w:rsidR="00E976E0" w:rsidRDefault="00E976E0" w:rsidP="00270052"/>
    <w:p w:rsidR="00E976E0" w:rsidRDefault="00E976E0" w:rsidP="00270052"/>
    <w:p w:rsidR="00E976E0" w:rsidRDefault="00E976E0" w:rsidP="00270052"/>
    <w:p w:rsidR="00E976E0" w:rsidRDefault="00E976E0" w:rsidP="00270052"/>
    <w:p w:rsidR="00E976E0" w:rsidRDefault="00E976E0" w:rsidP="00270052"/>
    <w:p w:rsidR="001A6ECD" w:rsidRDefault="008B2486" w:rsidP="008B2486">
      <w:pPr>
        <w:pStyle w:val="Caption"/>
      </w:pPr>
      <w:bookmarkStart w:id="43" w:name="_Ref453681025"/>
      <w:proofErr w:type="gramStart"/>
      <w:r>
        <w:lastRenderedPageBreak/>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3</w:t>
      </w:r>
      <w:r w:rsidR="00735181">
        <w:rPr>
          <w:noProof/>
        </w:rPr>
        <w:fldChar w:fldCharType="end"/>
      </w:r>
      <w:bookmarkEnd w:id="43"/>
      <w:r>
        <w:tab/>
      </w:r>
      <w:r w:rsidR="00466F57">
        <w:t xml:space="preserve">AusNet Services total capex - </w:t>
      </w:r>
      <w:r w:rsidR="00B93562">
        <w:t xml:space="preserve">historical and forecast </w:t>
      </w:r>
      <w:r w:rsidR="000E266B">
        <w:t>($2016</w:t>
      </w:r>
      <w:r w:rsidR="00432031">
        <w:noBreakHyphen/>
      </w:r>
      <w:r w:rsidR="000E266B">
        <w:t>17)</w:t>
      </w:r>
    </w:p>
    <w:p w:rsidR="00660CB2" w:rsidRPr="00270052" w:rsidRDefault="004777E5" w:rsidP="00270052">
      <w:r>
        <w:rPr>
          <w:noProof/>
          <w:lang w:eastAsia="en-AU"/>
        </w:rPr>
        <w:drawing>
          <wp:inline distT="0" distB="0" distL="0" distR="0" wp14:anchorId="0E2968EB" wp14:editId="65AAB611">
            <wp:extent cx="5792375" cy="34725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7559" cy="3469656"/>
                    </a:xfrm>
                    <a:prstGeom prst="rect">
                      <a:avLst/>
                    </a:prstGeom>
                    <a:noFill/>
                  </pic:spPr>
                </pic:pic>
              </a:graphicData>
            </a:graphic>
          </wp:inline>
        </w:drawing>
      </w:r>
    </w:p>
    <w:p w:rsidR="0038577F" w:rsidRDefault="0038577F" w:rsidP="0038577F">
      <w:pPr>
        <w:pStyle w:val="AERtablesource"/>
      </w:pPr>
      <w:r>
        <w:t>Source: AER analysis</w:t>
      </w:r>
    </w:p>
    <w:p w:rsidR="00270052" w:rsidRPr="00270052" w:rsidRDefault="00270052" w:rsidP="00270052">
      <w:r w:rsidRPr="00270052">
        <w:t>AusNet Serv</w:t>
      </w:r>
      <w:r w:rsidR="00521785">
        <w:t>ices stated its forecast capex</w:t>
      </w:r>
      <w:r w:rsidRPr="00270052">
        <w:t xml:space="preserve"> is </w:t>
      </w:r>
      <w:r w:rsidR="00521785">
        <w:t xml:space="preserve">on average </w:t>
      </w:r>
      <w:r w:rsidR="0042305B">
        <w:t>eight</w:t>
      </w:r>
      <w:r w:rsidR="008B2486">
        <w:t xml:space="preserve"> per cent lower than actual</w:t>
      </w:r>
      <w:r w:rsidR="00521785">
        <w:t xml:space="preserve"> and estimated</w:t>
      </w:r>
      <w:r w:rsidR="008B2486">
        <w:t xml:space="preserve"> capex in the 2014–17</w:t>
      </w:r>
      <w:r w:rsidR="00521785">
        <w:t xml:space="preserve"> regulatory control period</w:t>
      </w:r>
      <w:r w:rsidR="008B2486">
        <w:t>, but slightly above the</w:t>
      </w:r>
      <w:r w:rsidRPr="00270052">
        <w:t xml:space="preserve"> long term historical average</w:t>
      </w:r>
      <w:r w:rsidR="008B2486">
        <w:t xml:space="preserve"> in the period prior to 2014-15</w:t>
      </w:r>
      <w:r w:rsidRPr="00270052">
        <w:t>.</w:t>
      </w:r>
      <w:r w:rsidRPr="00270052">
        <w:rPr>
          <w:rStyle w:val="FootnoteReference"/>
        </w:rPr>
        <w:footnoteReference w:id="40"/>
      </w:r>
    </w:p>
    <w:p w:rsidR="00270052" w:rsidRPr="00270052" w:rsidRDefault="00022046" w:rsidP="00270052">
      <w:r>
        <w:t xml:space="preserve">The CCP submitted that despite the forecast reduction in estimated expenditure </w:t>
      </w:r>
      <w:r w:rsidR="00C1335B">
        <w:t>from the 2014–17</w:t>
      </w:r>
      <w:r>
        <w:t xml:space="preserve"> regulatory control </w:t>
      </w:r>
      <w:proofErr w:type="gramStart"/>
      <w:r>
        <w:t>period</w:t>
      </w:r>
      <w:proofErr w:type="gramEnd"/>
      <w:r>
        <w:t>, AusNet Services' fo</w:t>
      </w:r>
      <w:r w:rsidR="00467627">
        <w:t>recast remains approximately 20 </w:t>
      </w:r>
      <w:r>
        <w:t xml:space="preserve">per cent higher than capex in the period prior to 2008. </w:t>
      </w:r>
      <w:r w:rsidR="005F7A36">
        <w:t>The CCP also commented that AusNet Services' capex forecast is front loaded and suggested that the timing of expenditure should be examined on the basis that a flatter expenditure profile would reduce prices for consumers.</w:t>
      </w:r>
      <w:r w:rsidR="00467627">
        <w:rPr>
          <w:rStyle w:val="FootnoteReference"/>
        </w:rPr>
        <w:footnoteReference w:id="41"/>
      </w:r>
    </w:p>
    <w:p w:rsidR="0088037B" w:rsidRDefault="005F7A36" w:rsidP="00270052">
      <w:r>
        <w:t xml:space="preserve">The EUCV expressed concern </w:t>
      </w:r>
      <w:r w:rsidR="0088037B">
        <w:t>regarding the contribution of forecast capex to continuing growth in AusNet's Services' regulatory asset base. The EUCV also commented that in an environment of falling or static consumption and peak demand growth that:</w:t>
      </w:r>
      <w:r w:rsidR="00F21878">
        <w:rPr>
          <w:rStyle w:val="FootnoteReference"/>
        </w:rPr>
        <w:footnoteReference w:id="42"/>
      </w:r>
    </w:p>
    <w:p w:rsidR="0088037B" w:rsidRDefault="0088037B" w:rsidP="0088037B">
      <w:pPr>
        <w:pStyle w:val="AERbulletlistfirststyle"/>
      </w:pPr>
      <w:r>
        <w:lastRenderedPageBreak/>
        <w:t>the capex proposal continues the trend of higher costs and increasing under-utilisation; and</w:t>
      </w:r>
    </w:p>
    <w:p w:rsidR="005F7A36" w:rsidRDefault="0088037B" w:rsidP="0088037B">
      <w:pPr>
        <w:pStyle w:val="AERbulletlistfirststyle"/>
      </w:pPr>
      <w:proofErr w:type="gramStart"/>
      <w:r>
        <w:t>is</w:t>
      </w:r>
      <w:proofErr w:type="gramEnd"/>
      <w:r>
        <w:t xml:space="preserve"> not justified given AusNet Services ability to maintain reliability performance.</w:t>
      </w:r>
    </w:p>
    <w:p w:rsidR="00270052" w:rsidRPr="00270052" w:rsidRDefault="00270052" w:rsidP="00270052">
      <w:r w:rsidRPr="00270052">
        <w:t xml:space="preserve">Our detailed assessment in appendix </w:t>
      </w:r>
      <w:r w:rsidR="00A52F7E">
        <w:t xml:space="preserve">B </w:t>
      </w:r>
      <w:r w:rsidR="005F7A36">
        <w:t>takes into accoun</w:t>
      </w:r>
      <w:r w:rsidR="00571584">
        <w:t xml:space="preserve">t </w:t>
      </w:r>
      <w:r w:rsidR="00FC539C">
        <w:t>these</w:t>
      </w:r>
      <w:r w:rsidR="00571584">
        <w:t xml:space="preserve"> submissions</w:t>
      </w:r>
      <w:r w:rsidR="00476A25">
        <w:t xml:space="preserve">. </w:t>
      </w:r>
      <w:r w:rsidR="00571584">
        <w:t xml:space="preserve">In appendix B we examine whether AusNet Services' revenue proposal reflects its expected operating environment. </w:t>
      </w:r>
    </w:p>
    <w:p w:rsidR="000C1C93" w:rsidRDefault="000C1C93" w:rsidP="000C1C93">
      <w:pPr>
        <w:pStyle w:val="Heading3"/>
      </w:pPr>
      <w:bookmarkStart w:id="44" w:name="_Toc456608789"/>
      <w:r>
        <w:t>Interrelationships</w:t>
      </w:r>
      <w:bookmarkEnd w:id="44"/>
    </w:p>
    <w:p w:rsidR="00270052" w:rsidRDefault="00270052" w:rsidP="00270052">
      <w:r w:rsidRPr="00270052">
        <w:t>There are a number of interrelationships between AusNet Services' t</w:t>
      </w:r>
      <w:r>
        <w:t>otal forecast capex for the 2017–22</w:t>
      </w:r>
      <w:r w:rsidRPr="00270052">
        <w:t xml:space="preserve"> regulatory control period and other components of its </w:t>
      </w:r>
      <w:r>
        <w:t>transmission</w:t>
      </w:r>
      <w:r w:rsidRPr="00270052">
        <w:t xml:space="preserve"> determination (see</w:t>
      </w:r>
      <w:r w:rsidR="00633226">
        <w:t xml:space="preserve"> </w:t>
      </w:r>
      <w:fldSimple w:instr=" REF _Ref453680679 ">
        <w:r w:rsidR="00C60946">
          <w:t xml:space="preserve">Table </w:t>
        </w:r>
        <w:r w:rsidR="00C60946">
          <w:rPr>
            <w:noProof/>
          </w:rPr>
          <w:t>6</w:t>
        </w:r>
        <w:r w:rsidR="00C60946">
          <w:t>.</w:t>
        </w:r>
        <w:r w:rsidR="00C60946">
          <w:rPr>
            <w:noProof/>
          </w:rPr>
          <w:t>4</w:t>
        </w:r>
      </w:fldSimple>
      <w:r w:rsidRPr="00270052">
        <w:t xml:space="preserve">). We considered these interrelationships in coming to our </w:t>
      </w:r>
      <w:r>
        <w:t xml:space="preserve">draft </w:t>
      </w:r>
      <w:r w:rsidRPr="00270052">
        <w:t>decision on total forecast capex.</w:t>
      </w:r>
    </w:p>
    <w:p w:rsidR="00270052" w:rsidRPr="00270052" w:rsidRDefault="00633226" w:rsidP="00633226">
      <w:pPr>
        <w:pStyle w:val="Caption"/>
      </w:pPr>
      <w:bookmarkStart w:id="45" w:name="_Ref453680679"/>
      <w:proofErr w:type="gramStart"/>
      <w:r>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4</w:t>
      </w:r>
      <w:r w:rsidR="00735181">
        <w:rPr>
          <w:noProof/>
        </w:rPr>
        <w:fldChar w:fldCharType="end"/>
      </w:r>
      <w:bookmarkEnd w:id="45"/>
      <w:r>
        <w:tab/>
      </w:r>
      <w:r w:rsidR="00270052" w:rsidRPr="00270052">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270052" w:rsidRPr="005531F2" w:rsidTr="00203295">
        <w:trPr>
          <w:cnfStyle w:val="100000000000" w:firstRow="1" w:lastRow="0" w:firstColumn="0" w:lastColumn="0" w:oddVBand="0" w:evenVBand="0" w:oddHBand="0" w:evenHBand="0" w:firstRowFirstColumn="0" w:firstRowLastColumn="0" w:lastRowFirstColumn="0" w:lastRowLastColumn="0"/>
          <w:tblHeader/>
        </w:trPr>
        <w:tc>
          <w:tcPr>
            <w:tcW w:w="1832" w:type="dxa"/>
          </w:tcPr>
          <w:p w:rsidR="00270052" w:rsidRPr="00270052" w:rsidRDefault="00270052" w:rsidP="00270052">
            <w:pPr>
              <w:numPr>
                <w:ilvl w:val="0"/>
                <w:numId w:val="25"/>
              </w:numPr>
            </w:pPr>
            <w:r w:rsidRPr="00270052">
              <w:t>Other component</w:t>
            </w:r>
          </w:p>
        </w:tc>
        <w:tc>
          <w:tcPr>
            <w:tcW w:w="7410" w:type="dxa"/>
          </w:tcPr>
          <w:p w:rsidR="00270052" w:rsidRPr="00270052" w:rsidRDefault="00270052" w:rsidP="00270052">
            <w:pPr>
              <w:numPr>
                <w:ilvl w:val="0"/>
                <w:numId w:val="25"/>
              </w:numPr>
            </w:pPr>
            <w:r w:rsidRPr="00270052">
              <w:t>Interrelationships with total forecast capex</w:t>
            </w:r>
          </w:p>
        </w:tc>
      </w:tr>
      <w:tr w:rsidR="00270052" w:rsidRPr="005531F2" w:rsidTr="00203295">
        <w:tc>
          <w:tcPr>
            <w:tcW w:w="1832" w:type="dxa"/>
          </w:tcPr>
          <w:p w:rsidR="00270052" w:rsidRPr="00270052" w:rsidRDefault="00270052" w:rsidP="00270052">
            <w:r w:rsidRPr="00270052">
              <w:t>Total forecast opex</w:t>
            </w:r>
          </w:p>
        </w:tc>
        <w:tc>
          <w:tcPr>
            <w:tcW w:w="7410" w:type="dxa"/>
          </w:tcPr>
          <w:p w:rsidR="00270052" w:rsidRPr="00270052" w:rsidRDefault="00270052" w:rsidP="00270052">
            <w:r w:rsidRPr="00270052">
              <w:t xml:space="preserve">There are elements of AusNet Services' total forecast opex that are specifically related to its total forecast capex. These include the forecast labour price growth that we included in our opex forecast in Attachment 7. This is because the price of labour affects both total forecast capex and total forecast opex. </w:t>
            </w:r>
          </w:p>
          <w:p w:rsidR="00270052" w:rsidRPr="00270052" w:rsidRDefault="00270052" w:rsidP="00270052">
            <w:r w:rsidRPr="00270052">
              <w:t>More generally, we note our total opex forecast will provide AusNet Services with sufficient opex to maintain the reliability</w:t>
            </w:r>
            <w:r>
              <w:t xml:space="preserve"> and safety</w:t>
            </w:r>
            <w:r w:rsidRPr="00270052">
              <w:t xml:space="preserve"> of its network. Although we do not approve opex on specific categories of opex such as maintenance, the total opex we approve will in part influence the repex AusNet Services needs to spend during the 201</w:t>
            </w:r>
            <w:r>
              <w:t>7–22</w:t>
            </w:r>
            <w:r w:rsidRPr="00270052">
              <w:t xml:space="preserve"> period.</w:t>
            </w:r>
          </w:p>
        </w:tc>
      </w:tr>
      <w:tr w:rsidR="00270052" w:rsidRPr="005531F2" w:rsidTr="00203295">
        <w:trPr>
          <w:cnfStyle w:val="000000010000" w:firstRow="0" w:lastRow="0" w:firstColumn="0" w:lastColumn="0" w:oddVBand="0" w:evenVBand="0" w:oddHBand="0" w:evenHBand="1" w:firstRowFirstColumn="0" w:firstRowLastColumn="0" w:lastRowFirstColumn="0" w:lastRowLastColumn="0"/>
        </w:trPr>
        <w:tc>
          <w:tcPr>
            <w:tcW w:w="1832" w:type="dxa"/>
          </w:tcPr>
          <w:p w:rsidR="00270052" w:rsidRPr="00270052" w:rsidRDefault="00270052" w:rsidP="00270052">
            <w:r w:rsidRPr="00270052">
              <w:t>Forecast demand</w:t>
            </w:r>
          </w:p>
        </w:tc>
        <w:tc>
          <w:tcPr>
            <w:tcW w:w="7410" w:type="dxa"/>
          </w:tcPr>
          <w:p w:rsidR="00270052" w:rsidRPr="00270052" w:rsidRDefault="00270052" w:rsidP="00270052">
            <w:r w:rsidRPr="00270052">
              <w:t xml:space="preserve">Forecast demand is related to AusNet Services' total forecast capex. </w:t>
            </w:r>
            <w:r>
              <w:t xml:space="preserve">The need and timing of asset replacement is impacted on forecast demand as this affects the risk of unserved energy as a result of asset failure. Hence, a key driver </w:t>
            </w:r>
            <w:r w:rsidRPr="00270052">
              <w:t xml:space="preserve">of </w:t>
            </w:r>
            <w:r>
              <w:t xml:space="preserve">replacement </w:t>
            </w:r>
            <w:r w:rsidRPr="00270052">
              <w:t>related capex is maximum demand and its effect on network utilisation and reliability.</w:t>
            </w:r>
          </w:p>
        </w:tc>
      </w:tr>
      <w:tr w:rsidR="00270052" w:rsidRPr="005531F2" w:rsidTr="00203295">
        <w:tc>
          <w:tcPr>
            <w:tcW w:w="1832" w:type="dxa"/>
          </w:tcPr>
          <w:p w:rsidR="00270052" w:rsidRPr="00270052" w:rsidRDefault="00270052" w:rsidP="00270052">
            <w:r w:rsidRPr="00270052">
              <w:t>Capital Expenditure Sharing Scheme (CESS)</w:t>
            </w:r>
          </w:p>
        </w:tc>
        <w:tc>
          <w:tcPr>
            <w:tcW w:w="7410" w:type="dxa"/>
          </w:tcPr>
          <w:p w:rsidR="00270052" w:rsidRPr="00270052" w:rsidRDefault="00270052" w:rsidP="0088353D">
            <w:r w:rsidRPr="00270052">
              <w:t xml:space="preserve">The CESS is related to AusNet Services' total forecast capex. In particular, the effective application of the CESS is contingent on the approved total forecast capex being efficient, and that it reasonably reflects the capex criteria. As we note in the capex criteria table below, this is because any efficiency gains or losses are measured against the approved total forecast capex. In addition, we </w:t>
            </w:r>
            <w:r w:rsidR="0088353D">
              <w:t>are</w:t>
            </w:r>
            <w:r w:rsidRPr="00270052">
              <w:t xml:space="preserve"> required to undertake an ex post review of the efficiency and prudency of capex, with the option to exclude any inefficient capex in excess of the approved total forecast capex from AusNet Services' regulatory asset base. In particular, the CESS will ensure that AusNet Services bears at least 30 per cent of any overspend against the capex allowance. Similarly, if AusNet Services can fulfil their objectives without spending the full capex allowance, it will be able to retain 30 per cent of the benefit of this. In addition, if </w:t>
            </w:r>
            <w:proofErr w:type="gramStart"/>
            <w:r w:rsidRPr="00270052">
              <w:t>an over</w:t>
            </w:r>
            <w:r w:rsidR="0088353D">
              <w:t>-</w:t>
            </w:r>
            <w:r w:rsidRPr="00270052">
              <w:t>spend</w:t>
            </w:r>
            <w:proofErr w:type="gramEnd"/>
            <w:r w:rsidRPr="00270052">
              <w:t xml:space="preserve"> is found to be inefficient through the ex post review, AusNet Services risks having to bear the entire overspend.</w:t>
            </w:r>
          </w:p>
        </w:tc>
      </w:tr>
      <w:tr w:rsidR="00270052" w:rsidRPr="005531F2" w:rsidTr="00203295">
        <w:trPr>
          <w:cnfStyle w:val="000000010000" w:firstRow="0" w:lastRow="0" w:firstColumn="0" w:lastColumn="0" w:oddVBand="0" w:evenVBand="0" w:oddHBand="0" w:evenHBand="1" w:firstRowFirstColumn="0" w:firstRowLastColumn="0" w:lastRowFirstColumn="0" w:lastRowLastColumn="0"/>
        </w:trPr>
        <w:tc>
          <w:tcPr>
            <w:tcW w:w="1832" w:type="dxa"/>
          </w:tcPr>
          <w:p w:rsidR="00270052" w:rsidRPr="00270052" w:rsidRDefault="00270052" w:rsidP="00270052">
            <w:r w:rsidRPr="00270052">
              <w:t>Service Target Performance Incentive Scheme (STPIS)</w:t>
            </w:r>
          </w:p>
        </w:tc>
        <w:tc>
          <w:tcPr>
            <w:tcW w:w="7410" w:type="dxa"/>
          </w:tcPr>
          <w:p w:rsidR="00270052" w:rsidRPr="00270052" w:rsidRDefault="00270052" w:rsidP="00270052">
            <w:r w:rsidRPr="00270052">
              <w:t>The STPIS is interrelated to AusNet Services' total forecast capex, in so far as it is important that it does not include any expenditure for the purposes of improving su</w:t>
            </w:r>
            <w:r w:rsidR="008C6DC8">
              <w:t>pply reliability during the 2017–22</w:t>
            </w:r>
            <w:r w:rsidRPr="00270052">
              <w:t xml:space="preserve"> regulatory control </w:t>
            </w:r>
            <w:proofErr w:type="gramStart"/>
            <w:r w:rsidRPr="00270052">
              <w:t>period</w:t>
            </w:r>
            <w:proofErr w:type="gramEnd"/>
            <w:r w:rsidRPr="00270052">
              <w:t>. This is because such expenditure should be offset by rewards provided through the application of the STPIS.</w:t>
            </w:r>
          </w:p>
          <w:p w:rsidR="00270052" w:rsidRPr="00270052" w:rsidRDefault="00270052" w:rsidP="00270052">
            <w:r w:rsidRPr="00270052">
              <w:t>Further, the forecast capex should be sufficient to allow AusNet Services to maintain performance at the targets set under the STPIS. The capex allowance should not be set such that there is an expectation that it will lead to AusNet Services systematically under or over performing against its targets.</w:t>
            </w:r>
          </w:p>
        </w:tc>
      </w:tr>
      <w:tr w:rsidR="00270052" w:rsidRPr="005531F2" w:rsidTr="00203295">
        <w:tc>
          <w:tcPr>
            <w:tcW w:w="1832" w:type="dxa"/>
          </w:tcPr>
          <w:p w:rsidR="00270052" w:rsidRPr="00270052" w:rsidRDefault="00270052" w:rsidP="00270052">
            <w:r w:rsidRPr="00270052">
              <w:t>Contingent project</w:t>
            </w:r>
          </w:p>
        </w:tc>
        <w:tc>
          <w:tcPr>
            <w:tcW w:w="7410" w:type="dxa"/>
          </w:tcPr>
          <w:p w:rsidR="00270052" w:rsidRPr="00270052" w:rsidRDefault="00270052" w:rsidP="00270052">
            <w:r w:rsidRPr="00270052">
              <w:t xml:space="preserve">A contingent project is interrelated to AusNet Services' total forecast capex. This is because </w:t>
            </w:r>
            <w:r w:rsidRPr="00270052">
              <w:lastRenderedPageBreak/>
              <w:t>an amount of expenditure that should be included as a contingent project should not be included as part of AusNet Services' t</w:t>
            </w:r>
            <w:r w:rsidR="008C6DC8">
              <w:t>otal forecast capex for the 2017–22</w:t>
            </w:r>
            <w:r w:rsidRPr="00270052">
              <w:t xml:space="preserve"> regulatory control </w:t>
            </w:r>
            <w:proofErr w:type="gramStart"/>
            <w:r w:rsidRPr="00270052">
              <w:t>period</w:t>
            </w:r>
            <w:proofErr w:type="gramEnd"/>
            <w:r w:rsidRPr="00270052">
              <w:t xml:space="preserve">. </w:t>
            </w:r>
          </w:p>
          <w:p w:rsidR="00270052" w:rsidRPr="00270052" w:rsidRDefault="008C6DC8" w:rsidP="00571584">
            <w:r>
              <w:t>AusNet Services propo</w:t>
            </w:r>
            <w:r w:rsidR="00571584">
              <w:t xml:space="preserve">sed a contingent project but </w:t>
            </w:r>
            <w:r>
              <w:t xml:space="preserve">has subsequently advised that its contingent project proposal is no longer </w:t>
            </w:r>
            <w:r w:rsidR="00571584">
              <w:t>required</w:t>
            </w:r>
            <w:r>
              <w:t xml:space="preserve"> since it lodged its revenue proposal.</w:t>
            </w:r>
          </w:p>
        </w:tc>
      </w:tr>
    </w:tbl>
    <w:p w:rsidR="000C1C93" w:rsidRDefault="008C6DC8" w:rsidP="008C6DC8">
      <w:pPr>
        <w:pStyle w:val="Source"/>
      </w:pPr>
      <w:r>
        <w:lastRenderedPageBreak/>
        <w:t>Source: AER analysis</w:t>
      </w:r>
    </w:p>
    <w:p w:rsidR="000C1C93" w:rsidRDefault="000C1C93" w:rsidP="000C1C93">
      <w:pPr>
        <w:pStyle w:val="Heading3"/>
      </w:pPr>
      <w:bookmarkStart w:id="46" w:name="_Toc456608790"/>
      <w:r>
        <w:t>Consideration of the capex factors</w:t>
      </w:r>
      <w:bookmarkEnd w:id="46"/>
    </w:p>
    <w:p w:rsidR="008C6DC8" w:rsidRPr="008C6DC8" w:rsidRDefault="008C6DC8" w:rsidP="008C6DC8">
      <w:pPr>
        <w:rPr>
          <w:rStyle w:val="AERbody"/>
        </w:rPr>
      </w:pPr>
      <w:r w:rsidRPr="008C6DC8">
        <w:rPr>
          <w:rStyle w:val="AERbody"/>
        </w:rPr>
        <w:t>As we discussed in section</w:t>
      </w:r>
      <w:r w:rsidR="00A52F7E">
        <w:rPr>
          <w:rStyle w:val="AERbody"/>
        </w:rPr>
        <w:t xml:space="preserve"> </w:t>
      </w:r>
      <w:r w:rsidR="00A52F7E">
        <w:rPr>
          <w:rStyle w:val="AERbody"/>
        </w:rPr>
        <w:fldChar w:fldCharType="begin"/>
      </w:r>
      <w:r w:rsidR="00A52F7E">
        <w:rPr>
          <w:rStyle w:val="AERbody"/>
        </w:rPr>
        <w:instrText xml:space="preserve"> REF _Ref448499467 \r </w:instrText>
      </w:r>
      <w:r w:rsidR="00A52F7E">
        <w:rPr>
          <w:rStyle w:val="AERbody"/>
        </w:rPr>
        <w:fldChar w:fldCharType="separate"/>
      </w:r>
      <w:r w:rsidR="00C60946">
        <w:rPr>
          <w:rStyle w:val="AERbody"/>
        </w:rPr>
        <w:t>6.3</w:t>
      </w:r>
      <w:r w:rsidR="00A52F7E">
        <w:rPr>
          <w:rStyle w:val="AERbody"/>
        </w:rPr>
        <w:fldChar w:fldCharType="end"/>
      </w:r>
      <w:r w:rsidRPr="008C6DC8">
        <w:rPr>
          <w:rStyle w:val="AERbody"/>
        </w:rPr>
        <w:t>, we took the capex factors into consideration when assessing AusNet Services' total capex forecast.</w:t>
      </w:r>
      <w:r w:rsidRPr="00827169">
        <w:rPr>
          <w:rStyle w:val="FootnoteReference"/>
        </w:rPr>
        <w:footnoteReference w:id="43"/>
      </w:r>
      <w:r w:rsidRPr="008C6DC8">
        <w:rPr>
          <w:rStyle w:val="AERbody"/>
        </w:rPr>
        <w:t xml:space="preserve"> </w:t>
      </w:r>
      <w:r w:rsidRPr="008C6DC8">
        <w:rPr>
          <w:rStyle w:val="AERbody"/>
        </w:rPr>
        <w:fldChar w:fldCharType="begin"/>
      </w:r>
      <w:r w:rsidRPr="008C6DC8">
        <w:rPr>
          <w:rStyle w:val="AERbody"/>
        </w:rPr>
        <w:instrText xml:space="preserve"> REF _Ref403666738 \h  \* MERGEFORMAT </w:instrText>
      </w:r>
      <w:r w:rsidRPr="008C6DC8">
        <w:rPr>
          <w:rStyle w:val="AERbody"/>
        </w:rPr>
      </w:r>
      <w:r w:rsidRPr="008C6DC8">
        <w:rPr>
          <w:rStyle w:val="AERbody"/>
        </w:rPr>
        <w:fldChar w:fldCharType="separate"/>
      </w:r>
      <w:r w:rsidR="00C60946" w:rsidRPr="00C60946">
        <w:rPr>
          <w:rStyle w:val="AERbody"/>
        </w:rPr>
        <w:t>Table 6.5</w:t>
      </w:r>
      <w:r w:rsidRPr="008C6DC8">
        <w:rPr>
          <w:rStyle w:val="AERbody"/>
        </w:rPr>
        <w:fldChar w:fldCharType="end"/>
      </w:r>
      <w:r w:rsidRPr="008C6DC8">
        <w:rPr>
          <w:rStyle w:val="AERbody"/>
        </w:rPr>
        <w:t xml:space="preserve"> summarises how we have taken into account the capex factors. </w:t>
      </w:r>
    </w:p>
    <w:p w:rsidR="008C6DC8" w:rsidRPr="008C6DC8" w:rsidRDefault="008C6DC8" w:rsidP="008C6DC8">
      <w:pPr>
        <w:rPr>
          <w:rStyle w:val="AERbody"/>
        </w:rPr>
      </w:pPr>
      <w:r w:rsidRPr="008C6DC8">
        <w:rPr>
          <w:rStyle w:val="AERbody"/>
        </w:rPr>
        <w:t xml:space="preserve">Where relevant, we also had regard to the capex factors in assessing the forecast capex associated with </w:t>
      </w:r>
      <w:r>
        <w:rPr>
          <w:rStyle w:val="AERbody"/>
        </w:rPr>
        <w:t>repex and non-network capex</w:t>
      </w:r>
      <w:r w:rsidRPr="008C6DC8">
        <w:rPr>
          <w:rStyle w:val="AERbody"/>
        </w:rPr>
        <w:t xml:space="preserve"> (see appendix</w:t>
      </w:r>
      <w:r w:rsidR="00633226">
        <w:rPr>
          <w:rStyle w:val="AERbody"/>
        </w:rPr>
        <w:t xml:space="preserve"> </w:t>
      </w:r>
      <w:r w:rsidR="00633226">
        <w:rPr>
          <w:rStyle w:val="AERbody"/>
        </w:rPr>
        <w:fldChar w:fldCharType="begin"/>
      </w:r>
      <w:r w:rsidR="00633226">
        <w:rPr>
          <w:rStyle w:val="AERbody"/>
        </w:rPr>
        <w:instrText xml:space="preserve"> REF _Ref448499504 \r </w:instrText>
      </w:r>
      <w:r w:rsidR="00633226">
        <w:rPr>
          <w:rStyle w:val="AERbody"/>
        </w:rPr>
        <w:fldChar w:fldCharType="separate"/>
      </w:r>
      <w:r w:rsidR="00C60946">
        <w:rPr>
          <w:rStyle w:val="AERbody"/>
        </w:rPr>
        <w:t>B</w:t>
      </w:r>
      <w:r w:rsidR="00633226">
        <w:rPr>
          <w:rStyle w:val="AERbody"/>
        </w:rPr>
        <w:fldChar w:fldCharType="end"/>
      </w:r>
      <w:r w:rsidRPr="008C6DC8">
        <w:rPr>
          <w:rStyle w:val="AERbody"/>
        </w:rPr>
        <w:t>).</w:t>
      </w:r>
    </w:p>
    <w:p w:rsidR="008C6DC8" w:rsidRPr="008C6DC8" w:rsidRDefault="008C6DC8" w:rsidP="008C6DC8">
      <w:pPr>
        <w:pStyle w:val="Charttitle"/>
      </w:pPr>
      <w:bookmarkStart w:id="47" w:name="_Ref403666738"/>
      <w:proofErr w:type="gramStart"/>
      <w:r w:rsidRPr="008C6DC8">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5</w:t>
      </w:r>
      <w:r w:rsidR="00735181">
        <w:rPr>
          <w:noProof/>
        </w:rPr>
        <w:fldChar w:fldCharType="end"/>
      </w:r>
      <w:bookmarkEnd w:id="47"/>
      <w:r w:rsidRPr="008C6DC8">
        <w:tab/>
        <w:t>AER consideration of the capex factors</w:t>
      </w:r>
    </w:p>
    <w:tbl>
      <w:tblPr>
        <w:tblStyle w:val="AERtable-text0"/>
        <w:tblW w:w="0" w:type="auto"/>
        <w:tblLook w:val="04A0" w:firstRow="1" w:lastRow="0" w:firstColumn="1" w:lastColumn="0" w:noHBand="0" w:noVBand="1"/>
      </w:tblPr>
      <w:tblGrid>
        <w:gridCol w:w="3860"/>
        <w:gridCol w:w="4833"/>
      </w:tblGrid>
      <w:tr w:rsidR="008C6DC8" w:rsidRPr="005531F2" w:rsidTr="00203295">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8C6DC8" w:rsidRPr="008C6DC8" w:rsidRDefault="008C6DC8" w:rsidP="008C6DC8">
            <w:r w:rsidRPr="008C6DC8">
              <w:t>Capex factor</w:t>
            </w:r>
          </w:p>
        </w:tc>
        <w:tc>
          <w:tcPr>
            <w:tcW w:w="4833" w:type="dxa"/>
            <w:hideMark/>
          </w:tcPr>
          <w:p w:rsidR="008C6DC8" w:rsidRPr="008C6DC8" w:rsidRDefault="008C6DC8" w:rsidP="008C6DC8">
            <w:r w:rsidRPr="008C6DC8">
              <w:t>AER consideration</w:t>
            </w:r>
          </w:p>
        </w:tc>
      </w:tr>
      <w:tr w:rsidR="008C6DC8" w:rsidRPr="005531F2" w:rsidTr="00203295">
        <w:tc>
          <w:tcPr>
            <w:tcW w:w="3860" w:type="dxa"/>
            <w:hideMark/>
          </w:tcPr>
          <w:p w:rsidR="008C6DC8" w:rsidRPr="008C6DC8" w:rsidRDefault="008C6DC8" w:rsidP="008C6DC8">
            <w:r w:rsidRPr="008C6DC8">
              <w:t>The most recent annual benchmarking report and benchmarking capex that would be incurred by an efficient distributor over the relevant regulatory control period</w:t>
            </w:r>
          </w:p>
        </w:tc>
        <w:tc>
          <w:tcPr>
            <w:tcW w:w="4833" w:type="dxa"/>
          </w:tcPr>
          <w:p w:rsidR="008C6DC8" w:rsidRPr="008C6DC8" w:rsidRDefault="008C6DC8" w:rsidP="00043467">
            <w:r w:rsidRPr="008C6DC8">
              <w:t xml:space="preserve">We had regard to our most recent benchmarking report in assessing AusNet Services' proposed total forecast </w:t>
            </w:r>
            <w:r>
              <w:t>for the 2017–22</w:t>
            </w:r>
            <w:r w:rsidRPr="008C6DC8">
              <w:t xml:space="preserve"> regulatory control </w:t>
            </w:r>
            <w:proofErr w:type="gramStart"/>
            <w:r w:rsidRPr="008C6DC8">
              <w:t>period</w:t>
            </w:r>
            <w:proofErr w:type="gramEnd"/>
            <w:r w:rsidRPr="008C6DC8">
              <w:t>. This can be seen in the metrics we used in our assessment of AusNet Services' capex performance.</w:t>
            </w:r>
          </w:p>
        </w:tc>
      </w:tr>
      <w:tr w:rsidR="008C6DC8" w:rsidRPr="005531F2" w:rsidTr="00203295">
        <w:trPr>
          <w:cnfStyle w:val="000000010000" w:firstRow="0" w:lastRow="0" w:firstColumn="0" w:lastColumn="0" w:oddVBand="0" w:evenVBand="0" w:oddHBand="0" w:evenHBand="1" w:firstRowFirstColumn="0" w:firstRowLastColumn="0" w:lastRowFirstColumn="0" w:lastRowLastColumn="0"/>
        </w:trPr>
        <w:tc>
          <w:tcPr>
            <w:tcW w:w="3860" w:type="dxa"/>
            <w:hideMark/>
          </w:tcPr>
          <w:p w:rsidR="008C6DC8" w:rsidRPr="008C6DC8" w:rsidRDefault="008C6DC8" w:rsidP="008C6DC8">
            <w:r w:rsidRPr="008C6DC8">
              <w:t>The actual and expected capex of AusNet Services during any preceding regulatory control periods</w:t>
            </w:r>
          </w:p>
        </w:tc>
        <w:tc>
          <w:tcPr>
            <w:tcW w:w="4833" w:type="dxa"/>
          </w:tcPr>
          <w:p w:rsidR="008C6DC8" w:rsidRPr="008C6DC8" w:rsidRDefault="008C6DC8" w:rsidP="008C6DC8">
            <w:r w:rsidRPr="008C6DC8">
              <w:t xml:space="preserve">We had regard to AusNet Services' actual and expected capex during the </w:t>
            </w:r>
            <w:r>
              <w:t>2013–17</w:t>
            </w:r>
            <w:r w:rsidRPr="008C6DC8">
              <w:t xml:space="preserve"> </w:t>
            </w:r>
            <w:r w:rsidR="00043467">
              <w:t xml:space="preserve">regulatory control </w:t>
            </w:r>
            <w:r>
              <w:t xml:space="preserve">period </w:t>
            </w:r>
            <w:r w:rsidRPr="008C6DC8">
              <w:t xml:space="preserve">and preceding regulatory control periods in assessing its proposed total forecast. </w:t>
            </w:r>
          </w:p>
          <w:p w:rsidR="008C6DC8" w:rsidRPr="008C6DC8" w:rsidRDefault="008C6DC8" w:rsidP="008C6DC8">
            <w:r w:rsidRPr="008C6DC8">
              <w:t xml:space="preserve">This can be seen in our assessment of AusNet Services' capex performance. It can also be seen in our assessment of the forecast capex associated with the capex drivers </w:t>
            </w:r>
            <w:r w:rsidR="00043467">
              <w:t xml:space="preserve">and programs </w:t>
            </w:r>
            <w:r w:rsidRPr="008C6DC8">
              <w:t xml:space="preserve">that underlie AusNet Services' total forecast capex. </w:t>
            </w:r>
          </w:p>
          <w:p w:rsidR="008C6DC8" w:rsidRPr="008C6DC8" w:rsidRDefault="008C6DC8" w:rsidP="008C6DC8">
            <w:r w:rsidRPr="008C6DC8">
              <w:t xml:space="preserve">For non-network capex, we rely </w:t>
            </w:r>
            <w:r>
              <w:t xml:space="preserve">in part </w:t>
            </w:r>
            <w:r w:rsidRPr="008C6DC8">
              <w:t>on trend analysis to arrive at an estimate that meets the capex criteria.</w:t>
            </w:r>
          </w:p>
        </w:tc>
      </w:tr>
      <w:tr w:rsidR="008C6DC8" w:rsidRPr="005531F2" w:rsidTr="00203295">
        <w:tc>
          <w:tcPr>
            <w:tcW w:w="3860" w:type="dxa"/>
            <w:hideMark/>
          </w:tcPr>
          <w:p w:rsidR="008C6DC8" w:rsidRPr="008C6DC8" w:rsidRDefault="008C6DC8" w:rsidP="008C6DC8">
            <w:r w:rsidRPr="008C6DC8">
              <w:t>The extent to which the capex forecast includes expenditure to address concerns of electricity consumers as identified by AusNet Services in the course of its engagement with electricity consumers</w:t>
            </w:r>
          </w:p>
        </w:tc>
        <w:tc>
          <w:tcPr>
            <w:tcW w:w="4833" w:type="dxa"/>
          </w:tcPr>
          <w:p w:rsidR="00A00EA4" w:rsidRPr="008C6DC8" w:rsidRDefault="00A00EA4" w:rsidP="00A00EA4">
            <w:pPr>
              <w:rPr>
                <w:rStyle w:val="AERtexthighlight"/>
              </w:rPr>
            </w:pPr>
            <w:r>
              <w:t>We had regard to the extent to which AusNet Services' proposed total forecast capex includes expenditure to address consume</w:t>
            </w:r>
            <w:r w:rsidR="00A95109">
              <w:t>r concerns that AusNet Services</w:t>
            </w:r>
            <w:r>
              <w:t xml:space="preserve"> i</w:t>
            </w:r>
            <w:r w:rsidR="00A95109">
              <w:t>dentified. AusNet Services</w:t>
            </w:r>
            <w:r>
              <w:t xml:space="preserve"> has undertaken engagement with its customers and has relied on the adoption of the value of customer reliability in its economic analysis to reflect customer preferences in developing its forecast capex.</w:t>
            </w:r>
          </w:p>
        </w:tc>
      </w:tr>
      <w:tr w:rsidR="008C6DC8" w:rsidRPr="005531F2" w:rsidTr="00203295">
        <w:trPr>
          <w:cnfStyle w:val="000000010000" w:firstRow="0" w:lastRow="0" w:firstColumn="0" w:lastColumn="0" w:oddVBand="0" w:evenVBand="0" w:oddHBand="0" w:evenHBand="1" w:firstRowFirstColumn="0" w:firstRowLastColumn="0" w:lastRowFirstColumn="0" w:lastRowLastColumn="0"/>
        </w:trPr>
        <w:tc>
          <w:tcPr>
            <w:tcW w:w="3860" w:type="dxa"/>
          </w:tcPr>
          <w:p w:rsidR="008C6DC8" w:rsidRPr="008C6DC8" w:rsidRDefault="008C6DC8" w:rsidP="008C6DC8">
            <w:r w:rsidRPr="008C6DC8">
              <w:t>The relative prices of operating and capital inputs</w:t>
            </w:r>
          </w:p>
        </w:tc>
        <w:tc>
          <w:tcPr>
            <w:tcW w:w="4833" w:type="dxa"/>
          </w:tcPr>
          <w:p w:rsidR="008C6DC8" w:rsidRPr="008C6DC8" w:rsidRDefault="008C6DC8" w:rsidP="007F3946">
            <w:r w:rsidRPr="008C6DC8">
              <w:t>We had regard to the relative prices of operating and capital inputs in assessing AusNet Services' proposed real cost escalation factors. In particular, we have accepted AusNet Services'</w:t>
            </w:r>
            <w:r>
              <w:t xml:space="preserve"> proposed </w:t>
            </w:r>
            <w:r w:rsidRPr="008C6DC8">
              <w:t>cost escalation for labour.</w:t>
            </w:r>
          </w:p>
        </w:tc>
      </w:tr>
      <w:tr w:rsidR="008C6DC8" w:rsidRPr="005531F2" w:rsidTr="00203295">
        <w:tc>
          <w:tcPr>
            <w:tcW w:w="3860" w:type="dxa"/>
            <w:hideMark/>
          </w:tcPr>
          <w:p w:rsidR="008C6DC8" w:rsidRPr="008C6DC8" w:rsidRDefault="008C6DC8" w:rsidP="008C6DC8">
            <w:r w:rsidRPr="008C6DC8">
              <w:t xml:space="preserve">The substitution possibilities between operating </w:t>
            </w:r>
            <w:r w:rsidRPr="008C6DC8">
              <w:lastRenderedPageBreak/>
              <w:t>and capital expenditure</w:t>
            </w:r>
          </w:p>
        </w:tc>
        <w:tc>
          <w:tcPr>
            <w:tcW w:w="4833" w:type="dxa"/>
          </w:tcPr>
          <w:p w:rsidR="008C6DC8" w:rsidRPr="008C6DC8" w:rsidRDefault="008C6DC8" w:rsidP="00735181">
            <w:r w:rsidRPr="008C6DC8">
              <w:lastRenderedPageBreak/>
              <w:t xml:space="preserve">We had regard to the substitution possibilities between opex and </w:t>
            </w:r>
            <w:r w:rsidRPr="008C6DC8">
              <w:lastRenderedPageBreak/>
              <w:t xml:space="preserve">capex. We considered whether there are more efficient and prudent trade-offs in investing more or less in capital in place of ongoing operations. See our discussion about the interrelationships between AusNet Services' total forecast capex and total forecast opex in </w:t>
            </w:r>
            <w:r w:rsidR="00735181">
              <w:fldChar w:fldCharType="begin"/>
            </w:r>
            <w:r w:rsidR="00735181">
              <w:instrText xml:space="preserve"> REF _Ref453680679 \h </w:instrText>
            </w:r>
            <w:r w:rsidR="00735181">
              <w:fldChar w:fldCharType="separate"/>
            </w:r>
            <w:r w:rsidR="00C60946">
              <w:t xml:space="preserve">Table </w:t>
            </w:r>
            <w:r w:rsidR="00C60946">
              <w:rPr>
                <w:noProof/>
              </w:rPr>
              <w:t>6</w:t>
            </w:r>
            <w:r w:rsidR="00C60946">
              <w:t>.</w:t>
            </w:r>
            <w:r w:rsidR="00C60946">
              <w:rPr>
                <w:noProof/>
              </w:rPr>
              <w:t>4</w:t>
            </w:r>
            <w:r w:rsidR="00735181">
              <w:fldChar w:fldCharType="end"/>
            </w:r>
            <w:r w:rsidR="00735181">
              <w:t xml:space="preserve"> </w:t>
            </w:r>
            <w:r w:rsidRPr="008C6DC8">
              <w:t>above.</w:t>
            </w:r>
          </w:p>
        </w:tc>
      </w:tr>
      <w:tr w:rsidR="008C6DC8" w:rsidRPr="005531F2" w:rsidTr="00203295">
        <w:trPr>
          <w:cnfStyle w:val="000000010000" w:firstRow="0" w:lastRow="0" w:firstColumn="0" w:lastColumn="0" w:oddVBand="0" w:evenVBand="0" w:oddHBand="0" w:evenHBand="1" w:firstRowFirstColumn="0" w:firstRowLastColumn="0" w:lastRowFirstColumn="0" w:lastRowLastColumn="0"/>
        </w:trPr>
        <w:tc>
          <w:tcPr>
            <w:tcW w:w="3860" w:type="dxa"/>
            <w:hideMark/>
          </w:tcPr>
          <w:p w:rsidR="008C6DC8" w:rsidRPr="008C6DC8" w:rsidRDefault="008C6DC8" w:rsidP="008C6DC8">
            <w:r w:rsidRPr="008C6DC8">
              <w:lastRenderedPageBreak/>
              <w:t>Whether the capex forecast is consistent with any incentive scheme or schemes that apply to AusNet Services</w:t>
            </w:r>
          </w:p>
        </w:tc>
        <w:tc>
          <w:tcPr>
            <w:tcW w:w="4833" w:type="dxa"/>
          </w:tcPr>
          <w:p w:rsidR="008C6DC8" w:rsidRPr="008C6DC8" w:rsidRDefault="008C6DC8" w:rsidP="00827169">
            <w:r w:rsidRPr="008C6DC8">
              <w:t xml:space="preserve">We had regard to whether AusNet Services' proposed total forecast capex is consistent with the CESS and the STPIS. See our discussion about the interrelationships between AusNet Services' total forecast capex and the application of the CESS and the STPIS in </w:t>
            </w:r>
            <w:fldSimple w:instr=" REF _Ref453680679 ">
              <w:r w:rsidR="00C60946">
                <w:t xml:space="preserve">Table </w:t>
              </w:r>
              <w:r w:rsidR="00C60946">
                <w:rPr>
                  <w:noProof/>
                </w:rPr>
                <w:t>6</w:t>
              </w:r>
              <w:r w:rsidR="00C60946">
                <w:t>.</w:t>
              </w:r>
              <w:r w:rsidR="00C60946">
                <w:rPr>
                  <w:noProof/>
                </w:rPr>
                <w:t>4</w:t>
              </w:r>
            </w:fldSimple>
            <w:r w:rsidR="00827169">
              <w:t xml:space="preserve"> </w:t>
            </w:r>
            <w:r w:rsidRPr="008C6DC8">
              <w:t>above.</w:t>
            </w:r>
          </w:p>
        </w:tc>
      </w:tr>
      <w:tr w:rsidR="008C6DC8" w:rsidRPr="005531F2" w:rsidTr="00203295">
        <w:tc>
          <w:tcPr>
            <w:tcW w:w="3860" w:type="dxa"/>
            <w:hideMark/>
          </w:tcPr>
          <w:p w:rsidR="008C6DC8" w:rsidRPr="008C6DC8" w:rsidRDefault="008C6DC8" w:rsidP="008E61CC">
            <w:r w:rsidRPr="008C6DC8">
              <w:t>The extent to which the capex forecast is refer</w:t>
            </w:r>
            <w:r w:rsidR="00571584">
              <w:t>r</w:t>
            </w:r>
            <w:r w:rsidRPr="008C6DC8">
              <w:t xml:space="preserve">able to arrangements with a person other than the </w:t>
            </w:r>
            <w:r w:rsidR="008E61CC">
              <w:t xml:space="preserve">service provider </w:t>
            </w:r>
            <w:r w:rsidR="008E61CC" w:rsidRPr="008C6DC8">
              <w:t xml:space="preserve"> </w:t>
            </w:r>
            <w:r w:rsidRPr="008C6DC8">
              <w:t>that do not reflect arm's length terms</w:t>
            </w:r>
          </w:p>
        </w:tc>
        <w:tc>
          <w:tcPr>
            <w:tcW w:w="4833" w:type="dxa"/>
          </w:tcPr>
          <w:p w:rsidR="008C6DC8" w:rsidRPr="008C6DC8" w:rsidRDefault="008C6DC8" w:rsidP="00CA6778">
            <w:pPr>
              <w:rPr>
                <w:rStyle w:val="AERtexthighlight"/>
              </w:rPr>
            </w:pPr>
            <w:r w:rsidRPr="008C6DC8">
              <w:t>We had regard to whether any part of AusNet Services' proposed total forecast capex or our alternative estimate is refer</w:t>
            </w:r>
            <w:r w:rsidR="00571584">
              <w:t>r</w:t>
            </w:r>
            <w:r w:rsidRPr="008C6DC8">
              <w:t xml:space="preserve">able to arrangements with a person other than AusNet Services that do not reflect arm's length terms. </w:t>
            </w:r>
            <w:r w:rsidR="00322DC6">
              <w:t xml:space="preserve">Based on the information provided by AusNet Service's </w:t>
            </w:r>
            <w:r w:rsidR="00CA6778">
              <w:t>we are satisfied that the capex forecast is based on arrangements</w:t>
            </w:r>
            <w:r w:rsidR="009753BA">
              <w:t xml:space="preserve"> that</w:t>
            </w:r>
            <w:r w:rsidR="00CA6778">
              <w:t xml:space="preserve"> reflect arm's length terms.</w:t>
            </w:r>
          </w:p>
        </w:tc>
      </w:tr>
      <w:tr w:rsidR="008C6DC8" w:rsidRPr="005531F2" w:rsidTr="00203295">
        <w:trPr>
          <w:cnfStyle w:val="000000010000" w:firstRow="0" w:lastRow="0" w:firstColumn="0" w:lastColumn="0" w:oddVBand="0" w:evenVBand="0" w:oddHBand="0" w:evenHBand="1" w:firstRowFirstColumn="0" w:firstRowLastColumn="0" w:lastRowFirstColumn="0" w:lastRowLastColumn="0"/>
        </w:trPr>
        <w:tc>
          <w:tcPr>
            <w:tcW w:w="3860" w:type="dxa"/>
            <w:hideMark/>
          </w:tcPr>
          <w:p w:rsidR="008C6DC8" w:rsidRPr="008C6DC8" w:rsidRDefault="008C6DC8" w:rsidP="008C6DC8">
            <w:r w:rsidRPr="008C6DC8">
              <w:t>Whether the capex forecast includes an amount relating to a project that should more appropriately be included as a contingent project</w:t>
            </w:r>
          </w:p>
        </w:tc>
        <w:tc>
          <w:tcPr>
            <w:tcW w:w="4833" w:type="dxa"/>
          </w:tcPr>
          <w:p w:rsidR="008C6DC8" w:rsidRPr="008C6DC8" w:rsidRDefault="008C6DC8" w:rsidP="00CA6778">
            <w:pPr>
              <w:rPr>
                <w:rStyle w:val="AERtexthighlight"/>
              </w:rPr>
            </w:pPr>
            <w:r w:rsidRPr="008C6DC8">
              <w:t xml:space="preserve">We had regard to whether any amount of AusNet Services' proposed total forecast capex or our alternative estimate relates to a project that should more appropriately be included as a contingent project. </w:t>
            </w:r>
            <w:r w:rsidR="00CA6778">
              <w:t xml:space="preserve">We did not identify any such amounts that should more appropriately be included as a contingent project. </w:t>
            </w:r>
          </w:p>
        </w:tc>
      </w:tr>
      <w:tr w:rsidR="00A566AB" w:rsidRPr="005531F2" w:rsidTr="00203295">
        <w:tc>
          <w:tcPr>
            <w:tcW w:w="3860" w:type="dxa"/>
          </w:tcPr>
          <w:p w:rsidR="00A566AB" w:rsidRPr="008C6DC8" w:rsidRDefault="00A566AB" w:rsidP="00A566AB">
            <w:r>
              <w:t xml:space="preserve">The most recent </w:t>
            </w:r>
            <w:r w:rsidRPr="00A566AB">
              <w:t xml:space="preserve">National Transmission Network Development Plan (NTNDP), and any submissions made by AEMO, in accordance with the Rules, on the forecast of </w:t>
            </w:r>
            <w:r>
              <w:t>AusNet Services'</w:t>
            </w:r>
            <w:r w:rsidRPr="00A566AB">
              <w:t xml:space="preserve"> required capex</w:t>
            </w:r>
          </w:p>
        </w:tc>
        <w:tc>
          <w:tcPr>
            <w:tcW w:w="4833" w:type="dxa"/>
          </w:tcPr>
          <w:p w:rsidR="00A566AB" w:rsidRPr="008C6DC8" w:rsidRDefault="00A566AB" w:rsidP="002B574E">
            <w:r>
              <w:t>Given the planning arrangeme</w:t>
            </w:r>
            <w:r w:rsidR="00322DC6">
              <w:t>nts in Victoria, AusNet Services'</w:t>
            </w:r>
            <w:r>
              <w:t xml:space="preserve"> capex forecast does not included augex </w:t>
            </w:r>
            <w:r w:rsidR="002B574E">
              <w:t xml:space="preserve">related capex and so we have not had regard to </w:t>
            </w:r>
            <w:r>
              <w:t>the most recent NTNDP</w:t>
            </w:r>
            <w:r w:rsidR="002B574E">
              <w:t>.</w:t>
            </w:r>
          </w:p>
        </w:tc>
      </w:tr>
      <w:tr w:rsidR="008C6DC8" w:rsidRPr="005531F2" w:rsidTr="00203295">
        <w:trPr>
          <w:cnfStyle w:val="000000010000" w:firstRow="0" w:lastRow="0" w:firstColumn="0" w:lastColumn="0" w:oddVBand="0" w:evenVBand="0" w:oddHBand="0" w:evenHBand="1" w:firstRowFirstColumn="0" w:firstRowLastColumn="0" w:lastRowFirstColumn="0" w:lastRowLastColumn="0"/>
        </w:trPr>
        <w:tc>
          <w:tcPr>
            <w:tcW w:w="3860" w:type="dxa"/>
          </w:tcPr>
          <w:p w:rsidR="008C6DC8" w:rsidRPr="008C6DC8" w:rsidRDefault="008C6DC8" w:rsidP="008C6DC8">
            <w:r w:rsidRPr="008C6DC8">
              <w:t>The extent to which AusNet Services has considered and made provision for efficient and prudent non-network alternatives</w:t>
            </w:r>
          </w:p>
        </w:tc>
        <w:tc>
          <w:tcPr>
            <w:tcW w:w="4833" w:type="dxa"/>
          </w:tcPr>
          <w:p w:rsidR="008C6DC8" w:rsidRPr="008C6DC8" w:rsidRDefault="008C6DC8" w:rsidP="00C010EB">
            <w:r w:rsidRPr="008C6DC8">
              <w:t>We had regard to the</w:t>
            </w:r>
            <w:r w:rsidR="00A95109">
              <w:t xml:space="preserve"> extent to which AusNet Services</w:t>
            </w:r>
            <w:r w:rsidRPr="008C6DC8">
              <w:t xml:space="preserve"> made provision for efficient and prudent non-network alternatives as part of our assessment. </w:t>
            </w:r>
            <w:r w:rsidR="00E52F26">
              <w:t xml:space="preserve">AusNet Services </w:t>
            </w:r>
            <w:r w:rsidR="00C010EB">
              <w:t xml:space="preserve">submitted that it </w:t>
            </w:r>
            <w:r w:rsidR="00E52F26">
              <w:t>considered that there were no viable alternatives to replacement capex</w:t>
            </w:r>
            <w:r w:rsidR="00C010EB">
              <w:t>.</w:t>
            </w:r>
          </w:p>
        </w:tc>
      </w:tr>
      <w:tr w:rsidR="00A566AB" w:rsidRPr="005531F2" w:rsidTr="00203295">
        <w:tc>
          <w:tcPr>
            <w:tcW w:w="3860" w:type="dxa"/>
          </w:tcPr>
          <w:p w:rsidR="00A566AB" w:rsidRPr="008C6DC8" w:rsidRDefault="00A566AB" w:rsidP="008C6DC8">
            <w:r>
              <w:t>Any relevant project assessment conclusions report required under clause 5.6.6 of the NER</w:t>
            </w:r>
          </w:p>
        </w:tc>
        <w:tc>
          <w:tcPr>
            <w:tcW w:w="4833" w:type="dxa"/>
          </w:tcPr>
          <w:p w:rsidR="00A566AB" w:rsidRPr="008C6DC8" w:rsidRDefault="00A566AB" w:rsidP="00A566AB">
            <w:r>
              <w:t xml:space="preserve">There are no </w:t>
            </w:r>
            <w:r w:rsidRPr="00A566AB">
              <w:t xml:space="preserve">relevant project assessment conclusions reports relevant to </w:t>
            </w:r>
            <w:r>
              <w:t>AusNet Services</w:t>
            </w:r>
            <w:r w:rsidRPr="00A566AB">
              <w:t xml:space="preserve"> to which we have had regard.</w:t>
            </w:r>
          </w:p>
        </w:tc>
      </w:tr>
      <w:tr w:rsidR="008C6DC8" w:rsidRPr="005531F2" w:rsidTr="00203295">
        <w:trPr>
          <w:cnfStyle w:val="000000010000" w:firstRow="0" w:lastRow="0" w:firstColumn="0" w:lastColumn="0" w:oddVBand="0" w:evenVBand="0" w:oddHBand="0" w:evenHBand="1" w:firstRowFirstColumn="0" w:firstRowLastColumn="0" w:lastRowFirstColumn="0" w:lastRowLastColumn="0"/>
        </w:trPr>
        <w:tc>
          <w:tcPr>
            <w:tcW w:w="3860" w:type="dxa"/>
            <w:hideMark/>
          </w:tcPr>
          <w:p w:rsidR="008C6DC8" w:rsidRPr="008C6DC8" w:rsidRDefault="008C6DC8" w:rsidP="008C6DC8">
            <w:r w:rsidRPr="008C6DC8">
              <w:t>Any other factor the AER considers relevant and which the AER has notified AusNet Services in writing, prio</w:t>
            </w:r>
            <w:r w:rsidR="00880E37">
              <w:t>r to the submission of its</w:t>
            </w:r>
            <w:r w:rsidRPr="008C6DC8">
              <w:t xml:space="preserve"> </w:t>
            </w:r>
            <w:r w:rsidR="00880E37">
              <w:t>revenue proposal</w:t>
            </w:r>
            <w:r w:rsidRPr="008C6DC8">
              <w:t>, is a capex factor</w:t>
            </w:r>
          </w:p>
        </w:tc>
        <w:tc>
          <w:tcPr>
            <w:tcW w:w="4833" w:type="dxa"/>
          </w:tcPr>
          <w:p w:rsidR="008C6DC8" w:rsidRPr="008C6DC8" w:rsidRDefault="008C6DC8" w:rsidP="008C6DC8">
            <w:r w:rsidRPr="008C6DC8">
              <w:t>We did not identify any other capex factor that we consider relevant.</w:t>
            </w:r>
          </w:p>
        </w:tc>
      </w:tr>
    </w:tbl>
    <w:p w:rsidR="008C6DC8" w:rsidRDefault="008C6DC8" w:rsidP="008C6DC8">
      <w:pPr>
        <w:pStyle w:val="AERtablesource"/>
      </w:pPr>
      <w:r w:rsidRPr="008C6DC8">
        <w:t xml:space="preserve">Source: </w:t>
      </w:r>
      <w:r w:rsidRPr="008C6DC8">
        <w:tab/>
        <w:t>AER analysis.</w:t>
      </w:r>
    </w:p>
    <w:p w:rsidR="0044793B" w:rsidRPr="0044793B" w:rsidRDefault="0044793B" w:rsidP="00C010EB">
      <w:pPr>
        <w:spacing w:line="240" w:lineRule="auto"/>
      </w:pPr>
      <w:r>
        <w:br w:type="page"/>
      </w:r>
    </w:p>
    <w:p w:rsidR="0014085B" w:rsidRDefault="0014085B" w:rsidP="00A52F7E">
      <w:pPr>
        <w:pStyle w:val="Heading7"/>
      </w:pPr>
      <w:bookmarkStart w:id="48" w:name="_Ref448499492"/>
      <w:bookmarkStart w:id="49" w:name="_Toc456608791"/>
      <w:r w:rsidRPr="00A52F7E">
        <w:lastRenderedPageBreak/>
        <w:t>Assessment</w:t>
      </w:r>
      <w:r>
        <w:t xml:space="preserve"> techniques</w:t>
      </w:r>
      <w:bookmarkEnd w:id="48"/>
      <w:bookmarkEnd w:id="49"/>
    </w:p>
    <w:p w:rsidR="00547456" w:rsidRPr="00547456" w:rsidRDefault="00547456" w:rsidP="00547456">
      <w:pPr>
        <w:numPr>
          <w:ilvl w:val="0"/>
          <w:numId w:val="25"/>
        </w:numPr>
      </w:pPr>
      <w:r w:rsidRPr="00547456">
        <w:t xml:space="preserve">This Appendix describes the assessment approaches we have applied in assessing </w:t>
      </w:r>
      <w:r w:rsidR="00571584">
        <w:t>AusNet Services'</w:t>
      </w:r>
      <w:r w:rsidRPr="00547456">
        <w:t xml:space="preserve"> proposed forecast capex.  The extent to which we rely on each of the asses</w:t>
      </w:r>
      <w:r w:rsidR="00A52F7E">
        <w:t>sment techniques is set out in a</w:t>
      </w:r>
      <w:r w:rsidRPr="00547456">
        <w:t xml:space="preserve">ppendix </w:t>
      </w:r>
      <w:r w:rsidR="00AF18D5">
        <w:t>B</w:t>
      </w:r>
      <w:r w:rsidRPr="00547456">
        <w:t>.</w:t>
      </w:r>
    </w:p>
    <w:p w:rsidR="00547456" w:rsidRPr="00547456" w:rsidRDefault="00547456" w:rsidP="00547456">
      <w:pPr>
        <w:numPr>
          <w:ilvl w:val="0"/>
          <w:numId w:val="25"/>
        </w:numPr>
      </w:pPr>
      <w:r w:rsidRPr="00547456">
        <w:t>The assessment techniques that we apply in capex are necessarily different from those we apply in the assessment of opex. This is reflective of differences in the nature of the expenditure being assessed. As such, we use some assessment techniques in our capex assessment that are not suitable for assessing opex and vice versa. We set this out in our Expenditure Guideline, where we stated:</w:t>
      </w:r>
      <w:r w:rsidRPr="00547456">
        <w:rPr>
          <w:rStyle w:val="FootnoteReference"/>
        </w:rPr>
        <w:footnoteReference w:id="44"/>
      </w:r>
    </w:p>
    <w:p w:rsidR="00547456" w:rsidRPr="00547456" w:rsidRDefault="00547456" w:rsidP="00547456">
      <w:pPr>
        <w:pStyle w:val="AERquote"/>
      </w:pPr>
      <w:r w:rsidRPr="00547456">
        <w:t>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DNSPs) when forming a view on forecast unit costs.</w:t>
      </w:r>
    </w:p>
    <w:p w:rsidR="00547456" w:rsidRPr="00547456" w:rsidRDefault="00547456" w:rsidP="00547456">
      <w:pPr>
        <w:pStyle w:val="AERquote"/>
      </w:pPr>
      <w:r w:rsidRPr="00547456">
        <w:t xml:space="preserve">Other drivers of capex (such as replacement expenditure and connections works) may be recurrent. For such expenditure, we will attempt to identify trends in revealed volumes and costs as an indicator of forecast requirements.   </w:t>
      </w:r>
    </w:p>
    <w:p w:rsidR="00547456" w:rsidRPr="00547456" w:rsidRDefault="00547456" w:rsidP="00547456">
      <w:r w:rsidRPr="00547456">
        <w:t>The assessment techniques that we have used to asse</w:t>
      </w:r>
      <w:r w:rsidR="00571584">
        <w:t>s</w:t>
      </w:r>
      <w:r w:rsidRPr="00547456">
        <w:t xml:space="preserve">s </w:t>
      </w:r>
      <w:r w:rsidR="00571584">
        <w:t>AusNet Services'</w:t>
      </w:r>
      <w:r w:rsidRPr="00547456">
        <w:t xml:space="preserve"> capex are set out below.  </w:t>
      </w:r>
    </w:p>
    <w:p w:rsidR="00547456" w:rsidRPr="00547456" w:rsidRDefault="00547456" w:rsidP="00547456">
      <w:pPr>
        <w:pStyle w:val="Heading8"/>
      </w:pPr>
      <w:bookmarkStart w:id="50" w:name="_Toc413855490"/>
      <w:bookmarkStart w:id="51" w:name="_Toc413858637"/>
      <w:bookmarkStart w:id="52" w:name="_Toc417727155"/>
      <w:bookmarkStart w:id="53" w:name="_Toc456608792"/>
      <w:r w:rsidRPr="00547456">
        <w:t>Economic benchmarking</w:t>
      </w:r>
      <w:bookmarkEnd w:id="50"/>
      <w:bookmarkEnd w:id="51"/>
      <w:bookmarkEnd w:id="52"/>
      <w:bookmarkEnd w:id="53"/>
    </w:p>
    <w:p w:rsidR="00547456" w:rsidRPr="00547456" w:rsidRDefault="00547456" w:rsidP="00547456">
      <w:pPr>
        <w:numPr>
          <w:ilvl w:val="0"/>
          <w:numId w:val="25"/>
        </w:numPr>
      </w:pPr>
      <w:r w:rsidRPr="00547456">
        <w:t>Economic benchmarking is one of the key outputs of our annual benchmarking report. We are required to consider economic benchmarking as it is one of the capex factors under the NER.</w:t>
      </w:r>
      <w:r w:rsidRPr="00547456">
        <w:rPr>
          <w:rStyle w:val="FootnoteReference"/>
        </w:rPr>
        <w:footnoteReference w:id="45"/>
      </w:r>
      <w:r w:rsidRPr="00547456">
        <w:t xml:space="preserve"> Economic benchmarking applies economic theory to measure the efficiency of a service provider's use of inputs to produce outputs, having regard to operating environment factors.</w:t>
      </w:r>
      <w:r w:rsidRPr="00547456">
        <w:rPr>
          <w:rStyle w:val="FootnoteReference"/>
        </w:rPr>
        <w:footnoteReference w:id="46"/>
      </w:r>
      <w:r w:rsidRPr="00547456">
        <w:t xml:space="preserve"> It allows us to compare the performance of a service provider against its own past performance, and the performance of other service providers. Economic benchmarking helps us to assess whether a service provider's capex forecast represents efficient costs.</w:t>
      </w:r>
      <w:r w:rsidRPr="00547456">
        <w:rPr>
          <w:rStyle w:val="FootnoteReference"/>
        </w:rPr>
        <w:footnoteReference w:id="47"/>
      </w:r>
      <w:r w:rsidRPr="00547456">
        <w:t xml:space="preserve"> As stated by the AEMC, 'benchmarking is a critical exercise in assessing the efficiency of a NSP'.</w:t>
      </w:r>
      <w:r w:rsidRPr="00547456">
        <w:rPr>
          <w:rStyle w:val="FootnoteReference"/>
        </w:rPr>
        <w:footnoteReference w:id="48"/>
      </w:r>
      <w:r w:rsidRPr="00547456">
        <w:t xml:space="preserve"> </w:t>
      </w:r>
    </w:p>
    <w:p w:rsidR="00547456" w:rsidRPr="00547456" w:rsidRDefault="00547456" w:rsidP="00547456">
      <w:pPr>
        <w:numPr>
          <w:ilvl w:val="0"/>
          <w:numId w:val="25"/>
        </w:numPr>
      </w:pPr>
      <w:r w:rsidRPr="00547456">
        <w:lastRenderedPageBreak/>
        <w:t>A number of economic benchmarks from the annual benchmarking report are relevant to our assessment of capex. These include measures of total cost efficiency and overall capex efficiency. In general, these measures calculate a service provider's efficiency with consideration given to its inputs, outputs and its operating environment. We have considered each service provider's operating environment insofar as there are factors that are outside of a NSP's control but which affect a NSP's ability to convert inputs into outputs.</w:t>
      </w:r>
      <w:r w:rsidRPr="00547456">
        <w:rPr>
          <w:rStyle w:val="FootnoteReference"/>
        </w:rPr>
        <w:footnoteReference w:id="49"/>
      </w:r>
      <w:r w:rsidRPr="00547456">
        <w:t xml:space="preserve"> Once such exogenous factors are taken into account, we expect service providers to operate at similar levels of efficiency. One example of an exogenous factor that we have taken into account is customer density. For more on how we have forecast these measures, see our annual benchmarking report.</w:t>
      </w:r>
      <w:r w:rsidRPr="00547456">
        <w:rPr>
          <w:rStyle w:val="FootnoteReference"/>
        </w:rPr>
        <w:footnoteReference w:id="50"/>
      </w:r>
    </w:p>
    <w:p w:rsidR="00547456" w:rsidRPr="00547456" w:rsidRDefault="00547456" w:rsidP="00547456">
      <w:pPr>
        <w:numPr>
          <w:ilvl w:val="0"/>
          <w:numId w:val="25"/>
        </w:numPr>
      </w:pPr>
      <w:r w:rsidRPr="00547456">
        <w:t xml:space="preserve">For the TNSPs we consider this economic benchmarking can give an indication of how the efficiency of each service provider has changed over time. We accept that it is not currently robust enough to draw conclusions about the relative efficiency of these service providers. </w:t>
      </w:r>
    </w:p>
    <w:p w:rsidR="00547456" w:rsidRPr="00547456" w:rsidRDefault="00547456" w:rsidP="00547456">
      <w:pPr>
        <w:pStyle w:val="Heading8"/>
      </w:pPr>
      <w:bookmarkStart w:id="54" w:name="_Toc413855491"/>
      <w:bookmarkStart w:id="55" w:name="_Toc413858638"/>
      <w:bookmarkStart w:id="56" w:name="_Toc417727156"/>
      <w:bookmarkStart w:id="57" w:name="_Toc456608793"/>
      <w:r w:rsidRPr="00547456">
        <w:t>Trend analysis</w:t>
      </w:r>
      <w:bookmarkEnd w:id="54"/>
      <w:bookmarkEnd w:id="55"/>
      <w:bookmarkEnd w:id="56"/>
      <w:bookmarkEnd w:id="57"/>
    </w:p>
    <w:p w:rsidR="00547456" w:rsidRPr="00547456" w:rsidRDefault="00547456" w:rsidP="00547456">
      <w:pPr>
        <w:numPr>
          <w:ilvl w:val="0"/>
          <w:numId w:val="25"/>
        </w:numPr>
      </w:pPr>
      <w:r w:rsidRPr="00547456">
        <w:t>We have considered past trends in actual and forecast capex. This is one of the capex factors that we are required to have regard to.</w:t>
      </w:r>
      <w:r w:rsidRPr="00547456">
        <w:rPr>
          <w:rStyle w:val="FootnoteReference"/>
        </w:rPr>
        <w:footnoteReference w:id="51"/>
      </w:r>
      <w:r w:rsidRPr="00547456">
        <w:t xml:space="preserve"> </w:t>
      </w:r>
    </w:p>
    <w:p w:rsidR="00547456" w:rsidRPr="00547456" w:rsidRDefault="00547456" w:rsidP="00547456">
      <w:pPr>
        <w:numPr>
          <w:ilvl w:val="0"/>
          <w:numId w:val="25"/>
        </w:numPr>
      </w:pPr>
      <w:r w:rsidRPr="00547456">
        <w:t>Trend analysis involves comparing service providers forecast capex and work volumes against historic levels. Where forecast capex and volumes are materially different to historic levels, we have sought to understand what has caused these differences. In doing so, we have considered the reasons given by the service providers in their proposals, as well as changes in the circumstances of the service provider.</w:t>
      </w:r>
    </w:p>
    <w:p w:rsidR="00547456" w:rsidRPr="00547456" w:rsidRDefault="00547456" w:rsidP="00547456">
      <w:pPr>
        <w:numPr>
          <w:ilvl w:val="0"/>
          <w:numId w:val="25"/>
        </w:numPr>
      </w:pPr>
      <w:r w:rsidRPr="00547456">
        <w:t xml:space="preserve">In considering whether a business' capex forecast reasonably reflects the capex criteria, we need to consider whether the forecast will allow the business to </w:t>
      </w:r>
      <w:r w:rsidR="0044793B">
        <w:t>maintain reliability and safety performance</w:t>
      </w:r>
      <w:r w:rsidRPr="00547456">
        <w:t>, and comply with relevant regulatory obligations.</w:t>
      </w:r>
      <w:r w:rsidRPr="00547456">
        <w:rPr>
          <w:rStyle w:val="FootnoteReference"/>
        </w:rPr>
        <w:footnoteReference w:id="52"/>
      </w:r>
      <w:r w:rsidRPr="00547456">
        <w:t xml:space="preserve"> </w:t>
      </w:r>
      <w:r w:rsidR="0044793B">
        <w:t>The requirement to maintain reliability and safety</w:t>
      </w:r>
      <w:r w:rsidR="00C61DD2">
        <w:t>, including</w:t>
      </w:r>
      <w:r w:rsidR="0044793B">
        <w:t xml:space="preserve"> </w:t>
      </w:r>
      <w:r w:rsidRPr="00547456">
        <w:t xml:space="preserve">regulatory obligations (specifically, service standards) are key drivers of capex. More onerous standards will </w:t>
      </w:r>
      <w:r w:rsidR="00C1335B">
        <w:t xml:space="preserve">typically </w:t>
      </w:r>
      <w:r w:rsidRPr="00547456">
        <w:t xml:space="preserve">increase </w:t>
      </w:r>
      <w:proofErr w:type="gramStart"/>
      <w:r w:rsidRPr="00547456">
        <w:t>capex,</w:t>
      </w:r>
      <w:proofErr w:type="gramEnd"/>
      <w:r w:rsidRPr="00547456">
        <w:t xml:space="preserve"> </w:t>
      </w:r>
      <w:r w:rsidR="00C61DD2">
        <w:t>c</w:t>
      </w:r>
      <w:r w:rsidRPr="00547456">
        <w:t xml:space="preserve">onversely, reduced service obligations will likely cause a reduction in the amount of capex required by a service provider. </w:t>
      </w:r>
    </w:p>
    <w:p w:rsidR="00547456" w:rsidRPr="00547456" w:rsidRDefault="00547456" w:rsidP="00547456">
      <w:pPr>
        <w:pStyle w:val="ListParagraph"/>
        <w:numPr>
          <w:ilvl w:val="0"/>
          <w:numId w:val="25"/>
        </w:numPr>
      </w:pPr>
      <w:r w:rsidRPr="00547456">
        <w:t xml:space="preserve">Maximum demand is </w:t>
      </w:r>
      <w:r w:rsidR="00C61DD2">
        <w:t xml:space="preserve">also </w:t>
      </w:r>
      <w:r w:rsidRPr="00547456">
        <w:t xml:space="preserve">a driver of </w:t>
      </w:r>
      <w:r>
        <w:t>replacement</w:t>
      </w:r>
      <w:r w:rsidRPr="00547456">
        <w:t xml:space="preserve"> expenditure</w:t>
      </w:r>
      <w:r w:rsidR="00C61DD2">
        <w:t xml:space="preserve"> as changes in demand will affect the economic value of asset failure</w:t>
      </w:r>
      <w:r w:rsidRPr="00547456">
        <w:t xml:space="preserve">. As </w:t>
      </w:r>
      <w:r>
        <w:t>replacement</w:t>
      </w:r>
      <w:r w:rsidRPr="00547456">
        <w:t xml:space="preserve"> often needs to occur prior to demand growth being realised, forecast rather than actual demand is relevant when a business is deciding what </w:t>
      </w:r>
      <w:r>
        <w:t>replacement</w:t>
      </w:r>
      <w:r w:rsidRPr="00547456">
        <w:t xml:space="preserve"> projects will be required in an upcoming regulatory control period. However, to the extent that revised forecasts differ from the </w:t>
      </w:r>
      <w:r w:rsidRPr="00547456">
        <w:lastRenderedPageBreak/>
        <w:t xml:space="preserve">initial demand forecast, a service provider should incorporate this updated information in a timely manner and should reassess the need </w:t>
      </w:r>
      <w:r w:rsidR="00C61DD2">
        <w:t xml:space="preserve">and timing </w:t>
      </w:r>
      <w:r w:rsidR="00CA6778">
        <w:t>for the projects.</w:t>
      </w:r>
    </w:p>
    <w:p w:rsidR="00547456" w:rsidRPr="00547456" w:rsidRDefault="00547456" w:rsidP="00547456">
      <w:pPr>
        <w:numPr>
          <w:ilvl w:val="0"/>
          <w:numId w:val="25"/>
        </w:numPr>
      </w:pPr>
      <w:r w:rsidRPr="00547456">
        <w:t>For service standards, there is generally a lag between when capex is undertaken (or not) and when the service improves (or declines). This is important in considering the expected impact of an increase or decrease in capex on service levels. It is also relevant to consider when service standards have changed and how this has affected a NSP's capex requirements.</w:t>
      </w:r>
    </w:p>
    <w:p w:rsidR="00547456" w:rsidRPr="00547456" w:rsidRDefault="00547456" w:rsidP="00547456">
      <w:pPr>
        <w:numPr>
          <w:ilvl w:val="0"/>
          <w:numId w:val="25"/>
        </w:numPr>
      </w:pPr>
      <w:r w:rsidRPr="00547456">
        <w:t>We have looked at trends in capex across a range of levels</w:t>
      </w:r>
      <w:r w:rsidR="00F9685D">
        <w:t>,</w:t>
      </w:r>
      <w:r w:rsidRPr="00547456">
        <w:t xml:space="preserve"> including at the total capex level, for replacement </w:t>
      </w:r>
      <w:r w:rsidR="00F9685D">
        <w:t xml:space="preserve">and non-network </w:t>
      </w:r>
      <w:r w:rsidRPr="00547456">
        <w:t>capex</w:t>
      </w:r>
      <w:r w:rsidR="00F9685D">
        <w:t>,</w:t>
      </w:r>
      <w:r w:rsidR="0042305B">
        <w:t xml:space="preserve"> and categories of replacement </w:t>
      </w:r>
      <w:r w:rsidR="00F9685D" w:rsidRPr="00547456">
        <w:t xml:space="preserve">and </w:t>
      </w:r>
      <w:r w:rsidR="00F9685D">
        <w:t>non-network</w:t>
      </w:r>
      <w:r w:rsidRPr="00547456">
        <w:t xml:space="preserve"> </w:t>
      </w:r>
      <w:r w:rsidR="0042305B">
        <w:t>capex</w:t>
      </w:r>
      <w:r w:rsidRPr="00547456">
        <w:t xml:space="preserve"> as relevant. </w:t>
      </w:r>
    </w:p>
    <w:p w:rsidR="00547456" w:rsidRPr="00547456" w:rsidRDefault="002B574E" w:rsidP="00547456">
      <w:pPr>
        <w:pStyle w:val="Heading8"/>
      </w:pPr>
      <w:bookmarkStart w:id="58" w:name="_Toc404174174"/>
      <w:bookmarkStart w:id="59" w:name="_Toc417727157"/>
      <w:bookmarkStart w:id="60" w:name="_Toc456608794"/>
      <w:r>
        <w:t xml:space="preserve">Methodology </w:t>
      </w:r>
      <w:bookmarkEnd w:id="58"/>
      <w:bookmarkEnd w:id="59"/>
      <w:r>
        <w:t>review</w:t>
      </w:r>
      <w:bookmarkEnd w:id="60"/>
    </w:p>
    <w:p w:rsidR="009F38D1" w:rsidRDefault="002B574E" w:rsidP="00547456">
      <w:pPr>
        <w:numPr>
          <w:ilvl w:val="0"/>
          <w:numId w:val="25"/>
        </w:numPr>
      </w:pPr>
      <w:r>
        <w:t xml:space="preserve">We have considered </w:t>
      </w:r>
      <w:r w:rsidR="009F38D1">
        <w:t>the m</w:t>
      </w:r>
      <w:r w:rsidR="00F9685D">
        <w:t>ethodology that AusNet Services</w:t>
      </w:r>
      <w:r w:rsidR="009F38D1">
        <w:t xml:space="preserve"> has used to determine its capex forecasts, including assumptions, inputs and models. </w:t>
      </w:r>
      <w:r w:rsidR="00547456" w:rsidRPr="00547456">
        <w:t xml:space="preserve">This has involved reviewing </w:t>
      </w:r>
      <w:r w:rsidR="009F38D1">
        <w:t xml:space="preserve">whether </w:t>
      </w:r>
      <w:r w:rsidR="00AF377D">
        <w:t>AusNet Service</w:t>
      </w:r>
      <w:r w:rsidR="00547456" w:rsidRPr="00547456">
        <w:t>s</w:t>
      </w:r>
      <w:r w:rsidR="00F9685D">
        <w:t>'</w:t>
      </w:r>
      <w:r w:rsidR="00547456" w:rsidRPr="00547456">
        <w:t xml:space="preserve"> </w:t>
      </w:r>
      <w:r w:rsidR="009F38D1">
        <w:t xml:space="preserve">methodology is a </w:t>
      </w:r>
      <w:r w:rsidR="008E281C">
        <w:t xml:space="preserve">sound </w:t>
      </w:r>
      <w:r w:rsidR="009F38D1">
        <w:t>basis for developing expenditure forecasts that reasonably reflect the capex criteria.</w:t>
      </w:r>
      <w:r w:rsidR="009751EB" w:rsidRPr="00F9685D">
        <w:rPr>
          <w:rStyle w:val="FootnoteReference"/>
        </w:rPr>
        <w:footnoteReference w:id="53"/>
      </w:r>
    </w:p>
    <w:p w:rsidR="00C61DD2" w:rsidRDefault="00D35567" w:rsidP="00547456">
      <w:pPr>
        <w:numPr>
          <w:ilvl w:val="0"/>
          <w:numId w:val="25"/>
        </w:numPr>
      </w:pPr>
      <w:r>
        <w:t>W</w:t>
      </w:r>
      <w:r w:rsidR="00C61DD2">
        <w:t xml:space="preserve">here we are not satisfied that the forecasting methodology is likely to reasonably reflect prudent and efficient costs, we have adjusted the methodology such that it is a reasonable basis for developing expenditure forecasts that reasonably reflect the capex criteria. </w:t>
      </w:r>
      <w:r>
        <w:t xml:space="preserve">In some circumstances we may consider the methodology to be reasonable but may not consider the inputs or assumptions used in a service providers' proposed </w:t>
      </w:r>
      <w:r w:rsidR="008E281C">
        <w:t xml:space="preserve">forecasting </w:t>
      </w:r>
      <w:r>
        <w:t>methodology to be reasonable.</w:t>
      </w:r>
    </w:p>
    <w:p w:rsidR="00D35567" w:rsidRDefault="00D35567" w:rsidP="00547456">
      <w:pPr>
        <w:numPr>
          <w:ilvl w:val="0"/>
          <w:numId w:val="25"/>
        </w:numPr>
      </w:pPr>
      <w:r>
        <w:t>In relation to AusNet Services' proposed amount for repex we have focused on the following key inputs used in its expenditure forecasting methodology:</w:t>
      </w:r>
    </w:p>
    <w:p w:rsidR="00D35567" w:rsidRDefault="00D35567" w:rsidP="00C010EB">
      <w:pPr>
        <w:pStyle w:val="AERbulletlistfirststyle"/>
      </w:pPr>
      <w:r>
        <w:t>unit cost estimation used to derive project cost estimates</w:t>
      </w:r>
    </w:p>
    <w:p w:rsidR="00D35567" w:rsidRDefault="00D35567" w:rsidP="00C010EB">
      <w:pPr>
        <w:pStyle w:val="AERbulletlistfirststyle"/>
      </w:pPr>
      <w:r>
        <w:t xml:space="preserve">proposed top down adjustment </w:t>
      </w:r>
      <w:r w:rsidR="007C455F">
        <w:t xml:space="preserve">to the total capex forecast </w:t>
      </w:r>
      <w:r>
        <w:t>for projected c</w:t>
      </w:r>
      <w:r w:rsidR="007C455F">
        <w:t>ost savings</w:t>
      </w:r>
    </w:p>
    <w:p w:rsidR="007C455F" w:rsidRDefault="007C455F" w:rsidP="00C010EB">
      <w:pPr>
        <w:pStyle w:val="AERbulletlistfirststyle"/>
      </w:pPr>
      <w:r>
        <w:t>the estimation of safety risk associated with asset failures; and</w:t>
      </w:r>
    </w:p>
    <w:p w:rsidR="007C455F" w:rsidRDefault="007C455F" w:rsidP="00C010EB">
      <w:pPr>
        <w:pStyle w:val="AERbulletlistfirststyle"/>
      </w:pPr>
      <w:proofErr w:type="gramStart"/>
      <w:r>
        <w:t>the</w:t>
      </w:r>
      <w:proofErr w:type="gramEnd"/>
      <w:r>
        <w:t xml:space="preserve"> selection of demand forecasts to estimate the risk of unserved energy resulting from asset failures.</w:t>
      </w:r>
    </w:p>
    <w:p w:rsidR="0014085B" w:rsidRDefault="00547456" w:rsidP="0014085B">
      <w:pPr>
        <w:numPr>
          <w:ilvl w:val="0"/>
          <w:numId w:val="25"/>
        </w:numPr>
      </w:pPr>
      <w:r w:rsidRPr="00547456">
        <w:t xml:space="preserve">We have considered these factors as they relate directly to our assessment of whether </w:t>
      </w:r>
      <w:r w:rsidR="007C455F">
        <w:t>AusNet Services'</w:t>
      </w:r>
      <w:r w:rsidR="007C455F" w:rsidRPr="00547456">
        <w:t xml:space="preserve"> </w:t>
      </w:r>
      <w:r w:rsidRPr="00547456">
        <w:t>proposal reflects the efficient costs that a prudent operator would require to achieve the capex objectives</w:t>
      </w:r>
      <w:r w:rsidR="008E61CC">
        <w:t>.</w:t>
      </w:r>
    </w:p>
    <w:p w:rsidR="00E976E0" w:rsidRDefault="00E976E0" w:rsidP="00E976E0"/>
    <w:p w:rsidR="00E976E0" w:rsidRDefault="00E976E0" w:rsidP="00E976E0"/>
    <w:p w:rsidR="007C455F" w:rsidRDefault="007C455F" w:rsidP="007C455F">
      <w:pPr>
        <w:pStyle w:val="Heading8"/>
      </w:pPr>
      <w:bookmarkStart w:id="61" w:name="_Toc456608795"/>
      <w:r>
        <w:lastRenderedPageBreak/>
        <w:t>Predictive modelling</w:t>
      </w:r>
      <w:bookmarkEnd w:id="61"/>
    </w:p>
    <w:p w:rsidR="007C455F" w:rsidRPr="007C455F" w:rsidRDefault="009D3773" w:rsidP="007C455F">
      <w:r>
        <w:t>In rec</w:t>
      </w:r>
      <w:r w:rsidR="007C455F" w:rsidRPr="007C455F">
        <w:t>ent transmission decisions, we have not used the repex model for estimating a business as usual estimate of repex. This is largely because of the nature of asset replacement in transmission.</w:t>
      </w:r>
    </w:p>
    <w:p w:rsidR="007C455F" w:rsidRPr="007C455F" w:rsidRDefault="007C455F" w:rsidP="007C455F">
      <w:r w:rsidRPr="007C455F">
        <w:t xml:space="preserve">In distribution, service providers </w:t>
      </w:r>
      <w:r w:rsidR="00A00EA4">
        <w:t xml:space="preserve">tend to have </w:t>
      </w:r>
      <w:r w:rsidRPr="007C455F">
        <w:t xml:space="preserve">a relatively </w:t>
      </w:r>
      <w:r w:rsidR="00A00EA4">
        <w:t xml:space="preserve">more </w:t>
      </w:r>
      <w:r w:rsidRPr="007C455F">
        <w:t xml:space="preserve">consistent asset replacement profile over time. This </w:t>
      </w:r>
      <w:r w:rsidR="00A00EA4">
        <w:t xml:space="preserve">more </w:t>
      </w:r>
      <w:r w:rsidRPr="007C455F">
        <w:t xml:space="preserve">frequent and steady replacement means that historical replacement data over a short period (five years) </w:t>
      </w:r>
      <w:r w:rsidR="00C9117C">
        <w:t>has been</w:t>
      </w:r>
      <w:r w:rsidRPr="007C455F">
        <w:t xml:space="preserve"> used to make a reasonable estimation of a service provider’s replacement needs in the next regulatory control period. </w:t>
      </w:r>
    </w:p>
    <w:p w:rsidR="007C455F" w:rsidRPr="007C455F" w:rsidRDefault="007C455F" w:rsidP="007C455F">
      <w:r w:rsidRPr="007C455F">
        <w:t>Transmission, however, is characterised by fewer assets that are high value in nature, and are replaced in groups, leading to lu</w:t>
      </w:r>
      <w:r w:rsidR="00D14A77">
        <w:t xml:space="preserve">mpy expenditure over time. This </w:t>
      </w:r>
      <w:r w:rsidRPr="007C455F">
        <w:t xml:space="preserve">infrequency of replacement </w:t>
      </w:r>
      <w:r w:rsidR="00D14A77">
        <w:t xml:space="preserve">and fewer assets </w:t>
      </w:r>
      <w:r w:rsidRPr="007C455F">
        <w:t xml:space="preserve">means that it is more difficult to use the repex model, given the historical data available is for a short period. We consider that repex modelling of transmission assets will become more viable as our collection of historical replacement information grows in the coming years. </w:t>
      </w:r>
    </w:p>
    <w:p w:rsidR="007C455F" w:rsidRPr="007C455F" w:rsidRDefault="007C455F" w:rsidP="007C455F">
      <w:r w:rsidRPr="007C455F">
        <w:t xml:space="preserve">While we consider that repex modelling is currently not ideal for the majority of transmission assets, some asset groups </w:t>
      </w:r>
      <w:r w:rsidR="00BD2EBB">
        <w:t>may be</w:t>
      </w:r>
      <w:r w:rsidR="00BD2EBB" w:rsidRPr="007C455F">
        <w:t xml:space="preserve"> </w:t>
      </w:r>
      <w:r w:rsidRPr="007C455F">
        <w:t>suitable for modelling</w:t>
      </w:r>
      <w:r w:rsidR="00D14A77">
        <w:t xml:space="preserve"> as a first pass assessment</w:t>
      </w:r>
      <w:r w:rsidRPr="007C455F">
        <w:t xml:space="preserve">. The assets in question are replaced on a more constant basis than most transmission </w:t>
      </w:r>
      <w:r w:rsidR="00D14A77">
        <w:t>assets</w:t>
      </w:r>
      <w:r w:rsidRPr="007C455F">
        <w:t xml:space="preserve">, and are more suitable for modelling based on the historical data available. For AusNet Services, one group of assets we consider </w:t>
      </w:r>
      <w:r w:rsidR="00D14A77">
        <w:t xml:space="preserve">may be </w:t>
      </w:r>
      <w:r w:rsidRPr="007C455F">
        <w:t xml:space="preserve">suitable are the SCADA and network protection assets. </w:t>
      </w:r>
    </w:p>
    <w:p w:rsidR="007C455F" w:rsidRPr="007C455F" w:rsidRDefault="007C455F" w:rsidP="007C455F"/>
    <w:p w:rsidR="0014085B" w:rsidRDefault="0014085B" w:rsidP="00A52F7E">
      <w:pPr>
        <w:pStyle w:val="Heading7"/>
      </w:pPr>
      <w:bookmarkStart w:id="62" w:name="_Ref448499504"/>
      <w:bookmarkStart w:id="63" w:name="_Toc456608796"/>
      <w:r w:rsidRPr="00A52F7E">
        <w:lastRenderedPageBreak/>
        <w:t>Assessment</w:t>
      </w:r>
      <w:r>
        <w:t xml:space="preserve"> of capex drivers</w:t>
      </w:r>
      <w:bookmarkEnd w:id="62"/>
      <w:bookmarkEnd w:id="63"/>
    </w:p>
    <w:p w:rsidR="00D95AAD" w:rsidRDefault="00D95AAD" w:rsidP="00203295">
      <w:pPr>
        <w:pStyle w:val="Heading8"/>
        <w:numPr>
          <w:ilvl w:val="1"/>
          <w:numId w:val="49"/>
        </w:numPr>
      </w:pPr>
      <w:bookmarkStart w:id="64" w:name="_Toc456608797"/>
      <w:r>
        <w:t>Alternative estimate</w:t>
      </w:r>
      <w:bookmarkEnd w:id="64"/>
    </w:p>
    <w:p w:rsidR="00E52F26" w:rsidRPr="00E52F26" w:rsidRDefault="00E52F26" w:rsidP="00E52F26">
      <w:r w:rsidRPr="00E52F26">
        <w:t>Having examined AusNet Services' proposal, we formed a view on our alternative estimate of the capex required to reasonably reflect the capex criteria. Our alternative estimate is based on our assessment techniques</w:t>
      </w:r>
      <w:r w:rsidR="001662E3">
        <w:t xml:space="preserve"> (refer to</w:t>
      </w:r>
      <w:r w:rsidRPr="00E52F26">
        <w:t xml:space="preserve"> appendix </w:t>
      </w:r>
      <w:r w:rsidR="00CA6778">
        <w:t>A</w:t>
      </w:r>
      <w:r w:rsidR="001662E3">
        <w:t>)</w:t>
      </w:r>
      <w:r w:rsidRPr="00E52F26">
        <w:t xml:space="preserve">. Our weighting of each of these techniques, and our response to AusNet Services' submissions on the weighting that should be given to particular techniques, is set out under the capex drivers in appendix </w:t>
      </w:r>
      <w:r w:rsidR="001662E3">
        <w:t>B</w:t>
      </w:r>
      <w:r w:rsidRPr="00E52F26">
        <w:t xml:space="preserve">. </w:t>
      </w:r>
    </w:p>
    <w:p w:rsidR="007B6DFA" w:rsidRDefault="00E52F26" w:rsidP="00840215">
      <w:r w:rsidRPr="00E52F26">
        <w:t>We are satisfied that our alternative estimate reasonably reflects the capex criteria.</w:t>
      </w:r>
    </w:p>
    <w:p w:rsidR="00816361" w:rsidRDefault="008A2AC6" w:rsidP="00A52F7E">
      <w:pPr>
        <w:pStyle w:val="Heading8"/>
      </w:pPr>
      <w:bookmarkStart w:id="65" w:name="_Toc456608798"/>
      <w:r w:rsidRPr="00A52F7E">
        <w:t>Forecast</w:t>
      </w:r>
      <w:r>
        <w:t xml:space="preserve"> repex</w:t>
      </w:r>
      <w:bookmarkEnd w:id="65"/>
    </w:p>
    <w:p w:rsidR="00BE18C9" w:rsidRPr="00BE18C9" w:rsidRDefault="005D4626" w:rsidP="00BE18C9">
      <w:r w:rsidRPr="00F12399">
        <w:rPr>
          <w:rStyle w:val="AERbody"/>
        </w:rPr>
        <w:t>Asset replacement expenditure (repex) involves replacing an asset with its modern equivalent where the asset has reached the end of it</w:t>
      </w:r>
      <w:r>
        <w:rPr>
          <w:rStyle w:val="AERbody"/>
        </w:rPr>
        <w:t>s</w:t>
      </w:r>
      <w:r w:rsidRPr="00F12399">
        <w:rPr>
          <w:rStyle w:val="AERbody"/>
        </w:rPr>
        <w:t xml:space="preserve"> economic life. Economic life takes into account </w:t>
      </w:r>
      <w:r>
        <w:rPr>
          <w:rStyle w:val="AERbody"/>
        </w:rPr>
        <w:t xml:space="preserve">the </w:t>
      </w:r>
      <w:r w:rsidRPr="00F12399">
        <w:rPr>
          <w:rStyle w:val="AERbody"/>
        </w:rPr>
        <w:t>age, condition, technology or operating environment</w:t>
      </w:r>
      <w:r>
        <w:rPr>
          <w:rStyle w:val="AERbody"/>
        </w:rPr>
        <w:t xml:space="preserve"> of an existing asset</w:t>
      </w:r>
      <w:r w:rsidRPr="00F12399">
        <w:rPr>
          <w:rStyle w:val="AERbody"/>
        </w:rPr>
        <w:t>. In general, we classify capex as repex where the expenditure decision is primarily based on the existing asset's inability to efficiently maintain its service performance requirement.</w:t>
      </w:r>
    </w:p>
    <w:p w:rsidR="00816361" w:rsidRPr="00A52F7E" w:rsidRDefault="00816361" w:rsidP="00A52F7E">
      <w:pPr>
        <w:pStyle w:val="Heading9"/>
        <w:rPr>
          <w:rStyle w:val="AERtextblue"/>
          <w:color w:val="70635A" w:themeColor="text2"/>
        </w:rPr>
      </w:pPr>
      <w:bookmarkStart w:id="66" w:name="_Toc456608799"/>
      <w:r w:rsidRPr="00A52F7E">
        <w:rPr>
          <w:rStyle w:val="AERtextblue"/>
          <w:color w:val="70635A" w:themeColor="text2"/>
        </w:rPr>
        <w:t>Position</w:t>
      </w:r>
      <w:bookmarkEnd w:id="66"/>
    </w:p>
    <w:p w:rsidR="001C1714" w:rsidRPr="001C1714" w:rsidRDefault="001C1714" w:rsidP="001C1714">
      <w:r w:rsidRPr="001C1714">
        <w:t xml:space="preserve">We do not accept AusNet Services' proposed </w:t>
      </w:r>
      <w:r w:rsidR="008B4829">
        <w:t xml:space="preserve">repex </w:t>
      </w:r>
      <w:r w:rsidR="000A339B" w:rsidRPr="001C1714">
        <w:t xml:space="preserve">of </w:t>
      </w:r>
      <w:r w:rsidR="000A339B">
        <w:t xml:space="preserve">$583.3 </w:t>
      </w:r>
      <w:r w:rsidR="000A339B" w:rsidRPr="001C1714">
        <w:t xml:space="preserve">million </w:t>
      </w:r>
      <w:r w:rsidR="008B4829">
        <w:t>(</w:t>
      </w:r>
      <w:r w:rsidR="00C87CDD">
        <w:t xml:space="preserve">$2016-17, </w:t>
      </w:r>
      <w:r w:rsidR="00CA6778">
        <w:t>excluding overheads</w:t>
      </w:r>
      <w:r w:rsidR="008B4829">
        <w:t>)</w:t>
      </w:r>
      <w:r w:rsidRPr="001C1714">
        <w:t>. We instead included in our alternative estimate of overall total capex an amount of $</w:t>
      </w:r>
      <w:r w:rsidR="003C5130">
        <w:t>421.3</w:t>
      </w:r>
      <w:r w:rsidRPr="001C1714">
        <w:t xml:space="preserve"> million ($2016-17) for </w:t>
      </w:r>
      <w:r w:rsidR="008B4829">
        <w:t>repex</w:t>
      </w:r>
      <w:r w:rsidR="008E61CC">
        <w:t>, excluding overheads</w:t>
      </w:r>
      <w:r w:rsidRPr="001C1714">
        <w:t>. This is</w:t>
      </w:r>
      <w:r w:rsidR="003C5130">
        <w:t xml:space="preserve"> 28</w:t>
      </w:r>
      <w:r w:rsidRPr="001C1714">
        <w:t xml:space="preserve"> per cent lower</w:t>
      </w:r>
      <w:r w:rsidR="000A339B">
        <w:t xml:space="preserve"> than AusNet Services' proposal</w:t>
      </w:r>
      <w:r w:rsidRPr="001C1714">
        <w:t>. We are satisfied that this amount reasonably reflects the capex criteria.</w:t>
      </w:r>
    </w:p>
    <w:p w:rsidR="00FF6860" w:rsidRDefault="00FF6860" w:rsidP="00FF6860">
      <w:pPr>
        <w:rPr>
          <w:rStyle w:val="AERbody"/>
        </w:rPr>
      </w:pPr>
      <w:r>
        <w:rPr>
          <w:rStyle w:val="AERbody"/>
        </w:rPr>
        <w:t>In coming to this v</w:t>
      </w:r>
      <w:r w:rsidR="0092596B">
        <w:rPr>
          <w:rStyle w:val="AERbody"/>
        </w:rPr>
        <w:t>iew, as we discuss in Appendix A</w:t>
      </w:r>
      <w:r>
        <w:rPr>
          <w:rStyle w:val="AERbody"/>
        </w:rPr>
        <w:t>, we applied:</w:t>
      </w:r>
    </w:p>
    <w:p w:rsidR="008867F5" w:rsidRDefault="008867F5" w:rsidP="00FF6860">
      <w:pPr>
        <w:pStyle w:val="AERbulletlistfirststyle"/>
        <w:rPr>
          <w:rStyle w:val="AERbody"/>
        </w:rPr>
      </w:pPr>
      <w:r>
        <w:rPr>
          <w:rStyle w:val="AERbody"/>
        </w:rPr>
        <w:t xml:space="preserve">trend analysis, comparing </w:t>
      </w:r>
      <w:r w:rsidRPr="00FF6860">
        <w:rPr>
          <w:rStyle w:val="AERbody"/>
        </w:rPr>
        <w:t xml:space="preserve">past trends in total actual and forecast </w:t>
      </w:r>
      <w:r>
        <w:rPr>
          <w:rStyle w:val="AERbody"/>
        </w:rPr>
        <w:t>repex for the proposed</w:t>
      </w:r>
      <w:r w:rsidRPr="00FF6860">
        <w:rPr>
          <w:rStyle w:val="AERbody"/>
        </w:rPr>
        <w:t xml:space="preserve"> repex programs</w:t>
      </w:r>
      <w:r w:rsidRPr="00FF6860">
        <w:rPr>
          <w:rStyle w:val="FootnoteReference"/>
        </w:rPr>
        <w:footnoteReference w:id="54"/>
      </w:r>
    </w:p>
    <w:p w:rsidR="00FF6860" w:rsidRPr="00FF6860" w:rsidRDefault="00FF6860" w:rsidP="00FF6860">
      <w:pPr>
        <w:pStyle w:val="AERbulletlistfirststyle"/>
        <w:rPr>
          <w:rStyle w:val="AERbody"/>
        </w:rPr>
      </w:pPr>
      <w:r>
        <w:rPr>
          <w:rStyle w:val="AERbody"/>
        </w:rPr>
        <w:t>a methodology review of AusNet Services expenditure forecasting methodology</w:t>
      </w:r>
      <w:r w:rsidR="0051264D">
        <w:rPr>
          <w:rStyle w:val="AERbody"/>
        </w:rPr>
        <w:t xml:space="preserve">, including </w:t>
      </w:r>
      <w:r>
        <w:rPr>
          <w:rStyle w:val="AERbody"/>
        </w:rPr>
        <w:t>key inputs and assumptions</w:t>
      </w:r>
      <w:r w:rsidR="008867F5">
        <w:rPr>
          <w:rStyle w:val="AERbody"/>
        </w:rPr>
        <w:t>; and</w:t>
      </w:r>
    </w:p>
    <w:p w:rsidR="00FF6860" w:rsidRPr="00FF6860" w:rsidRDefault="00FF6860" w:rsidP="00FF6860">
      <w:pPr>
        <w:pStyle w:val="AERbulletlistfirststyle"/>
        <w:rPr>
          <w:rStyle w:val="AERbody"/>
        </w:rPr>
      </w:pPr>
      <w:proofErr w:type="gramStart"/>
      <w:r>
        <w:rPr>
          <w:rStyle w:val="AERbody"/>
        </w:rPr>
        <w:t>use</w:t>
      </w:r>
      <w:proofErr w:type="gramEnd"/>
      <w:r>
        <w:rPr>
          <w:rStyle w:val="AERbody"/>
        </w:rPr>
        <w:t xml:space="preserve"> of predictive modelling to assess the proposed expenditure for some repex </w:t>
      </w:r>
      <w:r w:rsidR="00140128">
        <w:rPr>
          <w:rStyle w:val="AERbody"/>
        </w:rPr>
        <w:t xml:space="preserve">proposed </w:t>
      </w:r>
      <w:r>
        <w:rPr>
          <w:rStyle w:val="AERbody"/>
        </w:rPr>
        <w:t>programs.</w:t>
      </w:r>
    </w:p>
    <w:p w:rsidR="00816361" w:rsidRDefault="00327273" w:rsidP="00816361">
      <w:fldSimple w:instr=" REF _Ref453682134 ">
        <w:r w:rsidR="00C60946">
          <w:t xml:space="preserve">Table </w:t>
        </w:r>
        <w:r w:rsidR="00C60946">
          <w:rPr>
            <w:noProof/>
          </w:rPr>
          <w:t>6</w:t>
        </w:r>
        <w:r w:rsidR="00C60946">
          <w:t>.</w:t>
        </w:r>
        <w:r w:rsidR="00C60946">
          <w:rPr>
            <w:noProof/>
          </w:rPr>
          <w:t>6</w:t>
        </w:r>
      </w:fldSimple>
      <w:r w:rsidR="00816361">
        <w:t xml:space="preserve"> summarises AusNet Service's proposal and our alternative amount for repex.</w:t>
      </w:r>
    </w:p>
    <w:p w:rsidR="0051264D" w:rsidRDefault="0051264D" w:rsidP="00816361"/>
    <w:p w:rsidR="0051264D" w:rsidRDefault="001E3E9F" w:rsidP="001E3E9F">
      <w:pPr>
        <w:pStyle w:val="Caption"/>
      </w:pPr>
      <w:bookmarkStart w:id="67" w:name="_Ref453682134"/>
      <w:proofErr w:type="gramStart"/>
      <w:r>
        <w:lastRenderedPageBreak/>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6</w:t>
      </w:r>
      <w:r w:rsidR="00735181">
        <w:rPr>
          <w:noProof/>
        </w:rPr>
        <w:fldChar w:fldCharType="end"/>
      </w:r>
      <w:bookmarkEnd w:id="67"/>
      <w:r>
        <w:tab/>
      </w:r>
      <w:r w:rsidR="0051264D">
        <w:t>Final decision on AusNet Services' total forecast repex ($2016-17</w:t>
      </w:r>
      <w:r w:rsidR="008D5359">
        <w:t xml:space="preserve">, </w:t>
      </w:r>
      <w:r w:rsidR="0051264D" w:rsidRPr="009B2021">
        <w:t>million)</w:t>
      </w:r>
    </w:p>
    <w:tbl>
      <w:tblPr>
        <w:tblStyle w:val="AERtable-numbers"/>
        <w:tblW w:w="5000" w:type="pct"/>
        <w:tblLook w:val="04A0" w:firstRow="1" w:lastRow="0" w:firstColumn="1" w:lastColumn="0" w:noHBand="0" w:noVBand="1"/>
      </w:tblPr>
      <w:tblGrid>
        <w:gridCol w:w="3227"/>
        <w:gridCol w:w="913"/>
        <w:gridCol w:w="911"/>
        <w:gridCol w:w="911"/>
        <w:gridCol w:w="911"/>
        <w:gridCol w:w="911"/>
        <w:gridCol w:w="909"/>
      </w:tblGrid>
      <w:tr w:rsidR="00355E98" w:rsidRPr="00E54DCA" w:rsidTr="007E5129">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56" w:type="pct"/>
          </w:tcPr>
          <w:p w:rsidR="00355E98" w:rsidRPr="00355E98" w:rsidRDefault="00355E98" w:rsidP="00355E98"/>
        </w:tc>
        <w:tc>
          <w:tcPr>
            <w:tcW w:w="525"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2017-18</w:t>
            </w:r>
          </w:p>
        </w:tc>
        <w:tc>
          <w:tcPr>
            <w:tcW w:w="524"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2018-19</w:t>
            </w:r>
          </w:p>
        </w:tc>
        <w:tc>
          <w:tcPr>
            <w:tcW w:w="524"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2019-20</w:t>
            </w:r>
          </w:p>
        </w:tc>
        <w:tc>
          <w:tcPr>
            <w:tcW w:w="524"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2020-21</w:t>
            </w:r>
          </w:p>
        </w:tc>
        <w:tc>
          <w:tcPr>
            <w:tcW w:w="524"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2021-22</w:t>
            </w:r>
          </w:p>
        </w:tc>
        <w:tc>
          <w:tcPr>
            <w:tcW w:w="523" w:type="pct"/>
          </w:tcPr>
          <w:p w:rsidR="00355E98" w:rsidRPr="00355E98" w:rsidRDefault="00355E98" w:rsidP="00355E98">
            <w:pPr>
              <w:cnfStyle w:val="100000000000" w:firstRow="1" w:lastRow="0" w:firstColumn="0" w:lastColumn="0" w:oddVBand="0" w:evenVBand="0" w:oddHBand="0" w:evenHBand="0" w:firstRowFirstColumn="0" w:firstRowLastColumn="0" w:lastRowFirstColumn="0" w:lastRowLastColumn="0"/>
            </w:pPr>
            <w:r w:rsidRPr="00355E98">
              <w:t>Total</w:t>
            </w:r>
          </w:p>
        </w:tc>
      </w:tr>
      <w:tr w:rsidR="00355E98" w:rsidRPr="00E54DCA" w:rsidTr="007E5129">
        <w:trPr>
          <w:trHeight w:val="569"/>
        </w:trPr>
        <w:tc>
          <w:tcPr>
            <w:cnfStyle w:val="001000000000" w:firstRow="0" w:lastRow="0" w:firstColumn="1" w:lastColumn="0" w:oddVBand="0" w:evenVBand="0" w:oddHBand="0" w:evenHBand="0" w:firstRowFirstColumn="0" w:firstRowLastColumn="0" w:lastRowFirstColumn="0" w:lastRowLastColumn="0"/>
            <w:tcW w:w="1856" w:type="pct"/>
          </w:tcPr>
          <w:p w:rsidR="00355E98" w:rsidRPr="00355E98" w:rsidRDefault="00355E98" w:rsidP="00355E98">
            <w:r w:rsidRPr="00355E98">
              <w:t>AusNet Services' proposal</w:t>
            </w:r>
          </w:p>
        </w:tc>
        <w:tc>
          <w:tcPr>
            <w:tcW w:w="52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137.3</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115.9</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120.9</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114.0</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95.3</w:t>
            </w:r>
          </w:p>
        </w:tc>
        <w:tc>
          <w:tcPr>
            <w:tcW w:w="523"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583.3</w:t>
            </w:r>
          </w:p>
        </w:tc>
      </w:tr>
      <w:tr w:rsidR="00036409" w:rsidRPr="00E54DCA" w:rsidTr="007E5129">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56" w:type="pct"/>
          </w:tcPr>
          <w:p w:rsidR="00036409" w:rsidRPr="00036409" w:rsidRDefault="00036409" w:rsidP="00036409">
            <w:r w:rsidRPr="00355E98">
              <w:t xml:space="preserve">CPI adjustment </w:t>
            </w:r>
          </w:p>
        </w:tc>
        <w:tc>
          <w:tcPr>
            <w:tcW w:w="525" w:type="pct"/>
          </w:tcPr>
          <w:p w:rsidR="00036409" w:rsidRPr="00036409" w:rsidRDefault="00036409" w:rsidP="00036409">
            <w:pPr>
              <w:cnfStyle w:val="000000010000" w:firstRow="0" w:lastRow="0" w:firstColumn="0" w:lastColumn="0" w:oddVBand="0" w:evenVBand="0" w:oddHBand="0" w:evenHBand="1" w:firstRowFirstColumn="0" w:firstRowLastColumn="0" w:lastRowFirstColumn="0" w:lastRowLastColumn="0"/>
            </w:pPr>
            <w:r w:rsidRPr="00355E98">
              <w:t>-2.</w:t>
            </w:r>
            <w:r w:rsidRPr="00036409">
              <w:t>5</w:t>
            </w:r>
          </w:p>
        </w:tc>
        <w:tc>
          <w:tcPr>
            <w:tcW w:w="524" w:type="pct"/>
          </w:tcPr>
          <w:p w:rsidR="00036409" w:rsidRPr="00036409" w:rsidRDefault="00036409" w:rsidP="00036409">
            <w:pPr>
              <w:cnfStyle w:val="000000010000" w:firstRow="0" w:lastRow="0" w:firstColumn="0" w:lastColumn="0" w:oddVBand="0" w:evenVBand="0" w:oddHBand="0" w:evenHBand="1" w:firstRowFirstColumn="0" w:firstRowLastColumn="0" w:lastRowFirstColumn="0" w:lastRowLastColumn="0"/>
            </w:pPr>
            <w:r w:rsidRPr="00355E98">
              <w:t>-2.</w:t>
            </w:r>
            <w:r w:rsidRPr="00036409">
              <w:t>1</w:t>
            </w:r>
          </w:p>
        </w:tc>
        <w:tc>
          <w:tcPr>
            <w:tcW w:w="524" w:type="pct"/>
          </w:tcPr>
          <w:p w:rsidR="00036409" w:rsidRPr="00036409" w:rsidRDefault="00036409" w:rsidP="00036409">
            <w:pPr>
              <w:cnfStyle w:val="000000010000" w:firstRow="0" w:lastRow="0" w:firstColumn="0" w:lastColumn="0" w:oddVBand="0" w:evenVBand="0" w:oddHBand="0" w:evenHBand="1" w:firstRowFirstColumn="0" w:firstRowLastColumn="0" w:lastRowFirstColumn="0" w:lastRowLastColumn="0"/>
            </w:pPr>
            <w:r w:rsidRPr="00355E98">
              <w:t>-2.</w:t>
            </w:r>
            <w:r w:rsidRPr="00036409">
              <w:t>2</w:t>
            </w:r>
          </w:p>
        </w:tc>
        <w:tc>
          <w:tcPr>
            <w:tcW w:w="524" w:type="pct"/>
          </w:tcPr>
          <w:p w:rsidR="00036409" w:rsidRPr="00036409" w:rsidRDefault="00036409" w:rsidP="00036409">
            <w:pPr>
              <w:cnfStyle w:val="000000010000" w:firstRow="0" w:lastRow="0" w:firstColumn="0" w:lastColumn="0" w:oddVBand="0" w:evenVBand="0" w:oddHBand="0" w:evenHBand="1" w:firstRowFirstColumn="0" w:firstRowLastColumn="0" w:lastRowFirstColumn="0" w:lastRowLastColumn="0"/>
            </w:pPr>
            <w:r w:rsidRPr="00355E98">
              <w:t>-2.</w:t>
            </w:r>
            <w:r w:rsidRPr="00036409">
              <w:t>0</w:t>
            </w:r>
          </w:p>
        </w:tc>
        <w:tc>
          <w:tcPr>
            <w:tcW w:w="524" w:type="pct"/>
          </w:tcPr>
          <w:p w:rsidR="00036409" w:rsidRPr="00036409" w:rsidRDefault="00036409" w:rsidP="00036409">
            <w:pPr>
              <w:cnfStyle w:val="000000010000" w:firstRow="0" w:lastRow="0" w:firstColumn="0" w:lastColumn="0" w:oddVBand="0" w:evenVBand="0" w:oddHBand="0" w:evenHBand="1" w:firstRowFirstColumn="0" w:firstRowLastColumn="0" w:lastRowFirstColumn="0" w:lastRowLastColumn="0"/>
            </w:pPr>
            <w:r w:rsidRPr="00355E98">
              <w:t>-1.</w:t>
            </w:r>
            <w:r w:rsidRPr="00036409">
              <w:t>7</w:t>
            </w:r>
          </w:p>
        </w:tc>
        <w:tc>
          <w:tcPr>
            <w:tcW w:w="523" w:type="pct"/>
          </w:tcPr>
          <w:p w:rsidR="00036409" w:rsidRPr="00036409" w:rsidRDefault="00036409" w:rsidP="00036409">
            <w:pPr>
              <w:cnfStyle w:val="000000010000" w:firstRow="0" w:lastRow="0" w:firstColumn="0" w:lastColumn="0" w:oddVBand="0" w:evenVBand="0" w:oddHBand="0" w:evenHBand="1" w:firstRowFirstColumn="0" w:firstRowLastColumn="0" w:lastRowFirstColumn="0" w:lastRowLastColumn="0"/>
            </w:pPr>
            <w:r w:rsidRPr="00355E98">
              <w:t>-1</w:t>
            </w:r>
            <w:r w:rsidRPr="00036409">
              <w:t>0.4</w:t>
            </w:r>
          </w:p>
        </w:tc>
      </w:tr>
      <w:tr w:rsidR="00355E98" w:rsidRPr="00E54DCA" w:rsidTr="007E5129">
        <w:trPr>
          <w:trHeight w:val="569"/>
        </w:trPr>
        <w:tc>
          <w:tcPr>
            <w:cnfStyle w:val="001000000000" w:firstRow="0" w:lastRow="0" w:firstColumn="1" w:lastColumn="0" w:oddVBand="0" w:evenVBand="0" w:oddHBand="0" w:evenHBand="0" w:firstRowFirstColumn="0" w:firstRowLastColumn="0" w:lastRowFirstColumn="0" w:lastRowLastColumn="0"/>
            <w:tcW w:w="1856" w:type="pct"/>
          </w:tcPr>
          <w:p w:rsidR="00355E98" w:rsidRPr="00355E98" w:rsidRDefault="00355E98" w:rsidP="00355E98">
            <w:r w:rsidRPr="00355E98">
              <w:t>AusNet Services' proposal</w:t>
            </w:r>
          </w:p>
          <w:p w:rsidR="00355E98" w:rsidRPr="00355E98" w:rsidRDefault="00355E98" w:rsidP="00355E98">
            <w:r w:rsidRPr="00355E98">
              <w:t>(CPI adjusted)</w:t>
            </w:r>
          </w:p>
        </w:tc>
        <w:tc>
          <w:tcPr>
            <w:tcW w:w="52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134.8</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113.8</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118.7</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111.9</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93.6</w:t>
            </w:r>
          </w:p>
        </w:tc>
        <w:tc>
          <w:tcPr>
            <w:tcW w:w="523"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572.8</w:t>
            </w:r>
          </w:p>
        </w:tc>
      </w:tr>
      <w:tr w:rsidR="00355E98" w:rsidRPr="00E54DCA" w:rsidTr="007E5129">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56" w:type="pct"/>
          </w:tcPr>
          <w:p w:rsidR="00355E98" w:rsidRPr="00355E98" w:rsidRDefault="00355E98" w:rsidP="00355E98">
            <w:r w:rsidRPr="00355E98">
              <w:t>Non CPI adjustment</w:t>
            </w:r>
          </w:p>
        </w:tc>
        <w:tc>
          <w:tcPr>
            <w:tcW w:w="52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-17.5</w:t>
            </w:r>
          </w:p>
        </w:tc>
        <w:tc>
          <w:tcPr>
            <w:tcW w:w="52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-28.8</w:t>
            </w:r>
          </w:p>
        </w:tc>
        <w:tc>
          <w:tcPr>
            <w:tcW w:w="52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-41.0</w:t>
            </w:r>
          </w:p>
        </w:tc>
        <w:tc>
          <w:tcPr>
            <w:tcW w:w="52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-37.6</w:t>
            </w:r>
          </w:p>
        </w:tc>
        <w:tc>
          <w:tcPr>
            <w:tcW w:w="52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-26.7</w:t>
            </w:r>
          </w:p>
        </w:tc>
        <w:tc>
          <w:tcPr>
            <w:tcW w:w="523"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-151.5</w:t>
            </w:r>
          </w:p>
        </w:tc>
      </w:tr>
      <w:tr w:rsidR="00355E98" w:rsidRPr="00E54DCA" w:rsidTr="007E5129">
        <w:trPr>
          <w:trHeight w:val="569"/>
        </w:trPr>
        <w:tc>
          <w:tcPr>
            <w:cnfStyle w:val="001000000000" w:firstRow="0" w:lastRow="0" w:firstColumn="1" w:lastColumn="0" w:oddVBand="0" w:evenVBand="0" w:oddHBand="0" w:evenHBand="0" w:firstRowFirstColumn="0" w:firstRowLastColumn="0" w:lastRowFirstColumn="0" w:lastRowLastColumn="0"/>
            <w:tcW w:w="1856" w:type="pct"/>
          </w:tcPr>
          <w:p w:rsidR="00355E98" w:rsidRPr="00355E98" w:rsidRDefault="00355E98" w:rsidP="00355E98">
            <w:pPr>
              <w:rPr>
                <w:rStyle w:val="Strong"/>
              </w:rPr>
            </w:pPr>
            <w:r w:rsidRPr="00355E98">
              <w:rPr>
                <w:rStyle w:val="Strong"/>
              </w:rPr>
              <w:t>AER draft decision</w:t>
            </w:r>
          </w:p>
        </w:tc>
        <w:tc>
          <w:tcPr>
            <w:tcW w:w="52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117.3</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85.0</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77.8</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74.4</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66.9</w:t>
            </w:r>
          </w:p>
        </w:tc>
        <w:tc>
          <w:tcPr>
            <w:tcW w:w="523"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rPr>
                <w:rStyle w:val="Strong"/>
              </w:rPr>
            </w:pPr>
            <w:r w:rsidRPr="00355E98">
              <w:rPr>
                <w:rStyle w:val="Strong"/>
              </w:rPr>
              <w:t>421.3</w:t>
            </w:r>
          </w:p>
        </w:tc>
      </w:tr>
      <w:tr w:rsidR="00355E98" w:rsidRPr="00E54DCA" w:rsidTr="007E5129">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56" w:type="pct"/>
          </w:tcPr>
          <w:p w:rsidR="00355E98" w:rsidRPr="00355E98" w:rsidRDefault="00355E98" w:rsidP="00355E98">
            <w:r w:rsidRPr="00355E98">
              <w:t>Total adjustment</w:t>
            </w:r>
          </w:p>
        </w:tc>
        <w:tc>
          <w:tcPr>
            <w:tcW w:w="525"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-20.0</w:t>
            </w:r>
          </w:p>
        </w:tc>
        <w:tc>
          <w:tcPr>
            <w:tcW w:w="52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-30.8</w:t>
            </w:r>
          </w:p>
        </w:tc>
        <w:tc>
          <w:tcPr>
            <w:tcW w:w="52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-43.1</w:t>
            </w:r>
          </w:p>
        </w:tc>
        <w:tc>
          <w:tcPr>
            <w:tcW w:w="52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-39.6</w:t>
            </w:r>
          </w:p>
        </w:tc>
        <w:tc>
          <w:tcPr>
            <w:tcW w:w="524"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-28.4</w:t>
            </w:r>
          </w:p>
        </w:tc>
        <w:tc>
          <w:tcPr>
            <w:tcW w:w="523" w:type="pct"/>
          </w:tcPr>
          <w:p w:rsidR="00355E98" w:rsidRPr="00355E98" w:rsidRDefault="00355E98" w:rsidP="00355E98">
            <w:pPr>
              <w:cnfStyle w:val="000000010000" w:firstRow="0" w:lastRow="0" w:firstColumn="0" w:lastColumn="0" w:oddVBand="0" w:evenVBand="0" w:oddHBand="0" w:evenHBand="1" w:firstRowFirstColumn="0" w:firstRowLastColumn="0" w:lastRowFirstColumn="0" w:lastRowLastColumn="0"/>
            </w:pPr>
            <w:r w:rsidRPr="00355E98">
              <w:t>-162.0</w:t>
            </w:r>
          </w:p>
        </w:tc>
      </w:tr>
      <w:tr w:rsidR="00355E98" w:rsidRPr="00E54DCA" w:rsidTr="007E5129">
        <w:trPr>
          <w:trHeight w:val="569"/>
        </w:trPr>
        <w:tc>
          <w:tcPr>
            <w:cnfStyle w:val="001000000000" w:firstRow="0" w:lastRow="0" w:firstColumn="1" w:lastColumn="0" w:oddVBand="0" w:evenVBand="0" w:oddHBand="0" w:evenHBand="0" w:firstRowFirstColumn="0" w:firstRowLastColumn="0" w:lastRowFirstColumn="0" w:lastRowLastColumn="0"/>
            <w:tcW w:w="1856" w:type="pct"/>
          </w:tcPr>
          <w:p w:rsidR="00355E98" w:rsidRPr="00355E98" w:rsidRDefault="00355E98" w:rsidP="00355E98">
            <w:r w:rsidRPr="00355E98">
              <w:t>Total adjustment (%)</w:t>
            </w:r>
          </w:p>
        </w:tc>
        <w:tc>
          <w:tcPr>
            <w:tcW w:w="525"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-14.5%</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-26.6%</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-35.7%</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-34.8%</w:t>
            </w:r>
          </w:p>
        </w:tc>
        <w:tc>
          <w:tcPr>
            <w:tcW w:w="524"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-29.8%</w:t>
            </w:r>
          </w:p>
        </w:tc>
        <w:tc>
          <w:tcPr>
            <w:tcW w:w="523" w:type="pct"/>
          </w:tcPr>
          <w:p w:rsidR="00355E98" w:rsidRPr="00355E98" w:rsidRDefault="00355E98" w:rsidP="00355E98">
            <w:pPr>
              <w:cnfStyle w:val="000000000000" w:firstRow="0" w:lastRow="0" w:firstColumn="0" w:lastColumn="0" w:oddVBand="0" w:evenVBand="0" w:oddHBand="0" w:evenHBand="0" w:firstRowFirstColumn="0" w:firstRowLastColumn="0" w:lastRowFirstColumn="0" w:lastRowLastColumn="0"/>
            </w:pPr>
            <w:r w:rsidRPr="00355E98">
              <w:t>-27.8%</w:t>
            </w:r>
          </w:p>
        </w:tc>
      </w:tr>
    </w:tbl>
    <w:p w:rsidR="0051264D" w:rsidRPr="0051264D" w:rsidRDefault="0051264D" w:rsidP="0051264D">
      <w:pPr>
        <w:pStyle w:val="AERtablesource"/>
      </w:pPr>
      <w:r>
        <w:t>Source</w:t>
      </w:r>
      <w:r w:rsidRPr="0051264D">
        <w:t xml:space="preserve">: </w:t>
      </w:r>
      <w:r w:rsidRPr="0051264D">
        <w:tab/>
        <w:t xml:space="preserve">AER analysis. </w:t>
      </w:r>
    </w:p>
    <w:p w:rsidR="0051264D" w:rsidRPr="0051264D" w:rsidRDefault="0051264D" w:rsidP="0051264D">
      <w:pPr>
        <w:pStyle w:val="AERtablesource"/>
      </w:pPr>
      <w:r w:rsidRPr="0051264D">
        <w:t xml:space="preserve">Note: </w:t>
      </w:r>
      <w:r w:rsidRPr="0051264D">
        <w:tab/>
        <w:t>Numbers may not add up due to rounding.</w:t>
      </w:r>
    </w:p>
    <w:p w:rsidR="00FF6860" w:rsidRDefault="00FF6860" w:rsidP="00FF6860">
      <w:pPr>
        <w:pStyle w:val="Heading9"/>
      </w:pPr>
      <w:bookmarkStart w:id="68" w:name="_Toc456608800"/>
      <w:r>
        <w:t>AusNet Services' revenue proposal</w:t>
      </w:r>
      <w:bookmarkEnd w:id="68"/>
    </w:p>
    <w:p w:rsidR="008A2AC6" w:rsidRPr="008A2AC6" w:rsidRDefault="008A2AC6" w:rsidP="008A2AC6">
      <w:r>
        <w:t>AusNet Services'</w:t>
      </w:r>
      <w:r w:rsidRPr="008A2AC6">
        <w:t xml:space="preserve"> </w:t>
      </w:r>
      <w:r>
        <w:t>forecast repex is $</w:t>
      </w:r>
      <w:r w:rsidR="00640324">
        <w:t>583</w:t>
      </w:r>
      <w:r w:rsidR="00EB2A44">
        <w:t>.3</w:t>
      </w:r>
      <w:r w:rsidR="00640324" w:rsidRPr="008A2AC6">
        <w:t xml:space="preserve"> </w:t>
      </w:r>
      <w:r w:rsidRPr="008A2AC6">
        <w:t>million</w:t>
      </w:r>
      <w:r w:rsidR="00640324">
        <w:t xml:space="preserve"> (</w:t>
      </w:r>
      <w:r w:rsidR="00CA6778">
        <w:t>excluding overheads</w:t>
      </w:r>
      <w:r w:rsidR="00640324">
        <w:t>)</w:t>
      </w:r>
      <w:r w:rsidRPr="008A2AC6">
        <w:t xml:space="preserve">. </w:t>
      </w:r>
      <w:r w:rsidR="00F9685D">
        <w:t>AusNet Services</w:t>
      </w:r>
      <w:r w:rsidRPr="008A2AC6">
        <w:t xml:space="preserve"> submitted that this expenditure is driven by:</w:t>
      </w:r>
      <w:r w:rsidRPr="008A2AC6">
        <w:rPr>
          <w:rStyle w:val="FootnoteReference"/>
        </w:rPr>
        <w:footnoteReference w:id="55"/>
      </w:r>
      <w:r w:rsidRPr="008A2AC6">
        <w:t xml:space="preserve"> </w:t>
      </w:r>
    </w:p>
    <w:p w:rsidR="008A2AC6" w:rsidRPr="008A2AC6" w:rsidRDefault="00536BF6" w:rsidP="008A2AC6">
      <w:pPr>
        <w:pStyle w:val="AERbulletlistfirststyle"/>
      </w:pPr>
      <w:r>
        <w:t>the requirement to continue to meet obligations to provide a safe and reliable supply by replacing assets in poor condition</w:t>
      </w:r>
    </w:p>
    <w:p w:rsidR="008A2AC6" w:rsidRPr="008A2AC6" w:rsidRDefault="00536BF6" w:rsidP="008A2AC6">
      <w:pPr>
        <w:pStyle w:val="AERbulletlistfirststyle"/>
      </w:pPr>
      <w:r>
        <w:t>the age and condition of assets which inf</w:t>
      </w:r>
      <w:r w:rsidR="005A6881">
        <w:t>luence the profile of asset rep</w:t>
      </w:r>
      <w:r>
        <w:t>l</w:t>
      </w:r>
      <w:r w:rsidR="005A6881">
        <w:t>a</w:t>
      </w:r>
      <w:r>
        <w:t>cement required</w:t>
      </w:r>
    </w:p>
    <w:p w:rsidR="00536BF6" w:rsidRDefault="00536BF6" w:rsidP="008A2AC6">
      <w:pPr>
        <w:pStyle w:val="AERbulletlistfirststyle"/>
      </w:pPr>
      <w:r>
        <w:t>key planning assumptions, including demand forecasts and the VCR; and</w:t>
      </w:r>
    </w:p>
    <w:p w:rsidR="008A2AC6" w:rsidRPr="008A2AC6" w:rsidRDefault="00536BF6" w:rsidP="008A2AC6">
      <w:pPr>
        <w:pStyle w:val="AERbulletlistfirststyle"/>
      </w:pPr>
      <w:proofErr w:type="gramStart"/>
      <w:r>
        <w:t>emerging</w:t>
      </w:r>
      <w:proofErr w:type="gramEnd"/>
      <w:r>
        <w:t xml:space="preserve"> trends, including reduced consumption and increase in utilisation risk. </w:t>
      </w:r>
    </w:p>
    <w:p w:rsidR="00FF6860" w:rsidRDefault="008A2AC6" w:rsidP="008A2AC6">
      <w:pPr>
        <w:pStyle w:val="Heading9"/>
      </w:pPr>
      <w:bookmarkStart w:id="69" w:name="_Ref453683834"/>
      <w:bookmarkStart w:id="70" w:name="_Toc456608801"/>
      <w:r>
        <w:t>AER repex findings</w:t>
      </w:r>
      <w:bookmarkEnd w:id="69"/>
      <w:bookmarkEnd w:id="70"/>
    </w:p>
    <w:p w:rsidR="008A2AC6" w:rsidRDefault="008867F5" w:rsidP="008867F5">
      <w:pPr>
        <w:pStyle w:val="HeadingBoldBlue"/>
      </w:pPr>
      <w:bookmarkStart w:id="71" w:name="_Toc456608802"/>
      <w:r>
        <w:t xml:space="preserve">Historical and forecast </w:t>
      </w:r>
      <w:r w:rsidR="00C6693D">
        <w:t xml:space="preserve">repex </w:t>
      </w:r>
      <w:r>
        <w:t>trends</w:t>
      </w:r>
      <w:bookmarkEnd w:id="71"/>
    </w:p>
    <w:p w:rsidR="008867F5" w:rsidRDefault="008867F5" w:rsidP="008867F5">
      <w:r w:rsidRPr="008867F5">
        <w:t xml:space="preserve">We have conducted a trend analysis of repex. The NER requires that we consider the actual and expected capital expenditure during any preceding regulatory control period. Our use of trend analysis </w:t>
      </w:r>
      <w:r w:rsidR="00CE3785">
        <w:t xml:space="preserve">for total repex </w:t>
      </w:r>
      <w:r w:rsidRPr="008867F5">
        <w:t xml:space="preserve">is to gauge how </w:t>
      </w:r>
      <w:r w:rsidR="00CE3785">
        <w:t>AusNet Services'</w:t>
      </w:r>
      <w:r w:rsidRPr="008867F5">
        <w:t xml:space="preserve"> historical actual repex compares to</w:t>
      </w:r>
      <w:r>
        <w:t xml:space="preserve"> </w:t>
      </w:r>
      <w:r w:rsidR="00713BA6">
        <w:t>its expected repex for the 2017-</w:t>
      </w:r>
      <w:r>
        <w:t>22</w:t>
      </w:r>
      <w:r w:rsidRPr="008867F5">
        <w:t xml:space="preserve"> regulatory </w:t>
      </w:r>
      <w:r w:rsidRPr="008867F5">
        <w:lastRenderedPageBreak/>
        <w:t xml:space="preserve">control </w:t>
      </w:r>
      <w:proofErr w:type="gramStart"/>
      <w:r w:rsidRPr="008867F5">
        <w:t>period</w:t>
      </w:r>
      <w:proofErr w:type="gramEnd"/>
      <w:r w:rsidRPr="008867F5">
        <w:t xml:space="preserve">. </w:t>
      </w:r>
      <w:fldSimple w:instr=" REF _Ref453682190 ">
        <w:r w:rsidR="00C60946">
          <w:t xml:space="preserve">Figure </w:t>
        </w:r>
        <w:r w:rsidR="00C60946">
          <w:rPr>
            <w:noProof/>
          </w:rPr>
          <w:t>6</w:t>
        </w:r>
        <w:r w:rsidR="00C60946">
          <w:t>.</w:t>
        </w:r>
        <w:r w:rsidR="00C60946">
          <w:rPr>
            <w:noProof/>
          </w:rPr>
          <w:t>4</w:t>
        </w:r>
      </w:fldSimple>
      <w:r w:rsidRPr="008867F5">
        <w:t xml:space="preserve"> shows </w:t>
      </w:r>
      <w:r>
        <w:t>AusNet Services'</w:t>
      </w:r>
      <w:r w:rsidRPr="008867F5">
        <w:t xml:space="preserve"> repex spend has been </w:t>
      </w:r>
      <w:r w:rsidR="0047020D">
        <w:t>steadily increasing over time but is forecast to then decline over the 2017-22 regulatory control period.</w:t>
      </w:r>
    </w:p>
    <w:p w:rsidR="008867F5" w:rsidRDefault="001E3E9F" w:rsidP="001E3E9F">
      <w:pPr>
        <w:pStyle w:val="Caption"/>
      </w:pPr>
      <w:bookmarkStart w:id="72" w:name="_Ref453682190"/>
      <w:proofErr w:type="gramStart"/>
      <w:r>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4</w:t>
      </w:r>
      <w:r w:rsidR="00735181">
        <w:rPr>
          <w:noProof/>
        </w:rPr>
        <w:fldChar w:fldCharType="end"/>
      </w:r>
      <w:bookmarkEnd w:id="72"/>
      <w:r>
        <w:tab/>
      </w:r>
      <w:r w:rsidR="00F9685D">
        <w:t>AusNet Services</w:t>
      </w:r>
      <w:r w:rsidR="00074BC7">
        <w:t xml:space="preserve"> </w:t>
      </w:r>
      <w:r w:rsidR="00074BC7">
        <w:noBreakHyphen/>
      </w:r>
      <w:r w:rsidR="00E907CB">
        <w:t xml:space="preserve"> Actual and fo</w:t>
      </w:r>
      <w:r w:rsidR="00074BC7">
        <w:t xml:space="preserve">recast </w:t>
      </w:r>
      <w:r w:rsidR="00C6693D">
        <w:t xml:space="preserve">total </w:t>
      </w:r>
      <w:r w:rsidR="00074BC7">
        <w:t>repex ($2016-17)</w:t>
      </w:r>
    </w:p>
    <w:p w:rsidR="00074BC7" w:rsidRDefault="005147C9" w:rsidP="008867F5">
      <w:r>
        <w:rPr>
          <w:noProof/>
          <w:lang w:eastAsia="en-AU"/>
        </w:rPr>
        <w:drawing>
          <wp:inline distT="0" distB="0" distL="0" distR="0" wp14:anchorId="61179AF1" wp14:editId="619FF78D">
            <wp:extent cx="5842800" cy="35064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2800" cy="3506400"/>
                    </a:xfrm>
                    <a:prstGeom prst="rect">
                      <a:avLst/>
                    </a:prstGeom>
                    <a:noFill/>
                  </pic:spPr>
                </pic:pic>
              </a:graphicData>
            </a:graphic>
          </wp:inline>
        </w:drawing>
      </w:r>
    </w:p>
    <w:p w:rsidR="00713BA6" w:rsidRDefault="00713BA6" w:rsidP="00713BA6">
      <w:pPr>
        <w:pStyle w:val="AERtablesource"/>
      </w:pPr>
      <w:r>
        <w:t xml:space="preserve">Source: </w:t>
      </w:r>
      <w:r>
        <w:tab/>
        <w:t>Reset RIN 2017-22, 2008-13 Category Analysis RIN, 2013-14 Category Analysis RIN and 2014-15 Category Analysis RIN</w:t>
      </w:r>
      <w:r w:rsidR="00F9685D">
        <w:t>.</w:t>
      </w:r>
    </w:p>
    <w:p w:rsidR="00AE5BE0" w:rsidRDefault="00A95109" w:rsidP="00AE5BE0">
      <w:r>
        <w:t>AusNet Services</w:t>
      </w:r>
      <w:r w:rsidR="00D77475">
        <w:t xml:space="preserve"> has </w:t>
      </w:r>
      <w:r w:rsidR="00AE5BE0">
        <w:t xml:space="preserve">forecast </w:t>
      </w:r>
      <w:r w:rsidR="00D77475">
        <w:t xml:space="preserve">a </w:t>
      </w:r>
      <w:r w:rsidR="00AE5BE0">
        <w:t>decline in</w:t>
      </w:r>
      <w:r w:rsidR="00D77475">
        <w:t xml:space="preserve"> major station replacement expenditure (including CBD station rebuilds) over the 2017-22 regulatory control period. We note that the forecast reduction in major station replacement expenditure has resulted in the forecast for overall repex to decline o</w:t>
      </w:r>
      <w:r w:rsidR="00A57D1D">
        <w:t>ver this period. AusNet Service</w:t>
      </w:r>
      <w:r w:rsidR="00D77475">
        <w:t>s submitted that the reduction in major replacement expenditure reflects</w:t>
      </w:r>
      <w:r w:rsidR="009753BA">
        <w:t xml:space="preserve"> a combination of</w:t>
      </w:r>
      <w:r w:rsidR="00D77475">
        <w:t>:</w:t>
      </w:r>
      <w:r w:rsidR="00D77475">
        <w:rPr>
          <w:rStyle w:val="FootnoteReference"/>
        </w:rPr>
        <w:footnoteReference w:id="56"/>
      </w:r>
    </w:p>
    <w:p w:rsidR="00D77475" w:rsidRDefault="00AE5BE0" w:rsidP="00AE5BE0">
      <w:pPr>
        <w:pStyle w:val="AERbulletlistfirststyle"/>
      </w:pPr>
      <w:r>
        <w:t>significant reductions in forecast demand between 2013 and 2014</w:t>
      </w:r>
      <w:r w:rsidR="00D77475">
        <w:t>;</w:t>
      </w:r>
      <w:r w:rsidR="009411AC">
        <w:t xml:space="preserve"> </w:t>
      </w:r>
      <w:r w:rsidR="009753BA">
        <w:t>and</w:t>
      </w:r>
    </w:p>
    <w:p w:rsidR="00AE5BE0" w:rsidRDefault="00AE5BE0" w:rsidP="00AE5BE0">
      <w:pPr>
        <w:pStyle w:val="AERbulletlistfirststyle"/>
      </w:pPr>
      <w:proofErr w:type="gramStart"/>
      <w:r>
        <w:t>the</w:t>
      </w:r>
      <w:proofErr w:type="gramEnd"/>
      <w:r>
        <w:t xml:space="preserve"> reduction in AEMO's value of customer reliability in 2014 has resulted </w:t>
      </w:r>
      <w:r w:rsidR="000A339B">
        <w:t xml:space="preserve">in </w:t>
      </w:r>
      <w:r>
        <w:t xml:space="preserve">updates to the economic timing of uncommitted major projects. </w:t>
      </w:r>
    </w:p>
    <w:p w:rsidR="008867F5" w:rsidRPr="008867F5" w:rsidRDefault="008867F5" w:rsidP="008867F5">
      <w:r w:rsidRPr="008867F5">
        <w:t xml:space="preserve">An increasing or decreasing trend </w:t>
      </w:r>
      <w:r w:rsidR="00E907CB">
        <w:t xml:space="preserve">in </w:t>
      </w:r>
      <w:r w:rsidR="00E907CB" w:rsidRPr="00E907CB">
        <w:rPr>
          <w:rStyle w:val="AERtextitalic"/>
        </w:rPr>
        <w:t>total capex</w:t>
      </w:r>
      <w:r w:rsidR="00E907CB">
        <w:t xml:space="preserve"> </w:t>
      </w:r>
      <w:r w:rsidRPr="008867F5">
        <w:t xml:space="preserve">does not, in and of itself, indicate that a service provider has proposed repex that is likely to reflect or not reflect the capex criteria. In the case of </w:t>
      </w:r>
      <w:r w:rsidR="001E3E9F">
        <w:t>AusNet Services</w:t>
      </w:r>
      <w:r w:rsidRPr="008867F5">
        <w:t xml:space="preserve">, which has proposed an </w:t>
      </w:r>
      <w:r w:rsidR="00E907CB">
        <w:t>average annual decrease</w:t>
      </w:r>
      <w:r w:rsidRPr="008867F5">
        <w:t xml:space="preserve"> in repex from the last regulatory control period, we must consider whether it has sufficiently justified that this </w:t>
      </w:r>
      <w:r w:rsidR="00E907CB">
        <w:t>expenditure</w:t>
      </w:r>
      <w:r w:rsidRPr="008867F5">
        <w:t xml:space="preserve"> </w:t>
      </w:r>
      <w:r w:rsidR="00E907CB">
        <w:t xml:space="preserve">reasonably </w:t>
      </w:r>
      <w:r w:rsidRPr="008867F5">
        <w:t>reflect</w:t>
      </w:r>
      <w:r w:rsidR="009753BA">
        <w:t>s</w:t>
      </w:r>
      <w:r w:rsidRPr="008867F5">
        <w:t xml:space="preserve"> the capex criteria. We </w:t>
      </w:r>
      <w:r w:rsidRPr="008867F5">
        <w:lastRenderedPageBreak/>
        <w:t xml:space="preserve">use our </w:t>
      </w:r>
      <w:r w:rsidR="00E907CB">
        <w:t>trend analysis on key programs, a methodology review</w:t>
      </w:r>
      <w:r w:rsidRPr="008867F5">
        <w:t xml:space="preserve">, </w:t>
      </w:r>
      <w:r w:rsidR="00E907CB">
        <w:t>predictive modelling</w:t>
      </w:r>
      <w:r w:rsidRPr="008867F5">
        <w:t xml:space="preserve">, the views of stakeholders, </w:t>
      </w:r>
      <w:r w:rsidR="00E907CB">
        <w:t xml:space="preserve">and </w:t>
      </w:r>
      <w:r w:rsidRPr="008867F5">
        <w:t xml:space="preserve">the material put forward by </w:t>
      </w:r>
      <w:r w:rsidR="001E3E9F">
        <w:t>AusNet Services</w:t>
      </w:r>
      <w:r w:rsidRPr="008867F5">
        <w:t xml:space="preserve"> in support of its forecast, to help us form a view on whether </w:t>
      </w:r>
      <w:r w:rsidR="001E3E9F">
        <w:t>AusNet Services</w:t>
      </w:r>
      <w:r w:rsidR="00E907CB">
        <w:t xml:space="preserve"> has sufficiently justified its</w:t>
      </w:r>
      <w:r w:rsidRPr="008867F5">
        <w:t xml:space="preserve"> </w:t>
      </w:r>
      <w:r w:rsidR="008F2B50">
        <w:t xml:space="preserve">proposed total </w:t>
      </w:r>
      <w:r w:rsidRPr="008867F5">
        <w:t>repex</w:t>
      </w:r>
      <w:r w:rsidR="008F2B50">
        <w:t>.</w:t>
      </w:r>
      <w:r w:rsidRPr="008867F5">
        <w:t xml:space="preserve"> </w:t>
      </w:r>
    </w:p>
    <w:p w:rsidR="008867F5" w:rsidRDefault="005D4626" w:rsidP="008867F5">
      <w:r>
        <w:t>We</w:t>
      </w:r>
      <w:r w:rsidR="00E907CB">
        <w:t xml:space="preserve"> have </w:t>
      </w:r>
      <w:r w:rsidR="00AF18D5">
        <w:t>also had regard</w:t>
      </w:r>
      <w:r w:rsidR="00CA6778">
        <w:t xml:space="preserve"> </w:t>
      </w:r>
      <w:r w:rsidR="00E907CB">
        <w:t xml:space="preserve">to historical </w:t>
      </w:r>
      <w:r w:rsidR="0054096E">
        <w:t xml:space="preserve">and forecast </w:t>
      </w:r>
      <w:r w:rsidR="00E907CB">
        <w:t xml:space="preserve">expenditure trends in our assessment of AusNet Services' key repex programs given this expenditure is </w:t>
      </w:r>
      <w:r w:rsidR="00A60190">
        <w:t xml:space="preserve">expected to be </w:t>
      </w:r>
      <w:r w:rsidR="00E907CB">
        <w:t>ongoing and relatively recurrent in nature.</w:t>
      </w:r>
    </w:p>
    <w:p w:rsidR="000D6AC8" w:rsidRDefault="001E3E9F" w:rsidP="001E3E9F">
      <w:pPr>
        <w:pStyle w:val="Caption"/>
      </w:pPr>
      <w:bookmarkStart w:id="73" w:name="_Ref453682249"/>
      <w:proofErr w:type="gramStart"/>
      <w:r>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5</w:t>
      </w:r>
      <w:r w:rsidR="00735181">
        <w:rPr>
          <w:noProof/>
        </w:rPr>
        <w:fldChar w:fldCharType="end"/>
      </w:r>
      <w:bookmarkEnd w:id="73"/>
      <w:r>
        <w:tab/>
      </w:r>
      <w:r w:rsidR="000D6AC8">
        <w:t xml:space="preserve">AusNet Services </w:t>
      </w:r>
      <w:r w:rsidR="000D6AC8">
        <w:noBreakHyphen/>
        <w:t xml:space="preserve"> Actual and </w:t>
      </w:r>
      <w:r w:rsidR="00CE276E">
        <w:t xml:space="preserve">forecast </w:t>
      </w:r>
      <w:r w:rsidR="000D6AC8">
        <w:t>program repex ($2016</w:t>
      </w:r>
      <w:r w:rsidR="00DB2E19">
        <w:noBreakHyphen/>
      </w:r>
      <w:r w:rsidR="000D3F52">
        <w:t>1</w:t>
      </w:r>
      <w:r w:rsidR="000E266B">
        <w:t>7</w:t>
      </w:r>
      <w:r w:rsidR="000D6AC8">
        <w:t>)</w:t>
      </w:r>
    </w:p>
    <w:p w:rsidR="000A0B85" w:rsidRDefault="00F35EE0" w:rsidP="008867F5">
      <w:r>
        <w:rPr>
          <w:noProof/>
          <w:lang w:eastAsia="en-AU"/>
        </w:rPr>
        <w:drawing>
          <wp:inline distT="0" distB="0" distL="0" distR="0" wp14:anchorId="50E8BA8F" wp14:editId="0B49CDBA">
            <wp:extent cx="5904000" cy="35280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000" cy="3528000"/>
                    </a:xfrm>
                    <a:prstGeom prst="rect">
                      <a:avLst/>
                    </a:prstGeom>
                    <a:noFill/>
                  </pic:spPr>
                </pic:pic>
              </a:graphicData>
            </a:graphic>
          </wp:inline>
        </w:drawing>
      </w:r>
    </w:p>
    <w:p w:rsidR="00F20FBC" w:rsidRDefault="00880E37" w:rsidP="00F20FBC">
      <w:pPr>
        <w:pStyle w:val="Source"/>
      </w:pPr>
      <w:r>
        <w:t>Source: AusNet Services</w:t>
      </w:r>
      <w:r w:rsidR="0098513C">
        <w:t xml:space="preserve">, </w:t>
      </w:r>
      <w:r>
        <w:rPr>
          <w:rStyle w:val="AERtextitalic"/>
        </w:rPr>
        <w:t>Revenue</w:t>
      </w:r>
      <w:r w:rsidR="0098513C" w:rsidRPr="0098513C">
        <w:rPr>
          <w:rStyle w:val="AERtextitalic"/>
        </w:rPr>
        <w:t xml:space="preserve"> proposal 2017-22</w:t>
      </w:r>
      <w:r w:rsidR="0098513C">
        <w:t>, 30 October 2015</w:t>
      </w:r>
    </w:p>
    <w:p w:rsidR="005A6881" w:rsidRDefault="005A6881" w:rsidP="00F20FBC">
      <w:pPr>
        <w:pStyle w:val="Source"/>
      </w:pPr>
      <w:r>
        <w:t>Note: these figures include overheads.</w:t>
      </w:r>
    </w:p>
    <w:p w:rsidR="0054096E" w:rsidRDefault="00327273" w:rsidP="008867F5">
      <w:fldSimple w:instr=" REF _Ref453682249 ">
        <w:r w:rsidR="00C60946">
          <w:t xml:space="preserve">Figure </w:t>
        </w:r>
        <w:r w:rsidR="00C60946">
          <w:rPr>
            <w:noProof/>
          </w:rPr>
          <w:t>6</w:t>
        </w:r>
        <w:r w:rsidR="00C60946">
          <w:t>.</w:t>
        </w:r>
        <w:r w:rsidR="00C60946">
          <w:rPr>
            <w:noProof/>
          </w:rPr>
          <w:t>5</w:t>
        </w:r>
      </w:fldSimple>
      <w:r w:rsidR="001E3E9F">
        <w:t xml:space="preserve"> </w:t>
      </w:r>
      <w:r w:rsidR="0054096E">
        <w:t xml:space="preserve">shows that AusNet Services' proposed repex program </w:t>
      </w:r>
      <w:r w:rsidR="00753755">
        <w:t xml:space="preserve">expenditure </w:t>
      </w:r>
      <w:r w:rsidR="0054096E">
        <w:t>is forecast to increase over the 2017-22 regulatory control period. However, this forecast increase is predominately offset by the proposed reduction in safety, security and compliance related expenditure from previous periods.</w:t>
      </w:r>
    </w:p>
    <w:p w:rsidR="000A0B85" w:rsidRDefault="00A95109" w:rsidP="008867F5">
      <w:r>
        <w:t>AusNet Services</w:t>
      </w:r>
      <w:r w:rsidR="0047020D">
        <w:t xml:space="preserve"> submitted that </w:t>
      </w:r>
      <w:r w:rsidR="005A6881">
        <w:t>the</w:t>
      </w:r>
      <w:r w:rsidR="0047020D">
        <w:t xml:space="preserve"> higher forecast </w:t>
      </w:r>
      <w:r w:rsidR="005E271D">
        <w:t xml:space="preserve">for repex program expenditure </w:t>
      </w:r>
      <w:r w:rsidR="0047020D">
        <w:t>than</w:t>
      </w:r>
      <w:r w:rsidR="00B9548F">
        <w:t xml:space="preserve"> </w:t>
      </w:r>
      <w:r w:rsidR="005E271D">
        <w:t xml:space="preserve">in </w:t>
      </w:r>
      <w:r w:rsidR="00B9548F">
        <w:t xml:space="preserve">previous periods can be explained by the reduced expenditure on major stations redevelopments. </w:t>
      </w:r>
      <w:r w:rsidR="00B9548F">
        <w:rPr>
          <w:rStyle w:val="FootnoteReference"/>
        </w:rPr>
        <w:footnoteReference w:id="57"/>
      </w:r>
      <w:r>
        <w:t xml:space="preserve"> AusNet Services</w:t>
      </w:r>
      <w:r w:rsidR="000D3F52">
        <w:t xml:space="preserve"> </w:t>
      </w:r>
      <w:r w:rsidR="00891B54">
        <w:t>submitted that its repex</w:t>
      </w:r>
      <w:r w:rsidR="000D3F52">
        <w:t xml:space="preserve"> programs </w:t>
      </w:r>
      <w:r w:rsidR="00891B54">
        <w:t>are driven by</w:t>
      </w:r>
      <w:r w:rsidR="000D3F52">
        <w:t>:</w:t>
      </w:r>
      <w:r w:rsidR="00891B54">
        <w:rPr>
          <w:rStyle w:val="FootnoteReference"/>
        </w:rPr>
        <w:footnoteReference w:id="58"/>
      </w:r>
    </w:p>
    <w:p w:rsidR="000D3F52" w:rsidRDefault="00DB5316" w:rsidP="000D3F52">
      <w:pPr>
        <w:pStyle w:val="AERbulletlistfirststyle"/>
      </w:pPr>
      <w:r>
        <w:lastRenderedPageBreak/>
        <w:t>s</w:t>
      </w:r>
      <w:r w:rsidR="000D3F52">
        <w:t xml:space="preserve">econdary and protection replacement </w:t>
      </w:r>
      <w:r w:rsidR="00486059">
        <w:t xml:space="preserve">($95 million) </w:t>
      </w:r>
      <w:r w:rsidR="0076500A">
        <w:t>to address</w:t>
      </w:r>
      <w:r w:rsidR="00AA3FAF">
        <w:t xml:space="preserve"> compliance </w:t>
      </w:r>
      <w:r w:rsidR="0076500A">
        <w:t xml:space="preserve">issues </w:t>
      </w:r>
      <w:r w:rsidR="00AA3FAF">
        <w:t>and obsolescence of these assets</w:t>
      </w:r>
    </w:p>
    <w:p w:rsidR="000D3F52" w:rsidRDefault="00DB5316" w:rsidP="000D3F52">
      <w:pPr>
        <w:pStyle w:val="AERbulletlistfirststyle"/>
      </w:pPr>
      <w:r>
        <w:t>s</w:t>
      </w:r>
      <w:r w:rsidR="000D3F52">
        <w:t>tations replacement</w:t>
      </w:r>
      <w:r>
        <w:t xml:space="preserve"> not including major station related repex</w:t>
      </w:r>
      <w:r w:rsidR="003E539D">
        <w:t xml:space="preserve"> ($69 million)</w:t>
      </w:r>
      <w:r w:rsidR="000D3F52">
        <w:t xml:space="preserve"> </w:t>
      </w:r>
      <w:r w:rsidR="009753BA">
        <w:t>to replace</w:t>
      </w:r>
      <w:r w:rsidR="00F73F92">
        <w:t xml:space="preserve"> </w:t>
      </w:r>
      <w:r w:rsidR="00486059">
        <w:t>circuit breaker</w:t>
      </w:r>
      <w:r w:rsidR="009753BA">
        <w:t>s</w:t>
      </w:r>
      <w:r w:rsidR="00486059">
        <w:t xml:space="preserve"> </w:t>
      </w:r>
      <w:r w:rsidR="00AA3FAF">
        <w:t>(</w:t>
      </w:r>
      <w:r w:rsidR="0054096E">
        <w:t>$29 million</w:t>
      </w:r>
      <w:r w:rsidR="00AA3FAF">
        <w:t>)</w:t>
      </w:r>
      <w:r w:rsidR="00891B54">
        <w:t xml:space="preserve"> that are </w:t>
      </w:r>
      <w:r w:rsidR="00753755">
        <w:t>expected</w:t>
      </w:r>
      <w:r w:rsidR="00891B54">
        <w:t xml:space="preserve"> to show advanced deterioration over the next five to 10 years</w:t>
      </w:r>
      <w:r w:rsidR="000D3F52">
        <w:t>;</w:t>
      </w:r>
      <w:r w:rsidR="006310E8">
        <w:t xml:space="preserve"> and</w:t>
      </w:r>
    </w:p>
    <w:p w:rsidR="000D3F52" w:rsidRDefault="00DB5316" w:rsidP="000D3F52">
      <w:pPr>
        <w:pStyle w:val="AERbulletlistfirststyle"/>
      </w:pPr>
      <w:proofErr w:type="gramStart"/>
      <w:r>
        <w:t>c</w:t>
      </w:r>
      <w:r w:rsidR="000D3F52">
        <w:t>ommunication</w:t>
      </w:r>
      <w:proofErr w:type="gramEnd"/>
      <w:r w:rsidR="000D3F52">
        <w:t xml:space="preserve"> asset replacement</w:t>
      </w:r>
      <w:r w:rsidR="00486059">
        <w:t xml:space="preserve"> ($</w:t>
      </w:r>
      <w:r w:rsidR="007D7A0E">
        <w:t xml:space="preserve">62 </w:t>
      </w:r>
      <w:r>
        <w:t>million)</w:t>
      </w:r>
      <w:r w:rsidR="000D3F52">
        <w:t xml:space="preserve"> </w:t>
      </w:r>
      <w:r w:rsidR="009753BA">
        <w:t>to replace</w:t>
      </w:r>
      <w:r w:rsidR="00486059">
        <w:t xml:space="preserve"> </w:t>
      </w:r>
      <w:r w:rsidR="00AA3FAF">
        <w:t>systems that are no longer supported by vendors and for which spare parts can no longer be obtained.</w:t>
      </w:r>
    </w:p>
    <w:p w:rsidR="00DD12E4" w:rsidRDefault="001E3E9F" w:rsidP="00DD12E4">
      <w:r>
        <w:t>AusNet Services</w:t>
      </w:r>
      <w:r w:rsidR="00486059">
        <w:t xml:space="preserve"> </w:t>
      </w:r>
      <w:r w:rsidR="005E271D">
        <w:t xml:space="preserve">did not provide historical information </w:t>
      </w:r>
      <w:r w:rsidR="00486059">
        <w:t>to compa</w:t>
      </w:r>
      <w:r w:rsidR="005E271D">
        <w:t xml:space="preserve">re </w:t>
      </w:r>
      <w:r w:rsidR="00486059">
        <w:t>historical and forecast program costs for secondary and protection</w:t>
      </w:r>
      <w:r w:rsidR="00F73F92">
        <w:t>,</w:t>
      </w:r>
      <w:r w:rsidR="00486059">
        <w:t xml:space="preserve"> stations </w:t>
      </w:r>
      <w:r w:rsidR="00F73F92">
        <w:t xml:space="preserve">(other) </w:t>
      </w:r>
      <w:r w:rsidR="00486059">
        <w:t>and communications</w:t>
      </w:r>
      <w:r w:rsidR="006310E8">
        <w:t xml:space="preserve"> capex. Howe</w:t>
      </w:r>
      <w:r>
        <w:t>ver, as AusNet Services</w:t>
      </w:r>
      <w:r w:rsidR="006310E8">
        <w:t xml:space="preserve"> proposed </w:t>
      </w:r>
      <w:r w:rsidR="003F621B">
        <w:t xml:space="preserve">an </w:t>
      </w:r>
      <w:r w:rsidR="006310E8">
        <w:t>a</w:t>
      </w:r>
      <w:r w:rsidR="00DA3163">
        <w:t>verage annual</w:t>
      </w:r>
      <w:r w:rsidR="003F621B">
        <w:t xml:space="preserve"> increase of around 20 per cent </w:t>
      </w:r>
      <w:r w:rsidR="006310E8">
        <w:t xml:space="preserve">for its total repex program forecast (excluding safety, security and compliance related repex) we consider that </w:t>
      </w:r>
      <w:r w:rsidR="005E271D">
        <w:t xml:space="preserve">these proposed repex programs </w:t>
      </w:r>
      <w:r w:rsidR="000B2283">
        <w:t xml:space="preserve">for secondary and protection; stations </w:t>
      </w:r>
      <w:r w:rsidR="00F73F92">
        <w:t xml:space="preserve">(other) </w:t>
      </w:r>
      <w:r w:rsidR="000B2283">
        <w:t xml:space="preserve">and communications capex </w:t>
      </w:r>
      <w:r w:rsidR="005E271D">
        <w:t>are lik</w:t>
      </w:r>
      <w:r w:rsidR="00D501A8">
        <w:t>ely</w:t>
      </w:r>
      <w:r w:rsidR="006310E8">
        <w:t xml:space="preserve"> </w:t>
      </w:r>
      <w:r w:rsidR="009753BA">
        <w:t xml:space="preserve">to </w:t>
      </w:r>
      <w:r w:rsidR="006310E8">
        <w:t>be higher than in previous periods.</w:t>
      </w:r>
      <w:r w:rsidR="00DA3163">
        <w:rPr>
          <w:rStyle w:val="FootnoteReference"/>
        </w:rPr>
        <w:footnoteReference w:id="59"/>
      </w:r>
      <w:r w:rsidR="005A6881">
        <w:t xml:space="preserve"> </w:t>
      </w:r>
      <w:r w:rsidR="00DD12E4">
        <w:t xml:space="preserve">As outlined in appendix A we </w:t>
      </w:r>
      <w:r w:rsidR="00C05B7F">
        <w:t xml:space="preserve">applied </w:t>
      </w:r>
      <w:r w:rsidR="00DD12E4">
        <w:t xml:space="preserve">predictive modelling to protection and communication repex to test AusNet Services' proposed </w:t>
      </w:r>
      <w:r w:rsidR="0098513C">
        <w:t xml:space="preserve">overall </w:t>
      </w:r>
      <w:r w:rsidR="00DD12E4">
        <w:t>amount</w:t>
      </w:r>
      <w:r w:rsidR="0076500A">
        <w:t>s</w:t>
      </w:r>
      <w:r w:rsidR="00DD12E4">
        <w:t xml:space="preserve"> for th</w:t>
      </w:r>
      <w:r w:rsidR="00C05B7F">
        <w:t>ese</w:t>
      </w:r>
      <w:r w:rsidR="00DD12E4">
        <w:t xml:space="preserve"> program</w:t>
      </w:r>
      <w:r w:rsidR="00C05B7F">
        <w:t>s</w:t>
      </w:r>
      <w:r w:rsidR="00DD12E4">
        <w:t xml:space="preserve"> (refer to </w:t>
      </w:r>
      <w:r w:rsidR="00963580">
        <w:t>our predictive modelling discussion below</w:t>
      </w:r>
      <w:r w:rsidR="00DD12E4">
        <w:t>).</w:t>
      </w:r>
    </w:p>
    <w:p w:rsidR="006310E8" w:rsidRDefault="00DD12E4" w:rsidP="008867F5">
      <w:r>
        <w:t xml:space="preserve">We also reviewed AusNet Services' circuit breaker program as well as the proposed ground wire and instrument transformer programs. We have identified a systemic overestimation of safety </w:t>
      </w:r>
      <w:r w:rsidR="003E539D">
        <w:t xml:space="preserve">related </w:t>
      </w:r>
      <w:r>
        <w:t>risk for these programs</w:t>
      </w:r>
      <w:r w:rsidR="009753BA">
        <w:t>. This</w:t>
      </w:r>
      <w:r>
        <w:t xml:space="preserve"> is discussed in our key findings as part of our methodology review below.</w:t>
      </w:r>
    </w:p>
    <w:p w:rsidR="00E23F25" w:rsidRDefault="008A2AC6" w:rsidP="008A2AC6">
      <w:pPr>
        <w:pStyle w:val="HeadingBoldBlue"/>
      </w:pPr>
      <w:bookmarkStart w:id="74" w:name="_Toc456608803"/>
      <w:r>
        <w:t>M</w:t>
      </w:r>
      <w:r w:rsidR="00713BA6">
        <w:t xml:space="preserve">ethodology review </w:t>
      </w:r>
      <w:r w:rsidR="00713BA6">
        <w:noBreakHyphen/>
      </w:r>
      <w:r>
        <w:t xml:space="preserve"> key findings</w:t>
      </w:r>
      <w:bookmarkEnd w:id="74"/>
    </w:p>
    <w:p w:rsidR="00074BC7" w:rsidRDefault="0028391D" w:rsidP="0028391D">
      <w:r>
        <w:t xml:space="preserve">We </w:t>
      </w:r>
      <w:r w:rsidR="002F0C2F">
        <w:t>have reviewed AusNet Services' expenditure forecasting methodology, including key input assumptions in assessing whether the capex forecast reasonably reflects the capex criteria.</w:t>
      </w:r>
    </w:p>
    <w:p w:rsidR="0028391D" w:rsidRDefault="00074BC7" w:rsidP="0028391D">
      <w:r>
        <w:t>Our assessment of AusNet Services' key assumptions is outlined below.</w:t>
      </w:r>
    </w:p>
    <w:p w:rsidR="00E907CB" w:rsidRDefault="007F4B1C" w:rsidP="00E907CB">
      <w:pPr>
        <w:pStyle w:val="HeadingBoldItalic"/>
      </w:pPr>
      <w:bookmarkStart w:id="75" w:name="_Toc456608804"/>
      <w:r>
        <w:t>Project cost estimation</w:t>
      </w:r>
      <w:bookmarkEnd w:id="75"/>
    </w:p>
    <w:p w:rsidR="00E61B75" w:rsidRDefault="00E61B75" w:rsidP="00E61B75">
      <w:r>
        <w:t xml:space="preserve">AusNet Services’ project cost estimation methodology is set out in appendix 4E to its </w:t>
      </w:r>
      <w:r w:rsidR="00880E37">
        <w:t>revenue proposal</w:t>
      </w:r>
      <w:r>
        <w:t>.</w:t>
      </w:r>
      <w:r>
        <w:rPr>
          <w:rStyle w:val="FootnoteReference"/>
        </w:rPr>
        <w:footnoteReference w:id="60"/>
      </w:r>
      <w:r>
        <w:t xml:space="preserve"> AusNet Services describes the project cost estimates used to develop its capex forecast as P(50) estimates, meaning the estimates have a 50 per cent confidence factor of not being exceeded at project completion.</w:t>
      </w:r>
      <w:r>
        <w:rPr>
          <w:rStyle w:val="FootnoteReference"/>
        </w:rPr>
        <w:footnoteReference w:id="61"/>
      </w:r>
      <w:r>
        <w:t xml:space="preserve"> </w:t>
      </w:r>
    </w:p>
    <w:p w:rsidR="00E61B75" w:rsidRPr="00E37207" w:rsidRDefault="00E61B75" w:rsidP="00E61B75">
      <w:r>
        <w:lastRenderedPageBreak/>
        <w:t>The estimated</w:t>
      </w:r>
      <w:r w:rsidRPr="00E37207">
        <w:t xml:space="preserve"> project co</w:t>
      </w:r>
      <w:r>
        <w:t xml:space="preserve">sts in AusNet Services' </w:t>
      </w:r>
      <w:r w:rsidR="00880E37">
        <w:t>revenue proposal</w:t>
      </w:r>
      <w:r>
        <w:t xml:space="preserve"> reflect three types of</w:t>
      </w:r>
      <w:r w:rsidRPr="00E37207">
        <w:t xml:space="preserve"> cost estimate, depending on the </w:t>
      </w:r>
      <w:r>
        <w:t xml:space="preserve">development </w:t>
      </w:r>
      <w:r w:rsidRPr="00E37207">
        <w:t>stag</w:t>
      </w:r>
      <w:r>
        <w:t>e of the project</w:t>
      </w:r>
      <w:r w:rsidRPr="00E37207">
        <w:t>:</w:t>
      </w:r>
      <w:r>
        <w:rPr>
          <w:rStyle w:val="FootnoteReference"/>
        </w:rPr>
        <w:footnoteReference w:id="62"/>
      </w:r>
    </w:p>
    <w:p w:rsidR="00E61B75" w:rsidRPr="00E37207" w:rsidRDefault="00E61B75" w:rsidP="00E61B75">
      <w:pPr>
        <w:pStyle w:val="AERbulletlistfirststyle"/>
      </w:pPr>
      <w:r w:rsidRPr="00E37207">
        <w:t>indicative estimate</w:t>
      </w:r>
      <w:r>
        <w:t>s</w:t>
      </w:r>
      <w:r w:rsidRPr="00E37207">
        <w:t xml:space="preserve"> – used for options analysis and works prioritisation</w:t>
      </w:r>
    </w:p>
    <w:p w:rsidR="00E61B75" w:rsidRPr="00E37207" w:rsidRDefault="00E61B75" w:rsidP="00E61B75">
      <w:pPr>
        <w:pStyle w:val="AERbulletlistfirststyle"/>
      </w:pPr>
      <w:r w:rsidRPr="00E37207">
        <w:t>planning estimate</w:t>
      </w:r>
      <w:r>
        <w:t>s</w:t>
      </w:r>
      <w:r w:rsidRPr="00E37207">
        <w:t xml:space="preserve"> – used for business case development</w:t>
      </w:r>
      <w:r w:rsidR="007F4B1C">
        <w:t>; and</w:t>
      </w:r>
    </w:p>
    <w:p w:rsidR="00E61B75" w:rsidRPr="00E37207" w:rsidRDefault="00E61B75" w:rsidP="00E61B75">
      <w:pPr>
        <w:pStyle w:val="AERbulletlistfirststyle"/>
      </w:pPr>
      <w:proofErr w:type="gramStart"/>
      <w:r w:rsidRPr="00E37207">
        <w:t>control</w:t>
      </w:r>
      <w:proofErr w:type="gramEnd"/>
      <w:r w:rsidRPr="00E37207">
        <w:t xml:space="preserve"> estimate</w:t>
      </w:r>
      <w:r>
        <w:t>s</w:t>
      </w:r>
      <w:r w:rsidRPr="00E37207">
        <w:t xml:space="preserve"> – conducted prior to the build phase, following completion of a detailed scope of works and detailed design documentation.</w:t>
      </w:r>
    </w:p>
    <w:p w:rsidR="00E61B75" w:rsidRPr="00E37207" w:rsidRDefault="00E61B75" w:rsidP="00E61B75">
      <w:r w:rsidRPr="00E37207">
        <w:t>The majority (91 per</w:t>
      </w:r>
      <w:r w:rsidR="00FF02A3">
        <w:t xml:space="preserve"> cent) of AusNet Service</w:t>
      </w:r>
      <w:r>
        <w:t>s</w:t>
      </w:r>
      <w:r w:rsidR="00FF02A3">
        <w:t>'</w:t>
      </w:r>
      <w:r>
        <w:t xml:space="preserve"> </w:t>
      </w:r>
      <w:r w:rsidRPr="00E37207">
        <w:t>forecast</w:t>
      </w:r>
      <w:r>
        <w:t xml:space="preserve"> network capex</w:t>
      </w:r>
      <w:r w:rsidRPr="00E37207">
        <w:t xml:space="preserve"> </w:t>
      </w:r>
      <w:r>
        <w:t xml:space="preserve">in the 2017–22 regulatory control </w:t>
      </w:r>
      <w:proofErr w:type="gramStart"/>
      <w:r>
        <w:t>period</w:t>
      </w:r>
      <w:proofErr w:type="gramEnd"/>
      <w:r>
        <w:t xml:space="preserve"> </w:t>
      </w:r>
      <w:r w:rsidRPr="00E37207">
        <w:t xml:space="preserve">is based on either an indicative or planning estimate. </w:t>
      </w:r>
      <w:r>
        <w:t>B</w:t>
      </w:r>
      <w:r w:rsidRPr="00E37207">
        <w:t>oth of t</w:t>
      </w:r>
      <w:r>
        <w:t>hese estimate types include an allowance for risk or a contingency</w:t>
      </w:r>
      <w:r w:rsidRPr="00E37207">
        <w:t>.</w:t>
      </w:r>
    </w:p>
    <w:p w:rsidR="00E907CB" w:rsidRPr="00E37207" w:rsidRDefault="00E61B75" w:rsidP="00E907CB">
      <w:r>
        <w:t xml:space="preserve">AusNet Services' indicative </w:t>
      </w:r>
      <w:r w:rsidRPr="00E37207">
        <w:t>estimates</w:t>
      </w:r>
      <w:r>
        <w:t xml:space="preserve"> provide approximate costs for the determination of project feasibility, options analysis and selection.</w:t>
      </w:r>
      <w:r>
        <w:rPr>
          <w:rStyle w:val="FootnoteReference"/>
        </w:rPr>
        <w:footnoteReference w:id="63"/>
      </w:r>
      <w:r>
        <w:t xml:space="preserve"> The </w:t>
      </w:r>
      <w:proofErr w:type="gramStart"/>
      <w:r>
        <w:t>P(</w:t>
      </w:r>
      <w:proofErr w:type="gramEnd"/>
      <w:r>
        <w:t>50) indicative estimates include a nominal risk allowance</w:t>
      </w:r>
      <w:r w:rsidRPr="00E37207">
        <w:t xml:space="preserve"> of, on average, </w:t>
      </w:r>
      <w:r>
        <w:t>around five per cent. AusNet Services stated</w:t>
      </w:r>
      <w:r w:rsidRPr="00E37207">
        <w:t xml:space="preserve"> that this nominal risk allowance accounts for any additional scope that is not considered when the indicative estimate is prepared. </w:t>
      </w:r>
      <w:r>
        <w:t>For example, this may include the unforeseen replacement of an asset that is in worse condition than assumed when compiling the indicative estimate. AusNet Services</w:t>
      </w:r>
      <w:r w:rsidR="00163EFD">
        <w:t>'</w:t>
      </w:r>
      <w:r>
        <w:t xml:space="preserve"> submitted that</w:t>
      </w:r>
      <w:r w:rsidRPr="00E37207">
        <w:t xml:space="preserve"> it is prudent and efficient to include this risk allowance at the options analysis stage rather than conduct a more detailed project scoping exe</w:t>
      </w:r>
      <w:r>
        <w:t>rcise as this will be required only</w:t>
      </w:r>
      <w:r w:rsidRPr="00E37207">
        <w:t xml:space="preserve"> if the option is pursued further.</w:t>
      </w:r>
      <w:r>
        <w:rPr>
          <w:rStyle w:val="FootnoteReference"/>
        </w:rPr>
        <w:footnoteReference w:id="64"/>
      </w:r>
    </w:p>
    <w:p w:rsidR="00E907CB" w:rsidRPr="00E37207" w:rsidRDefault="00E907CB" w:rsidP="00E907CB">
      <w:r>
        <w:t>AusNet Services</w:t>
      </w:r>
      <w:r w:rsidR="00163EFD">
        <w:t>'</w:t>
      </w:r>
      <w:r>
        <w:t xml:space="preserve"> submitted that it prepares planning estimates once the preferred option to proceed has been identified. The </w:t>
      </w:r>
      <w:proofErr w:type="gramStart"/>
      <w:r>
        <w:t>P(</w:t>
      </w:r>
      <w:proofErr w:type="gramEnd"/>
      <w:r>
        <w:t>50) planning estimates include</w:t>
      </w:r>
      <w:r w:rsidRPr="00E37207">
        <w:t xml:space="preserve"> an allowance for ‘project specific uncertainties’ of, on average, </w:t>
      </w:r>
      <w:r>
        <w:t xml:space="preserve">around </w:t>
      </w:r>
      <w:r w:rsidRPr="00E37207">
        <w:t>5.6 per cent.</w:t>
      </w:r>
      <w:r>
        <w:rPr>
          <w:rStyle w:val="FootnoteReference"/>
        </w:rPr>
        <w:footnoteReference w:id="65"/>
      </w:r>
      <w:r w:rsidRPr="00E37207">
        <w:t xml:space="preserve"> </w:t>
      </w:r>
      <w:r>
        <w:t>AusNet Services submitted that the project</w:t>
      </w:r>
      <w:r w:rsidRPr="00E37207">
        <w:t xml:space="preserve"> uncertainties can include:</w:t>
      </w:r>
      <w:r>
        <w:rPr>
          <w:rStyle w:val="FootnoteReference"/>
        </w:rPr>
        <w:footnoteReference w:id="66"/>
      </w:r>
    </w:p>
    <w:p w:rsidR="00E907CB" w:rsidRPr="00E37207" w:rsidRDefault="00E907CB" w:rsidP="00E907CB">
      <w:pPr>
        <w:pStyle w:val="AERbulletlistfirststyle"/>
      </w:pPr>
      <w:r w:rsidRPr="00E37207">
        <w:t xml:space="preserve">internal factors such as potential variations in </w:t>
      </w:r>
      <w:r>
        <w:t>the scope of work, unit costs,</w:t>
      </w:r>
      <w:r w:rsidRPr="00E37207">
        <w:t xml:space="preserve"> volumes</w:t>
      </w:r>
      <w:r>
        <w:t xml:space="preserve"> or construction methods</w:t>
      </w:r>
    </w:p>
    <w:p w:rsidR="00E907CB" w:rsidRPr="00E37207" w:rsidRDefault="00E907CB" w:rsidP="00E907CB">
      <w:pPr>
        <w:pStyle w:val="AERbulletlistfirststyle"/>
      </w:pPr>
      <w:r w:rsidRPr="00E37207">
        <w:t>external factors such as a natural event or a major safety incident, a change to planned assumptions, stakeholder issues, the availability of resources or materials, delayed access to site, industrial relations, and contractual issues.</w:t>
      </w:r>
    </w:p>
    <w:p w:rsidR="003B7835" w:rsidRDefault="00E907CB" w:rsidP="00E907CB">
      <w:r w:rsidRPr="00E37207">
        <w:lastRenderedPageBreak/>
        <w:t>AusNet Services describe</w:t>
      </w:r>
      <w:r>
        <w:t>d</w:t>
      </w:r>
      <w:r w:rsidRPr="00E37207">
        <w:t xml:space="preserve"> both its indica</w:t>
      </w:r>
      <w:r>
        <w:t xml:space="preserve">tive and planning estimates as </w:t>
      </w:r>
      <w:proofErr w:type="gramStart"/>
      <w:r w:rsidRPr="00E37207">
        <w:t>P</w:t>
      </w:r>
      <w:r>
        <w:t>(</w:t>
      </w:r>
      <w:proofErr w:type="gramEnd"/>
      <w:r w:rsidRPr="00E37207">
        <w:t>50</w:t>
      </w:r>
      <w:r>
        <w:t>) estimates,</w:t>
      </w:r>
      <w:r w:rsidRPr="00E37207">
        <w:t xml:space="preserve"> meaning the actual project cost is equally likely to be above or below the estimated cost.</w:t>
      </w:r>
    </w:p>
    <w:p w:rsidR="00E907CB" w:rsidRDefault="00E907CB" w:rsidP="00E907CB">
      <w:r>
        <w:t>In our view, g</w:t>
      </w:r>
      <w:r w:rsidRPr="00B77BEC">
        <w:t xml:space="preserve">ood estimating practice involves the periodic review of cost estimates against actual costs to correct </w:t>
      </w:r>
      <w:r w:rsidR="00134E1A">
        <w:t xml:space="preserve">forecast </w:t>
      </w:r>
      <w:r w:rsidRPr="00B77BEC">
        <w:t>u</w:t>
      </w:r>
      <w:r>
        <w:t xml:space="preserve">nit rates and scope definitions. </w:t>
      </w:r>
      <w:r w:rsidRPr="00B77BEC">
        <w:t>Over time this process reduces and controls cost estimating error. Within a portfolio of works, where projects of simila</w:t>
      </w:r>
      <w:r>
        <w:t xml:space="preserve">r types are repeated over time and where </w:t>
      </w:r>
      <w:r w:rsidRPr="00B77BEC">
        <w:t>estimating</w:t>
      </w:r>
      <w:r>
        <w:t xml:space="preserve"> error is controlled as described above</w:t>
      </w:r>
      <w:r w:rsidRPr="00B77BEC">
        <w:t xml:space="preserve">, the variation at the overall portfolio level between forecast and actual costs will tend to zero. </w:t>
      </w:r>
      <w:r>
        <w:t>That is, if cost</w:t>
      </w:r>
      <w:r w:rsidRPr="00E37207">
        <w:t xml:space="preserve"> estimates are unbiased, then over time the ratio of </w:t>
      </w:r>
      <w:r>
        <w:t>observed project overestimation</w:t>
      </w:r>
      <w:r w:rsidRPr="00E37207">
        <w:t xml:space="preserve"> to </w:t>
      </w:r>
      <w:r>
        <w:t>underestimation</w:t>
      </w:r>
      <w:r w:rsidRPr="00E37207">
        <w:t xml:space="preserve"> should be around 50:50.</w:t>
      </w:r>
    </w:p>
    <w:p w:rsidR="00E907CB" w:rsidRPr="003340D4" w:rsidRDefault="00E907CB" w:rsidP="00E907CB">
      <w:r>
        <w:t xml:space="preserve">We </w:t>
      </w:r>
      <w:r w:rsidR="009753BA">
        <w:t>tested</w:t>
      </w:r>
      <w:r w:rsidRPr="00E37207">
        <w:t xml:space="preserve"> </w:t>
      </w:r>
      <w:r>
        <w:t>whether this wa</w:t>
      </w:r>
      <w:r w:rsidRPr="00E37207">
        <w:t xml:space="preserve">s the case, using </w:t>
      </w:r>
      <w:r>
        <w:t xml:space="preserve">planning estimate and actual cost </w:t>
      </w:r>
      <w:r w:rsidRPr="00E37207">
        <w:t>data provided by AusNet Services for a portfolio of 185 projects completed since 2007.</w:t>
      </w:r>
      <w:r>
        <w:rPr>
          <w:rStyle w:val="FootnoteReference"/>
        </w:rPr>
        <w:footnoteReference w:id="67"/>
      </w:r>
      <w:r w:rsidRPr="00E37207">
        <w:t xml:space="preserve"> The result</w:t>
      </w:r>
      <w:r>
        <w:t>s of this analysis are set out in</w:t>
      </w:r>
      <w:r w:rsidRPr="00E37207">
        <w:t xml:space="preserve"> </w:t>
      </w:r>
      <w:r w:rsidRPr="00D23E07">
        <w:fldChar w:fldCharType="begin"/>
      </w:r>
      <w:r>
        <w:instrText xml:space="preserve"> REF _Ref452475826 </w:instrText>
      </w:r>
      <w:r w:rsidRPr="00D23E07">
        <w:fldChar w:fldCharType="separate"/>
      </w:r>
      <w:r w:rsidR="00C60946">
        <w:t xml:space="preserve">Table </w:t>
      </w:r>
      <w:r w:rsidR="00C60946">
        <w:rPr>
          <w:noProof/>
        </w:rPr>
        <w:t>6</w:t>
      </w:r>
      <w:r w:rsidR="00C60946">
        <w:t>.</w:t>
      </w:r>
      <w:r w:rsidR="00C60946">
        <w:rPr>
          <w:noProof/>
        </w:rPr>
        <w:t>7</w:t>
      </w:r>
      <w:r w:rsidRPr="00D23E07">
        <w:fldChar w:fldCharType="end"/>
      </w:r>
      <w:r>
        <w:t xml:space="preserve"> </w:t>
      </w:r>
      <w:r w:rsidRPr="00E37207">
        <w:t>below.</w:t>
      </w:r>
      <w:r>
        <w:t xml:space="preserve"> The project data is set out in chronol</w:t>
      </w:r>
      <w:r w:rsidRPr="003340D4">
        <w:t>o</w:t>
      </w:r>
      <w:r>
        <w:t>gical order and grouped</w:t>
      </w:r>
      <w:r w:rsidRPr="003340D4">
        <w:t xml:space="preserve"> into annual results</w:t>
      </w:r>
      <w:r w:rsidR="00EB2A44">
        <w:t xml:space="preserve">. </w:t>
      </w:r>
    </w:p>
    <w:p w:rsidR="00E907CB" w:rsidRPr="003340D4" w:rsidRDefault="00E907CB" w:rsidP="00E907CB">
      <w:pPr>
        <w:pStyle w:val="Caption"/>
      </w:pPr>
      <w:bookmarkStart w:id="76" w:name="_Ref452475826"/>
      <w:proofErr w:type="gramStart"/>
      <w:r>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7</w:t>
      </w:r>
      <w:r w:rsidR="00735181">
        <w:rPr>
          <w:noProof/>
        </w:rPr>
        <w:fldChar w:fldCharType="end"/>
      </w:r>
      <w:bookmarkEnd w:id="76"/>
      <w:r>
        <w:tab/>
      </w:r>
      <w:r w:rsidRPr="003340D4">
        <w:t>Analysis of AusNet Services’ estimating residuals 2007–2015</w:t>
      </w:r>
    </w:p>
    <w:tbl>
      <w:tblPr>
        <w:tblStyle w:val="AERtable-numbers"/>
        <w:tblW w:w="8693" w:type="dxa"/>
        <w:tblLayout w:type="fixed"/>
        <w:tblLook w:val="04A0" w:firstRow="1" w:lastRow="0" w:firstColumn="1" w:lastColumn="0" w:noHBand="0" w:noVBand="1"/>
      </w:tblPr>
      <w:tblGrid>
        <w:gridCol w:w="959"/>
        <w:gridCol w:w="1175"/>
        <w:gridCol w:w="1312"/>
        <w:gridCol w:w="1312"/>
        <w:gridCol w:w="1311"/>
        <w:gridCol w:w="1312"/>
        <w:gridCol w:w="1312"/>
      </w:tblGrid>
      <w:tr w:rsidR="00134E1A" w:rsidRPr="00E37207" w:rsidTr="005147C9">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Year</w:t>
            </w:r>
          </w:p>
        </w:tc>
        <w:tc>
          <w:tcPr>
            <w:tcW w:w="1175" w:type="dxa"/>
            <w:hideMark/>
          </w:tcPr>
          <w:p w:rsidR="00E907CB" w:rsidRPr="00E907CB" w:rsidRDefault="00E907CB" w:rsidP="00E907CB">
            <w:pPr>
              <w:cnfStyle w:val="100000000000" w:firstRow="1" w:lastRow="0" w:firstColumn="0" w:lastColumn="0" w:oddVBand="0" w:evenVBand="0" w:oddHBand="0" w:evenHBand="0" w:firstRowFirstColumn="0" w:firstRowLastColumn="0" w:lastRowFirstColumn="0" w:lastRowLastColumn="0"/>
            </w:pPr>
            <w:r>
              <w:t>Number of</w:t>
            </w:r>
            <w:r w:rsidRPr="00E907CB">
              <w:t xml:space="preserve"> Projects</w:t>
            </w:r>
          </w:p>
        </w:tc>
        <w:tc>
          <w:tcPr>
            <w:tcW w:w="1312" w:type="dxa"/>
            <w:hideMark/>
          </w:tcPr>
          <w:p w:rsidR="00E907CB" w:rsidRPr="00E907CB" w:rsidRDefault="00E907CB" w:rsidP="00E907CB">
            <w:pPr>
              <w:cnfStyle w:val="100000000000" w:firstRow="1" w:lastRow="0" w:firstColumn="0" w:lastColumn="0" w:oddVBand="0" w:evenVBand="0" w:oddHBand="0" w:evenHBand="0" w:firstRowFirstColumn="0" w:firstRowLastColumn="0" w:lastRowFirstColumn="0" w:lastRowLastColumn="0"/>
            </w:pPr>
            <w:r>
              <w:t>Actual capex</w:t>
            </w:r>
            <w:r w:rsidRPr="00E907CB">
              <w:t xml:space="preserve"> ($000)</w:t>
            </w:r>
          </w:p>
        </w:tc>
        <w:tc>
          <w:tcPr>
            <w:tcW w:w="1312" w:type="dxa"/>
            <w:hideMark/>
          </w:tcPr>
          <w:p w:rsidR="00E907CB" w:rsidRPr="00E907CB" w:rsidRDefault="00E907CB" w:rsidP="00E907CB">
            <w:pPr>
              <w:cnfStyle w:val="100000000000" w:firstRow="1" w:lastRow="0" w:firstColumn="0" w:lastColumn="0" w:oddVBand="0" w:evenVBand="0" w:oddHBand="0" w:evenHBand="0" w:firstRowFirstColumn="0" w:firstRowLastColumn="0" w:lastRowFirstColumn="0" w:lastRowLastColumn="0"/>
            </w:pPr>
            <w:r>
              <w:t>Total overestimation residual</w:t>
            </w:r>
            <w:r w:rsidRPr="00E907CB">
              <w:t xml:space="preserve"> ($000)</w:t>
            </w:r>
          </w:p>
        </w:tc>
        <w:tc>
          <w:tcPr>
            <w:tcW w:w="1311" w:type="dxa"/>
            <w:hideMark/>
          </w:tcPr>
          <w:p w:rsidR="00E907CB" w:rsidRPr="00E907CB" w:rsidRDefault="00E907CB" w:rsidP="00E907CB">
            <w:pPr>
              <w:cnfStyle w:val="100000000000" w:firstRow="1" w:lastRow="0" w:firstColumn="0" w:lastColumn="0" w:oddVBand="0" w:evenVBand="0" w:oddHBand="0" w:evenHBand="0" w:firstRowFirstColumn="0" w:firstRowLastColumn="0" w:lastRowFirstColumn="0" w:lastRowLastColumn="0"/>
            </w:pPr>
            <w:r>
              <w:t>Total underestimation</w:t>
            </w:r>
            <w:r w:rsidRPr="00E907CB">
              <w:t xml:space="preserve"> residual ($000)</w:t>
            </w:r>
          </w:p>
        </w:tc>
        <w:tc>
          <w:tcPr>
            <w:tcW w:w="1312" w:type="dxa"/>
            <w:hideMark/>
          </w:tcPr>
          <w:p w:rsidR="00E907CB" w:rsidRPr="00E907CB" w:rsidRDefault="00E907CB" w:rsidP="00E907CB">
            <w:pPr>
              <w:cnfStyle w:val="100000000000" w:firstRow="1" w:lastRow="0" w:firstColumn="0" w:lastColumn="0" w:oddVBand="0" w:evenVBand="0" w:oddHBand="0" w:evenHBand="0" w:firstRowFirstColumn="0" w:firstRowLastColumn="0" w:lastRowFirstColumn="0" w:lastRowLastColumn="0"/>
            </w:pPr>
            <w:r>
              <w:t>Contribution of overestimations</w:t>
            </w:r>
            <w:r w:rsidRPr="00E907CB">
              <w:t xml:space="preserve"> to total variation</w:t>
            </w:r>
          </w:p>
        </w:tc>
        <w:tc>
          <w:tcPr>
            <w:tcW w:w="1312" w:type="dxa"/>
            <w:hideMark/>
          </w:tcPr>
          <w:p w:rsidR="00E907CB" w:rsidRPr="00E907CB" w:rsidRDefault="00E907CB" w:rsidP="00E907CB">
            <w:pPr>
              <w:cnfStyle w:val="100000000000" w:firstRow="1" w:lastRow="0" w:firstColumn="0" w:lastColumn="0" w:oddVBand="0" w:evenVBand="0" w:oddHBand="0" w:evenHBand="0" w:firstRowFirstColumn="0" w:firstRowLastColumn="0" w:lastRowFirstColumn="0" w:lastRowLastColumn="0"/>
            </w:pPr>
            <w:r>
              <w:t xml:space="preserve">Contribution of underestimations </w:t>
            </w:r>
            <w:r w:rsidRPr="00E907CB">
              <w:t>to total variation</w:t>
            </w:r>
          </w:p>
        </w:tc>
      </w:tr>
      <w:tr w:rsidR="00134E1A" w:rsidRPr="00E37207" w:rsidTr="005147C9">
        <w:trPr>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2007</w:t>
            </w:r>
          </w:p>
        </w:tc>
        <w:tc>
          <w:tcPr>
            <w:tcW w:w="1175"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1</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t>1,925</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t>930</w:t>
            </w:r>
          </w:p>
        </w:tc>
        <w:tc>
          <w:tcPr>
            <w:tcW w:w="1311"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0</w:t>
            </w:r>
            <w:r w:rsidRPr="00E907CB">
              <w:t xml:space="preserve">        </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100%</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0%</w:t>
            </w:r>
          </w:p>
        </w:tc>
      </w:tr>
      <w:tr w:rsidR="00134E1A" w:rsidRPr="00E37207" w:rsidTr="005147C9">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2008</w:t>
            </w:r>
          </w:p>
        </w:tc>
        <w:tc>
          <w:tcPr>
            <w:tcW w:w="1175"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1</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t>13,024</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2,444</w:t>
            </w:r>
          </w:p>
        </w:tc>
        <w:tc>
          <w:tcPr>
            <w:tcW w:w="1311"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0</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100%</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0%</w:t>
            </w:r>
          </w:p>
        </w:tc>
      </w:tr>
      <w:tr w:rsidR="00134E1A" w:rsidRPr="00E37207" w:rsidTr="005147C9">
        <w:trPr>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2009</w:t>
            </w:r>
          </w:p>
        </w:tc>
        <w:tc>
          <w:tcPr>
            <w:tcW w:w="1175"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18</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t>21,226</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3,405</w:t>
            </w:r>
          </w:p>
        </w:tc>
        <w:tc>
          <w:tcPr>
            <w:tcW w:w="1311"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2,613</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57%</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43%</w:t>
            </w:r>
          </w:p>
        </w:tc>
      </w:tr>
      <w:tr w:rsidR="00134E1A" w:rsidRPr="00E37207" w:rsidTr="005147C9">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2010</w:t>
            </w:r>
          </w:p>
        </w:tc>
        <w:tc>
          <w:tcPr>
            <w:tcW w:w="1175"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17</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t>30,294</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3,695</w:t>
            </w:r>
          </w:p>
        </w:tc>
        <w:tc>
          <w:tcPr>
            <w:tcW w:w="1311"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661</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85%</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15%</w:t>
            </w:r>
          </w:p>
        </w:tc>
      </w:tr>
      <w:tr w:rsidR="00134E1A" w:rsidRPr="00E37207" w:rsidTr="005147C9">
        <w:trPr>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2011</w:t>
            </w:r>
          </w:p>
        </w:tc>
        <w:tc>
          <w:tcPr>
            <w:tcW w:w="1175"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35</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t>20,768</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6,779</w:t>
            </w:r>
          </w:p>
        </w:tc>
        <w:tc>
          <w:tcPr>
            <w:tcW w:w="1311"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2,144</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76%</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24%</w:t>
            </w:r>
          </w:p>
        </w:tc>
      </w:tr>
      <w:tr w:rsidR="00134E1A" w:rsidRPr="00E37207" w:rsidTr="005147C9">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2012</w:t>
            </w:r>
          </w:p>
        </w:tc>
        <w:tc>
          <w:tcPr>
            <w:tcW w:w="1175"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21</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t>29,421</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3,458</w:t>
            </w:r>
          </w:p>
        </w:tc>
        <w:tc>
          <w:tcPr>
            <w:tcW w:w="1311"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1,945</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64%</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36%</w:t>
            </w:r>
          </w:p>
        </w:tc>
      </w:tr>
      <w:tr w:rsidR="00134E1A" w:rsidRPr="00E37207" w:rsidTr="005147C9">
        <w:trPr>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2013</w:t>
            </w:r>
          </w:p>
        </w:tc>
        <w:tc>
          <w:tcPr>
            <w:tcW w:w="1175"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65</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t>172,922</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12,603</w:t>
            </w:r>
          </w:p>
        </w:tc>
        <w:tc>
          <w:tcPr>
            <w:tcW w:w="1311"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25,620</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33%</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67%</w:t>
            </w:r>
          </w:p>
        </w:tc>
      </w:tr>
      <w:tr w:rsidR="00134E1A" w:rsidRPr="00E37207" w:rsidTr="005147C9">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2014</w:t>
            </w:r>
          </w:p>
        </w:tc>
        <w:tc>
          <w:tcPr>
            <w:tcW w:w="1175"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24</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t>42,510</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6,363</w:t>
            </w:r>
          </w:p>
        </w:tc>
        <w:tc>
          <w:tcPr>
            <w:tcW w:w="1311"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3,105</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67%</w:t>
            </w:r>
          </w:p>
        </w:tc>
        <w:tc>
          <w:tcPr>
            <w:tcW w:w="1312" w:type="dxa"/>
            <w:noWrap/>
            <w:hideMark/>
          </w:tcPr>
          <w:p w:rsidR="00E907CB" w:rsidRPr="00E907CB" w:rsidRDefault="00E907CB" w:rsidP="00E907CB">
            <w:pPr>
              <w:cnfStyle w:val="000000010000" w:firstRow="0" w:lastRow="0" w:firstColumn="0" w:lastColumn="0" w:oddVBand="0" w:evenVBand="0" w:oddHBand="0" w:evenHBand="1" w:firstRowFirstColumn="0" w:firstRowLastColumn="0" w:lastRowFirstColumn="0" w:lastRowLastColumn="0"/>
            </w:pPr>
            <w:r w:rsidRPr="00E37207">
              <w:t>33%</w:t>
            </w:r>
          </w:p>
        </w:tc>
      </w:tr>
      <w:tr w:rsidR="00134E1A" w:rsidRPr="00E37207" w:rsidTr="005147C9">
        <w:trPr>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E907CB" w:rsidRDefault="00E907CB" w:rsidP="00E907CB">
            <w:r w:rsidRPr="00E37207">
              <w:t>2015</w:t>
            </w:r>
          </w:p>
        </w:tc>
        <w:tc>
          <w:tcPr>
            <w:tcW w:w="1175"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3</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t>2,848</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75</w:t>
            </w:r>
          </w:p>
        </w:tc>
        <w:tc>
          <w:tcPr>
            <w:tcW w:w="1311"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671</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10%</w:t>
            </w:r>
          </w:p>
        </w:tc>
        <w:tc>
          <w:tcPr>
            <w:tcW w:w="1312" w:type="dxa"/>
            <w:noWrap/>
            <w:hideMark/>
          </w:tcPr>
          <w:p w:rsidR="00E907CB" w:rsidRPr="00E907CB" w:rsidRDefault="00E907CB" w:rsidP="00E907CB">
            <w:pPr>
              <w:cnfStyle w:val="000000000000" w:firstRow="0" w:lastRow="0" w:firstColumn="0" w:lastColumn="0" w:oddVBand="0" w:evenVBand="0" w:oddHBand="0" w:evenHBand="0" w:firstRowFirstColumn="0" w:firstRowLastColumn="0" w:lastRowFirstColumn="0" w:lastRowLastColumn="0"/>
            </w:pPr>
            <w:r w:rsidRPr="00E37207">
              <w:t>90%</w:t>
            </w:r>
          </w:p>
        </w:tc>
      </w:tr>
      <w:tr w:rsidR="00134E1A" w:rsidRPr="00E37207" w:rsidTr="005147C9">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5147C9" w:rsidRDefault="00E907CB" w:rsidP="00E907CB">
            <w:pPr>
              <w:rPr>
                <w:rStyle w:val="Strong"/>
              </w:rPr>
            </w:pPr>
            <w:r w:rsidRPr="005147C9">
              <w:rPr>
                <w:rStyle w:val="Strong"/>
              </w:rPr>
              <w:t>Totals</w:t>
            </w:r>
          </w:p>
        </w:tc>
        <w:tc>
          <w:tcPr>
            <w:tcW w:w="1175" w:type="dxa"/>
            <w:noWrap/>
            <w:hideMark/>
          </w:tcPr>
          <w:p w:rsidR="00E907CB" w:rsidRPr="005147C9" w:rsidRDefault="00E907CB" w:rsidP="00E907CB">
            <w:pPr>
              <w:cnfStyle w:val="000000010000" w:firstRow="0" w:lastRow="0" w:firstColumn="0" w:lastColumn="0" w:oddVBand="0" w:evenVBand="0" w:oddHBand="0" w:evenHBand="1" w:firstRowFirstColumn="0" w:firstRowLastColumn="0" w:lastRowFirstColumn="0" w:lastRowLastColumn="0"/>
              <w:rPr>
                <w:rStyle w:val="Strong"/>
              </w:rPr>
            </w:pPr>
            <w:r w:rsidRPr="005147C9">
              <w:rPr>
                <w:rStyle w:val="Strong"/>
              </w:rPr>
              <w:t>185</w:t>
            </w:r>
          </w:p>
        </w:tc>
        <w:tc>
          <w:tcPr>
            <w:tcW w:w="1312" w:type="dxa"/>
            <w:noWrap/>
            <w:hideMark/>
          </w:tcPr>
          <w:p w:rsidR="00E907CB" w:rsidRPr="005147C9" w:rsidRDefault="00E907CB" w:rsidP="00E907CB">
            <w:pPr>
              <w:cnfStyle w:val="000000010000" w:firstRow="0" w:lastRow="0" w:firstColumn="0" w:lastColumn="0" w:oddVBand="0" w:evenVBand="0" w:oddHBand="0" w:evenHBand="1" w:firstRowFirstColumn="0" w:firstRowLastColumn="0" w:lastRowFirstColumn="0" w:lastRowLastColumn="0"/>
              <w:rPr>
                <w:rStyle w:val="Strong"/>
              </w:rPr>
            </w:pPr>
            <w:r w:rsidRPr="005147C9">
              <w:rPr>
                <w:rStyle w:val="Strong"/>
              </w:rPr>
              <w:t>334,938</w:t>
            </w:r>
          </w:p>
        </w:tc>
        <w:tc>
          <w:tcPr>
            <w:tcW w:w="1312" w:type="dxa"/>
            <w:noWrap/>
          </w:tcPr>
          <w:p w:rsidR="00E907CB" w:rsidRPr="005147C9" w:rsidRDefault="00E907CB" w:rsidP="00E907CB">
            <w:pPr>
              <w:cnfStyle w:val="000000010000" w:firstRow="0" w:lastRow="0" w:firstColumn="0" w:lastColumn="0" w:oddVBand="0" w:evenVBand="0" w:oddHBand="0" w:evenHBand="1" w:firstRowFirstColumn="0" w:firstRowLastColumn="0" w:lastRowFirstColumn="0" w:lastRowLastColumn="0"/>
              <w:rPr>
                <w:rStyle w:val="Strong"/>
              </w:rPr>
            </w:pPr>
            <w:r w:rsidRPr="005147C9">
              <w:rPr>
                <w:rStyle w:val="Strong"/>
              </w:rPr>
              <w:t>-</w:t>
            </w:r>
          </w:p>
        </w:tc>
        <w:tc>
          <w:tcPr>
            <w:tcW w:w="1311" w:type="dxa"/>
            <w:noWrap/>
          </w:tcPr>
          <w:p w:rsidR="00E907CB" w:rsidRPr="005147C9" w:rsidRDefault="00E907CB" w:rsidP="00E907CB">
            <w:pPr>
              <w:cnfStyle w:val="000000010000" w:firstRow="0" w:lastRow="0" w:firstColumn="0" w:lastColumn="0" w:oddVBand="0" w:evenVBand="0" w:oddHBand="0" w:evenHBand="1" w:firstRowFirstColumn="0" w:firstRowLastColumn="0" w:lastRowFirstColumn="0" w:lastRowLastColumn="0"/>
              <w:rPr>
                <w:rStyle w:val="Strong"/>
              </w:rPr>
            </w:pPr>
            <w:r w:rsidRPr="005147C9">
              <w:rPr>
                <w:rStyle w:val="Strong"/>
              </w:rPr>
              <w:t>-</w:t>
            </w:r>
          </w:p>
        </w:tc>
        <w:tc>
          <w:tcPr>
            <w:tcW w:w="1312" w:type="dxa"/>
            <w:noWrap/>
          </w:tcPr>
          <w:p w:rsidR="00E907CB" w:rsidRPr="005147C9" w:rsidRDefault="00E907CB" w:rsidP="00E907CB">
            <w:pPr>
              <w:cnfStyle w:val="000000010000" w:firstRow="0" w:lastRow="0" w:firstColumn="0" w:lastColumn="0" w:oddVBand="0" w:evenVBand="0" w:oddHBand="0" w:evenHBand="1" w:firstRowFirstColumn="0" w:firstRowLastColumn="0" w:lastRowFirstColumn="0" w:lastRowLastColumn="0"/>
              <w:rPr>
                <w:rStyle w:val="Strong"/>
              </w:rPr>
            </w:pPr>
            <w:r w:rsidRPr="005147C9">
              <w:rPr>
                <w:rStyle w:val="Strong"/>
              </w:rPr>
              <w:t>-</w:t>
            </w:r>
          </w:p>
        </w:tc>
        <w:tc>
          <w:tcPr>
            <w:tcW w:w="1312" w:type="dxa"/>
            <w:noWrap/>
          </w:tcPr>
          <w:p w:rsidR="00E907CB" w:rsidRPr="005147C9" w:rsidRDefault="00E907CB" w:rsidP="00E907CB">
            <w:pPr>
              <w:cnfStyle w:val="000000010000" w:firstRow="0" w:lastRow="0" w:firstColumn="0" w:lastColumn="0" w:oddVBand="0" w:evenVBand="0" w:oddHBand="0" w:evenHBand="1" w:firstRowFirstColumn="0" w:firstRowLastColumn="0" w:lastRowFirstColumn="0" w:lastRowLastColumn="0"/>
              <w:rPr>
                <w:rStyle w:val="Strong"/>
              </w:rPr>
            </w:pPr>
            <w:r w:rsidRPr="005147C9">
              <w:rPr>
                <w:rStyle w:val="Strong"/>
              </w:rPr>
              <w:t>-</w:t>
            </w:r>
          </w:p>
        </w:tc>
      </w:tr>
      <w:tr w:rsidR="00134E1A" w:rsidRPr="00E37207" w:rsidTr="005147C9">
        <w:trPr>
          <w:trHeight w:val="267"/>
        </w:trPr>
        <w:tc>
          <w:tcPr>
            <w:cnfStyle w:val="001000000000" w:firstRow="0" w:lastRow="0" w:firstColumn="1" w:lastColumn="0" w:oddVBand="0" w:evenVBand="0" w:oddHBand="0" w:evenHBand="0" w:firstRowFirstColumn="0" w:firstRowLastColumn="0" w:lastRowFirstColumn="0" w:lastRowLastColumn="0"/>
            <w:tcW w:w="959" w:type="dxa"/>
            <w:noWrap/>
            <w:hideMark/>
          </w:tcPr>
          <w:p w:rsidR="00E907CB" w:rsidRPr="005147C9" w:rsidRDefault="00E907CB" w:rsidP="00E907CB">
            <w:pPr>
              <w:rPr>
                <w:rStyle w:val="Strong"/>
              </w:rPr>
            </w:pPr>
            <w:r w:rsidRPr="005147C9">
              <w:rPr>
                <w:rStyle w:val="Strong"/>
              </w:rPr>
              <w:t>Average</w:t>
            </w:r>
          </w:p>
        </w:tc>
        <w:tc>
          <w:tcPr>
            <w:tcW w:w="1175" w:type="dxa"/>
            <w:noWrap/>
            <w:hideMark/>
          </w:tcPr>
          <w:p w:rsidR="00E907CB" w:rsidRPr="005147C9" w:rsidRDefault="00E907CB" w:rsidP="00E907CB">
            <w:pPr>
              <w:cnfStyle w:val="000000000000" w:firstRow="0" w:lastRow="0" w:firstColumn="0" w:lastColumn="0" w:oddVBand="0" w:evenVBand="0" w:oddHBand="0" w:evenHBand="0" w:firstRowFirstColumn="0" w:firstRowLastColumn="0" w:lastRowFirstColumn="0" w:lastRowLastColumn="0"/>
              <w:rPr>
                <w:rStyle w:val="Strong"/>
              </w:rPr>
            </w:pPr>
            <w:r w:rsidRPr="005147C9">
              <w:rPr>
                <w:rStyle w:val="Strong"/>
              </w:rPr>
              <w:t>-</w:t>
            </w:r>
          </w:p>
        </w:tc>
        <w:tc>
          <w:tcPr>
            <w:tcW w:w="1312" w:type="dxa"/>
            <w:noWrap/>
            <w:hideMark/>
          </w:tcPr>
          <w:p w:rsidR="00E907CB" w:rsidRPr="005147C9" w:rsidRDefault="00E907CB" w:rsidP="00E907CB">
            <w:pPr>
              <w:cnfStyle w:val="000000000000" w:firstRow="0" w:lastRow="0" w:firstColumn="0" w:lastColumn="0" w:oddVBand="0" w:evenVBand="0" w:oddHBand="0" w:evenHBand="0" w:firstRowFirstColumn="0" w:firstRowLastColumn="0" w:lastRowFirstColumn="0" w:lastRowLastColumn="0"/>
              <w:rPr>
                <w:rStyle w:val="Strong"/>
              </w:rPr>
            </w:pPr>
            <w:r w:rsidRPr="005147C9">
              <w:rPr>
                <w:rStyle w:val="Strong"/>
              </w:rPr>
              <w:t>-</w:t>
            </w:r>
          </w:p>
        </w:tc>
        <w:tc>
          <w:tcPr>
            <w:tcW w:w="1312" w:type="dxa"/>
            <w:noWrap/>
            <w:hideMark/>
          </w:tcPr>
          <w:p w:rsidR="00E907CB" w:rsidRPr="005147C9" w:rsidRDefault="00E907CB" w:rsidP="00E907CB">
            <w:pPr>
              <w:cnfStyle w:val="000000000000" w:firstRow="0" w:lastRow="0" w:firstColumn="0" w:lastColumn="0" w:oddVBand="0" w:evenVBand="0" w:oddHBand="0" w:evenHBand="0" w:firstRowFirstColumn="0" w:firstRowLastColumn="0" w:lastRowFirstColumn="0" w:lastRowLastColumn="0"/>
              <w:rPr>
                <w:rStyle w:val="Strong"/>
              </w:rPr>
            </w:pPr>
            <w:r w:rsidRPr="005147C9">
              <w:rPr>
                <w:rStyle w:val="Strong"/>
              </w:rPr>
              <w:t>-</w:t>
            </w:r>
          </w:p>
        </w:tc>
        <w:tc>
          <w:tcPr>
            <w:tcW w:w="1311" w:type="dxa"/>
            <w:noWrap/>
            <w:hideMark/>
          </w:tcPr>
          <w:p w:rsidR="00E907CB" w:rsidRPr="005147C9" w:rsidRDefault="00E907CB" w:rsidP="00E907CB">
            <w:pPr>
              <w:cnfStyle w:val="000000000000" w:firstRow="0" w:lastRow="0" w:firstColumn="0" w:lastColumn="0" w:oddVBand="0" w:evenVBand="0" w:oddHBand="0" w:evenHBand="0" w:firstRowFirstColumn="0" w:firstRowLastColumn="0" w:lastRowFirstColumn="0" w:lastRowLastColumn="0"/>
              <w:rPr>
                <w:rStyle w:val="Strong"/>
              </w:rPr>
            </w:pPr>
            <w:r w:rsidRPr="005147C9">
              <w:rPr>
                <w:rStyle w:val="Strong"/>
              </w:rPr>
              <w:t>-</w:t>
            </w:r>
          </w:p>
        </w:tc>
        <w:tc>
          <w:tcPr>
            <w:tcW w:w="1312" w:type="dxa"/>
            <w:noWrap/>
            <w:hideMark/>
          </w:tcPr>
          <w:p w:rsidR="00E907CB" w:rsidRPr="005147C9" w:rsidRDefault="00E61B75" w:rsidP="00E907CB">
            <w:pPr>
              <w:cnfStyle w:val="000000000000" w:firstRow="0" w:lastRow="0" w:firstColumn="0" w:lastColumn="0" w:oddVBand="0" w:evenVBand="0" w:oddHBand="0" w:evenHBand="0" w:firstRowFirstColumn="0" w:firstRowLastColumn="0" w:lastRowFirstColumn="0" w:lastRowLastColumn="0"/>
              <w:rPr>
                <w:rStyle w:val="Strong"/>
              </w:rPr>
            </w:pPr>
            <w:r w:rsidRPr="005147C9">
              <w:rPr>
                <w:rStyle w:val="Strong"/>
              </w:rPr>
              <w:t>64</w:t>
            </w:r>
            <w:r w:rsidR="00E907CB" w:rsidRPr="005147C9">
              <w:rPr>
                <w:rStyle w:val="Strong"/>
              </w:rPr>
              <w:t>%</w:t>
            </w:r>
            <w:r w:rsidRPr="005147C9">
              <w:rPr>
                <w:rStyle w:val="Strong"/>
              </w:rPr>
              <w:t>a</w:t>
            </w:r>
          </w:p>
        </w:tc>
        <w:tc>
          <w:tcPr>
            <w:tcW w:w="1312" w:type="dxa"/>
            <w:noWrap/>
            <w:hideMark/>
          </w:tcPr>
          <w:p w:rsidR="00E907CB" w:rsidRPr="005147C9" w:rsidRDefault="00E61B75" w:rsidP="00E907CB">
            <w:pPr>
              <w:cnfStyle w:val="000000000000" w:firstRow="0" w:lastRow="0" w:firstColumn="0" w:lastColumn="0" w:oddVBand="0" w:evenVBand="0" w:oddHBand="0" w:evenHBand="0" w:firstRowFirstColumn="0" w:firstRowLastColumn="0" w:lastRowFirstColumn="0" w:lastRowLastColumn="0"/>
              <w:rPr>
                <w:rStyle w:val="Strong"/>
              </w:rPr>
            </w:pPr>
            <w:r w:rsidRPr="005147C9">
              <w:rPr>
                <w:rStyle w:val="Strong"/>
              </w:rPr>
              <w:t>36</w:t>
            </w:r>
            <w:r w:rsidR="00E907CB" w:rsidRPr="005147C9">
              <w:rPr>
                <w:rStyle w:val="Strong"/>
              </w:rPr>
              <w:t>%</w:t>
            </w:r>
            <w:r w:rsidRPr="005147C9">
              <w:rPr>
                <w:rStyle w:val="Strong"/>
              </w:rPr>
              <w:t>a</w:t>
            </w:r>
          </w:p>
        </w:tc>
      </w:tr>
    </w:tbl>
    <w:p w:rsidR="00E907CB" w:rsidRDefault="00E907CB" w:rsidP="00E907CB">
      <w:pPr>
        <w:pStyle w:val="AERtablesource"/>
      </w:pPr>
      <w:r w:rsidRPr="00E0019E">
        <w:t xml:space="preserve">Source: </w:t>
      </w:r>
      <w:r>
        <w:tab/>
      </w:r>
      <w:r w:rsidRPr="00E0019E">
        <w:t xml:space="preserve">AusNet Services, </w:t>
      </w:r>
      <w:r w:rsidRPr="00E0019E">
        <w:rPr>
          <w:rStyle w:val="AERtextitalic"/>
        </w:rPr>
        <w:t>RINs Schedule 1 - 4.2.b. Basis for top-down capex adjustment</w:t>
      </w:r>
      <w:r w:rsidRPr="00E0019E">
        <w:t>, 30 October 2015; AER analysis.</w:t>
      </w:r>
    </w:p>
    <w:p w:rsidR="00E61B75" w:rsidRPr="00E61B75" w:rsidRDefault="00733DE3" w:rsidP="00E61B75">
      <w:pPr>
        <w:pStyle w:val="AERtablesource"/>
      </w:pPr>
      <w:proofErr w:type="gramStart"/>
      <w:r>
        <w:t>a</w:t>
      </w:r>
      <w:proofErr w:type="gramEnd"/>
      <w:r>
        <w:t xml:space="preserve">: </w:t>
      </w:r>
      <w:r>
        <w:tab/>
        <w:t>These averages exclude the</w:t>
      </w:r>
      <w:r w:rsidR="00FF02A3">
        <w:t xml:space="preserve"> 2007, 2008 and 2015 years because there is an</w:t>
      </w:r>
      <w:r>
        <w:t xml:space="preserve"> unrepresentative number of projects in each year</w:t>
      </w:r>
      <w:r w:rsidR="00FF02A3">
        <w:t>. This does not have a material effect on the averages</w:t>
      </w:r>
      <w:r>
        <w:t>.</w:t>
      </w:r>
    </w:p>
    <w:p w:rsidR="00EF6F52" w:rsidRPr="00E0019E" w:rsidRDefault="00EF6F52" w:rsidP="00EF6F52">
      <w:r w:rsidRPr="00E0019E">
        <w:lastRenderedPageBreak/>
        <w:t xml:space="preserve">This analysis indicates there is a bias towards overestimation </w:t>
      </w:r>
      <w:r>
        <w:t xml:space="preserve">for these projects. AusNet Services overestimated the cost </w:t>
      </w:r>
      <w:r w:rsidR="00BC3AB7">
        <w:t>in</w:t>
      </w:r>
      <w:r>
        <w:t xml:space="preserve"> 112</w:t>
      </w:r>
      <w:r w:rsidR="00BC3AB7">
        <w:t>,</w:t>
      </w:r>
      <w:r>
        <w:t xml:space="preserve"> or 61 per cent</w:t>
      </w:r>
      <w:r w:rsidR="00BC3AB7">
        <w:t>,</w:t>
      </w:r>
      <w:r>
        <w:t xml:space="preserve"> of the 185 projects. If the project cost estimates were unbiased</w:t>
      </w:r>
      <w:r w:rsidRPr="003340D4">
        <w:t xml:space="preserve"> then the </w:t>
      </w:r>
      <w:r>
        <w:t xml:space="preserve">residual underestimates and overestimates should </w:t>
      </w:r>
      <w:r w:rsidRPr="003340D4">
        <w:t>be around a 5</w:t>
      </w:r>
      <w:r>
        <w:t>0:50 ratio</w:t>
      </w:r>
      <w:r w:rsidRPr="003340D4">
        <w:t>.</w:t>
      </w:r>
      <w:r w:rsidR="00733DE3">
        <w:t xml:space="preserve"> In five of the six</w:t>
      </w:r>
      <w:r w:rsidRPr="00E0019E">
        <w:t xml:space="preserve"> year</w:t>
      </w:r>
      <w:r>
        <w:t>s of data</w:t>
      </w:r>
      <w:r w:rsidR="00733DE3">
        <w:t xml:space="preserve"> with representative numbers of projects (2009-2014)</w:t>
      </w:r>
      <w:r>
        <w:t>,</w:t>
      </w:r>
      <w:r w:rsidRPr="00E0019E">
        <w:t xml:space="preserve"> the contribution of overestimates </w:t>
      </w:r>
      <w:r>
        <w:t>to the total estimating error is</w:t>
      </w:r>
      <w:r w:rsidRPr="00E0019E">
        <w:t xml:space="preserve"> greater than the contribution of underestimates.</w:t>
      </w:r>
      <w:r w:rsidRPr="00E0019E">
        <w:rPr>
          <w:rStyle w:val="FootnoteReference"/>
        </w:rPr>
        <w:t xml:space="preserve"> </w:t>
      </w:r>
      <w:r>
        <w:t>On average, the ratio of overestimates to un</w:t>
      </w:r>
      <w:r w:rsidR="00733DE3">
        <w:t>derestimates is approximately 64:36</w:t>
      </w:r>
      <w:r>
        <w:t xml:space="preserve">. </w:t>
      </w:r>
    </w:p>
    <w:p w:rsidR="00EF6F52" w:rsidRDefault="00EF6F52" w:rsidP="00EF6F52">
      <w:r>
        <w:t xml:space="preserve">We undertook further analysis </w:t>
      </w:r>
      <w:r w:rsidRPr="00E0019E">
        <w:t>to quantify the extent of this bias</w:t>
      </w:r>
      <w:r>
        <w:t>. To do this, we calculated the average adjustment to the estimated project costs that would be required</w:t>
      </w:r>
      <w:r w:rsidRPr="00E0019E">
        <w:t xml:space="preserve"> </w:t>
      </w:r>
      <w:r>
        <w:t>to rem</w:t>
      </w:r>
      <w:r w:rsidR="00FF02A3">
        <w:t xml:space="preserve">ove the observed overestimation. </w:t>
      </w:r>
      <w:r>
        <w:t>We found that reducing AusNet Services' project cost estimates by 4.6</w:t>
      </w:r>
      <w:r w:rsidRPr="00E0019E">
        <w:t xml:space="preserve"> per cent </w:t>
      </w:r>
      <w:r>
        <w:t>removes the</w:t>
      </w:r>
      <w:r w:rsidRPr="00E0019E">
        <w:t xml:space="preserve"> </w:t>
      </w:r>
      <w:r>
        <w:t>observed overestimation bias</w:t>
      </w:r>
      <w:r w:rsidRPr="00E0019E">
        <w:t xml:space="preserve"> </w:t>
      </w:r>
      <w:r>
        <w:t>for the portfolio of historical projects and delivers an overall ratio of overestimates to underestimates approaching 50:50</w:t>
      </w:r>
      <w:r w:rsidRPr="00E0019E">
        <w:t>.</w:t>
      </w:r>
      <w:r>
        <w:t xml:space="preserve"> That is, on average, AusNet Services overestimated the actual cost of each of the 185 historical projects by 4.6 per cent. We consider this to be evidence of a systemic issue in AusNet Services cost estimation methodology.</w:t>
      </w:r>
      <w:r w:rsidR="00EE6266">
        <w:rPr>
          <w:rStyle w:val="FootnoteReference"/>
        </w:rPr>
        <w:footnoteReference w:id="68"/>
      </w:r>
    </w:p>
    <w:p w:rsidR="00EF6F52" w:rsidRDefault="00EF6F52" w:rsidP="00EF6F52">
      <w:r>
        <w:t xml:space="preserve">On </w:t>
      </w:r>
      <w:r w:rsidR="00206362">
        <w:t xml:space="preserve">this </w:t>
      </w:r>
      <w:r>
        <w:t>basis</w:t>
      </w:r>
      <w:r w:rsidRPr="00E0019E">
        <w:t>,</w:t>
      </w:r>
      <w:r>
        <w:t xml:space="preserve"> we are not satisfied that AusNet Services' forecast capex reasonably reflects the efficient costs that a prudent operator would require to achieve the capex objectives.</w:t>
      </w:r>
      <w:r>
        <w:rPr>
          <w:rStyle w:val="FootnoteReference"/>
        </w:rPr>
        <w:footnoteReference w:id="69"/>
      </w:r>
      <w:r>
        <w:t xml:space="preserve"> We consider that AusNet Services' cost estimation methodology results in cost estimates which are upwardly biased and tend to overestimate actual outturn project costs. As such, AusNet Services' P(50) cost estimates are in fact more likely to be underspent than exceeded</w:t>
      </w:r>
      <w:r w:rsidR="00CB7798">
        <w:t xml:space="preserve"> relative to actual costs</w:t>
      </w:r>
      <w:r>
        <w:t>, and are therefore likely to overestimate the cost of AusNet Services' capital works program in the 2017–22 regulatory control period.</w:t>
      </w:r>
    </w:p>
    <w:p w:rsidR="00EF6F52" w:rsidRDefault="00EF6F52" w:rsidP="00EF6F52">
      <w:r>
        <w:t xml:space="preserve">In developing our alternative estimate of forecast capex in the 2017–22 regulatory control </w:t>
      </w:r>
      <w:proofErr w:type="gramStart"/>
      <w:r>
        <w:t>period</w:t>
      </w:r>
      <w:proofErr w:type="gramEnd"/>
      <w:r>
        <w:t xml:space="preserve">, we have made an adjustment to AusNet Services' cost estimates to account for the overestimation bias discussed above. In our view, </w:t>
      </w:r>
      <w:r w:rsidR="00CB7798">
        <w:t>a</w:t>
      </w:r>
      <w:r>
        <w:t xml:space="preserve"> likely factor contributing to the overestimation bias is AusNet Services' inclusion of a risk allowance in both its indicative and planning cost estimates, as discussed above. Other possible sources of the observed estimation error </w:t>
      </w:r>
      <w:r w:rsidR="00CB7798">
        <w:t xml:space="preserve">might </w:t>
      </w:r>
      <w:r>
        <w:t xml:space="preserve">include the achievement of efficiencies in the overall portfolio versus the individual project estimates, or changes in scope or unit costs. However, </w:t>
      </w:r>
      <w:r w:rsidR="00CB7798">
        <w:t xml:space="preserve">irrespective of </w:t>
      </w:r>
      <w:r>
        <w:t>the underlying cause of the observed overestimation bias</w:t>
      </w:r>
      <w:r w:rsidR="00CB7798">
        <w:t xml:space="preserve">, </w:t>
      </w:r>
      <w:r>
        <w:t>our view</w:t>
      </w:r>
      <w:r w:rsidR="00CB7798">
        <w:t xml:space="preserve"> is that</w:t>
      </w:r>
      <w:r>
        <w:t xml:space="preserve"> an adjustment to AusNet Services' project cost estimates is necessary to address the systemic bias </w:t>
      </w:r>
      <w:r w:rsidR="00CB7798">
        <w:t xml:space="preserve">observed </w:t>
      </w:r>
      <w:r>
        <w:t>in AusNet Services cost estimation methodology</w:t>
      </w:r>
      <w:r w:rsidRPr="00E0019E">
        <w:t>.</w:t>
      </w:r>
    </w:p>
    <w:p w:rsidR="00EF6F52" w:rsidRDefault="00EF6F52" w:rsidP="00EF6F52">
      <w:r>
        <w:t>For these reasons, in modelling our alternative estimate of forecast capex for the 2017–22 regulatory control period we have</w:t>
      </w:r>
      <w:r w:rsidRPr="00E0019E">
        <w:t xml:space="preserve"> reduce</w:t>
      </w:r>
      <w:r>
        <w:t>d AusNet Services’ indicative and planning cost estimates by 4.6</w:t>
      </w:r>
      <w:r w:rsidRPr="00E0019E">
        <w:t xml:space="preserve"> pe</w:t>
      </w:r>
      <w:r>
        <w:t xml:space="preserve">r cent. This adjustment </w:t>
      </w:r>
      <w:r w:rsidRPr="00E0019E">
        <w:t>address</w:t>
      </w:r>
      <w:r>
        <w:t>es</w:t>
      </w:r>
      <w:r w:rsidRPr="00E0019E">
        <w:t xml:space="preserve"> the observed overestimating bias arising from AusNet Services’ cost estimating methodology</w:t>
      </w:r>
      <w:r>
        <w:t xml:space="preserve">. We </w:t>
      </w:r>
      <w:r>
        <w:lastRenderedPageBreak/>
        <w:t>consider that this adjustment</w:t>
      </w:r>
      <w:r w:rsidRPr="00E0019E">
        <w:t xml:space="preserve"> will provide </w:t>
      </w:r>
      <w:r>
        <w:t xml:space="preserve">for </w:t>
      </w:r>
      <w:r w:rsidRPr="00E0019E">
        <w:t xml:space="preserve">cost estimates that are </w:t>
      </w:r>
      <w:r>
        <w:t xml:space="preserve">likely to be </w:t>
      </w:r>
      <w:r w:rsidRPr="00E0019E">
        <w:t xml:space="preserve">consistent with </w:t>
      </w:r>
      <w:proofErr w:type="gramStart"/>
      <w:r w:rsidRPr="00E0019E">
        <w:t>P</w:t>
      </w:r>
      <w:r>
        <w:t>(</w:t>
      </w:r>
      <w:proofErr w:type="gramEnd"/>
      <w:r w:rsidRPr="00E0019E">
        <w:t>50</w:t>
      </w:r>
      <w:r>
        <w:t>)</w:t>
      </w:r>
      <w:r w:rsidRPr="00E0019E">
        <w:t xml:space="preserve"> estimates</w:t>
      </w:r>
      <w:r>
        <w:t xml:space="preserve">, and therefore reflect a realistic expectation of </w:t>
      </w:r>
      <w:r w:rsidR="00CB7798">
        <w:t xml:space="preserve">prudent and </w:t>
      </w:r>
      <w:r>
        <w:t>efficient costs</w:t>
      </w:r>
      <w:r w:rsidRPr="00E0019E">
        <w:t xml:space="preserve">. </w:t>
      </w:r>
      <w:r w:rsidR="00156FF3">
        <w:t>The impact of this</w:t>
      </w:r>
      <w:r>
        <w:t xml:space="preserve"> adjustment is </w:t>
      </w:r>
      <w:r w:rsidR="00156FF3">
        <w:t>shown</w:t>
      </w:r>
      <w:r>
        <w:t xml:space="preserve"> in</w:t>
      </w:r>
      <w:r w:rsidR="00327273">
        <w:t xml:space="preserve"> </w:t>
      </w:r>
      <w:r w:rsidR="00C60946">
        <w:fldChar w:fldCharType="begin"/>
      </w:r>
      <w:r w:rsidR="00C60946">
        <w:instrText xml:space="preserve"> REF _Ref456092053 </w:instrText>
      </w:r>
      <w:r w:rsidR="00C60946">
        <w:fldChar w:fldCharType="separate"/>
      </w:r>
      <w:r w:rsidR="00C60946">
        <w:t xml:space="preserve">Table </w:t>
      </w:r>
      <w:r w:rsidR="00C60946">
        <w:rPr>
          <w:noProof/>
        </w:rPr>
        <w:t>6</w:t>
      </w:r>
      <w:r w:rsidR="00C60946">
        <w:t>.</w:t>
      </w:r>
      <w:r w:rsidR="00C60946">
        <w:rPr>
          <w:noProof/>
        </w:rPr>
        <w:t>10</w:t>
      </w:r>
      <w:r w:rsidR="00C60946">
        <w:rPr>
          <w:noProof/>
        </w:rPr>
        <w:fldChar w:fldCharType="end"/>
      </w:r>
      <w:r>
        <w:t>.</w:t>
      </w:r>
    </w:p>
    <w:p w:rsidR="00EF6F52" w:rsidRDefault="00EF6F52" w:rsidP="00EF6F52">
      <w:pPr>
        <w:pStyle w:val="HeadingBoldItalic"/>
      </w:pPr>
      <w:bookmarkStart w:id="77" w:name="_Toc456608805"/>
      <w:r>
        <w:t>Top-down adjustment to cost estimates</w:t>
      </w:r>
      <w:bookmarkEnd w:id="77"/>
    </w:p>
    <w:p w:rsidR="00EF6F52" w:rsidRDefault="00EF6F52" w:rsidP="00EF6F52">
      <w:r w:rsidRPr="007536F9">
        <w:t>AusNet Services</w:t>
      </w:r>
      <w:r w:rsidR="00206362">
        <w:t>'</w:t>
      </w:r>
      <w:r w:rsidRPr="007536F9">
        <w:t xml:space="preserve"> proposal is based on </w:t>
      </w:r>
      <w:r>
        <w:t>a bottom up estimate of project and program costs</w:t>
      </w:r>
      <w:r w:rsidRPr="007536F9">
        <w:t xml:space="preserve"> to determine its forecast capex over the 2017-2</w:t>
      </w:r>
      <w:r w:rsidR="001C7B17">
        <w:t>2</w:t>
      </w:r>
      <w:r w:rsidRPr="007536F9">
        <w:t xml:space="preserve"> regulatory control </w:t>
      </w:r>
      <w:proofErr w:type="gramStart"/>
      <w:r w:rsidRPr="007536F9">
        <w:t>period</w:t>
      </w:r>
      <w:proofErr w:type="gramEnd"/>
      <w:r w:rsidRPr="007536F9">
        <w:t>.</w:t>
      </w:r>
      <w:r>
        <w:t xml:space="preserve"> </w:t>
      </w:r>
      <w:r w:rsidRPr="007536F9">
        <w:t>However</w:t>
      </w:r>
      <w:r>
        <w:t>, AusNet Services also proposed a negative adjustment of 0.89 per cent to its total capex forecast to account for cost savings expected to be achieved at a portfolio level when compared to individual project based planning estimates.</w:t>
      </w:r>
      <w:r>
        <w:rPr>
          <w:rStyle w:val="FootnoteReference"/>
        </w:rPr>
        <w:footnoteReference w:id="70"/>
      </w:r>
      <w:r w:rsidRPr="00CF2007">
        <w:t xml:space="preserve"> </w:t>
      </w:r>
      <w:r w:rsidRPr="007536F9">
        <w:t>This top down adjustment reduced AusNet Services’ total forecast capex by $6.7 million ($2016–17).</w:t>
      </w:r>
    </w:p>
    <w:p w:rsidR="00EF6F52" w:rsidRPr="007536F9" w:rsidRDefault="00EF6F52" w:rsidP="00EF6F52">
      <w:r>
        <w:t xml:space="preserve">AusNet Services </w:t>
      </w:r>
      <w:r w:rsidRPr="007536F9">
        <w:t>derived</w:t>
      </w:r>
      <w:r>
        <w:t xml:space="preserve"> its proposed portfolio level</w:t>
      </w:r>
      <w:r w:rsidRPr="007536F9">
        <w:t xml:space="preserve"> </w:t>
      </w:r>
      <w:r>
        <w:t>cost efficiency adjustment</w:t>
      </w:r>
      <w:r w:rsidRPr="007536F9">
        <w:t xml:space="preserve"> </w:t>
      </w:r>
      <w:r>
        <w:t>by</w:t>
      </w:r>
      <w:r w:rsidRPr="007536F9">
        <w:t xml:space="preserve"> comparing forecast and actual expenditure outcomes from recently completed </w:t>
      </w:r>
      <w:r>
        <w:t xml:space="preserve">transmission </w:t>
      </w:r>
      <w:r w:rsidRPr="007536F9">
        <w:t>projects.</w:t>
      </w:r>
      <w:r>
        <w:rPr>
          <w:rStyle w:val="FootnoteReference"/>
        </w:rPr>
        <w:footnoteReference w:id="71"/>
      </w:r>
      <w:r w:rsidRPr="007536F9">
        <w:t xml:space="preserve"> AusNet Services calculated the quant</w:t>
      </w:r>
      <w:r>
        <w:t>um of the top-</w:t>
      </w:r>
      <w:r w:rsidRPr="007536F9">
        <w:t xml:space="preserve">down adjustment based on the total </w:t>
      </w:r>
      <w:r>
        <w:t>observed estimation error on a</w:t>
      </w:r>
      <w:r w:rsidRPr="007536F9">
        <w:t xml:space="preserve"> sample of 185 </w:t>
      </w:r>
      <w:r>
        <w:t>projects completed since 2007</w:t>
      </w:r>
      <w:r w:rsidR="00D17709">
        <w:t>. AusNet Service</w:t>
      </w:r>
      <w:r w:rsidRPr="007536F9">
        <w:t>s</w:t>
      </w:r>
      <w:r w:rsidR="00D17709">
        <w:t>'</w:t>
      </w:r>
      <w:r w:rsidRPr="007536F9">
        <w:t xml:space="preserve"> method of calculation is shown in the equation below:</w:t>
      </w:r>
    </w:p>
    <w:p w:rsidR="00EF6F52" w:rsidRPr="00B62E4C" w:rsidRDefault="00EF6F52" w:rsidP="00EF6F52">
      <w:pPr>
        <w:rPr>
          <w:rStyle w:val="Strong"/>
        </w:rPr>
      </w:pPr>
      <w:r>
        <w:tab/>
      </w:r>
      <w:r>
        <w:tab/>
      </w:r>
      <w:r>
        <w:tab/>
      </w:r>
      <w:r>
        <w:tab/>
      </w:r>
      <w:r>
        <w:tab/>
      </w:r>
      <w:r>
        <w:tab/>
      </w:r>
      <w:r>
        <w:tab/>
      </w:r>
      <w:r>
        <w:tab/>
      </w:r>
      <w:r w:rsidRPr="00B62E4C">
        <w:rPr>
          <w:rStyle w:val="Strong"/>
        </w:rPr>
        <w:t>Cumulative estimating error</w:t>
      </w:r>
    </w:p>
    <w:p w:rsidR="00EF6F52" w:rsidRPr="00B62E4C" w:rsidRDefault="00EF6F52" w:rsidP="00EF6F52">
      <w:pPr>
        <w:rPr>
          <w:rStyle w:val="Strong"/>
        </w:rPr>
      </w:pPr>
      <w:r w:rsidRPr="00EF6F52">
        <w:rPr>
          <w:noProof/>
          <w:lang w:eastAsia="en-AU"/>
        </w:rPr>
        <mc:AlternateContent>
          <mc:Choice Requires="wps">
            <w:drawing>
              <wp:anchor distT="0" distB="0" distL="114300" distR="114300" simplePos="0" relativeHeight="251661312" behindDoc="0" locked="0" layoutInCell="1" allowOverlap="1" wp14:anchorId="296620E1" wp14:editId="4E081614">
                <wp:simplePos x="0" y="0"/>
                <wp:positionH relativeFrom="column">
                  <wp:posOffset>1597522</wp:posOffset>
                </wp:positionH>
                <wp:positionV relativeFrom="paragraph">
                  <wp:posOffset>36195</wp:posOffset>
                </wp:positionV>
                <wp:extent cx="2178658" cy="0"/>
                <wp:effectExtent l="0" t="0" r="12700" b="19050"/>
                <wp:wrapNone/>
                <wp:docPr id="9" name="Straight Connector 9"/>
                <wp:cNvGraphicFramePr/>
                <a:graphic xmlns:a="http://schemas.openxmlformats.org/drawingml/2006/main">
                  <a:graphicData uri="http://schemas.microsoft.com/office/word/2010/wordprocessingShape">
                    <wps:wsp>
                      <wps:cNvCnPr/>
                      <wps:spPr>
                        <a:xfrm>
                          <a:off x="0" y="0"/>
                          <a:ext cx="2178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8pt,2.85pt" to="297.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" strokecolor="#2c002c [3044]"/>
            </w:pict>
          </mc:Fallback>
        </mc:AlternateContent>
      </w:r>
      <w:r>
        <w:tab/>
      </w:r>
      <w:r>
        <w:tab/>
      </w:r>
      <w:r>
        <w:tab/>
      </w:r>
      <w:r>
        <w:tab/>
      </w:r>
      <w:r>
        <w:tab/>
      </w:r>
      <w:r>
        <w:tab/>
      </w:r>
      <w:r>
        <w:tab/>
      </w:r>
      <w:r>
        <w:tab/>
      </w:r>
      <w:r>
        <w:tab/>
      </w:r>
      <w:r w:rsidRPr="00B62E4C">
        <w:rPr>
          <w:rStyle w:val="Strong"/>
        </w:rPr>
        <w:t>Total estimated cost</w:t>
      </w:r>
    </w:p>
    <w:p w:rsidR="00EF6F52" w:rsidRPr="007536F9" w:rsidRDefault="00206362" w:rsidP="00EF6F52">
      <w:r>
        <w:t>We reviewed</w:t>
      </w:r>
      <w:r w:rsidR="00EF6F52" w:rsidRPr="007536F9">
        <w:t xml:space="preserve"> the basis for AusNet Services’ estimation of expected portfo</w:t>
      </w:r>
      <w:r w:rsidR="00EF6F52">
        <w:t>lio level efficiencies</w:t>
      </w:r>
      <w:r>
        <w:t xml:space="preserve"> and consider </w:t>
      </w:r>
      <w:r w:rsidR="00EF6F52">
        <w:t>AusNet Services has not provided evidence to justify why this calculation provides a valid estimate of the portfolio efficiencies it might achieve in the 2017–22 regulatory control period.</w:t>
      </w:r>
      <w:r w:rsidR="00EF6F52" w:rsidRPr="00B62E4C">
        <w:t xml:space="preserve"> </w:t>
      </w:r>
      <w:r>
        <w:t>For this reason, w</w:t>
      </w:r>
      <w:r w:rsidR="00EF6F52">
        <w:t>e are not satisfied that AusNet Services' proposed adjustment</w:t>
      </w:r>
      <w:r w:rsidR="00EF6F52" w:rsidRPr="007536F9">
        <w:t xml:space="preserve"> reflect</w:t>
      </w:r>
      <w:r w:rsidR="00EF6F52">
        <w:t>s</w:t>
      </w:r>
      <w:r w:rsidR="00EF6F52" w:rsidRPr="007536F9">
        <w:t xml:space="preserve"> a reasonable estimate of </w:t>
      </w:r>
      <w:r w:rsidR="00EF6F52">
        <w:t>the scope for efficiencies or the aggregate estimating error</w:t>
      </w:r>
      <w:r w:rsidR="00EF6F52" w:rsidRPr="007536F9">
        <w:t xml:space="preserve"> which may exist in the overall capex forecast.</w:t>
      </w:r>
      <w:r w:rsidR="00EF6F52">
        <w:t xml:space="preserve"> </w:t>
      </w:r>
    </w:p>
    <w:p w:rsidR="00EF6F52" w:rsidRDefault="00EF6F52" w:rsidP="00EF6F52">
      <w:r>
        <w:t>In AusNet Services' calculation, t</w:t>
      </w:r>
      <w:r w:rsidRPr="007536F9">
        <w:t>h</w:t>
      </w:r>
      <w:r>
        <w:t>e cumulative estimating error</w:t>
      </w:r>
      <w:r w:rsidRPr="007536F9">
        <w:t xml:space="preserve"> (numerator) is the sum of positive and negative project estimating residuals (project cost over runs and under runs) for the portfolio of </w:t>
      </w:r>
      <w:r>
        <w:t xml:space="preserve">historical </w:t>
      </w:r>
      <w:r w:rsidRPr="007536F9">
        <w:t xml:space="preserve">projects. As the number of projects increases, the numerator </w:t>
      </w:r>
      <w:r w:rsidR="001C7B17">
        <w:t>is expected to</w:t>
      </w:r>
      <w:r w:rsidRPr="007536F9">
        <w:t xml:space="preserve"> remain small and fluctuate around zero as positive and negative residuals are added to the samp</w:t>
      </w:r>
      <w:r>
        <w:t>le</w:t>
      </w:r>
      <w:r w:rsidRPr="007536F9">
        <w:t>. However, as the number of projects increases the total portfolio cost (denominator) grows ever larger</w:t>
      </w:r>
      <w:r w:rsidR="00BD0943">
        <w:t xml:space="preserve"> as comparatively large positive project costs are added</w:t>
      </w:r>
      <w:r w:rsidRPr="007536F9">
        <w:t xml:space="preserve">. Consequently, </w:t>
      </w:r>
      <w:r>
        <w:t xml:space="preserve">over time </w:t>
      </w:r>
      <w:r w:rsidRPr="007536F9">
        <w:t>this calcu</w:t>
      </w:r>
      <w:r>
        <w:t xml:space="preserve">lation will </w:t>
      </w:r>
      <w:r w:rsidR="00BD0943">
        <w:t>converge towards</w:t>
      </w:r>
      <w:r w:rsidRPr="007536F9">
        <w:t xml:space="preserve"> small percentages </w:t>
      </w:r>
      <w:r>
        <w:t xml:space="preserve">around zero </w:t>
      </w:r>
      <w:r w:rsidRPr="007536F9">
        <w:t xml:space="preserve">which are a function of the choice of sample size. </w:t>
      </w:r>
      <w:r>
        <w:t xml:space="preserve">This is illustrated in </w:t>
      </w:r>
      <w:fldSimple w:instr=" REF _Ref452983488 ">
        <w:r w:rsidR="00C60946">
          <w:t xml:space="preserve">Figure </w:t>
        </w:r>
        <w:r w:rsidR="00C60946">
          <w:rPr>
            <w:noProof/>
          </w:rPr>
          <w:t>6</w:t>
        </w:r>
        <w:r w:rsidR="00C60946">
          <w:t>.</w:t>
        </w:r>
        <w:r w:rsidR="00C60946">
          <w:rPr>
            <w:noProof/>
          </w:rPr>
          <w:t>6</w:t>
        </w:r>
      </w:fldSimple>
      <w:r>
        <w:t>, which shows the calculated 'efficiency adjustment' over time as each completed project is added to the portfolio.</w:t>
      </w:r>
    </w:p>
    <w:p w:rsidR="00EF6F52" w:rsidRDefault="00EF6F52" w:rsidP="00EF6F52">
      <w:pPr>
        <w:pStyle w:val="Caption"/>
      </w:pPr>
      <w:bookmarkStart w:id="78" w:name="_Ref452983488"/>
      <w:proofErr w:type="gramStart"/>
      <w:r>
        <w:lastRenderedPageBreak/>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6</w:t>
      </w:r>
      <w:r w:rsidR="00735181">
        <w:rPr>
          <w:noProof/>
        </w:rPr>
        <w:fldChar w:fldCharType="end"/>
      </w:r>
      <w:bookmarkEnd w:id="78"/>
      <w:r>
        <w:tab/>
        <w:t>AusNet Services' top-down efficiency adjustment over time</w:t>
      </w:r>
    </w:p>
    <w:p w:rsidR="00EF6F52" w:rsidRDefault="00493865" w:rsidP="00EF6F52">
      <w:r w:rsidRPr="00493865">
        <w:rPr>
          <w:noProof/>
          <w:lang w:eastAsia="en-AU"/>
        </w:rPr>
        <w:drawing>
          <wp:inline distT="0" distB="0" distL="0" distR="0" wp14:anchorId="2743DBE7" wp14:editId="7157F033">
            <wp:extent cx="5382895" cy="320066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200664"/>
                    </a:xfrm>
                    <a:prstGeom prst="rect">
                      <a:avLst/>
                    </a:prstGeom>
                    <a:noFill/>
                    <a:ln>
                      <a:noFill/>
                    </a:ln>
                  </pic:spPr>
                </pic:pic>
              </a:graphicData>
            </a:graphic>
          </wp:inline>
        </w:drawing>
      </w:r>
    </w:p>
    <w:p w:rsidR="00EF6F52" w:rsidRDefault="00EF6F52" w:rsidP="00EF6F52">
      <w:pPr>
        <w:pStyle w:val="AERtablesource"/>
      </w:pPr>
      <w:r>
        <w:t>Source:</w:t>
      </w:r>
      <w:r>
        <w:tab/>
      </w:r>
      <w:r w:rsidRPr="00E0019E">
        <w:t xml:space="preserve">AusNet Services, </w:t>
      </w:r>
      <w:r w:rsidRPr="00E0019E">
        <w:rPr>
          <w:rStyle w:val="AERtextitalic"/>
        </w:rPr>
        <w:t>RINs Schedule 1 - 4.2.b. Basis for top-down capex adjustment</w:t>
      </w:r>
      <w:r w:rsidRPr="00E0019E">
        <w:t>, 30 October 2015; AER analysis.</w:t>
      </w:r>
    </w:p>
    <w:p w:rsidR="00EF6F52" w:rsidRDefault="00EF6F52" w:rsidP="00EF6F52">
      <w:r>
        <w:t xml:space="preserve">As can be seen in </w:t>
      </w:r>
      <w:fldSimple w:instr=" REF _Ref452983488 ">
        <w:r w:rsidR="00C60946">
          <w:t xml:space="preserve">Figure </w:t>
        </w:r>
        <w:r w:rsidR="00C60946">
          <w:rPr>
            <w:noProof/>
          </w:rPr>
          <w:t>6</w:t>
        </w:r>
        <w:r w:rsidR="00C60946">
          <w:t>.</w:t>
        </w:r>
        <w:r w:rsidR="00C60946">
          <w:rPr>
            <w:noProof/>
          </w:rPr>
          <w:t>6</w:t>
        </w:r>
      </w:fldSimple>
      <w:r>
        <w:t xml:space="preserve">, AusNet Services' calculation approaches zero over time, and includes both positive and negative values. The final data point shows AusNet Services' proposed top-down adjustment for portfolio efficiencies of 0.89 per cent based on the portfolio of 185 historical projects. However, at different points in the series, this figure is both significantly higher, and negative. For example, based on a sample of the first 80 projects completed, the top-down adjustment would have been 13.6 per cent. Based on a sample of the first 130 projects, the adjustment would have been -2.7 per cent, seemingly indicative of 'portfolio inefficiencies' rather than portfolio efficiencies if AusNet Services' interpretation of this figure is valid. </w:t>
      </w:r>
    </w:p>
    <w:p w:rsidR="00EF6F52" w:rsidRPr="007536F9" w:rsidRDefault="001C7B17" w:rsidP="00EF6F52">
      <w:r>
        <w:t>In summary, i</w:t>
      </w:r>
      <w:r w:rsidR="00EF6F52">
        <w:t xml:space="preserve">n our view, the significance </w:t>
      </w:r>
      <w:r>
        <w:t xml:space="preserve">attributed </w:t>
      </w:r>
      <w:r w:rsidR="00EF6F52">
        <w:t xml:space="preserve">to this calculation by </w:t>
      </w:r>
      <w:r w:rsidR="00A95109">
        <w:t>AusNet Services</w:t>
      </w:r>
      <w:r w:rsidR="00EF6F52" w:rsidRPr="007536F9">
        <w:t xml:space="preserve"> </w:t>
      </w:r>
      <w:r w:rsidR="00EF6F52">
        <w:t>as a measure of portfolio efficiencies is</w:t>
      </w:r>
      <w:r w:rsidR="00EF6F52" w:rsidRPr="007536F9">
        <w:t xml:space="preserve"> not</w:t>
      </w:r>
      <w:r w:rsidR="00EF6F52">
        <w:t xml:space="preserve"> valid. T</w:t>
      </w:r>
      <w:r w:rsidR="00EF6F52" w:rsidRPr="007536F9">
        <w:t xml:space="preserve">he </w:t>
      </w:r>
      <w:r w:rsidR="00EF6F52">
        <w:t xml:space="preserve">choice of </w:t>
      </w:r>
      <w:r w:rsidR="00EF6F52" w:rsidRPr="007536F9">
        <w:t xml:space="preserve">sample </w:t>
      </w:r>
      <w:r w:rsidR="00BD0943">
        <w:t xml:space="preserve">and sample </w:t>
      </w:r>
      <w:r w:rsidR="00EF6F52" w:rsidRPr="007536F9">
        <w:t>size will deter</w:t>
      </w:r>
      <w:r w:rsidR="00EF6F52">
        <w:t xml:space="preserve">mine the size </w:t>
      </w:r>
      <w:r>
        <w:t xml:space="preserve">and direction </w:t>
      </w:r>
      <w:r w:rsidR="00EF6F52">
        <w:t>of the resulting adjustment. AusNet Services' interpretation of this calculation as representative of expected portfolio efficiencies is not supported.</w:t>
      </w:r>
      <w:r w:rsidR="00EF6F52" w:rsidRPr="007536F9">
        <w:t xml:space="preserve"> </w:t>
      </w:r>
      <w:r w:rsidR="00EF6F52">
        <w:t xml:space="preserve">AusNet Services' calculation will always produce small values, </w:t>
      </w:r>
      <w:r w:rsidR="00EF6F52" w:rsidRPr="007536F9">
        <w:t>which could reasonably be either</w:t>
      </w:r>
      <w:r w:rsidR="00EF6F52">
        <w:t xml:space="preserve"> positi</w:t>
      </w:r>
      <w:r w:rsidR="00E44328">
        <w:t>ve or negative. AusNet Services</w:t>
      </w:r>
      <w:r w:rsidR="00EF6F52">
        <w:t xml:space="preserve"> has not provided evidence supporting its interpretation of these values as being indicative of cost savings which might be expected at a portfolio level compared with project based estimates.</w:t>
      </w:r>
    </w:p>
    <w:p w:rsidR="00EF6F52" w:rsidRDefault="00EF6F52" w:rsidP="00EF6F52">
      <w:r>
        <w:t xml:space="preserve">For these reasons, we do not accept AusNet Services' proposed top-down adjustment of 0.89 per cent as a reasonable input assumption in determining our alternative estimate of forecast capex. </w:t>
      </w:r>
      <w:r w:rsidR="001C7B17">
        <w:t>The exclusion of</w:t>
      </w:r>
      <w:r>
        <w:t xml:space="preserve"> the 0.89 per cent top-</w:t>
      </w:r>
      <w:r w:rsidRPr="007536F9">
        <w:t>down reduction increases AusNet Services’ forecast capex by $6.7 million.</w:t>
      </w:r>
      <w:r>
        <w:t xml:space="preserve"> </w:t>
      </w:r>
    </w:p>
    <w:p w:rsidR="00EF6F52" w:rsidRDefault="00EF6F52" w:rsidP="00EF6F52">
      <w:pPr>
        <w:rPr>
          <w:rStyle w:val="Strong"/>
        </w:rPr>
      </w:pPr>
      <w:r>
        <w:lastRenderedPageBreak/>
        <w:t xml:space="preserve">As discussed </w:t>
      </w:r>
      <w:r w:rsidR="00156FF3">
        <w:t>above</w:t>
      </w:r>
      <w:r>
        <w:t xml:space="preserve">, we have made a top-down adjustment to AusNet Services' network capex of 4.6 per cent, which accounts for the observed level of project cost overestimation across AusNet Services' historical project portfolio. That adjustment may, in part, </w:t>
      </w:r>
      <w:r w:rsidR="00D17709">
        <w:t>relate to</w:t>
      </w:r>
      <w:r>
        <w:t xml:space="preserve"> historical portfolio level efficiencies achieved by AusNet Services, as well as other possible sources of cost overestimation such as variations in scope or unit costs. Nonetheless, the purpose of that 4.6 per cent adjustment </w:t>
      </w:r>
      <w:r w:rsidR="001C7B17">
        <w:t xml:space="preserve">for project cost estimation </w:t>
      </w:r>
      <w:r>
        <w:t>is not to specifically capture likely portfolio cost efficiencies, but simply to correct for the actual observed cost overestimation</w:t>
      </w:r>
      <w:r w:rsidR="00E16944">
        <w:t xml:space="preserve"> bias</w:t>
      </w:r>
      <w:r>
        <w:t xml:space="preserve"> in AusNet Services </w:t>
      </w:r>
      <w:r w:rsidR="00E16944">
        <w:t>project</w:t>
      </w:r>
      <w:r>
        <w:t xml:space="preserve"> cost estimates.</w:t>
      </w:r>
    </w:p>
    <w:p w:rsidR="00B9548F" w:rsidRPr="00FC5F8B" w:rsidRDefault="00B9548F" w:rsidP="00FC5F8B">
      <w:pPr>
        <w:pStyle w:val="HeadingBoldItalic"/>
      </w:pPr>
      <w:bookmarkStart w:id="79" w:name="_Toc456608806"/>
      <w:r w:rsidRPr="00FC5F8B">
        <w:t>Assessment of economic risk based approach</w:t>
      </w:r>
      <w:bookmarkEnd w:id="79"/>
    </w:p>
    <w:p w:rsidR="003E732C" w:rsidRDefault="00C70F75" w:rsidP="00C70F75">
      <w:pPr>
        <w:rPr>
          <w:rStyle w:val="AERbody"/>
        </w:rPr>
      </w:pPr>
      <w:r w:rsidRPr="00C70F75">
        <w:rPr>
          <w:rStyle w:val="AERbody"/>
        </w:rPr>
        <w:t xml:space="preserve">AusNet </w:t>
      </w:r>
      <w:r w:rsidR="00F960AA">
        <w:rPr>
          <w:rStyle w:val="AERbody"/>
        </w:rPr>
        <w:t>Services'</w:t>
      </w:r>
      <w:r w:rsidRPr="00C70F75">
        <w:rPr>
          <w:rStyle w:val="AERbody"/>
        </w:rPr>
        <w:t xml:space="preserve"> expenditure forecasting methodology is based</w:t>
      </w:r>
      <w:r>
        <w:rPr>
          <w:rStyle w:val="AERbody"/>
        </w:rPr>
        <w:t xml:space="preserve"> </w:t>
      </w:r>
      <w:r w:rsidRPr="00C70F75">
        <w:rPr>
          <w:rStyle w:val="AERbody"/>
        </w:rPr>
        <w:t xml:space="preserve">on a quantified risk based approach that supports an economic </w:t>
      </w:r>
      <w:r>
        <w:rPr>
          <w:rStyle w:val="AERbody"/>
        </w:rPr>
        <w:t>analysis. This approach adopts a</w:t>
      </w:r>
      <w:r w:rsidR="00640324">
        <w:rPr>
          <w:rStyle w:val="AERbody"/>
        </w:rPr>
        <w:t xml:space="preserve"> </w:t>
      </w:r>
      <w:r>
        <w:rPr>
          <w:rStyle w:val="AERbody"/>
        </w:rPr>
        <w:t>risk based cost benefits analysis, where the benefits are the avoided costs of the risks and the cost is the proposed network investment. We note that the approach is standardised across all investments (although the analysis differs across aspects of AusNet Services' proposal)</w:t>
      </w:r>
      <w:r w:rsidR="003E732C">
        <w:rPr>
          <w:rStyle w:val="AERbody"/>
        </w:rPr>
        <w:t>. The following risk</w:t>
      </w:r>
      <w:r w:rsidR="003D25FA">
        <w:rPr>
          <w:rStyle w:val="AERbody"/>
        </w:rPr>
        <w:t>s</w:t>
      </w:r>
      <w:r w:rsidR="003E732C">
        <w:rPr>
          <w:rStyle w:val="AERbody"/>
        </w:rPr>
        <w:t xml:space="preserve"> are </w:t>
      </w:r>
      <w:r w:rsidR="003D25FA">
        <w:rPr>
          <w:rStyle w:val="AERbody"/>
        </w:rPr>
        <w:t>quantified</w:t>
      </w:r>
      <w:r w:rsidR="003E732C">
        <w:rPr>
          <w:rStyle w:val="AERbody"/>
        </w:rPr>
        <w:t>:</w:t>
      </w:r>
      <w:r w:rsidR="003D25FA">
        <w:rPr>
          <w:rStyle w:val="FootnoteReference"/>
        </w:rPr>
        <w:footnoteReference w:id="72"/>
      </w:r>
    </w:p>
    <w:p w:rsidR="003D25FA" w:rsidRPr="003D25FA" w:rsidRDefault="003D25FA" w:rsidP="003D25FA">
      <w:pPr>
        <w:pStyle w:val="AERbulletlistfirststyle"/>
      </w:pPr>
      <w:r>
        <w:rPr>
          <w:rStyle w:val="AERbody"/>
        </w:rPr>
        <w:t>supply security risk</w:t>
      </w:r>
      <w:r w:rsidR="003E732C">
        <w:rPr>
          <w:rStyle w:val="AERbody"/>
        </w:rPr>
        <w:t xml:space="preserve"> </w:t>
      </w:r>
      <w:r w:rsidR="00235FB4">
        <w:rPr>
          <w:rStyle w:val="AERbody"/>
        </w:rPr>
        <w:t>–</w:t>
      </w:r>
      <w:r w:rsidR="003E732C">
        <w:rPr>
          <w:rStyle w:val="AERbody"/>
        </w:rPr>
        <w:t xml:space="preserve"> </w:t>
      </w:r>
      <w:r>
        <w:t>l</w:t>
      </w:r>
      <w:r w:rsidRPr="003D25FA">
        <w:t>oad at risk that would not be supplied in the event of an asset</w:t>
      </w:r>
      <w:r>
        <w:t xml:space="preserve"> </w:t>
      </w:r>
      <w:r w:rsidRPr="003D25FA">
        <w:t>failure, evaluated based on AEMO’s terminal station demand forecast and the latest value of customer reliability (VCR</w:t>
      </w:r>
      <w:r>
        <w:t>)</w:t>
      </w:r>
    </w:p>
    <w:p w:rsidR="003E732C" w:rsidRDefault="003D25FA" w:rsidP="003D25FA">
      <w:pPr>
        <w:pStyle w:val="AERbulletlistfirststyle"/>
        <w:rPr>
          <w:rStyle w:val="AERbody"/>
        </w:rPr>
      </w:pPr>
      <w:r>
        <w:rPr>
          <w:rStyle w:val="AERbody"/>
        </w:rPr>
        <w:t xml:space="preserve">health and </w:t>
      </w:r>
      <w:r w:rsidR="003E732C">
        <w:rPr>
          <w:rStyle w:val="AERbody"/>
        </w:rPr>
        <w:t>safety</w:t>
      </w:r>
      <w:r>
        <w:rPr>
          <w:rStyle w:val="AERbody"/>
        </w:rPr>
        <w:t xml:space="preserve"> risk</w:t>
      </w:r>
      <w:r w:rsidR="003E732C">
        <w:rPr>
          <w:rStyle w:val="AERbody"/>
        </w:rPr>
        <w:t xml:space="preserve"> </w:t>
      </w:r>
      <w:r w:rsidR="00235FB4">
        <w:rPr>
          <w:rStyle w:val="AERbody"/>
        </w:rPr>
        <w:t>–</w:t>
      </w:r>
      <w:r w:rsidR="003E732C">
        <w:rPr>
          <w:rStyle w:val="AERbody"/>
        </w:rPr>
        <w:t xml:space="preserve"> </w:t>
      </w:r>
      <w:r>
        <w:rPr>
          <w:rStyle w:val="AERbody"/>
        </w:rPr>
        <w:t xml:space="preserve">the </w:t>
      </w:r>
      <w:r>
        <w:t>h</w:t>
      </w:r>
      <w:r w:rsidRPr="003D25FA">
        <w:t>azards to the safety of any person in an event of asset</w:t>
      </w:r>
      <w:r>
        <w:t xml:space="preserve"> explosive failure, </w:t>
      </w:r>
      <w:r w:rsidR="00235FB4">
        <w:t>for example</w:t>
      </w:r>
      <w:r>
        <w:t xml:space="preserve"> h</w:t>
      </w:r>
      <w:r w:rsidRPr="003D25FA">
        <w:t>uman injury and fatality</w:t>
      </w:r>
    </w:p>
    <w:p w:rsidR="003E732C" w:rsidRDefault="003E732C" w:rsidP="003D25FA">
      <w:pPr>
        <w:pStyle w:val="AERbulletlistfirststyle"/>
        <w:rPr>
          <w:rStyle w:val="AERbody"/>
        </w:rPr>
      </w:pPr>
      <w:proofErr w:type="gramStart"/>
      <w:r>
        <w:rPr>
          <w:rStyle w:val="AERbody"/>
        </w:rPr>
        <w:t>environmental</w:t>
      </w:r>
      <w:proofErr w:type="gramEnd"/>
      <w:r w:rsidR="003D25FA">
        <w:rPr>
          <w:rStyle w:val="AERbody"/>
        </w:rPr>
        <w:t xml:space="preserve"> risk</w:t>
      </w:r>
      <w:r>
        <w:rPr>
          <w:rStyle w:val="AERbody"/>
        </w:rPr>
        <w:t xml:space="preserve"> </w:t>
      </w:r>
      <w:r w:rsidR="00235FB4">
        <w:rPr>
          <w:rStyle w:val="AERbody"/>
        </w:rPr>
        <w:t>–</w:t>
      </w:r>
      <w:r>
        <w:rPr>
          <w:rStyle w:val="AERbody"/>
        </w:rPr>
        <w:t xml:space="preserve"> the </w:t>
      </w:r>
      <w:r w:rsidR="003D25FA">
        <w:t>t</w:t>
      </w:r>
      <w:r w:rsidR="003D25FA" w:rsidRPr="003D25FA">
        <w:t xml:space="preserve">hreat of adverse effects on the environment, </w:t>
      </w:r>
      <w:r w:rsidR="00235FB4">
        <w:t>for example</w:t>
      </w:r>
      <w:r w:rsidR="003D25FA" w:rsidRPr="003D25FA">
        <w:t xml:space="preserve"> environmental</w:t>
      </w:r>
      <w:r w:rsidR="003D25FA">
        <w:t xml:space="preserve"> </w:t>
      </w:r>
      <w:r w:rsidR="003D25FA" w:rsidRPr="003D25FA">
        <w:t>impacts due to oil leaks.</w:t>
      </w:r>
    </w:p>
    <w:p w:rsidR="003E732C" w:rsidRDefault="003D25FA" w:rsidP="003D25FA">
      <w:pPr>
        <w:pStyle w:val="AERbulletlistfirststyle"/>
        <w:rPr>
          <w:rStyle w:val="AERbody"/>
        </w:rPr>
      </w:pPr>
      <w:proofErr w:type="gramStart"/>
      <w:r>
        <w:rPr>
          <w:rStyle w:val="AERbody"/>
        </w:rPr>
        <w:t>plant</w:t>
      </w:r>
      <w:proofErr w:type="gramEnd"/>
      <w:r>
        <w:rPr>
          <w:rStyle w:val="AERbody"/>
        </w:rPr>
        <w:t xml:space="preserve"> </w:t>
      </w:r>
      <w:r w:rsidR="003E732C">
        <w:rPr>
          <w:rStyle w:val="AERbody"/>
        </w:rPr>
        <w:t xml:space="preserve">collateral damage </w:t>
      </w:r>
      <w:r>
        <w:rPr>
          <w:rStyle w:val="AERbody"/>
        </w:rPr>
        <w:t xml:space="preserve">risk </w:t>
      </w:r>
      <w:r w:rsidR="00235FB4">
        <w:rPr>
          <w:rStyle w:val="AERbody"/>
        </w:rPr>
        <w:t>–</w:t>
      </w:r>
      <w:r w:rsidR="003E732C">
        <w:rPr>
          <w:rStyle w:val="AERbody"/>
        </w:rPr>
        <w:t xml:space="preserve"> the </w:t>
      </w:r>
      <w:r>
        <w:rPr>
          <w:rStyle w:val="AERbody"/>
        </w:rPr>
        <w:t>p</w:t>
      </w:r>
      <w:r w:rsidRPr="003D25FA">
        <w:t>otential collateral damage of adjacent plants due to an</w:t>
      </w:r>
      <w:r>
        <w:t xml:space="preserve"> </w:t>
      </w:r>
      <w:r w:rsidRPr="003D25FA">
        <w:t>asset explosive failure.</w:t>
      </w:r>
    </w:p>
    <w:p w:rsidR="00C70F75" w:rsidRPr="00C70F75" w:rsidRDefault="00156FF3" w:rsidP="00C70F75">
      <w:pPr>
        <w:rPr>
          <w:rStyle w:val="AERbody"/>
        </w:rPr>
      </w:pPr>
      <w:r>
        <w:rPr>
          <w:rStyle w:val="AERbody"/>
        </w:rPr>
        <w:t xml:space="preserve">Our assessment of </w:t>
      </w:r>
      <w:r w:rsidR="003E732C">
        <w:rPr>
          <w:rStyle w:val="AERbody"/>
        </w:rPr>
        <w:t xml:space="preserve">AusNet Services' </w:t>
      </w:r>
      <w:r>
        <w:rPr>
          <w:rStyle w:val="AERbody"/>
        </w:rPr>
        <w:t xml:space="preserve">methodology </w:t>
      </w:r>
      <w:r w:rsidR="003E732C">
        <w:rPr>
          <w:rStyle w:val="AERbody"/>
        </w:rPr>
        <w:t xml:space="preserve">has </w:t>
      </w:r>
      <w:r w:rsidR="00640324">
        <w:rPr>
          <w:rStyle w:val="AERbody"/>
        </w:rPr>
        <w:t>id</w:t>
      </w:r>
      <w:r w:rsidR="000D6AC8">
        <w:rPr>
          <w:rStyle w:val="AERbody"/>
        </w:rPr>
        <w:t xml:space="preserve">entified some issues related to AusNet Services' demand forecasts used to estimate the costs to customers from the loss of supply and its estimation </w:t>
      </w:r>
      <w:r>
        <w:rPr>
          <w:rStyle w:val="AERbody"/>
        </w:rPr>
        <w:t xml:space="preserve">of the cost of </w:t>
      </w:r>
      <w:r w:rsidR="000D6AC8">
        <w:rPr>
          <w:rStyle w:val="AERbody"/>
        </w:rPr>
        <w:t>safety related risks.</w:t>
      </w:r>
      <w:r w:rsidR="00640324">
        <w:rPr>
          <w:rStyle w:val="AERbody"/>
        </w:rPr>
        <w:t xml:space="preserve"> </w:t>
      </w:r>
      <w:r w:rsidR="003E732C">
        <w:rPr>
          <w:rStyle w:val="AERbody"/>
        </w:rPr>
        <w:t>These are discussed below.</w:t>
      </w:r>
    </w:p>
    <w:p w:rsidR="00D23E07" w:rsidRPr="00FC5F8B" w:rsidRDefault="00D23E07" w:rsidP="00FC5F8B">
      <w:pPr>
        <w:pStyle w:val="HeadingItalic"/>
      </w:pPr>
      <w:bookmarkStart w:id="80" w:name="_Toc456608807"/>
      <w:r w:rsidRPr="00FC5F8B">
        <w:t>Application of demand forecasts</w:t>
      </w:r>
      <w:bookmarkEnd w:id="80"/>
    </w:p>
    <w:p w:rsidR="00D23E07" w:rsidRDefault="00D23E07" w:rsidP="00D23E07">
      <w:r>
        <w:t>The forecast level of maximum demand at transmission network connection points is a key input assumption for AusNet Services' asset replacement planning and forecast capex. AusNet Services</w:t>
      </w:r>
      <w:r w:rsidR="00163EFD">
        <w:t>'</w:t>
      </w:r>
      <w:r>
        <w:t xml:space="preserve"> uses maximum demand forecasts to assess the load at risk under unplanned outage conditions. This assessment</w:t>
      </w:r>
      <w:r w:rsidR="0080192B">
        <w:t>, combined with estimates of the economic value placed on reliability by customers,</w:t>
      </w:r>
      <w:r>
        <w:t xml:space="preserve"> then forms part of AusNet Services' economic evaluation of asset replacement decisions.</w:t>
      </w:r>
      <w:r>
        <w:rPr>
          <w:rStyle w:val="FootnoteReference"/>
        </w:rPr>
        <w:footnoteReference w:id="73"/>
      </w:r>
      <w:r>
        <w:t xml:space="preserve"> For example, a</w:t>
      </w:r>
      <w:r w:rsidRPr="00D36D50">
        <w:t xml:space="preserve"> lower demand </w:t>
      </w:r>
      <w:r w:rsidRPr="00D36D50">
        <w:lastRenderedPageBreak/>
        <w:t>forecast reduces the economic benef</w:t>
      </w:r>
      <w:r>
        <w:t>it of asset replacements</w:t>
      </w:r>
      <w:r w:rsidRPr="00D36D50">
        <w:t xml:space="preserve"> as a lower volume of energy is assumed to be unserved following an asset failure.</w:t>
      </w:r>
    </w:p>
    <w:p w:rsidR="00D23E07" w:rsidRPr="00D36D50" w:rsidRDefault="00D23E07" w:rsidP="00D23E07">
      <w:r w:rsidRPr="00D36D50">
        <w:t xml:space="preserve">AusNet Services does not produce </w:t>
      </w:r>
      <w:r>
        <w:t xml:space="preserve">transmission connection point </w:t>
      </w:r>
      <w:r w:rsidRPr="00D36D50">
        <w:t>maximum demand forecasts.</w:t>
      </w:r>
      <w:r>
        <w:t xml:space="preserve"> In Victoria, AEMO is responsible for planning and procuring transmission network augmentations and </w:t>
      </w:r>
      <w:r w:rsidRPr="00D36D50">
        <w:t>is</w:t>
      </w:r>
      <w:r>
        <w:t xml:space="preserve"> also</w:t>
      </w:r>
      <w:r w:rsidRPr="00D36D50">
        <w:t xml:space="preserve"> responsible for producing transmission </w:t>
      </w:r>
      <w:r>
        <w:t>connection point</w:t>
      </w:r>
      <w:r w:rsidRPr="00D36D50">
        <w:t xml:space="preserve"> maximum demand forecasts. </w:t>
      </w:r>
      <w:r>
        <w:rPr>
          <w:rStyle w:val="FootnoteReference"/>
        </w:rPr>
        <w:footnoteReference w:id="74"/>
      </w:r>
      <w:r>
        <w:t xml:space="preserve"> The Victorian DNSPs also prepare their own individual distribution network maximum demand forecasts.</w:t>
      </w:r>
    </w:p>
    <w:p w:rsidR="00D23E07" w:rsidRDefault="00D23E07" w:rsidP="00D23E07">
      <w:r w:rsidRPr="00D36D50">
        <w:t xml:space="preserve">AusNet Services </w:t>
      </w:r>
      <w:r>
        <w:t>submitted</w:t>
      </w:r>
      <w:r w:rsidRPr="00D36D50">
        <w:t xml:space="preserve"> that it considers both </w:t>
      </w:r>
      <w:r>
        <w:t>AEMO’s demand forecasts</w:t>
      </w:r>
      <w:r w:rsidRPr="00D36D50">
        <w:t xml:space="preserve"> and demand forecasts </w:t>
      </w:r>
      <w:r>
        <w:t>prepared by the Victorian DNSPs’</w:t>
      </w:r>
      <w:r w:rsidRPr="00D36D50">
        <w:t xml:space="preserve"> when assessing major station projects. </w:t>
      </w:r>
      <w:r>
        <w:t>AusNet Services considers both sources of demand forecasts are relevant to its replacement planning. Rather than adopting a single set of demand forecasts to apply in assessing all station asset replacement projects, AusNet Services selects the forecast (</w:t>
      </w:r>
      <w:r w:rsidRPr="00D36D50">
        <w:t xml:space="preserve">or </w:t>
      </w:r>
      <w:r>
        <w:t>an average of the two forecasts) that it considers best reflects the likely future demand at each station, based on:</w:t>
      </w:r>
      <w:r w:rsidR="00A05922" w:rsidRPr="00A05922">
        <w:rPr>
          <w:rStyle w:val="FootnoteReference"/>
        </w:rPr>
        <w:t xml:space="preserve"> </w:t>
      </w:r>
      <w:r w:rsidR="00A05922">
        <w:rPr>
          <w:rStyle w:val="FootnoteReference"/>
        </w:rPr>
        <w:footnoteReference w:id="75"/>
      </w:r>
    </w:p>
    <w:p w:rsidR="00D23E07" w:rsidRDefault="00012F5B" w:rsidP="00D23E07">
      <w:pPr>
        <w:pStyle w:val="AERbulletlistfirststyle"/>
      </w:pPr>
      <w:r>
        <w:t>actual historical demand;</w:t>
      </w:r>
      <w:r w:rsidR="00D23E07">
        <w:t xml:space="preserve"> and</w:t>
      </w:r>
    </w:p>
    <w:p w:rsidR="00D23E07" w:rsidRDefault="00D23E07" w:rsidP="00D23E07">
      <w:pPr>
        <w:pStyle w:val="AERbulletlistfirststyle"/>
      </w:pPr>
      <w:proofErr w:type="gramStart"/>
      <w:r>
        <w:t>its</w:t>
      </w:r>
      <w:proofErr w:type="gramEnd"/>
      <w:r>
        <w:t xml:space="preserve"> understanding of network trends and developments.</w:t>
      </w:r>
    </w:p>
    <w:p w:rsidR="00D23E07" w:rsidRDefault="00D23E07" w:rsidP="00D23E07">
      <w:r>
        <w:t>In preparing its forecast of major station capex for the 2017–22 regulatory control period, AusNet Services</w:t>
      </w:r>
      <w:r w:rsidR="00163EFD">
        <w:t>'</w:t>
      </w:r>
      <w:r>
        <w:t xml:space="preserve"> considered the 2014 versions of these two demand forecasts.</w:t>
      </w:r>
      <w:r>
        <w:rPr>
          <w:rStyle w:val="FootnoteReference"/>
        </w:rPr>
        <w:footnoteReference w:id="76"/>
      </w:r>
      <w:r>
        <w:t xml:space="preserve"> AusNet Services</w:t>
      </w:r>
      <w:r w:rsidR="00163EFD">
        <w:t>'</w:t>
      </w:r>
      <w:r>
        <w:t xml:space="preserve"> explained the approach taken to select the applicable demand forecast </w:t>
      </w:r>
      <w:r w:rsidR="00B93457">
        <w:t xml:space="preserve">for </w:t>
      </w:r>
      <w:r>
        <w:t xml:space="preserve">each of the forecast major station projects. In most cases, this was based on a comparison of actual </w:t>
      </w:r>
      <w:r w:rsidR="0071745C">
        <w:t xml:space="preserve">(not weather normalised) </w:t>
      </w:r>
      <w:r>
        <w:t xml:space="preserve">historical demand with the starting point and trend of each </w:t>
      </w:r>
      <w:r w:rsidR="0071745C">
        <w:t xml:space="preserve">(weather normalised) </w:t>
      </w:r>
      <w:r>
        <w:t>demand forecast. The demand forecast applied by AusNet Services</w:t>
      </w:r>
      <w:r w:rsidR="00163EFD">
        <w:t>'</w:t>
      </w:r>
      <w:r>
        <w:t xml:space="preserve"> in each case was:</w:t>
      </w:r>
      <w:r>
        <w:rPr>
          <w:rStyle w:val="FootnoteReference"/>
        </w:rPr>
        <w:footnoteReference w:id="77"/>
      </w:r>
    </w:p>
    <w:p w:rsidR="00D23E07" w:rsidRDefault="00D23E07" w:rsidP="00D23E07">
      <w:pPr>
        <w:pStyle w:val="AERbulletlistfirststyle"/>
      </w:pPr>
      <w:r>
        <w:t>Templestowe terminal station – DNSP forecast</w:t>
      </w:r>
    </w:p>
    <w:p w:rsidR="00D23E07" w:rsidRDefault="00D23E07" w:rsidP="00D23E07">
      <w:pPr>
        <w:pStyle w:val="AERbulletlistfirststyle"/>
      </w:pPr>
      <w:r>
        <w:t>Springvale terminal station – DNSP forecast</w:t>
      </w:r>
    </w:p>
    <w:p w:rsidR="00D23E07" w:rsidRDefault="00D23E07" w:rsidP="00D23E07">
      <w:pPr>
        <w:pStyle w:val="AERbulletlistfirststyle"/>
      </w:pPr>
      <w:r>
        <w:t>West Melbourne terminal station –DNSP forecast</w:t>
      </w:r>
    </w:p>
    <w:p w:rsidR="00D23E07" w:rsidRDefault="00D23E07" w:rsidP="00D23E07">
      <w:pPr>
        <w:pStyle w:val="AERbulletlistfirststyle"/>
      </w:pPr>
      <w:r>
        <w:t>Ringwood terminal station – DNSP forecast</w:t>
      </w:r>
    </w:p>
    <w:p w:rsidR="00D23E07" w:rsidRDefault="00175899" w:rsidP="00D23E07">
      <w:pPr>
        <w:pStyle w:val="AERbulletlistfirststyle"/>
      </w:pPr>
      <w:r>
        <w:t>Fisherma</w:t>
      </w:r>
      <w:r w:rsidR="00D23E07">
        <w:t xml:space="preserve">ns Bend terminal station – average of DNSP and AEMO forecasts. </w:t>
      </w:r>
    </w:p>
    <w:p w:rsidR="00D23E07" w:rsidRDefault="00D23E07" w:rsidP="00D23E07">
      <w:r>
        <w:t>Having reviewed AusNet Services' application of maximum demand forecasts in its asset replacement planning for major station projects, we are not satisfied that the resulting capex forecasts reflect a realistic expectation of the demand forecast and cost inputs required to achieve the capex objectives.</w:t>
      </w:r>
      <w:r>
        <w:rPr>
          <w:rStyle w:val="FootnoteReference"/>
        </w:rPr>
        <w:footnoteReference w:id="78"/>
      </w:r>
      <w:r>
        <w:t xml:space="preserve"> This is because:</w:t>
      </w:r>
    </w:p>
    <w:p w:rsidR="00D23E07" w:rsidRDefault="00D23E07" w:rsidP="00D23E07">
      <w:pPr>
        <w:pStyle w:val="AERbulletlistfirststyle"/>
      </w:pPr>
      <w:proofErr w:type="gramStart"/>
      <w:r>
        <w:lastRenderedPageBreak/>
        <w:t>the</w:t>
      </w:r>
      <w:proofErr w:type="gramEnd"/>
      <w:r>
        <w:t xml:space="preserve"> demand forecasts applied in determining the quantified economic risk of asset failure do not reflect current expectations of demand. Although the 2014 versions of these demand forecasts were the latest available to AusNet Services in preparing its </w:t>
      </w:r>
      <w:r w:rsidR="00880E37">
        <w:t>revenue proposal</w:t>
      </w:r>
      <w:r>
        <w:t xml:space="preserve">, more recent versions of these demand forecasts published in 2015 are now available. </w:t>
      </w:r>
    </w:p>
    <w:p w:rsidR="00D23E07" w:rsidRDefault="00D23E07" w:rsidP="00D23E07">
      <w:pPr>
        <w:pStyle w:val="AERbulletlistfirststyle"/>
      </w:pPr>
      <w:proofErr w:type="gramStart"/>
      <w:r>
        <w:t>the</w:t>
      </w:r>
      <w:proofErr w:type="gramEnd"/>
      <w:r>
        <w:t xml:space="preserve"> demand forecasts reflect, in whole or in part, the 2014 Victorian DNSP maximum demand forecasts which we concluded in our 2015 preliminary decisions for the Victorian DNSPs did not reflect a realistic expectation of demand</w:t>
      </w:r>
      <w:r w:rsidR="0092523F">
        <w:t>.</w:t>
      </w:r>
      <w:r>
        <w:rPr>
          <w:rStyle w:val="FootnoteReference"/>
        </w:rPr>
        <w:footnoteReference w:id="79"/>
      </w:r>
    </w:p>
    <w:p w:rsidR="00D23E07" w:rsidRDefault="00D23E07" w:rsidP="00D23E07">
      <w:r>
        <w:t xml:space="preserve">We acknowledge that AusNet Services has submitted that it intends to consider the impact of the updated 2015 demand forecasts in its revised proposal. However, in our view, </w:t>
      </w:r>
      <w:r w:rsidRPr="00D36D50">
        <w:t xml:space="preserve">AusNet Services should </w:t>
      </w:r>
      <w:r>
        <w:t xml:space="preserve">also </w:t>
      </w:r>
      <w:r w:rsidRPr="00D36D50">
        <w:t>apply a consistent set of demand forecasts based on the same forecasting methodolo</w:t>
      </w:r>
      <w:r>
        <w:t>gy. This would ensure consistency in the economic assessment and prioritisation of projects across its major station</w:t>
      </w:r>
      <w:r w:rsidRPr="00D36D50">
        <w:t xml:space="preserve"> </w:t>
      </w:r>
      <w:r>
        <w:t xml:space="preserve">replacement portfolio. </w:t>
      </w:r>
    </w:p>
    <w:p w:rsidR="00D23E07" w:rsidRDefault="00D23E07" w:rsidP="00156FF3">
      <w:r>
        <w:t>We consider that the basis for selecting a demand forecast should have greater regard to the merits and robustness of the underlying demand forecasting methodology, rather than the perceived fit of the forecast with historical demand data. In our view, the AEMO transmission connection point forecasts are based on a robust demand forecasting methodology and key input assumptions.</w:t>
      </w:r>
      <w:r>
        <w:rPr>
          <w:rStyle w:val="FootnoteReference"/>
        </w:rPr>
        <w:footnoteReference w:id="80"/>
      </w:r>
      <w:r>
        <w:t xml:space="preserve"> Further, applying AEMO’s demand forecasts would</w:t>
      </w:r>
      <w:r w:rsidRPr="00D36D50">
        <w:t xml:space="preserve"> </w:t>
      </w:r>
      <w:r>
        <w:t>enhance</w:t>
      </w:r>
      <w:r w:rsidRPr="00D36D50">
        <w:t xml:space="preserve"> consistency </w:t>
      </w:r>
      <w:r>
        <w:t xml:space="preserve">in planning both across AusNet Services' major station replacement portfolio, and </w:t>
      </w:r>
      <w:r w:rsidRPr="00D36D50">
        <w:t xml:space="preserve">between </w:t>
      </w:r>
      <w:r>
        <w:t>AusNet Services'</w:t>
      </w:r>
      <w:r w:rsidRPr="00D36D50">
        <w:t xml:space="preserve"> a</w:t>
      </w:r>
      <w:r>
        <w:t xml:space="preserve">sset replacement planning </w:t>
      </w:r>
      <w:r w:rsidRPr="00D36D50">
        <w:t>and</w:t>
      </w:r>
      <w:r>
        <w:t xml:space="preserve"> AEMO's network augmentation planning</w:t>
      </w:r>
      <w:r w:rsidRPr="00D36D50">
        <w:t>.</w:t>
      </w:r>
      <w:r>
        <w:t xml:space="preserve"> This is discussed further in appendix </w:t>
      </w:r>
      <w:r w:rsidR="0035657B" w:rsidRPr="00156FF3">
        <w:t>C</w:t>
      </w:r>
      <w:r>
        <w:t xml:space="preserve"> of this decision.</w:t>
      </w:r>
    </w:p>
    <w:p w:rsidR="00D23E07" w:rsidRDefault="00D23E07" w:rsidP="00D23E07">
      <w:r>
        <w:t xml:space="preserve">For these reasons, in modelling our alternative estimate of forecast capex we have used AEMO's 2015 transmission connection point demand forecasts to quantify the expected </w:t>
      </w:r>
      <w:r w:rsidR="0080192B">
        <w:t xml:space="preserve">reliability </w:t>
      </w:r>
      <w:r>
        <w:t>cost of asset failure where relevant</w:t>
      </w:r>
      <w:r w:rsidRPr="00D36D50">
        <w:t xml:space="preserve"> across AusNet Services’ major station projects.</w:t>
      </w:r>
      <w:r>
        <w:t xml:space="preserve"> The impact of this adjustment is </w:t>
      </w:r>
      <w:r w:rsidR="00F53F95">
        <w:t xml:space="preserve">shown in </w:t>
      </w:r>
      <w:r w:rsidR="00082646">
        <w:fldChar w:fldCharType="begin"/>
      </w:r>
      <w:r w:rsidR="00082646">
        <w:instrText xml:space="preserve"> REF _Ref456092053 \h </w:instrText>
      </w:r>
      <w:r w:rsidR="00082646">
        <w:fldChar w:fldCharType="separate"/>
      </w:r>
      <w:r w:rsidR="00C60946">
        <w:t xml:space="preserve">Table </w:t>
      </w:r>
      <w:r w:rsidR="00C60946">
        <w:rPr>
          <w:noProof/>
        </w:rPr>
        <w:t>6</w:t>
      </w:r>
      <w:r w:rsidR="00C60946">
        <w:t>.</w:t>
      </w:r>
      <w:r w:rsidR="00C60946">
        <w:rPr>
          <w:noProof/>
        </w:rPr>
        <w:t>10</w:t>
      </w:r>
      <w:r w:rsidR="00082646">
        <w:fldChar w:fldCharType="end"/>
      </w:r>
      <w:r w:rsidR="00082646">
        <w:t xml:space="preserve"> </w:t>
      </w:r>
      <w:r w:rsidR="00F53F95">
        <w:t>below</w:t>
      </w:r>
      <w:r>
        <w:t>.</w:t>
      </w:r>
    </w:p>
    <w:p w:rsidR="00536BF6" w:rsidRPr="00FC5F8B" w:rsidRDefault="00536BF6" w:rsidP="00FC5F8B">
      <w:pPr>
        <w:pStyle w:val="HeadingItalic"/>
      </w:pPr>
      <w:bookmarkStart w:id="81" w:name="_Toc456608808"/>
      <w:r w:rsidRPr="00FC5F8B">
        <w:t>Estimation of safety risk</w:t>
      </w:r>
      <w:bookmarkEnd w:id="81"/>
    </w:p>
    <w:p w:rsidR="002B78F5" w:rsidRDefault="007E5129" w:rsidP="002B78F5">
      <w:r w:rsidRPr="007E5129">
        <w:t>AusNet Services undertakes an economic analysis to support all asset replacement and maintenance decisions.</w:t>
      </w:r>
      <w:r w:rsidRPr="007E5129">
        <w:rPr>
          <w:rStyle w:val="FootnoteReference"/>
        </w:rPr>
        <w:footnoteReference w:id="81"/>
      </w:r>
      <w:r w:rsidRPr="007E5129">
        <w:t xml:space="preserve"> This process involves an assessment of asset condition and reliability modelling to determine the probability of asset failure, as well as an assessment of the consequences in terms of outage, safety and environmental costs, to determine the expected cost of asset failure. This process is outlined at a high level in </w:t>
      </w:r>
      <w:fldSimple w:instr=" REF _Ref453060948 ">
        <w:r w:rsidR="00C60946">
          <w:t xml:space="preserve">Figure </w:t>
        </w:r>
        <w:r w:rsidR="00C60946">
          <w:rPr>
            <w:noProof/>
          </w:rPr>
          <w:t>6</w:t>
        </w:r>
        <w:r w:rsidR="00C60946">
          <w:t>.</w:t>
        </w:r>
        <w:r w:rsidR="00C60946">
          <w:rPr>
            <w:noProof/>
          </w:rPr>
          <w:t>7</w:t>
        </w:r>
      </w:fldSimple>
      <w:r w:rsidRPr="007E5129">
        <w:t xml:space="preserve"> below.</w:t>
      </w:r>
    </w:p>
    <w:p w:rsidR="002B78F5" w:rsidRDefault="002B78F5" w:rsidP="002B78F5">
      <w:pPr>
        <w:pStyle w:val="Caption"/>
      </w:pPr>
      <w:bookmarkStart w:id="82" w:name="_Ref453060948"/>
      <w:proofErr w:type="gramStart"/>
      <w:r>
        <w:lastRenderedPageBreak/>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7</w:t>
      </w:r>
      <w:r w:rsidR="00735181">
        <w:rPr>
          <w:noProof/>
        </w:rPr>
        <w:fldChar w:fldCharType="end"/>
      </w:r>
      <w:bookmarkEnd w:id="82"/>
      <w:r>
        <w:tab/>
        <w:t>AusNet Services' economic evaluation methodology</w:t>
      </w:r>
    </w:p>
    <w:p w:rsidR="002B78F5" w:rsidRDefault="00A9061E" w:rsidP="002B78F5">
      <w:r w:rsidRPr="00A9061E">
        <w:rPr>
          <w:noProof/>
          <w:lang w:eastAsia="en-AU"/>
        </w:rPr>
        <w:drawing>
          <wp:inline distT="0" distB="0" distL="0" distR="0" wp14:anchorId="55A6D913" wp14:editId="7CE2942D">
            <wp:extent cx="5382895" cy="2733429"/>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2733429"/>
                    </a:xfrm>
                    <a:prstGeom prst="rect">
                      <a:avLst/>
                    </a:prstGeom>
                  </pic:spPr>
                </pic:pic>
              </a:graphicData>
            </a:graphic>
          </wp:inline>
        </w:drawing>
      </w:r>
    </w:p>
    <w:p w:rsidR="002B78F5" w:rsidRPr="00F46844" w:rsidRDefault="002B78F5" w:rsidP="002B78F5">
      <w:pPr>
        <w:pStyle w:val="AERtablesource"/>
      </w:pPr>
      <w:r>
        <w:t xml:space="preserve">Source: </w:t>
      </w:r>
      <w:r w:rsidRPr="005A09E5">
        <w:t xml:space="preserve">AusNet Services, </w:t>
      </w:r>
      <w:r w:rsidR="00880E37">
        <w:rPr>
          <w:rStyle w:val="AERtextitalic"/>
        </w:rPr>
        <w:t>Revenue proposal</w:t>
      </w:r>
      <w:r w:rsidRPr="005A09E5">
        <w:rPr>
          <w:rStyle w:val="AERtextitalic"/>
        </w:rPr>
        <w:t xml:space="preserve"> 2017–22</w:t>
      </w:r>
      <w:r w:rsidRPr="005A09E5">
        <w:t>, 30 October 2015</w:t>
      </w:r>
      <w:r>
        <w:t>, p. 67</w:t>
      </w:r>
      <w:r w:rsidRPr="005A09E5">
        <w:t>.</w:t>
      </w:r>
    </w:p>
    <w:p w:rsidR="007E5129" w:rsidRPr="007E5129" w:rsidRDefault="007E5129" w:rsidP="007E5129">
      <w:r w:rsidRPr="007E5129">
        <w:t>AusNet Services submitted that it then identifies a range of technically feasible options to address the identified risk, and project cost estimates for each option. It then compares the costs and benefits (in terms of avoiding the expected costs of asset failure) of each option using Net Present Value (NPV) models to determine the preferred economic option.</w:t>
      </w:r>
      <w:r w:rsidRPr="007E5129">
        <w:rPr>
          <w:rStyle w:val="FootnoteReference"/>
        </w:rPr>
        <w:footnoteReference w:id="82"/>
      </w:r>
    </w:p>
    <w:p w:rsidR="007E5129" w:rsidRPr="007E5129" w:rsidRDefault="007E5129" w:rsidP="007E5129">
      <w:r w:rsidRPr="007E5129">
        <w:t>Applying quantified risk assessments in the context of sound asset management practices, as AusNet Services does, is consistent with good practice within the electricity industry.</w:t>
      </w:r>
      <w:r w:rsidRPr="007E5129">
        <w:rPr>
          <w:rStyle w:val="FootnoteReference"/>
        </w:rPr>
        <w:footnoteReference w:id="83"/>
      </w:r>
      <w:r w:rsidRPr="007E5129">
        <w:t xml:space="preserve"> However, we have some concerns with AusNet Services' application of its safety risk analysis which affects the economic justification of AusNet Services' forecast capex. These conc</w:t>
      </w:r>
      <w:r>
        <w:t>erns relate to AusNet Services’</w:t>
      </w:r>
      <w:r w:rsidRPr="007E5129">
        <w:t xml:space="preserve"> assumptions that:</w:t>
      </w:r>
    </w:p>
    <w:p w:rsidR="007E5129" w:rsidRPr="007E5129" w:rsidRDefault="00B96BBA" w:rsidP="007E5129">
      <w:pPr>
        <w:pStyle w:val="AERbulletlistfirststyle"/>
      </w:pPr>
      <w:r>
        <w:t>someone is, at all times,</w:t>
      </w:r>
      <w:r w:rsidR="007E5129" w:rsidRPr="007E5129">
        <w:t xml:space="preserve"> in the immediate vicinity of a safety re</w:t>
      </w:r>
      <w:r>
        <w:t>lated asset failure</w:t>
      </w:r>
    </w:p>
    <w:p w:rsidR="007E5129" w:rsidRPr="007E5129" w:rsidRDefault="007E5129" w:rsidP="007E5129">
      <w:pPr>
        <w:pStyle w:val="AERbulletlistfirststyle"/>
      </w:pPr>
      <w:proofErr w:type="gramStart"/>
      <w:r w:rsidRPr="007E5129">
        <w:t>existing</w:t>
      </w:r>
      <w:proofErr w:type="gramEnd"/>
      <w:r w:rsidRPr="007E5129">
        <w:t xml:space="preserve"> controls designed to mitigate safety risk</w:t>
      </w:r>
      <w:r>
        <w:t xml:space="preserve"> to</w:t>
      </w:r>
      <w:r w:rsidR="00B96BBA">
        <w:t xml:space="preserve"> employees and the public are not effective</w:t>
      </w:r>
      <w:r w:rsidRPr="007E5129">
        <w:t>.</w:t>
      </w:r>
    </w:p>
    <w:p w:rsidR="00B96BBA" w:rsidRPr="00B96BBA" w:rsidRDefault="007E5129" w:rsidP="00B96BBA">
      <w:r w:rsidRPr="007E5129">
        <w:t>We are concerned that these assumptions are not realistic, and therefore create a disconnection between the actual level of risk faced by AusNet Services in operating its network, and the assumed level of risk used to justify forecast asset replacement capex.</w:t>
      </w:r>
      <w:r w:rsidR="00B96BBA">
        <w:t xml:space="preserve"> </w:t>
      </w:r>
      <w:r w:rsidR="00B96BBA" w:rsidRPr="00B96BBA">
        <w:t xml:space="preserve">AusNet Services’ assumptions are not supported by the information provided in </w:t>
      </w:r>
      <w:r w:rsidR="00B96BBA" w:rsidRPr="00B96BBA">
        <w:lastRenderedPageBreak/>
        <w:t>its revenue proposal to justify its forecast capex. Given these assumptions are not supported and our view that these assumptions are not realistic, we consider that AusNet Services’ estimation of safety risk costs and therefore its forecast asset replacement capex is likely to be overstated.</w:t>
      </w:r>
    </w:p>
    <w:p w:rsidR="00B96BBA" w:rsidRPr="00B96BBA" w:rsidRDefault="00B96BBA" w:rsidP="00B96BBA">
      <w:r w:rsidRPr="00B96BBA">
        <w:t>We consider a more realistic estimate of the likelihood that a person is in the vicinity of a safety related asset failure is in the order of one per ce</w:t>
      </w:r>
      <w:r>
        <w:t>nt of the time, rather than 100 </w:t>
      </w:r>
      <w:r w:rsidRPr="00B96BBA">
        <w:t>per cent of the time as assumed by AusNet Services. Our estimate is informed by our internal engineering and technical expertise, and knowledge of network asset management practices. We recognise that our alternative estimate is an approximation based on assumptions regarding the typical frequency and duration of a person being in the vicinity of assets that fail. While we consider our assumptions to be more realistic, we expect AusNet Services to provide further information in its revised proposal to support any alternative assumptions.</w:t>
      </w:r>
    </w:p>
    <w:p w:rsidR="002B78F5" w:rsidRDefault="00B96BBA" w:rsidP="00B96BBA">
      <w:r w:rsidRPr="00B96BBA">
        <w:t>Our analysis and conclusions on these issues are set out in further detail below.</w:t>
      </w:r>
    </w:p>
    <w:p w:rsidR="007E5129" w:rsidRPr="007E5129" w:rsidRDefault="007E5129" w:rsidP="007E5129">
      <w:pPr>
        <w:pStyle w:val="HeadingOrange"/>
      </w:pPr>
      <w:bookmarkStart w:id="83" w:name="_Toc456608809"/>
      <w:r w:rsidRPr="007E5129">
        <w:t>Quantifying safety risk</w:t>
      </w:r>
      <w:bookmarkEnd w:id="83"/>
    </w:p>
    <w:p w:rsidR="007E5129" w:rsidRPr="007E5129" w:rsidRDefault="007E5129" w:rsidP="007E5129">
      <w:r w:rsidRPr="007E5129">
        <w:t>The quantification of safety risk is one of the key components in AusNet Services' economic evaluation of asset replacement requirements. Safety risk relates to the risk that assets fail in such a way that could result in serious injury or fatality to an employee or member of the public. AusNet Services quantifies this safety risk with reference to:</w:t>
      </w:r>
      <w:r w:rsidRPr="007E5129">
        <w:rPr>
          <w:rStyle w:val="FootnoteReference"/>
        </w:rPr>
        <w:footnoteReference w:id="84"/>
      </w:r>
      <w:r w:rsidRPr="007E5129">
        <w:t xml:space="preserve">  </w:t>
      </w:r>
    </w:p>
    <w:p w:rsidR="007E5129" w:rsidRPr="007E5129" w:rsidRDefault="007E5129" w:rsidP="007E5129">
      <w:pPr>
        <w:pStyle w:val="AERbulletlistfirststyle"/>
      </w:pPr>
      <w:r w:rsidRPr="007E5129">
        <w:t>the likelihood of major asset failure for the relevant asset class</w:t>
      </w:r>
    </w:p>
    <w:p w:rsidR="007E5129" w:rsidRPr="007E5129" w:rsidRDefault="007E5129" w:rsidP="007E5129">
      <w:pPr>
        <w:pStyle w:val="AERbulletlistfirststyle"/>
      </w:pPr>
      <w:r w:rsidRPr="007E5129">
        <w:t xml:space="preserve">the probability of that failure presenting a safety risk, for example due to explosive failure or fire </w:t>
      </w:r>
    </w:p>
    <w:p w:rsidR="007E5129" w:rsidRPr="007E5129" w:rsidRDefault="007E5129" w:rsidP="007E5129">
      <w:pPr>
        <w:pStyle w:val="AERbulletlistfirststyle"/>
      </w:pPr>
      <w:proofErr w:type="gramStart"/>
      <w:r w:rsidRPr="007E5129">
        <w:t>the</w:t>
      </w:r>
      <w:proofErr w:type="gramEnd"/>
      <w:r w:rsidRPr="007E5129">
        <w:t xml:space="preserve"> risk consequence of a fatality in dollar terms. </w:t>
      </w:r>
    </w:p>
    <w:p w:rsidR="007E5129" w:rsidRPr="007E5129" w:rsidRDefault="007E5129" w:rsidP="007E5129">
      <w:r w:rsidRPr="007E5129">
        <w:t>AusNet Services’ approach is expressed in the following equation:</w:t>
      </w:r>
    </w:p>
    <w:p w:rsidR="007E5129" w:rsidRPr="007E5129" w:rsidRDefault="007E5129" w:rsidP="007E5129">
      <w:r w:rsidRPr="007E5129">
        <w:rPr>
          <w:noProof/>
          <w:lang w:eastAsia="en-AU"/>
        </w:rPr>
        <mc:AlternateContent>
          <mc:Choice Requires="wpg">
            <w:drawing>
              <wp:anchor distT="0" distB="0" distL="114300" distR="114300" simplePos="0" relativeHeight="251667456" behindDoc="0" locked="0" layoutInCell="1" allowOverlap="1" wp14:anchorId="3C6CC9C3" wp14:editId="34851728">
                <wp:simplePos x="0" y="0"/>
                <wp:positionH relativeFrom="column">
                  <wp:posOffset>666750</wp:posOffset>
                </wp:positionH>
                <wp:positionV relativeFrom="paragraph">
                  <wp:posOffset>262890</wp:posOffset>
                </wp:positionV>
                <wp:extent cx="4352925" cy="598805"/>
                <wp:effectExtent l="0" t="0" r="28575" b="10795"/>
                <wp:wrapNone/>
                <wp:docPr id="10" name="Group 10"/>
                <wp:cNvGraphicFramePr/>
                <a:graphic xmlns:a="http://schemas.openxmlformats.org/drawingml/2006/main">
                  <a:graphicData uri="http://schemas.microsoft.com/office/word/2010/wordprocessingGroup">
                    <wpg:wgp>
                      <wpg:cNvGrpSpPr/>
                      <wpg:grpSpPr>
                        <a:xfrm>
                          <a:off x="0" y="0"/>
                          <a:ext cx="4352925" cy="598805"/>
                          <a:chOff x="0" y="0"/>
                          <a:chExt cx="4352925" cy="598805"/>
                        </a:xfrm>
                      </wpg:grpSpPr>
                      <wps:wsp>
                        <wps:cNvPr id="13" name="Text Box 13"/>
                        <wps:cNvSpPr txBox="1"/>
                        <wps:spPr>
                          <a:xfrm>
                            <a:off x="0" y="38100"/>
                            <a:ext cx="752475" cy="552015"/>
                          </a:xfrm>
                          <a:prstGeom prst="rect">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7E5129">
                              <w:pPr>
                                <w:spacing w:before="160"/>
                                <w:jc w:val="center"/>
                                <w:rPr>
                                  <w:sz w:val="18"/>
                                  <w:szCs w:val="18"/>
                                </w:rPr>
                              </w:pPr>
                              <w:r w:rsidRPr="00C44584">
                                <w:rPr>
                                  <w:b/>
                                  <w:bCs/>
                                  <w:sz w:val="18"/>
                                  <w:szCs w:val="18"/>
                                </w:rPr>
                                <w:t>Safety risk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771525" y="95250"/>
                            <a:ext cx="219075" cy="4280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6BBA" w:rsidRPr="00AF39B2" w:rsidRDefault="00B96BBA" w:rsidP="007E5129">
                              <w:pPr>
                                <w:rPr>
                                  <w:b/>
                                </w:rPr>
                              </w:pPr>
                              <w:r w:rsidRPr="00AF39B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057275" y="19050"/>
                            <a:ext cx="714376" cy="570695"/>
                          </a:xfrm>
                          <a:prstGeom prst="rect">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7E5129">
                              <w:pPr>
                                <w:spacing w:before="80"/>
                                <w:jc w:val="center"/>
                                <w:rPr>
                                  <w:sz w:val="18"/>
                                  <w:szCs w:val="18"/>
                                </w:rPr>
                              </w:pPr>
                              <w:r w:rsidRPr="00C44584">
                                <w:rPr>
                                  <w:b/>
                                  <w:bCs/>
                                  <w:sz w:val="18"/>
                                  <w:szCs w:val="18"/>
                                </w:rPr>
                                <w:t>Asset failure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400425" y="0"/>
                            <a:ext cx="952500" cy="589280"/>
                          </a:xfrm>
                          <a:prstGeom prst="rect">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7E5129">
                              <w:pPr>
                                <w:spacing w:before="160"/>
                                <w:jc w:val="center"/>
                                <w:rPr>
                                  <w:sz w:val="18"/>
                                  <w:szCs w:val="18"/>
                                </w:rPr>
                              </w:pPr>
                              <w:r w:rsidRPr="00C44584">
                                <w:rPr>
                                  <w:b/>
                                  <w:bCs/>
                                  <w:sz w:val="18"/>
                                  <w:szCs w:val="18"/>
                                </w:rPr>
                                <w:t>Risk consequence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066925" y="19050"/>
                            <a:ext cx="1028700" cy="579755"/>
                          </a:xfrm>
                          <a:prstGeom prst="rect">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7E5129">
                              <w:pPr>
                                <w:spacing w:before="60"/>
                                <w:jc w:val="center"/>
                                <w:rPr>
                                  <w:sz w:val="18"/>
                                  <w:szCs w:val="18"/>
                                </w:rPr>
                              </w:pPr>
                              <w:r w:rsidRPr="00C44584">
                                <w:rPr>
                                  <w:b/>
                                  <w:bCs/>
                                  <w:sz w:val="18"/>
                                  <w:szCs w:val="18"/>
                                </w:rPr>
                                <w:t xml:space="preserve">Probability of </w:t>
                              </w:r>
                              <w:r>
                                <w:rPr>
                                  <w:b/>
                                  <w:bCs/>
                                  <w:sz w:val="18"/>
                                  <w:szCs w:val="18"/>
                                </w:rPr>
                                <w:t>safety related</w:t>
                              </w:r>
                              <w:r w:rsidRPr="00C44584">
                                <w:rPr>
                                  <w:b/>
                                  <w:bCs/>
                                  <w:sz w:val="18"/>
                                  <w:szCs w:val="18"/>
                                </w:rPr>
                                <w:t xml:space="preserv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800225" y="57150"/>
                            <a:ext cx="95250" cy="39948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6BBA" w:rsidRPr="00AF39B2" w:rsidRDefault="00B96BBA" w:rsidP="007E5129">
                              <w:pPr>
                                <w:rPr>
                                  <w:b/>
                                </w:rPr>
                              </w:pPr>
                              <w:proofErr w:type="gramStart"/>
                              <w:r>
                                <w:rPr>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114675" y="57150"/>
                            <a:ext cx="171450" cy="494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6BBA" w:rsidRPr="00AF39B2" w:rsidRDefault="00B96BBA" w:rsidP="007E5129">
                              <w:pPr>
                                <w:rPr>
                                  <w:b/>
                                </w:rPr>
                              </w:pPr>
                              <w:proofErr w:type="gramStart"/>
                              <w:r>
                                <w:rPr>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 o:spid="_x0000_s1026" style="position:absolute;margin-left:52.5pt;margin-top:20.7pt;width:342.75pt;height:47.15pt;z-index:251667456" coordsize="4352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">
                <v:shapetype id="_x0000_t202" coordsize="21600,21600" o:spt="202" path="m,l,21600r21600,l21600,xe">
                  <v:stroke joinstyle="miter"/>
                  <v:path gradientshapeok="t" o:connecttype="rect"/>
                </v:shapetype>
                <v:shape id="Text Box 13" o:spid="_x0000_s1027" type="#_x0000_t202" style="position:absolute;top:381;width:7524;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S78IA&#10;AADbAAAADwAAAGRycy9kb3ducmV2LnhtbERPTWvCQBC9C/0PyxR6kWajxVJi1lAEQaQ9aNP7kB2T&#10;2OxszK5x/ffdgtDbPN7n5EUwnRhpcK1lBbMkBUFcWd1yraD82jy/gXAeWWNnmRTcyEGxepjkmGl7&#10;5T2NB1+LGMIuQwWN930mpasaMugS2xNH7mgHgz7CoZZ6wGsMN52cp+mrNNhybGiwp3VD1c/hYhSc&#10;PuUm3L77adntTnJ3/likOiyUenoM70sQnoL/F9/dWx3nv8Df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1LvwgAAANsAAAAPAAAAAAAAAAAAAAAAAJgCAABkcnMvZG93&#10;bnJldi54bWxQSwUGAAAAAAQABAD1AAAAhwMAAAAA&#10;" fillcolor="white [3212]" strokecolor="#076a92 [3213]" strokeweight="2pt">
                  <v:textbox>
                    <w:txbxContent>
                      <w:p w:rsidR="00B96BBA" w:rsidRPr="00C44584" w:rsidRDefault="00B96BBA" w:rsidP="007E5129">
                        <w:pPr>
                          <w:spacing w:before="160"/>
                          <w:jc w:val="center"/>
                          <w:rPr>
                            <w:sz w:val="18"/>
                            <w:szCs w:val="18"/>
                          </w:rPr>
                        </w:pPr>
                        <w:r w:rsidRPr="00C44584">
                          <w:rPr>
                            <w:b/>
                            <w:bCs/>
                            <w:sz w:val="18"/>
                            <w:szCs w:val="18"/>
                          </w:rPr>
                          <w:t>Safety risk cost</w:t>
                        </w:r>
                      </w:p>
                    </w:txbxContent>
                  </v:textbox>
                </v:shape>
                <v:shape id="Text Box 15" o:spid="_x0000_s1028" type="#_x0000_t202" style="position:absolute;left:7715;top:952;width:2191;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178EA&#10;AADbAAAADwAAAGRycy9kb3ducmV2LnhtbERPTWvCQBC9C/6HZYTedKPVItFVgqVYqlBqe+ltyI5J&#10;MDsbsqPGf98tCN7m8T5nue5crS7UhsqzgfEoAUWce1txYeDn+204BxUE2WLtmQzcKMB61e8tMbX+&#10;yl90OUihYgiHFA2UIk2qdchLchhGviGO3NG3DiXCttC2xWsMd7WeJMmLdlhxbCixoU1J+elwdgY+&#10;pr/4+iw7ugl3n1m2nTfTsDfmadBlC1BCnTzEd/e7jfNn8P9LPE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Ude/BAAAA2wAAAA8AAAAAAAAAAAAAAAAAmAIAAGRycy9kb3du&#10;cmV2LnhtbFBLBQYAAAAABAAEAPUAAACGAwAAAAA=&#10;" fillcolor="white [3201]" strokecolor="white [3212]" strokeweight=".5pt">
                  <v:textbox>
                    <w:txbxContent>
                      <w:p w:rsidR="00B96BBA" w:rsidRPr="00AF39B2" w:rsidRDefault="00B96BBA" w:rsidP="007E5129">
                        <w:pPr>
                          <w:rPr>
                            <w:b/>
                          </w:rPr>
                        </w:pPr>
                        <w:r w:rsidRPr="00AF39B2">
                          <w:rPr>
                            <w:b/>
                          </w:rPr>
                          <w:t>=</w:t>
                        </w:r>
                      </w:p>
                    </w:txbxContent>
                  </v:textbox>
                </v:shape>
                <v:shape id="Text Box 18" o:spid="_x0000_s1029" type="#_x0000_t202" style="position:absolute;left:10572;top:190;width:7144;height:5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AnsQA&#10;AADbAAAADwAAAGRycy9kb3ducmV2LnhtbESPT2sCQQzF74LfYYjgRXTWgkW2jlIEQUQP9c897KS7&#10;a3cy685Ux29vDoXeEt7Le78sVsk16k5dqD0bmE4yUMSFtzWXBs6nzXgOKkRki41nMvCkAKtlv7fA&#10;3PoHf9H9GEslIRxyNFDF2OZah6Iih2HiW2LRvn3nMMraldp2+JBw1+i3LHvXDmuWhgpbWldU/Bx/&#10;nYHrQW/S89KOzs3uqne3/SyzaWbMcJA+P0BFSvHf/He9tYIvsPKLDK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wJ7EAAAA2wAAAA8AAAAAAAAAAAAAAAAAmAIAAGRycy9k&#10;b3ducmV2LnhtbFBLBQYAAAAABAAEAPUAAACJAwAAAAA=&#10;" fillcolor="white [3212]" strokecolor="#076a92 [3213]" strokeweight="2pt">
                  <v:textbox>
                    <w:txbxContent>
                      <w:p w:rsidR="00B96BBA" w:rsidRPr="00C44584" w:rsidRDefault="00B96BBA" w:rsidP="007E5129">
                        <w:pPr>
                          <w:spacing w:before="80"/>
                          <w:jc w:val="center"/>
                          <w:rPr>
                            <w:sz w:val="18"/>
                            <w:szCs w:val="18"/>
                          </w:rPr>
                        </w:pPr>
                        <w:r w:rsidRPr="00C44584">
                          <w:rPr>
                            <w:b/>
                            <w:bCs/>
                            <w:sz w:val="18"/>
                            <w:szCs w:val="18"/>
                          </w:rPr>
                          <w:t>Asset failure rate</w:t>
                        </w:r>
                      </w:p>
                    </w:txbxContent>
                  </v:textbox>
                </v:shape>
                <v:shape id="Text Box 21" o:spid="_x0000_s1030" type="#_x0000_t202" style="position:absolute;left:34004;width:9525;height: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jvsIA&#10;AADbAAAADwAAAGRycy9kb3ducmV2LnhtbESPzarCMBSE94LvEI5wN6KpgiLVKCIIIt6Ff/tDc2yr&#10;zUltcjW+vbkguBxm5htmtgimEg9qXGlZwaCfgCDOrC45V3A6rnsTEM4ja6wsk4IXOVjM260Zpto+&#10;eU+Pg89FhLBLUUHhfZ1K6bKCDLq+rYmjd7GNQR9lk0vd4DPCTSWHSTKWBkuOCwXWtCooux3+jILr&#10;r1yH17nunqrtVW7vu1Giw0ipn05YTkF4Cv4b/rQ3WsFwAP9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aO+wgAAANsAAAAPAAAAAAAAAAAAAAAAAJgCAABkcnMvZG93&#10;bnJldi54bWxQSwUGAAAAAAQABAD1AAAAhwMAAAAA&#10;" fillcolor="white [3212]" strokecolor="#076a92 [3213]" strokeweight="2pt">
                  <v:textbox>
                    <w:txbxContent>
                      <w:p w:rsidR="00B96BBA" w:rsidRPr="00C44584" w:rsidRDefault="00B96BBA" w:rsidP="007E5129">
                        <w:pPr>
                          <w:spacing w:before="160"/>
                          <w:jc w:val="center"/>
                          <w:rPr>
                            <w:sz w:val="18"/>
                            <w:szCs w:val="18"/>
                          </w:rPr>
                        </w:pPr>
                        <w:r w:rsidRPr="00C44584">
                          <w:rPr>
                            <w:b/>
                            <w:bCs/>
                            <w:sz w:val="18"/>
                            <w:szCs w:val="18"/>
                          </w:rPr>
                          <w:t>Risk consequence</w:t>
                        </w:r>
                      </w:p>
                    </w:txbxContent>
                  </v:textbox>
                </v:shape>
                <v:shape id="Text Box 22" o:spid="_x0000_s1031" type="#_x0000_t202" style="position:absolute;left:20669;top:190;width:10287;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9ycQA&#10;AADbAAAADwAAAGRycy9kb3ducmV2LnhtbESPQWvCQBSE7wX/w/KEXopuGrCU6CoiCCXYQ63eH9ln&#10;Es2+jdltsvn3bqHQ4zAz3zCrTTCN6KlztWUFr/MEBHFhdc2lgtP3fvYOwnlkjY1lUjCSg8168rTC&#10;TNuBv6g/+lJECLsMFVTet5mUrqjIoJvbljh6F9sZ9FF2pdQdDhFuGpkmyZs0WHNcqLClXUXF7fhj&#10;FFw/5T6M5/bl1ORXmd8Pi0SHhVLP07BdgvAU/H/4r/2hFaQp/H6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PcnEAAAA2wAAAA8AAAAAAAAAAAAAAAAAmAIAAGRycy9k&#10;b3ducmV2LnhtbFBLBQYAAAAABAAEAPUAAACJAwAAAAA=&#10;" fillcolor="white [3212]" strokecolor="#076a92 [3213]" strokeweight="2pt">
                  <v:textbox>
                    <w:txbxContent>
                      <w:p w:rsidR="00B96BBA" w:rsidRPr="00C44584" w:rsidRDefault="00B96BBA" w:rsidP="007E5129">
                        <w:pPr>
                          <w:spacing w:before="60"/>
                          <w:jc w:val="center"/>
                          <w:rPr>
                            <w:sz w:val="18"/>
                            <w:szCs w:val="18"/>
                          </w:rPr>
                        </w:pPr>
                        <w:r w:rsidRPr="00C44584">
                          <w:rPr>
                            <w:b/>
                            <w:bCs/>
                            <w:sz w:val="18"/>
                            <w:szCs w:val="18"/>
                          </w:rPr>
                          <w:t xml:space="preserve">Probability of </w:t>
                        </w:r>
                        <w:r>
                          <w:rPr>
                            <w:b/>
                            <w:bCs/>
                            <w:sz w:val="18"/>
                            <w:szCs w:val="18"/>
                          </w:rPr>
                          <w:t>safety related</w:t>
                        </w:r>
                        <w:r w:rsidRPr="00C44584">
                          <w:rPr>
                            <w:b/>
                            <w:bCs/>
                            <w:sz w:val="18"/>
                            <w:szCs w:val="18"/>
                          </w:rPr>
                          <w:t xml:space="preserve"> failure</w:t>
                        </w:r>
                      </w:p>
                    </w:txbxContent>
                  </v:textbox>
                </v:shape>
                <v:shape id="Text Box 24" o:spid="_x0000_s1032" type="#_x0000_t202" style="position:absolute;left:18002;top:571;width:952;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aycMA&#10;AADbAAAADwAAAGRycy9kb3ducmV2LnhtbESPQWvCQBSE74L/YXlCb7qpDSLRVUJLadGCqL309sg+&#10;k9Ds25B91fjvXaHgcZiZb5jluneNOlMXas8GnicJKOLC25pLA9/H9/EcVBBki41nMnClAOvVcLDE&#10;zPoL7+l8kFJFCIcMDVQibaZ1KCpyGCa+JY7eyXcOJcqu1LbDS4S7Rk+TZKYd1hwXKmzptaLi9/Dn&#10;DGzSH3x7kS1dhftdnn/M2zR8GfM06vMFKKFeHuH/9qc1ME3h/iX+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aycMAAADbAAAADwAAAAAAAAAAAAAAAACYAgAAZHJzL2Rv&#10;d25yZXYueG1sUEsFBgAAAAAEAAQA9QAAAIgDAAAAAA==&#10;" fillcolor="white [3201]" strokecolor="white [3212]" strokeweight=".5pt">
                  <v:textbox>
                    <w:txbxContent>
                      <w:p w:rsidR="00B96BBA" w:rsidRPr="00AF39B2" w:rsidRDefault="00B96BBA" w:rsidP="007E5129">
                        <w:pPr>
                          <w:rPr>
                            <w:b/>
                          </w:rPr>
                        </w:pPr>
                        <w:r>
                          <w:rPr>
                            <w:b/>
                          </w:rPr>
                          <w:t>x</w:t>
                        </w:r>
                      </w:p>
                    </w:txbxContent>
                  </v:textbox>
                </v:shape>
                <v:shape id="Text Box 26" o:spid="_x0000_s1033" type="#_x0000_t202" style="position:absolute;left:31146;top:571;width:1715;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hJcMA&#10;AADbAAAADwAAAGRycy9kb3ducmV2LnhtbESPX2vCQBDE3wW/w7GCb/XiH0RSTwmWothCqfrStyW3&#10;TUJzeyG3avz2PUHwcZiZ3zDLdedqdaE2VJ4NjEcJKOLc24oLA6fj+8sCVBBki7VnMnCjAOtVv7fE&#10;1Porf9PlIIWKEA4pGihFmlTrkJfkMIx8Qxy9X986lCjbQtsWrxHuaj1Jkrl2WHFcKLGhTUn53+Hs&#10;DOxnP/g2lQ+6CXdfWbZdNLPwacxw0GWvoIQ6eYYf7Z01MJnD/Uv8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hJcMAAADbAAAADwAAAAAAAAAAAAAAAACYAgAAZHJzL2Rv&#10;d25yZXYueG1sUEsFBgAAAAAEAAQA9QAAAIgDAAAAAA==&#10;" fillcolor="white [3201]" strokecolor="white [3212]" strokeweight=".5pt">
                  <v:textbox>
                    <w:txbxContent>
                      <w:p w:rsidR="00B96BBA" w:rsidRPr="00AF39B2" w:rsidRDefault="00B96BBA" w:rsidP="007E5129">
                        <w:pPr>
                          <w:rPr>
                            <w:b/>
                          </w:rPr>
                        </w:pPr>
                        <w:r>
                          <w:rPr>
                            <w:b/>
                          </w:rPr>
                          <w:t>x</w:t>
                        </w:r>
                      </w:p>
                    </w:txbxContent>
                  </v:textbox>
                </v:shape>
              </v:group>
            </w:pict>
          </mc:Fallback>
        </mc:AlternateContent>
      </w:r>
    </w:p>
    <w:p w:rsidR="007E5129" w:rsidRPr="007E5129" w:rsidRDefault="007E5129" w:rsidP="007E5129"/>
    <w:p w:rsidR="007E5129" w:rsidRPr="007E5129" w:rsidRDefault="007E5129" w:rsidP="007E5129"/>
    <w:p w:rsidR="002B78F5" w:rsidRDefault="007E5129" w:rsidP="007E5129">
      <w:r w:rsidRPr="007E5129">
        <w:t xml:space="preserve">In relation to the various factors in this equation, we have identified some concerns regarding AusNet Services’ analysis of asset failure rates and safety related failure rates, as discussed in the network health section of this attachment. However, we accept that AusNet Services’ estimate of the risk consequence in the above equation is likely to be reasonable. AusNet Services estimates the risk consequence of a fatality based on the principle that risks to workers and the public should be minimised to be as low as reasonably practicable (the ALARP principle). That is, safety risk should be </w:t>
      </w:r>
      <w:r w:rsidRPr="007E5129">
        <w:lastRenderedPageBreak/>
        <w:t>proactively managed until the cost of doing so becomes grossly disproportionate to the benefits. AusNet Services’ methodology estimates the direct safety benefits and escalates this by a disproportionality factor of three to identify an appropriate cost of preventing a fatality.</w:t>
      </w:r>
      <w:r w:rsidRPr="007E5129">
        <w:rPr>
          <w:rStyle w:val="FootnoteReference"/>
        </w:rPr>
        <w:footnoteReference w:id="85"/>
      </w:r>
      <w:r w:rsidRPr="007E5129">
        <w:t xml:space="preserve"> We consider this provides a conservative but reasonable estimate of the consequences of safety risk, consistent with the ALARP principle.</w:t>
      </w:r>
      <w:r w:rsidR="00F53F95" w:rsidRPr="00F53F95">
        <w:t xml:space="preserve"> </w:t>
      </w:r>
    </w:p>
    <w:p w:rsidR="00EF00E9" w:rsidRPr="00EF00E9" w:rsidRDefault="00EF00E9" w:rsidP="00EF00E9">
      <w:r w:rsidRPr="00EF00E9">
        <w:t>Nonetheless, we consider AusNet Services’ methodology for quantifying the cost of safety risk omits a key factor, resulting in a significant overestimation of the likely expected cost of safety risk. Our concern is that the equation above assumes that a person (whether an employee/contractor or member of the public) will be in the equipment hazard zone at all times. That is, AusNet Services' methodology implies that a fatality occurs in every instance of a safety related asset failure. It does not account for the likelihood that a person will actually be in the vicinity of an asset at the time of failure. This is an unrealistic assumption which does not reflect AusNet Services' actual operating environment, and has the effect of overestimating the cost of safety risk in AusNet Services' economic justification of forecast repex. In our view, the following equation reflects a more realistic approach to quantifying safety risk:</w:t>
      </w:r>
    </w:p>
    <w:p w:rsidR="00EF00E9" w:rsidRPr="00EF00E9" w:rsidRDefault="00EF00E9" w:rsidP="00EF00E9">
      <w:r w:rsidRPr="00EF00E9">
        <w:rPr>
          <w:noProof/>
          <w:lang w:eastAsia="en-AU"/>
        </w:rPr>
        <mc:AlternateContent>
          <mc:Choice Requires="wpg">
            <w:drawing>
              <wp:anchor distT="0" distB="0" distL="114300" distR="114300" simplePos="0" relativeHeight="251669504" behindDoc="0" locked="0" layoutInCell="1" allowOverlap="1" wp14:anchorId="7C71AE1A" wp14:editId="30310FCF">
                <wp:simplePos x="0" y="0"/>
                <wp:positionH relativeFrom="column">
                  <wp:posOffset>19050</wp:posOffset>
                </wp:positionH>
                <wp:positionV relativeFrom="paragraph">
                  <wp:posOffset>227037</wp:posOffset>
                </wp:positionV>
                <wp:extent cx="5591175" cy="598805"/>
                <wp:effectExtent l="0" t="0" r="28575" b="10795"/>
                <wp:wrapNone/>
                <wp:docPr id="37" name="Group 37"/>
                <wp:cNvGraphicFramePr/>
                <a:graphic xmlns:a="http://schemas.openxmlformats.org/drawingml/2006/main">
                  <a:graphicData uri="http://schemas.microsoft.com/office/word/2010/wordprocessingGroup">
                    <wpg:wgp>
                      <wpg:cNvGrpSpPr/>
                      <wpg:grpSpPr>
                        <a:xfrm>
                          <a:off x="0" y="0"/>
                          <a:ext cx="5591175" cy="598805"/>
                          <a:chOff x="0" y="0"/>
                          <a:chExt cx="5591793" cy="599251"/>
                        </a:xfrm>
                      </wpg:grpSpPr>
                      <wps:wsp>
                        <wps:cNvPr id="38" name="Text Box 38"/>
                        <wps:cNvSpPr txBox="1"/>
                        <wps:spPr>
                          <a:xfrm>
                            <a:off x="0" y="38100"/>
                            <a:ext cx="752475" cy="552015"/>
                          </a:xfrm>
                          <a:prstGeom prst="rect">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EF00E9">
                              <w:pPr>
                                <w:spacing w:before="160"/>
                                <w:jc w:val="center"/>
                                <w:rPr>
                                  <w:sz w:val="18"/>
                                  <w:szCs w:val="18"/>
                                </w:rPr>
                              </w:pPr>
                              <w:r w:rsidRPr="00C44584">
                                <w:rPr>
                                  <w:b/>
                                  <w:bCs/>
                                  <w:sz w:val="18"/>
                                  <w:szCs w:val="18"/>
                                </w:rPr>
                                <w:t>Safety risk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771525" y="95250"/>
                            <a:ext cx="219075" cy="4280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6BBA" w:rsidRPr="00AF39B2" w:rsidRDefault="00B96BBA" w:rsidP="00EF00E9">
                              <w:pPr>
                                <w:rPr>
                                  <w:b/>
                                </w:rPr>
                              </w:pPr>
                              <w:r w:rsidRPr="00AF39B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057275" y="19050"/>
                            <a:ext cx="714376" cy="570695"/>
                          </a:xfrm>
                          <a:prstGeom prst="rect">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EF00E9">
                              <w:pPr>
                                <w:spacing w:before="80"/>
                                <w:jc w:val="center"/>
                                <w:rPr>
                                  <w:sz w:val="18"/>
                                  <w:szCs w:val="18"/>
                                </w:rPr>
                              </w:pPr>
                              <w:r w:rsidRPr="00C44584">
                                <w:rPr>
                                  <w:b/>
                                  <w:bCs/>
                                  <w:sz w:val="18"/>
                                  <w:szCs w:val="18"/>
                                </w:rPr>
                                <w:t>Asset failure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4638675" y="0"/>
                            <a:ext cx="953118" cy="589344"/>
                          </a:xfrm>
                          <a:prstGeom prst="rect">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EF00E9">
                              <w:pPr>
                                <w:spacing w:before="160"/>
                                <w:jc w:val="center"/>
                                <w:rPr>
                                  <w:sz w:val="18"/>
                                  <w:szCs w:val="18"/>
                                </w:rPr>
                              </w:pPr>
                              <w:r w:rsidRPr="00C44584">
                                <w:rPr>
                                  <w:b/>
                                  <w:bCs/>
                                  <w:sz w:val="18"/>
                                  <w:szCs w:val="18"/>
                                </w:rPr>
                                <w:t>Risk consequence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057400" y="19050"/>
                            <a:ext cx="1028701" cy="580201"/>
                          </a:xfrm>
                          <a:prstGeom prst="rect">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EF00E9">
                              <w:pPr>
                                <w:spacing w:before="60"/>
                                <w:jc w:val="center"/>
                                <w:rPr>
                                  <w:sz w:val="18"/>
                                  <w:szCs w:val="18"/>
                                </w:rPr>
                              </w:pPr>
                              <w:r w:rsidRPr="00C44584">
                                <w:rPr>
                                  <w:b/>
                                  <w:bCs/>
                                  <w:sz w:val="18"/>
                                  <w:szCs w:val="18"/>
                                </w:rPr>
                                <w:t xml:space="preserve">Probability of </w:t>
                              </w:r>
                              <w:r>
                                <w:rPr>
                                  <w:b/>
                                  <w:bCs/>
                                  <w:sz w:val="18"/>
                                  <w:szCs w:val="18"/>
                                </w:rPr>
                                <w:t>safety related</w:t>
                              </w:r>
                              <w:r w:rsidRPr="00C44584">
                                <w:rPr>
                                  <w:b/>
                                  <w:bCs/>
                                  <w:sz w:val="18"/>
                                  <w:szCs w:val="18"/>
                                </w:rPr>
                                <w:t xml:space="preserv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114675" y="57150"/>
                            <a:ext cx="171450" cy="4945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6BBA" w:rsidRPr="00AF39B2" w:rsidRDefault="00B96BBA" w:rsidP="00EF00E9">
                              <w:pPr>
                                <w:rPr>
                                  <w:b/>
                                </w:rPr>
                              </w:pPr>
                              <w:proofErr w:type="gramStart"/>
                              <w:r>
                                <w:rPr>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800225" y="57150"/>
                            <a:ext cx="95250" cy="39948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6BBA" w:rsidRPr="00AF39B2" w:rsidRDefault="00B96BBA" w:rsidP="00EF00E9">
                              <w:pPr>
                                <w:rPr>
                                  <w:b/>
                                </w:rPr>
                              </w:pPr>
                              <w:proofErr w:type="gramStart"/>
                              <w:r>
                                <w:rPr>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381375" y="9525"/>
                            <a:ext cx="952500" cy="589280"/>
                          </a:xfrm>
                          <a:prstGeom prst="rect">
                            <a:avLst/>
                          </a:prstGeom>
                          <a:solidFill>
                            <a:schemeClr val="accent4">
                              <a:lumMod val="20000"/>
                              <a:lumOff val="80000"/>
                            </a:schemeClr>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96BBA" w:rsidRPr="00C44584" w:rsidRDefault="00B96BBA" w:rsidP="00EF00E9">
                              <w:pPr>
                                <w:spacing w:before="80"/>
                                <w:jc w:val="center"/>
                                <w:rPr>
                                  <w:sz w:val="18"/>
                                  <w:szCs w:val="18"/>
                                </w:rPr>
                              </w:pPr>
                              <w:r>
                                <w:rPr>
                                  <w:b/>
                                  <w:bCs/>
                                  <w:sz w:val="18"/>
                                  <w:szCs w:val="18"/>
                                </w:rPr>
                                <w:t>Hazard zone occupancy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4362450" y="57150"/>
                            <a:ext cx="171450" cy="4944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6BBA" w:rsidRPr="00AF39B2" w:rsidRDefault="00B96BBA" w:rsidP="00EF00E9">
                              <w:pPr>
                                <w:rPr>
                                  <w:b/>
                                </w:rPr>
                              </w:pPr>
                              <w:proofErr w:type="gramStart"/>
                              <w:r>
                                <w:rPr>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 o:spid="_x0000_s1034" style="position:absolute;margin-left:1.5pt;margin-top:17.9pt;width:440.25pt;height:47.15pt;z-index:251669504" coordsize="55917,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">
                <v:shape id="Text Box 38" o:spid="_x0000_s1035" type="#_x0000_t202" style="position:absolute;top:381;width:7524;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c/sEA&#10;AADbAAAADwAAAGRycy9kb3ducmV2LnhtbERPy2rCQBTdF/yH4RbclGbSilJiRhFBKEEX9bG/ZK5J&#10;bOZOzEx18vfOQujycN75MphW3Kh3jWUFH0kKgri0uuFKwfGwef8C4TyyxtYyKRjIwXIxeskx0/bO&#10;P3Tb+0rEEHYZKqi97zIpXVmTQZfYjjhyZ9sb9BH2ldQ93mO4aeVnms6kwYZjQ40drWsqf/d/RsFl&#10;JzdhOHVvx7a4yOK6naY6TJUav4bVHISn4P/FT/e3VjCJY+O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WnP7BAAAA2wAAAA8AAAAAAAAAAAAAAAAAmAIAAGRycy9kb3du&#10;cmV2LnhtbFBLBQYAAAAABAAEAPUAAACGAwAAAAA=&#10;" fillcolor="white [3212]" strokecolor="#076a92 [3213]" strokeweight="2pt">
                  <v:textbox>
                    <w:txbxContent>
                      <w:p w:rsidR="00B96BBA" w:rsidRPr="00C44584" w:rsidRDefault="00B96BBA" w:rsidP="00EF00E9">
                        <w:pPr>
                          <w:spacing w:before="160"/>
                          <w:jc w:val="center"/>
                          <w:rPr>
                            <w:sz w:val="18"/>
                            <w:szCs w:val="18"/>
                          </w:rPr>
                        </w:pPr>
                        <w:r w:rsidRPr="00C44584">
                          <w:rPr>
                            <w:b/>
                            <w:bCs/>
                            <w:sz w:val="18"/>
                            <w:szCs w:val="18"/>
                          </w:rPr>
                          <w:t>Safety risk cost</w:t>
                        </w:r>
                      </w:p>
                    </w:txbxContent>
                  </v:textbox>
                </v:shape>
                <v:shape id="Text Box 39" o:spid="_x0000_s1036" type="#_x0000_t202" style="position:absolute;left:7715;top:952;width:2191;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jisQA&#10;AADbAAAADwAAAGRycy9kb3ducmV2LnhtbESPX2vCQBDE3wt+h2MF3+rFPxRNPSUo0mIF0falb0tu&#10;TYK5vZDbavz2PaHQx2FmfsMsVp2r1ZXaUHk2MBomoIhzbysuDHx9bp9noIIgW6w9k4E7BVgte08L&#10;TK2/8ZGuJylUhHBI0UAp0qRah7wkh2HoG+LonX3rUKJsC21bvEW4q/U4SV60w4rjQokNrUvKL6cf&#10;Z2A3/cbNRD7oLtwdsuxt1kzD3phBv8teQQl18h/+a79bA5M5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I4rEAAAA2wAAAA8AAAAAAAAAAAAAAAAAmAIAAGRycy9k&#10;b3ducmV2LnhtbFBLBQYAAAAABAAEAPUAAACJAwAAAAA=&#10;" fillcolor="white [3201]" strokecolor="white [3212]" strokeweight=".5pt">
                  <v:textbox>
                    <w:txbxContent>
                      <w:p w:rsidR="00B96BBA" w:rsidRPr="00AF39B2" w:rsidRDefault="00B96BBA" w:rsidP="00EF00E9">
                        <w:pPr>
                          <w:rPr>
                            <w:b/>
                          </w:rPr>
                        </w:pPr>
                        <w:r w:rsidRPr="00AF39B2">
                          <w:rPr>
                            <w:b/>
                          </w:rPr>
                          <w:t>=</w:t>
                        </w:r>
                      </w:p>
                    </w:txbxContent>
                  </v:textbox>
                </v:shape>
                <v:shape id="Text Box 40" o:spid="_x0000_s1037" type="#_x0000_t202" style="position:absolute;left:10572;top:190;width:7144;height:5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jhcEA&#10;AADbAAAADwAAAGRycy9kb3ducmV2LnhtbERPy2rCQBTdF/yH4RbclGbSolJiRhFBKEEX9bG/ZK5J&#10;bOZOzEx18vfOQujycN75MphW3Kh3jWUFH0kKgri0uuFKwfGwef8C4TyyxtYyKRjIwXIxeskx0/bO&#10;P3Tb+0rEEHYZKqi97zIpXVmTQZfYjjhyZ9sb9BH2ldQ93mO4aeVnms6kwYZjQ40drWsqf/d/RsFl&#10;JzdhOHVvx7a4yOK6naY6TJUav4bVHISn4P/FT/e3VjCJ6+O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m44XBAAAA2wAAAA8AAAAAAAAAAAAAAAAAmAIAAGRycy9kb3du&#10;cmV2LnhtbFBLBQYAAAAABAAEAPUAAACGAwAAAAA=&#10;" fillcolor="white [3212]" strokecolor="#076a92 [3213]" strokeweight="2pt">
                  <v:textbox>
                    <w:txbxContent>
                      <w:p w:rsidR="00B96BBA" w:rsidRPr="00C44584" w:rsidRDefault="00B96BBA" w:rsidP="00EF00E9">
                        <w:pPr>
                          <w:spacing w:before="80"/>
                          <w:jc w:val="center"/>
                          <w:rPr>
                            <w:sz w:val="18"/>
                            <w:szCs w:val="18"/>
                          </w:rPr>
                        </w:pPr>
                        <w:r w:rsidRPr="00C44584">
                          <w:rPr>
                            <w:b/>
                            <w:bCs/>
                            <w:sz w:val="18"/>
                            <w:szCs w:val="18"/>
                          </w:rPr>
                          <w:t>Asset failure rate</w:t>
                        </w:r>
                      </w:p>
                    </w:txbxContent>
                  </v:textbox>
                </v:shape>
                <v:shape id="Text Box 41" o:spid="_x0000_s1038" type="#_x0000_t202" style="position:absolute;left:46386;width:9531;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GHsQA&#10;AADbAAAADwAAAGRycy9kb3ducmV2LnhtbESPQWvCQBSE70L/w/IKvUjdpDRSUleRQqBIPRjT+yP7&#10;msRm38bsVtd/3xUEj8PMfMMsVsH04kSj6ywrSGcJCOLa6o4bBdW+eH4D4Tyyxt4yKbiQg9XyYbLA&#10;XNsz7+hU+kZECLscFbTeD7mUrm7JoJvZgTh6P3Y06KMcG6lHPEe46eVLksylwY7jQosDfbRU/5Z/&#10;RsFhK4tw+R6mVb85yM3xK0t0yJR6egzrdxCegr+Hb+1PreA1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Rh7EAAAA2wAAAA8AAAAAAAAAAAAAAAAAmAIAAGRycy9k&#10;b3ducmV2LnhtbFBLBQYAAAAABAAEAPUAAACJAwAAAAA=&#10;" fillcolor="white [3212]" strokecolor="#076a92 [3213]" strokeweight="2pt">
                  <v:textbox>
                    <w:txbxContent>
                      <w:p w:rsidR="00B96BBA" w:rsidRPr="00C44584" w:rsidRDefault="00B96BBA" w:rsidP="00EF00E9">
                        <w:pPr>
                          <w:spacing w:before="160"/>
                          <w:jc w:val="center"/>
                          <w:rPr>
                            <w:sz w:val="18"/>
                            <w:szCs w:val="18"/>
                          </w:rPr>
                        </w:pPr>
                        <w:r w:rsidRPr="00C44584">
                          <w:rPr>
                            <w:b/>
                            <w:bCs/>
                            <w:sz w:val="18"/>
                            <w:szCs w:val="18"/>
                          </w:rPr>
                          <w:t>Risk consequence</w:t>
                        </w:r>
                      </w:p>
                    </w:txbxContent>
                  </v:textbox>
                </v:shape>
                <v:shape id="Text Box 42" o:spid="_x0000_s1039" type="#_x0000_t202" style="position:absolute;left:20574;top:190;width:10287;height:5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YacQA&#10;AADbAAAADwAAAGRycy9kb3ducmV2LnhtbESPQWvCQBSE74X+h+UVeil1o6iU1E0QQSihPajp/ZF9&#10;TWKzb2N2q5t/7xYEj8PMfMOs8mA6cabBtZYVTCcJCOLK6pZrBeVh+/oGwnlkjZ1lUjCSgzx7fFhh&#10;qu2Fd3Te+1pECLsUFTTe96mUrmrIoJvYnjh6P3Yw6KMcaqkHvES46eQsSZbSYMtxocGeNg1Vv/s/&#10;o+D4Jbdh/O5fyq44yuL0uUh0WCj1/BTW7yA8BX8P39ofWsF8Bv9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42GnEAAAA2wAAAA8AAAAAAAAAAAAAAAAAmAIAAGRycy9k&#10;b3ducmV2LnhtbFBLBQYAAAAABAAEAPUAAACJAwAAAAA=&#10;" fillcolor="white [3212]" strokecolor="#076a92 [3213]" strokeweight="2pt">
                  <v:textbox>
                    <w:txbxContent>
                      <w:p w:rsidR="00B96BBA" w:rsidRPr="00C44584" w:rsidRDefault="00B96BBA" w:rsidP="00EF00E9">
                        <w:pPr>
                          <w:spacing w:before="60"/>
                          <w:jc w:val="center"/>
                          <w:rPr>
                            <w:sz w:val="18"/>
                            <w:szCs w:val="18"/>
                          </w:rPr>
                        </w:pPr>
                        <w:r w:rsidRPr="00C44584">
                          <w:rPr>
                            <w:b/>
                            <w:bCs/>
                            <w:sz w:val="18"/>
                            <w:szCs w:val="18"/>
                          </w:rPr>
                          <w:t xml:space="preserve">Probability of </w:t>
                        </w:r>
                        <w:r>
                          <w:rPr>
                            <w:b/>
                            <w:bCs/>
                            <w:sz w:val="18"/>
                            <w:szCs w:val="18"/>
                          </w:rPr>
                          <w:t>safety related</w:t>
                        </w:r>
                        <w:r w:rsidRPr="00C44584">
                          <w:rPr>
                            <w:b/>
                            <w:bCs/>
                            <w:sz w:val="18"/>
                            <w:szCs w:val="18"/>
                          </w:rPr>
                          <w:t xml:space="preserve"> failure</w:t>
                        </w:r>
                      </w:p>
                    </w:txbxContent>
                  </v:textbox>
                </v:shape>
                <v:shape id="Text Box 43" o:spid="_x0000_s1040" type="#_x0000_t202" style="position:absolute;left:31146;top:571;width:1715;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nHcQA&#10;AADbAAAADwAAAGRycy9kb3ducmV2LnhtbESPX2vCQBDE3wW/w7FC3/RiDSLRU0JLaWkL4p8X35bc&#10;mgRzeyG31fjte4WCj8PM/IZZbXrXqCt1ofZsYDpJQBEX3tZcGjge3sYLUEGQLTaeycCdAmzWw8EK&#10;M+tvvKPrXkoVIRwyNFCJtJnWoajIYZj4ljh6Z985lCi7UtsObxHuGv2cJHPtsOa4UGFLLxUVl/2P&#10;M/CZnvB1Jl90F+63ef6+aNPwbczTqM+XoIR6eYT/2x/WQDqD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x3EAAAA2wAAAA8AAAAAAAAAAAAAAAAAmAIAAGRycy9k&#10;b3ducmV2LnhtbFBLBQYAAAAABAAEAPUAAACJAwAAAAA=&#10;" fillcolor="white [3201]" strokecolor="white [3212]" strokeweight=".5pt">
                  <v:textbox>
                    <w:txbxContent>
                      <w:p w:rsidR="00B96BBA" w:rsidRPr="00AF39B2" w:rsidRDefault="00B96BBA" w:rsidP="00EF00E9">
                        <w:pPr>
                          <w:rPr>
                            <w:b/>
                          </w:rPr>
                        </w:pPr>
                        <w:r>
                          <w:rPr>
                            <w:b/>
                          </w:rPr>
                          <w:t>x</w:t>
                        </w:r>
                      </w:p>
                    </w:txbxContent>
                  </v:textbox>
                </v:shape>
                <v:shape id="Text Box 44" o:spid="_x0000_s1041" type="#_x0000_t202" style="position:absolute;left:18002;top:571;width:952;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acMA&#10;AADbAAAADwAAAGRycy9kb3ducmV2LnhtbESPX2vCQBDE3wW/w7FC3/RiDSKppwRLsdSC+Oelb0tu&#10;m4Tm9kJuq/Hb94SCj8PM/IZZrnvXqAt1ofZsYDpJQBEX3tZcGjif3sYLUEGQLTaeycCNAqxXw8ES&#10;M+uvfKDLUUoVIRwyNFCJtJnWoajIYZj4ljh6375zKFF2pbYdXiPcNfo5SebaYc1xocKWNhUVP8df&#10;Z+Aj/cLXmezoJtzv83y7aNPwaczTqM9fQAn18gj/t9+tgTSF+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acMAAADbAAAADwAAAAAAAAAAAAAAAACYAgAAZHJzL2Rv&#10;d25yZXYueG1sUEsFBgAAAAAEAAQA9QAAAIgDAAAAAA==&#10;" fillcolor="white [3201]" strokecolor="white [3212]" strokeweight=".5pt">
                  <v:textbox>
                    <w:txbxContent>
                      <w:p w:rsidR="00B96BBA" w:rsidRPr="00AF39B2" w:rsidRDefault="00B96BBA" w:rsidP="00EF00E9">
                        <w:pPr>
                          <w:rPr>
                            <w:b/>
                          </w:rPr>
                        </w:pPr>
                        <w:r>
                          <w:rPr>
                            <w:b/>
                          </w:rPr>
                          <w:t>x</w:t>
                        </w:r>
                      </w:p>
                    </w:txbxContent>
                  </v:textbox>
                </v:shape>
                <v:shape id="Text Box 45" o:spid="_x0000_s1042" type="#_x0000_t202" style="position:absolute;left:33813;top:95;width:9525;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K4cMA&#10;AADbAAAADwAAAGRycy9kb3ducmV2LnhtbESPX2vCQBDE34V+h2MLvuml4r+mniKC1jdRC31dctsk&#10;mNsLuTWJ374nFPo4zMxvmNWmd5VqqQmlZwNv4wQUceZtybmBr+t+tAQVBNli5ZkMPCjAZv0yWGFq&#10;fcdnai+SqwjhkKKBQqROtQ5ZQQ7D2NfE0fvxjUOJssm1bbCLcFfpSZLMtcOS40KBNe0Kym6XuzMg&#10;i/v37SDL7uQ/3+eLgz09kllrzPC1336AEurlP/zXPloD0xk8v8Q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aK4cMAAADbAAAADwAAAAAAAAAAAAAAAACYAgAAZHJzL2Rv&#10;d25yZXYueG1sUEsFBgAAAAAEAAQA9QAAAIgDAAAAAA==&#10;" fillcolor="#ffbfbf [663]" strokecolor="#076a92 [3213]" strokeweight="2pt">
                  <v:textbox>
                    <w:txbxContent>
                      <w:p w:rsidR="00B96BBA" w:rsidRPr="00C44584" w:rsidRDefault="00B96BBA" w:rsidP="00EF00E9">
                        <w:pPr>
                          <w:spacing w:before="80"/>
                          <w:jc w:val="center"/>
                          <w:rPr>
                            <w:sz w:val="18"/>
                            <w:szCs w:val="18"/>
                          </w:rPr>
                        </w:pPr>
                        <w:r>
                          <w:rPr>
                            <w:b/>
                            <w:bCs/>
                            <w:sz w:val="18"/>
                            <w:szCs w:val="18"/>
                          </w:rPr>
                          <w:t>Hazard zone occupancy rate</w:t>
                        </w:r>
                      </w:p>
                    </w:txbxContent>
                  </v:textbox>
                </v:shape>
                <v:shape id="Text Box 46" o:spid="_x0000_s1043" type="#_x0000_t202" style="position:absolute;left:43624;top:571;width:1715;height:4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hcQA&#10;AADbAAAADwAAAGRycy9kb3ducmV2LnhtbESPX2vCQBDE3wt+h2OFvulFG0Sip4QWaWkF8c+Lb0tu&#10;TYK5vZDbavz2vUKhj8PM/IZZrnvXqBt1ofZsYDJOQBEX3tZcGjgdN6M5qCDIFhvPZOBBAdarwdMS&#10;M+vvvKfbQUoVIRwyNFCJtJnWoajIYRj7ljh6F985lCi7UtsO7xHuGj1Nkpl2WHNcqLCl14qK6+Hb&#10;GfhMz/j2Il/0EO53ef4+b9OwNeZ52OcLUEK9/If/2h/WQDqD3y/x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IXEAAAA2wAAAA8AAAAAAAAAAAAAAAAAmAIAAGRycy9k&#10;b3ducmV2LnhtbFBLBQYAAAAABAAEAPUAAACJAwAAAAA=&#10;" fillcolor="white [3201]" strokecolor="white [3212]" strokeweight=".5pt">
                  <v:textbox>
                    <w:txbxContent>
                      <w:p w:rsidR="00B96BBA" w:rsidRPr="00AF39B2" w:rsidRDefault="00B96BBA" w:rsidP="00EF00E9">
                        <w:pPr>
                          <w:rPr>
                            <w:b/>
                          </w:rPr>
                        </w:pPr>
                        <w:r>
                          <w:rPr>
                            <w:b/>
                          </w:rPr>
                          <w:t>x</w:t>
                        </w:r>
                      </w:p>
                    </w:txbxContent>
                  </v:textbox>
                </v:shape>
              </v:group>
            </w:pict>
          </mc:Fallback>
        </mc:AlternateContent>
      </w:r>
    </w:p>
    <w:p w:rsidR="00EF00E9" w:rsidRPr="00EF00E9" w:rsidRDefault="00EF00E9" w:rsidP="00EF00E9"/>
    <w:p w:rsidR="00EF00E9" w:rsidRPr="00EF00E9" w:rsidRDefault="00EF00E9" w:rsidP="00EF00E9"/>
    <w:p w:rsidR="00EF00E9" w:rsidRPr="00EF00E9" w:rsidRDefault="00EF00E9" w:rsidP="00EF00E9">
      <w:r w:rsidRPr="00EF00E9">
        <w:t xml:space="preserve">The question then becomes what is a realistic estimate of the likelihood that a person will be in the vicinity of a transmission network asset when it fails—the hazard zone occupancy rate. </w:t>
      </w:r>
      <w:r w:rsidR="00B96BBA">
        <w:t>For</w:t>
      </w:r>
      <w:r w:rsidRPr="00EF00E9">
        <w:t xml:space="preserve"> this draf</w:t>
      </w:r>
      <w:r w:rsidR="00B96BBA">
        <w:t>t decision, we have</w:t>
      </w:r>
      <w:r w:rsidRPr="00EF00E9">
        <w:t xml:space="preserve"> estimate</w:t>
      </w:r>
      <w:r w:rsidR="00B96BBA">
        <w:t>d</w:t>
      </w:r>
      <w:r w:rsidRPr="00EF00E9">
        <w:t xml:space="preserve"> the likely hazard zone occupancy rate with regard to:</w:t>
      </w:r>
    </w:p>
    <w:p w:rsidR="00EF00E9" w:rsidRPr="00EF00E9" w:rsidRDefault="00EF00E9" w:rsidP="00EF00E9">
      <w:pPr>
        <w:pStyle w:val="AERbulletlistfirststyle"/>
      </w:pPr>
      <w:r w:rsidRPr="00EF00E9">
        <w:t>the physical characteristics and operating environment of AusNet Services transmission network</w:t>
      </w:r>
    </w:p>
    <w:p w:rsidR="00EF00E9" w:rsidRPr="00EF00E9" w:rsidRDefault="00EF00E9" w:rsidP="00EF00E9">
      <w:pPr>
        <w:pStyle w:val="AERbulletlistfirststyle"/>
      </w:pPr>
      <w:proofErr w:type="gramStart"/>
      <w:r w:rsidRPr="00EF00E9">
        <w:t>the</w:t>
      </w:r>
      <w:proofErr w:type="gramEnd"/>
      <w:r w:rsidRPr="00EF00E9">
        <w:t xml:space="preserve"> effect of existing safety controls which mitigate the risk of asset failure and limit exposure to potentially dangerous equipment.</w:t>
      </w:r>
    </w:p>
    <w:p w:rsidR="00EF00E9" w:rsidRPr="00EF00E9" w:rsidRDefault="00EF00E9" w:rsidP="00EF00E9">
      <w:r w:rsidRPr="00EF00E9">
        <w:t>These factors are discussed in turn below.</w:t>
      </w:r>
    </w:p>
    <w:p w:rsidR="00EF00E9" w:rsidRPr="00EF00E9" w:rsidRDefault="00EF00E9" w:rsidP="00EF00E9">
      <w:pPr>
        <w:pStyle w:val="HeadingOrange"/>
      </w:pPr>
      <w:bookmarkStart w:id="84" w:name="_Toc456608810"/>
      <w:r w:rsidRPr="00EF00E9">
        <w:t>AusNet Services’ operating environment</w:t>
      </w:r>
      <w:bookmarkEnd w:id="84"/>
    </w:p>
    <w:p w:rsidR="00EF00E9" w:rsidRPr="00EF00E9" w:rsidRDefault="00EF00E9" w:rsidP="00EF00E9">
      <w:r w:rsidRPr="00EF00E9">
        <w:t>AusNet Services’ transmission network consists of high voltage lines supported by tower structures running through dedicated easements to connect generation facilities with distribution loads at terminal stations. The location and nature of these assets, together with the asset management practices applied in operating, maintaining and refurbishing them, determine the typical length of time that employees might work in proximity to each asset in any given year.</w:t>
      </w:r>
    </w:p>
    <w:p w:rsidR="00EF00E9" w:rsidRPr="00EF00E9" w:rsidRDefault="00EF00E9" w:rsidP="00EF00E9">
      <w:r w:rsidRPr="00EF00E9">
        <w:lastRenderedPageBreak/>
        <w:t>Electricity transmission network assets typically have long asset lives, in the order of 40 to 70 years in most cases. They also require relatively little physical intervention in terms of visual inspection, maintenance or refurbishment in order to continue operating in a safe and reliable manner over their designed life expectancy.</w:t>
      </w:r>
    </w:p>
    <w:p w:rsidR="00EF00E9" w:rsidRPr="00EF00E9" w:rsidRDefault="00EF00E9" w:rsidP="00EF00E9">
      <w:r w:rsidRPr="00EF00E9">
        <w:t xml:space="preserve">As such, AusNet Services' terminal stations are not permanently staffed, and consist of large secure areas visited only periodically </w:t>
      </w:r>
      <w:r w:rsidR="00D05480">
        <w:t>by trained staff to undertake</w:t>
      </w:r>
      <w:r w:rsidRPr="00EF00E9">
        <w:t xml:space="preserve">: </w:t>
      </w:r>
    </w:p>
    <w:p w:rsidR="00EF00E9" w:rsidRPr="00EF00E9" w:rsidRDefault="00EF00E9" w:rsidP="00EF00E9">
      <w:pPr>
        <w:pStyle w:val="AERbulletlistfirststyle"/>
      </w:pPr>
      <w:r w:rsidRPr="00EF00E9">
        <w:t>routine inspection and operation work – for example, annual diagnostic testing as part of a condition monitoring program, though operational and monitoring work is increasingly conducted remotely through automated network operations and non-intrusive scanning techniques</w:t>
      </w:r>
    </w:p>
    <w:p w:rsidR="00EF00E9" w:rsidRPr="00EF00E9" w:rsidRDefault="00EF00E9" w:rsidP="00EF00E9">
      <w:pPr>
        <w:pStyle w:val="AERbulletlistfirststyle"/>
      </w:pPr>
      <w:r w:rsidRPr="00EF00E9">
        <w:t>periodic maintenance work – most assets require some periodic maintenance (for example every 5–10 years) to ensure continued safe operation and achievement of expected asset life</w:t>
      </w:r>
    </w:p>
    <w:p w:rsidR="00EF00E9" w:rsidRPr="00EF00E9" w:rsidRDefault="00EF00E9" w:rsidP="00EF00E9">
      <w:pPr>
        <w:pStyle w:val="AERbulletlistfirststyle"/>
      </w:pPr>
      <w:r w:rsidRPr="00EF00E9">
        <w:t>major rebuild or refurbishment work – undertaken when assets are nearing end of life (for example, 50 to 60 years after installation)</w:t>
      </w:r>
    </w:p>
    <w:p w:rsidR="00D05480" w:rsidRPr="00D05480" w:rsidRDefault="00D05480" w:rsidP="00D05480">
      <w:r w:rsidRPr="00D05480">
        <w:t>On this basis, we consider that an AusNet Services employee or member of the public is more likely to be in the immediate vicinity of any given station asset for the equivalent of only a few days in any year rather than the 24 hour / 7 day basis assumed by AusNet Services. This estimate is an approximation informed by our internal engineering and technical expertise, and knowledge of network asse</w:t>
      </w:r>
      <w:r w:rsidR="00A47F92">
        <w:t>t management practices regarding</w:t>
      </w:r>
      <w:r w:rsidRPr="00D05480">
        <w:t xml:space="preserve"> the typical frequency and duration of employee attendance at a terminal station site in an average year, as set out below:</w:t>
      </w:r>
    </w:p>
    <w:p w:rsidR="00D05480" w:rsidRPr="00D05480" w:rsidRDefault="00D05480" w:rsidP="00D05480">
      <w:pPr>
        <w:pStyle w:val="AERbulletlistfirststyle"/>
      </w:pPr>
      <w:r w:rsidRPr="00D05480">
        <w:t>operations – an average crew of two people, on site on one occasion each year, for a total annual switchyard exposure of approximately one hour per year</w:t>
      </w:r>
    </w:p>
    <w:p w:rsidR="00D05480" w:rsidRPr="00D05480" w:rsidRDefault="00D05480" w:rsidP="00D05480">
      <w:pPr>
        <w:pStyle w:val="AERbulletlistfirststyle"/>
      </w:pPr>
      <w:r w:rsidRPr="00D05480">
        <w:t>inspections – an average crew of two people, on site on two occasions each year, for a total annual switchyard exposure of approximately four hours per year</w:t>
      </w:r>
    </w:p>
    <w:p w:rsidR="00D05480" w:rsidRPr="00D05480" w:rsidRDefault="00D05480" w:rsidP="00D05480">
      <w:pPr>
        <w:pStyle w:val="AERbulletlistfirststyle"/>
      </w:pPr>
      <w:r w:rsidRPr="00D05480">
        <w:t>periodic maintenance – an average crew of six people, on site for one week every five years, for a total annual switchyard exposure of approximately 30 hours per year</w:t>
      </w:r>
    </w:p>
    <w:p w:rsidR="00D05480" w:rsidRPr="00D05480" w:rsidRDefault="00D05480" w:rsidP="00D05480">
      <w:pPr>
        <w:pStyle w:val="AERbulletlistfirststyle"/>
      </w:pPr>
      <w:r w:rsidRPr="00D05480">
        <w:t xml:space="preserve">major refurbishment – an average crew of ten people, on site for twelve weeks every fifty years, for a total annual switchyard exposure of approximately 60 hours per year.  </w:t>
      </w:r>
    </w:p>
    <w:p w:rsidR="00EF00E9" w:rsidRDefault="00D05480" w:rsidP="00D05480">
      <w:r w:rsidRPr="00D05480">
        <w:t>Our assumptions suggest that a hazard zone occupancy rate of around 95 hours per year, or approximately 1 per cent of the time in any yea</w:t>
      </w:r>
      <w:r>
        <w:t>r (8,760 hours) rather than 100 </w:t>
      </w:r>
      <w:r w:rsidRPr="00D05480">
        <w:t xml:space="preserve">per cent as AusNet Services assumes in its cost of risk calculations, is likely to represent a more realistic order of magnitude for this probability. We consider our estimate is a more realistic input assumption to quantify safety risks and therefore the </w:t>
      </w:r>
      <w:r w:rsidRPr="00D05480">
        <w:lastRenderedPageBreak/>
        <w:t>prudent volume of asset replacement expenditure required to achieve the capex objectives</w:t>
      </w:r>
      <w:r w:rsidR="00EF00E9" w:rsidRPr="00EF00E9">
        <w:t>.</w:t>
      </w:r>
      <w:r w:rsidR="00EF00E9" w:rsidRPr="00EF00E9">
        <w:rPr>
          <w:rStyle w:val="FootnoteReference"/>
        </w:rPr>
        <w:footnoteReference w:id="86"/>
      </w:r>
    </w:p>
    <w:p w:rsidR="00EF00E9" w:rsidRPr="00EF00E9" w:rsidRDefault="00EF00E9" w:rsidP="00EF00E9">
      <w:pPr>
        <w:pStyle w:val="HeadingOrange"/>
      </w:pPr>
      <w:bookmarkStart w:id="85" w:name="_Toc456608811"/>
      <w:r w:rsidRPr="00EF00E9">
        <w:t>AusNet Services’ safety risk controls</w:t>
      </w:r>
      <w:bookmarkEnd w:id="85"/>
    </w:p>
    <w:p w:rsidR="00EF00E9" w:rsidRPr="00EF00E9" w:rsidRDefault="00EF00E9" w:rsidP="00EF00E9">
      <w:r w:rsidRPr="00EF00E9">
        <w:t>The National Electricity Objective encourages efficient investment in, and efficient operation and use of electricity services with respect to (amongst other things) the safety of electricity supply and the national electricity system.</w:t>
      </w:r>
      <w:r w:rsidRPr="00EF00E9">
        <w:rPr>
          <w:rStyle w:val="FootnoteReference"/>
        </w:rPr>
        <w:footnoteReference w:id="87"/>
      </w:r>
      <w:r w:rsidRPr="00EF00E9">
        <w:t xml:space="preserve"> We are required to approve a capex forecast if we are satisfied the expenditure reasonably reflects the efficient costs that a prudent operator would require to achieve the capex objectives, which include maintaining the safety of the transmission system through the supply of prescribed transmission services.</w:t>
      </w:r>
      <w:r w:rsidRPr="00EF00E9">
        <w:rPr>
          <w:rStyle w:val="FootnoteReference"/>
        </w:rPr>
        <w:footnoteReference w:id="88"/>
      </w:r>
      <w:r w:rsidRPr="00EF00E9">
        <w:t xml:space="preserve"> Consistent with these objectives, AusNet Services incurs both operating and capital expenditures which directly or indirectly address safety risk for both employees and the public. Further, AusNet Services operates its network in accordance with technical and occupational health and safety standards, policies, work practices and procedures designed to minimise hazards and maintain a safe working environment.</w:t>
      </w:r>
      <w:r w:rsidRPr="00EF00E9">
        <w:rPr>
          <w:rStyle w:val="FootnoteReference"/>
        </w:rPr>
        <w:footnoteReference w:id="89"/>
      </w:r>
    </w:p>
    <w:p w:rsidR="00EF00E9" w:rsidRPr="00EF00E9" w:rsidRDefault="00EF00E9" w:rsidP="00EF00E9">
      <w:r w:rsidRPr="00EF00E9">
        <w:t>AusNet Services’ risk management framework states that:</w:t>
      </w:r>
      <w:r w:rsidRPr="00EF00E9">
        <w:rPr>
          <w:rStyle w:val="FootnoteReference"/>
        </w:rPr>
        <w:footnoteReference w:id="90"/>
      </w:r>
    </w:p>
    <w:p w:rsidR="00EF00E9" w:rsidRPr="00EF00E9" w:rsidRDefault="00EF00E9" w:rsidP="00EF00E9">
      <w:pPr>
        <w:pStyle w:val="AERquote"/>
      </w:pPr>
      <w:r w:rsidRPr="00EF00E9">
        <w:t>Potential Exposure will be estimated for each risk in terms of the total plausible worse case impact arising from a risk assuming all current controls fail.</w:t>
      </w:r>
    </w:p>
    <w:p w:rsidR="00EF00E9" w:rsidRPr="00EF00E9" w:rsidRDefault="00EF00E9" w:rsidP="00EF00E9">
      <w:r w:rsidRPr="00EF00E9">
        <w:t>This may be a legitimate assumption in the context of assessing the maximum possible consequences of safety risks, as it accounts for the full potential consequence in the event that a risk materialises. However, in quantifying the actual risk cost and therefore the benefit that might be achieved by eliminating that risk, it is important to also account for the likelihood of the risk materialising. To some extent, this depends on the controls in place to manage or mitigate that risk.</w:t>
      </w:r>
    </w:p>
    <w:p w:rsidR="00EF00E9" w:rsidRPr="00EF00E9" w:rsidRDefault="00EF00E9" w:rsidP="00EF00E9">
      <w:r w:rsidRPr="00EF00E9">
        <w:t>The list below sets out some examples of the risk controls and programs that AusNet Services has in place to avoid, mitigate or manage safety consequences which might arise from an asset failure:</w:t>
      </w:r>
    </w:p>
    <w:p w:rsidR="00EF00E9" w:rsidRPr="00EF00E9" w:rsidRDefault="00EF00E9" w:rsidP="00EF00E9">
      <w:pPr>
        <w:pStyle w:val="AERbulletlistfirststyle"/>
      </w:pPr>
      <w:r w:rsidRPr="00EF00E9">
        <w:t>employee safety training, safe working practices and personal safety equipment such as pocket sized electromagnetic frequency devices for personal protection and warning</w:t>
      </w:r>
      <w:r w:rsidRPr="00EF00E9">
        <w:rPr>
          <w:rStyle w:val="FootnoteReference"/>
        </w:rPr>
        <w:footnoteReference w:id="91"/>
      </w:r>
    </w:p>
    <w:p w:rsidR="00EF00E9" w:rsidRPr="00EF00E9" w:rsidRDefault="00EF00E9" w:rsidP="00EF00E9">
      <w:pPr>
        <w:pStyle w:val="AERbulletlistfirststyle"/>
      </w:pPr>
      <w:r w:rsidRPr="00EF00E9">
        <w:t>inst</w:t>
      </w:r>
      <w:r w:rsidR="00D05480">
        <w:t xml:space="preserve">allation of </w:t>
      </w:r>
      <w:r w:rsidRPr="00EF00E9">
        <w:t>fall arrest systems</w:t>
      </w:r>
      <w:r w:rsidR="00D05480">
        <w:t xml:space="preserve"> and maintenance access systems on station racks and transformers</w:t>
      </w:r>
      <w:r w:rsidRPr="00EF00E9">
        <w:rPr>
          <w:rStyle w:val="FootnoteReference"/>
        </w:rPr>
        <w:footnoteReference w:id="92"/>
      </w:r>
    </w:p>
    <w:p w:rsidR="00EF00E9" w:rsidRPr="00EF00E9" w:rsidRDefault="00EF00E9" w:rsidP="00EF00E9">
      <w:pPr>
        <w:pStyle w:val="AERbulletlistfirststyle"/>
        <w:rPr>
          <w:rStyle w:val="FootnoteReference"/>
        </w:rPr>
      </w:pPr>
      <w:r w:rsidRPr="00EF00E9">
        <w:lastRenderedPageBreak/>
        <w:t>insulator replacement and condition monitoring programs, and increased use of non-ceramic insulators with non-hazardous failure modes</w:t>
      </w:r>
      <w:r w:rsidRPr="00EF00E9">
        <w:rPr>
          <w:rStyle w:val="FootnoteReference"/>
        </w:rPr>
        <w:footnoteReference w:id="93"/>
      </w:r>
    </w:p>
    <w:p w:rsidR="00EF00E9" w:rsidRPr="00EF00E9" w:rsidRDefault="00EF00E9" w:rsidP="00EF00E9">
      <w:pPr>
        <w:pStyle w:val="AERbulletlistfirststyle"/>
      </w:pPr>
      <w:r w:rsidRPr="00EF00E9">
        <w:t>terminal station infrastructure security, including fencing, CCTV surveillance, lighting and access control to prevent unauthorised access to terminal station areas</w:t>
      </w:r>
      <w:r w:rsidRPr="00EF00E9">
        <w:rPr>
          <w:rStyle w:val="FootnoteReference"/>
        </w:rPr>
        <w:footnoteReference w:id="94"/>
      </w:r>
    </w:p>
    <w:p w:rsidR="00EF00E9" w:rsidRPr="00EF00E9" w:rsidRDefault="00EF00E9" w:rsidP="00EF00E9">
      <w:pPr>
        <w:pStyle w:val="AERbulletlistfirststyle"/>
      </w:pPr>
      <w:r w:rsidRPr="00EF00E9">
        <w:t>fire protection systems, designed to extinguish fires which may ignite around terminal station assets or in station buildings</w:t>
      </w:r>
      <w:r w:rsidRPr="00EF00E9">
        <w:rPr>
          <w:rStyle w:val="FootnoteReference"/>
        </w:rPr>
        <w:footnoteReference w:id="95"/>
      </w:r>
    </w:p>
    <w:p w:rsidR="00EF00E9" w:rsidRPr="00EF00E9" w:rsidRDefault="00EF00E9" w:rsidP="00EF00E9">
      <w:pPr>
        <w:pStyle w:val="AERbulletlistfirststyle"/>
      </w:pPr>
      <w:r w:rsidRPr="00EF00E9">
        <w:t>the application of modern, safe station design, including separation of control buildings from switchyard areas and the installation of sound and blast walls, railings and fall arrest systems</w:t>
      </w:r>
      <w:r w:rsidRPr="00EF00E9">
        <w:rPr>
          <w:rStyle w:val="FootnoteReference"/>
        </w:rPr>
        <w:footnoteReference w:id="96"/>
      </w:r>
    </w:p>
    <w:p w:rsidR="00EF00E9" w:rsidRPr="00EF00E9" w:rsidRDefault="00EF00E9" w:rsidP="00EF00E9">
      <w:pPr>
        <w:pStyle w:val="AERbulletlistfirststyle"/>
      </w:pPr>
      <w:r w:rsidRPr="00EF00E9">
        <w:t>condition monitoring and diagnostic testing such as oil testing and dissolved gas analysis, moisture and sulphur dioxide checks, and real time online monitoring of circuit breakers, capacitor voltage transformers and power transformers which assists in both avoiding imminent failures and developing trends for failure probability</w:t>
      </w:r>
      <w:r w:rsidRPr="00EF00E9">
        <w:rPr>
          <w:rStyle w:val="FootnoteReference"/>
        </w:rPr>
        <w:footnoteReference w:id="97"/>
      </w:r>
    </w:p>
    <w:p w:rsidR="00EF00E9" w:rsidRPr="00EF00E9" w:rsidRDefault="00EF00E9" w:rsidP="00EF00E9">
      <w:pPr>
        <w:pStyle w:val="AERbulletlistfirststyle"/>
      </w:pPr>
      <w:proofErr w:type="gramStart"/>
      <w:r w:rsidRPr="00EF00E9">
        <w:t>de-energising</w:t>
      </w:r>
      <w:proofErr w:type="gramEnd"/>
      <w:r w:rsidRPr="00EF00E9">
        <w:t xml:space="preserve"> equipment during planned refurbishment, maintenance and testing work. For example, AusNet Services undertakes the following condition monitoring work while equipment is off-line: power transformer condition monitoring, circuit breaker interrupter contact resistance tests, circuit breaker operating time tests, motor testing on motorised disconnectors, and insulator voltage tests</w:t>
      </w:r>
      <w:r w:rsidRPr="00EF00E9">
        <w:rPr>
          <w:rStyle w:val="FootnoteReference"/>
        </w:rPr>
        <w:footnoteReference w:id="98"/>
      </w:r>
    </w:p>
    <w:p w:rsidR="00EF00E9" w:rsidRPr="00EF00E9" w:rsidRDefault="00EF00E9" w:rsidP="00EF00E9">
      <w:pPr>
        <w:pStyle w:val="AERbulletlistfirststyle"/>
      </w:pPr>
      <w:r w:rsidRPr="00EF00E9">
        <w:t>use of portable and fixed radio frequency (RF) partial discharge scanners to identify faults and impending failures on substation equipment:</w:t>
      </w:r>
    </w:p>
    <w:p w:rsidR="00EF00E9" w:rsidRPr="00EF00E9" w:rsidRDefault="00EF00E9" w:rsidP="00EF00E9">
      <w:pPr>
        <w:pStyle w:val="AERbulletlistsecondstyle"/>
      </w:pPr>
      <w:r w:rsidRPr="00EF00E9">
        <w:t>AusNet Services described RF scanning as ‘the most powerful technique available to date to avoid potential explosive or hazardous failures impinging network reliability and people safety’.</w:t>
      </w:r>
      <w:r w:rsidRPr="00EF00E9">
        <w:rPr>
          <w:rStyle w:val="FootnoteReference"/>
        </w:rPr>
        <w:footnoteReference w:id="99"/>
      </w:r>
      <w:r w:rsidRPr="00EF00E9">
        <w:rPr>
          <w:rStyle w:val="FootnoteReference"/>
        </w:rPr>
        <w:t xml:space="preserve"> </w:t>
      </w:r>
    </w:p>
    <w:p w:rsidR="00EF00E9" w:rsidRPr="00EF00E9" w:rsidRDefault="00EF00E9" w:rsidP="00EF00E9">
      <w:pPr>
        <w:pStyle w:val="AERbulletlistsecondstyle"/>
      </w:pPr>
      <w:r w:rsidRPr="00EF00E9">
        <w:t>AusNet Services submitted that portable RF scanning has been used extensively in the current regulatory control period to avoid potential explosive failures and ensure safe working areas for maintenance and augmentation projects.</w:t>
      </w:r>
      <w:r w:rsidRPr="00EF00E9">
        <w:rPr>
          <w:rStyle w:val="FootnoteReference"/>
        </w:rPr>
        <w:footnoteReference w:id="100"/>
      </w:r>
      <w:r w:rsidRPr="00EF00E9">
        <w:rPr>
          <w:rStyle w:val="FootnoteReference"/>
        </w:rPr>
        <w:t xml:space="preserve"> </w:t>
      </w:r>
    </w:p>
    <w:p w:rsidR="00EF00E9" w:rsidRPr="00EF00E9" w:rsidRDefault="00EF00E9" w:rsidP="00EF00E9">
      <w:pPr>
        <w:pStyle w:val="AERbulletlistsecondstyle"/>
      </w:pPr>
      <w:r w:rsidRPr="00EF00E9">
        <w:t xml:space="preserve">AusNet Services has also developed a fixed RF monitoring system capable of detecting partial discharge activity across an entire terminal station, non-intrusively and on a 24 hour / 7 day basis. This technology is in place at the </w:t>
      </w:r>
      <w:r w:rsidRPr="00EF00E9">
        <w:lastRenderedPageBreak/>
        <w:t>Springvale terminal station, and will be deployed at other terminal stations where major work is planned, which are the highest risk sites due to asset age, condition and worker exposure.</w:t>
      </w:r>
      <w:r w:rsidRPr="00EF00E9">
        <w:rPr>
          <w:rStyle w:val="FootnoteReference"/>
        </w:rPr>
        <w:footnoteReference w:id="101"/>
      </w:r>
    </w:p>
    <w:p w:rsidR="00EF00E9" w:rsidRPr="00EF00E9" w:rsidRDefault="00EF00E9" w:rsidP="00EF00E9">
      <w:r w:rsidRPr="00EF00E9">
        <w:t>The overall purpose and effect of the measures outlined above is to, in various ways, mitigate or eliminate safety risks and maintain a safe working environment for employees. Practically, these measures have the effect of both:</w:t>
      </w:r>
    </w:p>
    <w:p w:rsidR="00EF00E9" w:rsidRPr="00EF00E9" w:rsidRDefault="00EF00E9" w:rsidP="00EF00E9">
      <w:pPr>
        <w:pStyle w:val="AERbulletlistfirststyle"/>
      </w:pPr>
      <w:r w:rsidRPr="00EF00E9">
        <w:t>reducing the need for employees to work in close proximity to potentially hazardous equipment, thereby reducing the hazard zone occupancy rate (for example, through the use of non-invasive station scanning and remote operations), and</w:t>
      </w:r>
    </w:p>
    <w:p w:rsidR="00EF00E9" w:rsidRPr="00EF00E9" w:rsidRDefault="00EF00E9" w:rsidP="00EF00E9">
      <w:pPr>
        <w:pStyle w:val="AERbulletlistfirststyle"/>
      </w:pPr>
      <w:proofErr w:type="gramStart"/>
      <w:r w:rsidRPr="00EF00E9">
        <w:t>making</w:t>
      </w:r>
      <w:proofErr w:type="gramEnd"/>
      <w:r w:rsidRPr="00EF00E9">
        <w:t xml:space="preserve"> the potentially hazardous zone safer (for example, by de-energising equipment, providing advanced warning of possible asset failure or through the use of specific safety equipment).</w:t>
      </w:r>
    </w:p>
    <w:p w:rsidR="00EF00E9" w:rsidRDefault="00EF00E9" w:rsidP="00EF00E9">
      <w:r w:rsidRPr="00EF00E9">
        <w:t>We have not made any specific adjustment to our estimate of the hazard zone occupancy rate to account for the effect of AusNet Services’ safety controls, which is difficult to quantify. Nonetheless, we consider that these safety controls add further weight to our conclusion that AusNet Services’ assumed 100 per cent hazard zone occupancy rate is unrealistic, and that our alternative 1 per cent estimate is l</w:t>
      </w:r>
      <w:r w:rsidR="00D05480">
        <w:t>ikely to be a conservative</w:t>
      </w:r>
      <w:r w:rsidRPr="00EF00E9">
        <w:t xml:space="preserve"> but reasonable approximation of this probability.</w:t>
      </w:r>
      <w:r w:rsidRPr="00EF00E9">
        <w:rPr>
          <w:rStyle w:val="FootnoteReference"/>
        </w:rPr>
        <w:footnoteReference w:id="102"/>
      </w:r>
    </w:p>
    <w:p w:rsidR="00EF00E9" w:rsidRPr="00EF00E9" w:rsidRDefault="00EF00E9" w:rsidP="00EF00E9">
      <w:pPr>
        <w:pStyle w:val="HeadingOrange"/>
      </w:pPr>
      <w:bookmarkStart w:id="86" w:name="_Toc456608812"/>
      <w:r w:rsidRPr="00EF00E9">
        <w:t>Summary</w:t>
      </w:r>
      <w:bookmarkEnd w:id="86"/>
    </w:p>
    <w:p w:rsidR="00EF00E9" w:rsidRPr="00EF00E9" w:rsidRDefault="00EF00E9" w:rsidP="00EF00E9">
      <w:r w:rsidRPr="00EF00E9">
        <w:t>As discussed above, AusNet Services has assumed in its economic modelling that all safety related asset failures result in a fatality, implying that (a) the hazard zone is always occupied and (b) existing risk controls (which are funded through operating or capital expenditure allowances</w:t>
      </w:r>
      <w:r w:rsidR="00D05480">
        <w:t>) are not effective</w:t>
      </w:r>
      <w:r w:rsidRPr="00EF00E9">
        <w:t>. In making this draft decision, we must consider whether the forecasting methodology and assumptions applied to forecast required levels of capex are realistic, and result in forecasts which reasonably reflect the efficient costs that a prudent operator would require to achieve the capex objectives.</w:t>
      </w:r>
      <w:r w:rsidRPr="00EF00E9">
        <w:rPr>
          <w:rStyle w:val="FootnoteReference"/>
        </w:rPr>
        <w:footnoteReference w:id="103"/>
      </w:r>
      <w:r w:rsidRPr="00EF00E9">
        <w:t xml:space="preserve"> Given our conclusions regarding a realistic estimate of the hazard zone occupancy rate and the effect of AusNet Services’ extensive risk controls, we are not satisfied that this is the case. </w:t>
      </w:r>
    </w:p>
    <w:p w:rsidR="00D05480" w:rsidRPr="00D05480" w:rsidRDefault="00D05480" w:rsidP="00D05480">
      <w:r w:rsidRPr="00D05480">
        <w:t>We recognise that safety is of critical importance. However, AusNet Services’ assumption that the hazard zone is always occupied and that existing saf</w:t>
      </w:r>
      <w:r w:rsidR="00A47F92">
        <w:t xml:space="preserve">ety risk controls </w:t>
      </w:r>
      <w:r w:rsidRPr="00D05480">
        <w:t xml:space="preserve">are not effective leads to a disconnection between the forecast repex requirement and the actual safety risk associated with operating the network. AusNet Services’ forecast repex reflects an inflated estimate of safety risk. An efficient estimate of AusNet Services’ repex requirements must take account of AusNet </w:t>
      </w:r>
      <w:r w:rsidRPr="00D05480">
        <w:lastRenderedPageBreak/>
        <w:t>Services' actual operating practices and reflect the actual safety risks presented by its operating environment.</w:t>
      </w:r>
    </w:p>
    <w:p w:rsidR="00D05480" w:rsidRPr="00D05480" w:rsidRDefault="00D05480" w:rsidP="00D05480">
      <w:r w:rsidRPr="00D05480">
        <w:t>In modelling our alternative estimate of forecast repex for this draft decision, we have assumed that a realistic estimate of the likelihood that a person will be in the hazard zone of a given asset is in the order of 1 per cent. As discussed above, this estimate is informed by our internal technical expertise and knowledge of network asset management practices, and reflects our understanding of the typical frequency and duration of employee attendance at a terminal station site in an average year, taking into account the different types of work undertaken on the network. AusNet Services’ safety risk controls further reduce the likelihood that any person will be in the vicinity of a safety related asset failure. We note that this is an approximation of the overall hazar</w:t>
      </w:r>
      <w:r w:rsidR="00A47F92">
        <w:t xml:space="preserve">d zone occupation rate, which </w:t>
      </w:r>
      <w:r w:rsidRPr="00D05480">
        <w:t>may vary for different asset types and locations. We expect that, as the asset manager, AusNet Services will be well placed to consider, as we have done, what a realistic estimate of the hazard zone occupancy rate may be, and provide information to substantiate any alternative estimate to inform our final decision.</w:t>
      </w:r>
    </w:p>
    <w:p w:rsidR="00D05480" w:rsidRPr="00D05480" w:rsidRDefault="00D05480" w:rsidP="00D05480">
      <w:r w:rsidRPr="00D05480">
        <w:t xml:space="preserve">It is important to note that while amending the assumed hazard zone occupancy rate might reduce the forecast of required </w:t>
      </w:r>
      <w:proofErr w:type="gramStart"/>
      <w:r w:rsidRPr="00D05480">
        <w:t>capex,</w:t>
      </w:r>
      <w:proofErr w:type="gramEnd"/>
      <w:r w:rsidRPr="00D05480">
        <w:t xml:space="preserve"> this does not increase the actual level of network risk. This is because the reduced estimate of capex is commensurate with the quantified risk (based on realistic assumptions) that justifies that level of capex. Further, the existing obligations and risk controls that AusNet Services has to </w:t>
      </w:r>
      <w:proofErr w:type="gramStart"/>
      <w:r w:rsidRPr="00D05480">
        <w:t>avoid,</w:t>
      </w:r>
      <w:proofErr w:type="gramEnd"/>
      <w:r w:rsidRPr="00D05480">
        <w:t xml:space="preserve"> mitigate or manage safety risks for employees and the general public will of course remain in place.</w:t>
      </w:r>
    </w:p>
    <w:p w:rsidR="00EF00E9" w:rsidRPr="00EF00E9" w:rsidRDefault="00D05480" w:rsidP="00D05480">
      <w:r w:rsidRPr="00D05480">
        <w:t xml:space="preserve">In the sections below, we have attempted to quantify the impact of AusNet Services' approach to estimating safety risk on its forecast replacement capex program for the 2017–22 regulatory control </w:t>
      </w:r>
      <w:proofErr w:type="gramStart"/>
      <w:r w:rsidRPr="00D05480">
        <w:t>period</w:t>
      </w:r>
      <w:proofErr w:type="gramEnd"/>
      <w:r w:rsidRPr="00D05480">
        <w:t>. As noted above, AusNet Services' economic evaluation methodology including its assessment of the cost of safety risk is applied generally across its replacement capex forecasting. However, safety risk is unlikely to be a significant factor for some asset types which do not fail in an explosive or otherwise dangerous manner. We therefore examined a sample of AusNet Services' asset replacement programs and major station projects to ascertain the significance of AusNet Services' safety risk assumptions for the economic justification of the forecast capex.</w:t>
      </w:r>
    </w:p>
    <w:p w:rsidR="00F53F95" w:rsidRPr="00FC5F8B" w:rsidRDefault="00F53F95" w:rsidP="00FC5F8B">
      <w:pPr>
        <w:pStyle w:val="HeadingOrange"/>
      </w:pPr>
      <w:bookmarkStart w:id="87" w:name="_Toc456608813"/>
      <w:r w:rsidRPr="00FC5F8B">
        <w:t>Asset replacement programs</w:t>
      </w:r>
      <w:bookmarkEnd w:id="87"/>
    </w:p>
    <w:p w:rsidR="00F53F95" w:rsidRDefault="00443602" w:rsidP="00F53F95">
      <w:r>
        <w:t xml:space="preserve">Based on the </w:t>
      </w:r>
      <w:r w:rsidR="0043520D">
        <w:t>information</w:t>
      </w:r>
      <w:r>
        <w:t xml:space="preserve"> available to us, w</w:t>
      </w:r>
      <w:r w:rsidR="00F53F95">
        <w:t xml:space="preserve">e reviewed in detail a sample of three asset replacement programs accounting for approximately 20 per cent of asset replacement program capex, representing the following asset types: </w:t>
      </w:r>
    </w:p>
    <w:p w:rsidR="00F53F95" w:rsidRDefault="00F53F95" w:rsidP="00F53F95">
      <w:pPr>
        <w:pStyle w:val="AERbulletlistfirststyle"/>
      </w:pPr>
      <w:r>
        <w:t>instrument transformers</w:t>
      </w:r>
    </w:p>
    <w:p w:rsidR="00F53F95" w:rsidRDefault="00F53F95" w:rsidP="00F53F95">
      <w:pPr>
        <w:pStyle w:val="AERbulletlistfirststyle"/>
      </w:pPr>
      <w:r>
        <w:t>ground wires</w:t>
      </w:r>
    </w:p>
    <w:p w:rsidR="00F53F95" w:rsidRDefault="00F53F95" w:rsidP="00F53F95">
      <w:pPr>
        <w:pStyle w:val="AERbulletlistfirststyle"/>
      </w:pPr>
      <w:proofErr w:type="gramStart"/>
      <w:r>
        <w:t>circuit</w:t>
      </w:r>
      <w:proofErr w:type="gramEnd"/>
      <w:r>
        <w:t xml:space="preserve"> breakers. </w:t>
      </w:r>
    </w:p>
    <w:p w:rsidR="00F53F95" w:rsidRDefault="009A7783" w:rsidP="00F53F95">
      <w:r>
        <w:t>O</w:t>
      </w:r>
      <w:r w:rsidR="00F53F95">
        <w:t>ur review focussed on the implications of AusNet Services' overestimation of safety risks as th</w:t>
      </w:r>
      <w:r w:rsidR="00443602">
        <w:t xml:space="preserve">is issue </w:t>
      </w:r>
      <w:r w:rsidR="00EB2A44">
        <w:t>is system</w:t>
      </w:r>
      <w:r w:rsidR="00443602">
        <w:t>ic and therefore</w:t>
      </w:r>
      <w:r w:rsidR="00EB2A44">
        <w:t xml:space="preserve"> </w:t>
      </w:r>
      <w:r w:rsidR="00F53F95">
        <w:t xml:space="preserve">likely to be relevant to AusNet Services' </w:t>
      </w:r>
      <w:r w:rsidR="00F53F95">
        <w:lastRenderedPageBreak/>
        <w:t xml:space="preserve">other asset replacement programs. In reviewing each program, we corrected for AusNet Services' overestimation of safety risk as appropriate in the economic modelling for each program. This provided a revised estimate of the expected cost of asset failure, in present value terms, for each program. We then assessed whether the revised economic modelling continued to support the full asset replacement program as proposed by AusNet Services, or whether the reduced safety risk justified a smaller replacement program. The results of our analysis are shown in </w:t>
      </w:r>
      <w:fldSimple w:instr=" REF _Ref453235638 ">
        <w:r w:rsidR="00C60946">
          <w:t xml:space="preserve">Table </w:t>
        </w:r>
        <w:r w:rsidR="00C60946">
          <w:rPr>
            <w:noProof/>
          </w:rPr>
          <w:t>6</w:t>
        </w:r>
        <w:r w:rsidR="00C60946">
          <w:t>.</w:t>
        </w:r>
        <w:r w:rsidR="00C60946">
          <w:rPr>
            <w:noProof/>
          </w:rPr>
          <w:t>8</w:t>
        </w:r>
      </w:fldSimple>
      <w:r w:rsidR="00F53F95">
        <w:t xml:space="preserve"> below.</w:t>
      </w:r>
    </w:p>
    <w:p w:rsidR="00F53F95" w:rsidRDefault="00F53F95" w:rsidP="00F53F95">
      <w:pPr>
        <w:pStyle w:val="Caption"/>
      </w:pPr>
      <w:bookmarkStart w:id="88" w:name="_Ref453235638"/>
      <w:proofErr w:type="gramStart"/>
      <w:r>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8</w:t>
      </w:r>
      <w:r w:rsidR="00735181">
        <w:rPr>
          <w:noProof/>
        </w:rPr>
        <w:fldChar w:fldCharType="end"/>
      </w:r>
      <w:bookmarkEnd w:id="88"/>
      <w:r>
        <w:tab/>
        <w:t xml:space="preserve">Impact of reduced safety risk cost on efficient asset replacement </w:t>
      </w:r>
      <w:r w:rsidR="00BB103F">
        <w:t xml:space="preserve">program </w:t>
      </w:r>
      <w:r>
        <w:t>capex ($2015–16)</w:t>
      </w:r>
    </w:p>
    <w:tbl>
      <w:tblPr>
        <w:tblStyle w:val="AERtable-numbers"/>
        <w:tblW w:w="0" w:type="auto"/>
        <w:tblLook w:val="04A0" w:firstRow="1" w:lastRow="0" w:firstColumn="1" w:lastColumn="0" w:noHBand="0" w:noVBand="1"/>
      </w:tblPr>
      <w:tblGrid>
        <w:gridCol w:w="2235"/>
        <w:gridCol w:w="1614"/>
        <w:gridCol w:w="1615"/>
        <w:gridCol w:w="1614"/>
        <w:gridCol w:w="1615"/>
      </w:tblGrid>
      <w:tr w:rsidR="00F53F95" w:rsidTr="00911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53F95" w:rsidRDefault="00F53F95" w:rsidP="00F53F95">
            <w:r>
              <w:t>Asset replacement program</w:t>
            </w:r>
          </w:p>
        </w:tc>
        <w:tc>
          <w:tcPr>
            <w:tcW w:w="1614" w:type="dxa"/>
          </w:tcPr>
          <w:p w:rsidR="00F53F95" w:rsidRPr="00F53F95" w:rsidRDefault="00F53F95" w:rsidP="009115D7">
            <w:pPr>
              <w:cnfStyle w:val="100000000000" w:firstRow="1" w:lastRow="0" w:firstColumn="0" w:lastColumn="0" w:oddVBand="0" w:evenVBand="0" w:oddHBand="0" w:evenHBand="0" w:firstRowFirstColumn="0" w:firstRowLastColumn="0" w:lastRowFirstColumn="0" w:lastRowLastColumn="0"/>
            </w:pPr>
            <w:r>
              <w:t>AusNet Services' efficient capex</w:t>
            </w:r>
            <w:r w:rsidRPr="00F53F95">
              <w:t xml:space="preserve"> ($</w:t>
            </w:r>
            <w:r w:rsidR="009115D7">
              <w:t>m</w:t>
            </w:r>
            <w:r w:rsidRPr="00F53F95">
              <w:t>)</w:t>
            </w:r>
          </w:p>
        </w:tc>
        <w:tc>
          <w:tcPr>
            <w:tcW w:w="1615" w:type="dxa"/>
          </w:tcPr>
          <w:p w:rsidR="00F53F95" w:rsidRPr="00F53F95" w:rsidRDefault="00F53F95" w:rsidP="009115D7">
            <w:pPr>
              <w:cnfStyle w:val="100000000000" w:firstRow="1" w:lastRow="0" w:firstColumn="0" w:lastColumn="0" w:oddVBand="0" w:evenVBand="0" w:oddHBand="0" w:evenHBand="0" w:firstRowFirstColumn="0" w:firstRowLastColumn="0" w:lastRowFirstColumn="0" w:lastRowLastColumn="0"/>
            </w:pPr>
            <w:r>
              <w:t>AER modelled efficient capex</w:t>
            </w:r>
            <w:r w:rsidRPr="00F53F95">
              <w:t xml:space="preserve"> ($</w:t>
            </w:r>
            <w:r w:rsidR="009115D7">
              <w:t>m</w:t>
            </w:r>
            <w:r w:rsidRPr="00F53F95">
              <w:t>)</w:t>
            </w:r>
          </w:p>
        </w:tc>
        <w:tc>
          <w:tcPr>
            <w:tcW w:w="1614" w:type="dxa"/>
          </w:tcPr>
          <w:p w:rsidR="009115D7" w:rsidRDefault="009115D7" w:rsidP="009115D7">
            <w:pPr>
              <w:cnfStyle w:val="100000000000" w:firstRow="1" w:lastRow="0" w:firstColumn="0" w:lastColumn="0" w:oddVBand="0" w:evenVBand="0" w:oddHBand="0" w:evenHBand="0" w:firstRowFirstColumn="0" w:firstRowLastColumn="0" w:lastRowFirstColumn="0" w:lastRowLastColumn="0"/>
            </w:pPr>
            <w:r>
              <w:t>Adjustment</w:t>
            </w:r>
          </w:p>
          <w:p w:rsidR="00F53F95" w:rsidRPr="00F53F95" w:rsidRDefault="009115D7" w:rsidP="009115D7">
            <w:pPr>
              <w:cnfStyle w:val="100000000000" w:firstRow="1" w:lastRow="0" w:firstColumn="0" w:lastColumn="0" w:oddVBand="0" w:evenVBand="0" w:oddHBand="0" w:evenHBand="0" w:firstRowFirstColumn="0" w:firstRowLastColumn="0" w:lastRowFirstColumn="0" w:lastRowLastColumn="0"/>
            </w:pPr>
            <w:r>
              <w:t>(</w:t>
            </w:r>
            <w:r w:rsidR="00F53F95" w:rsidRPr="00F53F95">
              <w:t>$</w:t>
            </w:r>
            <w:r>
              <w:t>m</w:t>
            </w:r>
            <w:r w:rsidR="00F53F95" w:rsidRPr="00F53F95">
              <w:t>)</w:t>
            </w:r>
          </w:p>
        </w:tc>
        <w:tc>
          <w:tcPr>
            <w:tcW w:w="1615" w:type="dxa"/>
          </w:tcPr>
          <w:p w:rsidR="00F53F95" w:rsidRDefault="009115D7" w:rsidP="009115D7">
            <w:pPr>
              <w:cnfStyle w:val="100000000000" w:firstRow="1" w:lastRow="0" w:firstColumn="0" w:lastColumn="0" w:oddVBand="0" w:evenVBand="0" w:oddHBand="0" w:evenHBand="0" w:firstRowFirstColumn="0" w:firstRowLastColumn="0" w:lastRowFirstColumn="0" w:lastRowLastColumn="0"/>
            </w:pPr>
            <w:r>
              <w:t>A</w:t>
            </w:r>
            <w:r w:rsidR="00F53F95">
              <w:t>djustment</w:t>
            </w:r>
          </w:p>
          <w:p w:rsidR="009115D7" w:rsidRDefault="009115D7" w:rsidP="009115D7">
            <w:pPr>
              <w:cnfStyle w:val="100000000000" w:firstRow="1" w:lastRow="0" w:firstColumn="0" w:lastColumn="0" w:oddVBand="0" w:evenVBand="0" w:oddHBand="0" w:evenHBand="0" w:firstRowFirstColumn="0" w:firstRowLastColumn="0" w:lastRowFirstColumn="0" w:lastRowLastColumn="0"/>
            </w:pPr>
            <w:r>
              <w:t>(%)</w:t>
            </w:r>
          </w:p>
        </w:tc>
      </w:tr>
      <w:tr w:rsidR="00F53F95" w:rsidTr="009F7A52">
        <w:tc>
          <w:tcPr>
            <w:cnfStyle w:val="001000000000" w:firstRow="0" w:lastRow="0" w:firstColumn="1" w:lastColumn="0" w:oddVBand="0" w:evenVBand="0" w:oddHBand="0" w:evenHBand="0" w:firstRowFirstColumn="0" w:firstRowLastColumn="0" w:lastRowFirstColumn="0" w:lastRowLastColumn="0"/>
            <w:tcW w:w="2235" w:type="dxa"/>
          </w:tcPr>
          <w:p w:rsidR="00F53F95" w:rsidRDefault="00F53F95" w:rsidP="00F53F95">
            <w:r>
              <w:t>Instrument transformers</w:t>
            </w:r>
          </w:p>
        </w:tc>
        <w:tc>
          <w:tcPr>
            <w:tcW w:w="1614" w:type="dxa"/>
          </w:tcPr>
          <w:p w:rsidR="00F53F95" w:rsidRDefault="00F53F95" w:rsidP="009115D7">
            <w:pPr>
              <w:cnfStyle w:val="000000000000" w:firstRow="0" w:lastRow="0" w:firstColumn="0" w:lastColumn="0" w:oddVBand="0" w:evenVBand="0" w:oddHBand="0" w:evenHBand="0" w:firstRowFirstColumn="0" w:firstRowLastColumn="0" w:lastRowFirstColumn="0" w:lastRowLastColumn="0"/>
            </w:pPr>
            <w:r>
              <w:t>7</w:t>
            </w:r>
            <w:r w:rsidR="009115D7">
              <w:t>.</w:t>
            </w:r>
            <w:r>
              <w:t>4</w:t>
            </w:r>
          </w:p>
        </w:tc>
        <w:tc>
          <w:tcPr>
            <w:tcW w:w="1615" w:type="dxa"/>
          </w:tcPr>
          <w:p w:rsidR="00F53F95" w:rsidRDefault="00F53F95" w:rsidP="009115D7">
            <w:pPr>
              <w:cnfStyle w:val="000000000000" w:firstRow="0" w:lastRow="0" w:firstColumn="0" w:lastColumn="0" w:oddVBand="0" w:evenVBand="0" w:oddHBand="0" w:evenHBand="0" w:firstRowFirstColumn="0" w:firstRowLastColumn="0" w:lastRowFirstColumn="0" w:lastRowLastColumn="0"/>
            </w:pPr>
            <w:r>
              <w:t>7</w:t>
            </w:r>
            <w:r w:rsidR="009115D7">
              <w:t>.</w:t>
            </w:r>
            <w:r>
              <w:t>4</w:t>
            </w:r>
          </w:p>
        </w:tc>
        <w:tc>
          <w:tcPr>
            <w:tcW w:w="1614" w:type="dxa"/>
          </w:tcPr>
          <w:p w:rsidR="00F53F95" w:rsidRPr="00F53F95" w:rsidRDefault="00F53F95" w:rsidP="00F53F95">
            <w:pPr>
              <w:cnfStyle w:val="000000000000" w:firstRow="0" w:lastRow="0" w:firstColumn="0" w:lastColumn="0" w:oddVBand="0" w:evenVBand="0" w:oddHBand="0" w:evenHBand="0" w:firstRowFirstColumn="0" w:firstRowLastColumn="0" w:lastRowFirstColumn="0" w:lastRowLastColumn="0"/>
            </w:pPr>
            <w:r>
              <w:t>-</w:t>
            </w:r>
          </w:p>
        </w:tc>
        <w:tc>
          <w:tcPr>
            <w:tcW w:w="1615" w:type="dxa"/>
          </w:tcPr>
          <w:p w:rsidR="00F53F95" w:rsidRPr="00F53F95" w:rsidRDefault="00F53F95" w:rsidP="00F53F95">
            <w:pPr>
              <w:cnfStyle w:val="000000000000" w:firstRow="0" w:lastRow="0" w:firstColumn="0" w:lastColumn="0" w:oddVBand="0" w:evenVBand="0" w:oddHBand="0" w:evenHBand="0" w:firstRowFirstColumn="0" w:firstRowLastColumn="0" w:lastRowFirstColumn="0" w:lastRowLastColumn="0"/>
            </w:pPr>
            <w:r>
              <w:t>-</w:t>
            </w:r>
          </w:p>
        </w:tc>
      </w:tr>
      <w:tr w:rsidR="00F53F95" w:rsidTr="009F7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53F95" w:rsidRPr="00F53F95" w:rsidRDefault="00F53F95" w:rsidP="00F53F95">
            <w:r>
              <w:t>Ground</w:t>
            </w:r>
            <w:r w:rsidRPr="00F53F95">
              <w:t xml:space="preserve"> wire</w:t>
            </w:r>
          </w:p>
        </w:tc>
        <w:tc>
          <w:tcPr>
            <w:tcW w:w="1614" w:type="dxa"/>
          </w:tcPr>
          <w:p w:rsidR="00F53F95" w:rsidRDefault="00F53F95" w:rsidP="009115D7">
            <w:pPr>
              <w:cnfStyle w:val="000000010000" w:firstRow="0" w:lastRow="0" w:firstColumn="0" w:lastColumn="0" w:oddVBand="0" w:evenVBand="0" w:oddHBand="0" w:evenHBand="1" w:firstRowFirstColumn="0" w:firstRowLastColumn="0" w:lastRowFirstColumn="0" w:lastRowLastColumn="0"/>
            </w:pPr>
            <w:r>
              <w:t>19</w:t>
            </w:r>
            <w:r w:rsidR="009115D7">
              <w:t>.</w:t>
            </w:r>
            <w:r>
              <w:t>,0</w:t>
            </w:r>
          </w:p>
        </w:tc>
        <w:tc>
          <w:tcPr>
            <w:tcW w:w="1615" w:type="dxa"/>
          </w:tcPr>
          <w:p w:rsidR="00F53F95" w:rsidRDefault="00F53F95" w:rsidP="009115D7">
            <w:pPr>
              <w:cnfStyle w:val="000000010000" w:firstRow="0" w:lastRow="0" w:firstColumn="0" w:lastColumn="0" w:oddVBand="0" w:evenVBand="0" w:oddHBand="0" w:evenHBand="1" w:firstRowFirstColumn="0" w:firstRowLastColumn="0" w:lastRowFirstColumn="0" w:lastRowLastColumn="0"/>
            </w:pPr>
            <w:r>
              <w:t>19</w:t>
            </w:r>
            <w:r w:rsidR="009115D7">
              <w:t>.</w:t>
            </w:r>
            <w:r>
              <w:t>0</w:t>
            </w:r>
          </w:p>
        </w:tc>
        <w:tc>
          <w:tcPr>
            <w:tcW w:w="1614" w:type="dxa"/>
          </w:tcPr>
          <w:p w:rsidR="00F53F95" w:rsidRPr="00F53F95" w:rsidRDefault="00F53F95" w:rsidP="00F53F95">
            <w:pPr>
              <w:cnfStyle w:val="000000010000" w:firstRow="0" w:lastRow="0" w:firstColumn="0" w:lastColumn="0" w:oddVBand="0" w:evenVBand="0" w:oddHBand="0" w:evenHBand="1" w:firstRowFirstColumn="0" w:firstRowLastColumn="0" w:lastRowFirstColumn="0" w:lastRowLastColumn="0"/>
            </w:pPr>
            <w:r>
              <w:t>-</w:t>
            </w:r>
          </w:p>
        </w:tc>
        <w:tc>
          <w:tcPr>
            <w:tcW w:w="1615" w:type="dxa"/>
          </w:tcPr>
          <w:p w:rsidR="00F53F95" w:rsidRPr="00F53F95" w:rsidRDefault="00F53F95" w:rsidP="00F53F95">
            <w:pPr>
              <w:cnfStyle w:val="000000010000" w:firstRow="0" w:lastRow="0" w:firstColumn="0" w:lastColumn="0" w:oddVBand="0" w:evenVBand="0" w:oddHBand="0" w:evenHBand="1" w:firstRowFirstColumn="0" w:firstRowLastColumn="0" w:lastRowFirstColumn="0" w:lastRowLastColumn="0"/>
            </w:pPr>
            <w:r>
              <w:t>-</w:t>
            </w:r>
          </w:p>
        </w:tc>
      </w:tr>
      <w:tr w:rsidR="00F53F95" w:rsidTr="009F7A52">
        <w:tc>
          <w:tcPr>
            <w:cnfStyle w:val="001000000000" w:firstRow="0" w:lastRow="0" w:firstColumn="1" w:lastColumn="0" w:oddVBand="0" w:evenVBand="0" w:oddHBand="0" w:evenHBand="0" w:firstRowFirstColumn="0" w:firstRowLastColumn="0" w:lastRowFirstColumn="0" w:lastRowLastColumn="0"/>
            <w:tcW w:w="2235" w:type="dxa"/>
          </w:tcPr>
          <w:p w:rsidR="00F53F95" w:rsidRDefault="00F53F95" w:rsidP="00F53F95">
            <w:r>
              <w:t>Circuit breakers</w:t>
            </w:r>
          </w:p>
        </w:tc>
        <w:tc>
          <w:tcPr>
            <w:tcW w:w="1614" w:type="dxa"/>
          </w:tcPr>
          <w:p w:rsidR="00F53F95" w:rsidRDefault="00F53F95" w:rsidP="009115D7">
            <w:pPr>
              <w:cnfStyle w:val="000000000000" w:firstRow="0" w:lastRow="0" w:firstColumn="0" w:lastColumn="0" w:oddVBand="0" w:evenVBand="0" w:oddHBand="0" w:evenHBand="0" w:firstRowFirstColumn="0" w:firstRowLastColumn="0" w:lastRowFirstColumn="0" w:lastRowLastColumn="0"/>
            </w:pPr>
            <w:r>
              <w:t>29</w:t>
            </w:r>
            <w:r w:rsidR="009115D7">
              <w:t>.</w:t>
            </w:r>
            <w:r>
              <w:t>,6</w:t>
            </w:r>
          </w:p>
        </w:tc>
        <w:tc>
          <w:tcPr>
            <w:tcW w:w="1615" w:type="dxa"/>
          </w:tcPr>
          <w:p w:rsidR="00F53F95" w:rsidRPr="00F53F95" w:rsidRDefault="00F53F95" w:rsidP="009115D7">
            <w:pPr>
              <w:cnfStyle w:val="000000000000" w:firstRow="0" w:lastRow="0" w:firstColumn="0" w:lastColumn="0" w:oddVBand="0" w:evenVBand="0" w:oddHBand="0" w:evenHBand="0" w:firstRowFirstColumn="0" w:firstRowLastColumn="0" w:lastRowFirstColumn="0" w:lastRowLastColumn="0"/>
            </w:pPr>
            <w:r>
              <w:t>25</w:t>
            </w:r>
            <w:r w:rsidR="009115D7">
              <w:t>.</w:t>
            </w:r>
            <w:r w:rsidRPr="00F53F95">
              <w:t>0</w:t>
            </w:r>
          </w:p>
        </w:tc>
        <w:tc>
          <w:tcPr>
            <w:tcW w:w="1614" w:type="dxa"/>
          </w:tcPr>
          <w:p w:rsidR="00F53F95" w:rsidRPr="00F53F95" w:rsidRDefault="009115D7" w:rsidP="009115D7">
            <w:pPr>
              <w:cnfStyle w:val="000000000000" w:firstRow="0" w:lastRow="0" w:firstColumn="0" w:lastColumn="0" w:oddVBand="0" w:evenVBand="0" w:oddHBand="0" w:evenHBand="0" w:firstRowFirstColumn="0" w:firstRowLastColumn="0" w:lastRowFirstColumn="0" w:lastRowLastColumn="0"/>
            </w:pPr>
            <w:r>
              <w:t>-</w:t>
            </w:r>
            <w:r w:rsidR="00F53F95">
              <w:t>4</w:t>
            </w:r>
            <w:r>
              <w:t>.</w:t>
            </w:r>
            <w:r w:rsidR="00F53F95" w:rsidRPr="00F53F95">
              <w:t>6</w:t>
            </w:r>
          </w:p>
        </w:tc>
        <w:tc>
          <w:tcPr>
            <w:tcW w:w="1615" w:type="dxa"/>
          </w:tcPr>
          <w:p w:rsidR="00F53F95" w:rsidRPr="00F53F95" w:rsidRDefault="009115D7" w:rsidP="00F53F95">
            <w:pPr>
              <w:cnfStyle w:val="000000000000" w:firstRow="0" w:lastRow="0" w:firstColumn="0" w:lastColumn="0" w:oddVBand="0" w:evenVBand="0" w:oddHBand="0" w:evenHBand="0" w:firstRowFirstColumn="0" w:firstRowLastColumn="0" w:lastRowFirstColumn="0" w:lastRowLastColumn="0"/>
            </w:pPr>
            <w:r>
              <w:t>-</w:t>
            </w:r>
            <w:r w:rsidR="00F53F95">
              <w:t>15.6</w:t>
            </w:r>
            <w:r w:rsidR="00F53F95" w:rsidRPr="00F53F95">
              <w:t>%</w:t>
            </w:r>
          </w:p>
        </w:tc>
      </w:tr>
      <w:tr w:rsidR="00F53F95" w:rsidTr="009F7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53F95" w:rsidRPr="005147C9" w:rsidRDefault="00F53F95" w:rsidP="00F53F95">
            <w:pPr>
              <w:rPr>
                <w:rStyle w:val="Strong"/>
              </w:rPr>
            </w:pPr>
            <w:r w:rsidRPr="005147C9">
              <w:rPr>
                <w:rStyle w:val="Strong"/>
              </w:rPr>
              <w:t>Total</w:t>
            </w:r>
          </w:p>
        </w:tc>
        <w:tc>
          <w:tcPr>
            <w:tcW w:w="1614" w:type="dxa"/>
          </w:tcPr>
          <w:p w:rsidR="00F53F95" w:rsidRPr="005147C9" w:rsidRDefault="00F53F95" w:rsidP="009115D7">
            <w:pPr>
              <w:cnfStyle w:val="000000010000" w:firstRow="0" w:lastRow="0" w:firstColumn="0" w:lastColumn="0" w:oddVBand="0" w:evenVBand="0" w:oddHBand="0" w:evenHBand="1" w:firstRowFirstColumn="0" w:firstRowLastColumn="0" w:lastRowFirstColumn="0" w:lastRowLastColumn="0"/>
              <w:rPr>
                <w:rStyle w:val="Strong"/>
              </w:rPr>
            </w:pPr>
            <w:r w:rsidRPr="005147C9">
              <w:rPr>
                <w:rStyle w:val="Strong"/>
              </w:rPr>
              <w:t>56</w:t>
            </w:r>
            <w:r w:rsidR="009115D7">
              <w:rPr>
                <w:rStyle w:val="Strong"/>
              </w:rPr>
              <w:t>.</w:t>
            </w:r>
            <w:r w:rsidRPr="005147C9">
              <w:rPr>
                <w:rStyle w:val="Strong"/>
              </w:rPr>
              <w:t>0</w:t>
            </w:r>
          </w:p>
        </w:tc>
        <w:tc>
          <w:tcPr>
            <w:tcW w:w="1615" w:type="dxa"/>
          </w:tcPr>
          <w:p w:rsidR="00F53F95" w:rsidRPr="005147C9" w:rsidRDefault="00F53F95" w:rsidP="009115D7">
            <w:pPr>
              <w:cnfStyle w:val="000000010000" w:firstRow="0" w:lastRow="0" w:firstColumn="0" w:lastColumn="0" w:oddVBand="0" w:evenVBand="0" w:oddHBand="0" w:evenHBand="1" w:firstRowFirstColumn="0" w:firstRowLastColumn="0" w:lastRowFirstColumn="0" w:lastRowLastColumn="0"/>
              <w:rPr>
                <w:rStyle w:val="Strong"/>
              </w:rPr>
            </w:pPr>
            <w:r w:rsidRPr="005147C9">
              <w:rPr>
                <w:rStyle w:val="Strong"/>
              </w:rPr>
              <w:t>51</w:t>
            </w:r>
            <w:r w:rsidR="009115D7">
              <w:rPr>
                <w:rStyle w:val="Strong"/>
              </w:rPr>
              <w:t>.</w:t>
            </w:r>
            <w:r w:rsidRPr="005147C9">
              <w:rPr>
                <w:rStyle w:val="Strong"/>
              </w:rPr>
              <w:t>4</w:t>
            </w:r>
          </w:p>
        </w:tc>
        <w:tc>
          <w:tcPr>
            <w:tcW w:w="1614" w:type="dxa"/>
          </w:tcPr>
          <w:p w:rsidR="00F53F95" w:rsidRPr="005147C9" w:rsidRDefault="009115D7" w:rsidP="009115D7">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t>
            </w:r>
            <w:r w:rsidR="00F53F95" w:rsidRPr="005147C9">
              <w:rPr>
                <w:rStyle w:val="Strong"/>
              </w:rPr>
              <w:t>4</w:t>
            </w:r>
            <w:r>
              <w:rPr>
                <w:rStyle w:val="Strong"/>
              </w:rPr>
              <w:t>.</w:t>
            </w:r>
            <w:r w:rsidR="00F53F95" w:rsidRPr="005147C9">
              <w:rPr>
                <w:rStyle w:val="Strong"/>
              </w:rPr>
              <w:t>6</w:t>
            </w:r>
          </w:p>
        </w:tc>
        <w:tc>
          <w:tcPr>
            <w:tcW w:w="1615" w:type="dxa"/>
          </w:tcPr>
          <w:p w:rsidR="00F53F95" w:rsidRPr="005147C9" w:rsidRDefault="009115D7" w:rsidP="00F53F9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t>
            </w:r>
            <w:r w:rsidR="00F53F95" w:rsidRPr="005147C9">
              <w:rPr>
                <w:rStyle w:val="Strong"/>
              </w:rPr>
              <w:t>8.2%</w:t>
            </w:r>
          </w:p>
        </w:tc>
      </w:tr>
    </w:tbl>
    <w:p w:rsidR="00F53F95" w:rsidRDefault="00F53F95" w:rsidP="00F53F95">
      <w:pPr>
        <w:pStyle w:val="AERtablesource"/>
      </w:pPr>
      <w:r>
        <w:t xml:space="preserve">Source: AusNet Services, </w:t>
      </w:r>
      <w:r w:rsidRPr="00BB1047">
        <w:rPr>
          <w:rStyle w:val="AERtextitalic"/>
        </w:rPr>
        <w:t>TRR Capex Forecast Model 2017</w:t>
      </w:r>
      <w:r w:rsidRPr="00BB1047">
        <w:rPr>
          <w:rStyle w:val="AERtextitalic"/>
        </w:rPr>
        <w:softHyphen/>
        <w:t>–22</w:t>
      </w:r>
      <w:r>
        <w:t>, 30 October 2015; AER analysis.</w:t>
      </w:r>
    </w:p>
    <w:p w:rsidR="00F53F95" w:rsidRDefault="00F53F95" w:rsidP="00F53F95">
      <w:r>
        <w:t>We found that, in the case of the proposed circuit breaker replacement program, reducing the estimated safety risk cost as outlined above reduced the benefits provided by the program such that the capex proposed by AusNet Services is not economically justified. In our view, based on a realistic estimation of safety risk, the efficient level of capex for the circuit breaker replacement program is approximately 15.6 per cent lower than AusNet Services' proposal.</w:t>
      </w:r>
    </w:p>
    <w:p w:rsidR="00F53F95" w:rsidRDefault="00F53F95" w:rsidP="00F53F95">
      <w:r>
        <w:t>For the instrument transformer and ground wire replacement programs, we found that reducing the estimated safety risk cost did not alter the economic justification of the program as proposed by AusNet Services. In the case of instrument transformers, this was because (contrary to its standard methodology) AusNet Services' model already included a factor to account for the probability of</w:t>
      </w:r>
      <w:r w:rsidRPr="00B919F0">
        <w:t xml:space="preserve"> a person being in the hazard zone at the time of a failure event</w:t>
      </w:r>
      <w:r>
        <w:t>.</w:t>
      </w:r>
      <w:r w:rsidR="00366392">
        <w:rPr>
          <w:rStyle w:val="FootnoteReference"/>
        </w:rPr>
        <w:footnoteReference w:id="104"/>
      </w:r>
      <w:r>
        <w:t xml:space="preserve"> In the case of the ground wire replacement program, the revised economic modelling showed no change to the preferred economic option.</w:t>
      </w:r>
    </w:p>
    <w:p w:rsidR="00F53F95" w:rsidRDefault="00F53F95" w:rsidP="00F53F95">
      <w:r>
        <w:t xml:space="preserve">In our view, the results of our amended modelling of the economic justification of these sample programs is likely to reflect the overall impact of AusNet Services' systemic overestimation of safety risk on its forecast capex for asset replacement programs. This is because, as observed in this sample of programs, it is likely that safety risk is of varying significance in different types of assets. Some assets, such as circuit breakers </w:t>
      </w:r>
      <w:r>
        <w:lastRenderedPageBreak/>
        <w:t>and instrument transformers, have a known history of explosive asset failure.</w:t>
      </w:r>
      <w:r>
        <w:rPr>
          <w:rStyle w:val="FootnoteReference"/>
        </w:rPr>
        <w:footnoteReference w:id="105"/>
      </w:r>
      <w:r w:rsidR="006565E0">
        <w:t xml:space="preserve"> </w:t>
      </w:r>
      <w:r>
        <w:t xml:space="preserve">Other network assets do not fail in a manner that is likely to affect employee or public safety. Therefore, although AusNet Services applies its risk quantification methodology generally, the effect of the overestimation of safety risk will vary across different programs. </w:t>
      </w:r>
      <w:r w:rsidR="00EF4531">
        <w:t>This wa</w:t>
      </w:r>
      <w:r w:rsidR="00443602">
        <w:t xml:space="preserve">s also shown in </w:t>
      </w:r>
      <w:r w:rsidR="00EF4531">
        <w:t>our review of a</w:t>
      </w:r>
      <w:r w:rsidR="00443602">
        <w:t xml:space="preserve"> sample of major station projects</w:t>
      </w:r>
      <w:r w:rsidR="00EF4531">
        <w:t xml:space="preserve">, as discussed below. </w:t>
      </w:r>
      <w:r>
        <w:t>We consider that the weighting reflected in the sample, whereby one of the three programs has been found to be sensitive to the safety risk estimation issue, is a reasonable approximation of the broader signi</w:t>
      </w:r>
      <w:r w:rsidR="00EF4531">
        <w:t>ficance of this issue across the remaining</w:t>
      </w:r>
      <w:r>
        <w:t xml:space="preserve"> asset replacement programs.  </w:t>
      </w:r>
    </w:p>
    <w:p w:rsidR="00F53F95" w:rsidRDefault="00F53F95" w:rsidP="00F53F95">
      <w:r w:rsidRPr="000C1001">
        <w:t xml:space="preserve">For these reasons, in modelling our alternative estimate of forecast capex for the 2017–22 regulatory control </w:t>
      </w:r>
      <w:proofErr w:type="gramStart"/>
      <w:r w:rsidRPr="000C1001">
        <w:t>period</w:t>
      </w:r>
      <w:proofErr w:type="gramEnd"/>
      <w:r w:rsidR="007333FD">
        <w:t>,</w:t>
      </w:r>
      <w:r w:rsidRPr="000C1001">
        <w:t xml:space="preserve"> we have reduced AusNet Services’ </w:t>
      </w:r>
      <w:r>
        <w:t>forecast capex for asset replacement programs by 8.2</w:t>
      </w:r>
      <w:r w:rsidRPr="000C1001">
        <w:t xml:space="preserve"> per cent. This adjustment addresses</w:t>
      </w:r>
      <w:r>
        <w:t xml:space="preserve"> the overestimation of safety risk apparent in AusNet Services' economic justification of asset replacement programs. We are satisfied that this adjustment will provide for asset replacement program expenditure which </w:t>
      </w:r>
      <w:r w:rsidRPr="000C1001">
        <w:t>reflect</w:t>
      </w:r>
      <w:r>
        <w:t>s</w:t>
      </w:r>
      <w:r w:rsidRPr="000C1001">
        <w:t xml:space="preserve"> a realistic expectation of </w:t>
      </w:r>
      <w:r w:rsidR="00921473">
        <w:t xml:space="preserve">prudent and </w:t>
      </w:r>
      <w:r w:rsidRPr="000C1001">
        <w:t>efficient costs.</w:t>
      </w:r>
    </w:p>
    <w:p w:rsidR="00F53F95" w:rsidRPr="003D381A" w:rsidRDefault="006565E0" w:rsidP="00FC5F8B">
      <w:pPr>
        <w:pStyle w:val="HeadingOrange"/>
      </w:pPr>
      <w:bookmarkStart w:id="89" w:name="_Toc456608814"/>
      <w:r>
        <w:t>CBD station rebuilds and m</w:t>
      </w:r>
      <w:r w:rsidR="00F53F95" w:rsidRPr="003D381A">
        <w:t xml:space="preserve">ajor station </w:t>
      </w:r>
      <w:r>
        <w:t xml:space="preserve">replacement </w:t>
      </w:r>
      <w:r w:rsidR="00F53F95" w:rsidRPr="003D381A">
        <w:t>projects</w:t>
      </w:r>
      <w:bookmarkEnd w:id="89"/>
    </w:p>
    <w:p w:rsidR="00F53F95" w:rsidRDefault="00F53F95" w:rsidP="00F53F95">
      <w:r>
        <w:t>We reviewed a sample of six major station projects accounting for approximately 83 per </w:t>
      </w:r>
      <w:r w:rsidRPr="00E97CA6">
        <w:t xml:space="preserve">cent of </w:t>
      </w:r>
      <w:r w:rsidR="006565E0">
        <w:t>CBD station rebuilds/</w:t>
      </w:r>
      <w:r>
        <w:t>major station</w:t>
      </w:r>
      <w:r w:rsidRPr="00E97CA6">
        <w:t xml:space="preserve"> </w:t>
      </w:r>
      <w:r w:rsidR="006565E0">
        <w:t xml:space="preserve">replacement </w:t>
      </w:r>
      <w:r w:rsidRPr="00E97CA6">
        <w:t>capex</w:t>
      </w:r>
      <w:r>
        <w:t>, including:</w:t>
      </w:r>
    </w:p>
    <w:p w:rsidR="00F53F95" w:rsidRDefault="00F53F95" w:rsidP="00F53F95">
      <w:pPr>
        <w:pStyle w:val="AERbulletlistfirststyle"/>
      </w:pPr>
      <w:r>
        <w:t>West Melbourne Terminal Station (WMTS) rebuild</w:t>
      </w:r>
    </w:p>
    <w:p w:rsidR="00F53F95" w:rsidRDefault="00F53F95" w:rsidP="00F53F95">
      <w:pPr>
        <w:pStyle w:val="AERbulletlistfirststyle"/>
      </w:pPr>
      <w:r>
        <w:t>Springvale Terminal Station (SVTS) redevelopment</w:t>
      </w:r>
    </w:p>
    <w:p w:rsidR="00F53F95" w:rsidRDefault="00F53F95" w:rsidP="00F53F95">
      <w:pPr>
        <w:pStyle w:val="AERbulletlistfirststyle"/>
      </w:pPr>
      <w:r>
        <w:t>Fishermans Bend Terminal Station (FBTS) refurbishment stage 2</w:t>
      </w:r>
    </w:p>
    <w:p w:rsidR="00F53F95" w:rsidRDefault="00F53F95" w:rsidP="00F53F95">
      <w:pPr>
        <w:pStyle w:val="AERbulletlistfirststyle"/>
      </w:pPr>
      <w:r>
        <w:t>Templestowe Terminal Station (TSTS) transformer and circuit breaker replacement</w:t>
      </w:r>
    </w:p>
    <w:p w:rsidR="00F53F95" w:rsidRDefault="00F53F95" w:rsidP="00F53F95">
      <w:pPr>
        <w:pStyle w:val="AERbulletlistfirststyle"/>
      </w:pPr>
      <w:r>
        <w:t xml:space="preserve">Ringwood Terminal Station (RWTS) </w:t>
      </w:r>
      <w:r w:rsidRPr="00E97CA6">
        <w:t>transformer and circuit breaker replacement</w:t>
      </w:r>
    </w:p>
    <w:p w:rsidR="00F53F95" w:rsidRDefault="00F53F95" w:rsidP="00F53F95">
      <w:pPr>
        <w:pStyle w:val="AERbulletlistfirststyle"/>
      </w:pPr>
      <w:r>
        <w:t>Heywood Terminal Station (HYTS) circuit breaker replacement.</w:t>
      </w:r>
    </w:p>
    <w:p w:rsidR="00F53F95" w:rsidRDefault="00F53F95" w:rsidP="00F53F95">
      <w:r>
        <w:t>We did not review the remaining major station projects in detail as these projects are already well underway, with the majority of expenditure expected to be incurred in the 2014–17 regulatory control period.</w:t>
      </w:r>
    </w:p>
    <w:p w:rsidR="00F53F95" w:rsidRDefault="00F53F95" w:rsidP="00F53F95">
      <w:r>
        <w:t xml:space="preserve">For each project, we adjusted </w:t>
      </w:r>
      <w:r w:rsidRPr="00F569E5">
        <w:t xml:space="preserve">AusNet Services' </w:t>
      </w:r>
      <w:r>
        <w:t xml:space="preserve">economic model to account for the </w:t>
      </w:r>
      <w:r w:rsidRPr="00F569E5">
        <w:t>overestimati</w:t>
      </w:r>
      <w:r>
        <w:t>on of safety risk by including an assumed 1 per cent hazard zone occupation rate in the safety risk calculation input</w:t>
      </w:r>
      <w:r w:rsidRPr="00F569E5">
        <w:t xml:space="preserve">. This provided a revised estimate of the expected </w:t>
      </w:r>
      <w:r>
        <w:t>benefits (avoided asset</w:t>
      </w:r>
      <w:r w:rsidRPr="00F569E5">
        <w:t xml:space="preserve"> failure</w:t>
      </w:r>
      <w:r>
        <w:t xml:space="preserve"> risks)</w:t>
      </w:r>
      <w:r w:rsidRPr="00F569E5">
        <w:t xml:space="preserve"> </w:t>
      </w:r>
      <w:r>
        <w:t>for each project</w:t>
      </w:r>
      <w:r w:rsidRPr="00F569E5">
        <w:t xml:space="preserve">. We then assessed whether the revised economic modelling continued to support the full </w:t>
      </w:r>
      <w:r>
        <w:t xml:space="preserve">project </w:t>
      </w:r>
      <w:r w:rsidRPr="00F569E5">
        <w:t>as proposed by AusNet Services, or whether the reduced safety risk cost justifi</w:t>
      </w:r>
      <w:r>
        <w:t xml:space="preserve">ed a reduced scope of work in the 2017–22 regulatory control </w:t>
      </w:r>
      <w:proofErr w:type="gramStart"/>
      <w:r>
        <w:t>period</w:t>
      </w:r>
      <w:proofErr w:type="gramEnd"/>
      <w:r w:rsidRPr="00F569E5">
        <w:t xml:space="preserve">. </w:t>
      </w:r>
      <w:r>
        <w:t xml:space="preserve">We did this by converting the revised estimate of expected benefits into an equivalent capital value </w:t>
      </w:r>
      <w:r>
        <w:lastRenderedPageBreak/>
        <w:t xml:space="preserve">project, assuming the same project timing as proposed by AusNet Services. </w:t>
      </w:r>
      <w:r w:rsidRPr="00F569E5">
        <w:t xml:space="preserve">The results of our analysis are shown in </w:t>
      </w:r>
      <w:fldSimple w:instr=" REF _Ref453251718 ">
        <w:r w:rsidR="00C60946" w:rsidRPr="0077400A">
          <w:t xml:space="preserve">Table </w:t>
        </w:r>
        <w:r w:rsidR="00C60946">
          <w:rPr>
            <w:noProof/>
          </w:rPr>
          <w:t>6</w:t>
        </w:r>
        <w:r w:rsidR="00C60946">
          <w:t>.</w:t>
        </w:r>
        <w:r w:rsidR="00C60946">
          <w:rPr>
            <w:noProof/>
          </w:rPr>
          <w:t>9</w:t>
        </w:r>
      </w:fldSimple>
      <w:r>
        <w:t xml:space="preserve"> </w:t>
      </w:r>
      <w:r w:rsidRPr="00F569E5">
        <w:t>below.</w:t>
      </w:r>
    </w:p>
    <w:p w:rsidR="00F53F95" w:rsidRPr="0077400A" w:rsidRDefault="00F53F95" w:rsidP="00F53F95">
      <w:pPr>
        <w:pStyle w:val="Caption"/>
      </w:pPr>
      <w:bookmarkStart w:id="90" w:name="_Ref453251718"/>
      <w:proofErr w:type="gramStart"/>
      <w:r w:rsidRPr="0077400A">
        <w:t xml:space="preserve">Table </w:t>
      </w:r>
      <w:fldSimple w:instr=" STYLEREF 1 \s ">
        <w:r w:rsidR="00C60946">
          <w:rPr>
            <w:noProof/>
          </w:rPr>
          <w:t>6</w:t>
        </w:r>
      </w:fldSimple>
      <w:r w:rsidR="00F46587">
        <w:t>.</w:t>
      </w:r>
      <w:proofErr w:type="gramEnd"/>
      <w:r w:rsidR="00735181">
        <w:fldChar w:fldCharType="begin"/>
      </w:r>
      <w:r w:rsidR="00735181">
        <w:instrText xml:space="preserve"> SEQ Table \* ARABIC \s 1 </w:instrText>
      </w:r>
      <w:r w:rsidR="00735181">
        <w:fldChar w:fldCharType="separate"/>
      </w:r>
      <w:r w:rsidR="00C60946">
        <w:rPr>
          <w:noProof/>
        </w:rPr>
        <w:t>9</w:t>
      </w:r>
      <w:r w:rsidR="00735181">
        <w:rPr>
          <w:noProof/>
        </w:rPr>
        <w:fldChar w:fldCharType="end"/>
      </w:r>
      <w:bookmarkEnd w:id="90"/>
      <w:r w:rsidRPr="0077400A">
        <w:tab/>
        <w:t xml:space="preserve">Impact of reduced </w:t>
      </w:r>
      <w:r>
        <w:t xml:space="preserve">safety risk cost on efficient major station </w:t>
      </w:r>
      <w:r w:rsidRPr="0077400A">
        <w:t>capex ($</w:t>
      </w:r>
      <w:r w:rsidR="00BB688D">
        <w:t>2016–17</w:t>
      </w:r>
      <w:r w:rsidRPr="0077400A">
        <w:t>)</w:t>
      </w:r>
    </w:p>
    <w:tbl>
      <w:tblPr>
        <w:tblStyle w:val="AERtable-numbers"/>
        <w:tblW w:w="5000" w:type="pct"/>
        <w:tblLook w:val="04A0" w:firstRow="1" w:lastRow="0" w:firstColumn="1" w:lastColumn="0" w:noHBand="0" w:noVBand="1"/>
      </w:tblPr>
      <w:tblGrid>
        <w:gridCol w:w="2285"/>
        <w:gridCol w:w="915"/>
        <w:gridCol w:w="915"/>
        <w:gridCol w:w="916"/>
        <w:gridCol w:w="915"/>
        <w:gridCol w:w="916"/>
        <w:gridCol w:w="915"/>
        <w:gridCol w:w="916"/>
      </w:tblGrid>
      <w:tr w:rsidR="00187591" w:rsidRPr="00E54DCA" w:rsidTr="00187591">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14" w:type="pct"/>
          </w:tcPr>
          <w:p w:rsidR="006A7769" w:rsidRPr="00355E98" w:rsidRDefault="006A7769" w:rsidP="006A7769"/>
        </w:tc>
        <w:tc>
          <w:tcPr>
            <w:tcW w:w="526" w:type="pct"/>
          </w:tcPr>
          <w:p w:rsidR="006A7769" w:rsidRPr="006A7769" w:rsidRDefault="006A7769" w:rsidP="006A7769">
            <w:pPr>
              <w:cnfStyle w:val="100000000000" w:firstRow="1" w:lastRow="0" w:firstColumn="0" w:lastColumn="0" w:oddVBand="0" w:evenVBand="0" w:oddHBand="0" w:evenHBand="0" w:firstRowFirstColumn="0" w:firstRowLastColumn="0" w:lastRowFirstColumn="0" w:lastRowLastColumn="0"/>
            </w:pPr>
            <w:r>
              <w:t>WMTS</w:t>
            </w:r>
          </w:p>
        </w:tc>
        <w:tc>
          <w:tcPr>
            <w:tcW w:w="526" w:type="pct"/>
          </w:tcPr>
          <w:p w:rsidR="006A7769" w:rsidRPr="006A7769" w:rsidRDefault="006A7769" w:rsidP="006A7769">
            <w:pPr>
              <w:cnfStyle w:val="100000000000" w:firstRow="1" w:lastRow="0" w:firstColumn="0" w:lastColumn="0" w:oddVBand="0" w:evenVBand="0" w:oddHBand="0" w:evenHBand="0" w:firstRowFirstColumn="0" w:firstRowLastColumn="0" w:lastRowFirstColumn="0" w:lastRowLastColumn="0"/>
            </w:pPr>
            <w:r>
              <w:t>SVTS</w:t>
            </w:r>
          </w:p>
        </w:tc>
        <w:tc>
          <w:tcPr>
            <w:tcW w:w="527" w:type="pct"/>
          </w:tcPr>
          <w:p w:rsidR="006A7769" w:rsidRPr="006A7769" w:rsidRDefault="006A7769" w:rsidP="006A7769">
            <w:pPr>
              <w:cnfStyle w:val="100000000000" w:firstRow="1" w:lastRow="0" w:firstColumn="0" w:lastColumn="0" w:oddVBand="0" w:evenVBand="0" w:oddHBand="0" w:evenHBand="0" w:firstRowFirstColumn="0" w:firstRowLastColumn="0" w:lastRowFirstColumn="0" w:lastRowLastColumn="0"/>
            </w:pPr>
            <w:r>
              <w:t>FBTS</w:t>
            </w:r>
          </w:p>
        </w:tc>
        <w:tc>
          <w:tcPr>
            <w:tcW w:w="526" w:type="pct"/>
          </w:tcPr>
          <w:p w:rsidR="006A7769" w:rsidRPr="006A7769" w:rsidRDefault="006A7769" w:rsidP="006A7769">
            <w:pPr>
              <w:cnfStyle w:val="100000000000" w:firstRow="1" w:lastRow="0" w:firstColumn="0" w:lastColumn="0" w:oddVBand="0" w:evenVBand="0" w:oddHBand="0" w:evenHBand="0" w:firstRowFirstColumn="0" w:firstRowLastColumn="0" w:lastRowFirstColumn="0" w:lastRowLastColumn="0"/>
            </w:pPr>
            <w:r>
              <w:t>TSTS</w:t>
            </w:r>
          </w:p>
        </w:tc>
        <w:tc>
          <w:tcPr>
            <w:tcW w:w="527" w:type="pct"/>
          </w:tcPr>
          <w:p w:rsidR="006A7769" w:rsidRPr="006A7769" w:rsidRDefault="006A7769" w:rsidP="006A7769">
            <w:pPr>
              <w:cnfStyle w:val="100000000000" w:firstRow="1" w:lastRow="0" w:firstColumn="0" w:lastColumn="0" w:oddVBand="0" w:evenVBand="0" w:oddHBand="0" w:evenHBand="0" w:firstRowFirstColumn="0" w:firstRowLastColumn="0" w:lastRowFirstColumn="0" w:lastRowLastColumn="0"/>
            </w:pPr>
            <w:r>
              <w:t>RWTS</w:t>
            </w:r>
          </w:p>
        </w:tc>
        <w:tc>
          <w:tcPr>
            <w:tcW w:w="526" w:type="pct"/>
          </w:tcPr>
          <w:p w:rsidR="006A7769" w:rsidRPr="006A7769" w:rsidRDefault="006A7769" w:rsidP="006A7769">
            <w:pPr>
              <w:cnfStyle w:val="100000000000" w:firstRow="1" w:lastRow="0" w:firstColumn="0" w:lastColumn="0" w:oddVBand="0" w:evenVBand="0" w:oddHBand="0" w:evenHBand="0" w:firstRowFirstColumn="0" w:firstRowLastColumn="0" w:lastRowFirstColumn="0" w:lastRowLastColumn="0"/>
            </w:pPr>
            <w:r>
              <w:t>HYTS</w:t>
            </w:r>
          </w:p>
        </w:tc>
        <w:tc>
          <w:tcPr>
            <w:tcW w:w="527" w:type="pct"/>
          </w:tcPr>
          <w:p w:rsidR="006A7769" w:rsidRPr="00C94F73" w:rsidRDefault="006A7769" w:rsidP="006A7769">
            <w:pPr>
              <w:cnfStyle w:val="100000000000" w:firstRow="1" w:lastRow="0" w:firstColumn="0" w:lastColumn="0" w:oddVBand="0" w:evenVBand="0" w:oddHBand="0" w:evenHBand="0" w:firstRowFirstColumn="0" w:firstRowLastColumn="0" w:lastRowFirstColumn="0" w:lastRowLastColumn="0"/>
              <w:rPr>
                <w:rStyle w:val="Strong"/>
              </w:rPr>
            </w:pPr>
            <w:r w:rsidRPr="00C94F73">
              <w:rPr>
                <w:rStyle w:val="Strong"/>
              </w:rPr>
              <w:t>Total</w:t>
            </w:r>
          </w:p>
        </w:tc>
      </w:tr>
      <w:tr w:rsidR="00187591" w:rsidRPr="00E54DCA" w:rsidTr="00187591">
        <w:trPr>
          <w:trHeight w:val="569"/>
        </w:trPr>
        <w:tc>
          <w:tcPr>
            <w:cnfStyle w:val="001000000000" w:firstRow="0" w:lastRow="0" w:firstColumn="1" w:lastColumn="0" w:oddVBand="0" w:evenVBand="0" w:oddHBand="0" w:evenHBand="0" w:firstRowFirstColumn="0" w:firstRowLastColumn="0" w:lastRowFirstColumn="0" w:lastRowLastColumn="0"/>
            <w:tcW w:w="1314" w:type="pct"/>
          </w:tcPr>
          <w:p w:rsidR="006A7769" w:rsidRPr="006A7769" w:rsidRDefault="006A7769" w:rsidP="006A7769">
            <w:r w:rsidRPr="00355E98">
              <w:t>AusNet Services' proposal</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96.5</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68.7</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33.5</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22.2</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10.4</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5.2</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rsidRPr="00C94F73">
              <w:rPr>
                <w:rStyle w:val="Strong"/>
              </w:rPr>
              <w:t>236.5</w:t>
            </w:r>
          </w:p>
        </w:tc>
      </w:tr>
      <w:tr w:rsidR="00187591" w:rsidRPr="00E54DCA" w:rsidTr="00187591">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14" w:type="pct"/>
          </w:tcPr>
          <w:p w:rsidR="006A7769" w:rsidRPr="006A7769" w:rsidRDefault="006A7769" w:rsidP="006A7769">
            <w:r w:rsidRPr="00355E98">
              <w:t xml:space="preserve">CPI adjustment </w:t>
            </w:r>
          </w:p>
        </w:tc>
        <w:tc>
          <w:tcPr>
            <w:tcW w:w="526"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-1.7</w:t>
            </w:r>
          </w:p>
        </w:tc>
        <w:tc>
          <w:tcPr>
            <w:tcW w:w="526"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-1.2</w:t>
            </w:r>
          </w:p>
        </w:tc>
        <w:tc>
          <w:tcPr>
            <w:tcW w:w="527"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-0.6</w:t>
            </w:r>
          </w:p>
        </w:tc>
        <w:tc>
          <w:tcPr>
            <w:tcW w:w="526"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-0.4</w:t>
            </w:r>
          </w:p>
        </w:tc>
        <w:tc>
          <w:tcPr>
            <w:tcW w:w="527"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-0.2</w:t>
            </w:r>
          </w:p>
        </w:tc>
        <w:tc>
          <w:tcPr>
            <w:tcW w:w="526"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-0.1</w:t>
            </w:r>
          </w:p>
        </w:tc>
        <w:tc>
          <w:tcPr>
            <w:tcW w:w="527"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rPr>
                <w:rStyle w:val="Strong"/>
              </w:rPr>
            </w:pPr>
            <w:r w:rsidRPr="00C94F73">
              <w:rPr>
                <w:rStyle w:val="Strong"/>
              </w:rPr>
              <w:t>-4.2</w:t>
            </w:r>
          </w:p>
        </w:tc>
      </w:tr>
      <w:tr w:rsidR="00187591" w:rsidRPr="00E54DCA" w:rsidTr="00187591">
        <w:trPr>
          <w:trHeight w:val="569"/>
        </w:trPr>
        <w:tc>
          <w:tcPr>
            <w:cnfStyle w:val="001000000000" w:firstRow="0" w:lastRow="0" w:firstColumn="1" w:lastColumn="0" w:oddVBand="0" w:evenVBand="0" w:oddHBand="0" w:evenHBand="0" w:firstRowFirstColumn="0" w:firstRowLastColumn="0" w:lastRowFirstColumn="0" w:lastRowLastColumn="0"/>
            <w:tcW w:w="1314" w:type="pct"/>
          </w:tcPr>
          <w:p w:rsidR="006A7769" w:rsidRPr="006A7769" w:rsidRDefault="006A7769" w:rsidP="006A7769">
            <w:r w:rsidRPr="00355E98">
              <w:t>AusNet Services' proposal</w:t>
            </w:r>
          </w:p>
          <w:p w:rsidR="006A7769" w:rsidRPr="006A7769" w:rsidRDefault="006A7769" w:rsidP="006A7769">
            <w:r w:rsidRPr="00355E98">
              <w:t>(CPI adjusted)</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94.8</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67.5</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32.9</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21.8</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10.2</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pPr>
            <w:r>
              <w:t>5.1</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rsidRPr="00C94F73">
              <w:rPr>
                <w:rStyle w:val="Strong"/>
              </w:rPr>
              <w:t>232.3</w:t>
            </w:r>
          </w:p>
        </w:tc>
      </w:tr>
      <w:tr w:rsidR="00187591" w:rsidRPr="00E54DCA" w:rsidTr="00187591">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14" w:type="pct"/>
          </w:tcPr>
          <w:p w:rsidR="006A7769" w:rsidRPr="006A7769" w:rsidRDefault="006A7769" w:rsidP="006A7769">
            <w:r>
              <w:t>Safety related</w:t>
            </w:r>
            <w:r w:rsidRPr="006A7769">
              <w:t xml:space="preserve"> adjustment</w:t>
            </w:r>
          </w:p>
        </w:tc>
        <w:tc>
          <w:tcPr>
            <w:tcW w:w="526"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-36.0</w:t>
            </w:r>
          </w:p>
        </w:tc>
        <w:tc>
          <w:tcPr>
            <w:tcW w:w="526"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-24.1</w:t>
            </w:r>
          </w:p>
        </w:tc>
        <w:tc>
          <w:tcPr>
            <w:tcW w:w="527"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-11.6</w:t>
            </w:r>
          </w:p>
        </w:tc>
        <w:tc>
          <w:tcPr>
            <w:tcW w:w="526"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-3.3</w:t>
            </w:r>
          </w:p>
        </w:tc>
        <w:tc>
          <w:tcPr>
            <w:tcW w:w="527"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w:t>
            </w:r>
          </w:p>
        </w:tc>
        <w:tc>
          <w:tcPr>
            <w:tcW w:w="526"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pPr>
            <w:r>
              <w:t>-</w:t>
            </w:r>
          </w:p>
        </w:tc>
        <w:tc>
          <w:tcPr>
            <w:tcW w:w="527" w:type="pct"/>
          </w:tcPr>
          <w:p w:rsidR="006A7769" w:rsidRPr="006A7769" w:rsidRDefault="006A7769" w:rsidP="006A7769">
            <w:pPr>
              <w:cnfStyle w:val="000000010000" w:firstRow="0" w:lastRow="0" w:firstColumn="0" w:lastColumn="0" w:oddVBand="0" w:evenVBand="0" w:oddHBand="0" w:evenHBand="1" w:firstRowFirstColumn="0" w:firstRowLastColumn="0" w:lastRowFirstColumn="0" w:lastRowLastColumn="0"/>
              <w:rPr>
                <w:rStyle w:val="Strong"/>
              </w:rPr>
            </w:pPr>
            <w:r w:rsidRPr="00C94F73">
              <w:rPr>
                <w:rStyle w:val="Strong"/>
              </w:rPr>
              <w:t>-74.9</w:t>
            </w:r>
          </w:p>
        </w:tc>
      </w:tr>
      <w:tr w:rsidR="00187591" w:rsidRPr="00E54DCA" w:rsidTr="00187591">
        <w:trPr>
          <w:trHeight w:val="569"/>
        </w:trPr>
        <w:tc>
          <w:tcPr>
            <w:cnfStyle w:val="001000000000" w:firstRow="0" w:lastRow="0" w:firstColumn="1" w:lastColumn="0" w:oddVBand="0" w:evenVBand="0" w:oddHBand="0" w:evenHBand="0" w:firstRowFirstColumn="0" w:firstRowLastColumn="0" w:lastRowFirstColumn="0" w:lastRowLastColumn="0"/>
            <w:tcW w:w="1314" w:type="pct"/>
          </w:tcPr>
          <w:p w:rsidR="006A7769" w:rsidRPr="006A7769" w:rsidRDefault="006A7769" w:rsidP="006A7769">
            <w:pPr>
              <w:rPr>
                <w:rStyle w:val="Strong"/>
              </w:rPr>
            </w:pPr>
            <w:r>
              <w:t xml:space="preserve">Safety related </w:t>
            </w:r>
            <w:r w:rsidRPr="006A7769">
              <w:t>adjustment (%)</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t>-37.9%</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t>-</w:t>
            </w:r>
            <w:r w:rsidRPr="006A7769">
              <w:t>35.7%</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t>-</w:t>
            </w:r>
            <w:r w:rsidRPr="006A7769">
              <w:t>35.2%</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t>-</w:t>
            </w:r>
            <w:r w:rsidRPr="006A7769">
              <w:t>14.9%</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t>-</w:t>
            </w:r>
          </w:p>
        </w:tc>
        <w:tc>
          <w:tcPr>
            <w:tcW w:w="526"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t>-</w:t>
            </w:r>
          </w:p>
        </w:tc>
        <w:tc>
          <w:tcPr>
            <w:tcW w:w="527" w:type="pct"/>
          </w:tcPr>
          <w:p w:rsidR="006A7769" w:rsidRPr="006A7769" w:rsidRDefault="006A7769" w:rsidP="006A7769">
            <w:pPr>
              <w:cnfStyle w:val="000000000000" w:firstRow="0" w:lastRow="0" w:firstColumn="0" w:lastColumn="0" w:oddVBand="0" w:evenVBand="0" w:oddHBand="0" w:evenHBand="0" w:firstRowFirstColumn="0" w:firstRowLastColumn="0" w:lastRowFirstColumn="0" w:lastRowLastColumn="0"/>
              <w:rPr>
                <w:rStyle w:val="Strong"/>
              </w:rPr>
            </w:pPr>
            <w:r w:rsidRPr="00C94F73">
              <w:rPr>
                <w:rStyle w:val="Strong"/>
              </w:rPr>
              <w:t>-32.3%</w:t>
            </w:r>
          </w:p>
        </w:tc>
      </w:tr>
    </w:tbl>
    <w:p w:rsidR="00187591" w:rsidRDefault="00187591" w:rsidP="00187591">
      <w:pPr>
        <w:pStyle w:val="AERtablesource"/>
      </w:pPr>
      <w:r w:rsidRPr="0077400A">
        <w:t xml:space="preserve">Source: </w:t>
      </w:r>
      <w:r>
        <w:tab/>
      </w:r>
      <w:r w:rsidRPr="0077400A">
        <w:t xml:space="preserve">AusNet Services, </w:t>
      </w:r>
      <w:r>
        <w:rPr>
          <w:rStyle w:val="AERtextitalic"/>
        </w:rPr>
        <w:t>Attachments 5F-5K - economic models</w:t>
      </w:r>
      <w:r w:rsidRPr="0077400A">
        <w:t xml:space="preserve">; </w:t>
      </w:r>
      <w:r>
        <w:t xml:space="preserve">and </w:t>
      </w:r>
      <w:r w:rsidRPr="0077400A">
        <w:t>AER analysis.</w:t>
      </w:r>
      <w:r w:rsidRPr="007F244E">
        <w:t xml:space="preserve"> </w:t>
      </w:r>
    </w:p>
    <w:p w:rsidR="007F244E" w:rsidRPr="007F244E" w:rsidRDefault="00187591" w:rsidP="00187591">
      <w:pPr>
        <w:pStyle w:val="AERtablesource"/>
      </w:pPr>
      <w:r w:rsidRPr="005531F2">
        <w:t>Note:</w:t>
      </w:r>
      <w:r w:rsidRPr="00187591" w:rsidDel="002A0B9F">
        <w:t xml:space="preserve"> </w:t>
      </w:r>
      <w:r w:rsidRPr="00187591">
        <w:tab/>
        <w:t>Numbers may not add up due to rounding</w:t>
      </w:r>
      <w:r>
        <w:t>.</w:t>
      </w:r>
    </w:p>
    <w:p w:rsidR="00F53F95" w:rsidRDefault="00F53F95" w:rsidP="00F53F95">
      <w:r>
        <w:t>We found that, in the case of f</w:t>
      </w:r>
      <w:r w:rsidR="0086515B">
        <w:t>our</w:t>
      </w:r>
      <w:r>
        <w:t xml:space="preserve"> of the six major station projects, reducing the estimated safety risk cost as outlined above reduced the benefits provided by the project such that the capex proposed by AusNet Services is not economically justified. In our view, based on a realistic estimation of safety risk, the efficient level of capex for these six projects is, on average, approximately </w:t>
      </w:r>
      <w:r w:rsidR="009F7A52">
        <w:t>32</w:t>
      </w:r>
      <w:r w:rsidR="00B96BBA">
        <w:t>.3</w:t>
      </w:r>
      <w:r>
        <w:t xml:space="preserve"> per cent lower than AusNet Services' proposal.</w:t>
      </w:r>
      <w:r w:rsidRPr="00303A39">
        <w:t xml:space="preserve"> </w:t>
      </w:r>
    </w:p>
    <w:p w:rsidR="00F53F95" w:rsidRDefault="00F53F95" w:rsidP="00F53F95">
      <w:r>
        <w:t xml:space="preserve">For </w:t>
      </w:r>
      <w:r w:rsidR="0086515B">
        <w:t xml:space="preserve">both the HYTS circuit breaker replacement project and </w:t>
      </w:r>
      <w:r>
        <w:t>the RWTS transformer and circuit breaker replacement project, our alternative estimate of project benefits (avoided risks) exceeded the proposed project cost, such that the full project scope remains economically justified.</w:t>
      </w:r>
      <w:r w:rsidRPr="00303A39">
        <w:t xml:space="preserve"> </w:t>
      </w:r>
      <w:r>
        <w:t>However, in all other cases, AusNet Services' forec</w:t>
      </w:r>
      <w:r w:rsidR="005B3191">
        <w:t xml:space="preserve">ast project capex </w:t>
      </w:r>
      <w:r>
        <w:t xml:space="preserve">exceeds the efficient level of expenditure which, in our view, reflects a </w:t>
      </w:r>
      <w:r w:rsidR="0086515B">
        <w:t xml:space="preserve">more </w:t>
      </w:r>
      <w:r>
        <w:t>realistic estimate of safety risks. On this basis, we consider that AusNet Services' forecast major station capex is sensitive to the assumed level of safety risk associated with asset failures, and therefore does not reasonably reflect the efficient costs that a prudent operator would require to achieve the capex objectives.</w:t>
      </w:r>
      <w:r>
        <w:rPr>
          <w:rStyle w:val="FootnoteReference"/>
        </w:rPr>
        <w:footnoteReference w:id="106"/>
      </w:r>
    </w:p>
    <w:p w:rsidR="00DE2533" w:rsidRDefault="00F53F95" w:rsidP="005B3191">
      <w:r w:rsidRPr="000C1001">
        <w:t xml:space="preserve">For these reasons, in modelling our alternative estimate of forecast capex for the 2017–22 regulatory control </w:t>
      </w:r>
      <w:proofErr w:type="gramStart"/>
      <w:r w:rsidRPr="000C1001">
        <w:t>period</w:t>
      </w:r>
      <w:proofErr w:type="gramEnd"/>
      <w:r w:rsidRPr="000C1001">
        <w:t xml:space="preserve"> we have reduced AusNet Services’ </w:t>
      </w:r>
      <w:r>
        <w:t xml:space="preserve">forecast capex for the six major station projects discussed above </w:t>
      </w:r>
      <w:r w:rsidRPr="005B3191">
        <w:t xml:space="preserve">by </w:t>
      </w:r>
      <w:r w:rsidR="002A1B14">
        <w:t>32.3</w:t>
      </w:r>
      <w:r w:rsidR="0086515B">
        <w:t xml:space="preserve"> per cent</w:t>
      </w:r>
      <w:r w:rsidRPr="005B3191">
        <w:t>.</w:t>
      </w:r>
      <w:r w:rsidR="003F4D41">
        <w:rPr>
          <w:rStyle w:val="FootnoteReference"/>
        </w:rPr>
        <w:footnoteReference w:id="107"/>
      </w:r>
      <w:r w:rsidRPr="005B3191">
        <w:t xml:space="preserve"> This</w:t>
      </w:r>
      <w:r w:rsidRPr="000C1001">
        <w:t xml:space="preserve"> adjustment </w:t>
      </w:r>
      <w:r w:rsidRPr="000C1001">
        <w:lastRenderedPageBreak/>
        <w:t>addresses</w:t>
      </w:r>
      <w:r>
        <w:t xml:space="preserve"> the overestimation of safety risk apparent in AusNet Services' economic justification of these projects. We are satisfied that this adjustment will provide for major station project capex which is economically justified and </w:t>
      </w:r>
      <w:r w:rsidRPr="000C1001">
        <w:t>reflect</w:t>
      </w:r>
      <w:r>
        <w:t>s</w:t>
      </w:r>
      <w:r w:rsidRPr="000C1001">
        <w:t xml:space="preserve"> a realistic expectation of </w:t>
      </w:r>
      <w:r w:rsidR="00C010EB">
        <w:t xml:space="preserve">prudent and </w:t>
      </w:r>
      <w:r w:rsidRPr="000C1001">
        <w:t>efficient costs</w:t>
      </w:r>
      <w:r>
        <w:t>.</w:t>
      </w:r>
      <w:r w:rsidR="005B3191">
        <w:t xml:space="preserve"> </w:t>
      </w:r>
    </w:p>
    <w:p w:rsidR="007110B7" w:rsidRPr="00DA08C6" w:rsidRDefault="007110B7" w:rsidP="00DA08C6">
      <w:pPr>
        <w:pStyle w:val="HeadingBoldItalic"/>
      </w:pPr>
      <w:bookmarkStart w:id="91" w:name="_Toc456608815"/>
      <w:r w:rsidRPr="00DA08C6">
        <w:t xml:space="preserve">Summary </w:t>
      </w:r>
      <w:r w:rsidR="00DA08C6" w:rsidRPr="00DA08C6">
        <w:t>of repex findings</w:t>
      </w:r>
      <w:bookmarkEnd w:id="91"/>
    </w:p>
    <w:p w:rsidR="00B820AD" w:rsidRDefault="007110B7" w:rsidP="00B820AD">
      <w:r>
        <w:rPr>
          <w:rStyle w:val="AERbody"/>
        </w:rPr>
        <w:t>Ba</w:t>
      </w:r>
      <w:r w:rsidR="00F46587">
        <w:rPr>
          <w:rStyle w:val="AERbody"/>
        </w:rPr>
        <w:t xml:space="preserve">sed on our findings in this section </w:t>
      </w:r>
      <w:r w:rsidR="00F46587">
        <w:rPr>
          <w:rStyle w:val="AERbody"/>
        </w:rPr>
        <w:fldChar w:fldCharType="begin"/>
      </w:r>
      <w:r w:rsidR="00F46587">
        <w:rPr>
          <w:rStyle w:val="AERbody"/>
        </w:rPr>
        <w:instrText xml:space="preserve"> REF _Ref453683834 \r </w:instrText>
      </w:r>
      <w:r w:rsidR="00F46587">
        <w:rPr>
          <w:rStyle w:val="AERbody"/>
        </w:rPr>
        <w:fldChar w:fldCharType="separate"/>
      </w:r>
      <w:r w:rsidR="00C60946">
        <w:rPr>
          <w:rStyle w:val="AERbody"/>
        </w:rPr>
        <w:t>B.2.3</w:t>
      </w:r>
      <w:r w:rsidR="00F46587">
        <w:rPr>
          <w:rStyle w:val="AERbody"/>
        </w:rPr>
        <w:fldChar w:fldCharType="end"/>
      </w:r>
      <w:r>
        <w:rPr>
          <w:rStyle w:val="AERbody"/>
        </w:rPr>
        <w:t>, we have reduced AusNet Services' forecast capex by $</w:t>
      </w:r>
      <w:r w:rsidR="00D5247B">
        <w:rPr>
          <w:rStyle w:val="AERbody"/>
        </w:rPr>
        <w:t>143.1</w:t>
      </w:r>
      <w:r w:rsidR="00CA182C">
        <w:rPr>
          <w:rStyle w:val="AERbody"/>
        </w:rPr>
        <w:t xml:space="preserve"> </w:t>
      </w:r>
      <w:r>
        <w:rPr>
          <w:rStyle w:val="AERbody"/>
        </w:rPr>
        <w:t>million</w:t>
      </w:r>
      <w:r w:rsidR="00AF0BFE">
        <w:rPr>
          <w:rStyle w:val="AERbody"/>
        </w:rPr>
        <w:t xml:space="preserve"> to account for our alternative assumptions on the cost of safety and reliability risk</w:t>
      </w:r>
      <w:r>
        <w:rPr>
          <w:rStyle w:val="AERbody"/>
        </w:rPr>
        <w:t xml:space="preserve">. </w:t>
      </w:r>
      <w:r w:rsidR="00B820AD">
        <w:fldChar w:fldCharType="begin"/>
      </w:r>
      <w:r w:rsidR="00B820AD">
        <w:instrText xml:space="preserve"> REF _Ref456092053 \h </w:instrText>
      </w:r>
      <w:r w:rsidR="00B820AD">
        <w:fldChar w:fldCharType="separate"/>
      </w:r>
      <w:r w:rsidR="00C60946">
        <w:t xml:space="preserve">Table </w:t>
      </w:r>
      <w:r w:rsidR="00C60946">
        <w:rPr>
          <w:noProof/>
        </w:rPr>
        <w:t>6</w:t>
      </w:r>
      <w:r w:rsidR="00C60946">
        <w:t>.</w:t>
      </w:r>
      <w:r w:rsidR="00C60946">
        <w:rPr>
          <w:noProof/>
        </w:rPr>
        <w:t>10</w:t>
      </w:r>
      <w:r w:rsidR="00B820AD">
        <w:fldChar w:fldCharType="end"/>
      </w:r>
      <w:r w:rsidR="00B820AD">
        <w:t xml:space="preserve"> summarises AusNet Services' proposed repex and our alternative </w:t>
      </w:r>
      <w:r w:rsidR="003A5A97">
        <w:t xml:space="preserve">estimate of </w:t>
      </w:r>
      <w:r w:rsidR="00727B98">
        <w:t xml:space="preserve">required </w:t>
      </w:r>
      <w:r w:rsidR="00B820AD">
        <w:t>repex</w:t>
      </w:r>
      <w:r w:rsidR="00727B98">
        <w:t xml:space="preserve">, with reference to </w:t>
      </w:r>
      <w:r w:rsidR="00B820AD">
        <w:t>the impact of our adjustments</w:t>
      </w:r>
      <w:r w:rsidR="00727B98">
        <w:t xml:space="preserve"> for</w:t>
      </w:r>
      <w:r w:rsidR="00B820AD">
        <w:t xml:space="preserve"> the </w:t>
      </w:r>
      <w:r w:rsidR="00727B98">
        <w:t xml:space="preserve">various </w:t>
      </w:r>
      <w:r w:rsidR="00B820AD">
        <w:t xml:space="preserve">reasons discussed in </w:t>
      </w:r>
      <w:r w:rsidR="00727B98">
        <w:rPr>
          <w:rStyle w:val="AERbody"/>
        </w:rPr>
        <w:t xml:space="preserve">section </w:t>
      </w:r>
      <w:r w:rsidR="00727B98">
        <w:rPr>
          <w:rStyle w:val="AERbody"/>
        </w:rPr>
        <w:fldChar w:fldCharType="begin"/>
      </w:r>
      <w:r w:rsidR="00727B98">
        <w:rPr>
          <w:rStyle w:val="AERbody"/>
        </w:rPr>
        <w:instrText xml:space="preserve"> REF _Ref453683834 \r </w:instrText>
      </w:r>
      <w:r w:rsidR="00727B98">
        <w:rPr>
          <w:rStyle w:val="AERbody"/>
        </w:rPr>
        <w:fldChar w:fldCharType="separate"/>
      </w:r>
      <w:r w:rsidR="00C60946">
        <w:rPr>
          <w:rStyle w:val="AERbody"/>
        </w:rPr>
        <w:t>B.2.3</w:t>
      </w:r>
      <w:r w:rsidR="00727B98">
        <w:rPr>
          <w:rStyle w:val="AERbody"/>
        </w:rPr>
        <w:fldChar w:fldCharType="end"/>
      </w:r>
      <w:r w:rsidR="00B820AD">
        <w:t xml:space="preserve"> of this draft decision.</w:t>
      </w:r>
    </w:p>
    <w:p w:rsidR="00B820AD" w:rsidRDefault="00B820AD" w:rsidP="00B820AD">
      <w:pPr>
        <w:pStyle w:val="Caption"/>
      </w:pPr>
      <w:bookmarkStart w:id="92" w:name="_Ref456092053"/>
      <w:bookmarkStart w:id="93" w:name="_Ref456092594"/>
      <w:proofErr w:type="gramStart"/>
      <w:r>
        <w:t xml:space="preserve">Table </w:t>
      </w:r>
      <w:r w:rsidRPr="00D5247B">
        <w:fldChar w:fldCharType="begin"/>
      </w:r>
      <w:r>
        <w:instrText xml:space="preserve"> STYLEREF 1 \s </w:instrText>
      </w:r>
      <w:r w:rsidRPr="00D5247B">
        <w:fldChar w:fldCharType="separate"/>
      </w:r>
      <w:r w:rsidR="00C60946">
        <w:rPr>
          <w:noProof/>
        </w:rPr>
        <w:t>6</w:t>
      </w:r>
      <w:r w:rsidRPr="00D5247B">
        <w:fldChar w:fldCharType="end"/>
      </w:r>
      <w:r>
        <w:t>.</w:t>
      </w:r>
      <w:proofErr w:type="gramEnd"/>
      <w:r w:rsidRPr="00D5247B">
        <w:fldChar w:fldCharType="begin"/>
      </w:r>
      <w:r>
        <w:instrText xml:space="preserve"> SEQ Table \* ARABIC \s 1 </w:instrText>
      </w:r>
      <w:r w:rsidRPr="00D5247B">
        <w:fldChar w:fldCharType="separate"/>
      </w:r>
      <w:r w:rsidR="00C60946">
        <w:rPr>
          <w:noProof/>
        </w:rPr>
        <w:t>10</w:t>
      </w:r>
      <w:r w:rsidRPr="00D5247B">
        <w:fldChar w:fldCharType="end"/>
      </w:r>
      <w:bookmarkEnd w:id="92"/>
      <w:r>
        <w:tab/>
        <w:t xml:space="preserve">Draft decision </w:t>
      </w:r>
      <w:r>
        <w:noBreakHyphen/>
        <w:t xml:space="preserve"> Summary of impact of adjustments to repex programs ($2016-17)</w:t>
      </w:r>
      <w:bookmarkEnd w:id="93"/>
    </w:p>
    <w:tbl>
      <w:tblPr>
        <w:tblStyle w:val="AERtable-numbers"/>
        <w:tblW w:w="5117" w:type="pct"/>
        <w:tblLayout w:type="fixed"/>
        <w:tblLook w:val="04A0" w:firstRow="1" w:lastRow="0" w:firstColumn="1" w:lastColumn="0" w:noHBand="0" w:noVBand="1"/>
      </w:tblPr>
      <w:tblGrid>
        <w:gridCol w:w="2517"/>
        <w:gridCol w:w="283"/>
        <w:gridCol w:w="1219"/>
        <w:gridCol w:w="135"/>
        <w:gridCol w:w="1084"/>
        <w:gridCol w:w="1219"/>
        <w:gridCol w:w="641"/>
        <w:gridCol w:w="578"/>
        <w:gridCol w:w="891"/>
        <w:gridCol w:w="329"/>
      </w:tblGrid>
      <w:tr w:rsidR="00B820AD" w:rsidRPr="00E54DCA" w:rsidTr="00BB103F">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15" w:type="pct"/>
          </w:tcPr>
          <w:p w:rsidR="00B820AD" w:rsidRPr="00355E98" w:rsidRDefault="00B820AD" w:rsidP="00B820AD"/>
        </w:tc>
        <w:tc>
          <w:tcPr>
            <w:tcW w:w="920" w:type="pct"/>
            <w:gridSpan w:val="3"/>
          </w:tcPr>
          <w:p w:rsidR="00B820AD" w:rsidRDefault="00B820AD" w:rsidP="00B820AD">
            <w:pPr>
              <w:cnfStyle w:val="100000000000" w:firstRow="1" w:lastRow="0" w:firstColumn="0" w:lastColumn="0" w:oddVBand="0" w:evenVBand="0" w:oddHBand="0" w:evenHBand="0" w:firstRowFirstColumn="0" w:firstRowLastColumn="0" w:lastRowFirstColumn="0" w:lastRowLastColumn="0"/>
            </w:pPr>
          </w:p>
        </w:tc>
        <w:tc>
          <w:tcPr>
            <w:tcW w:w="1654" w:type="pct"/>
            <w:gridSpan w:val="3"/>
          </w:tcPr>
          <w:p w:rsidR="00B820AD" w:rsidRPr="00B820AD" w:rsidRDefault="00B820AD" w:rsidP="00BB103F">
            <w:pPr>
              <w:jc w:val="center"/>
              <w:cnfStyle w:val="100000000000" w:firstRow="1" w:lastRow="0" w:firstColumn="0" w:lastColumn="0" w:oddVBand="0" w:evenVBand="0" w:oddHBand="0" w:evenHBand="0" w:firstRowFirstColumn="0" w:firstRowLastColumn="0" w:lastRowFirstColumn="0" w:lastRowLastColumn="0"/>
            </w:pPr>
            <w:r>
              <w:t>Repex program</w:t>
            </w:r>
          </w:p>
        </w:tc>
        <w:tc>
          <w:tcPr>
            <w:tcW w:w="826" w:type="pct"/>
            <w:gridSpan w:val="2"/>
          </w:tcPr>
          <w:p w:rsidR="00B820AD" w:rsidRDefault="00B820AD" w:rsidP="00B820AD">
            <w:pPr>
              <w:cnfStyle w:val="100000000000" w:firstRow="1" w:lastRow="0" w:firstColumn="0" w:lastColumn="0" w:oddVBand="0" w:evenVBand="0" w:oddHBand="0" w:evenHBand="0" w:firstRowFirstColumn="0" w:firstRowLastColumn="0" w:lastRowFirstColumn="0" w:lastRowLastColumn="0"/>
            </w:pPr>
          </w:p>
        </w:tc>
        <w:tc>
          <w:tcPr>
            <w:tcW w:w="185" w:type="pct"/>
          </w:tcPr>
          <w:p w:rsidR="00B820AD" w:rsidRDefault="00B820AD" w:rsidP="00B820AD">
            <w:pPr>
              <w:cnfStyle w:val="100000000000" w:firstRow="1" w:lastRow="0" w:firstColumn="0" w:lastColumn="0" w:oddVBand="0" w:evenVBand="0" w:oddHBand="0" w:evenHBand="0" w:firstRowFirstColumn="0" w:firstRowLastColumn="0" w:lastRowFirstColumn="0" w:lastRowLastColumn="0"/>
            </w:pPr>
          </w:p>
        </w:tc>
      </w:tr>
      <w:tr w:rsidR="00B820AD" w:rsidRPr="00E54DCA" w:rsidTr="00BB103F">
        <w:trPr>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355E98" w:rsidRDefault="00B820AD" w:rsidP="00B820AD"/>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CBD station rebuilds</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Major station replacement</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Asset replacement</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Safety</w:t>
            </w:r>
            <w:r w:rsidRPr="00B820AD">
              <w:t>, security, and  compliance</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Total</w:t>
            </w:r>
          </w:p>
        </w:tc>
      </w:tr>
      <w:tr w:rsidR="00B820AD" w:rsidRPr="00E54DCA" w:rsidTr="00BB103F">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rsidRPr="00355E98">
              <w:t>AusNet Services' proposal</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109.5</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177.5</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230.5</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65.9</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583.3</w:t>
            </w:r>
          </w:p>
        </w:tc>
      </w:tr>
      <w:tr w:rsidR="00B820AD" w:rsidRPr="00E54DCA" w:rsidTr="00BB103F">
        <w:trPr>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rsidRPr="00355E98">
              <w:t xml:space="preserve">CPI adjustment </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-2.0</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-3.2</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-4.1</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-1.2</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-10.4</w:t>
            </w:r>
          </w:p>
        </w:tc>
      </w:tr>
      <w:tr w:rsidR="00B820AD" w:rsidRPr="00E54DCA" w:rsidTr="00BB103F">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rsidRPr="00355E98">
              <w:t>AusNet Services' proposal</w:t>
            </w:r>
          </w:p>
          <w:p w:rsidR="00B820AD" w:rsidRPr="00B820AD" w:rsidRDefault="00B820AD" w:rsidP="00B820AD">
            <w:r>
              <w:t>(CPI adjusted)</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1</w:t>
            </w:r>
            <w:r w:rsidRPr="00B820AD">
              <w:t>07.6</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1</w:t>
            </w:r>
            <w:r w:rsidRPr="00B820AD">
              <w:t>74.3</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2</w:t>
            </w:r>
            <w:r w:rsidRPr="00B820AD">
              <w:t>26.3</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6</w:t>
            </w:r>
            <w:r w:rsidRPr="00B820AD">
              <w:t>4.7</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572.8</w:t>
            </w:r>
          </w:p>
        </w:tc>
      </w:tr>
      <w:tr w:rsidR="00B820AD" w:rsidRPr="00E54DCA" w:rsidTr="00BB103F">
        <w:trPr>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t xml:space="preserve">Cost </w:t>
            </w:r>
            <w:r w:rsidRPr="00B820AD">
              <w:t>estimate adjustment</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10.5</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3.0</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13.5</w:t>
            </w:r>
          </w:p>
        </w:tc>
      </w:tr>
      <w:tr w:rsidR="00B820AD" w:rsidRPr="00E54DCA" w:rsidTr="00BB103F">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t>Remova</w:t>
            </w:r>
            <w:r w:rsidRPr="00B820AD">
              <w:t>l of AusNet's proposed cost efficiency adjustment (-0.89%)</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1.0</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1.6</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2.0</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0.6</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5</w:t>
            </w:r>
            <w:r w:rsidRPr="00B820AD">
              <w:t>.1</w:t>
            </w:r>
          </w:p>
        </w:tc>
      </w:tr>
      <w:tr w:rsidR="00B820AD" w:rsidRPr="00E54DCA" w:rsidTr="00BB103F">
        <w:trPr>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t xml:space="preserve">Safety </w:t>
            </w:r>
            <w:r w:rsidRPr="00B820AD">
              <w:t>risk adjustment</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36.0</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39.0</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18.7</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5.4</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99.0</w:t>
            </w:r>
          </w:p>
        </w:tc>
      </w:tr>
      <w:tr w:rsidR="00B820AD" w:rsidRPr="00E54DCA" w:rsidTr="00BB103F">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t>R</w:t>
            </w:r>
            <w:r w:rsidRPr="00B820AD">
              <w:t>eliability risk adjustment</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-7.6</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-36.5</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-44.1</w:t>
            </w:r>
          </w:p>
        </w:tc>
      </w:tr>
      <w:tr w:rsidR="00B820AD" w:rsidRPr="00E54DCA" w:rsidTr="00BB103F">
        <w:trPr>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t xml:space="preserve">Total </w:t>
            </w:r>
            <w:r w:rsidRPr="00B820AD">
              <w:t xml:space="preserve">non CPI adjustment </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-4</w:t>
            </w:r>
            <w:r w:rsidRPr="00B820AD">
              <w:t>2.6</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73.9</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27.2</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-7.8</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-151.5</w:t>
            </w:r>
          </w:p>
        </w:tc>
      </w:tr>
      <w:tr w:rsidR="00B820AD" w:rsidRPr="00E54DCA" w:rsidTr="00BB103F">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rPr>
                <w:rStyle w:val="Strong"/>
              </w:rPr>
              <w:t>A</w:t>
            </w:r>
            <w:r w:rsidRPr="00B820AD">
              <w:rPr>
                <w:rStyle w:val="Strong"/>
              </w:rPr>
              <w:t>ER draft decision</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6</w:t>
            </w:r>
            <w:r w:rsidRPr="00B820AD">
              <w:rPr>
                <w:rStyle w:val="Strong"/>
              </w:rPr>
              <w:t>4.9</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w:t>
            </w:r>
            <w:r w:rsidRPr="00B820AD">
              <w:rPr>
                <w:rStyle w:val="Strong"/>
              </w:rPr>
              <w:t>00.4</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w:t>
            </w:r>
            <w:r w:rsidRPr="00B820AD">
              <w:rPr>
                <w:rStyle w:val="Strong"/>
              </w:rPr>
              <w:t>99.1</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5</w:t>
            </w:r>
            <w:r w:rsidRPr="00B820AD">
              <w:rPr>
                <w:rStyle w:val="Strong"/>
              </w:rPr>
              <w:t>6.9</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rPr>
                <w:rStyle w:val="Strong"/>
              </w:rPr>
              <w:t>4</w:t>
            </w:r>
            <w:r w:rsidRPr="00B820AD">
              <w:rPr>
                <w:rStyle w:val="Strong"/>
              </w:rPr>
              <w:t>21.3</w:t>
            </w:r>
          </w:p>
        </w:tc>
      </w:tr>
      <w:tr w:rsidR="00B820AD" w:rsidRPr="00E54DCA" w:rsidTr="00BB103F">
        <w:trPr>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t>T</w:t>
            </w:r>
            <w:r w:rsidRPr="00B820AD">
              <w:t>otal adjustment</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44.6</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77.1</w:t>
            </w:r>
          </w:p>
        </w:tc>
        <w:tc>
          <w:tcPr>
            <w:tcW w:w="685" w:type="pct"/>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31.3</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9.0</w:t>
            </w:r>
          </w:p>
        </w:tc>
        <w:tc>
          <w:tcPr>
            <w:tcW w:w="685" w:type="pct"/>
            <w:gridSpan w:val="2"/>
          </w:tcPr>
          <w:p w:rsidR="00B820AD" w:rsidRPr="00B820AD" w:rsidRDefault="00B820AD" w:rsidP="00B820AD">
            <w:pPr>
              <w:cnfStyle w:val="000000000000" w:firstRow="0" w:lastRow="0" w:firstColumn="0" w:lastColumn="0" w:oddVBand="0" w:evenVBand="0" w:oddHBand="0" w:evenHBand="0" w:firstRowFirstColumn="0" w:firstRowLastColumn="0" w:lastRowFirstColumn="0" w:lastRowLastColumn="0"/>
            </w:pPr>
            <w:r>
              <w:t>-</w:t>
            </w:r>
            <w:r w:rsidRPr="00B820AD">
              <w:t>162.0</w:t>
            </w:r>
          </w:p>
        </w:tc>
      </w:tr>
      <w:tr w:rsidR="00B820AD" w:rsidRPr="00E54DCA" w:rsidTr="00BB103F">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574" w:type="pct"/>
            <w:gridSpan w:val="2"/>
          </w:tcPr>
          <w:p w:rsidR="00B820AD" w:rsidRPr="00B820AD" w:rsidRDefault="00B820AD" w:rsidP="00B820AD">
            <w:r>
              <w:t>T</w:t>
            </w:r>
            <w:r w:rsidRPr="00B820AD">
              <w:t xml:space="preserve">otal adjustment (%) </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w:t>
            </w:r>
            <w:r w:rsidRPr="00B820AD">
              <w:t>40.7%</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w:t>
            </w:r>
            <w:r w:rsidRPr="00B820AD">
              <w:t>43.4%</w:t>
            </w:r>
          </w:p>
        </w:tc>
        <w:tc>
          <w:tcPr>
            <w:tcW w:w="685" w:type="pct"/>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w:t>
            </w:r>
            <w:r w:rsidRPr="00B820AD">
              <w:t>13.6%</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w:t>
            </w:r>
            <w:r w:rsidRPr="00B820AD">
              <w:t>13.6%</w:t>
            </w:r>
          </w:p>
        </w:tc>
        <w:tc>
          <w:tcPr>
            <w:tcW w:w="685" w:type="pct"/>
            <w:gridSpan w:val="2"/>
          </w:tcPr>
          <w:p w:rsidR="00B820AD" w:rsidRPr="00B820AD" w:rsidRDefault="00B820AD" w:rsidP="00B820AD">
            <w:pPr>
              <w:cnfStyle w:val="000000010000" w:firstRow="0" w:lastRow="0" w:firstColumn="0" w:lastColumn="0" w:oddVBand="0" w:evenVBand="0" w:oddHBand="0" w:evenHBand="1" w:firstRowFirstColumn="0" w:firstRowLastColumn="0" w:lastRowFirstColumn="0" w:lastRowLastColumn="0"/>
            </w:pPr>
            <w:r>
              <w:t>-</w:t>
            </w:r>
            <w:r w:rsidRPr="00B820AD">
              <w:t>27.8%</w:t>
            </w:r>
          </w:p>
        </w:tc>
      </w:tr>
    </w:tbl>
    <w:p w:rsidR="00B820AD" w:rsidRDefault="00B820AD" w:rsidP="00B820AD">
      <w:pPr>
        <w:pStyle w:val="AERtablesource"/>
      </w:pPr>
    </w:p>
    <w:p w:rsidR="00B820AD" w:rsidRDefault="00B820AD" w:rsidP="00B820AD">
      <w:pPr>
        <w:pStyle w:val="AERtablesource"/>
      </w:pPr>
      <w:r>
        <w:t xml:space="preserve">Source: </w:t>
      </w:r>
      <w:r>
        <w:tab/>
        <w:t>AER analysis</w:t>
      </w:r>
    </w:p>
    <w:p w:rsidR="00B820AD" w:rsidRPr="00947B1F" w:rsidRDefault="00B820AD" w:rsidP="00B820AD">
      <w:pPr>
        <w:pStyle w:val="AERtablesource"/>
      </w:pPr>
      <w:r w:rsidRPr="005531F2">
        <w:t>Note:</w:t>
      </w:r>
      <w:r w:rsidRPr="005531F2" w:rsidDel="002A0B9F">
        <w:t xml:space="preserve"> </w:t>
      </w:r>
      <w:r w:rsidRPr="005531F2">
        <w:tab/>
        <w:t>Numbers may not add up due to rounding</w:t>
      </w:r>
    </w:p>
    <w:p w:rsidR="007F3340" w:rsidRPr="007F3340" w:rsidRDefault="007F3340" w:rsidP="007F3340">
      <w:r>
        <w:lastRenderedPageBreak/>
        <w:t xml:space="preserve">We are satisfied that our alternative amounts reflect </w:t>
      </w:r>
      <w:r w:rsidR="00DD2F9E">
        <w:t xml:space="preserve">a </w:t>
      </w:r>
      <w:r>
        <w:t xml:space="preserve">realistic </w:t>
      </w:r>
      <w:r w:rsidR="00DD2F9E">
        <w:t xml:space="preserve">expectation of </w:t>
      </w:r>
      <w:r>
        <w:t>cost inputs and demand forecast</w:t>
      </w:r>
      <w:r w:rsidR="009F5D65">
        <w:t xml:space="preserve"> required to achieve the capex objectives</w:t>
      </w:r>
      <w:r>
        <w:t>. However, we note in relation to AusNet Services' West Melbourne Terminal Station project which is part of the CBD rebuild program that there may be additional factors which may be relevant to the scope and timing of this project. This is discussed below.</w:t>
      </w:r>
    </w:p>
    <w:p w:rsidR="007F3340" w:rsidRPr="00DA08C6" w:rsidRDefault="007F3340" w:rsidP="00DA08C6">
      <w:pPr>
        <w:pStyle w:val="HeadingBoldItalic"/>
      </w:pPr>
      <w:bookmarkStart w:id="94" w:name="_Toc456608816"/>
      <w:r w:rsidRPr="00DA08C6">
        <w:t xml:space="preserve">West Melbourne Terminal Station </w:t>
      </w:r>
      <w:r w:rsidR="00C11537" w:rsidRPr="00DA08C6">
        <w:t>project</w:t>
      </w:r>
      <w:bookmarkEnd w:id="94"/>
    </w:p>
    <w:p w:rsidR="007110B7" w:rsidRDefault="00F960AA" w:rsidP="007110B7">
      <w:pPr>
        <w:rPr>
          <w:rStyle w:val="AERbody"/>
        </w:rPr>
      </w:pPr>
      <w:r>
        <w:rPr>
          <w:rStyle w:val="AERbody"/>
        </w:rPr>
        <w:t>AusNet Services</w:t>
      </w:r>
      <w:r w:rsidR="007110B7">
        <w:rPr>
          <w:rStyle w:val="AERbody"/>
        </w:rPr>
        <w:t xml:space="preserve"> proposed the West Melbourne Terminal Station (WMTS) project as part of its CBD rebuild program. We note that in relation to th</w:t>
      </w:r>
      <w:r>
        <w:rPr>
          <w:rStyle w:val="AERbody"/>
        </w:rPr>
        <w:t>e WMTS project, AusNet Services</w:t>
      </w:r>
      <w:r w:rsidR="007110B7">
        <w:rPr>
          <w:rStyle w:val="AERbody"/>
        </w:rPr>
        <w:t xml:space="preserve"> submitted that it needs to replace its 22</w:t>
      </w:r>
      <w:r w:rsidR="005D7E24">
        <w:rPr>
          <w:rStyle w:val="AERbody"/>
        </w:rPr>
        <w:t xml:space="preserve"> kV</w:t>
      </w:r>
      <w:r w:rsidR="007110B7">
        <w:rPr>
          <w:rStyle w:val="AERbody"/>
        </w:rPr>
        <w:t xml:space="preserve"> assets by 2019. However, the replacement of these assets can be avoided if CitiPower decommissions its 22</w:t>
      </w:r>
      <w:r w:rsidR="005D7E24">
        <w:rPr>
          <w:rStyle w:val="AERbody"/>
        </w:rPr>
        <w:t xml:space="preserve"> kV</w:t>
      </w:r>
      <w:r w:rsidR="007110B7">
        <w:rPr>
          <w:rStyle w:val="AERbody"/>
        </w:rPr>
        <w:t xml:space="preserve"> assets connected to the WMTS. In our recent distribution determination for CitiPower, we have included an amount of capex for CitiPower to decommission its 22kv assets.</w:t>
      </w:r>
      <w:r w:rsidR="00191449">
        <w:rPr>
          <w:rStyle w:val="FootnoteReference"/>
        </w:rPr>
        <w:footnoteReference w:id="108"/>
      </w:r>
      <w:r>
        <w:rPr>
          <w:rStyle w:val="AERbody"/>
        </w:rPr>
        <w:t xml:space="preserve"> AusNet Services</w:t>
      </w:r>
      <w:r w:rsidR="007110B7">
        <w:rPr>
          <w:rStyle w:val="AERbody"/>
        </w:rPr>
        <w:t xml:space="preserve"> submitted that these avoided costs are expected to provide savings of $</w:t>
      </w:r>
      <w:r w:rsidR="00F1438D">
        <w:rPr>
          <w:rStyle w:val="AERbody"/>
        </w:rPr>
        <w:t>43</w:t>
      </w:r>
      <w:r w:rsidR="007110B7">
        <w:rPr>
          <w:rStyle w:val="AERbody"/>
        </w:rPr>
        <w:t xml:space="preserve"> million over the two forthcoming regulatory control periods (including savings of $17 million in th</w:t>
      </w:r>
      <w:r w:rsidR="00A52FD9">
        <w:rPr>
          <w:rStyle w:val="AERbody"/>
        </w:rPr>
        <w:t>e 2017-22 regulatory control).</w:t>
      </w:r>
      <w:r w:rsidR="00F1438D">
        <w:rPr>
          <w:rStyle w:val="FootnoteReference"/>
        </w:rPr>
        <w:footnoteReference w:id="109"/>
      </w:r>
      <w:r w:rsidR="00A52FD9">
        <w:rPr>
          <w:rStyle w:val="AERbody"/>
        </w:rPr>
        <w:t xml:space="preserve"> </w:t>
      </w:r>
      <w:r>
        <w:rPr>
          <w:rStyle w:val="AERbody"/>
        </w:rPr>
        <w:t>AusNet Services</w:t>
      </w:r>
      <w:r w:rsidR="007110B7">
        <w:rPr>
          <w:rStyle w:val="AERbody"/>
        </w:rPr>
        <w:t xml:space="preserve"> also submitted that its forecast for the WMTS project is $17 million lower on the basis that i</w:t>
      </w:r>
      <w:r w:rsidR="005D7E24">
        <w:rPr>
          <w:rStyle w:val="AERbody"/>
        </w:rPr>
        <w:t>t will not be replacing its 22 kV</w:t>
      </w:r>
      <w:r w:rsidR="007110B7">
        <w:rPr>
          <w:rStyle w:val="AERbody"/>
        </w:rPr>
        <w:t xml:space="preserve"> assets. </w:t>
      </w:r>
    </w:p>
    <w:p w:rsidR="007110B7" w:rsidRDefault="00F960AA" w:rsidP="007110B7">
      <w:pPr>
        <w:rPr>
          <w:rStyle w:val="AERbody"/>
        </w:rPr>
      </w:pPr>
      <w:r>
        <w:rPr>
          <w:rStyle w:val="AERbody"/>
        </w:rPr>
        <w:t>Based on our findings in relation to risk quantification discussed above</w:t>
      </w:r>
      <w:r w:rsidR="00191449">
        <w:rPr>
          <w:rStyle w:val="AERbody"/>
        </w:rPr>
        <w:t xml:space="preserve">, we consider that </w:t>
      </w:r>
      <w:r w:rsidR="007110B7">
        <w:rPr>
          <w:rStyle w:val="AERbody"/>
        </w:rPr>
        <w:t xml:space="preserve">network risk </w:t>
      </w:r>
      <w:r w:rsidR="00DD2F9E">
        <w:rPr>
          <w:rStyle w:val="AERbody"/>
        </w:rPr>
        <w:t xml:space="preserve">has </w:t>
      </w:r>
      <w:r w:rsidR="007110B7">
        <w:rPr>
          <w:rStyle w:val="AERbody"/>
        </w:rPr>
        <w:t>been overstated and so forecast expenditure has been overstated, including exp</w:t>
      </w:r>
      <w:r w:rsidR="00C06921">
        <w:rPr>
          <w:rStyle w:val="AERbody"/>
        </w:rPr>
        <w:t xml:space="preserve">enditure for the WMTS project. </w:t>
      </w:r>
      <w:r w:rsidR="007110B7">
        <w:rPr>
          <w:rStyle w:val="AERbody"/>
        </w:rPr>
        <w:t xml:space="preserve">Our assessment of the WMTS using updated and more realistic assumptions indicates that the economic value of avoided network risks is lower leading to a lower scope/volume of works that we are satisfied reasonably reflects the capex criteria. However, </w:t>
      </w:r>
      <w:r>
        <w:rPr>
          <w:rStyle w:val="AERbody"/>
        </w:rPr>
        <w:t>we would expect AusNet Services</w:t>
      </w:r>
      <w:r w:rsidR="007110B7">
        <w:rPr>
          <w:rStyle w:val="AERbody"/>
        </w:rPr>
        <w:t xml:space="preserve"> to coordinate the scope and timing of its work program with CitiPower at the WMTS, to realise the expected efficiencies related to the decom</w:t>
      </w:r>
      <w:r w:rsidR="00E53F15">
        <w:rPr>
          <w:rStyle w:val="AERbody"/>
        </w:rPr>
        <w:t xml:space="preserve">missioning of its 22kv assets. </w:t>
      </w:r>
      <w:r w:rsidR="007110B7">
        <w:rPr>
          <w:rStyle w:val="AERbody"/>
        </w:rPr>
        <w:t>AusNet Services' scope of works for the WMTS project includes:</w:t>
      </w:r>
      <w:r w:rsidR="004A7FF8" w:rsidRPr="004A7FF8">
        <w:rPr>
          <w:rStyle w:val="FootnoteReference"/>
        </w:rPr>
        <w:t xml:space="preserve"> </w:t>
      </w:r>
      <w:r w:rsidR="004A7FF8">
        <w:rPr>
          <w:rStyle w:val="FootnoteReference"/>
        </w:rPr>
        <w:footnoteReference w:id="110"/>
      </w:r>
    </w:p>
    <w:p w:rsidR="0049558D" w:rsidRDefault="0049558D" w:rsidP="0049558D">
      <w:pPr>
        <w:pStyle w:val="AERbulletlistfirststyle"/>
      </w:pPr>
      <w:r>
        <w:t>like for like replacement of the 220 kV switchgear with AIS</w:t>
      </w:r>
    </w:p>
    <w:p w:rsidR="0049558D" w:rsidRDefault="0049558D" w:rsidP="0049558D">
      <w:pPr>
        <w:pStyle w:val="AERbulletlistfirststyle"/>
      </w:pPr>
      <w:r>
        <w:t xml:space="preserve">like for like replacement of the 66 kV switchgear with </w:t>
      </w:r>
      <w:r w:rsidR="004A7FF8">
        <w:t>three AIS buses and one GIS bus</w:t>
      </w:r>
    </w:p>
    <w:p w:rsidR="004A7FF8" w:rsidRDefault="004A7FF8" w:rsidP="004A7FF8">
      <w:pPr>
        <w:pStyle w:val="AERbulletlistfirststyle"/>
      </w:pPr>
      <w:r>
        <w:t>replacement of the 150 MVA 220/66 kV transformers with three 225 MVA 220/66 kV transformers</w:t>
      </w:r>
    </w:p>
    <w:p w:rsidR="004A7FF8" w:rsidRDefault="004A7FF8" w:rsidP="0049558D">
      <w:pPr>
        <w:pStyle w:val="AERbulletlistfirststyle"/>
      </w:pPr>
      <w:proofErr w:type="gramStart"/>
      <w:r>
        <w:t>replacement</w:t>
      </w:r>
      <w:proofErr w:type="gramEnd"/>
      <w:r>
        <w:t xml:space="preserve"> of protection and control systems in a new control building.</w:t>
      </w:r>
    </w:p>
    <w:p w:rsidR="00646A02" w:rsidRDefault="0049558D" w:rsidP="00646A02">
      <w:r>
        <w:t xml:space="preserve">Based on the information available (other than the avoided costs associated with the retirement of the 22kV assets) we are not able to assess the extent of AusNet Services' proposed scope of works that </w:t>
      </w:r>
      <w:r w:rsidR="005D7E24">
        <w:t>may be</w:t>
      </w:r>
      <w:r>
        <w:t xml:space="preserve"> related to CitiPower's 22</w:t>
      </w:r>
      <w:r w:rsidR="005D7E24">
        <w:t xml:space="preserve"> </w:t>
      </w:r>
      <w:r>
        <w:t xml:space="preserve">kV </w:t>
      </w:r>
      <w:r>
        <w:lastRenderedPageBreak/>
        <w:t>decommissioning project for assets connected to the WMTS.</w:t>
      </w:r>
      <w:r w:rsidR="00E53F15">
        <w:t xml:space="preserve"> </w:t>
      </w:r>
      <w:r w:rsidR="005D7E24">
        <w:t>Citi</w:t>
      </w:r>
      <w:r w:rsidR="00646A02">
        <w:t>Power's scope of works for assets connected to the WMTS includes:</w:t>
      </w:r>
      <w:r w:rsidR="00351A3C">
        <w:rPr>
          <w:rStyle w:val="FootnoteReference"/>
        </w:rPr>
        <w:footnoteReference w:id="111"/>
      </w:r>
    </w:p>
    <w:p w:rsidR="00646A02" w:rsidRDefault="00646A02" w:rsidP="00646A02">
      <w:pPr>
        <w:pStyle w:val="AERbulletlistfirststyle"/>
      </w:pPr>
      <w:r w:rsidRPr="00677343">
        <w:t xml:space="preserve">decommissioning </w:t>
      </w:r>
      <w:r>
        <w:t>of</w:t>
      </w:r>
      <w:r w:rsidRPr="00677343">
        <w:t xml:space="preserve"> </w:t>
      </w:r>
      <w:r>
        <w:t xml:space="preserve">its </w:t>
      </w:r>
      <w:r w:rsidRPr="00677343">
        <w:t xml:space="preserve">22 kV sub-transmission </w:t>
      </w:r>
      <w:r>
        <w:t>network supplied from WMTS;</w:t>
      </w:r>
      <w:r w:rsidRPr="00677343">
        <w:t xml:space="preserve"> and</w:t>
      </w:r>
    </w:p>
    <w:p w:rsidR="00646A02" w:rsidRDefault="00646A02" w:rsidP="00646A02">
      <w:pPr>
        <w:pStyle w:val="AERbulletlistfirststyle"/>
      </w:pPr>
      <w:proofErr w:type="gramStart"/>
      <w:r w:rsidRPr="00677343">
        <w:t>upgrading</w:t>
      </w:r>
      <w:proofErr w:type="gramEnd"/>
      <w:r w:rsidRPr="00677343">
        <w:t xml:space="preserve"> </w:t>
      </w:r>
      <w:r>
        <w:t xml:space="preserve">its </w:t>
      </w:r>
      <w:r w:rsidRPr="00677343">
        <w:t>66 kV sub-transmission network connected to WMTS</w:t>
      </w:r>
      <w:r>
        <w:t>.</w:t>
      </w:r>
    </w:p>
    <w:p w:rsidR="007110B7" w:rsidRDefault="00E53F15" w:rsidP="00E53F15">
      <w:r w:rsidRPr="00E53F15">
        <w:t>We note that AusNet Services' project scope of its preferred option includes the like for like replacement of some assets, which may suggest that some of the proposed scope of works at the WMTS is independent of Citi</w:t>
      </w:r>
      <w:r>
        <w:t xml:space="preserve">Power's program. </w:t>
      </w:r>
      <w:r w:rsidR="00646A02">
        <w:t>Relevantly, to</w:t>
      </w:r>
      <w:r w:rsidR="00F960AA">
        <w:t xml:space="preserve"> the extent that AusNet Service</w:t>
      </w:r>
      <w:r w:rsidR="00646A02">
        <w:t>s</w:t>
      </w:r>
      <w:r w:rsidR="00F960AA">
        <w:t>'</w:t>
      </w:r>
      <w:r w:rsidR="00646A02">
        <w:t xml:space="preserve"> proposed scope o</w:t>
      </w:r>
      <w:r w:rsidR="00F960AA">
        <w:t>f works is linked to CitiPower's</w:t>
      </w:r>
      <w:r w:rsidR="00646A02">
        <w:t xml:space="preserve"> proposed scope of works at the WMTS</w:t>
      </w:r>
      <w:r>
        <w:t xml:space="preserve">, this may be relevant to the scope and timing of works </w:t>
      </w:r>
      <w:r w:rsidR="00A52FD9">
        <w:t xml:space="preserve">for the WMTS project </w:t>
      </w:r>
      <w:r>
        <w:t xml:space="preserve">(and proposed expenditure). </w:t>
      </w:r>
      <w:r w:rsidR="007110B7" w:rsidRPr="000A0B85">
        <w:t>We expect AusNet to provide further clarification in its revised proposa</w:t>
      </w:r>
      <w:r>
        <w:t xml:space="preserve">l as to the relevance of CitiPower's 22 kV decommissioning project </w:t>
      </w:r>
      <w:r w:rsidR="00336B06">
        <w:t>on its proposed scope of works at the WMTS.</w:t>
      </w:r>
    </w:p>
    <w:p w:rsidR="00D23E07" w:rsidRDefault="00BE797B" w:rsidP="00BE797B">
      <w:pPr>
        <w:pStyle w:val="HeadingBoldBlue"/>
      </w:pPr>
      <w:bookmarkStart w:id="95" w:name="_Toc456608817"/>
      <w:r>
        <w:t>Pre</w:t>
      </w:r>
      <w:r w:rsidR="002F0C2F">
        <w:t>di</w:t>
      </w:r>
      <w:r>
        <w:t>c</w:t>
      </w:r>
      <w:r w:rsidR="002F0C2F">
        <w:t>tive modelling</w:t>
      </w:r>
      <w:bookmarkEnd w:id="95"/>
    </w:p>
    <w:p w:rsidR="00BE797B" w:rsidRDefault="00BE797B" w:rsidP="00BE797B">
      <w:r>
        <w:t xml:space="preserve">As discussed in appendix A, while we consider that repex modelling at this stage may be of more limited application to the majority of transmission assets, some asset groups </w:t>
      </w:r>
      <w:r w:rsidR="00FB2E19">
        <w:t>may be</w:t>
      </w:r>
      <w:r>
        <w:t xml:space="preserve"> suitable for modelling. These assets are replaced on a more constant basis than most transmission assets (similar to distribution), and are more suitable for modelling based on the historical data available. </w:t>
      </w:r>
    </w:p>
    <w:p w:rsidR="00BE797B" w:rsidRDefault="00BE797B" w:rsidP="00BE797B">
      <w:r>
        <w:t xml:space="preserve">For AusNet Services, one group of assets we consider </w:t>
      </w:r>
      <w:r w:rsidR="00C9117C">
        <w:t xml:space="preserve">may be </w:t>
      </w:r>
      <w:r>
        <w:t>suitable for modelling are the SCADA and network protection assets. These assets map to the communication and network protection asset replacement forecast by AusNet Services. We used the repex model to derive an alternative estimate and have used this estimate to test AusNet Services' proposed amount for this program.</w:t>
      </w:r>
    </w:p>
    <w:p w:rsidR="00074BC7" w:rsidRDefault="00BE797B" w:rsidP="00BE797B">
      <w:r>
        <w:t>AusNet Services has forecast $145 million of repex in this category, excluding overheads, which is approximately 63 per cent of AusNet Services' proposed expenditure for replacement programs. We consider that approximately two thirds, or $101 million of this is suitable for repex modelling, based on the availability of asset age information and historical replacement data. The repex model output is $95 million, approximately 5 per cent less than AusNet Services’ forecast. This indicates that AusNet Services' proposed amount is consistent with its business as usual replacement practices.</w:t>
      </w:r>
    </w:p>
    <w:p w:rsidR="00BE797B" w:rsidRDefault="00BE797B" w:rsidP="00BE797B">
      <w:r>
        <w:t xml:space="preserve">However, as noted in </w:t>
      </w:r>
      <w:r w:rsidR="00FB2E19">
        <w:t>our methodology review</w:t>
      </w:r>
      <w:r>
        <w:t xml:space="preserve">, we consider that </w:t>
      </w:r>
      <w:r w:rsidR="008042FA">
        <w:t xml:space="preserve">reliance on </w:t>
      </w:r>
      <w:r w:rsidR="00DE2533">
        <w:t xml:space="preserve">business as usual </w:t>
      </w:r>
      <w:r w:rsidR="00074BC7">
        <w:t xml:space="preserve">replacement practices may overestimate AusNet Services' repex requirements as </w:t>
      </w:r>
      <w:r w:rsidR="00E44328">
        <w:t>AusNet Services</w:t>
      </w:r>
      <w:r>
        <w:t xml:space="preserve"> has systematically over-estimated safety risk and project cost estimates. Given this overestimation, we have reduced this expenditure to take into account our findings in relation to safety risk and </w:t>
      </w:r>
      <w:r w:rsidR="001A12EB">
        <w:t xml:space="preserve">project </w:t>
      </w:r>
      <w:r>
        <w:t>cost estimation.</w:t>
      </w:r>
      <w:r w:rsidR="005502D1">
        <w:t xml:space="preserve"> Further</w:t>
      </w:r>
      <w:r w:rsidR="00DE2533">
        <w:t xml:space="preserve">, we note that AusNet Services proposes to </w:t>
      </w:r>
      <w:r w:rsidR="005502D1">
        <w:t xml:space="preserve">modernise its secondary and </w:t>
      </w:r>
      <w:r w:rsidR="005502D1">
        <w:lastRenderedPageBreak/>
        <w:t>protection assets such that use of the repex model to derive business as usual replacement amounts may be more limited</w:t>
      </w:r>
      <w:r w:rsidR="008F78B7">
        <w:t xml:space="preserve"> which assumes like for like replacement</w:t>
      </w:r>
      <w:r w:rsidR="005502D1">
        <w:t>. Given these considerations we have placed limited weight on our predictive modelling outcomes.</w:t>
      </w:r>
    </w:p>
    <w:p w:rsidR="006164A9" w:rsidRPr="00F960AA" w:rsidRDefault="006164A9" w:rsidP="00F960AA">
      <w:pPr>
        <w:pStyle w:val="HeadingBoldBlue"/>
      </w:pPr>
      <w:bookmarkStart w:id="96" w:name="_Toc456608818"/>
      <w:r w:rsidRPr="00F960AA">
        <w:t>Network health indicators</w:t>
      </w:r>
      <w:bookmarkEnd w:id="96"/>
    </w:p>
    <w:p w:rsidR="001D7E58" w:rsidRDefault="006164A9" w:rsidP="001D7E58">
      <w:r w:rsidRPr="006164A9">
        <w:t xml:space="preserve">AusNet Services' </w:t>
      </w:r>
      <w:r w:rsidR="00AF5ABF">
        <w:t xml:space="preserve">proposed capex must be consistent with the amount of capex it considers will be required to </w:t>
      </w:r>
      <w:r w:rsidR="00AF5ABF" w:rsidRPr="006164A9">
        <w:t>maintain the quality, reliability and security of supply</w:t>
      </w:r>
      <w:r w:rsidR="00EB6E65">
        <w:t xml:space="preserve"> of prescribed transmission services</w:t>
      </w:r>
      <w:r w:rsidR="00AF5ABF">
        <w:t>.</w:t>
      </w:r>
      <w:r w:rsidR="00AF5ABF">
        <w:rPr>
          <w:rStyle w:val="FootnoteReference"/>
        </w:rPr>
        <w:footnoteReference w:id="112"/>
      </w:r>
      <w:r w:rsidR="00AF5ABF">
        <w:t xml:space="preserve"> </w:t>
      </w:r>
      <w:r w:rsidR="001D7E58">
        <w:t xml:space="preserve">In considering this obligation we have had regard to network health indicators to </w:t>
      </w:r>
      <w:r w:rsidR="00BE3B61">
        <w:t>gauge</w:t>
      </w:r>
      <w:r w:rsidR="001D7E58">
        <w:t xml:space="preserve"> the likely health or condition of its network assets when considering the total forecast capex.</w:t>
      </w:r>
    </w:p>
    <w:p w:rsidR="00AF5ABF" w:rsidRDefault="00F960AA" w:rsidP="006164A9">
      <w:r>
        <w:t>AusNet Services</w:t>
      </w:r>
      <w:r w:rsidR="00AF5ABF">
        <w:t xml:space="preserve"> submitted </w:t>
      </w:r>
      <w:r w:rsidR="00FB2E19">
        <w:t xml:space="preserve">it expects that </w:t>
      </w:r>
      <w:r w:rsidR="00EB6E65">
        <w:t>its proposed capex will lead to a reduction in safety and environmental</w:t>
      </w:r>
      <w:r w:rsidR="00586229">
        <w:t xml:space="preserve"> risk. Further, </w:t>
      </w:r>
      <w:r w:rsidR="00EB6E65">
        <w:t xml:space="preserve">reliability risk </w:t>
      </w:r>
      <w:r w:rsidR="00586229">
        <w:t>is expected to</w:t>
      </w:r>
      <w:r w:rsidR="00EB6E65">
        <w:t xml:space="preserve"> remain broadly constant in monetary terms over the 2017-22 regulatory control </w:t>
      </w:r>
      <w:proofErr w:type="gramStart"/>
      <w:r w:rsidR="00EB6E65">
        <w:t>period</w:t>
      </w:r>
      <w:proofErr w:type="gramEnd"/>
      <w:r w:rsidR="00EB6E65">
        <w:t>.</w:t>
      </w:r>
      <w:r w:rsidR="00EB6E65">
        <w:rPr>
          <w:rStyle w:val="FootnoteReference"/>
        </w:rPr>
        <w:footnoteReference w:id="113"/>
      </w:r>
      <w:r w:rsidR="00EB6E65">
        <w:t xml:space="preserve"> Relevantly, AusNet Services</w:t>
      </w:r>
      <w:r w:rsidR="001D7E58">
        <w:t xml:space="preserve"> considers that </w:t>
      </w:r>
      <w:r w:rsidR="00581B96">
        <w:t xml:space="preserve">its </w:t>
      </w:r>
      <w:r w:rsidR="001D7E58">
        <w:t xml:space="preserve">forecast capex </w:t>
      </w:r>
      <w:r w:rsidR="00EB6E65">
        <w:t xml:space="preserve">will support its ability to maintain </w:t>
      </w:r>
      <w:r w:rsidR="00EB6E65" w:rsidRPr="006164A9">
        <w:t>the quality, reliability and security of supply</w:t>
      </w:r>
      <w:r w:rsidR="00EB6E65">
        <w:t xml:space="preserve"> of prescribed transmission services.</w:t>
      </w:r>
      <w:r w:rsidR="00EB6E65">
        <w:rPr>
          <w:rStyle w:val="FootnoteReference"/>
        </w:rPr>
        <w:footnoteReference w:id="114"/>
      </w:r>
    </w:p>
    <w:p w:rsidR="001D7E58" w:rsidRDefault="001D7E58" w:rsidP="006164A9">
      <w:r>
        <w:t xml:space="preserve">AusNet Services provided a </w:t>
      </w:r>
      <w:r w:rsidR="008E36F7">
        <w:t xml:space="preserve">risk assessment </w:t>
      </w:r>
      <w:r>
        <w:t xml:space="preserve">summary </w:t>
      </w:r>
      <w:r w:rsidR="008E36F7">
        <w:t xml:space="preserve">outcome </w:t>
      </w:r>
      <w:r>
        <w:t>by a</w:t>
      </w:r>
      <w:r w:rsidR="00F46587">
        <w:t xml:space="preserve">sset type (reproduced in </w:t>
      </w:r>
      <w:fldSimple w:instr=" REF _Ref453683947 ">
        <w:r w:rsidR="00C60946">
          <w:t xml:space="preserve">Table </w:t>
        </w:r>
        <w:r w:rsidR="00C60946">
          <w:rPr>
            <w:noProof/>
          </w:rPr>
          <w:t>6</w:t>
        </w:r>
        <w:r w:rsidR="00C60946">
          <w:t>.</w:t>
        </w:r>
        <w:r w:rsidR="00C60946">
          <w:rPr>
            <w:noProof/>
          </w:rPr>
          <w:t>11</w:t>
        </w:r>
      </w:fldSimple>
      <w:r>
        <w:t>) of the expected impact of its forecast capex on risk.</w:t>
      </w:r>
      <w:r w:rsidR="005D7761">
        <w:rPr>
          <w:rStyle w:val="FootnoteReference"/>
        </w:rPr>
        <w:footnoteReference w:id="115"/>
      </w:r>
    </w:p>
    <w:p w:rsidR="00417ED8" w:rsidRDefault="00F46587" w:rsidP="00F46587">
      <w:pPr>
        <w:pStyle w:val="Caption"/>
      </w:pPr>
      <w:bookmarkStart w:id="97" w:name="_Ref453683947"/>
      <w:proofErr w:type="gramStart"/>
      <w:r>
        <w:lastRenderedPageBreak/>
        <w:t xml:space="preserve">Table </w:t>
      </w:r>
      <w:fldSimple w:instr=" STYLEREF 1 \s ">
        <w:r w:rsidR="00C60946">
          <w:rPr>
            <w:noProof/>
          </w:rPr>
          <w:t>6</w:t>
        </w:r>
      </w:fldSimple>
      <w:r>
        <w:t>.</w:t>
      </w:r>
      <w:proofErr w:type="gramEnd"/>
      <w:r w:rsidR="00735181">
        <w:fldChar w:fldCharType="begin"/>
      </w:r>
      <w:r w:rsidR="00735181">
        <w:instrText xml:space="preserve"> SEQ Table \* ARABIC \s 1 </w:instrText>
      </w:r>
      <w:r w:rsidR="00735181">
        <w:fldChar w:fldCharType="separate"/>
      </w:r>
      <w:r w:rsidR="00C60946">
        <w:rPr>
          <w:noProof/>
        </w:rPr>
        <w:t>11</w:t>
      </w:r>
      <w:r w:rsidR="00735181">
        <w:rPr>
          <w:noProof/>
        </w:rPr>
        <w:fldChar w:fldCharType="end"/>
      </w:r>
      <w:bookmarkEnd w:id="97"/>
      <w:r>
        <w:tab/>
      </w:r>
      <w:r w:rsidR="005C568B">
        <w:t xml:space="preserve">AusNet Services' </w:t>
      </w:r>
      <w:r w:rsidR="00417ED8">
        <w:t>risk assessment</w:t>
      </w:r>
      <w:r w:rsidR="005C568B">
        <w:t xml:space="preserve"> by asset type</w:t>
      </w:r>
    </w:p>
    <w:p w:rsidR="00417ED8" w:rsidRDefault="00417ED8" w:rsidP="006164A9">
      <w:r w:rsidRPr="00417ED8">
        <w:rPr>
          <w:noProof/>
          <w:lang w:eastAsia="en-AU"/>
        </w:rPr>
        <w:drawing>
          <wp:inline distT="0" distB="0" distL="0" distR="0" wp14:anchorId="0B437643" wp14:editId="361C8DBB">
            <wp:extent cx="5454595" cy="42446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4455" cy="4244491"/>
                    </a:xfrm>
                    <a:prstGeom prst="rect">
                      <a:avLst/>
                    </a:prstGeom>
                  </pic:spPr>
                </pic:pic>
              </a:graphicData>
            </a:graphic>
          </wp:inline>
        </w:drawing>
      </w:r>
    </w:p>
    <w:p w:rsidR="005C568B" w:rsidRDefault="005C568B" w:rsidP="005C568B">
      <w:pPr>
        <w:pStyle w:val="AERtablesource"/>
      </w:pPr>
      <w:r>
        <w:t xml:space="preserve">Source: AusNet Services, </w:t>
      </w:r>
      <w:r w:rsidR="00880E37">
        <w:rPr>
          <w:rStyle w:val="AERtextitalic"/>
        </w:rPr>
        <w:t>Revenue</w:t>
      </w:r>
      <w:r w:rsidRPr="00487E1B">
        <w:rPr>
          <w:rStyle w:val="AERtextitalic"/>
        </w:rPr>
        <w:t xml:space="preserve"> proposal</w:t>
      </w:r>
      <w:r w:rsidR="00487E1B" w:rsidRPr="00487E1B">
        <w:rPr>
          <w:rStyle w:val="AERtextitalic"/>
        </w:rPr>
        <w:t xml:space="preserve"> 2017-22</w:t>
      </w:r>
      <w:r>
        <w:t>, 30 October 2015</w:t>
      </w:r>
    </w:p>
    <w:p w:rsidR="001D7E58" w:rsidRPr="006164A9" w:rsidRDefault="00F960AA" w:rsidP="001D7E58">
      <w:r>
        <w:t>AusNet Services</w:t>
      </w:r>
      <w:r w:rsidR="001D7E58" w:rsidRPr="006164A9">
        <w:t xml:space="preserve"> submitted that asset replacement over the </w:t>
      </w:r>
      <w:r w:rsidR="001D7E58">
        <w:t xml:space="preserve">2017-22 </w:t>
      </w:r>
      <w:r w:rsidR="001D7E58" w:rsidRPr="006164A9">
        <w:t xml:space="preserve">regulatory </w:t>
      </w:r>
      <w:r w:rsidR="001D7E58">
        <w:t xml:space="preserve">control </w:t>
      </w:r>
      <w:proofErr w:type="gramStart"/>
      <w:r w:rsidR="001D7E58" w:rsidRPr="006164A9">
        <w:t>period</w:t>
      </w:r>
      <w:proofErr w:type="gramEnd"/>
      <w:r w:rsidR="001D7E58" w:rsidRPr="006164A9">
        <w:t xml:space="preserve"> will largely be driven by:</w:t>
      </w:r>
      <w:r w:rsidR="001D7E58" w:rsidRPr="001D7E58">
        <w:rPr>
          <w:rStyle w:val="AERsuperscript"/>
        </w:rPr>
        <w:t xml:space="preserve"> </w:t>
      </w:r>
      <w:r w:rsidR="001D7E58" w:rsidRPr="001D7E58">
        <w:rPr>
          <w:rStyle w:val="AERsuperscript"/>
        </w:rPr>
        <w:footnoteReference w:id="116"/>
      </w:r>
    </w:p>
    <w:p w:rsidR="001D7E58" w:rsidRPr="006164A9" w:rsidRDefault="001D7E58" w:rsidP="001D7E58">
      <w:pPr>
        <w:pStyle w:val="AERbulletlistfirststyle"/>
      </w:pPr>
      <w:r w:rsidRPr="006164A9">
        <w:t>the risk associated with power transformer, circuit breaker and instr</w:t>
      </w:r>
      <w:r w:rsidR="00A52FD9">
        <w:t>ument transformer failures; and</w:t>
      </w:r>
    </w:p>
    <w:p w:rsidR="001D7E58" w:rsidRDefault="001D7E58" w:rsidP="001D7E58">
      <w:pPr>
        <w:pStyle w:val="AERbulletlistfirststyle"/>
      </w:pPr>
      <w:proofErr w:type="gramStart"/>
      <w:r>
        <w:t>s</w:t>
      </w:r>
      <w:r w:rsidRPr="006164A9">
        <w:t>afety</w:t>
      </w:r>
      <w:proofErr w:type="gramEnd"/>
      <w:r w:rsidRPr="006164A9">
        <w:t xml:space="preserve"> related and safety compliance related expenditure</w:t>
      </w:r>
      <w:r>
        <w:t>.</w:t>
      </w:r>
    </w:p>
    <w:p w:rsidR="0063476E" w:rsidRDefault="00BE3B61" w:rsidP="00A00A62">
      <w:pPr>
        <w:pStyle w:val="AERbulletlistfirststyle"/>
        <w:numPr>
          <w:ilvl w:val="0"/>
          <w:numId w:val="0"/>
        </w:numPr>
      </w:pPr>
      <w:r>
        <w:t>We note that AusNet Service</w:t>
      </w:r>
      <w:r w:rsidR="00F960AA">
        <w:t>s</w:t>
      </w:r>
      <w:r w:rsidR="00C1518B">
        <w:t xml:space="preserve"> also submitted a projected overall network risk profile that estimates that network risk will decline over</w:t>
      </w:r>
      <w:r w:rsidR="00F960AA">
        <w:t xml:space="preserve"> time. However, AusNet Services</w:t>
      </w:r>
      <w:r w:rsidR="00C1518B">
        <w:t xml:space="preserve"> advised that t</w:t>
      </w:r>
      <w:r w:rsidR="00B112EF">
        <w:t>he</w:t>
      </w:r>
      <w:r w:rsidR="00B112EF" w:rsidRPr="00B112EF">
        <w:t xml:space="preserve"> purpose </w:t>
      </w:r>
      <w:r w:rsidR="00B112EF">
        <w:t>of the estimated network risk profile is</w:t>
      </w:r>
      <w:r w:rsidR="00B112EF" w:rsidRPr="00B112EF">
        <w:t xml:space="preserve"> </w:t>
      </w:r>
      <w:r w:rsidR="00B112EF">
        <w:t>to "</w:t>
      </w:r>
      <w:r w:rsidR="00B112EF" w:rsidRPr="00B112EF">
        <w:t>provide a high level context of the current risk profile and how the proposed implementation of the plan [asset management plan] affects the risk profile</w:t>
      </w:r>
      <w:r w:rsidR="00B112EF">
        <w:t>"</w:t>
      </w:r>
      <w:r w:rsidR="00B112EF" w:rsidRPr="00B112EF">
        <w:t xml:space="preserve">. </w:t>
      </w:r>
      <w:r w:rsidR="00F960AA">
        <w:t>While AusNet Services</w:t>
      </w:r>
      <w:r w:rsidR="0063476E">
        <w:t xml:space="preserve"> does not appear to use this overall network risk analysis, we note there are some limitations with its revised analysis </w:t>
      </w:r>
      <w:r w:rsidR="003D4ACB">
        <w:t xml:space="preserve">as </w:t>
      </w:r>
      <w:r w:rsidR="00F960AA">
        <w:t xml:space="preserve">summarised in </w:t>
      </w:r>
      <w:r w:rsidR="00F960AA">
        <w:fldChar w:fldCharType="begin"/>
      </w:r>
      <w:r w:rsidR="00F960AA">
        <w:instrText xml:space="preserve"> REF _Ref453683947 \h </w:instrText>
      </w:r>
      <w:r w:rsidR="00F960AA">
        <w:fldChar w:fldCharType="separate"/>
      </w:r>
      <w:r w:rsidR="00C60946">
        <w:t xml:space="preserve">Table </w:t>
      </w:r>
      <w:r w:rsidR="00C60946">
        <w:rPr>
          <w:noProof/>
        </w:rPr>
        <w:t>6</w:t>
      </w:r>
      <w:r w:rsidR="00C60946">
        <w:t>.</w:t>
      </w:r>
      <w:r w:rsidR="00C60946">
        <w:rPr>
          <w:noProof/>
        </w:rPr>
        <w:t>11</w:t>
      </w:r>
      <w:r w:rsidR="00F960AA">
        <w:fldChar w:fldCharType="end"/>
      </w:r>
      <w:r w:rsidR="0063476E">
        <w:t>.</w:t>
      </w:r>
      <w:r w:rsidR="0063476E">
        <w:rPr>
          <w:rStyle w:val="FootnoteReference"/>
        </w:rPr>
        <w:footnoteReference w:id="117"/>
      </w:r>
      <w:r w:rsidR="003D4ACB">
        <w:t xml:space="preserve"> In particular</w:t>
      </w:r>
      <w:r w:rsidR="001979A3">
        <w:t>,</w:t>
      </w:r>
      <w:r w:rsidR="003D4ACB">
        <w:t xml:space="preserve"> AusNet Services' </w:t>
      </w:r>
      <w:r w:rsidR="001979A3">
        <w:lastRenderedPageBreak/>
        <w:t xml:space="preserve">revised </w:t>
      </w:r>
      <w:r w:rsidR="003D4ACB">
        <w:t xml:space="preserve">risk assessment is unsubstantiated and does not provide an overall </w:t>
      </w:r>
      <w:r w:rsidR="001979A3">
        <w:t>assessment of network risk.</w:t>
      </w:r>
      <w:r w:rsidR="006E4B64">
        <w:t xml:space="preserve"> Q</w:t>
      </w:r>
      <w:r w:rsidR="006E4B64" w:rsidRPr="006E4B64">
        <w:t>ualitative representations of network risk are less meaningful than quantitat</w:t>
      </w:r>
      <w:r w:rsidR="006E4B64">
        <w:t xml:space="preserve">ive </w:t>
      </w:r>
      <w:r w:rsidR="005A49F4">
        <w:t>risk assessments</w:t>
      </w:r>
      <w:r w:rsidR="006E4B64">
        <w:t xml:space="preserve"> as they provide </w:t>
      </w:r>
      <w:r w:rsidR="005A49F4">
        <w:t>no transparency</w:t>
      </w:r>
      <w:r w:rsidR="006E4B64" w:rsidRPr="006E4B64">
        <w:t xml:space="preserve"> in</w:t>
      </w:r>
      <w:r w:rsidR="006E4B64">
        <w:t xml:space="preserve">to the information </w:t>
      </w:r>
      <w:r w:rsidR="006E4B64" w:rsidRPr="006E4B64">
        <w:t>used to ar</w:t>
      </w:r>
      <w:r w:rsidR="006E4B64">
        <w:t>rive at the risk categorisations</w:t>
      </w:r>
      <w:r w:rsidR="006E4B64" w:rsidRPr="006E4B64">
        <w:t xml:space="preserve"> and </w:t>
      </w:r>
      <w:r w:rsidR="006E4B64">
        <w:t xml:space="preserve">therefore limit meaningful </w:t>
      </w:r>
      <w:r w:rsidR="006E4B64" w:rsidRPr="006E4B64">
        <w:t>assessment.</w:t>
      </w:r>
    </w:p>
    <w:p w:rsidR="00A00A62" w:rsidRDefault="003D4ACB" w:rsidP="00A00A62">
      <w:pPr>
        <w:pStyle w:val="AERbulletlistfirststyle"/>
        <w:numPr>
          <w:ilvl w:val="0"/>
          <w:numId w:val="0"/>
        </w:numPr>
      </w:pPr>
      <w:r>
        <w:t>That said w</w:t>
      </w:r>
      <w:r w:rsidR="00A00A62">
        <w:t xml:space="preserve">e have assessed AusNet Services' estimated risk in relation to major projects and some of its proposed repex </w:t>
      </w:r>
      <w:r w:rsidR="00A05C23">
        <w:t>progr</w:t>
      </w:r>
      <w:r w:rsidR="00586229">
        <w:t>ams.</w:t>
      </w:r>
      <w:r w:rsidR="00807F03">
        <w:rPr>
          <w:rStyle w:val="FootnoteReference"/>
        </w:rPr>
        <w:footnoteReference w:id="118"/>
      </w:r>
      <w:r w:rsidR="00F960AA">
        <w:t xml:space="preserve"> As outlined above</w:t>
      </w:r>
      <w:r w:rsidR="00586229">
        <w:t>,</w:t>
      </w:r>
      <w:r w:rsidR="00A05C23">
        <w:t xml:space="preserve"> our fi</w:t>
      </w:r>
      <w:r w:rsidR="00F960AA">
        <w:t>ndings are that AusNet Services</w:t>
      </w:r>
      <w:r w:rsidR="00A05C23">
        <w:t xml:space="preserve"> overestimated </w:t>
      </w:r>
      <w:r w:rsidR="00B33E98">
        <w:t>network</w:t>
      </w:r>
      <w:r w:rsidR="00A05C23">
        <w:t xml:space="preserve"> risk</w:t>
      </w:r>
      <w:r w:rsidR="00B33E98">
        <w:t>s</w:t>
      </w:r>
      <w:r w:rsidR="00A05C23">
        <w:t xml:space="preserve"> from an asset failure. As a result, we consider </w:t>
      </w:r>
      <w:r w:rsidR="00F960AA">
        <w:t>that AusNet Services</w:t>
      </w:r>
      <w:r w:rsidR="00586229">
        <w:t xml:space="preserve"> has overestimated </w:t>
      </w:r>
      <w:r w:rsidR="00807F03">
        <w:t xml:space="preserve">overall network </w:t>
      </w:r>
      <w:r w:rsidR="00586229">
        <w:t xml:space="preserve">risk and therefore expenditure required to achieve the capex objectives. </w:t>
      </w:r>
    </w:p>
    <w:p w:rsidR="00A52FD9" w:rsidRDefault="00CC596B" w:rsidP="00A52FD9">
      <w:pPr>
        <w:rPr>
          <w:rStyle w:val="AERbody"/>
        </w:rPr>
      </w:pPr>
      <w:r>
        <w:t xml:space="preserve">We have also considered </w:t>
      </w:r>
      <w:r w:rsidR="00A52FD9" w:rsidRPr="00A52FD9">
        <w:t xml:space="preserve">the likely health of </w:t>
      </w:r>
      <w:r w:rsidR="001979A3">
        <w:t xml:space="preserve">AusNet Services' </w:t>
      </w:r>
      <w:r w:rsidR="00A52FD9" w:rsidRPr="00A52FD9">
        <w:t xml:space="preserve">network assets and its implications for </w:t>
      </w:r>
      <w:r>
        <w:t xml:space="preserve">forecast </w:t>
      </w:r>
      <w:r w:rsidR="00A52FD9" w:rsidRPr="00A52FD9">
        <w:t xml:space="preserve">capital expenditure </w:t>
      </w:r>
      <w:r>
        <w:t>in terms of achieving the capex objectives. In particular, we have had regard to:</w:t>
      </w:r>
    </w:p>
    <w:p w:rsidR="00A52FD9" w:rsidRPr="00A52FD9" w:rsidRDefault="00A52FD9" w:rsidP="00A52FD9">
      <w:pPr>
        <w:pStyle w:val="AERbulletlistfirststyle"/>
        <w:rPr>
          <w:rStyle w:val="AERbody"/>
        </w:rPr>
      </w:pPr>
      <w:r>
        <w:rPr>
          <w:rStyle w:val="AERbody"/>
        </w:rPr>
        <w:t>application of AusNet Services' asset</w:t>
      </w:r>
      <w:r w:rsidR="00193E5D">
        <w:rPr>
          <w:rStyle w:val="AERbody"/>
        </w:rPr>
        <w:t xml:space="preserve"> health index used as an input into the quantification of risk</w:t>
      </w:r>
      <w:r>
        <w:rPr>
          <w:rStyle w:val="AERbody"/>
        </w:rPr>
        <w:t xml:space="preserve"> </w:t>
      </w:r>
    </w:p>
    <w:p w:rsidR="00A52FD9" w:rsidRPr="00A52FD9" w:rsidRDefault="00A52FD9" w:rsidP="00A52FD9">
      <w:pPr>
        <w:pStyle w:val="AERbulletlistfirststyle"/>
        <w:rPr>
          <w:rStyle w:val="AERbody"/>
        </w:rPr>
      </w:pPr>
      <w:r w:rsidRPr="00A52FD9">
        <w:rPr>
          <w:rStyle w:val="AERbody"/>
        </w:rPr>
        <w:t>asset failure pe</w:t>
      </w:r>
      <w:r w:rsidR="00F912D2">
        <w:rPr>
          <w:rStyle w:val="AERbody"/>
        </w:rPr>
        <w:t>rformance by major asset groups</w:t>
      </w:r>
    </w:p>
    <w:p w:rsidR="00A52FD9" w:rsidRDefault="00A52FD9" w:rsidP="00A52FD9">
      <w:pPr>
        <w:pStyle w:val="AERbulletlistfirststyle"/>
        <w:rPr>
          <w:rStyle w:val="AERbody"/>
        </w:rPr>
      </w:pPr>
      <w:r w:rsidRPr="00A52FD9">
        <w:rPr>
          <w:rStyle w:val="AERbody"/>
        </w:rPr>
        <w:t>the age profile of AusNet Services' network by major asset group</w:t>
      </w:r>
      <w:r w:rsidRPr="00A52FD9">
        <w:rPr>
          <w:rStyle w:val="FootnoteReference"/>
        </w:rPr>
        <w:footnoteReference w:id="119"/>
      </w:r>
      <w:r w:rsidR="00F912D2">
        <w:rPr>
          <w:rStyle w:val="AERbody"/>
        </w:rPr>
        <w:t>; and</w:t>
      </w:r>
    </w:p>
    <w:p w:rsidR="00F912D2" w:rsidRDefault="00F912D2" w:rsidP="00A52FD9">
      <w:pPr>
        <w:pStyle w:val="AERbulletlistfirststyle"/>
      </w:pPr>
      <w:proofErr w:type="gramStart"/>
      <w:r>
        <w:rPr>
          <w:rStyle w:val="AERbody"/>
        </w:rPr>
        <w:t>actual</w:t>
      </w:r>
      <w:proofErr w:type="gramEnd"/>
      <w:r>
        <w:rPr>
          <w:rStyle w:val="AERbody"/>
        </w:rPr>
        <w:t xml:space="preserve"> and projected average remaining lives of major asset groups.</w:t>
      </w:r>
    </w:p>
    <w:p w:rsidR="00A52FD9" w:rsidRDefault="00A52FD9" w:rsidP="00A52FD9">
      <w:pPr>
        <w:pStyle w:val="HeadingBoldItalic"/>
      </w:pPr>
      <w:bookmarkStart w:id="98" w:name="_Toc456608819"/>
      <w:r>
        <w:t>Asset condition</w:t>
      </w:r>
      <w:bookmarkEnd w:id="98"/>
    </w:p>
    <w:p w:rsidR="001D7E58" w:rsidRPr="00EB1C8E" w:rsidRDefault="001D7E58" w:rsidP="001D7E58">
      <w:r w:rsidRPr="00EB1C8E">
        <w:t xml:space="preserve">In developing its total </w:t>
      </w:r>
      <w:r w:rsidR="00F960AA">
        <w:t>capex forecast, AusNet Services</w:t>
      </w:r>
      <w:r w:rsidRPr="00EB1C8E">
        <w:t xml:space="preserve"> has used an asset health index and various techniques to measure the health of different assets types.</w:t>
      </w:r>
      <w:r w:rsidRPr="00EB1C8E">
        <w:rPr>
          <w:rStyle w:val="FootnoteReference"/>
        </w:rPr>
        <w:footnoteReference w:id="120"/>
      </w:r>
      <w:r w:rsidR="00F960AA">
        <w:t xml:space="preserve"> Further, AusNet Services</w:t>
      </w:r>
      <w:r w:rsidRPr="00EB1C8E">
        <w:t xml:space="preserve"> stated that it relies on asset condition data to determine the probability of failure which is used </w:t>
      </w:r>
      <w:r w:rsidR="00F82CB7">
        <w:t xml:space="preserve">to develop its capex forecast. </w:t>
      </w:r>
      <w:r w:rsidRPr="00EB1C8E">
        <w:t>While we consider that the use of a health index and the identified techniques used to measure the health of major a</w:t>
      </w:r>
      <w:r w:rsidR="00F82CB7">
        <w:t>ssets types is consistent with good i</w:t>
      </w:r>
      <w:r w:rsidRPr="00EB1C8E">
        <w:t xml:space="preserve">ndustry practice, we </w:t>
      </w:r>
      <w:r w:rsidR="00F82CB7">
        <w:t>have identified some issues</w:t>
      </w:r>
      <w:r w:rsidR="006A2FA1">
        <w:t>, including</w:t>
      </w:r>
      <w:r w:rsidR="00F82CB7">
        <w:t>:</w:t>
      </w:r>
    </w:p>
    <w:p w:rsidR="001D7E58" w:rsidRDefault="00F82CB7" w:rsidP="00F82CB7">
      <w:pPr>
        <w:pStyle w:val="AERbulletlistfirststyle"/>
      </w:pPr>
      <w:r>
        <w:t xml:space="preserve">AusNet Services' analysis adopts one </w:t>
      </w:r>
      <w:r w:rsidR="006E4B64">
        <w:t xml:space="preserve">annual </w:t>
      </w:r>
      <w:r>
        <w:t xml:space="preserve">failure probability </w:t>
      </w:r>
      <w:r w:rsidR="003076D4">
        <w:t xml:space="preserve">based on failure data </w:t>
      </w:r>
      <w:r>
        <w:t xml:space="preserve">for each type of asset and this failure probability is then applied to all asset failure </w:t>
      </w:r>
      <w:r w:rsidR="003076D4">
        <w:t>modes</w:t>
      </w:r>
      <w:r>
        <w:t>. However, different failure modes (e.g. explosive failure</w:t>
      </w:r>
      <w:r w:rsidR="003076D4">
        <w:t>, downed conductor</w:t>
      </w:r>
      <w:r>
        <w:t xml:space="preserve">) will result in different consequences </w:t>
      </w:r>
      <w:r w:rsidR="003076D4">
        <w:t xml:space="preserve">and therefore </w:t>
      </w:r>
      <w:r w:rsidR="00524A6F">
        <w:t xml:space="preserve">different </w:t>
      </w:r>
      <w:r w:rsidR="003076D4">
        <w:t>estimated risk</w:t>
      </w:r>
      <w:r w:rsidR="00524A6F">
        <w:t>s</w:t>
      </w:r>
      <w:r w:rsidR="003076D4">
        <w:t>.</w:t>
      </w:r>
    </w:p>
    <w:p w:rsidR="000F45A9" w:rsidRDefault="000F45A9" w:rsidP="00727B98">
      <w:pPr>
        <w:pStyle w:val="AERbulletlistfirststyle"/>
      </w:pPr>
      <w:r>
        <w:t>The asset type failure probability is derived by calibration using historical data. However the calibration process relies on an annual data point rather than employing a best fit estimator across the historical data set.</w:t>
      </w:r>
    </w:p>
    <w:p w:rsidR="001D7E58" w:rsidRDefault="00F960AA" w:rsidP="003076D4">
      <w:pPr>
        <w:pStyle w:val="AERbulletlistfirststyle"/>
      </w:pPr>
      <w:r>
        <w:lastRenderedPageBreak/>
        <w:t>AusNet Service</w:t>
      </w:r>
      <w:r w:rsidR="003076D4">
        <w:t xml:space="preserve">s uses a discrete condition index scale and its allocation </w:t>
      </w:r>
      <w:r w:rsidR="00347198">
        <w:t xml:space="preserve">of an </w:t>
      </w:r>
      <w:r w:rsidR="003076D4">
        <w:t xml:space="preserve">asset to one of the discrete scores within the spectrum of this condition index scale will determine the distribution of assets across the condition index scale spectrum. </w:t>
      </w:r>
      <w:r w:rsidR="00F85D0E">
        <w:t>Our review of power transformer condition data suggests that AusNet Services' mapping of individual asset condition scores to the discrete condition index scale appears to exhibit a tendency to move an asset's condition to the next highest discrete condition scale point, rather than up or down to the nearest discrete condition index score.</w:t>
      </w:r>
    </w:p>
    <w:p w:rsidR="006164A9" w:rsidRDefault="00F85D0E" w:rsidP="006164A9">
      <w:r>
        <w:t xml:space="preserve">While we are unable to assess the likely impact on </w:t>
      </w:r>
      <w:r w:rsidR="005D7761">
        <w:t>forecast</w:t>
      </w:r>
      <w:r>
        <w:t xml:space="preserve"> capex associated with assuming common failure modes to determine the probability of asset failure, there is </w:t>
      </w:r>
      <w:r w:rsidR="005D7761">
        <w:t xml:space="preserve">some </w:t>
      </w:r>
      <w:r>
        <w:t xml:space="preserve">evidence to suggest that AusNet Services' mapping of individual asset scores to its health index may overestimate the probability of asset failure and therefore risk and forecast capex. </w:t>
      </w:r>
      <w:r w:rsidR="00347198">
        <w:t>However, whether this is the case will depend on whether AusNet Services' approach for power transformers is systemic across all asset groups.</w:t>
      </w:r>
    </w:p>
    <w:p w:rsidR="000F45A9" w:rsidRDefault="000F45A9" w:rsidP="006164A9">
      <w:r w:rsidRPr="000C1C03">
        <w:t xml:space="preserve">We expect that AusNet Services </w:t>
      </w:r>
      <w:r>
        <w:t xml:space="preserve">is </w:t>
      </w:r>
      <w:r w:rsidRPr="000C1C03">
        <w:t xml:space="preserve">well placed </w:t>
      </w:r>
      <w:r>
        <w:t xml:space="preserve">to provide information to substantiate that its asset failure rates reasonably correspond with failure modes and the related consequences. We also expect that the calibration of the asset failure rates can be shown to result in a reasonably unbiased estimator of the asset's historical failure rates and that </w:t>
      </w:r>
      <w:r w:rsidRPr="00650534">
        <w:t>AusNet Services</w:t>
      </w:r>
      <w:r>
        <w:t>'</w:t>
      </w:r>
      <w:r w:rsidRPr="00650534">
        <w:t xml:space="preserve"> </w:t>
      </w:r>
      <w:r>
        <w:t xml:space="preserve">mapping of equipment to its </w:t>
      </w:r>
      <w:r w:rsidRPr="00650534">
        <w:t xml:space="preserve">discrete condition index scale </w:t>
      </w:r>
      <w:r>
        <w:t xml:space="preserve">does not create a bias in the resulting failure rate estimates. </w:t>
      </w:r>
      <w:r w:rsidRPr="00650534">
        <w:t>AusNet Services</w:t>
      </w:r>
      <w:r>
        <w:t xml:space="preserve"> should </w:t>
      </w:r>
      <w:r w:rsidRPr="000C1C03">
        <w:t xml:space="preserve">provide information to substantiate </w:t>
      </w:r>
      <w:r>
        <w:t xml:space="preserve">these aspects of its asset failure rates </w:t>
      </w:r>
      <w:r w:rsidR="002D20C3">
        <w:t>in its revised proposal</w:t>
      </w:r>
      <w:r w:rsidRPr="000C1C03">
        <w:t>.</w:t>
      </w:r>
    </w:p>
    <w:p w:rsidR="00A1039D" w:rsidRPr="00A52FD9" w:rsidRDefault="00A1039D" w:rsidP="00A52FD9">
      <w:pPr>
        <w:pStyle w:val="HeadingBoldItalic"/>
        <w:rPr>
          <w:rStyle w:val="AERtextbolditalics"/>
          <w:b/>
          <w:bCs/>
          <w:i/>
          <w:iCs/>
        </w:rPr>
      </w:pPr>
      <w:bookmarkStart w:id="99" w:name="_Toc456608820"/>
      <w:r w:rsidRPr="00A52FD9">
        <w:rPr>
          <w:rStyle w:val="AERtextbolditalics"/>
          <w:b/>
          <w:bCs/>
          <w:i/>
          <w:iCs/>
        </w:rPr>
        <w:t>Asset failure performance</w:t>
      </w:r>
      <w:bookmarkEnd w:id="99"/>
    </w:p>
    <w:p w:rsidR="00A00A62" w:rsidRDefault="00F164A3" w:rsidP="00EB2D70">
      <w:r>
        <w:t xml:space="preserve">We have </w:t>
      </w:r>
      <w:r w:rsidR="008608EA">
        <w:t>had regard to</w:t>
      </w:r>
      <w:r>
        <w:t xml:space="preserve"> </w:t>
      </w:r>
      <w:r w:rsidR="00EB2D70" w:rsidRPr="00A00A62">
        <w:t>AusNet Services</w:t>
      </w:r>
      <w:r w:rsidR="006A2FA1">
        <w:t>'</w:t>
      </w:r>
      <w:r w:rsidR="00EB2D70" w:rsidRPr="00A00A62">
        <w:t xml:space="preserve"> asset failure</w:t>
      </w:r>
      <w:r w:rsidR="00EB2D70" w:rsidRPr="00A00A62">
        <w:rPr>
          <w:rStyle w:val="FootnoteReference"/>
        </w:rPr>
        <w:footnoteReference w:id="121"/>
      </w:r>
      <w:r w:rsidR="00EB2D70" w:rsidRPr="00A00A62">
        <w:t xml:space="preserve"> </w:t>
      </w:r>
      <w:r>
        <w:t xml:space="preserve">performance </w:t>
      </w:r>
      <w:r w:rsidR="008608EA">
        <w:t>to provide high level observations regrading overall network health and to identify trends in asset deterioration.</w:t>
      </w:r>
      <w:r w:rsidR="008608EA" w:rsidRPr="008608EA">
        <w:rPr>
          <w:rStyle w:val="FootnoteReference"/>
        </w:rPr>
        <w:t xml:space="preserve"> </w:t>
      </w:r>
      <w:r w:rsidR="008608EA" w:rsidRPr="00A00A62">
        <w:rPr>
          <w:rStyle w:val="FootnoteReference"/>
        </w:rPr>
        <w:footnoteReference w:id="122"/>
      </w:r>
      <w:r w:rsidR="008608EA">
        <w:t xml:space="preserve"> </w:t>
      </w:r>
      <w:r w:rsidR="001428BE">
        <w:t>In circumstances where t</w:t>
      </w:r>
      <w:r w:rsidR="008608EA">
        <w:t xml:space="preserve">he historical trend </w:t>
      </w:r>
      <w:r w:rsidR="001428BE">
        <w:t>exhibits</w:t>
      </w:r>
      <w:r w:rsidR="008608EA">
        <w:t xml:space="preserve"> a </w:t>
      </w:r>
      <w:r w:rsidR="008F78B7">
        <w:t>decrease</w:t>
      </w:r>
      <w:r w:rsidR="008608EA">
        <w:t xml:space="preserve"> (increase) in asset failures</w:t>
      </w:r>
      <w:r w:rsidR="001428BE">
        <w:t>, this</w:t>
      </w:r>
      <w:r w:rsidR="008608EA">
        <w:t xml:space="preserve"> may suggest </w:t>
      </w:r>
      <w:r w:rsidR="001428BE">
        <w:t xml:space="preserve">that </w:t>
      </w:r>
      <w:r w:rsidR="008608EA">
        <w:t>past</w:t>
      </w:r>
      <w:r w:rsidR="00F960AA">
        <w:t xml:space="preserve"> expenditure may have been higher (lower</w:t>
      </w:r>
      <w:r w:rsidR="008608EA">
        <w:t xml:space="preserve">) than </w:t>
      </w:r>
      <w:r w:rsidR="001428BE">
        <w:t>necessary</w:t>
      </w:r>
      <w:r w:rsidR="008608EA">
        <w:t xml:space="preserve"> to achieve the capex objectives, respectively. </w:t>
      </w:r>
      <w:fldSimple w:instr=" REF _Ref453683999 ">
        <w:r w:rsidR="00C60946">
          <w:t xml:space="preserve">Figure </w:t>
        </w:r>
        <w:r w:rsidR="00C60946">
          <w:rPr>
            <w:noProof/>
          </w:rPr>
          <w:t>6</w:t>
        </w:r>
        <w:r w:rsidR="00C60946">
          <w:t>.</w:t>
        </w:r>
        <w:r w:rsidR="00C60946">
          <w:rPr>
            <w:noProof/>
          </w:rPr>
          <w:t>8</w:t>
        </w:r>
      </w:fldSimple>
      <w:r w:rsidR="00F46587">
        <w:t xml:space="preserve"> </w:t>
      </w:r>
      <w:r w:rsidR="00EB2D70">
        <w:t>shows o</w:t>
      </w:r>
      <w:r w:rsidR="00EB2D70" w:rsidRPr="00A00A62">
        <w:t xml:space="preserve">ur analysis of AusNet Services' asset failure </w:t>
      </w:r>
      <w:r>
        <w:t>performance.</w:t>
      </w:r>
    </w:p>
    <w:p w:rsidR="005C568B" w:rsidRDefault="00F46587" w:rsidP="00F46587">
      <w:pPr>
        <w:pStyle w:val="Caption"/>
      </w:pPr>
      <w:bookmarkStart w:id="100" w:name="_Ref453683999"/>
      <w:proofErr w:type="gramStart"/>
      <w:r>
        <w:lastRenderedPageBreak/>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8</w:t>
      </w:r>
      <w:r w:rsidR="00735181">
        <w:rPr>
          <w:noProof/>
        </w:rPr>
        <w:fldChar w:fldCharType="end"/>
      </w:r>
      <w:bookmarkEnd w:id="100"/>
      <w:r>
        <w:tab/>
      </w:r>
      <w:r w:rsidR="005C568B">
        <w:t>AusNet Services' asset failures by asset type</w:t>
      </w:r>
    </w:p>
    <w:p w:rsidR="005C568B" w:rsidRDefault="005C568B" w:rsidP="00EB2D70">
      <w:r w:rsidRPr="005C568B">
        <w:rPr>
          <w:noProof/>
          <w:lang w:eastAsia="en-AU"/>
        </w:rPr>
        <w:drawing>
          <wp:inline distT="0" distB="0" distL="0" distR="0" wp14:anchorId="00760AEA" wp14:editId="4B8D6D87">
            <wp:extent cx="5382895" cy="3923963"/>
            <wp:effectExtent l="0" t="0" r="8255" b="635"/>
            <wp:docPr id="19" name="Picture 19" descr="cid:image003.png@01D1C195.DB07B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1C195.DB07BB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382895" cy="3923963"/>
                    </a:xfrm>
                    <a:prstGeom prst="rect">
                      <a:avLst/>
                    </a:prstGeom>
                    <a:noFill/>
                    <a:ln>
                      <a:noFill/>
                    </a:ln>
                  </pic:spPr>
                </pic:pic>
              </a:graphicData>
            </a:graphic>
          </wp:inline>
        </w:drawing>
      </w:r>
    </w:p>
    <w:p w:rsidR="006A2FA1" w:rsidRDefault="001428BE" w:rsidP="006A2FA1">
      <w:pPr>
        <w:pStyle w:val="AERtablesource"/>
        <w:rPr>
          <w:rStyle w:val="AERtextbolditalics"/>
        </w:rPr>
      </w:pPr>
      <w:r>
        <w:rPr>
          <w:rStyle w:val="AERtextbolditalics"/>
          <w:b w:val="0"/>
          <w:bCs w:val="0"/>
          <w:i w:val="0"/>
          <w:iCs w:val="0"/>
        </w:rPr>
        <w:t>Source:</w:t>
      </w:r>
      <w:r>
        <w:rPr>
          <w:rStyle w:val="AERtextbolditalics"/>
        </w:rPr>
        <w:tab/>
      </w:r>
      <w:r w:rsidR="006A2FA1" w:rsidRPr="006A2FA1">
        <w:rPr>
          <w:rStyle w:val="AERtextbolditalics"/>
          <w:b w:val="0"/>
          <w:bCs w:val="0"/>
          <w:i w:val="0"/>
          <w:iCs w:val="0"/>
        </w:rPr>
        <w:t>AER CA RIN 2014-15</w:t>
      </w:r>
    </w:p>
    <w:p w:rsidR="001428BE" w:rsidRPr="001428BE" w:rsidRDefault="001428BE" w:rsidP="001428BE">
      <w:pPr>
        <w:pStyle w:val="AERtablesource"/>
      </w:pPr>
      <w:r>
        <w:t>Note:</w:t>
      </w:r>
      <w:r>
        <w:tab/>
        <w:t>Asset failure data exhibits a sharp increase in 2013-14 followed by a sharp decrease in 2014-15.</w:t>
      </w:r>
      <w:r w:rsidR="00B24C76">
        <w:t xml:space="preserve">  We are not aware of the reasons for this sharp increase and subsequent decrease.</w:t>
      </w:r>
    </w:p>
    <w:p w:rsidR="00193E5D" w:rsidRDefault="00150C29" w:rsidP="006A2FA1">
      <w:r>
        <w:t>In summary</w:t>
      </w:r>
      <w:r w:rsidR="00F164A3">
        <w:t>, a review of past performance indicates</w:t>
      </w:r>
      <w:r w:rsidR="00193E5D">
        <w:t xml:space="preserve"> that:</w:t>
      </w:r>
    </w:p>
    <w:p w:rsidR="00193E5D" w:rsidRDefault="00193E5D" w:rsidP="00193E5D">
      <w:pPr>
        <w:pStyle w:val="AERbulletlistfirststyle"/>
      </w:pPr>
      <w:r>
        <w:t xml:space="preserve">asset failures by </w:t>
      </w:r>
      <w:r w:rsidR="00150C29">
        <w:t xml:space="preserve">major </w:t>
      </w:r>
      <w:r>
        <w:t xml:space="preserve">asset group </w:t>
      </w:r>
      <w:r w:rsidR="00F960AA">
        <w:t>have</w:t>
      </w:r>
      <w:r w:rsidR="001428BE">
        <w:t xml:space="preserve"> been relatively steady over time (with </w:t>
      </w:r>
      <w:r w:rsidR="00CD053A">
        <w:t>the exception of switchbays which</w:t>
      </w:r>
      <w:r w:rsidR="001428BE">
        <w:t xml:space="preserve"> has </w:t>
      </w:r>
      <w:r>
        <w:t xml:space="preserve">declined </w:t>
      </w:r>
      <w:r w:rsidR="00CD053A">
        <w:t xml:space="preserve">over </w:t>
      </w:r>
      <w:r w:rsidR="00AD7792">
        <w:t>the period</w:t>
      </w:r>
      <w:r w:rsidR="00CD053A">
        <w:t>)</w:t>
      </w:r>
      <w:r>
        <w:t>, with transmission towers and support structures experiencing the lowest failures</w:t>
      </w:r>
    </w:p>
    <w:p w:rsidR="00193E5D" w:rsidRDefault="00CD053A" w:rsidP="00193E5D">
      <w:pPr>
        <w:pStyle w:val="AERbulletlistfirststyle"/>
      </w:pPr>
      <w:r>
        <w:t>the spread of failure</w:t>
      </w:r>
      <w:r w:rsidR="00193E5D">
        <w:t xml:space="preserve"> </w:t>
      </w:r>
      <w:r>
        <w:t xml:space="preserve">rates </w:t>
      </w:r>
      <w:r w:rsidR="00193E5D">
        <w:t xml:space="preserve">between </w:t>
      </w:r>
      <w:r w:rsidR="00150C29">
        <w:t>asset groups h</w:t>
      </w:r>
      <w:r w:rsidR="00193E5D">
        <w:t xml:space="preserve">as reduced and are at their lowest levels </w:t>
      </w:r>
      <w:r w:rsidR="00150C29">
        <w:t>over the period based on significant declines in 2014-15</w:t>
      </w:r>
    </w:p>
    <w:p w:rsidR="00150C29" w:rsidRDefault="00150C29" w:rsidP="00193E5D">
      <w:pPr>
        <w:pStyle w:val="AERbulletlistfirststyle"/>
      </w:pPr>
      <w:r>
        <w:t>power transformer failure shows a steady increase over time but exhibits a sharp decline to historically low levels in 2014-15</w:t>
      </w:r>
    </w:p>
    <w:p w:rsidR="00193E5D" w:rsidRDefault="00150C29" w:rsidP="00193E5D">
      <w:pPr>
        <w:pStyle w:val="AERbulletlistfirststyle"/>
      </w:pPr>
      <w:proofErr w:type="gramStart"/>
      <w:r>
        <w:t>substation</w:t>
      </w:r>
      <w:proofErr w:type="gramEnd"/>
      <w:r>
        <w:t xml:space="preserve"> switch</w:t>
      </w:r>
      <w:r w:rsidR="001428BE">
        <w:t>-</w:t>
      </w:r>
      <w:r>
        <w:t xml:space="preserve">bays exhibit the highest asset failures </w:t>
      </w:r>
      <w:r w:rsidR="00CD053A">
        <w:t xml:space="preserve">but </w:t>
      </w:r>
      <w:r>
        <w:t xml:space="preserve">has </w:t>
      </w:r>
      <w:r w:rsidR="00F164A3">
        <w:t>experienced the largest decline in 2014-15.</w:t>
      </w:r>
    </w:p>
    <w:p w:rsidR="006A2FA1" w:rsidRPr="006A2FA1" w:rsidRDefault="00F164A3" w:rsidP="00F164A3">
      <w:pPr>
        <w:pStyle w:val="AERbulletlistfirststyle"/>
        <w:numPr>
          <w:ilvl w:val="0"/>
          <w:numId w:val="0"/>
        </w:numPr>
      </w:pPr>
      <w:r>
        <w:t xml:space="preserve">These </w:t>
      </w:r>
      <w:r w:rsidR="001428BE">
        <w:t xml:space="preserve">historical </w:t>
      </w:r>
      <w:r>
        <w:t>trends</w:t>
      </w:r>
      <w:r w:rsidR="001428BE">
        <w:t xml:space="preserve"> suggest</w:t>
      </w:r>
      <w:r w:rsidR="00193E5D">
        <w:t xml:space="preserve"> that past expenditure has been </w:t>
      </w:r>
      <w:r>
        <w:t xml:space="preserve">sufficient to </w:t>
      </w:r>
      <w:r w:rsidR="001428BE">
        <w:t xml:space="preserve">maintain the </w:t>
      </w:r>
      <w:r w:rsidR="001428BE" w:rsidRPr="006164A9">
        <w:t>quality, reliability and security of supply</w:t>
      </w:r>
      <w:r w:rsidR="001428BE" w:rsidRPr="001428BE">
        <w:t xml:space="preserve"> of prescribed transmission services</w:t>
      </w:r>
      <w:r w:rsidR="001428BE">
        <w:t xml:space="preserve">. </w:t>
      </w:r>
      <w:r w:rsidR="001428BE" w:rsidRPr="001428BE">
        <w:t xml:space="preserve"> </w:t>
      </w:r>
    </w:p>
    <w:p w:rsidR="00A00A62" w:rsidRPr="006A2FA1" w:rsidRDefault="00A00A62" w:rsidP="006A2FA1">
      <w:pPr>
        <w:pStyle w:val="HeadingBoldItalic"/>
        <w:rPr>
          <w:rStyle w:val="AERtextbolditalics"/>
          <w:b/>
          <w:bCs/>
          <w:i/>
          <w:iCs/>
        </w:rPr>
      </w:pPr>
      <w:bookmarkStart w:id="101" w:name="_Toc456608821"/>
      <w:r w:rsidRPr="006A2FA1">
        <w:rPr>
          <w:rStyle w:val="AERtextbolditalics"/>
          <w:b/>
          <w:bCs/>
          <w:i/>
          <w:iCs/>
        </w:rPr>
        <w:t>Asset age profile</w:t>
      </w:r>
      <w:bookmarkEnd w:id="101"/>
    </w:p>
    <w:p w:rsidR="00A00A62" w:rsidRPr="00A00A62" w:rsidRDefault="00A00A62" w:rsidP="00A00A62">
      <w:r w:rsidRPr="00A00A62">
        <w:lastRenderedPageBreak/>
        <w:t>We have reviewed the asset age profile of AusNet Services' transmission network.</w:t>
      </w:r>
      <w:r w:rsidRPr="00A00A62">
        <w:rPr>
          <w:rStyle w:val="FootnoteReference"/>
        </w:rPr>
        <w:t xml:space="preserve"> </w:t>
      </w:r>
      <w:r w:rsidRPr="00A00A62">
        <w:rPr>
          <w:rStyle w:val="FootnoteReference"/>
        </w:rPr>
        <w:footnoteReference w:id="123"/>
      </w:r>
      <w:r w:rsidRPr="00A00A62">
        <w:t xml:space="preserve"> </w:t>
      </w:r>
      <w:fldSimple w:instr=" REF _Ref453684052 ">
        <w:r w:rsidR="00C60946">
          <w:t xml:space="preserve">Figure </w:t>
        </w:r>
        <w:r w:rsidR="00C60946">
          <w:rPr>
            <w:noProof/>
          </w:rPr>
          <w:t>6</w:t>
        </w:r>
        <w:r w:rsidR="00C60946">
          <w:t>.</w:t>
        </w:r>
        <w:r w:rsidR="00C60946">
          <w:rPr>
            <w:noProof/>
          </w:rPr>
          <w:t>9</w:t>
        </w:r>
      </w:fldSimple>
      <w:r w:rsidRPr="00A00A62">
        <w:t xml:space="preserve"> shows AusNet Services' current transmission network a</w:t>
      </w:r>
      <w:r w:rsidR="00A42EDE">
        <w:t>sset age profile.</w:t>
      </w:r>
    </w:p>
    <w:p w:rsidR="00A00A62" w:rsidRPr="00A00A62" w:rsidRDefault="00F46587" w:rsidP="00F46587">
      <w:pPr>
        <w:pStyle w:val="Caption"/>
      </w:pPr>
      <w:bookmarkStart w:id="102" w:name="_Ref453684052"/>
      <w:proofErr w:type="gramStart"/>
      <w:r>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9</w:t>
      </w:r>
      <w:r w:rsidR="00735181">
        <w:rPr>
          <w:noProof/>
        </w:rPr>
        <w:fldChar w:fldCharType="end"/>
      </w:r>
      <w:bookmarkEnd w:id="102"/>
      <w:r>
        <w:tab/>
      </w:r>
      <w:r w:rsidR="00A00A62" w:rsidRPr="00A00A62">
        <w:t>AusNet Services' transmission network asset age profile</w:t>
      </w:r>
    </w:p>
    <w:p w:rsidR="00A00A62" w:rsidRPr="00A00A62" w:rsidRDefault="000651E3" w:rsidP="00A00A62">
      <w:r>
        <w:rPr>
          <w:noProof/>
          <w:lang w:eastAsia="en-AU"/>
        </w:rPr>
        <w:drawing>
          <wp:inline distT="0" distB="0" distL="0" distR="0" wp14:anchorId="41CFB0AC">
            <wp:extent cx="6187440" cy="36576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3657600"/>
                    </a:xfrm>
                    <a:prstGeom prst="rect">
                      <a:avLst/>
                    </a:prstGeom>
                    <a:noFill/>
                  </pic:spPr>
                </pic:pic>
              </a:graphicData>
            </a:graphic>
          </wp:inline>
        </w:drawing>
      </w:r>
    </w:p>
    <w:p w:rsidR="00A00A62" w:rsidRPr="00A00A62" w:rsidRDefault="00A00A62" w:rsidP="00A00A62">
      <w:pPr>
        <w:pStyle w:val="AERtablesource"/>
      </w:pPr>
      <w:r w:rsidRPr="00A00A62">
        <w:t>Source: AER analysis</w:t>
      </w:r>
      <w:r w:rsidR="000651E3">
        <w:tab/>
      </w:r>
    </w:p>
    <w:p w:rsidR="00A00A62" w:rsidRPr="00A00A62" w:rsidRDefault="00A00A62" w:rsidP="00A00A62">
      <w:r w:rsidRPr="00A00A62">
        <w:t xml:space="preserve">AusNet Services' asset age profile </w:t>
      </w:r>
      <w:r w:rsidR="00EB2D70">
        <w:t>i</w:t>
      </w:r>
      <w:r w:rsidR="006A2FA1">
        <w:t xml:space="preserve">ndicates </w:t>
      </w:r>
      <w:r w:rsidRPr="00A00A62">
        <w:t>that:</w:t>
      </w:r>
    </w:p>
    <w:p w:rsidR="00BE40E1" w:rsidRDefault="005A49F4" w:rsidP="00BE40E1">
      <w:pPr>
        <w:pStyle w:val="AERbulletlistfirststyle"/>
      </w:pPr>
      <w:r>
        <w:t>T</w:t>
      </w:r>
      <w:r w:rsidR="00A00A62" w:rsidRPr="00A00A62">
        <w:t xml:space="preserve">here is a relatively large stock </w:t>
      </w:r>
      <w:r w:rsidR="00F960AA">
        <w:t xml:space="preserve">of </w:t>
      </w:r>
      <w:r w:rsidR="00BE40E1">
        <w:t xml:space="preserve">conductors and towers </w:t>
      </w:r>
      <w:r w:rsidR="00A00A62" w:rsidRPr="00A00A62">
        <w:t xml:space="preserve">commissioned in the 1960's </w:t>
      </w:r>
      <w:r w:rsidR="00BE40E1">
        <w:t xml:space="preserve">1970's </w:t>
      </w:r>
      <w:r w:rsidR="00A00A62" w:rsidRPr="00A00A62">
        <w:t>and 1980's</w:t>
      </w:r>
      <w:r w:rsidR="00BE40E1">
        <w:t>. Based on informat</w:t>
      </w:r>
      <w:r w:rsidR="00E44328">
        <w:t>ion provided by AusNet Services</w:t>
      </w:r>
      <w:r w:rsidR="00BE40E1">
        <w:t xml:space="preserve"> we note that </w:t>
      </w:r>
      <w:r w:rsidR="005A5F44">
        <w:t xml:space="preserve">for </w:t>
      </w:r>
      <w:r w:rsidR="00BE40E1" w:rsidRPr="00A00A62">
        <w:t xml:space="preserve">the majority of transmission assets (transmission towers, transmission tower support structures, conductors and transmission cables) </w:t>
      </w:r>
      <w:r w:rsidR="005A5F44">
        <w:t xml:space="preserve">the number of assets </w:t>
      </w:r>
      <w:r w:rsidR="00BE40E1" w:rsidRPr="00A00A62">
        <w:t>in service beyond thei</w:t>
      </w:r>
      <w:r w:rsidR="005A5F44">
        <w:t>r expected mean economic life is</w:t>
      </w:r>
      <w:r w:rsidR="00BE40E1" w:rsidRPr="00A00A62">
        <w:t xml:space="preserve"> relatively immaterial. </w:t>
      </w:r>
      <w:r w:rsidR="00BE40E1">
        <w:t>This is consistent with AusNet Services' proposal, which has proposed minimal replacement of conductors and towers.</w:t>
      </w:r>
    </w:p>
    <w:p w:rsidR="00A00A62" w:rsidRPr="00A00A62" w:rsidRDefault="009867F2" w:rsidP="00A00A62">
      <w:pPr>
        <w:pStyle w:val="AERbulletlistfirststyle"/>
      </w:pPr>
      <w:r>
        <w:t>T</w:t>
      </w:r>
      <w:r w:rsidR="005A49F4">
        <w:t xml:space="preserve">here has been a significant amount of substation switchbay </w:t>
      </w:r>
      <w:r w:rsidR="00A42EDE">
        <w:t xml:space="preserve">and substation power transformer </w:t>
      </w:r>
      <w:r w:rsidR="005A49F4">
        <w:t>replacement since 2004</w:t>
      </w:r>
      <w:r w:rsidR="00A42EDE">
        <w:t xml:space="preserve">, </w:t>
      </w:r>
      <w:r>
        <w:t xml:space="preserve">but </w:t>
      </w:r>
      <w:r w:rsidR="00A42EDE">
        <w:t xml:space="preserve">with a large stock of these assets still in commission from the 1960s. </w:t>
      </w:r>
      <w:r w:rsidR="005A49F4">
        <w:t>Based on informat</w:t>
      </w:r>
      <w:r w:rsidR="00E44328">
        <w:t>ion provided by AusNet Services</w:t>
      </w:r>
      <w:r w:rsidR="005A49F4">
        <w:t xml:space="preserve"> we note that there </w:t>
      </w:r>
      <w:r w:rsidR="00A00A62" w:rsidRPr="00A00A62">
        <w:t xml:space="preserve">are a material number of substation assets (substation switchbays, substation power transformers and substation reactive plant) in service beyond their mean economic lives. In particular, the majority of substation power transformers in service are beyond </w:t>
      </w:r>
      <w:r w:rsidR="002B0634">
        <w:t>AusNet Services' estimated</w:t>
      </w:r>
      <w:r w:rsidR="00A00A62" w:rsidRPr="00A00A62">
        <w:t xml:space="preserve"> mean economic life </w:t>
      </w:r>
      <w:r w:rsidR="00A00A62" w:rsidRPr="00A00A62">
        <w:lastRenderedPageBreak/>
        <w:t xml:space="preserve">of 40 years. A significant proportion of substation switchbays are also still in service beyond </w:t>
      </w:r>
      <w:r w:rsidR="002B0634">
        <w:t>AusNet Services'</w:t>
      </w:r>
      <w:r w:rsidR="00A00A62" w:rsidRPr="00A00A62">
        <w:t xml:space="preserve"> </w:t>
      </w:r>
      <w:r w:rsidR="002B0634">
        <w:t xml:space="preserve">estimated </w:t>
      </w:r>
      <w:r w:rsidR="00A00A62" w:rsidRPr="00A00A62">
        <w:t>mea</w:t>
      </w:r>
      <w:r w:rsidR="005A49F4">
        <w:t>n economic life of 45 years.</w:t>
      </w:r>
    </w:p>
    <w:p w:rsidR="00E73009" w:rsidRPr="00E73009" w:rsidRDefault="00E73009" w:rsidP="00E73009">
      <w:r w:rsidRPr="00E73009">
        <w:t>Another asset health indicator which we hav</w:t>
      </w:r>
      <w:r w:rsidR="00F960AA">
        <w:t>e considered is AusNet Services'</w:t>
      </w:r>
      <w:r w:rsidRPr="00E73009">
        <w:t xml:space="preserve"> trend in average residual asset life over time, where residual service life is used as a high-level proxy for asset condition.  Asset condition is a key driver of replacement expenditure.   </w:t>
      </w:r>
    </w:p>
    <w:p w:rsidR="00E73009" w:rsidRPr="00E73009" w:rsidRDefault="00327273" w:rsidP="00E73009">
      <w:fldSimple w:instr=" REF _Ref453684087 ">
        <w:r w:rsidR="00C60946">
          <w:t xml:space="preserve">Figure </w:t>
        </w:r>
        <w:r w:rsidR="00C60946">
          <w:rPr>
            <w:noProof/>
          </w:rPr>
          <w:t>6</w:t>
        </w:r>
        <w:r w:rsidR="00C60946">
          <w:t>.</w:t>
        </w:r>
        <w:r w:rsidR="00C60946">
          <w:rPr>
            <w:noProof/>
          </w:rPr>
          <w:t>10</w:t>
        </w:r>
      </w:fldSimple>
      <w:r w:rsidR="00F46587">
        <w:t xml:space="preserve"> </w:t>
      </w:r>
      <w:r w:rsidR="00F960AA">
        <w:t>shows that AusNet Services'</w:t>
      </w:r>
      <w:r w:rsidR="00E73009" w:rsidRPr="00E73009">
        <w:t xml:space="preserve"> residual asset lives have been flat over the period 2006–2013</w:t>
      </w:r>
      <w:r w:rsidR="00974953">
        <w:t xml:space="preserve"> (with the exception of underground assets)</w:t>
      </w:r>
      <w:r w:rsidR="00E73009" w:rsidRPr="00E73009">
        <w:t>. This means th</w:t>
      </w:r>
      <w:r w:rsidR="00F960AA">
        <w:t>at, on average, AusNet Services'</w:t>
      </w:r>
      <w:r w:rsidR="00E73009" w:rsidRPr="00E73009">
        <w:t xml:space="preserve"> network assets are staying the same age.</w:t>
      </w:r>
    </w:p>
    <w:p w:rsidR="00A00A62" w:rsidRPr="00A00A62" w:rsidRDefault="00F46587" w:rsidP="00F46587">
      <w:pPr>
        <w:pStyle w:val="Caption"/>
      </w:pPr>
      <w:bookmarkStart w:id="103" w:name="_Ref453684087"/>
      <w:proofErr w:type="gramStart"/>
      <w:r>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10</w:t>
      </w:r>
      <w:r w:rsidR="00735181">
        <w:rPr>
          <w:noProof/>
        </w:rPr>
        <w:fldChar w:fldCharType="end"/>
      </w:r>
      <w:bookmarkEnd w:id="103"/>
      <w:r>
        <w:tab/>
      </w:r>
      <w:r w:rsidR="00A00A62" w:rsidRPr="00A00A62">
        <w:t>AusNet Services' transmission residual network asset age profile</w:t>
      </w:r>
    </w:p>
    <w:p w:rsidR="00A00A62" w:rsidRPr="00A00A62" w:rsidRDefault="00BF6B9B" w:rsidP="00A00A62">
      <w:r>
        <w:rPr>
          <w:noProof/>
          <w:lang w:eastAsia="en-AU"/>
        </w:rPr>
        <w:drawing>
          <wp:inline distT="0" distB="0" distL="0" distR="0" wp14:anchorId="47F25B4C" wp14:editId="37A53BF7">
            <wp:extent cx="5832000" cy="3499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2000" cy="3499200"/>
                    </a:xfrm>
                    <a:prstGeom prst="rect">
                      <a:avLst/>
                    </a:prstGeom>
                    <a:noFill/>
                  </pic:spPr>
                </pic:pic>
              </a:graphicData>
            </a:graphic>
          </wp:inline>
        </w:drawing>
      </w:r>
    </w:p>
    <w:p w:rsidR="00BF6B9B" w:rsidRDefault="00A00A62" w:rsidP="00BF6B9B">
      <w:pPr>
        <w:pStyle w:val="AERtablesource"/>
      </w:pPr>
      <w:r w:rsidRPr="00A00A62">
        <w:t xml:space="preserve">Source: </w:t>
      </w:r>
      <w:r w:rsidR="00E73009">
        <w:tab/>
      </w:r>
      <w:r w:rsidRPr="00A00A62">
        <w:t>AER analysis</w:t>
      </w:r>
      <w:r w:rsidR="00E73009">
        <w:t>,</w:t>
      </w:r>
      <w:r w:rsidR="00C75FA0">
        <w:t xml:space="preserve"> </w:t>
      </w:r>
      <w:hyperlink r:id="rId30" w:history="1">
        <w:r w:rsidR="00E73009" w:rsidRPr="00B1130C">
          <w:rPr>
            <w:rStyle w:val="AERtextitalic"/>
          </w:rPr>
          <w:t>SP AusNet (transmission), 2006-13 - Economic Benchmarking RIN - Financial and non</w:t>
        </w:r>
        <w:r w:rsidR="00BF6B9B">
          <w:rPr>
            <w:rStyle w:val="AERtextitalic"/>
          </w:rPr>
          <w:noBreakHyphen/>
        </w:r>
        <w:r w:rsidR="00E73009" w:rsidRPr="00B1130C">
          <w:rPr>
            <w:rStyle w:val="AERtextitalic"/>
          </w:rPr>
          <w:t>financial information</w:t>
        </w:r>
        <w:r w:rsidR="00E73009">
          <w:t>,</w:t>
        </w:r>
      </w:hyperlink>
    </w:p>
    <w:p w:rsidR="00BF6B9B" w:rsidRDefault="00BF6B9B" w:rsidP="00BF6B9B">
      <w:pPr>
        <w:pStyle w:val="AERtablesource"/>
      </w:pPr>
      <w:r>
        <w:tab/>
      </w:r>
      <w:hyperlink r:id="rId31" w:history="1">
        <w:r w:rsidRPr="00B1130C">
          <w:rPr>
            <w:rStyle w:val="AERtextitalic"/>
          </w:rPr>
          <w:t>AusNe</w:t>
        </w:r>
        <w:r>
          <w:rPr>
            <w:rStyle w:val="AERtextitalic"/>
          </w:rPr>
          <w:t>t Services (transmission), 20</w:t>
        </w:r>
        <w:r w:rsidRPr="00B1130C">
          <w:rPr>
            <w:rStyle w:val="AERtextitalic"/>
          </w:rPr>
          <w:t>13</w:t>
        </w:r>
        <w:r>
          <w:rPr>
            <w:rStyle w:val="AERtextitalic"/>
          </w:rPr>
          <w:t xml:space="preserve">-14 </w:t>
        </w:r>
        <w:r w:rsidRPr="00B1130C">
          <w:rPr>
            <w:rStyle w:val="AERtextitalic"/>
          </w:rPr>
          <w:t>- Economic Benchmarking RIN - Financial and non-financial information</w:t>
        </w:r>
        <w:r>
          <w:t>,</w:t>
        </w:r>
        <w:r w:rsidRPr="00E429D7">
          <w:t xml:space="preserve"> </w:t>
        </w:r>
      </w:hyperlink>
    </w:p>
    <w:p w:rsidR="009C7464" w:rsidRDefault="00BF6B9B" w:rsidP="00BF6B9B">
      <w:pPr>
        <w:pStyle w:val="AERtablesource"/>
      </w:pPr>
      <w:r>
        <w:tab/>
      </w:r>
      <w:hyperlink r:id="rId32" w:history="1">
        <w:r w:rsidRPr="00B1130C">
          <w:rPr>
            <w:rStyle w:val="AERtextitalic"/>
          </w:rPr>
          <w:t>AusNe</w:t>
        </w:r>
        <w:r>
          <w:rPr>
            <w:rStyle w:val="AERtextitalic"/>
          </w:rPr>
          <w:t>t Services (transmission), 20</w:t>
        </w:r>
        <w:r w:rsidRPr="00B1130C">
          <w:rPr>
            <w:rStyle w:val="AERtextitalic"/>
          </w:rPr>
          <w:t>1</w:t>
        </w:r>
        <w:r>
          <w:rPr>
            <w:rStyle w:val="AERtextitalic"/>
          </w:rPr>
          <w:t>4-15</w:t>
        </w:r>
        <w:r w:rsidRPr="00B1130C">
          <w:rPr>
            <w:rStyle w:val="AERtextitalic"/>
          </w:rPr>
          <w:t xml:space="preserve"> - Economic Benchmarking RIN - Financial and non-financial information</w:t>
        </w:r>
      </w:hyperlink>
      <w:r w:rsidR="009C7464">
        <w:t>,</w:t>
      </w:r>
    </w:p>
    <w:p w:rsidR="009C7464" w:rsidRDefault="009C7464" w:rsidP="009C7464">
      <w:pPr>
        <w:pStyle w:val="AERtablesource"/>
      </w:pPr>
      <w:r>
        <w:tab/>
      </w:r>
      <w:hyperlink r:id="rId33" w:history="1">
        <w:proofErr w:type="gramStart"/>
        <w:r w:rsidRPr="00B1130C">
          <w:rPr>
            <w:rStyle w:val="AERtextitalic"/>
          </w:rPr>
          <w:t>AusNe</w:t>
        </w:r>
        <w:r>
          <w:rPr>
            <w:rStyle w:val="AERtextitalic"/>
          </w:rPr>
          <w:t>t Services (transmission), 20</w:t>
        </w:r>
        <w:r w:rsidRPr="00B1130C">
          <w:rPr>
            <w:rStyle w:val="AERtextitalic"/>
          </w:rPr>
          <w:t>1</w:t>
        </w:r>
        <w:r>
          <w:rPr>
            <w:rStyle w:val="AERtextitalic"/>
          </w:rPr>
          <w:t xml:space="preserve">7-18 </w:t>
        </w:r>
        <w:r>
          <w:rPr>
            <w:rStyle w:val="AERtextitalic"/>
          </w:rPr>
          <w:noBreakHyphen/>
          <w:t xml:space="preserve"> 2021-22</w:t>
        </w:r>
        <w:r w:rsidRPr="00B1130C">
          <w:rPr>
            <w:rStyle w:val="AERtextitalic"/>
          </w:rPr>
          <w:t xml:space="preserve"> - </w:t>
        </w:r>
        <w:r>
          <w:rPr>
            <w:rStyle w:val="AERtextitalic"/>
          </w:rPr>
          <w:t xml:space="preserve">Regulatory Information Notice - </w:t>
        </w:r>
        <w:r w:rsidR="00880E37">
          <w:rPr>
            <w:rStyle w:val="AERtextitalic"/>
          </w:rPr>
          <w:t>Revenue proposal</w:t>
        </w:r>
      </w:hyperlink>
      <w:r>
        <w:t>, October 2015.</w:t>
      </w:r>
      <w:proofErr w:type="gramEnd"/>
    </w:p>
    <w:p w:rsidR="00CD7C16" w:rsidRDefault="00974953" w:rsidP="00727B98">
      <w:r>
        <w:t>AusNet Services has estimated residual life decreases significantly in 2014-15. However we do not consider that this sudden decrease is plaus</w:t>
      </w:r>
      <w:r w:rsidR="00E44328">
        <w:t xml:space="preserve">ible and expect AusNet </w:t>
      </w:r>
      <w:r w:rsidR="00E44328">
        <w:lastRenderedPageBreak/>
        <w:t>Services</w:t>
      </w:r>
      <w:r>
        <w:t xml:space="preserve"> to clarify this observation in its revised proposal. This observation was also commented on by the EUCV in its submission.</w:t>
      </w:r>
      <w:r w:rsidR="00E44328">
        <w:rPr>
          <w:rStyle w:val="FootnoteReference"/>
        </w:rPr>
        <w:footnoteReference w:id="124"/>
      </w:r>
      <w:r>
        <w:t xml:space="preserve"> We note the estimate</w:t>
      </w:r>
      <w:r w:rsidR="00E44328">
        <w:t>d residual life is projected to</w:t>
      </w:r>
      <w:r>
        <w:t xml:space="preserve"> decline over the 2017-22 regulatory control </w:t>
      </w:r>
      <w:proofErr w:type="gramStart"/>
      <w:r>
        <w:t>period</w:t>
      </w:r>
      <w:proofErr w:type="gramEnd"/>
      <w:r>
        <w:t xml:space="preserve">. </w:t>
      </w:r>
    </w:p>
    <w:p w:rsidR="00C75FA0" w:rsidRDefault="00C75FA0" w:rsidP="00727B98">
      <w:r w:rsidRPr="00C75FA0">
        <w:t xml:space="preserve">Noting the above, the </w:t>
      </w:r>
      <w:r w:rsidR="00CD7C16">
        <w:t xml:space="preserve">projected declining </w:t>
      </w:r>
      <w:r w:rsidRPr="00C75FA0">
        <w:t>trend in residual lives (where age is a proxy for asset condition) suggests that the health of AusNet Services’ a</w:t>
      </w:r>
      <w:r w:rsidR="00CD7C16">
        <w:t>sset base may be expected to deteriorate</w:t>
      </w:r>
      <w:r w:rsidR="00C9117C">
        <w:t xml:space="preserve"> for conductors, substation and transformer assets and underground assets.</w:t>
      </w:r>
    </w:p>
    <w:p w:rsidR="00EB1C8E" w:rsidRDefault="00A5357D" w:rsidP="00727B98">
      <w:r w:rsidRPr="00C75FA0">
        <w:t>However, we acknowledge limitations exist when using estimated residual service life to indicate the trend in the underlying condition of n</w:t>
      </w:r>
      <w:r w:rsidR="00B116E9">
        <w:t>etwork assets. Large volumes of</w:t>
      </w:r>
      <w:r w:rsidRPr="00C75FA0">
        <w:t xml:space="preserve"> </w:t>
      </w:r>
      <w:r w:rsidR="00B116E9">
        <w:t xml:space="preserve">recent replacements that may not be age driven </w:t>
      </w:r>
      <w:r w:rsidRPr="00C75FA0">
        <w:t>can result in a large stock of new assets being installed in the network, which may bring down the network’s average age. In this way, the residual service life of the assets may increase without necessarily addressing any underlying asset condition deterioration.</w:t>
      </w:r>
    </w:p>
    <w:p w:rsidR="00524A66" w:rsidRDefault="00524A66">
      <w:pPr>
        <w:spacing w:line="240" w:lineRule="auto"/>
      </w:pPr>
      <w:r>
        <w:br w:type="page"/>
      </w:r>
    </w:p>
    <w:p w:rsidR="0014085B" w:rsidRDefault="00D95AAD" w:rsidP="00D95AAD">
      <w:pPr>
        <w:pStyle w:val="Heading8"/>
      </w:pPr>
      <w:bookmarkStart w:id="104" w:name="_Toc456608822"/>
      <w:r>
        <w:lastRenderedPageBreak/>
        <w:t>Forecast non-network capex</w:t>
      </w:r>
      <w:bookmarkEnd w:id="104"/>
    </w:p>
    <w:p w:rsidR="00203295" w:rsidRDefault="00203295" w:rsidP="00203295">
      <w:r>
        <w:t>The n</w:t>
      </w:r>
      <w:r w:rsidRPr="00A0760A">
        <w:t xml:space="preserve">on-network capex </w:t>
      </w:r>
      <w:r>
        <w:t xml:space="preserve">category for AusNet Services </w:t>
      </w:r>
      <w:r w:rsidRPr="00A0760A">
        <w:t>includes expenditure on information and communications technology (ICT), buildings and property</w:t>
      </w:r>
      <w:r>
        <w:t xml:space="preserve">, </w:t>
      </w:r>
      <w:r w:rsidRPr="00A0760A">
        <w:t>motor v</w:t>
      </w:r>
      <w:r>
        <w:t>ehicles, and tools and equipment</w:t>
      </w:r>
      <w:r w:rsidRPr="00A0760A">
        <w:t>.</w:t>
      </w:r>
      <w:r>
        <w:t xml:space="preserve"> </w:t>
      </w:r>
    </w:p>
    <w:p w:rsidR="00203295" w:rsidRDefault="00203295" w:rsidP="00203295">
      <w:pPr>
        <w:pStyle w:val="Heading9"/>
      </w:pPr>
      <w:bookmarkStart w:id="105" w:name="_Toc433520838"/>
      <w:bookmarkStart w:id="106" w:name="_Toc456608823"/>
      <w:r>
        <w:t>Position</w:t>
      </w:r>
      <w:bookmarkEnd w:id="105"/>
      <w:bookmarkEnd w:id="106"/>
    </w:p>
    <w:p w:rsidR="00203295" w:rsidRPr="00A85BCB" w:rsidRDefault="00203295" w:rsidP="00203295">
      <w:r>
        <w:t xml:space="preserve">We </w:t>
      </w:r>
      <w:r w:rsidR="00260029">
        <w:t>are not satisfied</w:t>
      </w:r>
      <w:r>
        <w:t xml:space="preserve"> AusNet Services' forecast non-network capex</w:t>
      </w:r>
      <w:r w:rsidR="00260029" w:rsidRPr="00260029">
        <w:t xml:space="preserve"> </w:t>
      </w:r>
      <w:r w:rsidR="00260029">
        <w:t>reasonably reflects the capex criteria and therefore we do not accept the proposed amount</w:t>
      </w:r>
      <w:r>
        <w:t xml:space="preserve">. We have instead included an amount of </w:t>
      </w:r>
      <w:r w:rsidR="00F16A92">
        <w:t>$99.4</w:t>
      </w:r>
      <w:r>
        <w:t xml:space="preserve"> million ($2016–17</w:t>
      </w:r>
      <w:r w:rsidRPr="00A85BCB">
        <w:t xml:space="preserve">) for non-network capex in our estimate of total capex which we </w:t>
      </w:r>
      <w:r w:rsidR="00260029">
        <w:t>are satisfied</w:t>
      </w:r>
      <w:r w:rsidR="00260029" w:rsidRPr="00A85BCB">
        <w:t xml:space="preserve"> </w:t>
      </w:r>
      <w:r w:rsidRPr="00A85BCB">
        <w:t>reasonably reflects the capex criteria.</w:t>
      </w:r>
      <w:r>
        <w:t xml:space="preserve"> This is a reduction of </w:t>
      </w:r>
      <w:r w:rsidR="00F16A92">
        <w:t>6</w:t>
      </w:r>
      <w:r>
        <w:t xml:space="preserve"> per cent.</w:t>
      </w:r>
      <w:r w:rsidRPr="005D14AC">
        <w:t xml:space="preserve"> </w:t>
      </w:r>
      <w:r>
        <w:t>This is comprised of $</w:t>
      </w:r>
      <w:r w:rsidR="00F16A92">
        <w:t>79.5</w:t>
      </w:r>
      <w:r>
        <w:t xml:space="preserve"> million for ICT capex and $26.3 </w:t>
      </w:r>
      <w:r w:rsidRPr="003A0D42">
        <w:t xml:space="preserve">million for </w:t>
      </w:r>
      <w:r>
        <w:t xml:space="preserve">the </w:t>
      </w:r>
      <w:r w:rsidRPr="003A0D42">
        <w:t>other</w:t>
      </w:r>
      <w:r>
        <w:t xml:space="preserve"> categories of</w:t>
      </w:r>
      <w:r w:rsidRPr="003A0D42">
        <w:t xml:space="preserve"> non-network capex</w:t>
      </w:r>
      <w:r w:rsidR="00260029">
        <w:t>.</w:t>
      </w:r>
    </w:p>
    <w:p w:rsidR="00203295" w:rsidRDefault="00203295" w:rsidP="00203295">
      <w:r w:rsidRPr="00A85BCB">
        <w:t>In coming to this view</w:t>
      </w:r>
      <w:r>
        <w:t xml:space="preserve">, we have found </w:t>
      </w:r>
      <w:r w:rsidR="00107C21">
        <w:t xml:space="preserve">based on the information available </w:t>
      </w:r>
      <w:r>
        <w:t xml:space="preserve">that </w:t>
      </w:r>
      <w:r w:rsidRPr="00BA2500">
        <w:t>AusNet</w:t>
      </w:r>
      <w:r>
        <w:t xml:space="preserve"> Services'</w:t>
      </w:r>
      <w:r w:rsidRPr="00A85BCB">
        <w:t xml:space="preserve"> foreca</w:t>
      </w:r>
      <w:r>
        <w:t>st non-network ICT capex of $79.5 million ($2016–17</w:t>
      </w:r>
      <w:r w:rsidRPr="00A85BCB">
        <w:t>) does not reflect the efficient costs of a prudent operator. We consider that non-network I</w:t>
      </w:r>
      <w:r>
        <w:t>CT capex of $</w:t>
      </w:r>
      <w:r w:rsidR="00F16A92">
        <w:t>73.3</w:t>
      </w:r>
      <w:r w:rsidRPr="00A85BCB">
        <w:t xml:space="preserve"> million</w:t>
      </w:r>
      <w:r>
        <w:t xml:space="preserve"> ($2016–17</w:t>
      </w:r>
      <w:r w:rsidRPr="009242A5">
        <w:t xml:space="preserve">) reasonably reflects </w:t>
      </w:r>
      <w:r>
        <w:t>AusNet Services'</w:t>
      </w:r>
      <w:r w:rsidRPr="009242A5">
        <w:t xml:space="preserve"> required capex for this category in the </w:t>
      </w:r>
      <w:r>
        <w:t>2017–22</w:t>
      </w:r>
      <w:r w:rsidRPr="009242A5">
        <w:t xml:space="preserve"> regulatory control </w:t>
      </w:r>
      <w:proofErr w:type="gramStart"/>
      <w:r w:rsidRPr="009242A5">
        <w:t>period</w:t>
      </w:r>
      <w:proofErr w:type="gramEnd"/>
      <w:r w:rsidRPr="009242A5">
        <w:t>.</w:t>
      </w:r>
      <w:r>
        <w:t xml:space="preserve"> This is a reduction of </w:t>
      </w:r>
      <w:r w:rsidR="00F16A92">
        <w:t>8</w:t>
      </w:r>
      <w:r>
        <w:t xml:space="preserve"> per cent from AusNet Services' forecast ICT capex.</w:t>
      </w:r>
    </w:p>
    <w:p w:rsidR="00203295" w:rsidRDefault="00203295" w:rsidP="00203295">
      <w:r>
        <w:t>In modelling AusNet Services' allowed revenue for the 2017–22 regulatory control period</w:t>
      </w:r>
      <w:r w:rsidRPr="00151D2B">
        <w:t xml:space="preserve">, we have also accounted for forecast disposals of fleet assets which </w:t>
      </w:r>
      <w:r>
        <w:t xml:space="preserve">AusNet Services </w:t>
      </w:r>
      <w:r w:rsidRPr="00151D2B">
        <w:t xml:space="preserve">omitted from its </w:t>
      </w:r>
      <w:r w:rsidR="00880E37">
        <w:t>revenue proposal</w:t>
      </w:r>
      <w:r w:rsidRPr="00151D2B">
        <w:t>.</w:t>
      </w:r>
    </w:p>
    <w:p w:rsidR="00550F69" w:rsidRDefault="00550F69" w:rsidP="00550F69">
      <w:pPr>
        <w:pStyle w:val="Caption"/>
      </w:pPr>
      <w:proofErr w:type="gramStart"/>
      <w:r>
        <w:t xml:space="preserve">Table </w:t>
      </w:r>
      <w:r w:rsidRPr="00550F69">
        <w:fldChar w:fldCharType="begin"/>
      </w:r>
      <w:r>
        <w:instrText xml:space="preserve"> STYLEREF 1 \s </w:instrText>
      </w:r>
      <w:r w:rsidRPr="00550F69">
        <w:fldChar w:fldCharType="separate"/>
      </w:r>
      <w:r w:rsidR="00C60946">
        <w:rPr>
          <w:noProof/>
        </w:rPr>
        <w:t>6</w:t>
      </w:r>
      <w:r w:rsidRPr="00550F69">
        <w:fldChar w:fldCharType="end"/>
      </w:r>
      <w:r>
        <w:t>.</w:t>
      </w:r>
      <w:proofErr w:type="gramEnd"/>
      <w:r w:rsidRPr="00550F69">
        <w:fldChar w:fldCharType="begin"/>
      </w:r>
      <w:r>
        <w:instrText xml:space="preserve"> SEQ Table \* ARABIC \s 1 </w:instrText>
      </w:r>
      <w:r w:rsidRPr="00550F69">
        <w:fldChar w:fldCharType="separate"/>
      </w:r>
      <w:r w:rsidR="00C60946">
        <w:rPr>
          <w:noProof/>
        </w:rPr>
        <w:t>12</w:t>
      </w:r>
      <w:r w:rsidRPr="00550F69">
        <w:fldChar w:fldCharType="end"/>
      </w:r>
      <w:r>
        <w:tab/>
        <w:t>Final decision on AusNet Services' total forecast non-network capex ($2016-17</w:t>
      </w:r>
      <w:r w:rsidR="00E53C51">
        <w:t>, million</w:t>
      </w:r>
      <w:r w:rsidRPr="009B2021">
        <w:t>)</w:t>
      </w:r>
    </w:p>
    <w:tbl>
      <w:tblPr>
        <w:tblStyle w:val="AERtable-numbers"/>
        <w:tblW w:w="5000" w:type="pct"/>
        <w:tblLook w:val="04A0" w:firstRow="1" w:lastRow="0" w:firstColumn="1" w:lastColumn="0" w:noHBand="0" w:noVBand="1"/>
      </w:tblPr>
      <w:tblGrid>
        <w:gridCol w:w="3227"/>
        <w:gridCol w:w="913"/>
        <w:gridCol w:w="911"/>
        <w:gridCol w:w="911"/>
        <w:gridCol w:w="911"/>
        <w:gridCol w:w="911"/>
        <w:gridCol w:w="909"/>
      </w:tblGrid>
      <w:tr w:rsidR="00550F69" w:rsidRPr="00E54DCA" w:rsidTr="00551606">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56" w:type="pct"/>
          </w:tcPr>
          <w:p w:rsidR="00550F69" w:rsidRPr="0051264D" w:rsidRDefault="00550F69" w:rsidP="00550F69"/>
        </w:tc>
        <w:tc>
          <w:tcPr>
            <w:tcW w:w="525" w:type="pct"/>
          </w:tcPr>
          <w:p w:rsidR="00550F69" w:rsidRPr="00550F69" w:rsidRDefault="00550F69" w:rsidP="00550F69">
            <w:pPr>
              <w:cnfStyle w:val="100000000000" w:firstRow="1" w:lastRow="0" w:firstColumn="0" w:lastColumn="0" w:oddVBand="0" w:evenVBand="0" w:oddHBand="0" w:evenHBand="0" w:firstRowFirstColumn="0" w:firstRowLastColumn="0" w:lastRowFirstColumn="0" w:lastRowLastColumn="0"/>
            </w:pPr>
            <w:r w:rsidRPr="0051264D">
              <w:t>20</w:t>
            </w:r>
            <w:r>
              <w:t>17-</w:t>
            </w:r>
            <w:r w:rsidRPr="0051264D">
              <w:t>1</w:t>
            </w:r>
            <w:r w:rsidRPr="00550F69">
              <w:t>8</w:t>
            </w:r>
          </w:p>
        </w:tc>
        <w:tc>
          <w:tcPr>
            <w:tcW w:w="524" w:type="pct"/>
          </w:tcPr>
          <w:p w:rsidR="00550F69" w:rsidRPr="00550F69" w:rsidRDefault="00550F69" w:rsidP="00550F69">
            <w:pPr>
              <w:cnfStyle w:val="100000000000" w:firstRow="1" w:lastRow="0" w:firstColumn="0" w:lastColumn="0" w:oddVBand="0" w:evenVBand="0" w:oddHBand="0" w:evenHBand="0" w:firstRowFirstColumn="0" w:firstRowLastColumn="0" w:lastRowFirstColumn="0" w:lastRowLastColumn="0"/>
            </w:pPr>
            <w:r w:rsidRPr="0051264D">
              <w:t>20</w:t>
            </w:r>
            <w:r>
              <w:t>18-</w:t>
            </w:r>
            <w:r w:rsidRPr="0051264D">
              <w:t>1</w:t>
            </w:r>
            <w:r w:rsidRPr="00550F69">
              <w:t>9</w:t>
            </w:r>
          </w:p>
        </w:tc>
        <w:tc>
          <w:tcPr>
            <w:tcW w:w="524" w:type="pct"/>
          </w:tcPr>
          <w:p w:rsidR="00550F69" w:rsidRPr="00550F69" w:rsidRDefault="00550F69" w:rsidP="00550F69">
            <w:pPr>
              <w:cnfStyle w:val="100000000000" w:firstRow="1" w:lastRow="0" w:firstColumn="0" w:lastColumn="0" w:oddVBand="0" w:evenVBand="0" w:oddHBand="0" w:evenHBand="0" w:firstRowFirstColumn="0" w:firstRowLastColumn="0" w:lastRowFirstColumn="0" w:lastRowLastColumn="0"/>
            </w:pPr>
            <w:r w:rsidRPr="0051264D">
              <w:t>20</w:t>
            </w:r>
            <w:r>
              <w:t>19-</w:t>
            </w:r>
            <w:r w:rsidRPr="00550F69">
              <w:t>20</w:t>
            </w:r>
          </w:p>
        </w:tc>
        <w:tc>
          <w:tcPr>
            <w:tcW w:w="524" w:type="pct"/>
          </w:tcPr>
          <w:p w:rsidR="00550F69" w:rsidRPr="00550F69" w:rsidRDefault="00550F69" w:rsidP="00550F69">
            <w:pPr>
              <w:cnfStyle w:val="100000000000" w:firstRow="1" w:lastRow="0" w:firstColumn="0" w:lastColumn="0" w:oddVBand="0" w:evenVBand="0" w:oddHBand="0" w:evenHBand="0" w:firstRowFirstColumn="0" w:firstRowLastColumn="0" w:lastRowFirstColumn="0" w:lastRowLastColumn="0"/>
            </w:pPr>
            <w:r w:rsidRPr="0051264D">
              <w:t>20</w:t>
            </w:r>
            <w:r>
              <w:t>20-</w:t>
            </w:r>
            <w:r w:rsidRPr="00550F69">
              <w:t>21</w:t>
            </w:r>
          </w:p>
        </w:tc>
        <w:tc>
          <w:tcPr>
            <w:tcW w:w="524" w:type="pct"/>
          </w:tcPr>
          <w:p w:rsidR="00550F69" w:rsidRPr="00550F69" w:rsidRDefault="00550F69" w:rsidP="00550F69">
            <w:pPr>
              <w:cnfStyle w:val="100000000000" w:firstRow="1" w:lastRow="0" w:firstColumn="0" w:lastColumn="0" w:oddVBand="0" w:evenVBand="0" w:oddHBand="0" w:evenHBand="0" w:firstRowFirstColumn="0" w:firstRowLastColumn="0" w:lastRowFirstColumn="0" w:lastRowLastColumn="0"/>
            </w:pPr>
            <w:r w:rsidRPr="0051264D">
              <w:t>20</w:t>
            </w:r>
            <w:r>
              <w:t>21-</w:t>
            </w:r>
            <w:r w:rsidRPr="0051264D">
              <w:t>2</w:t>
            </w:r>
            <w:r w:rsidRPr="00550F69">
              <w:t>2</w:t>
            </w:r>
          </w:p>
        </w:tc>
        <w:tc>
          <w:tcPr>
            <w:tcW w:w="523" w:type="pct"/>
          </w:tcPr>
          <w:p w:rsidR="00550F69" w:rsidRPr="0051264D" w:rsidRDefault="00550F69" w:rsidP="00550F69">
            <w:pPr>
              <w:cnfStyle w:val="100000000000" w:firstRow="1" w:lastRow="0" w:firstColumn="0" w:lastColumn="0" w:oddVBand="0" w:evenVBand="0" w:oddHBand="0" w:evenHBand="0" w:firstRowFirstColumn="0" w:firstRowLastColumn="0" w:lastRowFirstColumn="0" w:lastRowLastColumn="0"/>
            </w:pPr>
            <w:r w:rsidRPr="0051264D">
              <w:t>Total</w:t>
            </w:r>
          </w:p>
        </w:tc>
      </w:tr>
      <w:tr w:rsidR="00550F69" w:rsidRPr="00E54DCA" w:rsidTr="00551606">
        <w:trPr>
          <w:trHeight w:val="569"/>
        </w:trPr>
        <w:tc>
          <w:tcPr>
            <w:cnfStyle w:val="001000000000" w:firstRow="0" w:lastRow="0" w:firstColumn="1" w:lastColumn="0" w:oddVBand="0" w:evenVBand="0" w:oddHBand="0" w:evenHBand="0" w:firstRowFirstColumn="0" w:firstRowLastColumn="0" w:lastRowFirstColumn="0" w:lastRowLastColumn="0"/>
            <w:tcW w:w="1856" w:type="pct"/>
          </w:tcPr>
          <w:p w:rsidR="00550F69" w:rsidRPr="00550F69" w:rsidRDefault="00E53C51" w:rsidP="00550F69">
            <w:r>
              <w:t>AusNet Services' proposal</w:t>
            </w:r>
          </w:p>
        </w:tc>
        <w:tc>
          <w:tcPr>
            <w:tcW w:w="525" w:type="pct"/>
          </w:tcPr>
          <w:p w:rsidR="00550F69" w:rsidRPr="00550F69" w:rsidRDefault="00550F69" w:rsidP="00550F69">
            <w:pPr>
              <w:cnfStyle w:val="000000000000" w:firstRow="0" w:lastRow="0" w:firstColumn="0" w:lastColumn="0" w:oddVBand="0" w:evenVBand="0" w:oddHBand="0" w:evenHBand="0" w:firstRowFirstColumn="0" w:firstRowLastColumn="0" w:lastRowFirstColumn="0" w:lastRowLastColumn="0"/>
            </w:pPr>
            <w:r>
              <w:t>29.3</w:t>
            </w:r>
          </w:p>
        </w:tc>
        <w:tc>
          <w:tcPr>
            <w:tcW w:w="524" w:type="pct"/>
          </w:tcPr>
          <w:p w:rsidR="00550F69" w:rsidRPr="00550F69" w:rsidRDefault="00550F69" w:rsidP="00550F69">
            <w:pPr>
              <w:cnfStyle w:val="000000000000" w:firstRow="0" w:lastRow="0" w:firstColumn="0" w:lastColumn="0" w:oddVBand="0" w:evenVBand="0" w:oddHBand="0" w:evenHBand="0" w:firstRowFirstColumn="0" w:firstRowLastColumn="0" w:lastRowFirstColumn="0" w:lastRowLastColumn="0"/>
            </w:pPr>
            <w:r>
              <w:t>27.1</w:t>
            </w:r>
          </w:p>
        </w:tc>
        <w:tc>
          <w:tcPr>
            <w:tcW w:w="524" w:type="pct"/>
          </w:tcPr>
          <w:p w:rsidR="00550F69" w:rsidRPr="00550F69" w:rsidRDefault="00550F69" w:rsidP="00550F69">
            <w:pPr>
              <w:cnfStyle w:val="000000000000" w:firstRow="0" w:lastRow="0" w:firstColumn="0" w:lastColumn="0" w:oddVBand="0" w:evenVBand="0" w:oddHBand="0" w:evenHBand="0" w:firstRowFirstColumn="0" w:firstRowLastColumn="0" w:lastRowFirstColumn="0" w:lastRowLastColumn="0"/>
            </w:pPr>
            <w:r>
              <w:t>18.3</w:t>
            </w:r>
          </w:p>
        </w:tc>
        <w:tc>
          <w:tcPr>
            <w:tcW w:w="524" w:type="pct"/>
          </w:tcPr>
          <w:p w:rsidR="00550F69" w:rsidRPr="00550F69" w:rsidRDefault="00550F69" w:rsidP="00550F69">
            <w:pPr>
              <w:cnfStyle w:val="000000000000" w:firstRow="0" w:lastRow="0" w:firstColumn="0" w:lastColumn="0" w:oddVBand="0" w:evenVBand="0" w:oddHBand="0" w:evenHBand="0" w:firstRowFirstColumn="0" w:firstRowLastColumn="0" w:lastRowFirstColumn="0" w:lastRowLastColumn="0"/>
            </w:pPr>
            <w:r>
              <w:t>16.0</w:t>
            </w:r>
          </w:p>
        </w:tc>
        <w:tc>
          <w:tcPr>
            <w:tcW w:w="524" w:type="pct"/>
          </w:tcPr>
          <w:p w:rsidR="00550F69" w:rsidRPr="00550F69" w:rsidRDefault="00550F69" w:rsidP="00550F69">
            <w:pPr>
              <w:cnfStyle w:val="000000000000" w:firstRow="0" w:lastRow="0" w:firstColumn="0" w:lastColumn="0" w:oddVBand="0" w:evenVBand="0" w:oddHBand="0" w:evenHBand="0" w:firstRowFirstColumn="0" w:firstRowLastColumn="0" w:lastRowFirstColumn="0" w:lastRowLastColumn="0"/>
            </w:pPr>
            <w:r>
              <w:t>15.2</w:t>
            </w:r>
          </w:p>
        </w:tc>
        <w:tc>
          <w:tcPr>
            <w:tcW w:w="523" w:type="pct"/>
          </w:tcPr>
          <w:p w:rsidR="00550F69" w:rsidRPr="00550F69" w:rsidRDefault="00550F69" w:rsidP="00550F69">
            <w:pPr>
              <w:cnfStyle w:val="000000000000" w:firstRow="0" w:lastRow="0" w:firstColumn="0" w:lastColumn="0" w:oddVBand="0" w:evenVBand="0" w:oddHBand="0" w:evenHBand="0" w:firstRowFirstColumn="0" w:firstRowLastColumn="0" w:lastRowFirstColumn="0" w:lastRowLastColumn="0"/>
            </w:pPr>
            <w:r>
              <w:t>105.8</w:t>
            </w:r>
          </w:p>
        </w:tc>
      </w:tr>
      <w:tr w:rsidR="00E53C51" w:rsidRPr="00E54DCA" w:rsidTr="00551606">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56" w:type="pct"/>
          </w:tcPr>
          <w:p w:rsidR="00E53C51" w:rsidRPr="0051264D" w:rsidRDefault="00E53C51" w:rsidP="00550F69">
            <w:r>
              <w:t>CPI adjustment</w:t>
            </w:r>
          </w:p>
        </w:tc>
        <w:tc>
          <w:tcPr>
            <w:tcW w:w="525" w:type="pct"/>
          </w:tcPr>
          <w:p w:rsidR="00E53C51" w:rsidRDefault="00E53C51" w:rsidP="00550F69">
            <w:pPr>
              <w:cnfStyle w:val="000000010000" w:firstRow="0" w:lastRow="0" w:firstColumn="0" w:lastColumn="0" w:oddVBand="0" w:evenVBand="0" w:oddHBand="0" w:evenHBand="1" w:firstRowFirstColumn="0" w:firstRowLastColumn="0" w:lastRowFirstColumn="0" w:lastRowLastColumn="0"/>
            </w:pPr>
            <w:r>
              <w:t>-0.5</w:t>
            </w:r>
          </w:p>
        </w:tc>
        <w:tc>
          <w:tcPr>
            <w:tcW w:w="524" w:type="pct"/>
          </w:tcPr>
          <w:p w:rsidR="00E53C51" w:rsidRDefault="00E53C51" w:rsidP="00550F69">
            <w:pPr>
              <w:cnfStyle w:val="000000010000" w:firstRow="0" w:lastRow="0" w:firstColumn="0" w:lastColumn="0" w:oddVBand="0" w:evenVBand="0" w:oddHBand="0" w:evenHBand="1" w:firstRowFirstColumn="0" w:firstRowLastColumn="0" w:lastRowFirstColumn="0" w:lastRowLastColumn="0"/>
            </w:pPr>
            <w:r>
              <w:t>-0.5</w:t>
            </w:r>
          </w:p>
        </w:tc>
        <w:tc>
          <w:tcPr>
            <w:tcW w:w="524" w:type="pct"/>
          </w:tcPr>
          <w:p w:rsidR="00E53C51" w:rsidRDefault="00E53C51" w:rsidP="00550F69">
            <w:pPr>
              <w:cnfStyle w:val="000000010000" w:firstRow="0" w:lastRow="0" w:firstColumn="0" w:lastColumn="0" w:oddVBand="0" w:evenVBand="0" w:oddHBand="0" w:evenHBand="1" w:firstRowFirstColumn="0" w:firstRowLastColumn="0" w:lastRowFirstColumn="0" w:lastRowLastColumn="0"/>
            </w:pPr>
            <w:r>
              <w:t>-0.3</w:t>
            </w:r>
          </w:p>
        </w:tc>
        <w:tc>
          <w:tcPr>
            <w:tcW w:w="524" w:type="pct"/>
          </w:tcPr>
          <w:p w:rsidR="00E53C51" w:rsidRDefault="00E53C51" w:rsidP="00550F69">
            <w:pPr>
              <w:cnfStyle w:val="000000010000" w:firstRow="0" w:lastRow="0" w:firstColumn="0" w:lastColumn="0" w:oddVBand="0" w:evenVBand="0" w:oddHBand="0" w:evenHBand="1" w:firstRowFirstColumn="0" w:firstRowLastColumn="0" w:lastRowFirstColumn="0" w:lastRowLastColumn="0"/>
            </w:pPr>
            <w:r>
              <w:t>-0.3</w:t>
            </w:r>
          </w:p>
        </w:tc>
        <w:tc>
          <w:tcPr>
            <w:tcW w:w="524" w:type="pct"/>
          </w:tcPr>
          <w:p w:rsidR="00E53C51" w:rsidRDefault="00E53C51" w:rsidP="00550F69">
            <w:pPr>
              <w:cnfStyle w:val="000000010000" w:firstRow="0" w:lastRow="0" w:firstColumn="0" w:lastColumn="0" w:oddVBand="0" w:evenVBand="0" w:oddHBand="0" w:evenHBand="1" w:firstRowFirstColumn="0" w:firstRowLastColumn="0" w:lastRowFirstColumn="0" w:lastRowLastColumn="0"/>
            </w:pPr>
            <w:r>
              <w:t>-0.3</w:t>
            </w:r>
          </w:p>
        </w:tc>
        <w:tc>
          <w:tcPr>
            <w:tcW w:w="523" w:type="pct"/>
          </w:tcPr>
          <w:p w:rsidR="00E53C51" w:rsidRDefault="00E53C51" w:rsidP="00550F69">
            <w:pPr>
              <w:cnfStyle w:val="000000010000" w:firstRow="0" w:lastRow="0" w:firstColumn="0" w:lastColumn="0" w:oddVBand="0" w:evenVBand="0" w:oddHBand="0" w:evenHBand="1" w:firstRowFirstColumn="0" w:firstRowLastColumn="0" w:lastRowFirstColumn="0" w:lastRowLastColumn="0"/>
            </w:pPr>
            <w:r>
              <w:t>-1.9</w:t>
            </w:r>
          </w:p>
        </w:tc>
      </w:tr>
      <w:tr w:rsidR="00E53C51" w:rsidRPr="00E54DCA" w:rsidTr="00551606">
        <w:trPr>
          <w:trHeight w:val="569"/>
        </w:trPr>
        <w:tc>
          <w:tcPr>
            <w:cnfStyle w:val="001000000000" w:firstRow="0" w:lastRow="0" w:firstColumn="1" w:lastColumn="0" w:oddVBand="0" w:evenVBand="0" w:oddHBand="0" w:evenHBand="0" w:firstRowFirstColumn="0" w:firstRowLastColumn="0" w:lastRowFirstColumn="0" w:lastRowLastColumn="0"/>
            <w:tcW w:w="1856" w:type="pct"/>
          </w:tcPr>
          <w:p w:rsidR="00E53C51" w:rsidRDefault="00E53C51" w:rsidP="00550F69">
            <w:r>
              <w:t>AusNet Services' proposal</w:t>
            </w:r>
          </w:p>
          <w:p w:rsidR="00E53C51" w:rsidRPr="0051264D" w:rsidRDefault="00E53C51" w:rsidP="00550F69">
            <w:r>
              <w:t>(CPI adjusted)</w:t>
            </w:r>
          </w:p>
        </w:tc>
        <w:tc>
          <w:tcPr>
            <w:tcW w:w="525" w:type="pct"/>
          </w:tcPr>
          <w:p w:rsidR="00E53C51" w:rsidRDefault="00E53C51" w:rsidP="00550F69">
            <w:pPr>
              <w:cnfStyle w:val="000000000000" w:firstRow="0" w:lastRow="0" w:firstColumn="0" w:lastColumn="0" w:oddVBand="0" w:evenVBand="0" w:oddHBand="0" w:evenHBand="0" w:firstRowFirstColumn="0" w:firstRowLastColumn="0" w:lastRowFirstColumn="0" w:lastRowLastColumn="0"/>
            </w:pPr>
            <w:r>
              <w:t>28.8</w:t>
            </w:r>
          </w:p>
        </w:tc>
        <w:tc>
          <w:tcPr>
            <w:tcW w:w="524" w:type="pct"/>
          </w:tcPr>
          <w:p w:rsidR="00E53C51" w:rsidRDefault="00E53C51" w:rsidP="00550F69">
            <w:pPr>
              <w:cnfStyle w:val="000000000000" w:firstRow="0" w:lastRow="0" w:firstColumn="0" w:lastColumn="0" w:oddVBand="0" w:evenVBand="0" w:oddHBand="0" w:evenHBand="0" w:firstRowFirstColumn="0" w:firstRowLastColumn="0" w:lastRowFirstColumn="0" w:lastRowLastColumn="0"/>
            </w:pPr>
            <w:r>
              <w:t>26.6</w:t>
            </w:r>
          </w:p>
        </w:tc>
        <w:tc>
          <w:tcPr>
            <w:tcW w:w="524" w:type="pct"/>
          </w:tcPr>
          <w:p w:rsidR="00E53C51" w:rsidRDefault="00E53C51" w:rsidP="00550F69">
            <w:pPr>
              <w:cnfStyle w:val="000000000000" w:firstRow="0" w:lastRow="0" w:firstColumn="0" w:lastColumn="0" w:oddVBand="0" w:evenVBand="0" w:oddHBand="0" w:evenHBand="0" w:firstRowFirstColumn="0" w:firstRowLastColumn="0" w:lastRowFirstColumn="0" w:lastRowLastColumn="0"/>
            </w:pPr>
            <w:r>
              <w:t>18.0</w:t>
            </w:r>
          </w:p>
        </w:tc>
        <w:tc>
          <w:tcPr>
            <w:tcW w:w="524" w:type="pct"/>
          </w:tcPr>
          <w:p w:rsidR="00E53C51" w:rsidRDefault="00E53C51" w:rsidP="00550F69">
            <w:pPr>
              <w:cnfStyle w:val="000000000000" w:firstRow="0" w:lastRow="0" w:firstColumn="0" w:lastColumn="0" w:oddVBand="0" w:evenVBand="0" w:oddHBand="0" w:evenHBand="0" w:firstRowFirstColumn="0" w:firstRowLastColumn="0" w:lastRowFirstColumn="0" w:lastRowLastColumn="0"/>
            </w:pPr>
            <w:r>
              <w:t>15.7</w:t>
            </w:r>
          </w:p>
        </w:tc>
        <w:tc>
          <w:tcPr>
            <w:tcW w:w="524" w:type="pct"/>
          </w:tcPr>
          <w:p w:rsidR="00E53C51" w:rsidRDefault="00E53C51" w:rsidP="00550F69">
            <w:pPr>
              <w:cnfStyle w:val="000000000000" w:firstRow="0" w:lastRow="0" w:firstColumn="0" w:lastColumn="0" w:oddVBand="0" w:evenVBand="0" w:oddHBand="0" w:evenHBand="0" w:firstRowFirstColumn="0" w:firstRowLastColumn="0" w:lastRowFirstColumn="0" w:lastRowLastColumn="0"/>
            </w:pPr>
            <w:r>
              <w:t>14.9</w:t>
            </w:r>
          </w:p>
        </w:tc>
        <w:tc>
          <w:tcPr>
            <w:tcW w:w="523" w:type="pct"/>
          </w:tcPr>
          <w:p w:rsidR="00E53C51" w:rsidRDefault="00E53C51" w:rsidP="00550F69">
            <w:pPr>
              <w:cnfStyle w:val="000000000000" w:firstRow="0" w:lastRow="0" w:firstColumn="0" w:lastColumn="0" w:oddVBand="0" w:evenVBand="0" w:oddHBand="0" w:evenHBand="0" w:firstRowFirstColumn="0" w:firstRowLastColumn="0" w:lastRowFirstColumn="0" w:lastRowLastColumn="0"/>
            </w:pPr>
            <w:r>
              <w:t>104.0</w:t>
            </w:r>
          </w:p>
        </w:tc>
      </w:tr>
      <w:tr w:rsidR="00F45E80" w:rsidRPr="00E54DCA" w:rsidTr="00551606">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56" w:type="pct"/>
          </w:tcPr>
          <w:p w:rsidR="00F45E80" w:rsidRPr="00F45E80" w:rsidRDefault="00F45E80" w:rsidP="00F45E80">
            <w:r>
              <w:t xml:space="preserve">Non CPI </w:t>
            </w:r>
            <w:r w:rsidR="00444343">
              <w:t>a</w:t>
            </w:r>
            <w:r w:rsidRPr="00F45E80">
              <w:t>djustment</w:t>
            </w:r>
          </w:p>
        </w:tc>
        <w:tc>
          <w:tcPr>
            <w:tcW w:w="525" w:type="pct"/>
          </w:tcPr>
          <w:p w:rsidR="00F45E80" w:rsidRPr="00F45E80" w:rsidRDefault="00F45E80" w:rsidP="00F45E80">
            <w:pPr>
              <w:cnfStyle w:val="000000010000" w:firstRow="0" w:lastRow="0" w:firstColumn="0" w:lastColumn="0" w:oddVBand="0" w:evenVBand="0" w:oddHBand="0" w:evenHBand="1" w:firstRowFirstColumn="0" w:firstRowLastColumn="0" w:lastRowFirstColumn="0" w:lastRowLastColumn="0"/>
            </w:pPr>
            <w:r>
              <w:t>-</w:t>
            </w:r>
            <w:r w:rsidRPr="00F45E80">
              <w:t>1.4</w:t>
            </w:r>
          </w:p>
        </w:tc>
        <w:tc>
          <w:tcPr>
            <w:tcW w:w="524" w:type="pct"/>
          </w:tcPr>
          <w:p w:rsidR="00F45E80" w:rsidRPr="00F45E80" w:rsidRDefault="00F45E80" w:rsidP="00F45E80">
            <w:pPr>
              <w:cnfStyle w:val="000000010000" w:firstRow="0" w:lastRow="0" w:firstColumn="0" w:lastColumn="0" w:oddVBand="0" w:evenVBand="0" w:oddHBand="0" w:evenHBand="1" w:firstRowFirstColumn="0" w:firstRowLastColumn="0" w:lastRowFirstColumn="0" w:lastRowLastColumn="0"/>
            </w:pPr>
            <w:r>
              <w:t>-</w:t>
            </w:r>
            <w:r w:rsidRPr="00F45E80">
              <w:t>1.3</w:t>
            </w:r>
          </w:p>
        </w:tc>
        <w:tc>
          <w:tcPr>
            <w:tcW w:w="524" w:type="pct"/>
          </w:tcPr>
          <w:p w:rsidR="00F45E80" w:rsidRPr="00F45E80" w:rsidRDefault="00F45E80" w:rsidP="00F45E80">
            <w:pPr>
              <w:cnfStyle w:val="000000010000" w:firstRow="0" w:lastRow="0" w:firstColumn="0" w:lastColumn="0" w:oddVBand="0" w:evenVBand="0" w:oddHBand="0" w:evenHBand="1" w:firstRowFirstColumn="0" w:firstRowLastColumn="0" w:lastRowFirstColumn="0" w:lastRowLastColumn="0"/>
            </w:pPr>
            <w:r>
              <w:t>-</w:t>
            </w:r>
            <w:r w:rsidRPr="00F45E80">
              <w:t>0.7</w:t>
            </w:r>
          </w:p>
        </w:tc>
        <w:tc>
          <w:tcPr>
            <w:tcW w:w="524" w:type="pct"/>
          </w:tcPr>
          <w:p w:rsidR="00F45E80" w:rsidRPr="00F45E80" w:rsidRDefault="00F45E80" w:rsidP="00F45E80">
            <w:pPr>
              <w:cnfStyle w:val="000000010000" w:firstRow="0" w:lastRow="0" w:firstColumn="0" w:lastColumn="0" w:oddVBand="0" w:evenVBand="0" w:oddHBand="0" w:evenHBand="1" w:firstRowFirstColumn="0" w:firstRowLastColumn="0" w:lastRowFirstColumn="0" w:lastRowLastColumn="0"/>
            </w:pPr>
            <w:r>
              <w:t>-</w:t>
            </w:r>
            <w:r w:rsidRPr="00F45E80">
              <w:t>0.6</w:t>
            </w:r>
          </w:p>
        </w:tc>
        <w:tc>
          <w:tcPr>
            <w:tcW w:w="524" w:type="pct"/>
          </w:tcPr>
          <w:p w:rsidR="00F45E80" w:rsidRPr="00F45E80" w:rsidRDefault="00F45E80" w:rsidP="00F45E80">
            <w:pPr>
              <w:cnfStyle w:val="000000010000" w:firstRow="0" w:lastRow="0" w:firstColumn="0" w:lastColumn="0" w:oddVBand="0" w:evenVBand="0" w:oddHBand="0" w:evenHBand="1" w:firstRowFirstColumn="0" w:firstRowLastColumn="0" w:lastRowFirstColumn="0" w:lastRowLastColumn="0"/>
            </w:pPr>
            <w:r>
              <w:t>-</w:t>
            </w:r>
            <w:r w:rsidRPr="00F45E80">
              <w:t>0.5</w:t>
            </w:r>
          </w:p>
        </w:tc>
        <w:tc>
          <w:tcPr>
            <w:tcW w:w="523" w:type="pct"/>
          </w:tcPr>
          <w:p w:rsidR="00F45E80" w:rsidRPr="00F45E80" w:rsidRDefault="00F45E80" w:rsidP="00F45E80">
            <w:pPr>
              <w:cnfStyle w:val="000000010000" w:firstRow="0" w:lastRow="0" w:firstColumn="0" w:lastColumn="0" w:oddVBand="0" w:evenVBand="0" w:oddHBand="0" w:evenHBand="1" w:firstRowFirstColumn="0" w:firstRowLastColumn="0" w:lastRowFirstColumn="0" w:lastRowLastColumn="0"/>
            </w:pPr>
            <w:r>
              <w:t>-</w:t>
            </w:r>
            <w:r w:rsidRPr="00F45E80">
              <w:t>4.6</w:t>
            </w:r>
          </w:p>
        </w:tc>
      </w:tr>
      <w:tr w:rsidR="00F45E80" w:rsidRPr="00E54DCA" w:rsidTr="00551606">
        <w:trPr>
          <w:trHeight w:val="569"/>
        </w:trPr>
        <w:tc>
          <w:tcPr>
            <w:cnfStyle w:val="001000000000" w:firstRow="0" w:lastRow="0" w:firstColumn="1" w:lastColumn="0" w:oddVBand="0" w:evenVBand="0" w:oddHBand="0" w:evenHBand="0" w:firstRowFirstColumn="0" w:firstRowLastColumn="0" w:lastRowFirstColumn="0" w:lastRowLastColumn="0"/>
            <w:tcW w:w="1856" w:type="pct"/>
          </w:tcPr>
          <w:p w:rsidR="00F45E80" w:rsidRPr="00F45E80" w:rsidRDefault="00F45E80" w:rsidP="00F45E80">
            <w:pPr>
              <w:rPr>
                <w:rStyle w:val="Strong"/>
              </w:rPr>
            </w:pPr>
            <w:r w:rsidRPr="00E53C51">
              <w:rPr>
                <w:rStyle w:val="Strong"/>
              </w:rPr>
              <w:t xml:space="preserve">AER </w:t>
            </w:r>
            <w:r w:rsidRPr="00F45E80">
              <w:rPr>
                <w:rStyle w:val="Strong"/>
              </w:rPr>
              <w:t>draft decision</w:t>
            </w:r>
          </w:p>
        </w:tc>
        <w:tc>
          <w:tcPr>
            <w:tcW w:w="525"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rPr>
                <w:rStyle w:val="Strong"/>
              </w:rPr>
            </w:pPr>
            <w:r w:rsidRPr="00E53C51">
              <w:rPr>
                <w:rStyle w:val="Strong"/>
              </w:rPr>
              <w:t>27.4</w:t>
            </w:r>
          </w:p>
        </w:tc>
        <w:tc>
          <w:tcPr>
            <w:tcW w:w="524"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rPr>
                <w:rStyle w:val="Strong"/>
              </w:rPr>
            </w:pPr>
            <w:r w:rsidRPr="00E53C51">
              <w:rPr>
                <w:rStyle w:val="Strong"/>
              </w:rPr>
              <w:t>25.3</w:t>
            </w:r>
          </w:p>
        </w:tc>
        <w:tc>
          <w:tcPr>
            <w:tcW w:w="524"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rPr>
                <w:rStyle w:val="Strong"/>
              </w:rPr>
            </w:pPr>
            <w:r w:rsidRPr="00E53C51">
              <w:rPr>
                <w:rStyle w:val="Strong"/>
              </w:rPr>
              <w:t>17.2</w:t>
            </w:r>
          </w:p>
        </w:tc>
        <w:tc>
          <w:tcPr>
            <w:tcW w:w="524"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rPr>
                <w:rStyle w:val="Strong"/>
              </w:rPr>
            </w:pPr>
            <w:r w:rsidRPr="00E53C51">
              <w:rPr>
                <w:rStyle w:val="Strong"/>
              </w:rPr>
              <w:t>15.1</w:t>
            </w:r>
          </w:p>
        </w:tc>
        <w:tc>
          <w:tcPr>
            <w:tcW w:w="524"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rPr>
                <w:rStyle w:val="Strong"/>
              </w:rPr>
            </w:pPr>
            <w:r w:rsidRPr="00E53C51">
              <w:rPr>
                <w:rStyle w:val="Strong"/>
              </w:rPr>
              <w:t>14.4</w:t>
            </w:r>
          </w:p>
        </w:tc>
        <w:tc>
          <w:tcPr>
            <w:tcW w:w="523"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rPr>
                <w:rStyle w:val="Strong"/>
              </w:rPr>
            </w:pPr>
            <w:r w:rsidRPr="00E53C51">
              <w:rPr>
                <w:rStyle w:val="Strong"/>
              </w:rPr>
              <w:t>99.4</w:t>
            </w:r>
          </w:p>
        </w:tc>
      </w:tr>
      <w:tr w:rsidR="00F45E80" w:rsidRPr="00E54DCA" w:rsidTr="00551606">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56" w:type="pct"/>
          </w:tcPr>
          <w:p w:rsidR="00F45E80" w:rsidRPr="00F45E80" w:rsidRDefault="00444343" w:rsidP="00444343">
            <w:r>
              <w:t>Total a</w:t>
            </w:r>
            <w:r w:rsidR="00F45E80" w:rsidRPr="00F45E80">
              <w:t>djustment</w:t>
            </w:r>
          </w:p>
        </w:tc>
        <w:tc>
          <w:tcPr>
            <w:tcW w:w="525" w:type="pct"/>
          </w:tcPr>
          <w:p w:rsidR="00F45E80" w:rsidRPr="00F45E80" w:rsidRDefault="00444343" w:rsidP="00F45E80">
            <w:pPr>
              <w:cnfStyle w:val="000000010000" w:firstRow="0" w:lastRow="0" w:firstColumn="0" w:lastColumn="0" w:oddVBand="0" w:evenVBand="0" w:oddHBand="0" w:evenHBand="1" w:firstRowFirstColumn="0" w:firstRowLastColumn="0" w:lastRowFirstColumn="0" w:lastRowLastColumn="0"/>
            </w:pPr>
            <w:r>
              <w:t>-1.9</w:t>
            </w:r>
          </w:p>
        </w:tc>
        <w:tc>
          <w:tcPr>
            <w:tcW w:w="524" w:type="pct"/>
          </w:tcPr>
          <w:p w:rsidR="00F45E80" w:rsidRPr="00F45E80" w:rsidRDefault="00444343" w:rsidP="00F45E80">
            <w:pPr>
              <w:cnfStyle w:val="000000010000" w:firstRow="0" w:lastRow="0" w:firstColumn="0" w:lastColumn="0" w:oddVBand="0" w:evenVBand="0" w:oddHBand="0" w:evenHBand="1" w:firstRowFirstColumn="0" w:firstRowLastColumn="0" w:lastRowFirstColumn="0" w:lastRowLastColumn="0"/>
            </w:pPr>
            <w:r>
              <w:t>-1.8</w:t>
            </w:r>
          </w:p>
        </w:tc>
        <w:tc>
          <w:tcPr>
            <w:tcW w:w="524" w:type="pct"/>
          </w:tcPr>
          <w:p w:rsidR="00F45E80" w:rsidRPr="00F45E80" w:rsidRDefault="00444343" w:rsidP="00F45E80">
            <w:pPr>
              <w:cnfStyle w:val="000000010000" w:firstRow="0" w:lastRow="0" w:firstColumn="0" w:lastColumn="0" w:oddVBand="0" w:evenVBand="0" w:oddHBand="0" w:evenHBand="1" w:firstRowFirstColumn="0" w:firstRowLastColumn="0" w:lastRowFirstColumn="0" w:lastRowLastColumn="0"/>
            </w:pPr>
            <w:r>
              <w:t>-1.1</w:t>
            </w:r>
          </w:p>
        </w:tc>
        <w:tc>
          <w:tcPr>
            <w:tcW w:w="524" w:type="pct"/>
          </w:tcPr>
          <w:p w:rsidR="00F45E80" w:rsidRPr="00F45E80" w:rsidRDefault="00444343" w:rsidP="00F45E80">
            <w:pPr>
              <w:cnfStyle w:val="000000010000" w:firstRow="0" w:lastRow="0" w:firstColumn="0" w:lastColumn="0" w:oddVBand="0" w:evenVBand="0" w:oddHBand="0" w:evenHBand="1" w:firstRowFirstColumn="0" w:firstRowLastColumn="0" w:lastRowFirstColumn="0" w:lastRowLastColumn="0"/>
            </w:pPr>
            <w:r>
              <w:t>-0.9</w:t>
            </w:r>
          </w:p>
        </w:tc>
        <w:tc>
          <w:tcPr>
            <w:tcW w:w="524" w:type="pct"/>
          </w:tcPr>
          <w:p w:rsidR="00F45E80" w:rsidRPr="00F45E80" w:rsidRDefault="00444343" w:rsidP="00F45E80">
            <w:pPr>
              <w:cnfStyle w:val="000000010000" w:firstRow="0" w:lastRow="0" w:firstColumn="0" w:lastColumn="0" w:oddVBand="0" w:evenVBand="0" w:oddHBand="0" w:evenHBand="1" w:firstRowFirstColumn="0" w:firstRowLastColumn="0" w:lastRowFirstColumn="0" w:lastRowLastColumn="0"/>
            </w:pPr>
            <w:r>
              <w:t>-0.8</w:t>
            </w:r>
          </w:p>
        </w:tc>
        <w:tc>
          <w:tcPr>
            <w:tcW w:w="523" w:type="pct"/>
          </w:tcPr>
          <w:p w:rsidR="00F45E80" w:rsidRPr="00F45E80" w:rsidRDefault="00444343" w:rsidP="00F45E80">
            <w:pPr>
              <w:cnfStyle w:val="000000010000" w:firstRow="0" w:lastRow="0" w:firstColumn="0" w:lastColumn="0" w:oddVBand="0" w:evenVBand="0" w:oddHBand="0" w:evenHBand="1" w:firstRowFirstColumn="0" w:firstRowLastColumn="0" w:lastRowFirstColumn="0" w:lastRowLastColumn="0"/>
            </w:pPr>
            <w:r>
              <w:t>-6.5</w:t>
            </w:r>
          </w:p>
        </w:tc>
      </w:tr>
      <w:tr w:rsidR="00F45E80" w:rsidRPr="00E54DCA" w:rsidTr="00551606">
        <w:trPr>
          <w:trHeight w:val="569"/>
        </w:trPr>
        <w:tc>
          <w:tcPr>
            <w:cnfStyle w:val="001000000000" w:firstRow="0" w:lastRow="0" w:firstColumn="1" w:lastColumn="0" w:oddVBand="0" w:evenVBand="0" w:oddHBand="0" w:evenHBand="0" w:firstRowFirstColumn="0" w:firstRowLastColumn="0" w:lastRowFirstColumn="0" w:lastRowLastColumn="0"/>
            <w:tcW w:w="1856" w:type="pct"/>
          </w:tcPr>
          <w:p w:rsidR="00F45E80" w:rsidRPr="00F45E80" w:rsidRDefault="00444343" w:rsidP="00F45E80">
            <w:r>
              <w:t>Total a</w:t>
            </w:r>
            <w:r w:rsidR="00F45E80" w:rsidRPr="00F45E80">
              <w:t>djustment (%)</w:t>
            </w:r>
          </w:p>
        </w:tc>
        <w:tc>
          <w:tcPr>
            <w:tcW w:w="525"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pPr>
            <w:r>
              <w:t>-6.6</w:t>
            </w:r>
            <w:r w:rsidRPr="00F45E80">
              <w:t>%</w:t>
            </w:r>
          </w:p>
        </w:tc>
        <w:tc>
          <w:tcPr>
            <w:tcW w:w="524"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pPr>
            <w:r>
              <w:t>-6.5</w:t>
            </w:r>
            <w:r w:rsidRPr="00F45E80">
              <w:t>%</w:t>
            </w:r>
          </w:p>
        </w:tc>
        <w:tc>
          <w:tcPr>
            <w:tcW w:w="524"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pPr>
            <w:r>
              <w:t>-5.9</w:t>
            </w:r>
            <w:r w:rsidRPr="00F45E80">
              <w:t>%</w:t>
            </w:r>
          </w:p>
        </w:tc>
        <w:tc>
          <w:tcPr>
            <w:tcW w:w="524"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pPr>
            <w:r>
              <w:t>-5.7</w:t>
            </w:r>
            <w:r w:rsidRPr="00F45E80">
              <w:t>%</w:t>
            </w:r>
          </w:p>
        </w:tc>
        <w:tc>
          <w:tcPr>
            <w:tcW w:w="524"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pPr>
            <w:r>
              <w:t>-5.2</w:t>
            </w:r>
            <w:r w:rsidRPr="00F45E80">
              <w:t>%</w:t>
            </w:r>
          </w:p>
        </w:tc>
        <w:tc>
          <w:tcPr>
            <w:tcW w:w="523" w:type="pct"/>
          </w:tcPr>
          <w:p w:rsidR="00F45E80" w:rsidRPr="00F45E80" w:rsidRDefault="00F45E80" w:rsidP="00F45E80">
            <w:pPr>
              <w:cnfStyle w:val="000000000000" w:firstRow="0" w:lastRow="0" w:firstColumn="0" w:lastColumn="0" w:oddVBand="0" w:evenVBand="0" w:oddHBand="0" w:evenHBand="0" w:firstRowFirstColumn="0" w:firstRowLastColumn="0" w:lastRowFirstColumn="0" w:lastRowLastColumn="0"/>
            </w:pPr>
            <w:r>
              <w:t>-6</w:t>
            </w:r>
            <w:r w:rsidRPr="00F45E80">
              <w:t>.1%</w:t>
            </w:r>
          </w:p>
        </w:tc>
      </w:tr>
    </w:tbl>
    <w:p w:rsidR="00550F69" w:rsidRPr="0051264D" w:rsidRDefault="00550F69" w:rsidP="0086515B">
      <w:pPr>
        <w:pStyle w:val="AERtablesource"/>
      </w:pPr>
      <w:r>
        <w:t>Source</w:t>
      </w:r>
      <w:r w:rsidRPr="0051264D">
        <w:t xml:space="preserve">: </w:t>
      </w:r>
      <w:r w:rsidRPr="0051264D">
        <w:tab/>
        <w:t xml:space="preserve">AER analysis. </w:t>
      </w:r>
    </w:p>
    <w:p w:rsidR="00550F69" w:rsidRPr="00151D2B" w:rsidRDefault="00550F69" w:rsidP="00F45E80">
      <w:pPr>
        <w:pStyle w:val="AERtablesource"/>
      </w:pPr>
      <w:r w:rsidRPr="0051264D">
        <w:t xml:space="preserve">Note: </w:t>
      </w:r>
      <w:r w:rsidRPr="0051264D">
        <w:tab/>
        <w:t>Numbers may not add up due to rounding.</w:t>
      </w:r>
    </w:p>
    <w:p w:rsidR="00203295" w:rsidRDefault="00203295" w:rsidP="00203295">
      <w:pPr>
        <w:pStyle w:val="Heading9"/>
      </w:pPr>
      <w:bookmarkStart w:id="107" w:name="_Toc433520839"/>
      <w:bookmarkStart w:id="108" w:name="_Toc456608824"/>
      <w:r>
        <w:lastRenderedPageBreak/>
        <w:t>AusNet Services' proposal</w:t>
      </w:r>
      <w:bookmarkEnd w:id="107"/>
      <w:bookmarkEnd w:id="108"/>
    </w:p>
    <w:p w:rsidR="005C117A" w:rsidRPr="005C117A" w:rsidRDefault="005C117A" w:rsidP="005C117A">
      <w:r>
        <w:t xml:space="preserve">AusNet Services proposed $105.8 million ($2016–17) for non-network capex in the 2017–22 regulatory control </w:t>
      </w:r>
      <w:proofErr w:type="gramStart"/>
      <w:r>
        <w:t>period</w:t>
      </w:r>
      <w:proofErr w:type="gramEnd"/>
      <w:r>
        <w:t>, compared to $100.1 million in the previous five year period.</w:t>
      </w:r>
      <w:r>
        <w:rPr>
          <w:rStyle w:val="FootnoteReference"/>
        </w:rPr>
        <w:footnoteReference w:id="125"/>
      </w:r>
      <w:r>
        <w:t xml:space="preserve"> The majority of the forecast non-network capex ($79.5 million or 75 per cent) is ICT capex.</w:t>
      </w:r>
    </w:p>
    <w:p w:rsidR="00203295" w:rsidRDefault="00203295" w:rsidP="00203295">
      <w:r>
        <w:fldChar w:fldCharType="begin"/>
      </w:r>
      <w:r>
        <w:instrText xml:space="preserve"> REF _Ref413408669 \h </w:instrText>
      </w:r>
      <w:r>
        <w:fldChar w:fldCharType="separate"/>
      </w:r>
      <w:r w:rsidR="00C60946">
        <w:t xml:space="preserve">Figure </w:t>
      </w:r>
      <w:r w:rsidR="00C60946">
        <w:rPr>
          <w:noProof/>
        </w:rPr>
        <w:t>6</w:t>
      </w:r>
      <w:r w:rsidR="00C60946">
        <w:t>.</w:t>
      </w:r>
      <w:r w:rsidR="00C60946">
        <w:rPr>
          <w:noProof/>
        </w:rPr>
        <w:t>11</w:t>
      </w:r>
      <w:r>
        <w:fldChar w:fldCharType="end"/>
      </w:r>
      <w:r>
        <w:t xml:space="preserve"> </w:t>
      </w:r>
      <w:proofErr w:type="gramStart"/>
      <w:r>
        <w:t>shows</w:t>
      </w:r>
      <w:proofErr w:type="gramEnd"/>
      <w:r>
        <w:t xml:space="preserve"> AusNet Services' actual and expected non-network capex for the period from 2003–04 to 2016–17, and forecast capex for the 2017–22 regulatory control period.</w:t>
      </w:r>
    </w:p>
    <w:p w:rsidR="00203295" w:rsidRDefault="00203295" w:rsidP="00203295">
      <w:pPr>
        <w:pStyle w:val="Caption"/>
      </w:pPr>
      <w:bookmarkStart w:id="109" w:name="_Ref413408669"/>
      <w:proofErr w:type="gramStart"/>
      <w:r>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11</w:t>
      </w:r>
      <w:r w:rsidR="00735181">
        <w:rPr>
          <w:noProof/>
        </w:rPr>
        <w:fldChar w:fldCharType="end"/>
      </w:r>
      <w:bookmarkEnd w:id="109"/>
      <w:r w:rsidR="00F46587">
        <w:tab/>
      </w:r>
      <w:r>
        <w:t>AusNet Services' non-network capex ($</w:t>
      </w:r>
      <w:r w:rsidR="00432031">
        <w:t>2016-17</w:t>
      </w:r>
      <w:r>
        <w:t>)</w:t>
      </w:r>
    </w:p>
    <w:p w:rsidR="00203295" w:rsidRPr="000D7174" w:rsidRDefault="00203295" w:rsidP="00203295">
      <w:r w:rsidRPr="00203295">
        <w:rPr>
          <w:noProof/>
          <w:lang w:eastAsia="en-AU"/>
        </w:rPr>
        <w:drawing>
          <wp:inline distT="0" distB="0" distL="0" distR="0" wp14:anchorId="58FA45E6" wp14:editId="14587A39">
            <wp:extent cx="5382895" cy="312939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129392"/>
                    </a:xfrm>
                    <a:prstGeom prst="rect">
                      <a:avLst/>
                    </a:prstGeom>
                    <a:noFill/>
                    <a:ln>
                      <a:noFill/>
                    </a:ln>
                  </pic:spPr>
                </pic:pic>
              </a:graphicData>
            </a:graphic>
          </wp:inline>
        </w:drawing>
      </w:r>
    </w:p>
    <w:p w:rsidR="00203295" w:rsidRDefault="00203295" w:rsidP="00203295">
      <w:pPr>
        <w:pStyle w:val="AERtablesource"/>
      </w:pPr>
      <w:r>
        <w:t>Source:</w:t>
      </w:r>
      <w:r>
        <w:tab/>
        <w:t xml:space="preserve">AusNet Services, </w:t>
      </w:r>
      <w:r w:rsidRPr="00221CC9">
        <w:rPr>
          <w:rStyle w:val="AERtextitalic"/>
        </w:rPr>
        <w:t>Regulatory information notice</w:t>
      </w:r>
      <w:r>
        <w:t>, template 2.6; AusNet Services</w:t>
      </w:r>
      <w:r w:rsidRPr="008D3A7B">
        <w:t xml:space="preserve">, </w:t>
      </w:r>
      <w:r w:rsidRPr="008D3A7B">
        <w:rPr>
          <w:rStyle w:val="AERtextitalic"/>
        </w:rPr>
        <w:t>Category Analysis RIN 2014</w:t>
      </w:r>
      <w:r>
        <w:rPr>
          <w:rStyle w:val="AERtextitalic"/>
        </w:rPr>
        <w:t>–15</w:t>
      </w:r>
      <w:r w:rsidRPr="008D3A7B">
        <w:t>, template 2.6</w:t>
      </w:r>
      <w:r>
        <w:t>; AusNet Services</w:t>
      </w:r>
      <w:r w:rsidRPr="008D3A7B">
        <w:t xml:space="preserve">, </w:t>
      </w:r>
      <w:r>
        <w:rPr>
          <w:rStyle w:val="AERtextitalic"/>
        </w:rPr>
        <w:t>Category Analysis RIN 2013–14</w:t>
      </w:r>
      <w:r w:rsidRPr="008D3A7B">
        <w:t>, template 2.6</w:t>
      </w:r>
      <w:r>
        <w:t>; AusNet Services</w:t>
      </w:r>
      <w:r w:rsidRPr="008D3A7B">
        <w:t xml:space="preserve">, </w:t>
      </w:r>
      <w:r>
        <w:rPr>
          <w:rStyle w:val="AERtextitalic"/>
        </w:rPr>
        <w:t>Category Analysis RIN 2008–13</w:t>
      </w:r>
      <w:r w:rsidRPr="008D3A7B">
        <w:t>, template 2.6</w:t>
      </w:r>
      <w:r>
        <w:t xml:space="preserve">; SP AusNet, </w:t>
      </w:r>
      <w:r w:rsidRPr="00B67506">
        <w:rPr>
          <w:rStyle w:val="AERtextitalic"/>
        </w:rPr>
        <w:t>Cost information templates, Historic capex by category</w:t>
      </w:r>
      <w:r>
        <w:t xml:space="preserve">, February 2007; AER analysis. </w:t>
      </w:r>
    </w:p>
    <w:p w:rsidR="00203295" w:rsidRDefault="00203295" w:rsidP="00203295">
      <w:r>
        <w:t xml:space="preserve">AusNet Services' forecast non-network capex for the 2017–22 regulatory control period is, on average, 8 per cent higher per year than </w:t>
      </w:r>
      <w:r w:rsidRPr="009300F0">
        <w:t>actua</w:t>
      </w:r>
      <w:r>
        <w:t>l and expected capex in the 2014</w:t>
      </w:r>
      <w:r w:rsidR="00300F01">
        <w:t>–</w:t>
      </w:r>
      <w:r>
        <w:t>17</w:t>
      </w:r>
      <w:r w:rsidRPr="009300F0">
        <w:t xml:space="preserve"> regulatory control </w:t>
      </w:r>
      <w:proofErr w:type="gramStart"/>
      <w:r w:rsidRPr="009300F0">
        <w:t>period</w:t>
      </w:r>
      <w:proofErr w:type="gramEnd"/>
      <w:r w:rsidRPr="009300F0">
        <w:t>.</w:t>
      </w:r>
      <w:r>
        <w:rPr>
          <w:rStyle w:val="FootnoteReference"/>
        </w:rPr>
        <w:footnoteReference w:id="126"/>
      </w:r>
      <w:r>
        <w:t xml:space="preserve"> </w:t>
      </w:r>
    </w:p>
    <w:p w:rsidR="00203295" w:rsidRDefault="00203295" w:rsidP="00203295">
      <w:r w:rsidRPr="000F6D69">
        <w:lastRenderedPageBreak/>
        <w:t>Our analysis of longer term trends in non-network capex sug</w:t>
      </w:r>
      <w:r>
        <w:t xml:space="preserve">gests that AusNet Services has </w:t>
      </w:r>
      <w:r w:rsidRPr="000F6D69">
        <w:t xml:space="preserve">forecast capex </w:t>
      </w:r>
      <w:r>
        <w:t>returning over time to levels consistent with average historical expenditure</w:t>
      </w:r>
      <w:r w:rsidRPr="000C1152">
        <w:t xml:space="preserve"> </w:t>
      </w:r>
      <w:r w:rsidRPr="000F6D69">
        <w:t>for t</w:t>
      </w:r>
      <w:r>
        <w:t>his category. Non-network capex for the final three years of the 2017–22</w:t>
      </w:r>
      <w:r w:rsidRPr="000C1152">
        <w:t xml:space="preserve"> </w:t>
      </w:r>
      <w:r>
        <w:t xml:space="preserve">regulatory control </w:t>
      </w:r>
      <w:proofErr w:type="gramStart"/>
      <w:r>
        <w:t>period</w:t>
      </w:r>
      <w:proofErr w:type="gramEnd"/>
      <w:r w:rsidRPr="000C1152">
        <w:t xml:space="preserve"> is forecast to be consistent wit</w:t>
      </w:r>
      <w:r>
        <w:t>h average expenditure in the years prior to the 2014</w:t>
      </w:r>
      <w:r w:rsidRPr="000C1152">
        <w:t>–</w:t>
      </w:r>
      <w:r>
        <w:t>17 regulatory control period. However, n</w:t>
      </w:r>
      <w:r w:rsidRPr="000F6D69">
        <w:t>on</w:t>
      </w:r>
      <w:r w:rsidR="0016280B">
        <w:noBreakHyphen/>
      </w:r>
      <w:r w:rsidRPr="000F6D69">
        <w:t xml:space="preserve">network capex in </w:t>
      </w:r>
      <w:r>
        <w:t xml:space="preserve">the first two years of the 2017–22 regulatory control </w:t>
      </w:r>
      <w:proofErr w:type="gramStart"/>
      <w:r>
        <w:t>period</w:t>
      </w:r>
      <w:proofErr w:type="gramEnd"/>
      <w:r w:rsidRPr="000F6D69">
        <w:t xml:space="preserve"> is forecast to </w:t>
      </w:r>
      <w:r>
        <w:t>be higher than expenditure in any year since 2005–06.</w:t>
      </w:r>
      <w:r w:rsidRPr="005342A0">
        <w:t xml:space="preserve"> </w:t>
      </w:r>
      <w:r w:rsidR="00BB103F">
        <w:t>This profile appears to contribute to the 'front-loading' of total capex within the regulatory control period noted by the CCP.</w:t>
      </w:r>
      <w:r w:rsidR="00BB103F">
        <w:rPr>
          <w:rStyle w:val="FootnoteReference"/>
        </w:rPr>
        <w:footnoteReference w:id="127"/>
      </w:r>
      <w:r w:rsidR="00BB103F">
        <w:t xml:space="preserve"> </w:t>
      </w:r>
      <w:r w:rsidRPr="003B3501">
        <w:t>We therefore</w:t>
      </w:r>
      <w:r>
        <w:t xml:space="preserve"> consider that AusNet Services'</w:t>
      </w:r>
      <w:r w:rsidRPr="003B3501">
        <w:t xml:space="preserve"> forecast non-network capex program warrants further review to confirm the need </w:t>
      </w:r>
      <w:r>
        <w:t>for and timing of</w:t>
      </w:r>
      <w:r w:rsidRPr="003B3501">
        <w:t xml:space="preserve"> the proposed expenditure</w:t>
      </w:r>
      <w:r>
        <w:t>, with particular focus on the 2017–18 and 2018–19 years</w:t>
      </w:r>
      <w:r w:rsidRPr="003B3501">
        <w:t>.</w:t>
      </w:r>
    </w:p>
    <w:p w:rsidR="00203295" w:rsidRDefault="00203295" w:rsidP="00203295">
      <w:r>
        <w:t xml:space="preserve">We have assessed forecast expenditure in each category of non-network capex. Analysis at this level </w:t>
      </w:r>
      <w:r w:rsidRPr="008606EB">
        <w:t>has been used to inform our view of whether forecast capex is reasonable relative to historical rates</w:t>
      </w:r>
      <w:r>
        <w:t xml:space="preserve"> </w:t>
      </w:r>
      <w:r w:rsidRPr="008606EB">
        <w:t>of expenditure in each category, and to identify trends in the different category forecasts which may</w:t>
      </w:r>
      <w:r>
        <w:t xml:space="preserve"> warrant further review.</w:t>
      </w:r>
      <w:r>
        <w:rPr>
          <w:rStyle w:val="FootnoteReference"/>
        </w:rPr>
        <w:footnoteReference w:id="128"/>
      </w:r>
      <w:r>
        <w:t xml:space="preserve"> </w:t>
      </w:r>
      <w:r w:rsidRPr="00F42CFE">
        <w:fldChar w:fldCharType="begin"/>
      </w:r>
      <w:r>
        <w:instrText xml:space="preserve"> REF _Ref413742894 </w:instrText>
      </w:r>
      <w:r w:rsidRPr="00F42CFE">
        <w:fldChar w:fldCharType="separate"/>
      </w:r>
      <w:r w:rsidR="00C60946" w:rsidRPr="009242A5">
        <w:t xml:space="preserve">Figure </w:t>
      </w:r>
      <w:r w:rsidR="00C60946">
        <w:rPr>
          <w:noProof/>
        </w:rPr>
        <w:t>6</w:t>
      </w:r>
      <w:r w:rsidR="00C60946">
        <w:t>.</w:t>
      </w:r>
      <w:r w:rsidR="00C60946">
        <w:rPr>
          <w:noProof/>
        </w:rPr>
        <w:t>12</w:t>
      </w:r>
      <w:r w:rsidRPr="00F42CFE">
        <w:fldChar w:fldCharType="end"/>
      </w:r>
      <w:r>
        <w:t xml:space="preserve"> shows AusNet Services' actual and forecast non-network capex by sub-category for the period from 2008 to 2022.</w:t>
      </w:r>
    </w:p>
    <w:p w:rsidR="00203295" w:rsidRDefault="00203295" w:rsidP="00203295">
      <w:pPr>
        <w:pStyle w:val="Caption"/>
      </w:pPr>
      <w:bookmarkStart w:id="110" w:name="_Ref413742894"/>
      <w:proofErr w:type="gramStart"/>
      <w:r w:rsidRPr="009242A5">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12</w:t>
      </w:r>
      <w:r w:rsidR="00735181">
        <w:rPr>
          <w:noProof/>
        </w:rPr>
        <w:fldChar w:fldCharType="end"/>
      </w:r>
      <w:bookmarkEnd w:id="110"/>
      <w:r w:rsidR="00F46587">
        <w:tab/>
      </w:r>
      <w:r>
        <w:t>AusNet Services'</w:t>
      </w:r>
      <w:r w:rsidRPr="009242A5">
        <w:t xml:space="preserve"> non-network </w:t>
      </w:r>
      <w:r>
        <w:t>capex by category ($</w:t>
      </w:r>
      <w:r w:rsidR="00432031">
        <w:t xml:space="preserve">2016-17, </w:t>
      </w:r>
      <w:r>
        <w:t>million)</w:t>
      </w:r>
    </w:p>
    <w:p w:rsidR="00203295" w:rsidRDefault="00203295" w:rsidP="00203295">
      <w:r w:rsidRPr="00203295">
        <w:rPr>
          <w:noProof/>
          <w:lang w:eastAsia="en-AU"/>
        </w:rPr>
        <w:drawing>
          <wp:inline distT="0" distB="0" distL="0" distR="0" wp14:anchorId="2155A53D" wp14:editId="6DB0E867">
            <wp:extent cx="5382895" cy="31117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111725"/>
                    </a:xfrm>
                    <a:prstGeom prst="rect">
                      <a:avLst/>
                    </a:prstGeom>
                    <a:noFill/>
                    <a:ln>
                      <a:noFill/>
                    </a:ln>
                  </pic:spPr>
                </pic:pic>
              </a:graphicData>
            </a:graphic>
          </wp:inline>
        </w:drawing>
      </w:r>
    </w:p>
    <w:p w:rsidR="00203295" w:rsidRDefault="00203295" w:rsidP="00203295">
      <w:pPr>
        <w:pStyle w:val="AERtablesource"/>
      </w:pPr>
      <w:r>
        <w:t>Source:</w:t>
      </w:r>
      <w:r>
        <w:tab/>
        <w:t xml:space="preserve">AusNet Services, </w:t>
      </w:r>
      <w:r w:rsidRPr="00221CC9">
        <w:rPr>
          <w:rStyle w:val="AERtextitalic"/>
        </w:rPr>
        <w:t>Regulatory information notice</w:t>
      </w:r>
      <w:r>
        <w:t>, template 2.6; AusNet Services</w:t>
      </w:r>
      <w:r w:rsidRPr="008D3A7B">
        <w:t xml:space="preserve">, </w:t>
      </w:r>
      <w:r w:rsidRPr="008D3A7B">
        <w:rPr>
          <w:rStyle w:val="AERtextitalic"/>
        </w:rPr>
        <w:t>Category Analysis RIN 2014</w:t>
      </w:r>
      <w:r>
        <w:rPr>
          <w:rStyle w:val="AERtextitalic"/>
        </w:rPr>
        <w:t>–15</w:t>
      </w:r>
      <w:r w:rsidRPr="008D3A7B">
        <w:t>, template 2.6</w:t>
      </w:r>
      <w:r>
        <w:t>; AusNet Services</w:t>
      </w:r>
      <w:r w:rsidRPr="008D3A7B">
        <w:t xml:space="preserve">, </w:t>
      </w:r>
      <w:r>
        <w:rPr>
          <w:rStyle w:val="AERtextitalic"/>
        </w:rPr>
        <w:t>Category Analysis RIN 2013–14</w:t>
      </w:r>
      <w:r w:rsidRPr="008D3A7B">
        <w:t>, template 2.6</w:t>
      </w:r>
      <w:r>
        <w:t>; AusNet Services</w:t>
      </w:r>
      <w:r w:rsidRPr="008D3A7B">
        <w:t xml:space="preserve">, </w:t>
      </w:r>
      <w:r>
        <w:rPr>
          <w:rStyle w:val="AERtextitalic"/>
        </w:rPr>
        <w:t>Category Analysis RIN 2008–13</w:t>
      </w:r>
      <w:r w:rsidRPr="008D3A7B">
        <w:t>, template 2.6</w:t>
      </w:r>
      <w:r>
        <w:t>; AER analysis.</w:t>
      </w:r>
    </w:p>
    <w:p w:rsidR="00E81602" w:rsidRDefault="00203295" w:rsidP="00203295">
      <w:r>
        <w:lastRenderedPageBreak/>
        <w:t xml:space="preserve">AusNet Services has forecast ICT capex at historically high levels in the first two years of the 2017–22 regulatory control </w:t>
      </w:r>
      <w:proofErr w:type="gramStart"/>
      <w:r>
        <w:t>period</w:t>
      </w:r>
      <w:proofErr w:type="gramEnd"/>
      <w:r>
        <w:t xml:space="preserve">. This is driving the overall spike in non-network capex in those years </w:t>
      </w:r>
      <w:r w:rsidR="00680351">
        <w:t>shown</w:t>
      </w:r>
      <w:r>
        <w:t xml:space="preserve"> in </w:t>
      </w:r>
      <w:fldSimple w:instr=" REF _Ref413408669 ">
        <w:r w:rsidR="00C60946">
          <w:t xml:space="preserve">Figure </w:t>
        </w:r>
        <w:r w:rsidR="00C60946">
          <w:rPr>
            <w:noProof/>
          </w:rPr>
          <w:t>6</w:t>
        </w:r>
        <w:r w:rsidR="00C60946">
          <w:t>.</w:t>
        </w:r>
        <w:r w:rsidR="00C60946">
          <w:rPr>
            <w:noProof/>
          </w:rPr>
          <w:t>11</w:t>
        </w:r>
      </w:fldSimple>
      <w:r>
        <w:t xml:space="preserve">. </w:t>
      </w:r>
      <w:r w:rsidR="00E81602">
        <w:t xml:space="preserve">The EUCV expressed concern that </w:t>
      </w:r>
      <w:r w:rsidR="006776CB">
        <w:t>AusNet Services</w:t>
      </w:r>
      <w:r w:rsidR="00E81602">
        <w:t xml:space="preserve"> considers that the IT capex used in the current period (or even the previous period) provides an argument to continue such projects at the same level of expenditure as in the past.</w:t>
      </w:r>
      <w:r w:rsidR="00E81602">
        <w:rPr>
          <w:rStyle w:val="FootnoteReference"/>
        </w:rPr>
        <w:footnoteReference w:id="129"/>
      </w:r>
    </w:p>
    <w:p w:rsidR="00203295" w:rsidRDefault="00203295" w:rsidP="00203295">
      <w:r>
        <w:t>Forecast capex for motor vehicles is expected to increase by 83 per cent in the 2017</w:t>
      </w:r>
      <w:r w:rsidR="000B70AB">
        <w:noBreakHyphen/>
      </w:r>
      <w:r>
        <w:t>22 regulatory control period, continuing a trend evident in previous regulatory control periods. In contrast, AusNet Services has forecast tools and equipment capex in line with the long term average (revealed cost) expenditure in this category, and a substantial reduction in buildings and property capex in the 201</w:t>
      </w:r>
      <w:r w:rsidR="00E81602">
        <w:t xml:space="preserve">7–22 regulatory control </w:t>
      </w:r>
      <w:proofErr w:type="gramStart"/>
      <w:r w:rsidR="00E81602">
        <w:t>period</w:t>
      </w:r>
      <w:proofErr w:type="gramEnd"/>
      <w:r w:rsidR="00E81602">
        <w:t>.</w:t>
      </w:r>
    </w:p>
    <w:p w:rsidR="00203295" w:rsidRDefault="00203295" w:rsidP="00203295">
      <w:r w:rsidRPr="001C6E1C">
        <w:t xml:space="preserve">We undertook a detailed review of the justification for </w:t>
      </w:r>
      <w:r>
        <w:t>AusNet Services'</w:t>
      </w:r>
      <w:r w:rsidRPr="001C6E1C">
        <w:t xml:space="preserve"> forecast I</w:t>
      </w:r>
      <w:r>
        <w:t xml:space="preserve">CT and motor vehicles </w:t>
      </w:r>
      <w:r w:rsidRPr="001C6E1C">
        <w:t xml:space="preserve">capex to confirm the need and timing of the forecast expenditure. </w:t>
      </w:r>
      <w:r w:rsidRPr="00B43853">
        <w:t xml:space="preserve">We have assessed </w:t>
      </w:r>
      <w:r>
        <w:t>AusNet Services' forecast</w:t>
      </w:r>
      <w:r w:rsidRPr="00B43853">
        <w:t xml:space="preserve"> capex using both trend analysis and individual</w:t>
      </w:r>
      <w:r>
        <w:t xml:space="preserve"> project review where relevant</w:t>
      </w:r>
      <w:r w:rsidRPr="00B43853">
        <w:t>. In our trend analysis, we have compared the proposed expenditure to historic expenditure, and sought to understand the reasons for material differences in forecast expenditure. In doing so, we have considered the underlying drivers of expendi</w:t>
      </w:r>
      <w:r>
        <w:t>ture. For example, in relation to ICT capex we have considered</w:t>
      </w:r>
      <w:r w:rsidRPr="00B43853">
        <w:t xml:space="preserve"> the investment lifecycle stage the busi</w:t>
      </w:r>
      <w:r>
        <w:t>ness is in and its particular</w:t>
      </w:r>
      <w:r w:rsidRPr="00B43853">
        <w:t xml:space="preserve"> needs</w:t>
      </w:r>
      <w:r>
        <w:t xml:space="preserve"> in the forthcoming period</w:t>
      </w:r>
      <w:r w:rsidRPr="00B43853">
        <w:t xml:space="preserve">. Where we have decided to review individual projects or programs, we have examined any business cases and other supporting documentation provided by </w:t>
      </w:r>
      <w:r w:rsidR="006776CB">
        <w:t>AusNet Services</w:t>
      </w:r>
      <w:r w:rsidRPr="00B43853">
        <w:t xml:space="preserve"> to assess whether the expenditure reasonably reflects the capex criteria.</w:t>
      </w:r>
      <w:r>
        <w:t xml:space="preserve"> </w:t>
      </w:r>
      <w:r w:rsidRPr="001C6E1C">
        <w:t>Our conclusions are summarised below.</w:t>
      </w:r>
    </w:p>
    <w:p w:rsidR="00407535" w:rsidRDefault="009524D2" w:rsidP="009524D2">
      <w:pPr>
        <w:pStyle w:val="Heading9"/>
      </w:pPr>
      <w:bookmarkStart w:id="111" w:name="_Toc456608825"/>
      <w:r>
        <w:t>Information and communications technology capex</w:t>
      </w:r>
      <w:bookmarkEnd w:id="111"/>
    </w:p>
    <w:p w:rsidR="0024086C" w:rsidRDefault="0024086C" w:rsidP="0024086C">
      <w:r w:rsidRPr="00A4657B">
        <w:t xml:space="preserve">AusNet Services proposed $79.5 million ($2016–17, escalated, excluding overheads) for ICT capex for the 2017–22 regulatory control </w:t>
      </w:r>
      <w:proofErr w:type="gramStart"/>
      <w:r w:rsidRPr="00A4657B">
        <w:t>period</w:t>
      </w:r>
      <w:proofErr w:type="gramEnd"/>
      <w:r w:rsidRPr="00A4657B">
        <w:t>.</w:t>
      </w:r>
      <w:r>
        <w:t xml:space="preserve"> This is a 2.4 per cent increase above the $77.6 million for the previous five years (2012–17). We do not accept this proposed forecast and instead substitute an amount of $73.</w:t>
      </w:r>
      <w:r w:rsidR="0048127C">
        <w:t xml:space="preserve">3 </w:t>
      </w:r>
      <w:r>
        <w:t>million for the reasons below.</w:t>
      </w:r>
    </w:p>
    <w:p w:rsidR="0024086C" w:rsidRDefault="0024086C" w:rsidP="0024086C">
      <w:r>
        <w:t>We analysed the longer term trend for ICT capex which suggests that AusNet Services has forecast capex for this category at levels that are generally higher than the period prior to 2010, but similar to more recent years. We then conducted individual project reviews.</w:t>
      </w:r>
    </w:p>
    <w:p w:rsidR="0024086C" w:rsidRDefault="0024086C" w:rsidP="0024086C">
      <w:r>
        <w:t xml:space="preserve">In its </w:t>
      </w:r>
      <w:r w:rsidR="00880E37">
        <w:t>revenue proposal</w:t>
      </w:r>
      <w:r>
        <w:t>, AusNet Services provided a brief outline of its proposed ICT capex forecast, which was then further substantiated by its ICT Strategy.</w:t>
      </w:r>
      <w:r>
        <w:rPr>
          <w:rStyle w:val="FootnoteReference"/>
        </w:rPr>
        <w:footnoteReference w:id="130"/>
      </w:r>
      <w:r>
        <w:t xml:space="preserve"> However, </w:t>
      </w:r>
      <w:r w:rsidR="00581B96">
        <w:t xml:space="preserve">we considered </w:t>
      </w:r>
      <w:r>
        <w:t xml:space="preserve">these two documents did not provide enough material to justify AusNet </w:t>
      </w:r>
      <w:r>
        <w:lastRenderedPageBreak/>
        <w:t>Services’ proposed ICT capex forecast. Therefore, we sought further information from AusNet Services, including requesting business cases, cost benefit analyses, supporting information, and the breakdown of costs between transmission and distribution networks.</w:t>
      </w:r>
      <w:r>
        <w:rPr>
          <w:rStyle w:val="FootnoteReference"/>
        </w:rPr>
        <w:footnoteReference w:id="131"/>
      </w:r>
      <w:r>
        <w:t xml:space="preserve"> In response to this request, AusNet Services provided project justifications for ‘a range of forecast projects which provide key details pertaining to the planned portfolio of work’ and submitted that it did not currently have any approved business cases for its forecast ICT capex.</w:t>
      </w:r>
      <w:r>
        <w:rPr>
          <w:rStyle w:val="FootnoteReference"/>
        </w:rPr>
        <w:footnoteReference w:id="132"/>
      </w:r>
    </w:p>
    <w:p w:rsidR="00581B96" w:rsidRDefault="00581B96" w:rsidP="0024086C">
      <w:r>
        <w:t>We re</w:t>
      </w:r>
      <w:r w:rsidR="00C9117C">
        <w:t xml:space="preserve">viewed AusNet Services ICT </w:t>
      </w:r>
      <w:r>
        <w:t>across its distribution and transmission businesses as well as transmission specific ICT capex.</w:t>
      </w:r>
    </w:p>
    <w:p w:rsidR="0024086C" w:rsidRDefault="0024086C" w:rsidP="0024086C">
      <w:r>
        <w:t>AusNet Services shares its ICT services across its transmission, electricity distribution and gas distribution businesses. Of the proposed $79.5 mi</w:t>
      </w:r>
      <w:r w:rsidR="00300F01">
        <w:t>llion, $62.2 million, or 78 per </w:t>
      </w:r>
      <w:r>
        <w:t>cent, is for projects that are shared with AusNet Services distribution businesses.</w:t>
      </w:r>
      <w:r>
        <w:rPr>
          <w:rStyle w:val="FootnoteReference"/>
        </w:rPr>
        <w:footnoteReference w:id="133"/>
      </w:r>
      <w:r>
        <w:t xml:space="preserve"> We assessed this expenditure as part of the reset process for AusNet Services distribution and found that it was prudent and efficient.</w:t>
      </w:r>
      <w:r w:rsidR="005707B3">
        <w:rPr>
          <w:rStyle w:val="FootnoteReference"/>
        </w:rPr>
        <w:footnoteReference w:id="134"/>
      </w:r>
      <w:r>
        <w:t xml:space="preserve"> We have reviewed the expenditure proposed by AusNet Services in it</w:t>
      </w:r>
      <w:r w:rsidR="00581B96">
        <w:t>s</w:t>
      </w:r>
      <w:r>
        <w:t xml:space="preserve"> transmission proposal and </w:t>
      </w:r>
      <w:r w:rsidR="005A12A3">
        <w:t>also</w:t>
      </w:r>
      <w:r>
        <w:t xml:space="preserve"> consider this expenditure to be prudent and efficient. We have included it in our alternative estimate.</w:t>
      </w:r>
    </w:p>
    <w:p w:rsidR="0024086C" w:rsidRDefault="0024086C" w:rsidP="0024086C">
      <w:r>
        <w:t>We also reviewed the transmission specific ICT cape</w:t>
      </w:r>
      <w:r w:rsidR="00BB103F">
        <w:t>x projects which total $17.3 </w:t>
      </w:r>
      <w:r>
        <w:t>million.</w:t>
      </w:r>
      <w:r>
        <w:rPr>
          <w:rStyle w:val="FootnoteReference"/>
        </w:rPr>
        <w:footnoteReference w:id="135"/>
      </w:r>
      <w:r>
        <w:t xml:space="preserve"> </w:t>
      </w:r>
      <w:r w:rsidR="006A3A5C">
        <w:t xml:space="preserve">Where AusNet Services provided sufficient justification for the expenditure, we accept that proposed forecast </w:t>
      </w:r>
      <w:r w:rsidR="00916F9E">
        <w:t>capex.</w:t>
      </w:r>
      <w:r w:rsidR="006A3A5C">
        <w:t xml:space="preserve"> </w:t>
      </w:r>
      <w:r>
        <w:t>AusNet Services’ response to our information request provided further information regarding the transmissions specific projects, including the split between recurrent and non-recurrent expenditure and some project justifications.</w:t>
      </w:r>
      <w:r>
        <w:rPr>
          <w:rStyle w:val="FootnoteReference"/>
        </w:rPr>
        <w:footnoteReference w:id="136"/>
      </w:r>
      <w:r>
        <w:t xml:space="preserve"> This information provided sufficient justification for most of AusNet Services’ forecast ICT capex. </w:t>
      </w:r>
    </w:p>
    <w:p w:rsidR="0024086C" w:rsidRDefault="0024086C" w:rsidP="00752EB8">
      <w:r>
        <w:t xml:space="preserve">However, </w:t>
      </w:r>
      <w:r w:rsidR="006A3A5C" w:rsidRPr="006A3A5C">
        <w:t>we substitute</w:t>
      </w:r>
      <w:r w:rsidR="006A3A5C">
        <w:t>d</w:t>
      </w:r>
      <w:r w:rsidR="006A3A5C" w:rsidRPr="006A3A5C">
        <w:t xml:space="preserve"> an amount of $11.7 million</w:t>
      </w:r>
      <w:r w:rsidR="006A3A5C">
        <w:t>,</w:t>
      </w:r>
      <w:r w:rsidR="006A3A5C" w:rsidRPr="006A3A5C">
        <w:t xml:space="preserve"> </w:t>
      </w:r>
      <w:r w:rsidR="006A3A5C">
        <w:t>on the basis that AusNet Services did not provide further</w:t>
      </w:r>
      <w:r>
        <w:t xml:space="preserve"> information for </w:t>
      </w:r>
      <w:r w:rsidR="000059F5">
        <w:t xml:space="preserve">a number of </w:t>
      </w:r>
      <w:r>
        <w:t xml:space="preserve">transmission specific projects that are non-recurrent expenditure. </w:t>
      </w:r>
      <w:r w:rsidR="000059F5">
        <w:t xml:space="preserve">The specific projects are discussed </w:t>
      </w:r>
      <w:r w:rsidR="000059F5" w:rsidRPr="00752EB8">
        <w:t xml:space="preserve">in confidential appendix </w:t>
      </w:r>
      <w:r w:rsidR="00C60946">
        <w:fldChar w:fldCharType="begin"/>
      </w:r>
      <w:r w:rsidR="00C60946">
        <w:instrText xml:space="preserve"> REF _Ref456358144 \r </w:instrText>
      </w:r>
      <w:r w:rsidR="00C60946">
        <w:fldChar w:fldCharType="separate"/>
      </w:r>
      <w:r w:rsidR="00C60946">
        <w:t>F</w:t>
      </w:r>
      <w:r w:rsidR="00C60946">
        <w:fldChar w:fldCharType="end"/>
      </w:r>
      <w:r w:rsidR="000059F5" w:rsidRPr="00752EB8">
        <w:t>. The</w:t>
      </w:r>
      <w:r w:rsidR="000059F5">
        <w:t xml:space="preserve"> projects are</w:t>
      </w:r>
      <w:r>
        <w:t xml:space="preserve"> mentioned briefly in the ICT Strategy and in the spreadsheet providing the project breakdown, but no project justifications or business cases have been provided.</w:t>
      </w:r>
      <w:r>
        <w:rPr>
          <w:rStyle w:val="FootnoteReference"/>
        </w:rPr>
        <w:footnoteReference w:id="137"/>
      </w:r>
      <w:r>
        <w:t xml:space="preserve"> In the absence of any project justifications, it is not clear </w:t>
      </w:r>
      <w:r w:rsidR="00300F01">
        <w:t>why</w:t>
      </w:r>
      <w:r>
        <w:t xml:space="preserve"> these proje</w:t>
      </w:r>
      <w:r w:rsidR="00300F01">
        <w:t>cts are</w:t>
      </w:r>
      <w:r>
        <w:t xml:space="preserve"> required to achieve the capital expenditure objectives.</w:t>
      </w:r>
      <w:r>
        <w:rPr>
          <w:rStyle w:val="FootnoteReference"/>
        </w:rPr>
        <w:footnoteReference w:id="138"/>
      </w:r>
      <w:r>
        <w:t xml:space="preserve"> </w:t>
      </w:r>
      <w:r>
        <w:lastRenderedPageBreak/>
        <w:t>Therefore, we have not included an amount for these projects in our alternative capex estimate. If AusNet Services provides further information on these projects in its revised proposal, we will consider that information and assess whether the expenditure is necessary to achieve the capital expenditure objectives in the NER.</w:t>
      </w:r>
    </w:p>
    <w:p w:rsidR="0024086C" w:rsidRDefault="0024086C" w:rsidP="0024086C">
      <w:r>
        <w:t>In summary, we have included $73.</w:t>
      </w:r>
      <w:r w:rsidR="00B67203">
        <w:t xml:space="preserve">3 </w:t>
      </w:r>
      <w:r>
        <w:t>million for ICT capex in our alternative capex forecast. This includes an amount for the shared ICT projects with AusNet Services’ distribution businesses and an amount for the transmission specific projects.</w:t>
      </w:r>
    </w:p>
    <w:p w:rsidR="00407535" w:rsidRPr="009524D2" w:rsidRDefault="00407535" w:rsidP="00203295">
      <w:pPr>
        <w:pStyle w:val="Heading9"/>
        <w:rPr>
          <w:rStyle w:val="AERtextitalic"/>
          <w:i w:val="0"/>
        </w:rPr>
      </w:pPr>
      <w:bookmarkStart w:id="112" w:name="_Toc456608826"/>
      <w:r w:rsidRPr="00203295">
        <w:rPr>
          <w:rStyle w:val="AERtextitalic"/>
          <w:i w:val="0"/>
        </w:rPr>
        <w:t>Fleet</w:t>
      </w:r>
      <w:r w:rsidR="009524D2" w:rsidRPr="009524D2">
        <w:rPr>
          <w:rStyle w:val="AERtextitalic"/>
          <w:i w:val="0"/>
        </w:rPr>
        <w:t xml:space="preserve"> capex</w:t>
      </w:r>
      <w:bookmarkEnd w:id="112"/>
    </w:p>
    <w:p w:rsidR="00203295" w:rsidRDefault="00407535" w:rsidP="00407535">
      <w:r>
        <w:t xml:space="preserve">AusNet Services </w:t>
      </w:r>
      <w:r w:rsidRPr="00CC6883">
        <w:t>proposed fleet capex of $</w:t>
      </w:r>
      <w:r>
        <w:t>9.2</w:t>
      </w:r>
      <w:r w:rsidRPr="00CC6883">
        <w:t xml:space="preserve"> million (</w:t>
      </w:r>
      <w:r>
        <w:t>2016-</w:t>
      </w:r>
      <w:r w:rsidR="00203295">
        <w:t>17) for the 2017–</w:t>
      </w:r>
      <w:r w:rsidRPr="00CC6883">
        <w:t xml:space="preserve">22 regulatory control </w:t>
      </w:r>
      <w:proofErr w:type="gramStart"/>
      <w:r w:rsidRPr="00CC6883">
        <w:t>period</w:t>
      </w:r>
      <w:proofErr w:type="gramEnd"/>
      <w:r w:rsidRPr="00CC6883">
        <w:t>.</w:t>
      </w:r>
      <w:r>
        <w:rPr>
          <w:rStyle w:val="FootnoteReference"/>
        </w:rPr>
        <w:footnoteReference w:id="139"/>
      </w:r>
      <w:r w:rsidRPr="00CC6883">
        <w:t xml:space="preserve"> This is </w:t>
      </w:r>
      <w:r>
        <w:t xml:space="preserve">an annual average of </w:t>
      </w:r>
      <w:r w:rsidRPr="00CC6883">
        <w:t>$</w:t>
      </w:r>
      <w:r>
        <w:t>0.8</w:t>
      </w:r>
      <w:r w:rsidRPr="00CC6883">
        <w:t xml:space="preserve"> million (</w:t>
      </w:r>
      <w:r>
        <w:t>2016-</w:t>
      </w:r>
      <w:r w:rsidRPr="00CC6883">
        <w:t xml:space="preserve">17) or </w:t>
      </w:r>
      <w:r>
        <w:t>84</w:t>
      </w:r>
      <w:r w:rsidR="00203295">
        <w:t> per </w:t>
      </w:r>
      <w:r w:rsidRPr="00CC6883">
        <w:t xml:space="preserve">cent </w:t>
      </w:r>
      <w:r>
        <w:t>more</w:t>
      </w:r>
      <w:r w:rsidRPr="00CC6883">
        <w:t xml:space="preserve"> than </w:t>
      </w:r>
      <w:r>
        <w:t xml:space="preserve">AusNet Services' annual </w:t>
      </w:r>
      <w:r w:rsidRPr="00CC6883">
        <w:t xml:space="preserve">actual </w:t>
      </w:r>
      <w:r w:rsidR="00203295">
        <w:t xml:space="preserve">and estimated </w:t>
      </w:r>
      <w:r w:rsidRPr="00CC6883">
        <w:t xml:space="preserve">fleet capex </w:t>
      </w:r>
      <w:r w:rsidR="00203295">
        <w:t xml:space="preserve">in the </w:t>
      </w:r>
      <w:r w:rsidRPr="00CC6883">
        <w:t>201</w:t>
      </w:r>
      <w:r w:rsidR="00203295">
        <w:t>4–</w:t>
      </w:r>
      <w:r w:rsidRPr="00CC6883">
        <w:t>17</w:t>
      </w:r>
      <w:r w:rsidR="00203295">
        <w:t xml:space="preserve"> regulatory control </w:t>
      </w:r>
      <w:proofErr w:type="gramStart"/>
      <w:r w:rsidR="00203295">
        <w:t>period</w:t>
      </w:r>
      <w:proofErr w:type="gramEnd"/>
      <w:r w:rsidRPr="00CC6883">
        <w:t>.</w:t>
      </w:r>
      <w:r>
        <w:rPr>
          <w:rStyle w:val="FootnoteReference"/>
        </w:rPr>
        <w:footnoteReference w:id="140"/>
      </w:r>
      <w:r w:rsidRPr="00CC6883">
        <w:t xml:space="preserve"> </w:t>
      </w:r>
    </w:p>
    <w:p w:rsidR="00407535" w:rsidRPr="00CC6883" w:rsidRDefault="00407535" w:rsidP="00407535">
      <w:r>
        <w:t xml:space="preserve">AusNet Services </w:t>
      </w:r>
      <w:r w:rsidRPr="00CC6883">
        <w:t xml:space="preserve">submitted that its </w:t>
      </w:r>
      <w:r>
        <w:t>owned vehicle flee</w:t>
      </w:r>
      <w:r w:rsidR="00203295">
        <w:t>t will increase during the 2017–</w:t>
      </w:r>
      <w:r>
        <w:t>22 regulatory control period compared to historic levels reflecting the cost efficiencies associated with purchasing, rather than leasing, vehicles.</w:t>
      </w:r>
      <w:r>
        <w:rPr>
          <w:rStyle w:val="FootnoteReference"/>
        </w:rPr>
        <w:footnoteReference w:id="141"/>
      </w:r>
      <w:r w:rsidR="00752EB8">
        <w:t xml:space="preserve"> AusNet Services' regulatory information n</w:t>
      </w:r>
      <w:r>
        <w:t>otice shows that although the total number of vehicles in its vehicle fleet during the 2017-22 regulatory control period is forecast to remain the same as current levels, the number of vehicles purchased is proposed to increase as a proportion of its total vehicle fleet.</w:t>
      </w:r>
      <w:r>
        <w:rPr>
          <w:rStyle w:val="FootnoteReference"/>
        </w:rPr>
        <w:footnoteReference w:id="142"/>
      </w:r>
      <w:r>
        <w:t xml:space="preserve"> </w:t>
      </w:r>
    </w:p>
    <w:p w:rsidR="00407535" w:rsidRDefault="00407535" w:rsidP="00407535">
      <w:r w:rsidRPr="00CC6883">
        <w:t xml:space="preserve">We have reviewed </w:t>
      </w:r>
      <w:r>
        <w:t>AusNet Services'</w:t>
      </w:r>
      <w:r w:rsidRPr="00CC6883">
        <w:t xml:space="preserve"> submission in respect of its proposed fleet capex for the 2017-22 regulatory control period and consider that </w:t>
      </w:r>
      <w:r>
        <w:t>AusNet Services'</w:t>
      </w:r>
      <w:r w:rsidRPr="00CC6883">
        <w:t xml:space="preserve"> forecast fleet capex of $</w:t>
      </w:r>
      <w:r>
        <w:t>9.2</w:t>
      </w:r>
      <w:r w:rsidRPr="00CC6883">
        <w:t xml:space="preserve"> million (20</w:t>
      </w:r>
      <w:r>
        <w:t>16-</w:t>
      </w:r>
      <w:r w:rsidRPr="00CC6883">
        <w:t>17) reasonably reflects the efficient costs that a prudent operator would require to meet the capex criteria.</w:t>
      </w:r>
      <w:r>
        <w:rPr>
          <w:rStyle w:val="FootnoteReference"/>
        </w:rPr>
        <w:footnoteReference w:id="143"/>
      </w:r>
      <w:r w:rsidRPr="00CC6883">
        <w:t xml:space="preserve"> We </w:t>
      </w:r>
      <w:r>
        <w:t>consider that AusNet Services' proposal to increase its proportion of vehicles it owns rather than leases is consistent with the practice of other electricity service providers in Australia and may resu</w:t>
      </w:r>
      <w:r w:rsidR="005A6371">
        <w:t>lt in</w:t>
      </w:r>
      <w:r>
        <w:t xml:space="preserve"> cost efficiencies.</w:t>
      </w:r>
      <w:r>
        <w:rPr>
          <w:rStyle w:val="FootnoteReference"/>
        </w:rPr>
        <w:footnoteReference w:id="144"/>
      </w:r>
      <w:r>
        <w:t xml:space="preserve"> We also consider that AusNet Services' vehicle replacement criteria for passenger and light and heavy commercial vehicles </w:t>
      </w:r>
      <w:r w:rsidR="005C117A">
        <w:t>are</w:t>
      </w:r>
      <w:r w:rsidR="005A5F44">
        <w:t xml:space="preserve"> consistent with those</w:t>
      </w:r>
      <w:r>
        <w:t xml:space="preserve"> of other Australian electricity service providers.</w:t>
      </w:r>
      <w:r>
        <w:rPr>
          <w:rStyle w:val="FootnoteReference"/>
        </w:rPr>
        <w:footnoteReference w:id="145"/>
      </w:r>
    </w:p>
    <w:p w:rsidR="00203295" w:rsidRDefault="00203295" w:rsidP="00203295">
      <w:pPr>
        <w:pStyle w:val="HeadingBoldBlue"/>
      </w:pPr>
      <w:bookmarkStart w:id="113" w:name="_Toc456608827"/>
      <w:r w:rsidRPr="00203295">
        <w:t>Fleet asset disposals</w:t>
      </w:r>
      <w:bookmarkEnd w:id="113"/>
    </w:p>
    <w:p w:rsidR="00203295" w:rsidRDefault="00203295" w:rsidP="00203295">
      <w:r>
        <w:t xml:space="preserve">AusNet Services did not account for any disposals of fleet assets in its </w:t>
      </w:r>
      <w:r w:rsidR="00880E37">
        <w:t>revenue proposal</w:t>
      </w:r>
      <w:r>
        <w:t xml:space="preserve">. In assessing AusNet Services' forecast non-network capex, we sought </w:t>
      </w:r>
      <w:r>
        <w:lastRenderedPageBreak/>
        <w:t>further information regarding AusNet Services' forecast disposals of fleet assets in the 201</w:t>
      </w:r>
      <w:r w:rsidR="00680351">
        <w:t>7</w:t>
      </w:r>
      <w:r>
        <w:t>–2</w:t>
      </w:r>
      <w:r w:rsidR="00680351">
        <w:t>2</w:t>
      </w:r>
      <w:r>
        <w:t xml:space="preserve"> regulatory control </w:t>
      </w:r>
      <w:proofErr w:type="gramStart"/>
      <w:r>
        <w:t>period</w:t>
      </w:r>
      <w:proofErr w:type="gramEnd"/>
      <w:r>
        <w:t>.</w:t>
      </w:r>
      <w:r>
        <w:rPr>
          <w:rStyle w:val="FootnoteReference"/>
        </w:rPr>
        <w:footnoteReference w:id="146"/>
      </w:r>
      <w:r>
        <w:t xml:space="preserve"> </w:t>
      </w:r>
    </w:p>
    <w:p w:rsidR="00203295" w:rsidRDefault="00203295" w:rsidP="00203295">
      <w:r>
        <w:t xml:space="preserve">In response to our information request, </w:t>
      </w:r>
      <w:r w:rsidR="006776CB">
        <w:t>AusNet Services</w:t>
      </w:r>
      <w:r>
        <w:t xml:space="preserve"> advised that it expected proceeds from the sale of fleet assets over the 201</w:t>
      </w:r>
      <w:r w:rsidR="00680351">
        <w:t>7</w:t>
      </w:r>
      <w:r>
        <w:t>–2</w:t>
      </w:r>
      <w:r w:rsidR="00680351">
        <w:t>2</w:t>
      </w:r>
      <w:r>
        <w:t xml:space="preserve"> regulatory control </w:t>
      </w:r>
      <w:proofErr w:type="gramStart"/>
      <w:r>
        <w:t>period</w:t>
      </w:r>
      <w:proofErr w:type="gramEnd"/>
      <w:r>
        <w:t xml:space="preserve"> of $1.0 million.</w:t>
      </w:r>
      <w:r>
        <w:rPr>
          <w:rStyle w:val="FootnoteReference"/>
        </w:rPr>
        <w:footnoteReference w:id="147"/>
      </w:r>
      <w:r>
        <w:t xml:space="preserve"> We have accounted for these disposals in modelling </w:t>
      </w:r>
      <w:r w:rsidR="00680351">
        <w:t>AusNet Services'</w:t>
      </w:r>
      <w:r>
        <w:t xml:space="preserve"> allowed revenue for the 201</w:t>
      </w:r>
      <w:r w:rsidR="00680351">
        <w:t>7</w:t>
      </w:r>
      <w:r>
        <w:t>–2</w:t>
      </w:r>
      <w:r w:rsidR="00680351">
        <w:t>2</w:t>
      </w:r>
      <w:r>
        <w:t xml:space="preserve"> regulatory control </w:t>
      </w:r>
      <w:proofErr w:type="gramStart"/>
      <w:r>
        <w:t>period</w:t>
      </w:r>
      <w:proofErr w:type="gramEnd"/>
      <w:r>
        <w:t>.</w:t>
      </w:r>
    </w:p>
    <w:p w:rsidR="00524A66" w:rsidRDefault="00524A66">
      <w:pPr>
        <w:spacing w:line="240" w:lineRule="auto"/>
      </w:pPr>
      <w:r>
        <w:br w:type="page"/>
      </w:r>
    </w:p>
    <w:p w:rsidR="00D445D4" w:rsidRDefault="00D445D4" w:rsidP="0086515B">
      <w:pPr>
        <w:pStyle w:val="Heading8"/>
      </w:pPr>
      <w:bookmarkStart w:id="114" w:name="_Toc456608828"/>
      <w:r w:rsidRPr="0086515B">
        <w:lastRenderedPageBreak/>
        <w:t>Forecast</w:t>
      </w:r>
      <w:r>
        <w:t xml:space="preserve"> capitalised overheads</w:t>
      </w:r>
      <w:bookmarkEnd w:id="114"/>
    </w:p>
    <w:p w:rsidR="00D445D4" w:rsidRDefault="00D445D4" w:rsidP="00D445D4">
      <w:r w:rsidRPr="00D97368">
        <w:t xml:space="preserve">Capitalised overheads are costs associated with capital works that have been capitalised in accordance with </w:t>
      </w:r>
      <w:r>
        <w:t>AusNet Services'</w:t>
      </w:r>
      <w:r w:rsidRPr="00D97368">
        <w:t xml:space="preserve"> capitalisation policy. They are generally costs shared across different assets and cost centres.</w:t>
      </w:r>
    </w:p>
    <w:p w:rsidR="00D445D4" w:rsidRDefault="00D445D4" w:rsidP="00D445D4">
      <w:pPr>
        <w:pStyle w:val="Heading9"/>
      </w:pPr>
      <w:bookmarkStart w:id="115" w:name="_Toc456608829"/>
      <w:r>
        <w:t>Position</w:t>
      </w:r>
      <w:bookmarkEnd w:id="115"/>
    </w:p>
    <w:p w:rsidR="00D445D4" w:rsidRDefault="00D445D4" w:rsidP="00D445D4">
      <w:r>
        <w:t>We do</w:t>
      </w:r>
      <w:r w:rsidRPr="00D97368">
        <w:t xml:space="preserve"> not accept </w:t>
      </w:r>
      <w:r>
        <w:t>AusNet Services'</w:t>
      </w:r>
      <w:r w:rsidRPr="00D97368">
        <w:t xml:space="preserve"> proposed capitalised overheads</w:t>
      </w:r>
      <w:r w:rsidRPr="009F5D65">
        <w:t xml:space="preserve"> </w:t>
      </w:r>
      <w:r>
        <w:t>as we are not satisfied the proposed capital overheads reasonably reflect the capex criteria</w:t>
      </w:r>
      <w:r w:rsidRPr="00D97368">
        <w:t xml:space="preserve">. We instead included </w:t>
      </w:r>
      <w:r>
        <w:t xml:space="preserve">in </w:t>
      </w:r>
      <w:r w:rsidRPr="00D97368">
        <w:t>our alternative est</w:t>
      </w:r>
      <w:r>
        <w:t>imate of overall total capex an</w:t>
      </w:r>
      <w:r w:rsidRPr="00D97368">
        <w:t xml:space="preserve"> amount of $</w:t>
      </w:r>
      <w:r>
        <w:t xml:space="preserve">52.4 </w:t>
      </w:r>
      <w:r w:rsidRPr="00D97368">
        <w:t>million ($201</w:t>
      </w:r>
      <w:r>
        <w:t>6-17</w:t>
      </w:r>
      <w:r w:rsidRPr="00D97368">
        <w:t>) for capitalised overheads. This is</w:t>
      </w:r>
      <w:r>
        <w:t xml:space="preserve"> 7.2 </w:t>
      </w:r>
      <w:r w:rsidRPr="00D97368">
        <w:t xml:space="preserve">per cent lower than </w:t>
      </w:r>
      <w:r>
        <w:t xml:space="preserve">AusNet Services' </w:t>
      </w:r>
      <w:r w:rsidRPr="00D97368">
        <w:t xml:space="preserve">proposal of </w:t>
      </w:r>
      <w:r>
        <w:t>$56.5</w:t>
      </w:r>
      <w:r w:rsidRPr="00D97368">
        <w:t xml:space="preserve"> million ($20</w:t>
      </w:r>
      <w:r>
        <w:t>16-17</w:t>
      </w:r>
      <w:r w:rsidRPr="00D97368">
        <w:t>). We are satisfied that this amount reasonably reflects the capex criteria.</w:t>
      </w:r>
    </w:p>
    <w:p w:rsidR="00D445D4" w:rsidRDefault="00D445D4" w:rsidP="00D445D4">
      <w:pPr>
        <w:pStyle w:val="Heading9"/>
      </w:pPr>
      <w:bookmarkStart w:id="116" w:name="_Toc456608830"/>
      <w:r>
        <w:t>Our assessment</w:t>
      </w:r>
      <w:bookmarkEnd w:id="116"/>
    </w:p>
    <w:p w:rsidR="00D445D4" w:rsidRDefault="00D445D4" w:rsidP="00D445D4">
      <w:r>
        <w:t>W</w:t>
      </w:r>
      <w:r w:rsidRPr="00D97368">
        <w:t xml:space="preserve">e consider that reductions in </w:t>
      </w:r>
      <w:r>
        <w:t>AusNet Services'</w:t>
      </w:r>
      <w:r w:rsidRPr="00D97368">
        <w:t xml:space="preserve"> forecast expenditure should see some reduction in the size of </w:t>
      </w:r>
      <w:r>
        <w:t>its</w:t>
      </w:r>
      <w:r w:rsidRPr="00D97368">
        <w:t xml:space="preserve"> total overheads. </w:t>
      </w:r>
      <w:r>
        <w:t>O</w:t>
      </w:r>
      <w:r w:rsidRPr="00D97368">
        <w:t xml:space="preserve">ur assessment of </w:t>
      </w:r>
      <w:r>
        <w:t>AusNet Services'</w:t>
      </w:r>
      <w:r w:rsidRPr="00D97368">
        <w:t xml:space="preserve"> proposed direct capex demonstrates that a prudent and efficient </w:t>
      </w:r>
      <w:r>
        <w:t>energy service provider</w:t>
      </w:r>
      <w:r w:rsidRPr="00D97368">
        <w:t xml:space="preserve"> would not undertake the full </w:t>
      </w:r>
      <w:r>
        <w:t xml:space="preserve">amount </w:t>
      </w:r>
      <w:r w:rsidRPr="00D97368">
        <w:t xml:space="preserve">of direct expenditure contained in </w:t>
      </w:r>
      <w:r>
        <w:t>AusNet Services'</w:t>
      </w:r>
      <w:r w:rsidRPr="00D97368">
        <w:t xml:space="preserve"> </w:t>
      </w:r>
      <w:r>
        <w:t>revenue</w:t>
      </w:r>
      <w:r w:rsidRPr="00D97368">
        <w:t xml:space="preserve"> proposal. It follows that we would expect some reduction in the size of </w:t>
      </w:r>
      <w:r>
        <w:t>AusNet Services'</w:t>
      </w:r>
      <w:r w:rsidRPr="00D97368">
        <w:t xml:space="preserve">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D445D4" w:rsidRDefault="00D445D4" w:rsidP="00D445D4">
      <w:r>
        <w:t>Our assessment of overheads in the Queensland distribution determination found that Energex's overheads comprised 75 per cent fixed and 25 per cent variable components. We considered this split of fixed and variable overheads components was also reasonable for our recent decision for AusNet Services Victorian distribution business. For the reasons set out in those decisions and based on the information available to us, we also consider that this split of fixed and variable overheads components is also reasonable for AusNet Services transmission network. It is open to AusNet Services in its revised proposal to provide evidence of a different split between fixed and variable components.</w:t>
      </w:r>
    </w:p>
    <w:p w:rsidR="00D445D4" w:rsidRPr="009F0937" w:rsidRDefault="00D445D4" w:rsidP="00D445D4">
      <w:r w:rsidRPr="009F0937">
        <w:t>We have</w:t>
      </w:r>
      <w:r>
        <w:t xml:space="preserve"> also</w:t>
      </w:r>
      <w:r w:rsidRPr="009F0937">
        <w:t xml:space="preserve"> considered the relationship between opex and </w:t>
      </w:r>
      <w:proofErr w:type="gramStart"/>
      <w:r w:rsidRPr="009F0937">
        <w:t>capex,</w:t>
      </w:r>
      <w:proofErr w:type="gramEnd"/>
      <w:r w:rsidRPr="009F0937">
        <w:t xml:space="preserve"> specifically whether it is necessary to account for the way the CAM allocates overheads between capex and opex in making this decision. We considered this was not necessary in order to satisfy the capex</w:t>
      </w:r>
      <w:r>
        <w:t xml:space="preserve"> criteria. This is because o</w:t>
      </w:r>
      <w:r w:rsidRPr="009F0937">
        <w:t>ur opex assessment sets the efficient level of opex inclusive of overheads</w:t>
      </w:r>
      <w:r>
        <w:t>.</w:t>
      </w:r>
      <w:r w:rsidRPr="009F0937">
        <w:t xml:space="preserve"> </w:t>
      </w:r>
      <w:r>
        <w:t xml:space="preserve">It </w:t>
      </w:r>
      <w:r w:rsidRPr="009F0937">
        <w:t xml:space="preserve">has accounted for the efficient level of overheads required to deliver the opex program by applying techniques which utilise the best available data and information for opex. </w:t>
      </w:r>
    </w:p>
    <w:p w:rsidR="00D445D4" w:rsidRPr="009F0937" w:rsidRDefault="00D445D4" w:rsidP="00D445D4">
      <w:r w:rsidRPr="009F0937">
        <w:t xml:space="preserve">The starting point of our capitalised overheads assessment is </w:t>
      </w:r>
      <w:r>
        <w:t>AusNet Services'</w:t>
      </w:r>
      <w:r w:rsidRPr="009F0937">
        <w:t xml:space="preserve"> proposal, which is based on their CAM. As such, </w:t>
      </w:r>
      <w:r>
        <w:t>AusNet Services'</w:t>
      </w:r>
      <w:r w:rsidRPr="009F0937">
        <w:t xml:space="preserve"> forecast application of the CAM under</w:t>
      </w:r>
      <w:r>
        <w:t>pins</w:t>
      </w:r>
      <w:r w:rsidRPr="009F0937">
        <w:t xml:space="preserve"> our estimate. We have only reduced the capitalised overheads to account for the reduced scale of </w:t>
      </w:r>
      <w:r>
        <w:t>AusNet Services'</w:t>
      </w:r>
      <w:r w:rsidRPr="009F0937">
        <w:t xml:space="preserve"> approved capex based on </w:t>
      </w:r>
      <w:r w:rsidRPr="009F0937">
        <w:lastRenderedPageBreak/>
        <w:t xml:space="preserve">assessment techniques best suited to each of the capex drivers. </w:t>
      </w:r>
      <w:proofErr w:type="gramStart"/>
      <w:r w:rsidRPr="009F0937">
        <w:t>In doing so we have accounted for there being a fixed proportion of capitalised overheads.</w:t>
      </w:r>
      <w:proofErr w:type="gramEnd"/>
      <w:r w:rsidRPr="009F0937">
        <w:t xml:space="preserve">  </w:t>
      </w:r>
    </w:p>
    <w:p w:rsidR="00D445D4" w:rsidRDefault="00D445D4" w:rsidP="00D445D4">
      <w:r w:rsidRPr="009F0937">
        <w:t xml:space="preserve">As a result of a </w:t>
      </w:r>
      <w:r>
        <w:t>$168.4</w:t>
      </w:r>
      <w:r w:rsidRPr="009F0937">
        <w:t xml:space="preserve"> million ($201</w:t>
      </w:r>
      <w:r>
        <w:t>6-17</w:t>
      </w:r>
      <w:r w:rsidRPr="009F0937">
        <w:t xml:space="preserve">) reduction in </w:t>
      </w:r>
      <w:r>
        <w:t>AusNet Services'</w:t>
      </w:r>
      <w:r w:rsidRPr="009F0937">
        <w:t xml:space="preserve"> direct capex that attract overheads</w:t>
      </w:r>
      <w:r>
        <w:t>,</w:t>
      </w:r>
      <w:r w:rsidRPr="009F0937">
        <w:t xml:space="preserve"> we consider a reduction of </w:t>
      </w:r>
      <w:r>
        <w:t>$4.1</w:t>
      </w:r>
      <w:r w:rsidRPr="009F0937">
        <w:t xml:space="preserve"> million ($201</w:t>
      </w:r>
      <w:r>
        <w:t>6-17</w:t>
      </w:r>
      <w:r w:rsidRPr="009F0937">
        <w:t>) reasonably reflect the capex criteria.</w:t>
      </w:r>
    </w:p>
    <w:p w:rsidR="00D445D4" w:rsidRPr="00203295" w:rsidRDefault="00D445D4" w:rsidP="00203295"/>
    <w:p w:rsidR="0014085B" w:rsidRDefault="0014085B" w:rsidP="0014085B">
      <w:pPr>
        <w:pStyle w:val="Heading7"/>
      </w:pPr>
      <w:bookmarkStart w:id="117" w:name="_Toc456608831"/>
      <w:r>
        <w:lastRenderedPageBreak/>
        <w:t>Demand</w:t>
      </w:r>
      <w:bookmarkEnd w:id="117"/>
    </w:p>
    <w:p w:rsidR="00A07986" w:rsidRPr="00A07986" w:rsidRDefault="00A07986" w:rsidP="00A07986">
      <w:r w:rsidRPr="00A07986">
        <w:t>AusNet Services’ economic evaluations of its proposed terminal station rebuild projects include an assessment of maximum demand forecasts at these terminal stations, in terms of the load at risk under unplanned outage conditions.</w:t>
      </w:r>
      <w:r w:rsidRPr="00A07986">
        <w:rPr>
          <w:rStyle w:val="FootnoteReference"/>
        </w:rPr>
        <w:footnoteReference w:id="148"/>
      </w:r>
      <w:r w:rsidRPr="00A07986">
        <w:t xml:space="preserve"> AusNet Services does not produce its own maximum demand forecasts because, as noted by AusNet Services, the Australian Energy Market Operator (AEMO) is responsible for preparing maximum demand forecasts for the transmission network in Victoria.</w:t>
      </w:r>
      <w:r w:rsidRPr="00A07986">
        <w:rPr>
          <w:rStyle w:val="FootnoteReference"/>
        </w:rPr>
        <w:footnoteReference w:id="149"/>
      </w:r>
      <w:r w:rsidRPr="00A07986">
        <w:t xml:space="preserve"> This is because AEMO plans and procures the augmentation of the transmission network in Victoria, </w:t>
      </w:r>
      <w:r>
        <w:t>which</w:t>
      </w:r>
      <w:r w:rsidRPr="00A07986">
        <w:t xml:space="preserve"> is owned and operated by AusNet Services.</w:t>
      </w:r>
    </w:p>
    <w:p w:rsidR="00A07986" w:rsidRPr="00A07986" w:rsidRDefault="00A07986" w:rsidP="00A07986">
      <w:r w:rsidRPr="00A07986">
        <w:t xml:space="preserve">Instead of applying AEMO’s demand forecasts to its portfolio of terminal station rebuild </w:t>
      </w:r>
      <w:proofErr w:type="gramStart"/>
      <w:r w:rsidRPr="00A07986">
        <w:t>projects,</w:t>
      </w:r>
      <w:proofErr w:type="gramEnd"/>
      <w:r w:rsidRPr="00A07986">
        <w:t xml:space="preserve"> AusNet Services submitted that its terminal station demand forecasts are based on a combination of AEMO’s 2014 forecasts and the Victorian electricity distributors 2014 forecasts.</w:t>
      </w:r>
      <w:r w:rsidRPr="00A07986">
        <w:rPr>
          <w:rStyle w:val="FootnoteReference"/>
        </w:rPr>
        <w:footnoteReference w:id="150"/>
      </w:r>
      <w:r w:rsidRPr="00A07986">
        <w:t xml:space="preserve"> </w:t>
      </w:r>
      <w:r w:rsidRPr="00A07986">
        <w:rPr>
          <w:rStyle w:val="FootnoteReference"/>
        </w:rPr>
        <w:footnoteReference w:id="151"/>
      </w:r>
      <w:r w:rsidRPr="00A07986">
        <w:t xml:space="preserve"> AusNet Services’ approach to selecting terminal station demand forecasts is to use the forecast or a combination of the two 2014 forecasts from AEMO and Victorian distributors that, in its view, best reflects:</w:t>
      </w:r>
      <w:r w:rsidRPr="00A07986">
        <w:rPr>
          <w:rStyle w:val="FootnoteReference"/>
        </w:rPr>
        <w:t xml:space="preserve"> </w:t>
      </w:r>
      <w:r w:rsidRPr="00A07986">
        <w:rPr>
          <w:rStyle w:val="FootnoteReference"/>
        </w:rPr>
        <w:footnoteReference w:id="152"/>
      </w:r>
      <w:r w:rsidRPr="00A07986">
        <w:t xml:space="preserve"> </w:t>
      </w:r>
    </w:p>
    <w:p w:rsidR="00A07986" w:rsidRPr="00A07986" w:rsidRDefault="00A07986" w:rsidP="00C010EB">
      <w:pPr>
        <w:pStyle w:val="AERbulletlistfirststyle"/>
      </w:pPr>
      <w:r w:rsidRPr="00A07986">
        <w:t xml:space="preserve">the likely future demand at these terminal stations on the basis of actual historical demand in recent years; and </w:t>
      </w:r>
    </w:p>
    <w:p w:rsidR="00A07986" w:rsidRPr="00A07986" w:rsidRDefault="00A07986" w:rsidP="00C010EB">
      <w:pPr>
        <w:pStyle w:val="AERbulletlistfirststyle"/>
      </w:pPr>
      <w:proofErr w:type="gramStart"/>
      <w:r w:rsidRPr="00A07986">
        <w:t>its</w:t>
      </w:r>
      <w:proofErr w:type="gramEnd"/>
      <w:r w:rsidRPr="00A07986">
        <w:t xml:space="preserve"> understanding of likely trends or developments. </w:t>
      </w:r>
    </w:p>
    <w:p w:rsidR="00A07986" w:rsidRPr="00A07986" w:rsidRDefault="00A07986" w:rsidP="00A07986">
      <w:r w:rsidRPr="00A07986">
        <w:t xml:space="preserve">AusNet Services applies the Victorian distributors’ forecasts for the majority of its terminal station analysis because it judges that these forecasts are more realistic. These demand forecasts predict that demand will grow over 2017–22 </w:t>
      </w:r>
      <w:r>
        <w:t xml:space="preserve">regulatory control </w:t>
      </w:r>
      <w:proofErr w:type="gramStart"/>
      <w:r>
        <w:t>period</w:t>
      </w:r>
      <w:proofErr w:type="gramEnd"/>
      <w:r>
        <w:t xml:space="preserve"> </w:t>
      </w:r>
      <w:r w:rsidRPr="00A07986">
        <w:t>at the relevant terminal stations.</w:t>
      </w:r>
      <w:r w:rsidRPr="00A07986">
        <w:rPr>
          <w:rStyle w:val="FootnoteReference"/>
        </w:rPr>
        <w:footnoteReference w:id="153"/>
      </w:r>
    </w:p>
    <w:p w:rsidR="00A07986" w:rsidRPr="00A07986" w:rsidRDefault="00A07986" w:rsidP="00A07986">
      <w:r w:rsidRPr="00A07986">
        <w:t>We are not satisfied that these demand forecasts that AusNet Services adopts reflect a realistic expectation of demand required to achieve the capex objectives.</w:t>
      </w:r>
      <w:r w:rsidR="00916F9E">
        <w:rPr>
          <w:rStyle w:val="FootnoteReference"/>
        </w:rPr>
        <w:footnoteReference w:id="154"/>
      </w:r>
      <w:r w:rsidRPr="00A07986">
        <w:t xml:space="preserve"> For the reasons set out below, we consider that AEMO’s 2015 demand forecasts reflect a realistic expectation of demand.</w:t>
      </w:r>
    </w:p>
    <w:p w:rsidR="00A07986" w:rsidRPr="00A07986" w:rsidRDefault="00A07986" w:rsidP="00A07986">
      <w:r w:rsidRPr="00A07986">
        <w:t xml:space="preserve">AusNet Services’ analysis of likely future demand is </w:t>
      </w:r>
      <w:r w:rsidR="006A3A5C">
        <w:t>likely to mislead because it compares</w:t>
      </w:r>
      <w:r w:rsidRPr="00A07986">
        <w:t xml:space="preserve"> historical raw demand data with forecast demand to select the “best” </w:t>
      </w:r>
      <w:r w:rsidRPr="00A07986">
        <w:lastRenderedPageBreak/>
        <w:t xml:space="preserve">demand forecast for a particular terminal station. The use of actual demand data is </w:t>
      </w:r>
      <w:r w:rsidR="006A3A5C">
        <w:t>problematic</w:t>
      </w:r>
      <w:r w:rsidR="006A3A5C" w:rsidRPr="00A07986">
        <w:t xml:space="preserve"> </w:t>
      </w:r>
      <w:r w:rsidRPr="00A07986">
        <w:t xml:space="preserve">because actual data often contain the impact of random weather factors which make it difficult to draw any inferences about changes in the underlying level of demand. A </w:t>
      </w:r>
      <w:proofErr w:type="gramStart"/>
      <w:r w:rsidR="005A5F44">
        <w:t>more sound</w:t>
      </w:r>
      <w:proofErr w:type="gramEnd"/>
      <w:r w:rsidR="005A5F44">
        <w:t xml:space="preserve"> and widely</w:t>
      </w:r>
      <w:r w:rsidRPr="00A07986">
        <w:t xml:space="preserve"> </w:t>
      </w:r>
      <w:r w:rsidR="00B81E42">
        <w:t>accepted</w:t>
      </w:r>
      <w:r w:rsidR="00B81E42" w:rsidRPr="00A07986">
        <w:t xml:space="preserve"> </w:t>
      </w:r>
      <w:r w:rsidR="005A6371">
        <w:t>approach</w:t>
      </w:r>
      <w:r w:rsidRPr="00A07986">
        <w:t xml:space="preserve"> to forecasting demand is removing the effect of random weather factors on observed electricity demand (called weather-adjusted demand). </w:t>
      </w:r>
    </w:p>
    <w:p w:rsidR="00A07986" w:rsidRPr="00A07986" w:rsidRDefault="00327273" w:rsidP="00A07986">
      <w:fldSimple w:instr=" REF _Ref453684289 ">
        <w:r w:rsidR="00C60946">
          <w:t xml:space="preserve">Figure </w:t>
        </w:r>
        <w:r w:rsidR="00C60946">
          <w:rPr>
            <w:noProof/>
          </w:rPr>
          <w:t>6</w:t>
        </w:r>
        <w:r w:rsidR="00C60946">
          <w:t>.</w:t>
        </w:r>
        <w:r w:rsidR="00C60946">
          <w:rPr>
            <w:noProof/>
          </w:rPr>
          <w:t>13</w:t>
        </w:r>
      </w:fldSimple>
      <w:r w:rsidR="00F46587">
        <w:t xml:space="preserve"> </w:t>
      </w:r>
      <w:r w:rsidR="00A07986" w:rsidRPr="00A07986">
        <w:t xml:space="preserve">compares historical raw and weather adjusted demand for AusNet Services’ </w:t>
      </w:r>
      <w:r w:rsidR="00B81E42">
        <w:t xml:space="preserve">proposed </w:t>
      </w:r>
      <w:r w:rsidR="00A07986" w:rsidRPr="00A07986">
        <w:t xml:space="preserve">terminal station projects, the forecasts from AEMO and the distributors, and the </w:t>
      </w:r>
      <w:r w:rsidR="00B81E42">
        <w:t xml:space="preserve">overall </w:t>
      </w:r>
      <w:r w:rsidR="00A07986" w:rsidRPr="00A07986">
        <w:t>forecast AusNet Services adopts. This figure shows actual demand experienced peaks and troughs due to changes in weather, whereas the underlying weather adjusted demand trend</w:t>
      </w:r>
      <w:r w:rsidR="006A3A5C">
        <w:t>,</w:t>
      </w:r>
      <w:r w:rsidR="00A07986" w:rsidRPr="00A07986">
        <w:t xml:space="preserve"> </w:t>
      </w:r>
      <w:r w:rsidR="00B81E42">
        <w:t>as expected</w:t>
      </w:r>
      <w:r w:rsidR="006A3A5C">
        <w:t>,</w:t>
      </w:r>
      <w:r w:rsidR="00B81E42">
        <w:t xml:space="preserve"> </w:t>
      </w:r>
      <w:r w:rsidR="00A07986" w:rsidRPr="00A07986">
        <w:t xml:space="preserve">is flatter. </w:t>
      </w:r>
      <w:r w:rsidR="00B81E42">
        <w:t xml:space="preserve">Relevantly, </w:t>
      </w:r>
      <w:r w:rsidR="00A07986" w:rsidRPr="00A07986">
        <w:t xml:space="preserve">AEMO’s demand forecast of flat demand growth </w:t>
      </w:r>
      <w:r w:rsidR="00B81E42">
        <w:t xml:space="preserve">over 2017-22 </w:t>
      </w:r>
      <w:r w:rsidR="00A07986" w:rsidRPr="00A07986">
        <w:t xml:space="preserve">is consistent with the trend observed in the actual weather adjusted demand for AusNet Services’ portfolio of terminal station rebuild projects. </w:t>
      </w:r>
      <w:r w:rsidR="00A07986" w:rsidRPr="00A07986" w:rsidDel="008B134D">
        <w:t xml:space="preserve"> </w:t>
      </w:r>
    </w:p>
    <w:p w:rsidR="00A07986" w:rsidRDefault="00F46587" w:rsidP="00F46587">
      <w:pPr>
        <w:pStyle w:val="Caption"/>
      </w:pPr>
      <w:bookmarkStart w:id="118" w:name="_Ref453684289"/>
      <w:proofErr w:type="gramStart"/>
      <w:r>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13</w:t>
      </w:r>
      <w:r w:rsidR="00735181">
        <w:rPr>
          <w:noProof/>
        </w:rPr>
        <w:fldChar w:fldCharType="end"/>
      </w:r>
      <w:bookmarkEnd w:id="118"/>
      <w:r>
        <w:tab/>
      </w:r>
      <w:r w:rsidR="00A07986" w:rsidRPr="00A07986">
        <w:t>Demand for AusNet Services’ portfolio of terminal station rebuild projects (MW, non-coincident transmission connection points, POE10, summer)</w:t>
      </w:r>
    </w:p>
    <w:p w:rsidR="00DC797D" w:rsidRPr="00DC797D" w:rsidRDefault="00DC797D" w:rsidP="00DC797D">
      <w:r>
        <w:rPr>
          <w:noProof/>
          <w:lang w:eastAsia="en-AU"/>
        </w:rPr>
        <w:drawing>
          <wp:inline distT="0" distB="0" distL="0" distR="0" wp14:anchorId="3E7FA839" wp14:editId="4265655A">
            <wp:extent cx="5599481" cy="408622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331" cy="4086846"/>
                    </a:xfrm>
                    <a:prstGeom prst="rect">
                      <a:avLst/>
                    </a:prstGeom>
                    <a:noFill/>
                  </pic:spPr>
                </pic:pic>
              </a:graphicData>
            </a:graphic>
          </wp:inline>
        </w:drawing>
      </w:r>
    </w:p>
    <w:p w:rsidR="00A07986" w:rsidRPr="00F46587" w:rsidRDefault="00A07986" w:rsidP="00F46587">
      <w:pPr>
        <w:pStyle w:val="AERtablesource"/>
      </w:pPr>
      <w:r w:rsidRPr="00A07986">
        <w:t xml:space="preserve">Source: </w:t>
      </w:r>
      <w:r w:rsidR="00B81E42">
        <w:tab/>
      </w:r>
      <w:r w:rsidRPr="00A07986">
        <w:t xml:space="preserve">AEMO, </w:t>
      </w:r>
      <w:r w:rsidRPr="00DC797D">
        <w:rPr>
          <w:rStyle w:val="AERtextitalic"/>
        </w:rPr>
        <w:t>2014 Victoria connection point forecast report</w:t>
      </w:r>
      <w:r w:rsidRPr="00A07986">
        <w:t xml:space="preserve">; AusNet Services, </w:t>
      </w:r>
      <w:r w:rsidRPr="00DC797D">
        <w:rPr>
          <w:rStyle w:val="AERtextitalic"/>
        </w:rPr>
        <w:t>Terminal Station economic models</w:t>
      </w:r>
      <w:r w:rsidRPr="00A07986">
        <w:t xml:space="preserve"> (received in response to information request 09); AusNet Services, </w:t>
      </w:r>
      <w:r w:rsidRPr="00DC797D">
        <w:rPr>
          <w:rStyle w:val="AERtextitalic"/>
        </w:rPr>
        <w:t>Transmission Revenue Review 2017–2022</w:t>
      </w:r>
      <w:r w:rsidRPr="00A07986">
        <w:t xml:space="preserve">, October 2015, </w:t>
      </w:r>
      <w:r w:rsidRPr="00F46587">
        <w:t xml:space="preserve">Appendix 4B; AusNet Services, </w:t>
      </w:r>
      <w:r w:rsidRPr="00DC797D">
        <w:rPr>
          <w:rStyle w:val="AERtextitalic"/>
        </w:rPr>
        <w:t>2015 terminal station demand forecasts</w:t>
      </w:r>
      <w:r w:rsidRPr="00F46587">
        <w:t xml:space="preserve">, available at </w:t>
      </w:r>
      <w:hyperlink r:id="rId37" w:history="1">
        <w:r w:rsidRPr="00F46587">
          <w:rPr>
            <w:rStyle w:val="Hyperlink"/>
            <w:color w:val="auto"/>
            <w:sz w:val="16"/>
            <w:u w:val="none"/>
          </w:rPr>
          <w:t>http://www.ausnetservices.com.au/CA257D1D007678E1/Lookup/Projects2/$file/TCPR%20TSDemandForecast.xlsx</w:t>
        </w:r>
      </w:hyperlink>
      <w:r w:rsidR="00F46587" w:rsidRPr="00F46587">
        <w:rPr>
          <w:rStyle w:val="Hyperlink"/>
          <w:color w:val="auto"/>
          <w:sz w:val="16"/>
          <w:u w:val="none"/>
        </w:rPr>
        <w:t>.</w:t>
      </w:r>
      <w:r w:rsidRPr="00F46587">
        <w:t xml:space="preserve">    </w:t>
      </w:r>
    </w:p>
    <w:p w:rsidR="007D20CF" w:rsidRDefault="006776CB" w:rsidP="00A07986">
      <w:r>
        <w:lastRenderedPageBreak/>
        <w:t>AusNet Services</w:t>
      </w:r>
      <w:r w:rsidR="007D20CF">
        <w:t xml:space="preserve"> submitted that its approach to selecting demand forecast is also based on an understanding of likely trends and deve</w:t>
      </w:r>
      <w:r>
        <w:t>lopments. While AusNet Services</w:t>
      </w:r>
      <w:r w:rsidR="007D20CF">
        <w:t xml:space="preserve"> provided no further information, we note that AEM</w:t>
      </w:r>
      <w:r w:rsidR="006A3A5C">
        <w:t>O</w:t>
      </w:r>
      <w:r w:rsidR="007D20CF">
        <w:t>'s demand forecasting methodology does take into accoun</w:t>
      </w:r>
      <w:r w:rsidR="009751EB">
        <w:t>t ‘block loads’</w:t>
      </w:r>
      <w:r w:rsidR="00C9117C">
        <w:t xml:space="preserve"> (e.g. changes in large loads from a large directly connected customer)</w:t>
      </w:r>
      <w:r w:rsidR="009751EB">
        <w:t>.</w:t>
      </w:r>
    </w:p>
    <w:p w:rsidR="00A07986" w:rsidRPr="00A07986" w:rsidRDefault="00A07986" w:rsidP="00A07986">
      <w:r w:rsidRPr="00A07986">
        <w:t xml:space="preserve">We consider that applying a single demand forecasting methodology to forecast terminal station demand will result in forecasts that reflect realistic expectations of demand. We consider that AEMO’s terminal station demand forecasts reflect a realistic expectation of demand for AusNet Services’ network because it is based on a consistent and </w:t>
      </w:r>
      <w:r w:rsidR="00F80F4B">
        <w:t>well established</w:t>
      </w:r>
      <w:r w:rsidR="00F80F4B" w:rsidRPr="00A07986">
        <w:t xml:space="preserve"> </w:t>
      </w:r>
      <w:r w:rsidRPr="00A07986">
        <w:t xml:space="preserve">forecasting methodology. This is </w:t>
      </w:r>
      <w:r w:rsidR="00F80F4B">
        <w:t>consistent with the</w:t>
      </w:r>
      <w:r w:rsidRPr="00A07986">
        <w:t xml:space="preserve"> position we adopted in our final decision for the Victorian distributors 2016-20 regulatory determinations, including on demand forecasts.  </w:t>
      </w:r>
    </w:p>
    <w:p w:rsidR="00A07986" w:rsidRPr="00A07986" w:rsidRDefault="00F80F4B" w:rsidP="00A07986">
      <w:r>
        <w:t>Further</w:t>
      </w:r>
      <w:r w:rsidR="00A07986" w:rsidRPr="00A07986">
        <w:t xml:space="preserve">, applying AEMO’s terminal station demand forecasts will ensure consistency between replacement planning by AusNet Services and network augmentation planning by AEMO in Victoria. This will ensure that network assets are replaced or upgraded on a consistent basis across the transmission network. </w:t>
      </w:r>
      <w:r>
        <w:t xml:space="preserve">We note that AusNet Services submitted that in identifying synergies or savings, project based replacement may be combined with AEMO's shared network augmentation requirements. To ensure that these savings or synergies are realised we would expect that a consistent application of the AEMO demand forecasts should be applied. </w:t>
      </w:r>
    </w:p>
    <w:p w:rsidR="00A07986" w:rsidRPr="00A07986" w:rsidRDefault="00A07986" w:rsidP="00A07986">
      <w:r w:rsidRPr="00A07986">
        <w:t>AusNet Services’ analysis is also based on AEMO’s and the Victorian distributors 2014 forecasts, which were the most recently published forecasts available at the time AusNet Services developed its revenue proposal.</w:t>
      </w:r>
      <w:r w:rsidRPr="00A07986">
        <w:rPr>
          <w:rStyle w:val="FootnoteReference"/>
        </w:rPr>
        <w:footnoteReference w:id="155"/>
      </w:r>
      <w:r w:rsidRPr="00A07986">
        <w:t xml:space="preserve"> Both AEMO and the Victorian DNSPs have since published </w:t>
      </w:r>
      <w:r w:rsidR="00F46587">
        <w:t xml:space="preserve">updated 2015 forecasts. </w:t>
      </w:r>
      <w:fldSimple w:instr=" REF _Ref453684362 ">
        <w:r w:rsidR="00C60946">
          <w:t xml:space="preserve">Figure </w:t>
        </w:r>
        <w:r w:rsidR="00C60946">
          <w:rPr>
            <w:noProof/>
          </w:rPr>
          <w:t>6</w:t>
        </w:r>
        <w:r w:rsidR="00C60946">
          <w:t>.</w:t>
        </w:r>
        <w:r w:rsidR="00C60946">
          <w:rPr>
            <w:noProof/>
          </w:rPr>
          <w:t>14</w:t>
        </w:r>
      </w:fldSimple>
      <w:r w:rsidRPr="00A07986">
        <w:t xml:space="preserve"> below compared the 2014 and 2015 forecasts for AEMO and the Victorian distributors. This shows that the distributors’ forecasts are significantly lower and are now more consistent with AEMO’s, which has also been updated. </w:t>
      </w:r>
    </w:p>
    <w:p w:rsidR="00A07986" w:rsidRPr="00A07986" w:rsidRDefault="00F46587" w:rsidP="00F46587">
      <w:pPr>
        <w:pStyle w:val="Caption"/>
      </w:pPr>
      <w:bookmarkStart w:id="119" w:name="_Ref453684362"/>
      <w:proofErr w:type="gramStart"/>
      <w:r>
        <w:lastRenderedPageBreak/>
        <w:t xml:space="preserve">Figure </w:t>
      </w:r>
      <w:fldSimple w:instr=" STYLEREF 1 \s ">
        <w:r w:rsidR="00C60946">
          <w:rPr>
            <w:noProof/>
          </w:rPr>
          <w:t>6</w:t>
        </w:r>
      </w:fldSimple>
      <w:r w:rsidR="004855D0">
        <w:t>.</w:t>
      </w:r>
      <w:proofErr w:type="gramEnd"/>
      <w:r w:rsidR="00735181">
        <w:fldChar w:fldCharType="begin"/>
      </w:r>
      <w:r w:rsidR="00735181">
        <w:instrText xml:space="preserve"> SEQ Figure \* ARABIC \s 1 </w:instrText>
      </w:r>
      <w:r w:rsidR="00735181">
        <w:fldChar w:fldCharType="separate"/>
      </w:r>
      <w:r w:rsidR="00C60946">
        <w:rPr>
          <w:noProof/>
        </w:rPr>
        <w:t>14</w:t>
      </w:r>
      <w:r w:rsidR="00735181">
        <w:rPr>
          <w:noProof/>
        </w:rPr>
        <w:fldChar w:fldCharType="end"/>
      </w:r>
      <w:bookmarkEnd w:id="119"/>
      <w:r>
        <w:tab/>
      </w:r>
      <w:r w:rsidR="00A07986" w:rsidRPr="00A07986">
        <w:t>Change in demand forecasts between 2014 and 2015 (MW, non-coincident transmission connection points, POE10, summer)</w:t>
      </w:r>
    </w:p>
    <w:p w:rsidR="00A07986" w:rsidRPr="00A07986" w:rsidRDefault="00DC797D" w:rsidP="00A07986">
      <w:r>
        <w:rPr>
          <w:noProof/>
          <w:lang w:eastAsia="en-AU"/>
        </w:rPr>
        <w:drawing>
          <wp:inline distT="0" distB="0" distL="0" distR="0" wp14:anchorId="46EE14F2" wp14:editId="36A66D4B">
            <wp:extent cx="5438775" cy="417038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3367" cy="4173910"/>
                    </a:xfrm>
                    <a:prstGeom prst="rect">
                      <a:avLst/>
                    </a:prstGeom>
                    <a:noFill/>
                  </pic:spPr>
                </pic:pic>
              </a:graphicData>
            </a:graphic>
          </wp:inline>
        </w:drawing>
      </w:r>
    </w:p>
    <w:p w:rsidR="00A07986" w:rsidRDefault="00A07986" w:rsidP="00F46587">
      <w:pPr>
        <w:pStyle w:val="AERtablesource"/>
      </w:pPr>
      <w:r w:rsidRPr="00A07986">
        <w:t xml:space="preserve">Source: </w:t>
      </w:r>
      <w:r w:rsidR="006F68E7">
        <w:tab/>
      </w:r>
      <w:r w:rsidRPr="00A07986">
        <w:t xml:space="preserve">AEMO, </w:t>
      </w:r>
      <w:r w:rsidRPr="00DC797D">
        <w:rPr>
          <w:rStyle w:val="AERtextitalic"/>
        </w:rPr>
        <w:t>2015 Victoria connection point forecast report</w:t>
      </w:r>
      <w:r w:rsidRPr="00A07986">
        <w:t xml:space="preserve">; AusNet Services, </w:t>
      </w:r>
      <w:r w:rsidRPr="00DC797D">
        <w:rPr>
          <w:rStyle w:val="AERtextitalic"/>
        </w:rPr>
        <w:t>Transmission Revenue Review 2017–2022</w:t>
      </w:r>
      <w:r w:rsidRPr="00F46587">
        <w:t xml:space="preserve">, October 2015, Appendix 4B; AusNet Services, </w:t>
      </w:r>
      <w:r w:rsidRPr="00DC797D">
        <w:rPr>
          <w:rStyle w:val="AERtextitalic"/>
        </w:rPr>
        <w:t>2015 terminal station demand forecasts</w:t>
      </w:r>
      <w:r w:rsidRPr="00F46587">
        <w:t>, available</w:t>
      </w:r>
      <w:r w:rsidR="004855D0">
        <w:t xml:space="preserve"> </w:t>
      </w:r>
      <w:r w:rsidRPr="00F46587">
        <w:t xml:space="preserve">at </w:t>
      </w:r>
      <w:hyperlink r:id="rId39" w:history="1">
        <w:r w:rsidRPr="00F46587">
          <w:rPr>
            <w:rStyle w:val="Hyperlink"/>
            <w:color w:val="auto"/>
            <w:sz w:val="16"/>
            <w:u w:val="none"/>
          </w:rPr>
          <w:t>http://www.ausnetservices.com.au/CA257D1D007678E1/Lookup/Projects2/$file/TCPR%20TSDemandForecast.xlsx</w:t>
        </w:r>
      </w:hyperlink>
    </w:p>
    <w:p w:rsidR="00A07986" w:rsidRPr="00A07986" w:rsidRDefault="00D445D4" w:rsidP="00A07986">
      <w:r w:rsidRPr="00D445D4">
        <w:t>For this draft decision</w:t>
      </w:r>
      <w:r>
        <w:t>, w</w:t>
      </w:r>
      <w:r w:rsidR="00A07986" w:rsidRPr="00A07986">
        <w:t xml:space="preserve">e have re-estimated the economic evaluations of AusNet Services proposed terminal station rebuild projects by applying AEMO’s 2015 forecasts. </w:t>
      </w:r>
      <w:r w:rsidRPr="00D445D4">
        <w:t>We expect that AusNet Services will also consider the impact of updated demand forecasts on forecast capex in the context of its revised proposal.</w:t>
      </w:r>
    </w:p>
    <w:p w:rsidR="0014085B" w:rsidRDefault="0014085B" w:rsidP="0014085B">
      <w:pPr>
        <w:pStyle w:val="Heading7"/>
      </w:pPr>
      <w:bookmarkStart w:id="120" w:name="_Toc456608832"/>
      <w:r>
        <w:lastRenderedPageBreak/>
        <w:t>Contingent projects</w:t>
      </w:r>
      <w:bookmarkEnd w:id="120"/>
    </w:p>
    <w:p w:rsidR="00D95AAD" w:rsidRDefault="00D95AAD" w:rsidP="00D95AAD">
      <w:r>
        <w:t xml:space="preserve">AusNet Services proposed one contingent project for the 2017–22 regulatory control </w:t>
      </w:r>
      <w:proofErr w:type="gramStart"/>
      <w:r>
        <w:t>period</w:t>
      </w:r>
      <w:proofErr w:type="gramEnd"/>
      <w:r>
        <w:t xml:space="preserve"> to replace the synchronous condensers</w:t>
      </w:r>
      <w:r>
        <w:rPr>
          <w:rStyle w:val="FootnoteReference"/>
        </w:rPr>
        <w:footnoteReference w:id="156"/>
      </w:r>
      <w:r>
        <w:t xml:space="preserve"> at the Brooklyn and Templestowe terminal stations at an approximate cost of $70 million.</w:t>
      </w:r>
      <w:r>
        <w:rPr>
          <w:rStyle w:val="FootnoteReference"/>
        </w:rPr>
        <w:footnoteReference w:id="157"/>
      </w:r>
    </w:p>
    <w:p w:rsidR="00D95AAD" w:rsidRDefault="00D95AAD" w:rsidP="00D95AAD">
      <w:r w:rsidRPr="00B275F9">
        <w:t>Generally, contingent projects are s</w:t>
      </w:r>
      <w:r>
        <w:t xml:space="preserve">ignificant network </w:t>
      </w:r>
      <w:r w:rsidRPr="00B275F9">
        <w:t>projects that may be reasonably required to be undertaken in order to achieve the capex objectives. However, unlike other proposed capex projects, the need for the project and the associat</w:t>
      </w:r>
      <w:r>
        <w:t>ed costs are not certain. E</w:t>
      </w:r>
      <w:r w:rsidRPr="00B275F9">
        <w:t>xpenditure f</w:t>
      </w:r>
      <w:r>
        <w:t>or such projects does not form</w:t>
      </w:r>
      <w:r w:rsidRPr="00B275F9">
        <w:t xml:space="preserve"> part of our assessment of the total forecast capex that we approve in this determination. Such projects are linked to unique investment drivers and are triggered by a defined 'trigger event'. The occurrence of the trigger event must</w:t>
      </w:r>
      <w:r>
        <w:t xml:space="preserve"> be probable during the</w:t>
      </w:r>
      <w:r w:rsidRPr="00B275F9">
        <w:t xml:space="preserve"> regulatory control period.</w:t>
      </w:r>
      <w:r>
        <w:rPr>
          <w:rStyle w:val="FootnoteReference"/>
        </w:rPr>
        <w:footnoteReference w:id="158"/>
      </w:r>
    </w:p>
    <w:p w:rsidR="00D95AAD" w:rsidRDefault="00D95AAD" w:rsidP="00D95AAD">
      <w:r>
        <w:t xml:space="preserve">In proposing the replacement of the Brooklyn and Templestowe synchronous condensers as a contingent project, AusNet Services submitted that it was awaiting advice from AEMO as to whether </w:t>
      </w:r>
      <w:r w:rsidRPr="0041254F">
        <w:t xml:space="preserve">the expected </w:t>
      </w:r>
      <w:r>
        <w:t>future benefits of the</w:t>
      </w:r>
      <w:r w:rsidRPr="0041254F">
        <w:t xml:space="preserve"> two synchronous condensers</w:t>
      </w:r>
      <w:r>
        <w:t xml:space="preserve"> </w:t>
      </w:r>
      <w:r w:rsidRPr="0041254F">
        <w:t>are sufficient to justify their replacement.</w:t>
      </w:r>
      <w:r>
        <w:rPr>
          <w:rStyle w:val="FootnoteReference"/>
        </w:rPr>
        <w:footnoteReference w:id="159"/>
      </w:r>
      <w:r>
        <w:t xml:space="preserve"> AusNet Services defined the trigger event for the proposed contingent project as:</w:t>
      </w:r>
      <w:r>
        <w:rPr>
          <w:rStyle w:val="FootnoteReference"/>
        </w:rPr>
        <w:footnoteReference w:id="160"/>
      </w:r>
    </w:p>
    <w:p w:rsidR="00D95AAD" w:rsidRDefault="00D95AAD" w:rsidP="00D95AAD">
      <w:pPr>
        <w:pStyle w:val="AERquote"/>
      </w:pPr>
      <w:r w:rsidRPr="00277E78">
        <w:t>Formal confirmation from AEMO that the magnitude of the ex</w:t>
      </w:r>
      <w:r>
        <w:t xml:space="preserve">pected benefits provided by the </w:t>
      </w:r>
      <w:r w:rsidRPr="00277E78">
        <w:t>synchronous condensers justify the replacement of the Brooklyn and/or Templestowe Terminal</w:t>
      </w:r>
      <w:r>
        <w:t xml:space="preserve"> </w:t>
      </w:r>
      <w:r w:rsidRPr="00277E78">
        <w:t>Station synchronous condensers with reactive plant providing a similar, or reduced, level of service.</w:t>
      </w:r>
    </w:p>
    <w:p w:rsidR="00D95AAD" w:rsidRDefault="00D95AAD" w:rsidP="00D95AAD">
      <w:r>
        <w:t>On 7 April 2016, AusNet Services submitted that it had received advice from AEMO that the synchronous condensers</w:t>
      </w:r>
      <w:r w:rsidRPr="0041254F">
        <w:t xml:space="preserve"> are no longer justified by market benefits and will not need to be replaced</w:t>
      </w:r>
      <w:r>
        <w:t>. AusNet Services submitted the proposed contingent project wa</w:t>
      </w:r>
      <w:r w:rsidRPr="0041254F">
        <w:t xml:space="preserve">s </w:t>
      </w:r>
      <w:r>
        <w:t xml:space="preserve">therefore </w:t>
      </w:r>
      <w:r w:rsidRPr="0041254F">
        <w:t>no longer required.</w:t>
      </w:r>
      <w:r>
        <w:rPr>
          <w:rStyle w:val="FootnoteReference"/>
        </w:rPr>
        <w:footnoteReference w:id="161"/>
      </w:r>
    </w:p>
    <w:p w:rsidR="00D95AAD" w:rsidRDefault="00D95AAD" w:rsidP="00D95AAD">
      <w:r>
        <w:t xml:space="preserve">Based on the advice received from AEMO and AusNet Services, we </w:t>
      </w:r>
      <w:r w:rsidR="00803ACE">
        <w:t xml:space="preserve">are satisfied that </w:t>
      </w:r>
      <w:r>
        <w:t>the proposed contingent project to replace the Brooklyn and Templestowe synchronous condensers is not required to be undertaken to meet the capex objectives.</w:t>
      </w:r>
      <w:r>
        <w:rPr>
          <w:rStyle w:val="FootnoteReference"/>
        </w:rPr>
        <w:footnoteReference w:id="162"/>
      </w:r>
      <w:r>
        <w:t xml:space="preserve"> We have therefore not approved any contingent projects for AusNet Services in the 2017–22 regulatory control </w:t>
      </w:r>
      <w:proofErr w:type="gramStart"/>
      <w:r>
        <w:t>period</w:t>
      </w:r>
      <w:proofErr w:type="gramEnd"/>
      <w:r>
        <w:t>.</w:t>
      </w:r>
    </w:p>
    <w:p w:rsidR="00840215" w:rsidRDefault="00D95AAD" w:rsidP="00840215">
      <w:pPr>
        <w:pStyle w:val="Heading7"/>
      </w:pPr>
      <w:bookmarkStart w:id="121" w:name="_Toc456608833"/>
      <w:r>
        <w:lastRenderedPageBreak/>
        <w:t>Statement of efficiency</w:t>
      </w:r>
      <w:r w:rsidR="00840215">
        <w:t xml:space="preserve"> – 2014-15 capex</w:t>
      </w:r>
      <w:bookmarkEnd w:id="121"/>
    </w:p>
    <w:p w:rsidR="007B6DFA" w:rsidRPr="007B6DFA" w:rsidRDefault="00E41735" w:rsidP="007B6DFA">
      <w:r>
        <w:t xml:space="preserve">As set out in our </w:t>
      </w:r>
      <w:r w:rsidR="00823EC6">
        <w:t xml:space="preserve">final </w:t>
      </w:r>
      <w:r>
        <w:t xml:space="preserve">framework and approach </w:t>
      </w:r>
      <w:r w:rsidR="00823EC6">
        <w:t xml:space="preserve">decision, we </w:t>
      </w:r>
      <w:r w:rsidR="007B6DFA" w:rsidRPr="007B6DFA">
        <w:t>are required to provide a statement on whether past expenditure included in the regulatory asset base is efficient and prudent.</w:t>
      </w:r>
      <w:r w:rsidR="007B6DFA" w:rsidRPr="007B6DFA">
        <w:rPr>
          <w:rStyle w:val="FootnoteReference"/>
        </w:rPr>
        <w:footnoteReference w:id="163"/>
      </w:r>
      <w:r w:rsidR="007B6DFA" w:rsidRPr="007B6DFA">
        <w:t xml:space="preserve">  We have also assessed the extent to which the roll forward of the regulatory asset base from the 2014-17 regulatory control period to the commencement of the 2017-22 regulatory control period contributes to the achievement of the capital expenditure incentive objective.</w:t>
      </w:r>
      <w:r w:rsidR="007B6DFA" w:rsidRPr="007B6DFA">
        <w:rPr>
          <w:rStyle w:val="FootnoteReference"/>
        </w:rPr>
        <w:footnoteReference w:id="164"/>
      </w:r>
      <w:r w:rsidR="007B6DFA" w:rsidRPr="007B6DFA">
        <w:t xml:space="preserve"> The capital expenditure objective essentially requires that only prudent and efficient expenditure is included in the regulatory asset base. </w:t>
      </w:r>
    </w:p>
    <w:p w:rsidR="000D14F2" w:rsidRDefault="000D14F2" w:rsidP="00823EC6">
      <w:r>
        <w:t xml:space="preserve">The NER requires that </w:t>
      </w:r>
      <w:r w:rsidR="00823EC6">
        <w:t xml:space="preserve">the last two years of the previous regulatory control period </w:t>
      </w:r>
      <w:r w:rsidR="007B6DFA">
        <w:t xml:space="preserve">(for the purposes of this decision, the 2014-17 regulatory control period) </w:t>
      </w:r>
      <w:r w:rsidR="00823EC6">
        <w:t>are excluded from the ex-post assessment</w:t>
      </w:r>
      <w:r w:rsidR="002A392C">
        <w:t xml:space="preserve"> of past capex</w:t>
      </w:r>
      <w:r w:rsidR="00823EC6">
        <w:t>.</w:t>
      </w:r>
      <w:r w:rsidR="00916F9E">
        <w:rPr>
          <w:rStyle w:val="FootnoteReference"/>
        </w:rPr>
        <w:footnoteReference w:id="165"/>
      </w:r>
      <w:r w:rsidR="00823EC6">
        <w:t xml:space="preserve"> </w:t>
      </w:r>
      <w:r w:rsidR="00D71AF9">
        <w:t xml:space="preserve">Further, the NER prescribes that the review period does not include the regulatory year in which the first Capital Expenditure Incentive Guideline was published (2013-14) or any regulatory year that </w:t>
      </w:r>
      <w:proofErr w:type="gramStart"/>
      <w:r w:rsidR="00D71AF9">
        <w:t>precedes</w:t>
      </w:r>
      <w:proofErr w:type="gramEnd"/>
      <w:r w:rsidR="00D71AF9">
        <w:t xml:space="preserve"> that regulatory year.</w:t>
      </w:r>
      <w:r w:rsidR="00916F9E">
        <w:rPr>
          <w:rStyle w:val="FootnoteReference"/>
        </w:rPr>
        <w:footnoteReference w:id="166"/>
      </w:r>
      <w:r w:rsidR="00D71AF9">
        <w:t xml:space="preserve"> Accordingly</w:t>
      </w:r>
      <w:r>
        <w:t>, our</w:t>
      </w:r>
      <w:r w:rsidR="00823EC6" w:rsidRPr="00823EC6">
        <w:t xml:space="preserve"> </w:t>
      </w:r>
      <w:r w:rsidR="002A392C">
        <w:t xml:space="preserve">ex-post assessment </w:t>
      </w:r>
      <w:r>
        <w:t>only applies to the 2014-15 regulatory year</w:t>
      </w:r>
      <w:r w:rsidR="00823EC6" w:rsidRPr="00823EC6">
        <w:t>.</w:t>
      </w:r>
    </w:p>
    <w:p w:rsidR="002D5825" w:rsidRDefault="002D5825" w:rsidP="002D5825">
      <w:pPr>
        <w:pStyle w:val="Heading9"/>
      </w:pPr>
      <w:bookmarkStart w:id="122" w:name="_Toc456608834"/>
      <w:r>
        <w:t>Position</w:t>
      </w:r>
      <w:bookmarkEnd w:id="122"/>
    </w:p>
    <w:p w:rsidR="002D5825" w:rsidRDefault="002D5825" w:rsidP="002D5825">
      <w:r>
        <w:t>We are satisfied that</w:t>
      </w:r>
      <w:r w:rsidR="00EE75E3">
        <w:t xml:space="preserve"> AusNet Services capital expenditure in the 2014-15 regulatory </w:t>
      </w:r>
      <w:proofErr w:type="gramStart"/>
      <w:r w:rsidR="00EE75E3">
        <w:t>year</w:t>
      </w:r>
      <w:proofErr w:type="gramEnd"/>
      <w:r w:rsidR="00EE75E3">
        <w:t xml:space="preserve"> reasonably reflects the capital expenditure criteria</w:t>
      </w:r>
      <w:r w:rsidR="00F62B77">
        <w:t>.</w:t>
      </w:r>
    </w:p>
    <w:p w:rsidR="002D5825" w:rsidRDefault="002D5825" w:rsidP="002D5825">
      <w:pPr>
        <w:pStyle w:val="Heading9"/>
      </w:pPr>
      <w:bookmarkStart w:id="123" w:name="_Toc456608835"/>
      <w:r>
        <w:t>AER approach</w:t>
      </w:r>
      <w:bookmarkEnd w:id="123"/>
    </w:p>
    <w:p w:rsidR="00823EC6" w:rsidRDefault="000D14F2" w:rsidP="00823EC6">
      <w:r>
        <w:t xml:space="preserve">We have conducted our assessment </w:t>
      </w:r>
      <w:r w:rsidR="002D5825">
        <w:t xml:space="preserve">of the efficiency of past capex </w:t>
      </w:r>
      <w:r>
        <w:t>consistent with the approach set out in our Capital Expenditure Incentive Guideline (the Guideline). In our Guideline we outlined a two stage process for undertaking an ex-post assessment of capital expenditure:</w:t>
      </w:r>
      <w:r w:rsidR="00916F9E">
        <w:rPr>
          <w:rStyle w:val="FootnoteReference"/>
        </w:rPr>
        <w:footnoteReference w:id="167"/>
      </w:r>
    </w:p>
    <w:p w:rsidR="000D14F2" w:rsidRDefault="000D14F2" w:rsidP="000D14F2">
      <w:pPr>
        <w:pStyle w:val="AERbulletlistfirststyle"/>
      </w:pPr>
      <w:r>
        <w:t>Stage one - initial consideration of capex performance;</w:t>
      </w:r>
    </w:p>
    <w:p w:rsidR="000D14F2" w:rsidRDefault="000D14F2" w:rsidP="000D14F2">
      <w:pPr>
        <w:pStyle w:val="AERbulletlistfirststyle"/>
      </w:pPr>
      <w:r>
        <w:t>Stage two - detailed assessment of capex projects and project management planning processes.</w:t>
      </w:r>
    </w:p>
    <w:p w:rsidR="003E78F2" w:rsidRDefault="000D14F2" w:rsidP="000D14F2">
      <w:pPr>
        <w:pStyle w:val="AERbulletlistfirststyle"/>
        <w:numPr>
          <w:ilvl w:val="0"/>
          <w:numId w:val="0"/>
        </w:numPr>
      </w:pPr>
      <w:r>
        <w:t xml:space="preserve">The first stage considers whether the TNSP has overspent against its allowance </w:t>
      </w:r>
      <w:r w:rsidR="002D5825">
        <w:t xml:space="preserve">and </w:t>
      </w:r>
      <w:r w:rsidR="003E78F2">
        <w:t xml:space="preserve">past capex performance. We have </w:t>
      </w:r>
      <w:r w:rsidR="00C17591">
        <w:t xml:space="preserve">also </w:t>
      </w:r>
      <w:r w:rsidR="003E78F2">
        <w:t>used our benchmarking anal</w:t>
      </w:r>
      <w:r w:rsidR="005F7575">
        <w:t>ysis to form our view regarding the likely efficiency of past capex.</w:t>
      </w:r>
    </w:p>
    <w:p w:rsidR="000D14F2" w:rsidRDefault="003E78F2" w:rsidP="000D14F2">
      <w:pPr>
        <w:pStyle w:val="AERbulletlistfirststyle"/>
        <w:numPr>
          <w:ilvl w:val="0"/>
          <w:numId w:val="0"/>
        </w:numPr>
      </w:pPr>
      <w:r>
        <w:lastRenderedPageBreak/>
        <w:t xml:space="preserve">In accordance with our Guideline we would only proceed to </w:t>
      </w:r>
      <w:r w:rsidR="005F7575">
        <w:t>a more detailed assessment (stage two)</w:t>
      </w:r>
      <w:r w:rsidR="005963D9">
        <w:t>, if a TNSP</w:t>
      </w:r>
      <w:r>
        <w:t xml:space="preserve"> had overspent against its allowance</w:t>
      </w:r>
      <w:r w:rsidR="0046647B">
        <w:t>,</w:t>
      </w:r>
      <w:r>
        <w:t xml:space="preserve"> and </w:t>
      </w:r>
      <w:r w:rsidR="005963D9">
        <w:t xml:space="preserve">its </w:t>
      </w:r>
      <w:r>
        <w:t>capex performance covered by the period of our ex-post assessment</w:t>
      </w:r>
      <w:r w:rsidR="005F7575">
        <w:t xml:space="preserve"> suggests</w:t>
      </w:r>
      <w:r>
        <w:t xml:space="preserve"> that levels of capex may </w:t>
      </w:r>
      <w:r w:rsidR="005F7575">
        <w:t xml:space="preserve">not be efficient </w:t>
      </w:r>
      <w:r>
        <w:t xml:space="preserve">or </w:t>
      </w:r>
      <w:r w:rsidR="005963D9">
        <w:t>do</w:t>
      </w:r>
      <w:r>
        <w:t xml:space="preserve"> not compare favourably to other TNSPs. </w:t>
      </w:r>
    </w:p>
    <w:p w:rsidR="002D5825" w:rsidRDefault="002D5825" w:rsidP="002D5825">
      <w:pPr>
        <w:pStyle w:val="Heading9"/>
      </w:pPr>
      <w:bookmarkStart w:id="124" w:name="_Toc456608836"/>
      <w:r>
        <w:t>AER assessment</w:t>
      </w:r>
      <w:bookmarkEnd w:id="124"/>
    </w:p>
    <w:p w:rsidR="003E78F2" w:rsidRDefault="00936BA3" w:rsidP="000D14F2">
      <w:pPr>
        <w:pStyle w:val="AERbulletlistfirststyle"/>
        <w:numPr>
          <w:ilvl w:val="0"/>
          <w:numId w:val="0"/>
        </w:numPr>
      </w:pPr>
      <w:r>
        <w:t xml:space="preserve">We have reviewed AusNet Services' capex performance for the 2014-15 regulatory </w:t>
      </w:r>
      <w:proofErr w:type="gramStart"/>
      <w:r>
        <w:t>year</w:t>
      </w:r>
      <w:proofErr w:type="gramEnd"/>
      <w:r w:rsidR="002A392C">
        <w:t xml:space="preserve">. </w:t>
      </w:r>
      <w:r w:rsidR="005963D9">
        <w:t>This assessment has considered AusNet Services</w:t>
      </w:r>
      <w:r w:rsidR="00322644">
        <w:t>'</w:t>
      </w:r>
      <w:r w:rsidR="005963D9">
        <w:t>:</w:t>
      </w:r>
    </w:p>
    <w:p w:rsidR="005963D9" w:rsidRDefault="005963D9" w:rsidP="005963D9">
      <w:pPr>
        <w:pStyle w:val="AERbulletlistfirststyle"/>
      </w:pPr>
      <w:r>
        <w:t>out-turn capex relative to the regulatory allowance given the incentive properties of the regulatory regime for a TNSP to minimise</w:t>
      </w:r>
      <w:r w:rsidR="00553037">
        <w:t xml:space="preserve"> costs</w:t>
      </w:r>
      <w:r>
        <w:t>; and</w:t>
      </w:r>
    </w:p>
    <w:p w:rsidR="005963D9" w:rsidRDefault="005963D9" w:rsidP="005963D9">
      <w:pPr>
        <w:pStyle w:val="AERbulletlistfirststyle"/>
      </w:pPr>
      <w:proofErr w:type="gramStart"/>
      <w:r>
        <w:t>past</w:t>
      </w:r>
      <w:proofErr w:type="gramEnd"/>
      <w:r>
        <w:t xml:space="preserve"> capex performance in terms of efficiency.</w:t>
      </w:r>
    </w:p>
    <w:p w:rsidR="002D5825" w:rsidRDefault="00936BA3" w:rsidP="000D14F2">
      <w:pPr>
        <w:pStyle w:val="AERbulletlistfirststyle"/>
        <w:numPr>
          <w:ilvl w:val="0"/>
          <w:numId w:val="0"/>
        </w:numPr>
      </w:pPr>
      <w:r>
        <w:t>AusNet Services has underspent relative to its a</w:t>
      </w:r>
      <w:r w:rsidR="005C117A">
        <w:t>pproved capex for 2014-15</w:t>
      </w:r>
      <w:r>
        <w:t xml:space="preserve">. </w:t>
      </w:r>
      <w:r w:rsidR="004B1008">
        <w:t xml:space="preserve">Given, AusNet Services has underspent against its regulatory allowance in the 2014-15 regulatory </w:t>
      </w:r>
      <w:proofErr w:type="gramStart"/>
      <w:r w:rsidR="004B1008">
        <w:t>year</w:t>
      </w:r>
      <w:proofErr w:type="gramEnd"/>
      <w:r w:rsidR="004B1008">
        <w:t xml:space="preserve">, </w:t>
      </w:r>
      <w:r w:rsidR="002F3B21">
        <w:t xml:space="preserve">this supports the view that this expenditure is consistent with the capital expenditure objective. </w:t>
      </w:r>
    </w:p>
    <w:p w:rsidR="009D6609" w:rsidRDefault="00CE1FA6" w:rsidP="000D14F2">
      <w:pPr>
        <w:pStyle w:val="AERbulletlistfirststyle"/>
        <w:numPr>
          <w:ilvl w:val="0"/>
          <w:numId w:val="0"/>
        </w:numPr>
      </w:pPr>
      <w:r>
        <w:t>We have also had regard to some measures of input cost efficiency as published in our latest annual benchmarking report.</w:t>
      </w:r>
      <w:r w:rsidR="003705FB">
        <w:rPr>
          <w:rStyle w:val="FootnoteReference"/>
        </w:rPr>
        <w:footnoteReference w:id="168"/>
      </w:r>
      <w:r>
        <w:t xml:space="preserve"> </w:t>
      </w:r>
      <w:r w:rsidR="009D6609">
        <w:t>W</w:t>
      </w:r>
      <w:r w:rsidRPr="00CE1FA6">
        <w:t xml:space="preserve">e recognise that there is no perfect benchmarking model, and </w:t>
      </w:r>
      <w:r w:rsidR="005963D9">
        <w:t xml:space="preserve">as noted by AusNet Services we </w:t>
      </w:r>
      <w:r w:rsidRPr="00CE1FA6">
        <w:t xml:space="preserve">have been cautious in our initial application of these </w:t>
      </w:r>
      <w:r>
        <w:t>techniques</w:t>
      </w:r>
      <w:r w:rsidRPr="00CE1FA6">
        <w:t xml:space="preserve"> </w:t>
      </w:r>
      <w:r>
        <w:t xml:space="preserve">for assessing </w:t>
      </w:r>
      <w:r w:rsidR="00B11827">
        <w:t xml:space="preserve">the </w:t>
      </w:r>
      <w:r>
        <w:t xml:space="preserve">efficiency </w:t>
      </w:r>
      <w:r w:rsidR="00B11827">
        <w:t xml:space="preserve">of expenditure </w:t>
      </w:r>
      <w:r w:rsidRPr="00CE1FA6">
        <w:t xml:space="preserve">in recent </w:t>
      </w:r>
      <w:r>
        <w:t xml:space="preserve">transmission </w:t>
      </w:r>
      <w:r w:rsidRPr="00CE1FA6">
        <w:t>determinations.</w:t>
      </w:r>
      <w:r w:rsidR="00916F9E">
        <w:rPr>
          <w:rStyle w:val="FootnoteReference"/>
        </w:rPr>
        <w:footnoteReference w:id="169"/>
      </w:r>
      <w:r w:rsidRPr="00CE1FA6">
        <w:t xml:space="preserve"> </w:t>
      </w:r>
      <w:r w:rsidR="009D6609">
        <w:t>However, we consider that our benchmarking models are the most robust measures of economic efficiency available</w:t>
      </w:r>
      <w:r w:rsidR="005963D9">
        <w:t xml:space="preserve"> and </w:t>
      </w:r>
      <w:r w:rsidR="00356130">
        <w:t xml:space="preserve">we can use this measure to draw conclusions regarding </w:t>
      </w:r>
      <w:r w:rsidR="005963D9">
        <w:t>a TNSP's efficiency over time.</w:t>
      </w:r>
    </w:p>
    <w:p w:rsidR="002D5825" w:rsidRDefault="002A392C" w:rsidP="000D14F2">
      <w:pPr>
        <w:pStyle w:val="AERbulletlistfirststyle"/>
        <w:numPr>
          <w:ilvl w:val="0"/>
          <w:numId w:val="0"/>
        </w:numPr>
      </w:pPr>
      <w:r>
        <w:t xml:space="preserve">As discussed in section </w:t>
      </w:r>
      <w:fldSimple w:instr=" REF _Ref454793417 \r ">
        <w:r w:rsidR="00C60946">
          <w:t>6.4.4</w:t>
        </w:r>
      </w:fldSimple>
      <w:r>
        <w:t>, w</w:t>
      </w:r>
      <w:r w:rsidR="00CE1FA6">
        <w:t>e have</w:t>
      </w:r>
      <w:r w:rsidR="00936BA3">
        <w:t xml:space="preserve"> compared AusNet Services capex performance over time and with other TNSPs to assess the efficie</w:t>
      </w:r>
      <w:r w:rsidR="004855D0">
        <w:t xml:space="preserve">ncy of its past capex.  </w:t>
      </w:r>
      <w:fldSimple w:instr=" REF _Ref453684475 ">
        <w:r w:rsidR="00C60946">
          <w:t xml:space="preserve">Figure </w:t>
        </w:r>
        <w:r w:rsidR="00C60946">
          <w:rPr>
            <w:noProof/>
          </w:rPr>
          <w:t>6</w:t>
        </w:r>
        <w:r w:rsidR="00C60946">
          <w:t>.</w:t>
        </w:r>
        <w:r w:rsidR="00C60946">
          <w:rPr>
            <w:noProof/>
          </w:rPr>
          <w:t>15</w:t>
        </w:r>
      </w:fldSimple>
      <w:r w:rsidR="00936BA3">
        <w:t xml:space="preserve"> shows AusNet's capex performance as measured </w:t>
      </w:r>
      <w:r w:rsidR="0046647B">
        <w:t xml:space="preserve">by a </w:t>
      </w:r>
      <w:r w:rsidR="00553037" w:rsidRPr="00553037">
        <w:t xml:space="preserve">‘multilateral’ method </w:t>
      </w:r>
      <w:r w:rsidR="0046647B">
        <w:t xml:space="preserve">which </w:t>
      </w:r>
      <w:r w:rsidR="00553037" w:rsidRPr="00553037">
        <w:t>enables comparison of productivity levels and productivity trends.</w:t>
      </w:r>
      <w:r w:rsidR="00553037">
        <w:rPr>
          <w:rStyle w:val="FootnoteReference"/>
        </w:rPr>
        <w:footnoteReference w:id="170"/>
      </w:r>
    </w:p>
    <w:p w:rsidR="00936BA3" w:rsidRDefault="004855D0" w:rsidP="004855D0">
      <w:pPr>
        <w:pStyle w:val="Caption"/>
      </w:pPr>
      <w:bookmarkStart w:id="125" w:name="_Ref453684475"/>
      <w:proofErr w:type="gramStart"/>
      <w:r>
        <w:lastRenderedPageBreak/>
        <w:t xml:space="preserve">Figure </w:t>
      </w:r>
      <w:fldSimple w:instr=" STYLEREF 1 \s ">
        <w:r w:rsidR="00C60946">
          <w:rPr>
            <w:noProof/>
          </w:rPr>
          <w:t>6</w:t>
        </w:r>
      </w:fldSimple>
      <w:r>
        <w:t>.</w:t>
      </w:r>
      <w:proofErr w:type="gramEnd"/>
      <w:r w:rsidR="00735181">
        <w:fldChar w:fldCharType="begin"/>
      </w:r>
      <w:r w:rsidR="00735181">
        <w:instrText xml:space="preserve"> SEQ Figure \* ARABIC \s 1 </w:instrText>
      </w:r>
      <w:r w:rsidR="00735181">
        <w:fldChar w:fldCharType="separate"/>
      </w:r>
      <w:r w:rsidR="00C60946">
        <w:rPr>
          <w:noProof/>
        </w:rPr>
        <w:t>15</w:t>
      </w:r>
      <w:r w:rsidR="00735181">
        <w:rPr>
          <w:noProof/>
        </w:rPr>
        <w:fldChar w:fldCharType="end"/>
      </w:r>
      <w:bookmarkEnd w:id="125"/>
      <w:r w:rsidR="00C10253">
        <w:tab/>
      </w:r>
      <w:r w:rsidR="00CE1FA6">
        <w:t>Relative MTFP performance of transmission networks</w:t>
      </w:r>
    </w:p>
    <w:p w:rsidR="00936BA3" w:rsidRDefault="00CE1FA6" w:rsidP="000D14F2">
      <w:pPr>
        <w:pStyle w:val="AERbulletlistfirststyle"/>
        <w:numPr>
          <w:ilvl w:val="0"/>
          <w:numId w:val="0"/>
        </w:numPr>
      </w:pPr>
      <w:r w:rsidRPr="00CE1FA6">
        <w:rPr>
          <w:noProof/>
          <w:lang w:eastAsia="en-AU"/>
        </w:rPr>
        <w:drawing>
          <wp:inline distT="0" distB="0" distL="0" distR="0" wp14:anchorId="29BBA6DF" wp14:editId="1EFD7D93">
            <wp:extent cx="5148000" cy="3125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8000" cy="3125237"/>
                    </a:xfrm>
                    <a:prstGeom prst="rect">
                      <a:avLst/>
                    </a:prstGeom>
                    <a:noFill/>
                    <a:ln>
                      <a:noFill/>
                    </a:ln>
                  </pic:spPr>
                </pic:pic>
              </a:graphicData>
            </a:graphic>
          </wp:inline>
        </w:drawing>
      </w:r>
    </w:p>
    <w:p w:rsidR="00936BA3" w:rsidRDefault="00CE1FA6" w:rsidP="00CE1FA6">
      <w:pPr>
        <w:pStyle w:val="AERtablesource"/>
      </w:pPr>
      <w:r>
        <w:t xml:space="preserve">Source: AER, </w:t>
      </w:r>
      <w:r w:rsidRPr="00CE1FA6">
        <w:rPr>
          <w:rStyle w:val="AERtextitalic"/>
        </w:rPr>
        <w:t>Annual benchmarking report: Electricity transmission network service providers</w:t>
      </w:r>
      <w:r w:rsidRPr="00CE1FA6">
        <w:t>, November 2015, p.11.</w:t>
      </w:r>
    </w:p>
    <w:p w:rsidR="00B11827" w:rsidRDefault="00327273" w:rsidP="000D14F2">
      <w:pPr>
        <w:pStyle w:val="AERbulletlistfirststyle"/>
        <w:numPr>
          <w:ilvl w:val="0"/>
          <w:numId w:val="0"/>
        </w:numPr>
      </w:pPr>
      <w:fldSimple w:instr=" REF _Ref453684475 ">
        <w:r w:rsidR="00C60946">
          <w:t xml:space="preserve">Figure </w:t>
        </w:r>
        <w:r w:rsidR="00C60946">
          <w:rPr>
            <w:noProof/>
          </w:rPr>
          <w:t>6</w:t>
        </w:r>
        <w:r w:rsidR="00C60946">
          <w:t>.</w:t>
        </w:r>
        <w:r w:rsidR="00C60946">
          <w:rPr>
            <w:noProof/>
          </w:rPr>
          <w:t>15</w:t>
        </w:r>
      </w:fldSimple>
      <w:r w:rsidR="00B11827">
        <w:t xml:space="preserve"> indicates that </w:t>
      </w:r>
      <w:r w:rsidR="005963D9">
        <w:t>AusNet Services</w:t>
      </w:r>
      <w:r w:rsidR="006A3A5C">
        <w:t>'</w:t>
      </w:r>
      <w:r w:rsidR="005963D9">
        <w:t xml:space="preserve"> </w:t>
      </w:r>
      <w:r w:rsidR="00B11827">
        <w:t xml:space="preserve">input cost </w:t>
      </w:r>
      <w:r w:rsidR="005963D9">
        <w:t>efficiency</w:t>
      </w:r>
      <w:r w:rsidR="00B11827">
        <w:t>, including capex inputs,</w:t>
      </w:r>
      <w:r w:rsidR="005963D9">
        <w:t xml:space="preserve"> has declined in 2014-15</w:t>
      </w:r>
      <w:r w:rsidR="00C17591">
        <w:t xml:space="preserve"> by 2.5 per cent </w:t>
      </w:r>
      <w:r w:rsidR="005963D9">
        <w:t>relative to</w:t>
      </w:r>
      <w:r w:rsidR="00B11827">
        <w:t xml:space="preserve"> </w:t>
      </w:r>
      <w:r w:rsidR="001D5F85">
        <w:t>2013. However, AusNet Services</w:t>
      </w:r>
      <w:r w:rsidR="006A3A5C">
        <w:t>'</w:t>
      </w:r>
      <w:r w:rsidR="001D5F85">
        <w:t xml:space="preserve"> productivity performance in 2014 was 10 per cent higher than its </w:t>
      </w:r>
      <w:r w:rsidR="00B11827">
        <w:t xml:space="preserve">average level of productivity over 2006-13. </w:t>
      </w:r>
      <w:r w:rsidR="001D5F85">
        <w:t>In summary</w:t>
      </w:r>
      <w:r w:rsidR="00B11827">
        <w:t>, in examining AusNet Services</w:t>
      </w:r>
      <w:r w:rsidR="006A3A5C">
        <w:t>'</w:t>
      </w:r>
      <w:r w:rsidR="00B11827">
        <w:t xml:space="preserve"> longer term historical trends we observe that</w:t>
      </w:r>
      <w:r w:rsidR="008F23EC">
        <w:t xml:space="preserve"> AusNet Services'</w:t>
      </w:r>
      <w:r w:rsidR="00B11827">
        <w:t>:</w:t>
      </w:r>
    </w:p>
    <w:p w:rsidR="00B11827" w:rsidRDefault="00B11827" w:rsidP="00B11827">
      <w:pPr>
        <w:pStyle w:val="AERbulletlistfirststyle"/>
      </w:pPr>
      <w:r>
        <w:t>has improved its input cost efficiency over time and its efficiency performance has been relatively stable since 2010</w:t>
      </w:r>
      <w:r w:rsidR="003705FB">
        <w:rPr>
          <w:rStyle w:val="FootnoteReference"/>
        </w:rPr>
        <w:footnoteReference w:id="171"/>
      </w:r>
    </w:p>
    <w:p w:rsidR="004B1008" w:rsidRDefault="008F23EC" w:rsidP="008F23EC">
      <w:pPr>
        <w:pStyle w:val="AERbulletlistfirststyle"/>
      </w:pPr>
      <w:proofErr w:type="gramStart"/>
      <w:r>
        <w:t>input</w:t>
      </w:r>
      <w:proofErr w:type="gramEnd"/>
      <w:r>
        <w:t xml:space="preserve"> cost </w:t>
      </w:r>
      <w:r w:rsidR="003705FB">
        <w:t xml:space="preserve">efficiency performance </w:t>
      </w:r>
      <w:r w:rsidR="00553037">
        <w:t>since 2010 has been</w:t>
      </w:r>
      <w:r w:rsidR="003705FB">
        <w:t xml:space="preserve"> consistent with the industry average</w:t>
      </w:r>
      <w:r w:rsidR="00553037">
        <w:t xml:space="preserve"> productivity performance</w:t>
      </w:r>
      <w:r w:rsidR="003705FB">
        <w:t>.</w:t>
      </w:r>
      <w:r w:rsidR="003705FB">
        <w:rPr>
          <w:rStyle w:val="FootnoteReference"/>
        </w:rPr>
        <w:footnoteReference w:id="172"/>
      </w:r>
    </w:p>
    <w:p w:rsidR="008F23EC" w:rsidRDefault="008F23EC" w:rsidP="008F23EC">
      <w:r w:rsidRPr="008F23EC">
        <w:t>We have als</w:t>
      </w:r>
      <w:r w:rsidR="004855D0">
        <w:t xml:space="preserve">o considered AusNet Services' </w:t>
      </w:r>
      <w:r w:rsidRPr="008F23EC">
        <w:t xml:space="preserve">capital input cost </w:t>
      </w:r>
      <w:r w:rsidR="004855D0">
        <w:t xml:space="preserve">efficiency. As shown in </w:t>
      </w:r>
      <w:fldSimple w:instr=" REF _Ref453684524 ">
        <w:r w:rsidR="00C60946">
          <w:t xml:space="preserve">Figure </w:t>
        </w:r>
        <w:r w:rsidR="00C60946">
          <w:rPr>
            <w:noProof/>
          </w:rPr>
          <w:t>6</w:t>
        </w:r>
        <w:r w:rsidR="00C60946">
          <w:t>.</w:t>
        </w:r>
        <w:r w:rsidR="00C60946">
          <w:rPr>
            <w:noProof/>
          </w:rPr>
          <w:t>16</w:t>
        </w:r>
      </w:fldSimple>
      <w:r w:rsidR="004855D0">
        <w:t>, AusNet Services'</w:t>
      </w:r>
      <w:r w:rsidRPr="008F23EC">
        <w:t xml:space="preserve"> performance on this measure is also consist</w:t>
      </w:r>
      <w:r>
        <w:t>ent with its MTFP performance.</w:t>
      </w:r>
    </w:p>
    <w:p w:rsidR="003E78F2" w:rsidRDefault="004855D0" w:rsidP="004855D0">
      <w:pPr>
        <w:pStyle w:val="Caption"/>
      </w:pPr>
      <w:bookmarkStart w:id="126" w:name="_Ref453684524"/>
      <w:proofErr w:type="gramStart"/>
      <w:r>
        <w:lastRenderedPageBreak/>
        <w:t xml:space="preserve">Figure </w:t>
      </w:r>
      <w:fldSimple w:instr=" STYLEREF 1 \s ">
        <w:r w:rsidR="00C60946">
          <w:rPr>
            <w:noProof/>
          </w:rPr>
          <w:t>6</w:t>
        </w:r>
      </w:fldSimple>
      <w:r>
        <w:t>.</w:t>
      </w:r>
      <w:proofErr w:type="gramEnd"/>
      <w:r w:rsidR="00735181">
        <w:fldChar w:fldCharType="begin"/>
      </w:r>
      <w:r w:rsidR="00735181">
        <w:instrText xml:space="preserve"> SEQ Figure \* ARABIC \s 1 </w:instrText>
      </w:r>
      <w:r w:rsidR="00735181">
        <w:fldChar w:fldCharType="separate"/>
      </w:r>
      <w:r w:rsidR="00C60946">
        <w:rPr>
          <w:noProof/>
        </w:rPr>
        <w:t>16</w:t>
      </w:r>
      <w:r w:rsidR="00735181">
        <w:rPr>
          <w:noProof/>
        </w:rPr>
        <w:fldChar w:fldCharType="end"/>
      </w:r>
      <w:bookmarkEnd w:id="126"/>
      <w:r>
        <w:tab/>
      </w:r>
      <w:r w:rsidR="003E78F2">
        <w:t>Capital partial factor productivity for 2006–14</w:t>
      </w:r>
    </w:p>
    <w:p w:rsidR="003E78F2" w:rsidRDefault="003E78F2" w:rsidP="003E78F2">
      <w:pPr>
        <w:pStyle w:val="AERtablesource"/>
      </w:pPr>
      <w:r w:rsidRPr="003E78F2">
        <w:rPr>
          <w:noProof/>
          <w:lang w:eastAsia="en-AU"/>
        </w:rPr>
        <w:drawing>
          <wp:inline distT="0" distB="0" distL="0" distR="0" wp14:anchorId="7DC72B98" wp14:editId="5CE05317">
            <wp:extent cx="5338445" cy="323977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8445" cy="3239770"/>
                    </a:xfrm>
                    <a:prstGeom prst="rect">
                      <a:avLst/>
                    </a:prstGeom>
                    <a:noFill/>
                    <a:ln>
                      <a:noFill/>
                    </a:ln>
                  </pic:spPr>
                </pic:pic>
              </a:graphicData>
            </a:graphic>
          </wp:inline>
        </w:drawing>
      </w:r>
      <w:r>
        <w:t xml:space="preserve">Source: AER, </w:t>
      </w:r>
      <w:r w:rsidRPr="00CE1FA6">
        <w:rPr>
          <w:rStyle w:val="AERtextitalic"/>
        </w:rPr>
        <w:t>Annual benchmarking report: Electricity transmission network service providers</w:t>
      </w:r>
      <w:r>
        <w:t>, November 2015</w:t>
      </w:r>
    </w:p>
    <w:p w:rsidR="008F23EC" w:rsidRDefault="004B1008" w:rsidP="000D14F2">
      <w:pPr>
        <w:pStyle w:val="AERbulletlistfirststyle"/>
        <w:numPr>
          <w:ilvl w:val="0"/>
          <w:numId w:val="0"/>
        </w:numPr>
      </w:pPr>
      <w:r>
        <w:t xml:space="preserve">In conclusion, we consider that these capex performance outcomes support the efficiency of AusNet Services capex in the 2014-15 regulatory </w:t>
      </w:r>
      <w:proofErr w:type="gramStart"/>
      <w:r>
        <w:t>year</w:t>
      </w:r>
      <w:proofErr w:type="gramEnd"/>
      <w:r>
        <w:t xml:space="preserve">. As a result, consistent with our Guideline we so not consider it is necessary to </w:t>
      </w:r>
      <w:proofErr w:type="gramStart"/>
      <w:r>
        <w:t>proceed</w:t>
      </w:r>
      <w:proofErr w:type="gramEnd"/>
      <w:r>
        <w:t xml:space="preserve"> to a detailed assessment of the efficiency of AusNet Services' capex projects/programs</w:t>
      </w:r>
      <w:r w:rsidR="002A1FBB">
        <w:t xml:space="preserve"> and project management/planning processes</w:t>
      </w:r>
      <w:r>
        <w:t>.</w:t>
      </w:r>
      <w:r w:rsidR="002A1FBB">
        <w:t xml:space="preserve"> That said</w:t>
      </w:r>
      <w:r w:rsidR="008F23EC">
        <w:t xml:space="preserve"> we note that AusNet Services has demonstrated that it has considered its changing operating environment </w:t>
      </w:r>
      <w:r w:rsidR="002A1FBB">
        <w:t>over the 2014</w:t>
      </w:r>
      <w:r w:rsidR="0046647B">
        <w:t>–</w:t>
      </w:r>
      <w:r w:rsidR="002A1FBB">
        <w:t xml:space="preserve">17 regulatory control period, </w:t>
      </w:r>
      <w:r w:rsidR="008F23EC">
        <w:t>consistent with a prudent and efficiency service provider.</w:t>
      </w:r>
      <w:r w:rsidR="006776CB">
        <w:t xml:space="preserve"> In particular, AusNet Services</w:t>
      </w:r>
      <w:r w:rsidR="008F23EC">
        <w:t xml:space="preserve"> has deferred some expenditure forecast in the 2014</w:t>
      </w:r>
      <w:r w:rsidR="0046647B">
        <w:t>–</w:t>
      </w:r>
      <w:r w:rsidR="008F23EC">
        <w:t xml:space="preserve">17 regulatory control period </w:t>
      </w:r>
      <w:r>
        <w:t>due to reductions in forecast demand and the value of unserved energy. While this may not been directly applicable to the 2014-15 regulatory year, this indicates that AusNet Services has sound asset management processes consistent with good industry practice.</w:t>
      </w:r>
    </w:p>
    <w:p w:rsidR="008F23EC" w:rsidRPr="00803ACE" w:rsidRDefault="00EB19CC" w:rsidP="00EB19CC">
      <w:pPr>
        <w:pStyle w:val="Heading7"/>
      </w:pPr>
      <w:bookmarkStart w:id="127" w:name="_Ref456358144"/>
      <w:bookmarkStart w:id="128" w:name="_Toc456608837"/>
      <w:r w:rsidRPr="00EB19CC">
        <w:lastRenderedPageBreak/>
        <w:t>Information and com</w:t>
      </w:r>
      <w:r>
        <w:t>munications technology capex - c</w:t>
      </w:r>
      <w:r w:rsidRPr="00EB19CC">
        <w:t>onfidential appendix</w:t>
      </w:r>
      <w:bookmarkEnd w:id="127"/>
      <w:bookmarkEnd w:id="128"/>
    </w:p>
    <w:sectPr w:rsidR="008F23EC" w:rsidRPr="00803ACE" w:rsidSect="00EE50D1">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BBA" w:rsidRPr="00290C63" w:rsidRDefault="00B96BBA" w:rsidP="00290C63">
      <w:r>
        <w:separator/>
      </w:r>
    </w:p>
    <w:p w:rsidR="00B96BBA" w:rsidRDefault="00B96BBA"/>
  </w:endnote>
  <w:endnote w:type="continuationSeparator" w:id="0">
    <w:p w:rsidR="00B96BBA" w:rsidRPr="00290C63" w:rsidRDefault="00B96BBA" w:rsidP="00290C63">
      <w:r>
        <w:continuationSeparator/>
      </w:r>
    </w:p>
    <w:p w:rsidR="00B96BBA" w:rsidRDefault="00B96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BA" w:rsidRPr="00290C63" w:rsidRDefault="00B96BB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B96BBA" w:rsidRDefault="00B96BBA"/>
  <w:p w:rsidR="00B96BBA" w:rsidRDefault="00B96BBA"/>
  <w:p w:rsidR="00B96BBA" w:rsidRDefault="00B96BBA"/>
  <w:p w:rsidR="00B96BBA" w:rsidRDefault="00B96BBA"/>
  <w:p w:rsidR="00B96BBA" w:rsidRDefault="00B96BBA"/>
  <w:p w:rsidR="00B96BBA" w:rsidRDefault="00B96BBA"/>
  <w:p w:rsidR="00B96BBA" w:rsidRDefault="00B96B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655474"/>
      <w:docPartObj>
        <w:docPartGallery w:val="Page Numbers (Bottom of Page)"/>
        <w:docPartUnique/>
      </w:docPartObj>
    </w:sdtPr>
    <w:sdtEndPr>
      <w:rPr>
        <w:noProof/>
        <w:sz w:val="16"/>
        <w:szCs w:val="16"/>
      </w:rPr>
    </w:sdtEndPr>
    <w:sdtContent>
      <w:p w:rsidR="00B96BBA" w:rsidRDefault="00B96BBA">
        <w:pPr>
          <w:pStyle w:val="Footer"/>
        </w:pPr>
        <w:r>
          <w:fldChar w:fldCharType="begin"/>
        </w:r>
        <w:r>
          <w:instrText xml:space="preserve"> PAGE   \* MERGEFORMAT </w:instrText>
        </w:r>
        <w:r>
          <w:fldChar w:fldCharType="separate"/>
        </w:r>
        <w:r w:rsidR="00C60946">
          <w:rPr>
            <w:noProof/>
          </w:rPr>
          <w:t>6-1</w:t>
        </w:r>
        <w:r>
          <w:rPr>
            <w:noProof/>
          </w:rPr>
          <w:fldChar w:fldCharType="end"/>
        </w:r>
        <w:r>
          <w:rPr>
            <w:noProof/>
          </w:rPr>
          <w:t xml:space="preserve">          </w:t>
        </w:r>
        <w:r>
          <w:rPr>
            <w:noProof/>
            <w:sz w:val="16"/>
            <w:szCs w:val="16"/>
          </w:rPr>
          <w:t>Attachment 6</w:t>
        </w:r>
        <w:r w:rsidRPr="00FD5E78">
          <w:rPr>
            <w:noProof/>
            <w:sz w:val="16"/>
            <w:szCs w:val="16"/>
          </w:rPr>
          <w:t xml:space="preserve"> </w:t>
        </w:r>
        <w:r w:rsidRPr="00FD5E78">
          <w:rPr>
            <w:rFonts w:cs="Gautami"/>
            <w:noProof/>
            <w:sz w:val="16"/>
            <w:szCs w:val="16"/>
          </w:rPr>
          <w:t xml:space="preserve">– </w:t>
        </w:r>
        <w:r>
          <w:rPr>
            <w:sz w:val="16"/>
            <w:szCs w:val="16"/>
          </w:rPr>
          <w:t>Capital expenditure</w:t>
        </w:r>
        <w:r w:rsidRPr="00FD5E78">
          <w:rPr>
            <w:rFonts w:cs="Gautami"/>
            <w:noProof/>
            <w:sz w:val="16"/>
            <w:szCs w:val="16"/>
          </w:rPr>
          <w:t xml:space="preserve"> | </w:t>
        </w:r>
        <w:r>
          <w:rPr>
            <w:rFonts w:cs="Gautami"/>
            <w:noProof/>
            <w:sz w:val="16"/>
            <w:szCs w:val="16"/>
          </w:rPr>
          <w:t>Draft</w:t>
        </w:r>
        <w:r w:rsidRPr="00FD5E78">
          <w:rPr>
            <w:rFonts w:cs="Gautami"/>
            <w:noProof/>
            <w:sz w:val="16"/>
            <w:szCs w:val="16"/>
          </w:rPr>
          <w:t xml:space="preserve"> decision</w:t>
        </w:r>
        <w:r>
          <w:rPr>
            <w:rFonts w:cs="Gautami"/>
            <w:noProof/>
            <w:sz w:val="16"/>
            <w:szCs w:val="16"/>
          </w:rPr>
          <w:t>:</w:t>
        </w:r>
        <w:r w:rsidRPr="00FD5E78">
          <w:rPr>
            <w:rFonts w:cs="Gautami"/>
            <w:noProof/>
            <w:sz w:val="16"/>
            <w:szCs w:val="16"/>
          </w:rPr>
          <w:t xml:space="preserve"> </w:t>
        </w:r>
        <w:r>
          <w:rPr>
            <w:rFonts w:cs="Gautami"/>
            <w:noProof/>
            <w:sz w:val="16"/>
            <w:szCs w:val="16"/>
          </w:rPr>
          <w:t>AusNet Serices</w:t>
        </w:r>
        <w:r w:rsidRPr="00FD5E78">
          <w:rPr>
            <w:sz w:val="16"/>
            <w:szCs w:val="16"/>
          </w:rPr>
          <w:t xml:space="preserve"> transmission</w:t>
        </w:r>
        <w:r w:rsidRPr="00FD5E78">
          <w:rPr>
            <w:rFonts w:cs="Gautami"/>
            <w:noProof/>
            <w:sz w:val="16"/>
            <w:szCs w:val="16"/>
          </w:rPr>
          <w:t xml:space="preserve"> determination 201</w:t>
        </w:r>
        <w:r>
          <w:rPr>
            <w:rFonts w:cs="Gautami"/>
            <w:noProof/>
            <w:sz w:val="16"/>
            <w:szCs w:val="16"/>
          </w:rPr>
          <w:t>7</w:t>
        </w:r>
        <w:r w:rsidRPr="00FD5E78">
          <w:rPr>
            <w:rFonts w:cs="Gautami"/>
            <w:noProof/>
            <w:sz w:val="16"/>
            <w:szCs w:val="16"/>
          </w:rPr>
          <w:t>–</w:t>
        </w:r>
        <w:r>
          <w:rPr>
            <w:rFonts w:cs="Gautami"/>
            <w:noProof/>
            <w:sz w:val="16"/>
            <w:szCs w:val="16"/>
          </w:rPr>
          <w:t>22</w:t>
        </w:r>
      </w:p>
    </w:sdtContent>
  </w:sdt>
  <w:p w:rsidR="00B96BBA" w:rsidRDefault="00B96B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BA" w:rsidRPr="00290C63" w:rsidRDefault="00B96BB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B96BBA" w:rsidRDefault="00B96BBA">
    <w:pPr>
      <w:pStyle w:val="Footer"/>
    </w:pPr>
  </w:p>
  <w:p w:rsidR="00B96BBA" w:rsidRDefault="00B96BBA"/>
  <w:p w:rsidR="00B96BBA" w:rsidRDefault="00B96BBA"/>
  <w:p w:rsidR="00B96BBA" w:rsidRDefault="00B96BBA"/>
  <w:p w:rsidR="00B96BBA" w:rsidRDefault="00B96BBA"/>
  <w:p w:rsidR="00B96BBA" w:rsidRDefault="00B96BBA"/>
  <w:p w:rsidR="00B96BBA" w:rsidRDefault="00B96BBA"/>
  <w:p w:rsidR="00B96BBA" w:rsidRDefault="00B96B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BBA" w:rsidRPr="00290C63" w:rsidRDefault="00B96BBA" w:rsidP="00290C63">
      <w:r>
        <w:separator/>
      </w:r>
    </w:p>
    <w:p w:rsidR="00B96BBA" w:rsidRDefault="00B96BBA"/>
  </w:footnote>
  <w:footnote w:type="continuationSeparator" w:id="0">
    <w:p w:rsidR="00B96BBA" w:rsidRPr="00290C63" w:rsidRDefault="00B96BBA" w:rsidP="00290C63">
      <w:r>
        <w:continuationSeparator/>
      </w:r>
    </w:p>
    <w:p w:rsidR="00B96BBA" w:rsidRDefault="00B96BBA"/>
  </w:footnote>
  <w:footnote w:id="1">
    <w:p w:rsidR="00B96BBA" w:rsidRDefault="00B96BBA" w:rsidP="00F2330D">
      <w:pPr>
        <w:pStyle w:val="FootnoteText"/>
      </w:pPr>
      <w:r>
        <w:rPr>
          <w:rStyle w:val="FootnoteReference"/>
        </w:rPr>
        <w:footnoteRef/>
      </w:r>
      <w:r>
        <w:t xml:space="preserve"> </w:t>
      </w:r>
      <w:r>
        <w:tab/>
        <w:t xml:space="preserve">NER, cl. </w:t>
      </w:r>
      <w:proofErr w:type="gramStart"/>
      <w:r>
        <w:t>6A.5.4(</w:t>
      </w:r>
      <w:proofErr w:type="gramEnd"/>
      <w:r>
        <w:t>a).</w:t>
      </w:r>
    </w:p>
  </w:footnote>
  <w:footnote w:id="2">
    <w:p w:rsidR="00B96BBA" w:rsidRDefault="00B96BBA">
      <w:pPr>
        <w:pStyle w:val="FootnoteText"/>
      </w:pPr>
      <w:r>
        <w:rPr>
          <w:rStyle w:val="FootnoteReference"/>
        </w:rPr>
        <w:footnoteRef/>
      </w:r>
      <w:r>
        <w:t xml:space="preserve"> </w:t>
      </w:r>
      <w:r>
        <w:tab/>
        <w:t xml:space="preserve">AusNet Services, </w:t>
      </w:r>
      <w:r>
        <w:rPr>
          <w:rStyle w:val="AERtextitalic"/>
        </w:rPr>
        <w:t>Revenue proposal</w:t>
      </w:r>
      <w:r w:rsidRPr="00704ABE">
        <w:rPr>
          <w:rStyle w:val="AERtextitalic"/>
        </w:rPr>
        <w:t xml:space="preserve"> 2017-22</w:t>
      </w:r>
      <w:r>
        <w:t>, 30 October 2015, p.82.</w:t>
      </w:r>
    </w:p>
  </w:footnote>
  <w:footnote w:id="3">
    <w:p w:rsidR="00B96BBA" w:rsidRDefault="00B96BBA">
      <w:pPr>
        <w:pStyle w:val="FootnoteText"/>
      </w:pPr>
      <w:r>
        <w:rPr>
          <w:rStyle w:val="FootnoteReference"/>
        </w:rPr>
        <w:footnoteRef/>
      </w:r>
      <w:r>
        <w:t xml:space="preserve"> </w:t>
      </w:r>
      <w:r>
        <w:tab/>
        <w:t xml:space="preserve">AusNet Services, </w:t>
      </w:r>
      <w:r>
        <w:rPr>
          <w:rStyle w:val="AERtextitalic"/>
        </w:rPr>
        <w:t>Revenue proposal 2017–22</w:t>
      </w:r>
      <w:r>
        <w:t>, 30 October</w:t>
      </w:r>
      <w:r w:rsidRPr="00640174">
        <w:t xml:space="preserve"> 2015</w:t>
      </w:r>
      <w:r>
        <w:t>, p. 59.</w:t>
      </w:r>
    </w:p>
  </w:footnote>
  <w:footnote w:id="4">
    <w:p w:rsidR="00B96BBA" w:rsidRDefault="00B96BBA" w:rsidP="00A34664">
      <w:pPr>
        <w:pStyle w:val="FootnoteText"/>
      </w:pPr>
      <w:r>
        <w:rPr>
          <w:rStyle w:val="FootnoteReference"/>
        </w:rPr>
        <w:footnoteRef/>
      </w:r>
      <w:r>
        <w:t xml:space="preserve"> </w:t>
      </w:r>
      <w:r>
        <w:tab/>
      </w:r>
      <w:r w:rsidRPr="0084441D">
        <w:t xml:space="preserve">AER, </w:t>
      </w:r>
      <w:r w:rsidRPr="00A81D13">
        <w:rPr>
          <w:rStyle w:val="AERtextitalic"/>
        </w:rPr>
        <w:t>Expenditure Forecast Electricity Transmission Guideline</w:t>
      </w:r>
      <w:r w:rsidRPr="0084441D">
        <w:t>, Nove</w:t>
      </w:r>
      <w:r>
        <w:t xml:space="preserve">mber 2013, p. 9; see also </w:t>
      </w:r>
      <w:r w:rsidRPr="001B43AE">
        <w:t>AEMC</w:t>
      </w:r>
      <w:r>
        <w:t>,</w:t>
      </w:r>
      <w:r w:rsidRPr="001B43AE">
        <w:t xml:space="preserve"> </w:t>
      </w:r>
      <w:r w:rsidRPr="00A81D13">
        <w:rPr>
          <w:rStyle w:val="AERtextitalic"/>
        </w:rPr>
        <w:t>Final rule determination: National electricity amendment (Economic regulation of network service providers) Rule 2012</w:t>
      </w:r>
      <w:r w:rsidRPr="00A81D13">
        <w:t>,</w:t>
      </w:r>
      <w:r>
        <w:t xml:space="preserve"> 29 </w:t>
      </w:r>
      <w:r w:rsidRPr="001B43AE">
        <w:t>November 2012</w:t>
      </w:r>
      <w:r w:rsidRPr="0084441D">
        <w:t>, pp. 111 and 112.</w:t>
      </w:r>
    </w:p>
  </w:footnote>
  <w:footnote w:id="5">
    <w:p w:rsidR="00B96BBA" w:rsidRDefault="00B96BBA" w:rsidP="00A34664">
      <w:pPr>
        <w:pStyle w:val="FootnoteText"/>
      </w:pPr>
      <w:r>
        <w:rPr>
          <w:rStyle w:val="FootnoteReference"/>
        </w:rPr>
        <w:footnoteRef/>
      </w:r>
      <w:r>
        <w:t xml:space="preserve"> </w:t>
      </w:r>
      <w:r>
        <w:tab/>
      </w:r>
      <w:proofErr w:type="gramStart"/>
      <w:r w:rsidRPr="0084441D">
        <w:t>NER, cl. 6A.6.7(c).</w:t>
      </w:r>
      <w:proofErr w:type="gramEnd"/>
    </w:p>
  </w:footnote>
  <w:footnote w:id="6">
    <w:p w:rsidR="00B96BBA" w:rsidRDefault="00B96BBA" w:rsidP="00A34664">
      <w:pPr>
        <w:pStyle w:val="FootnoteText"/>
      </w:pPr>
      <w:r>
        <w:rPr>
          <w:rStyle w:val="FootnoteReference"/>
        </w:rPr>
        <w:footnoteRef/>
      </w:r>
      <w:r>
        <w:t xml:space="preserve"> </w:t>
      </w:r>
      <w:r>
        <w:tab/>
        <w:t xml:space="preserve">NER, cl. </w:t>
      </w:r>
      <w:proofErr w:type="gramStart"/>
      <w:r>
        <w:t>6A.6.7(</w:t>
      </w:r>
      <w:proofErr w:type="gramEnd"/>
      <w:r>
        <w:t>a).</w:t>
      </w:r>
    </w:p>
  </w:footnote>
  <w:footnote w:id="7">
    <w:p w:rsidR="00B96BBA" w:rsidRDefault="00B96BBA" w:rsidP="00A34664">
      <w:pPr>
        <w:pStyle w:val="FootnoteText"/>
      </w:pPr>
      <w:r>
        <w:rPr>
          <w:rStyle w:val="FootnoteReference"/>
        </w:rPr>
        <w:footnoteRef/>
      </w:r>
      <w:r>
        <w:t xml:space="preserve"> </w:t>
      </w:r>
      <w:r>
        <w:tab/>
        <w:t xml:space="preserve">NER, cl. </w:t>
      </w:r>
      <w:proofErr w:type="gramStart"/>
      <w:r>
        <w:t>6A.14.1(</w:t>
      </w:r>
      <w:proofErr w:type="gramEnd"/>
      <w:r>
        <w:t>2)(ii).</w:t>
      </w:r>
    </w:p>
  </w:footnote>
  <w:footnote w:id="8">
    <w:p w:rsidR="00B96BBA" w:rsidRDefault="00B96BBA" w:rsidP="00A34664">
      <w:pPr>
        <w:pStyle w:val="FootnoteText"/>
      </w:pPr>
      <w:r>
        <w:rPr>
          <w:rStyle w:val="FootnoteReference"/>
        </w:rPr>
        <w:footnoteRef/>
      </w:r>
      <w:r>
        <w:t xml:space="preserve"> </w:t>
      </w:r>
      <w:r>
        <w:tab/>
      </w:r>
      <w:r w:rsidRPr="00600055">
        <w:t xml:space="preserve">AEMC, </w:t>
      </w:r>
      <w:r w:rsidRPr="00E17C25">
        <w:rPr>
          <w:rStyle w:val="AERtextitalic"/>
        </w:rPr>
        <w:t>Final Rule Determination: National Electricity Amendment (Economic Regulation of Network Service Providers) Rule 2012</w:t>
      </w:r>
      <w:r w:rsidRPr="00600055">
        <w:t>, 29 November 2012, p. 113 (AEMC Economic Regulation Final Rule Determination).</w:t>
      </w:r>
    </w:p>
  </w:footnote>
  <w:footnote w:id="9">
    <w:p w:rsidR="00B96BBA" w:rsidRDefault="00B96BBA" w:rsidP="00A34664">
      <w:pPr>
        <w:pStyle w:val="FootnoteText"/>
      </w:pPr>
      <w:r>
        <w:rPr>
          <w:rStyle w:val="FootnoteReference"/>
        </w:rPr>
        <w:footnoteRef/>
      </w:r>
      <w:r>
        <w:t xml:space="preserve"> </w:t>
      </w:r>
      <w:r>
        <w:tab/>
      </w:r>
      <w:r w:rsidRPr="00600055">
        <w:t xml:space="preserve">AEMC, </w:t>
      </w:r>
      <w:r w:rsidRPr="00B913B2">
        <w:rPr>
          <w:rStyle w:val="AERtextitalic"/>
        </w:rPr>
        <w:t>Final rule determination: National electricity amendment (Economic regulation of network service providers) Rule 2012</w:t>
      </w:r>
      <w:r w:rsidRPr="00B913B2">
        <w:t>, 29 November 2012, p. vii.</w:t>
      </w:r>
    </w:p>
  </w:footnote>
  <w:footnote w:id="10">
    <w:p w:rsidR="00B96BBA" w:rsidRDefault="00B96BBA" w:rsidP="00A34664">
      <w:pPr>
        <w:pStyle w:val="FootnoteText"/>
      </w:pPr>
      <w:r>
        <w:rPr>
          <w:rStyle w:val="FootnoteReference"/>
        </w:rPr>
        <w:footnoteRef/>
      </w:r>
      <w:r>
        <w:t xml:space="preserve"> </w:t>
      </w:r>
      <w:r>
        <w:tab/>
        <w:t xml:space="preserve">NER, cl. </w:t>
      </w:r>
      <w:proofErr w:type="gramStart"/>
      <w:r>
        <w:t>6A.6.7(</w:t>
      </w:r>
      <w:proofErr w:type="gramEnd"/>
      <w:r>
        <w:t>e).</w:t>
      </w:r>
    </w:p>
  </w:footnote>
  <w:footnote w:id="11">
    <w:p w:rsidR="00B96BBA" w:rsidRDefault="00B96BBA" w:rsidP="00A34664">
      <w:pPr>
        <w:pStyle w:val="FootnoteText"/>
      </w:pPr>
      <w:r>
        <w:rPr>
          <w:rStyle w:val="FootnoteReference"/>
        </w:rPr>
        <w:footnoteRef/>
      </w:r>
      <w:r>
        <w:t xml:space="preserve"> </w:t>
      </w:r>
      <w:r>
        <w:tab/>
      </w:r>
      <w:r w:rsidRPr="00600055">
        <w:t xml:space="preserve">AEMC, </w:t>
      </w:r>
      <w:r w:rsidRPr="00B913B2">
        <w:rPr>
          <w:rStyle w:val="AERtextitalic"/>
        </w:rPr>
        <w:t>Final rule determination: National electricity amendment (Economic regulation of network service providers) Rule 2012</w:t>
      </w:r>
      <w:r w:rsidRPr="00B913B2">
        <w:t>, 29 November 2012</w:t>
      </w:r>
      <w:r w:rsidRPr="00600055">
        <w:t>, p. 115.</w:t>
      </w:r>
    </w:p>
  </w:footnote>
  <w:footnote w:id="12">
    <w:p w:rsidR="00B96BBA" w:rsidRDefault="00B96BBA" w:rsidP="00A34664">
      <w:pPr>
        <w:pStyle w:val="FootnoteText"/>
      </w:pPr>
      <w:r>
        <w:rPr>
          <w:rStyle w:val="FootnoteReference"/>
        </w:rPr>
        <w:footnoteRef/>
      </w:r>
      <w:r>
        <w:t xml:space="preserve"> </w:t>
      </w:r>
      <w:r>
        <w:tab/>
      </w:r>
      <w:proofErr w:type="gramStart"/>
      <w:r>
        <w:t>NEL, ss. 7A and 16(2).</w:t>
      </w:r>
      <w:proofErr w:type="gramEnd"/>
    </w:p>
  </w:footnote>
  <w:footnote w:id="13">
    <w:p w:rsidR="00B96BBA" w:rsidRDefault="00B96BBA" w:rsidP="00A34664">
      <w:pPr>
        <w:pStyle w:val="FootnoteText"/>
      </w:pPr>
      <w:r>
        <w:rPr>
          <w:rStyle w:val="FootnoteReference"/>
        </w:rPr>
        <w:footnoteRef/>
      </w:r>
      <w:r>
        <w:t xml:space="preserve"> </w:t>
      </w:r>
      <w:r>
        <w:tab/>
      </w:r>
      <w:proofErr w:type="gramStart"/>
      <w:r>
        <w:t>NEL, s. 7A.</w:t>
      </w:r>
      <w:proofErr w:type="gramEnd"/>
    </w:p>
  </w:footnote>
  <w:footnote w:id="14">
    <w:p w:rsidR="00B96BBA" w:rsidRDefault="00B96BBA" w:rsidP="00A34664">
      <w:pPr>
        <w:pStyle w:val="FootnoteText"/>
      </w:pPr>
      <w:r>
        <w:rPr>
          <w:rStyle w:val="FootnoteReference"/>
        </w:rPr>
        <w:footnoteRef/>
      </w:r>
      <w:r>
        <w:t xml:space="preserve"> </w:t>
      </w:r>
      <w:r>
        <w:tab/>
      </w:r>
      <w:r w:rsidRPr="00D94CE4">
        <w:t>AER</w:t>
      </w:r>
      <w:r>
        <w:t>,</w:t>
      </w:r>
      <w:r w:rsidRPr="00D94CE4">
        <w:t xml:space="preserve"> </w:t>
      </w:r>
      <w:r w:rsidRPr="000013A2">
        <w:rPr>
          <w:rStyle w:val="AERtextitalic"/>
        </w:rPr>
        <w:t>Better regulation: Expenditure forecast assessment guidel</w:t>
      </w:r>
      <w:r>
        <w:rPr>
          <w:rStyle w:val="AERtextitalic"/>
        </w:rPr>
        <w:t>ine for electricity transmission</w:t>
      </w:r>
      <w:r w:rsidRPr="000013A2">
        <w:t>, November 2013.</w:t>
      </w:r>
    </w:p>
  </w:footnote>
  <w:footnote w:id="15">
    <w:p w:rsidR="00B96BBA" w:rsidRDefault="00B96BBA" w:rsidP="00A34664">
      <w:pPr>
        <w:pStyle w:val="FootnoteText"/>
      </w:pPr>
      <w:r>
        <w:rPr>
          <w:rStyle w:val="FootnoteReference"/>
        </w:rPr>
        <w:footnoteRef/>
      </w:r>
      <w:r>
        <w:t xml:space="preserve"> </w:t>
      </w:r>
      <w:r>
        <w:tab/>
      </w:r>
      <w:r w:rsidRPr="00B22C09">
        <w:t xml:space="preserve">AER, </w:t>
      </w:r>
      <w:r w:rsidRPr="000013A2">
        <w:rPr>
          <w:rStyle w:val="AERtextitalic"/>
        </w:rPr>
        <w:t xml:space="preserve">Final </w:t>
      </w:r>
      <w:r>
        <w:rPr>
          <w:rStyle w:val="AERtextitalic"/>
        </w:rPr>
        <w:t xml:space="preserve">decision - </w:t>
      </w:r>
      <w:r w:rsidRPr="000013A2">
        <w:rPr>
          <w:rStyle w:val="AERtextitalic"/>
        </w:rPr>
        <w:t xml:space="preserve">Framework and approach for </w:t>
      </w:r>
      <w:r>
        <w:rPr>
          <w:rStyle w:val="AERtextitalic"/>
        </w:rPr>
        <w:t>AusNet Services</w:t>
      </w:r>
      <w:r w:rsidRPr="000013A2">
        <w:rPr>
          <w:rStyle w:val="AERtextitalic"/>
        </w:rPr>
        <w:t xml:space="preserve">: Regulatory control </w:t>
      </w:r>
      <w:r>
        <w:rPr>
          <w:rStyle w:val="AERtextitalic"/>
        </w:rPr>
        <w:t>period commencing 1 April 2017</w:t>
      </w:r>
      <w:r>
        <w:t>, April 2015, pp. 25–26</w:t>
      </w:r>
      <w:r w:rsidRPr="000013A2">
        <w:t>.</w:t>
      </w:r>
    </w:p>
  </w:footnote>
  <w:footnote w:id="16">
    <w:p w:rsidR="00B96BBA" w:rsidRDefault="00B96BBA" w:rsidP="00A34664">
      <w:pPr>
        <w:pStyle w:val="FootnoteText"/>
      </w:pPr>
      <w:r>
        <w:rPr>
          <w:rStyle w:val="FootnoteReference"/>
        </w:rPr>
        <w:footnoteRef/>
      </w:r>
      <w:r>
        <w:t xml:space="preserve"> </w:t>
      </w:r>
      <w:r>
        <w:tab/>
      </w:r>
      <w:proofErr w:type="gramStart"/>
      <w:r>
        <w:t>NER, cl. 6A.10.1(c).</w:t>
      </w:r>
      <w:proofErr w:type="gramEnd"/>
      <w:r>
        <w:t xml:space="preserve"> </w:t>
      </w:r>
    </w:p>
  </w:footnote>
  <w:footnote w:id="17">
    <w:p w:rsidR="00B96BBA" w:rsidRDefault="00B96BBA" w:rsidP="00A34664">
      <w:pPr>
        <w:pStyle w:val="FootnoteText"/>
      </w:pPr>
      <w:r>
        <w:rPr>
          <w:rStyle w:val="FootnoteReference"/>
        </w:rPr>
        <w:footnoteRef/>
      </w:r>
      <w:r>
        <w:t xml:space="preserve"> </w:t>
      </w:r>
      <w:r>
        <w:tab/>
      </w:r>
      <w:r w:rsidRPr="002B6535">
        <w:t>AER</w:t>
      </w:r>
      <w:r>
        <w:t xml:space="preserve">, </w:t>
      </w:r>
      <w:r w:rsidRPr="000B1BB8">
        <w:rPr>
          <w:rStyle w:val="AERtextitalic"/>
        </w:rPr>
        <w:t>Better regulation: Expenditure forecast assessment guideline for electricity transmission</w:t>
      </w:r>
      <w:r w:rsidRPr="00617804">
        <w:t>, November 2013,</w:t>
      </w:r>
      <w:r w:rsidRPr="002B6535">
        <w:t xml:space="preserve"> p.</w:t>
      </w:r>
      <w:r>
        <w:t> </w:t>
      </w:r>
      <w:r w:rsidRPr="002B6535">
        <w:t>25</w:t>
      </w:r>
      <w:r>
        <w:t>.</w:t>
      </w:r>
    </w:p>
  </w:footnote>
  <w:footnote w:id="18">
    <w:p w:rsidR="00B96BBA" w:rsidRDefault="00B96BBA" w:rsidP="00A34664">
      <w:pPr>
        <w:pStyle w:val="FootnoteText"/>
      </w:pPr>
      <w:r>
        <w:rPr>
          <w:rStyle w:val="FootnoteReference"/>
        </w:rPr>
        <w:footnoteRef/>
      </w:r>
      <w:r>
        <w:t xml:space="preserve"> </w:t>
      </w:r>
      <w:r>
        <w:tab/>
      </w:r>
      <w:r w:rsidRPr="00734660">
        <w:t xml:space="preserve">AER, </w:t>
      </w:r>
      <w:r w:rsidRPr="00734660">
        <w:rPr>
          <w:rStyle w:val="AERtextitalic"/>
        </w:rPr>
        <w:t>Better regulation: Explanatory statement: Expenditure forecast assessment guideline</w:t>
      </w:r>
      <w:r w:rsidRPr="00734660">
        <w:t>, November 2013, p. 7</w:t>
      </w:r>
      <w:r w:rsidRPr="00D94CE4">
        <w:t xml:space="preserve">; </w:t>
      </w:r>
      <w:r>
        <w:t xml:space="preserve">and </w:t>
      </w:r>
      <w:r w:rsidRPr="0080305C">
        <w:t xml:space="preserve">AEMC, </w:t>
      </w:r>
      <w:r w:rsidRPr="0080305C">
        <w:rPr>
          <w:rStyle w:val="AERtextitalic"/>
        </w:rPr>
        <w:t>Final rule determination: National electricity amendment (Economic regulation of network service providers) Rule 2012</w:t>
      </w:r>
      <w:r w:rsidRPr="0080305C">
        <w:t>, 29 November 2012, pp. 111 and 112.</w:t>
      </w:r>
    </w:p>
  </w:footnote>
  <w:footnote w:id="19">
    <w:p w:rsidR="00B96BBA" w:rsidRDefault="00B96BBA" w:rsidP="00A34664">
      <w:pPr>
        <w:pStyle w:val="FootnoteText"/>
      </w:pPr>
      <w:r>
        <w:rPr>
          <w:rStyle w:val="FootnoteReference"/>
        </w:rPr>
        <w:footnoteRef/>
      </w:r>
      <w:r>
        <w:t xml:space="preserve"> </w:t>
      </w:r>
      <w:r>
        <w:tab/>
      </w:r>
      <w:r w:rsidRPr="00CD0473">
        <w:t xml:space="preserve">AEMC, </w:t>
      </w:r>
      <w:r w:rsidRPr="00880E07">
        <w:rPr>
          <w:rStyle w:val="AERtextitalic"/>
        </w:rPr>
        <w:t>Final Rule Determination: National Electricity Amendment (Economic Regulation of Network Service Providers) Rule 2012</w:t>
      </w:r>
      <w:r w:rsidRPr="00CD0473">
        <w:t>, 29 November 2012, p. vii</w:t>
      </w:r>
      <w:r>
        <w:t>.</w:t>
      </w:r>
    </w:p>
  </w:footnote>
  <w:footnote w:id="20">
    <w:p w:rsidR="00B96BBA" w:rsidRDefault="00B96BBA" w:rsidP="00A34664">
      <w:pPr>
        <w:pStyle w:val="FootnoteText"/>
      </w:pPr>
      <w:r>
        <w:rPr>
          <w:rStyle w:val="FootnoteReference"/>
        </w:rPr>
        <w:footnoteRef/>
      </w:r>
      <w:r>
        <w:t xml:space="preserve"> </w:t>
      </w:r>
      <w:r>
        <w:tab/>
      </w:r>
      <w:r w:rsidRPr="002B6535">
        <w:t>AER</w:t>
      </w:r>
      <w:r>
        <w:t xml:space="preserve">, </w:t>
      </w:r>
      <w:r w:rsidRPr="000B1BB8">
        <w:rPr>
          <w:rStyle w:val="AERtextitalic"/>
        </w:rPr>
        <w:t>Better regulation: Expenditure forecast assessment guideline for electricity transmission</w:t>
      </w:r>
      <w:r w:rsidRPr="00617804">
        <w:t>, November 2013</w:t>
      </w:r>
      <w:r>
        <w:t>, p. </w:t>
      </w:r>
      <w:r w:rsidRPr="00467B23">
        <w:t>12.</w:t>
      </w:r>
    </w:p>
  </w:footnote>
  <w:footnote w:id="21">
    <w:p w:rsidR="00B96BBA" w:rsidRDefault="00B96BBA" w:rsidP="00BF7BE7">
      <w:pPr>
        <w:pStyle w:val="FootnoteText"/>
      </w:pPr>
      <w:r>
        <w:rPr>
          <w:rStyle w:val="FootnoteReference"/>
        </w:rPr>
        <w:footnoteRef/>
      </w:r>
      <w:r>
        <w:t xml:space="preserve"> </w:t>
      </w:r>
      <w:r>
        <w:tab/>
      </w:r>
      <w:r w:rsidRPr="00467B23">
        <w:t>AER</w:t>
      </w:r>
      <w:r>
        <w:t>,</w:t>
      </w:r>
      <w:r w:rsidRPr="00467B23">
        <w:t xml:space="preserve"> </w:t>
      </w:r>
      <w:r w:rsidRPr="000B1BB8">
        <w:rPr>
          <w:rStyle w:val="AERtextitalic"/>
        </w:rPr>
        <w:t>Better regulation: Expenditure forecast assessment guideline for electricity transmission</w:t>
      </w:r>
      <w:r w:rsidRPr="00617804">
        <w:t>, November 2013</w:t>
      </w:r>
      <w:r w:rsidRPr="00467B23">
        <w:t>, pp. 8 and 9.</w:t>
      </w:r>
      <w:r>
        <w:t xml:space="preserve"> </w:t>
      </w:r>
      <w:r w:rsidRPr="00CD0473">
        <w:t>The 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United Energy Distribution Pty Limited [2012] ACompT 1; Re: Application by ElectraNet Pty Limited (No 3) [2008] ACompT 3 ; Application by DBNGP (WA) Transmission Pty Ltd [2012] ACompT 6.</w:t>
      </w:r>
    </w:p>
  </w:footnote>
  <w:footnote w:id="22">
    <w:p w:rsidR="00B96BBA" w:rsidRDefault="00B96BBA" w:rsidP="00BF7BE7">
      <w:pPr>
        <w:pStyle w:val="FootnoteText"/>
      </w:pPr>
      <w:r>
        <w:rPr>
          <w:rStyle w:val="FootnoteReference"/>
        </w:rPr>
        <w:footnoteRef/>
      </w:r>
      <w:r>
        <w:t xml:space="preserve"> </w:t>
      </w:r>
      <w:r>
        <w:tab/>
      </w:r>
      <w:r w:rsidRPr="002B6535">
        <w:t>AER</w:t>
      </w:r>
      <w:r>
        <w:t xml:space="preserve">, </w:t>
      </w:r>
      <w:r w:rsidRPr="000B1BB8">
        <w:rPr>
          <w:rStyle w:val="AERtextitalic"/>
        </w:rPr>
        <w:t>Better regulation: Expenditure forecast assessment guideline for electricity transmission</w:t>
      </w:r>
      <w:r w:rsidRPr="00617804">
        <w:t>, November 2013</w:t>
      </w:r>
      <w:r>
        <w:t>, p. </w:t>
      </w:r>
      <w:r w:rsidRPr="00467B23">
        <w:t>9.</w:t>
      </w:r>
    </w:p>
  </w:footnote>
  <w:footnote w:id="23">
    <w:p w:rsidR="00B96BBA" w:rsidRDefault="00B96BBA" w:rsidP="00BF7BE7">
      <w:pPr>
        <w:pStyle w:val="FootnoteText"/>
      </w:pPr>
      <w:r>
        <w:rPr>
          <w:rStyle w:val="FootnoteReference"/>
        </w:rPr>
        <w:footnoteRef/>
      </w:r>
      <w:r>
        <w:t xml:space="preserve"> </w:t>
      </w:r>
      <w:r>
        <w:tab/>
      </w:r>
      <w:r w:rsidRPr="00BF5B4A">
        <w:t xml:space="preserve">AEMC, </w:t>
      </w:r>
      <w:r w:rsidRPr="00BF5B4A">
        <w:rPr>
          <w:rStyle w:val="AERtextitalic"/>
        </w:rPr>
        <w:t>Final rule determination: National electricity amendment (Economic regulation of network service providers) Rule 2012</w:t>
      </w:r>
      <w:r w:rsidRPr="00BF5B4A">
        <w:t>, 29 November 2012, p. 112.</w:t>
      </w:r>
    </w:p>
  </w:footnote>
  <w:footnote w:id="24">
    <w:p w:rsidR="00B96BBA" w:rsidRDefault="00B96BBA" w:rsidP="00BF7BE7">
      <w:pPr>
        <w:pStyle w:val="FootnoteText"/>
      </w:pPr>
      <w:r>
        <w:rPr>
          <w:rStyle w:val="FootnoteReference"/>
        </w:rPr>
        <w:footnoteRef/>
      </w:r>
      <w:r>
        <w:t xml:space="preserve"> </w:t>
      </w:r>
      <w:r>
        <w:tab/>
      </w:r>
      <w:proofErr w:type="gramStart"/>
      <w:r>
        <w:t>NER, r. 6.6.</w:t>
      </w:r>
      <w:proofErr w:type="gramEnd"/>
    </w:p>
  </w:footnote>
  <w:footnote w:id="25">
    <w:p w:rsidR="00B96BBA" w:rsidRDefault="00B96BBA">
      <w:pPr>
        <w:pStyle w:val="FootnoteText"/>
      </w:pPr>
      <w:r>
        <w:rPr>
          <w:rStyle w:val="FootnoteReference"/>
        </w:rPr>
        <w:footnoteRef/>
      </w:r>
      <w:r>
        <w:t xml:space="preserve"> </w:t>
      </w:r>
      <w:r>
        <w:tab/>
        <w:t xml:space="preserve">AEMC, </w:t>
      </w:r>
      <w:r w:rsidRPr="00E17C25">
        <w:rPr>
          <w:rStyle w:val="AERtextitalic"/>
        </w:rPr>
        <w:t>Final Position Paper - National Electricity Amendment (Economic Regulation of Network Service Providers) Rule 2012</w:t>
      </w:r>
      <w:r>
        <w:t>, 15 November 2012, p. v.</w:t>
      </w:r>
    </w:p>
  </w:footnote>
  <w:footnote w:id="26">
    <w:p w:rsidR="00B96BBA" w:rsidRDefault="00B96BBA" w:rsidP="00B27F43">
      <w:pPr>
        <w:pStyle w:val="FootnoteText"/>
      </w:pPr>
      <w:r>
        <w:rPr>
          <w:rStyle w:val="FootnoteReference"/>
        </w:rPr>
        <w:footnoteRef/>
      </w:r>
      <w:r>
        <w:t xml:space="preserve"> </w:t>
      </w:r>
      <w:r>
        <w:tab/>
      </w:r>
      <w:r w:rsidRPr="00493022">
        <w:t>NER cl. 6A</w:t>
      </w:r>
      <w:r>
        <w:t>.</w:t>
      </w:r>
      <w:r w:rsidRPr="00493022">
        <w:t>14.2.</w:t>
      </w:r>
      <w:r>
        <w:t>(b)</w:t>
      </w:r>
    </w:p>
  </w:footnote>
  <w:footnote w:id="27">
    <w:p w:rsidR="00B96BBA" w:rsidRDefault="00B96BBA" w:rsidP="00742683">
      <w:pPr>
        <w:pStyle w:val="FootnoteText"/>
      </w:pPr>
      <w:r>
        <w:rPr>
          <w:rStyle w:val="FootnoteReference"/>
        </w:rPr>
        <w:footnoteRef/>
      </w:r>
      <w:r>
        <w:t xml:space="preserve"> </w:t>
      </w:r>
      <w:r>
        <w:tab/>
        <w:t xml:space="preserve">The NER requires that this statement will not apply to the regulatory year in which the Expenditure Incentive Guideline was published. As the Guideline was published in December 2013, our statement and assessment of whether any expenditure should be excluded from the RAB only covers the 2014-15 regulatory </w:t>
      </w:r>
      <w:proofErr w:type="gramStart"/>
      <w:r>
        <w:t>year</w:t>
      </w:r>
      <w:proofErr w:type="gramEnd"/>
      <w:r>
        <w:t>.</w:t>
      </w:r>
    </w:p>
  </w:footnote>
  <w:footnote w:id="28">
    <w:p w:rsidR="00B96BBA" w:rsidRDefault="00B96BBA" w:rsidP="00B27F43">
      <w:pPr>
        <w:pStyle w:val="FootnoteText"/>
      </w:pPr>
      <w:r>
        <w:rPr>
          <w:rStyle w:val="FootnoteReference"/>
        </w:rPr>
        <w:footnoteRef/>
      </w:r>
      <w:r>
        <w:t xml:space="preserve"> </w:t>
      </w:r>
      <w:r>
        <w:tab/>
        <w:t>NER cl. S6A.2.2A</w:t>
      </w:r>
    </w:p>
  </w:footnote>
  <w:footnote w:id="29">
    <w:p w:rsidR="00B96BBA" w:rsidRPr="00E17C25" w:rsidRDefault="00B96BBA" w:rsidP="00983BF9">
      <w:pPr>
        <w:pStyle w:val="FootnoteText"/>
        <w:rPr>
          <w:i/>
        </w:rPr>
      </w:pPr>
      <w:r>
        <w:rPr>
          <w:rStyle w:val="FootnoteReference"/>
        </w:rPr>
        <w:footnoteRef/>
      </w:r>
      <w:r>
        <w:t xml:space="preserve"> </w:t>
      </w:r>
      <w:r>
        <w:tab/>
        <w:t xml:space="preserve">AER, </w:t>
      </w:r>
      <w:r w:rsidRPr="00983BF9">
        <w:rPr>
          <w:rStyle w:val="AERtextitalic"/>
        </w:rPr>
        <w:t>Capital E</w:t>
      </w:r>
      <w:r>
        <w:rPr>
          <w:rStyle w:val="AERtextitalic"/>
        </w:rPr>
        <w:t xml:space="preserve">xpenditure Incentive Guideline </w:t>
      </w:r>
      <w:r w:rsidRPr="00983BF9">
        <w:rPr>
          <w:rStyle w:val="AERtextitalic"/>
        </w:rPr>
        <w:t>for Electricity Network Service Providers</w:t>
      </w:r>
      <w:r>
        <w:t>, November 2013.</w:t>
      </w:r>
    </w:p>
  </w:footnote>
  <w:footnote w:id="30">
    <w:p w:rsidR="00B96BBA" w:rsidRDefault="00B96BBA">
      <w:pPr>
        <w:pStyle w:val="FootnoteText"/>
      </w:pPr>
      <w:r>
        <w:rPr>
          <w:rStyle w:val="FootnoteReference"/>
        </w:rPr>
        <w:footnoteRef/>
      </w:r>
      <w:r>
        <w:t xml:space="preserve"> </w:t>
      </w:r>
      <w:r>
        <w:tab/>
      </w:r>
      <w:proofErr w:type="gramStart"/>
      <w:r w:rsidRPr="00F96387">
        <w:t xml:space="preserve">AER, </w:t>
      </w:r>
      <w:r w:rsidRPr="00983BF9">
        <w:rPr>
          <w:rStyle w:val="AERtextitalic"/>
        </w:rPr>
        <w:t>Capital E</w:t>
      </w:r>
      <w:r>
        <w:rPr>
          <w:rStyle w:val="AERtextitalic"/>
        </w:rPr>
        <w:t xml:space="preserve">xpenditure Incentive Guideline </w:t>
      </w:r>
      <w:r w:rsidRPr="00983BF9">
        <w:rPr>
          <w:rStyle w:val="AERtextitalic"/>
        </w:rPr>
        <w:t>for Electricity Network Service Providers</w:t>
      </w:r>
      <w:r>
        <w:t>, November 2013, pp.19-22.</w:t>
      </w:r>
      <w:proofErr w:type="gramEnd"/>
    </w:p>
  </w:footnote>
  <w:footnote w:id="31">
    <w:p w:rsidR="00B96BBA" w:rsidRDefault="00B96BBA" w:rsidP="00BF5B4A">
      <w:pPr>
        <w:pStyle w:val="FootnoteText"/>
      </w:pPr>
      <w:r>
        <w:rPr>
          <w:rStyle w:val="FootnoteReference"/>
        </w:rPr>
        <w:footnoteRef/>
      </w:r>
      <w:r>
        <w:t xml:space="preserve"> </w:t>
      </w:r>
      <w:r>
        <w:tab/>
      </w:r>
      <w:proofErr w:type="gramStart"/>
      <w:r>
        <w:t>NER, cll.</w:t>
      </w:r>
      <w:proofErr w:type="gramEnd"/>
      <w:r>
        <w:t xml:space="preserve"> </w:t>
      </w:r>
      <w:proofErr w:type="gramStart"/>
      <w:r>
        <w:t>S6.1.1.1(</w:t>
      </w:r>
      <w:proofErr w:type="gramEnd"/>
      <w:r>
        <w:t xml:space="preserve">2), (4) and (5). </w:t>
      </w:r>
      <w:proofErr w:type="gramStart"/>
      <w:r w:rsidRPr="00D51030">
        <w:t>NER, cll.</w:t>
      </w:r>
      <w:proofErr w:type="gramEnd"/>
      <w:r w:rsidRPr="00D51030">
        <w:t xml:space="preserve"> </w:t>
      </w:r>
      <w:proofErr w:type="gramStart"/>
      <w:r w:rsidRPr="00D51030">
        <w:t>S6A.1.1(</w:t>
      </w:r>
      <w:proofErr w:type="gramEnd"/>
      <w:r w:rsidRPr="00D51030">
        <w:t>2), (4) and (5).</w:t>
      </w:r>
    </w:p>
  </w:footnote>
  <w:footnote w:id="32">
    <w:p w:rsidR="00B96BBA" w:rsidRDefault="00B96BBA" w:rsidP="00BF5B4A">
      <w:pPr>
        <w:pStyle w:val="FootnoteText"/>
      </w:pPr>
      <w:r>
        <w:rPr>
          <w:rStyle w:val="FootnoteReference"/>
        </w:rPr>
        <w:footnoteRef/>
      </w:r>
      <w:r>
        <w:t xml:space="preserve"> </w:t>
      </w:r>
      <w:r>
        <w:tab/>
        <w:t xml:space="preserve">AusNet Services, </w:t>
      </w:r>
      <w:r>
        <w:rPr>
          <w:rStyle w:val="AERtextitalic"/>
        </w:rPr>
        <w:t>Revenue proposal 2017–22</w:t>
      </w:r>
      <w:r>
        <w:t>, 30 October</w:t>
      </w:r>
      <w:r w:rsidRPr="00640174">
        <w:t xml:space="preserve"> 2015</w:t>
      </w:r>
      <w:r>
        <w:t>, pp. 70–77.</w:t>
      </w:r>
    </w:p>
  </w:footnote>
  <w:footnote w:id="33">
    <w:p w:rsidR="00B96BBA" w:rsidRDefault="00B96BBA" w:rsidP="00894BB0">
      <w:pPr>
        <w:pStyle w:val="FootnoteText"/>
      </w:pPr>
      <w:r>
        <w:rPr>
          <w:rStyle w:val="FootnoteReference"/>
        </w:rPr>
        <w:footnoteRef/>
      </w:r>
      <w:r>
        <w:t xml:space="preserve"> </w:t>
      </w:r>
      <w:r>
        <w:tab/>
      </w:r>
      <w:proofErr w:type="gramStart"/>
      <w:r>
        <w:t>NER, cl. 6A.10.1B.</w:t>
      </w:r>
      <w:proofErr w:type="gramEnd"/>
      <w:r>
        <w:t xml:space="preserve"> </w:t>
      </w:r>
    </w:p>
  </w:footnote>
  <w:footnote w:id="34">
    <w:p w:rsidR="00B96BBA" w:rsidRDefault="00B96BBA" w:rsidP="00894BB0">
      <w:pPr>
        <w:pStyle w:val="FootnoteText"/>
      </w:pPr>
      <w:r>
        <w:rPr>
          <w:rStyle w:val="FootnoteReference"/>
        </w:rPr>
        <w:footnoteRef/>
      </w:r>
      <w:r>
        <w:t xml:space="preserve"> </w:t>
      </w:r>
      <w:r>
        <w:tab/>
      </w:r>
      <w:proofErr w:type="gramStart"/>
      <w:r>
        <w:t>NER, cl. 6A.10.1.</w:t>
      </w:r>
      <w:proofErr w:type="gramEnd"/>
      <w:r>
        <w:t xml:space="preserve"> </w:t>
      </w:r>
    </w:p>
  </w:footnote>
  <w:footnote w:id="35">
    <w:p w:rsidR="00B96BBA" w:rsidRDefault="00B96BBA">
      <w:pPr>
        <w:pStyle w:val="FootnoteText"/>
      </w:pPr>
      <w:r>
        <w:rPr>
          <w:rStyle w:val="FootnoteReference"/>
        </w:rPr>
        <w:footnoteRef/>
      </w:r>
      <w:r>
        <w:t xml:space="preserve"> </w:t>
      </w:r>
      <w:r>
        <w:tab/>
        <w:t>AusNet Services</w:t>
      </w:r>
      <w:r w:rsidRPr="00172AD4">
        <w:rPr>
          <w:rStyle w:val="AERtextitalic"/>
        </w:rPr>
        <w:t xml:space="preserve">, </w:t>
      </w:r>
      <w:r>
        <w:rPr>
          <w:rStyle w:val="AERtextitalic"/>
        </w:rPr>
        <w:t>Revenue proposal</w:t>
      </w:r>
      <w:r w:rsidRPr="00172AD4">
        <w:rPr>
          <w:rStyle w:val="AERtextitalic"/>
        </w:rPr>
        <w:t xml:space="preserve"> 2017-22</w:t>
      </w:r>
      <w:r>
        <w:t>, 30 October 2015, p. 65.</w:t>
      </w:r>
    </w:p>
  </w:footnote>
  <w:footnote w:id="36">
    <w:p w:rsidR="00B96BBA" w:rsidRDefault="00B96BBA">
      <w:pPr>
        <w:pStyle w:val="FootnoteText"/>
      </w:pPr>
      <w:r>
        <w:rPr>
          <w:rStyle w:val="FootnoteReference"/>
        </w:rPr>
        <w:footnoteRef/>
      </w:r>
      <w:r>
        <w:t xml:space="preserve"> </w:t>
      </w:r>
      <w:r>
        <w:tab/>
        <w:t>AusNet Services</w:t>
      </w:r>
      <w:r w:rsidRPr="00172AD4">
        <w:rPr>
          <w:rStyle w:val="AERtextitalic"/>
        </w:rPr>
        <w:t xml:space="preserve">, </w:t>
      </w:r>
      <w:r>
        <w:rPr>
          <w:rStyle w:val="AERtextitalic"/>
        </w:rPr>
        <w:t>Revenue proposal</w:t>
      </w:r>
      <w:r w:rsidRPr="00172AD4">
        <w:rPr>
          <w:rStyle w:val="AERtextitalic"/>
        </w:rPr>
        <w:t xml:space="preserve"> 2017-22</w:t>
      </w:r>
      <w:r>
        <w:t>, 30 October 2015, p. 67.</w:t>
      </w:r>
    </w:p>
  </w:footnote>
  <w:footnote w:id="37">
    <w:p w:rsidR="00B96BBA" w:rsidRDefault="00B96BBA">
      <w:pPr>
        <w:pStyle w:val="FootnoteText"/>
      </w:pPr>
      <w:r>
        <w:rPr>
          <w:rStyle w:val="FootnoteReference"/>
        </w:rPr>
        <w:footnoteRef/>
      </w:r>
      <w:r>
        <w:t xml:space="preserve"> </w:t>
      </w:r>
      <w:r>
        <w:tab/>
        <w:t>AusNet Services</w:t>
      </w:r>
      <w:r w:rsidRPr="00172AD4">
        <w:rPr>
          <w:rStyle w:val="AERtextitalic"/>
        </w:rPr>
        <w:t xml:space="preserve">, </w:t>
      </w:r>
      <w:r>
        <w:rPr>
          <w:rStyle w:val="AERtextitalic"/>
        </w:rPr>
        <w:t>Revenue proposal</w:t>
      </w:r>
      <w:r w:rsidRPr="00172AD4">
        <w:rPr>
          <w:rStyle w:val="AERtextitalic"/>
        </w:rPr>
        <w:t xml:space="preserve"> 2017-22</w:t>
      </w:r>
      <w:r>
        <w:t>, 30 October 2015, p. 68.</w:t>
      </w:r>
    </w:p>
  </w:footnote>
  <w:footnote w:id="38">
    <w:p w:rsidR="00B96BBA" w:rsidRDefault="00B96BBA">
      <w:pPr>
        <w:pStyle w:val="FootnoteText"/>
      </w:pPr>
      <w:r>
        <w:rPr>
          <w:rStyle w:val="FootnoteReference"/>
        </w:rPr>
        <w:footnoteRef/>
      </w:r>
      <w:r>
        <w:t xml:space="preserve"> </w:t>
      </w:r>
      <w:r>
        <w:tab/>
        <w:t>AusNet Services</w:t>
      </w:r>
      <w:r w:rsidRPr="00172AD4">
        <w:rPr>
          <w:rStyle w:val="AERtextitalic"/>
        </w:rPr>
        <w:t xml:space="preserve">, </w:t>
      </w:r>
      <w:r>
        <w:rPr>
          <w:rStyle w:val="AERtextitalic"/>
        </w:rPr>
        <w:t>Revenue proposal</w:t>
      </w:r>
      <w:r w:rsidRPr="00172AD4">
        <w:rPr>
          <w:rStyle w:val="AERtextitalic"/>
        </w:rPr>
        <w:t xml:space="preserve"> 2017-22</w:t>
      </w:r>
      <w:r>
        <w:t>, 30 October 2015, p. 101.</w:t>
      </w:r>
    </w:p>
  </w:footnote>
  <w:footnote w:id="39">
    <w:p w:rsidR="00B96BBA" w:rsidRDefault="00B96BBA">
      <w:pPr>
        <w:pStyle w:val="FootnoteText"/>
      </w:pPr>
      <w:r>
        <w:rPr>
          <w:rStyle w:val="FootnoteReference"/>
        </w:rPr>
        <w:footnoteRef/>
      </w:r>
      <w:r>
        <w:t xml:space="preserve"> </w:t>
      </w:r>
      <w:r>
        <w:tab/>
        <w:t>AusNet Services' MTFP outcome in 2009 was affected by the result of an explosive failure at the South Morang terminal station ad a conductor drop on the Bendigo to Ballarat line.</w:t>
      </w:r>
    </w:p>
  </w:footnote>
  <w:footnote w:id="40">
    <w:p w:rsidR="00B96BBA" w:rsidRDefault="00B96BBA" w:rsidP="00270052">
      <w:pPr>
        <w:pStyle w:val="FootnoteText"/>
      </w:pPr>
      <w:r>
        <w:rPr>
          <w:rStyle w:val="FootnoteReference"/>
        </w:rPr>
        <w:footnoteRef/>
      </w:r>
      <w:r>
        <w:t xml:space="preserve"> </w:t>
      </w:r>
      <w:r>
        <w:tab/>
        <w:t xml:space="preserve">AusNet Services, </w:t>
      </w:r>
      <w:r w:rsidRPr="00640174">
        <w:rPr>
          <w:rStyle w:val="AERtextitalic"/>
        </w:rPr>
        <w:t>Re</w:t>
      </w:r>
      <w:r>
        <w:rPr>
          <w:rStyle w:val="AERtextitalic"/>
        </w:rPr>
        <w:t>venue</w:t>
      </w:r>
      <w:r w:rsidRPr="00640174">
        <w:rPr>
          <w:rStyle w:val="AERtextitalic"/>
        </w:rPr>
        <w:t xml:space="preserve"> proposal 201</w:t>
      </w:r>
      <w:r>
        <w:rPr>
          <w:rStyle w:val="AERtextitalic"/>
        </w:rPr>
        <w:t>7</w:t>
      </w:r>
      <w:r w:rsidRPr="00640174">
        <w:rPr>
          <w:rStyle w:val="AERtextitalic"/>
        </w:rPr>
        <w:t>–2</w:t>
      </w:r>
      <w:r>
        <w:rPr>
          <w:rStyle w:val="AERtextitalic"/>
        </w:rPr>
        <w:t>2</w:t>
      </w:r>
      <w:r>
        <w:t xml:space="preserve">, </w:t>
      </w:r>
      <w:r w:rsidRPr="00640174">
        <w:t>3</w:t>
      </w:r>
      <w:r>
        <w:t>1</w:t>
      </w:r>
      <w:r w:rsidRPr="00640174">
        <w:t xml:space="preserve"> </w:t>
      </w:r>
      <w:r>
        <w:t>October</w:t>
      </w:r>
      <w:r w:rsidRPr="00640174">
        <w:t xml:space="preserve"> 2015</w:t>
      </w:r>
      <w:r>
        <w:t>, p. 59.</w:t>
      </w:r>
    </w:p>
  </w:footnote>
  <w:footnote w:id="41">
    <w:p w:rsidR="00B96BBA" w:rsidRDefault="00B96BBA">
      <w:pPr>
        <w:pStyle w:val="FootnoteText"/>
      </w:pPr>
      <w:r>
        <w:rPr>
          <w:rStyle w:val="FootnoteReference"/>
        </w:rPr>
        <w:footnoteRef/>
      </w:r>
      <w:r>
        <w:t xml:space="preserve"> </w:t>
      </w:r>
      <w:r>
        <w:tab/>
      </w:r>
      <w:proofErr w:type="gramStart"/>
      <w:r>
        <w:t xml:space="preserve">Consumer Challenge Panel (Panel 5), </w:t>
      </w:r>
      <w:r w:rsidRPr="00F21878">
        <w:rPr>
          <w:rStyle w:val="AERtextitalic"/>
        </w:rPr>
        <w:t>Submission on AusNet Services' transmission revenue review 2017-2022</w:t>
      </w:r>
      <w:r>
        <w:t>, 8 February 2016, p. 19.</w:t>
      </w:r>
      <w:proofErr w:type="gramEnd"/>
    </w:p>
  </w:footnote>
  <w:footnote w:id="42">
    <w:p w:rsidR="00B96BBA" w:rsidRDefault="00B96BBA">
      <w:pPr>
        <w:pStyle w:val="FootnoteText"/>
      </w:pPr>
      <w:r>
        <w:rPr>
          <w:rStyle w:val="FootnoteReference"/>
        </w:rPr>
        <w:footnoteRef/>
      </w:r>
      <w:r>
        <w:t xml:space="preserve"> </w:t>
      </w:r>
      <w:r>
        <w:tab/>
        <w:t xml:space="preserve">EUCV, </w:t>
      </w:r>
      <w:r w:rsidRPr="00F21878">
        <w:rPr>
          <w:rStyle w:val="AERtextitalic"/>
        </w:rPr>
        <w:t>Submission on AusNet Services' transmission revenue review 2017-2022</w:t>
      </w:r>
      <w:r>
        <w:t>, 9 February 2016, pp. 12–26.</w:t>
      </w:r>
    </w:p>
  </w:footnote>
  <w:footnote w:id="43">
    <w:p w:rsidR="00B96BBA" w:rsidRDefault="00B96BBA" w:rsidP="008C6DC8">
      <w:pPr>
        <w:pStyle w:val="FootnoteText"/>
      </w:pPr>
      <w:r w:rsidRPr="00827169">
        <w:rPr>
          <w:rStyle w:val="FootnoteReference"/>
        </w:rPr>
        <w:footnoteRef/>
      </w:r>
      <w:r>
        <w:t xml:space="preserve"> </w:t>
      </w:r>
      <w:r>
        <w:tab/>
      </w:r>
      <w:proofErr w:type="gramStart"/>
      <w:r>
        <w:t>NER, cll.</w:t>
      </w:r>
      <w:proofErr w:type="gramEnd"/>
      <w:r>
        <w:t xml:space="preserve"> 6.5.7</w:t>
      </w:r>
      <w:proofErr w:type="gramStart"/>
      <w:r>
        <w:t>(c)</w:t>
      </w:r>
      <w:proofErr w:type="gramEnd"/>
      <w:r>
        <w:t>, (d) and (e).</w:t>
      </w:r>
    </w:p>
  </w:footnote>
  <w:footnote w:id="44">
    <w:p w:rsidR="00B96BBA" w:rsidRDefault="00B96BBA" w:rsidP="00547456">
      <w:pPr>
        <w:pStyle w:val="FootnoteText"/>
      </w:pPr>
      <w:r>
        <w:rPr>
          <w:rStyle w:val="FootnoteReference"/>
        </w:rPr>
        <w:footnoteRef/>
      </w:r>
      <w:r>
        <w:t xml:space="preserve"> </w:t>
      </w:r>
      <w:r>
        <w:tab/>
      </w:r>
      <w:r w:rsidRPr="00D94CE4">
        <w:t>AER</w:t>
      </w:r>
      <w:r>
        <w:t>,</w:t>
      </w:r>
      <w:r w:rsidRPr="00D94CE4">
        <w:t xml:space="preserve"> </w:t>
      </w:r>
      <w:r w:rsidRPr="000B1BB8">
        <w:rPr>
          <w:rStyle w:val="AERtextitalic"/>
        </w:rPr>
        <w:t>Better regulation: Expenditure forecast assessment guideline for electricity transmission</w:t>
      </w:r>
      <w:r w:rsidRPr="00617804">
        <w:t>, November 2013</w:t>
      </w:r>
      <w:r>
        <w:t>,</w:t>
      </w:r>
      <w:r w:rsidRPr="00EB724C" w:rsidDel="00073F99">
        <w:t xml:space="preserve"> </w:t>
      </w:r>
      <w:r w:rsidRPr="00EB724C">
        <w:t>p.8</w:t>
      </w:r>
      <w:r>
        <w:t>.</w:t>
      </w:r>
    </w:p>
  </w:footnote>
  <w:footnote w:id="45">
    <w:p w:rsidR="00B96BBA" w:rsidRDefault="00B96BBA" w:rsidP="00547456">
      <w:pPr>
        <w:pStyle w:val="FootnoteText"/>
      </w:pPr>
      <w:r>
        <w:rPr>
          <w:rStyle w:val="FootnoteReference"/>
        </w:rPr>
        <w:footnoteRef/>
      </w:r>
      <w:r>
        <w:t xml:space="preserve"> </w:t>
      </w:r>
      <w:r>
        <w:tab/>
        <w:t xml:space="preserve">NER, cl. </w:t>
      </w:r>
      <w:proofErr w:type="gramStart"/>
      <w:r>
        <w:t>6A.6.7(</w:t>
      </w:r>
      <w:proofErr w:type="gramEnd"/>
      <w:r>
        <w:t>e)(4).</w:t>
      </w:r>
    </w:p>
  </w:footnote>
  <w:footnote w:id="46">
    <w:p w:rsidR="00B96BBA" w:rsidRDefault="00B96BBA" w:rsidP="00547456">
      <w:pPr>
        <w:pStyle w:val="FootnoteText"/>
      </w:pPr>
      <w:r>
        <w:rPr>
          <w:rStyle w:val="FootnoteReference"/>
        </w:rPr>
        <w:footnoteRef/>
      </w:r>
      <w:r>
        <w:t xml:space="preserve"> </w:t>
      </w:r>
      <w:r>
        <w:tab/>
        <w:t xml:space="preserve">AER, </w:t>
      </w:r>
      <w:r w:rsidRPr="00A7334E">
        <w:rPr>
          <w:rStyle w:val="AERtextitalic"/>
        </w:rPr>
        <w:t>Explanatory Statement: Expenditure Forecasting Assessment Guidelines</w:t>
      </w:r>
      <w:r>
        <w:t>, November 2013.</w:t>
      </w:r>
    </w:p>
  </w:footnote>
  <w:footnote w:id="47">
    <w:p w:rsidR="00B96BBA" w:rsidRDefault="00B96BBA" w:rsidP="00547456">
      <w:pPr>
        <w:pStyle w:val="FootnoteText"/>
      </w:pPr>
      <w:r>
        <w:rPr>
          <w:rStyle w:val="FootnoteReference"/>
        </w:rPr>
        <w:footnoteRef/>
      </w:r>
      <w:r>
        <w:t xml:space="preserve"> </w:t>
      </w:r>
      <w:r>
        <w:tab/>
        <w:t xml:space="preserve">NER, cl. </w:t>
      </w:r>
      <w:r w:rsidRPr="00FA1EB8">
        <w:t>6</w:t>
      </w:r>
      <w:r>
        <w:t>A.6.7</w:t>
      </w:r>
      <w:r w:rsidRPr="00FA1EB8">
        <w:t xml:space="preserve">(c) </w:t>
      </w:r>
    </w:p>
  </w:footnote>
  <w:footnote w:id="48">
    <w:p w:rsidR="00B96BBA" w:rsidRDefault="00B96BBA" w:rsidP="00547456">
      <w:pPr>
        <w:pStyle w:val="FootnoteText"/>
      </w:pPr>
      <w:r>
        <w:rPr>
          <w:rStyle w:val="FootnoteReference"/>
        </w:rPr>
        <w:footnoteRef/>
      </w:r>
      <w:r>
        <w:t xml:space="preserve"> </w:t>
      </w:r>
      <w:r>
        <w:tab/>
        <w:t xml:space="preserve">AEMC, </w:t>
      </w:r>
      <w:r w:rsidRPr="00A7334E">
        <w:rPr>
          <w:rStyle w:val="AERtextitalic"/>
        </w:rPr>
        <w:t>National Electricity Amendment (Economic Regulation of Network Service Providers) Rule 2012</w:t>
      </w:r>
      <w:r>
        <w:t>, November 2012, p. 25.</w:t>
      </w:r>
    </w:p>
  </w:footnote>
  <w:footnote w:id="49">
    <w:p w:rsidR="00B96BBA" w:rsidRDefault="00B96BBA" w:rsidP="00547456">
      <w:pPr>
        <w:pStyle w:val="FootnoteText"/>
      </w:pPr>
      <w:r>
        <w:rPr>
          <w:rStyle w:val="FootnoteReference"/>
        </w:rPr>
        <w:footnoteRef/>
      </w:r>
      <w:r>
        <w:t xml:space="preserve"> </w:t>
      </w:r>
      <w:r>
        <w:tab/>
        <w:t xml:space="preserve">See AEMC, </w:t>
      </w:r>
      <w:r w:rsidRPr="00A7334E">
        <w:rPr>
          <w:rStyle w:val="AERtextitalic"/>
        </w:rPr>
        <w:t>National Electricity Amendment (Economic Regulation of Network Service Providers) Rule 2012</w:t>
      </w:r>
      <w:r>
        <w:t xml:space="preserve">, November 2012, p.113. Exogenous factors could include geographic factors, customer factors, network factors and jurisdictional factors. </w:t>
      </w:r>
    </w:p>
  </w:footnote>
  <w:footnote w:id="50">
    <w:p w:rsidR="00B96BBA" w:rsidRDefault="00B96BBA" w:rsidP="00547456">
      <w:pPr>
        <w:pStyle w:val="FootnoteText"/>
      </w:pPr>
      <w:r>
        <w:rPr>
          <w:rStyle w:val="FootnoteReference"/>
        </w:rPr>
        <w:footnoteRef/>
      </w:r>
      <w:r>
        <w:t xml:space="preserve"> </w:t>
      </w:r>
      <w:r>
        <w:tab/>
        <w:t xml:space="preserve">AER, </w:t>
      </w:r>
      <w:r w:rsidRPr="00A7334E">
        <w:rPr>
          <w:rStyle w:val="AERtextitalic"/>
        </w:rPr>
        <w:t>Annual Benchmarking Report</w:t>
      </w:r>
      <w:r>
        <w:t>, 2014.</w:t>
      </w:r>
    </w:p>
  </w:footnote>
  <w:footnote w:id="51">
    <w:p w:rsidR="00B96BBA" w:rsidRDefault="00B96BBA" w:rsidP="00547456">
      <w:pPr>
        <w:pStyle w:val="FootnoteText"/>
      </w:pPr>
      <w:r>
        <w:rPr>
          <w:rStyle w:val="FootnoteReference"/>
        </w:rPr>
        <w:footnoteRef/>
      </w:r>
      <w:r>
        <w:t xml:space="preserve"> </w:t>
      </w:r>
      <w:r>
        <w:tab/>
        <w:t xml:space="preserve">NER, cl. </w:t>
      </w:r>
      <w:proofErr w:type="gramStart"/>
      <w:r>
        <w:t>6A.6.7(</w:t>
      </w:r>
      <w:proofErr w:type="gramEnd"/>
      <w:r>
        <w:t>e</w:t>
      </w:r>
      <w:r w:rsidRPr="00DE72A1">
        <w:t>)</w:t>
      </w:r>
      <w:r>
        <w:t>(5).</w:t>
      </w:r>
    </w:p>
  </w:footnote>
  <w:footnote w:id="52">
    <w:p w:rsidR="00B96BBA" w:rsidRDefault="00B96BBA" w:rsidP="00547456">
      <w:pPr>
        <w:pStyle w:val="FootnoteText"/>
      </w:pPr>
      <w:r>
        <w:rPr>
          <w:rStyle w:val="FootnoteReference"/>
        </w:rPr>
        <w:footnoteRef/>
      </w:r>
      <w:r>
        <w:t xml:space="preserve"> </w:t>
      </w:r>
      <w:r>
        <w:tab/>
        <w:t xml:space="preserve">NER, cl. </w:t>
      </w:r>
      <w:proofErr w:type="gramStart"/>
      <w:r>
        <w:t>6A.6.7(</w:t>
      </w:r>
      <w:proofErr w:type="gramEnd"/>
      <w:r>
        <w:t>a)(3).</w:t>
      </w:r>
    </w:p>
  </w:footnote>
  <w:footnote w:id="53">
    <w:p w:rsidR="00B96BBA" w:rsidRDefault="00B96BBA">
      <w:pPr>
        <w:pStyle w:val="FootnoteText"/>
      </w:pPr>
      <w:r>
        <w:rPr>
          <w:rStyle w:val="FootnoteReference"/>
        </w:rPr>
        <w:footnoteRef/>
      </w:r>
      <w:r>
        <w:t xml:space="preserve"> </w:t>
      </w:r>
      <w:r>
        <w:tab/>
        <w:t xml:space="preserve">AER, </w:t>
      </w:r>
      <w:r w:rsidRPr="009751EB">
        <w:rPr>
          <w:rStyle w:val="AERtextitalic"/>
        </w:rPr>
        <w:t>Expenditure Forecasting Assessment Guideline</w:t>
      </w:r>
      <w:r>
        <w:t>, December 2013.</w:t>
      </w:r>
    </w:p>
  </w:footnote>
  <w:footnote w:id="54">
    <w:p w:rsidR="00B96BBA" w:rsidRDefault="00B96BBA" w:rsidP="008867F5">
      <w:pPr>
        <w:pStyle w:val="FootnoteText"/>
      </w:pPr>
      <w:r>
        <w:rPr>
          <w:rStyle w:val="FootnoteReference"/>
        </w:rPr>
        <w:footnoteRef/>
      </w:r>
      <w:r>
        <w:t xml:space="preserve"> </w:t>
      </w:r>
      <w:r>
        <w:tab/>
        <w:t>NER, cl. </w:t>
      </w:r>
      <w:proofErr w:type="gramStart"/>
      <w:r>
        <w:t>6A.6.7(</w:t>
      </w:r>
      <w:proofErr w:type="gramEnd"/>
      <w:r>
        <w:t xml:space="preserve">e)(5). </w:t>
      </w:r>
    </w:p>
  </w:footnote>
  <w:footnote w:id="55">
    <w:p w:rsidR="00B96BBA" w:rsidRDefault="00B96BBA" w:rsidP="008A2AC6">
      <w:pPr>
        <w:pStyle w:val="FootnoteText"/>
      </w:pPr>
      <w:r>
        <w:rPr>
          <w:rStyle w:val="FootnoteReference"/>
        </w:rPr>
        <w:footnoteRef/>
      </w:r>
      <w:r>
        <w:t xml:space="preserve"> </w:t>
      </w:r>
      <w:r>
        <w:tab/>
        <w:t>AusNet Services</w:t>
      </w:r>
      <w:r w:rsidRPr="00771336">
        <w:t xml:space="preserve">, </w:t>
      </w:r>
      <w:r>
        <w:rPr>
          <w:rStyle w:val="AERtextitalic"/>
        </w:rPr>
        <w:t>Revenue proposal 2017–2022</w:t>
      </w:r>
      <w:r w:rsidRPr="00771336">
        <w:t xml:space="preserve">, </w:t>
      </w:r>
      <w:r>
        <w:t xml:space="preserve">30 October </w:t>
      </w:r>
      <w:r w:rsidRPr="00771336">
        <w:t>2015</w:t>
      </w:r>
      <w:r>
        <w:t>, p. 60.</w:t>
      </w:r>
    </w:p>
  </w:footnote>
  <w:footnote w:id="56">
    <w:p w:rsidR="00B96BBA" w:rsidRDefault="00B96BBA">
      <w:pPr>
        <w:pStyle w:val="FootnoteText"/>
      </w:pPr>
      <w:r>
        <w:rPr>
          <w:rStyle w:val="FootnoteReference"/>
        </w:rPr>
        <w:footnoteRef/>
      </w:r>
      <w:r>
        <w:t xml:space="preserve"> </w:t>
      </w:r>
      <w:r>
        <w:tab/>
        <w:t xml:space="preserve">AusNet Services, </w:t>
      </w:r>
      <w:r>
        <w:rPr>
          <w:rStyle w:val="AERtextitalic"/>
        </w:rPr>
        <w:t>Revenue proposal</w:t>
      </w:r>
      <w:r w:rsidRPr="00D77475">
        <w:rPr>
          <w:rStyle w:val="AERtextitalic"/>
        </w:rPr>
        <w:t xml:space="preserve"> 2017-22</w:t>
      </w:r>
      <w:r>
        <w:t>, 30 October 2015, p. 84.</w:t>
      </w:r>
    </w:p>
  </w:footnote>
  <w:footnote w:id="57">
    <w:p w:rsidR="00B96BBA" w:rsidRDefault="00B96BBA">
      <w:pPr>
        <w:pStyle w:val="FootnoteText"/>
      </w:pPr>
      <w:r>
        <w:rPr>
          <w:rStyle w:val="FootnoteReference"/>
        </w:rPr>
        <w:footnoteRef/>
      </w:r>
      <w:r>
        <w:t xml:space="preserve"> </w:t>
      </w:r>
      <w:r>
        <w:tab/>
        <w:t xml:space="preserve">AusNet Services, </w:t>
      </w:r>
      <w:r>
        <w:rPr>
          <w:rStyle w:val="AERtextitalic"/>
        </w:rPr>
        <w:t>Revenue proposal</w:t>
      </w:r>
      <w:r w:rsidRPr="00976D53">
        <w:rPr>
          <w:rStyle w:val="AERtextitalic"/>
        </w:rPr>
        <w:t xml:space="preserve"> 2017-22</w:t>
      </w:r>
      <w:r>
        <w:t>, 30 October 2015, p. 85.</w:t>
      </w:r>
    </w:p>
  </w:footnote>
  <w:footnote w:id="58">
    <w:p w:rsidR="00B96BBA" w:rsidRDefault="00B96BBA">
      <w:pPr>
        <w:pStyle w:val="FootnoteText"/>
      </w:pPr>
      <w:r>
        <w:rPr>
          <w:rStyle w:val="FootnoteReference"/>
        </w:rPr>
        <w:footnoteRef/>
      </w:r>
      <w:r>
        <w:t xml:space="preserve"> </w:t>
      </w:r>
      <w:r>
        <w:tab/>
        <w:t xml:space="preserve">AusNet Services, </w:t>
      </w:r>
      <w:r>
        <w:rPr>
          <w:rStyle w:val="AERtextitalic"/>
        </w:rPr>
        <w:t>Revenue proposal</w:t>
      </w:r>
      <w:r w:rsidRPr="00891B54">
        <w:rPr>
          <w:rStyle w:val="AERtextitalic"/>
        </w:rPr>
        <w:t xml:space="preserve"> 2017-22</w:t>
      </w:r>
      <w:r>
        <w:t>, 30 October 2015, pp. 95-97.</w:t>
      </w:r>
    </w:p>
  </w:footnote>
  <w:footnote w:id="59">
    <w:p w:rsidR="00B96BBA" w:rsidRDefault="00B96BBA">
      <w:pPr>
        <w:pStyle w:val="FootnoteText"/>
      </w:pPr>
      <w:r>
        <w:rPr>
          <w:rStyle w:val="FootnoteReference"/>
        </w:rPr>
        <w:footnoteRef/>
      </w:r>
      <w:r>
        <w:t xml:space="preserve"> </w:t>
      </w:r>
      <w:r>
        <w:tab/>
        <w:t xml:space="preserve">AusNet Services' actual/estimated average annual expenditure over the 2008 to 2017 period related to its repex programs was around $40 million compared to its forecast average annual expenditure of $50 million over the 2017-22 regulatory control </w:t>
      </w:r>
      <w:proofErr w:type="gramStart"/>
      <w:r>
        <w:t>period</w:t>
      </w:r>
      <w:proofErr w:type="gramEnd"/>
      <w:r>
        <w:t>.</w:t>
      </w:r>
    </w:p>
  </w:footnote>
  <w:footnote w:id="60">
    <w:p w:rsidR="00B96BBA" w:rsidRDefault="00B96BBA" w:rsidP="00E61B75">
      <w:pPr>
        <w:pStyle w:val="FootnoteText"/>
      </w:pPr>
      <w:r>
        <w:rPr>
          <w:rStyle w:val="FootnoteReference"/>
        </w:rPr>
        <w:footnoteRef/>
      </w:r>
      <w:r>
        <w:t xml:space="preserve"> </w:t>
      </w:r>
      <w:r>
        <w:tab/>
        <w:t xml:space="preserve">AusNet Services, </w:t>
      </w:r>
      <w:r w:rsidRPr="005C5528">
        <w:rPr>
          <w:rStyle w:val="AERtextitalic"/>
        </w:rPr>
        <w:t>Appendix 4E: Cost Estimating Methodology - Transmission Regulatory Reset 2017/18-2021/22</w:t>
      </w:r>
      <w:r>
        <w:t>, 8 September 2015.</w:t>
      </w:r>
    </w:p>
  </w:footnote>
  <w:footnote w:id="61">
    <w:p w:rsidR="00B96BBA" w:rsidRDefault="00B96BBA" w:rsidP="00E61B75">
      <w:pPr>
        <w:pStyle w:val="FootnoteText"/>
      </w:pPr>
      <w:r>
        <w:rPr>
          <w:rStyle w:val="FootnoteReference"/>
        </w:rPr>
        <w:footnoteRef/>
      </w:r>
      <w:r>
        <w:t xml:space="preserve"> </w:t>
      </w:r>
      <w:r>
        <w:tab/>
        <w:t xml:space="preserve">AusNet Services, </w:t>
      </w:r>
      <w:r w:rsidRPr="005C5528">
        <w:rPr>
          <w:rStyle w:val="AERtextitalic"/>
        </w:rPr>
        <w:t>Appendix 4E: Cost Estimating Methodology - Transmission Regulatory Reset 2017/18-2021/22</w:t>
      </w:r>
      <w:r>
        <w:t>, 8 September 2015, pp. 5 and 17.</w:t>
      </w:r>
    </w:p>
  </w:footnote>
  <w:footnote w:id="62">
    <w:p w:rsidR="00B96BBA" w:rsidRDefault="00B96BBA" w:rsidP="00E61B75">
      <w:pPr>
        <w:pStyle w:val="FootnoteText"/>
      </w:pPr>
      <w:r>
        <w:rPr>
          <w:rStyle w:val="FootnoteReference"/>
        </w:rPr>
        <w:footnoteRef/>
      </w:r>
      <w:r>
        <w:t xml:space="preserve"> </w:t>
      </w:r>
      <w:r>
        <w:tab/>
        <w:t xml:space="preserve">AusNet Services, </w:t>
      </w:r>
      <w:r w:rsidRPr="0059773D">
        <w:rPr>
          <w:rStyle w:val="AERtextitalic"/>
        </w:rPr>
        <w:t xml:space="preserve">Response to Questions Raised </w:t>
      </w:r>
      <w:proofErr w:type="gramStart"/>
      <w:r w:rsidRPr="0059773D">
        <w:rPr>
          <w:rStyle w:val="AERtextitalic"/>
        </w:rPr>
        <w:t>at 19-20 April Site Visit - Analysis supporting the 5% risk allowance</w:t>
      </w:r>
      <w:proofErr w:type="gramEnd"/>
      <w:r w:rsidRPr="0059773D">
        <w:rPr>
          <w:rStyle w:val="AERtextitalic"/>
        </w:rPr>
        <w:t xml:space="preserve"> included in P50 estimates</w:t>
      </w:r>
      <w:r>
        <w:t>, 29 April 2016, p. 1.</w:t>
      </w:r>
    </w:p>
  </w:footnote>
  <w:footnote w:id="63">
    <w:p w:rsidR="00B96BBA" w:rsidRDefault="00B96BBA" w:rsidP="00E61B75">
      <w:pPr>
        <w:pStyle w:val="FootnoteText"/>
      </w:pPr>
      <w:r>
        <w:rPr>
          <w:rStyle w:val="FootnoteReference"/>
        </w:rPr>
        <w:footnoteRef/>
      </w:r>
      <w:r>
        <w:t xml:space="preserve"> </w:t>
      </w:r>
      <w:r>
        <w:tab/>
        <w:t xml:space="preserve">AusNet Services, </w:t>
      </w:r>
      <w:r w:rsidRPr="005C5528">
        <w:rPr>
          <w:rStyle w:val="AERtextitalic"/>
        </w:rPr>
        <w:t>Appendix 4E: Cost Estimating Methodology - Transmission Regulatory Reset 2017/18-2021/22</w:t>
      </w:r>
      <w:r>
        <w:t>, 8 September 2015, pp. 6–7.</w:t>
      </w:r>
    </w:p>
  </w:footnote>
  <w:footnote w:id="64">
    <w:p w:rsidR="00B96BBA" w:rsidRDefault="00B96BBA" w:rsidP="00E61B75">
      <w:pPr>
        <w:pStyle w:val="FootnoteText"/>
      </w:pPr>
      <w:r>
        <w:rPr>
          <w:rStyle w:val="FootnoteReference"/>
        </w:rPr>
        <w:footnoteRef/>
      </w:r>
      <w:r>
        <w:t xml:space="preserve"> </w:t>
      </w:r>
      <w:r>
        <w:tab/>
        <w:t xml:space="preserve">AusNet Services, </w:t>
      </w:r>
      <w:r w:rsidRPr="0059773D">
        <w:rPr>
          <w:rStyle w:val="AERtextitalic"/>
        </w:rPr>
        <w:t xml:space="preserve">Response to Questions Raised </w:t>
      </w:r>
      <w:proofErr w:type="gramStart"/>
      <w:r w:rsidRPr="0059773D">
        <w:rPr>
          <w:rStyle w:val="AERtextitalic"/>
        </w:rPr>
        <w:t>at 19-20 April Site Visit - Analysis supporting the 5% risk allowance</w:t>
      </w:r>
      <w:proofErr w:type="gramEnd"/>
      <w:r w:rsidRPr="0059773D">
        <w:rPr>
          <w:rStyle w:val="AERtextitalic"/>
        </w:rPr>
        <w:t xml:space="preserve"> included in P50 estimates</w:t>
      </w:r>
      <w:r>
        <w:t>, 29 April 2016, p. 1.</w:t>
      </w:r>
    </w:p>
  </w:footnote>
  <w:footnote w:id="65">
    <w:p w:rsidR="00B96BBA" w:rsidRDefault="00B96BBA" w:rsidP="00E907CB">
      <w:pPr>
        <w:pStyle w:val="FootnoteText"/>
      </w:pPr>
      <w:r>
        <w:rPr>
          <w:rStyle w:val="FootnoteReference"/>
        </w:rPr>
        <w:footnoteRef/>
      </w:r>
      <w:r>
        <w:t xml:space="preserve"> </w:t>
      </w:r>
      <w:r>
        <w:tab/>
        <w:t xml:space="preserve">AusNet Services, </w:t>
      </w:r>
      <w:r w:rsidRPr="0059773D">
        <w:rPr>
          <w:rStyle w:val="AERtextitalic"/>
        </w:rPr>
        <w:t xml:space="preserve">Response to Questions Raised </w:t>
      </w:r>
      <w:proofErr w:type="gramStart"/>
      <w:r w:rsidRPr="0059773D">
        <w:rPr>
          <w:rStyle w:val="AERtextitalic"/>
        </w:rPr>
        <w:t>at 19-20 April Site Visit - Analysis supporting the 5% risk allowance</w:t>
      </w:r>
      <w:proofErr w:type="gramEnd"/>
      <w:r w:rsidRPr="0059773D">
        <w:rPr>
          <w:rStyle w:val="AERtextitalic"/>
        </w:rPr>
        <w:t xml:space="preserve"> included in P50 estimates</w:t>
      </w:r>
      <w:r>
        <w:t>, 29 April 2016, pp. 1–2.</w:t>
      </w:r>
    </w:p>
  </w:footnote>
  <w:footnote w:id="66">
    <w:p w:rsidR="00B96BBA" w:rsidRDefault="00B96BBA" w:rsidP="00E907CB">
      <w:pPr>
        <w:pStyle w:val="FootnoteText"/>
      </w:pPr>
      <w:r>
        <w:rPr>
          <w:rStyle w:val="FootnoteReference"/>
        </w:rPr>
        <w:footnoteRef/>
      </w:r>
      <w:r>
        <w:t xml:space="preserve"> </w:t>
      </w:r>
      <w:r>
        <w:tab/>
        <w:t xml:space="preserve">AusNet Services, </w:t>
      </w:r>
      <w:r w:rsidRPr="005C5528">
        <w:rPr>
          <w:rStyle w:val="AERtextitalic"/>
        </w:rPr>
        <w:t>Appendix 4E: Cost Estimating Methodology - Transmission Regulatory Reset 2017/18-2021/22</w:t>
      </w:r>
      <w:r>
        <w:t>, 8 September 2015, pp. 17–18.</w:t>
      </w:r>
    </w:p>
  </w:footnote>
  <w:footnote w:id="67">
    <w:p w:rsidR="00B96BBA" w:rsidRDefault="00B96BBA" w:rsidP="00E907CB">
      <w:pPr>
        <w:pStyle w:val="FootnoteText"/>
      </w:pPr>
      <w:r>
        <w:rPr>
          <w:rStyle w:val="FootnoteReference"/>
        </w:rPr>
        <w:footnoteRef/>
      </w:r>
      <w:r>
        <w:t xml:space="preserve"> </w:t>
      </w:r>
      <w:r>
        <w:tab/>
      </w:r>
      <w:proofErr w:type="gramStart"/>
      <w:r>
        <w:t xml:space="preserve">AusNet Services, </w:t>
      </w:r>
      <w:r w:rsidRPr="005A4B3B">
        <w:rPr>
          <w:rStyle w:val="AERtextitalic"/>
        </w:rPr>
        <w:t>RINs Schedule 1 - 4.2.b. Basis for top-down capex adjustment</w:t>
      </w:r>
      <w:r>
        <w:t>, 30 October 2015.</w:t>
      </w:r>
      <w:proofErr w:type="gramEnd"/>
    </w:p>
  </w:footnote>
  <w:footnote w:id="68">
    <w:p w:rsidR="00B96BBA" w:rsidRDefault="00B96BBA" w:rsidP="00EE6266">
      <w:pPr>
        <w:pStyle w:val="FootnoteText"/>
      </w:pPr>
      <w:r>
        <w:rPr>
          <w:rStyle w:val="FootnoteReference"/>
        </w:rPr>
        <w:footnoteRef/>
      </w:r>
      <w:r>
        <w:t xml:space="preserve"> </w:t>
      </w:r>
      <w:r>
        <w:tab/>
        <w:t>We also undertook a regression analysis of AusNet Services' individual project forecasting errors, which did not show any trend towards improvement in forecasting accuracy to indicate this systemic issue has been corrected.</w:t>
      </w:r>
    </w:p>
  </w:footnote>
  <w:footnote w:id="69">
    <w:p w:rsidR="00B96BBA" w:rsidRDefault="00B96BBA" w:rsidP="00EF6F52">
      <w:pPr>
        <w:pStyle w:val="FootnoteText"/>
      </w:pPr>
      <w:r>
        <w:rPr>
          <w:rStyle w:val="FootnoteReference"/>
        </w:rPr>
        <w:footnoteRef/>
      </w:r>
      <w:r>
        <w:t xml:space="preserve"> </w:t>
      </w:r>
      <w:r>
        <w:tab/>
      </w:r>
      <w:proofErr w:type="gramStart"/>
      <w:r>
        <w:t>NER, cl. 6A.6.7(c).</w:t>
      </w:r>
      <w:proofErr w:type="gramEnd"/>
    </w:p>
  </w:footnote>
  <w:footnote w:id="70">
    <w:p w:rsidR="00B96BBA" w:rsidRDefault="00B96BBA" w:rsidP="00EF6F52">
      <w:pPr>
        <w:pStyle w:val="FootnoteText"/>
      </w:pPr>
      <w:r>
        <w:rPr>
          <w:rStyle w:val="FootnoteReference"/>
        </w:rPr>
        <w:footnoteRef/>
      </w:r>
      <w:r>
        <w:t xml:space="preserve"> </w:t>
      </w:r>
      <w:r>
        <w:tab/>
        <w:t xml:space="preserve">AusNet Services, </w:t>
      </w:r>
      <w:r>
        <w:rPr>
          <w:rStyle w:val="AERtextitalic"/>
        </w:rPr>
        <w:t>Revenue proposal 2017–22</w:t>
      </w:r>
      <w:r>
        <w:t>, 30 October</w:t>
      </w:r>
      <w:r w:rsidRPr="00640174">
        <w:t xml:space="preserve"> 2015</w:t>
      </w:r>
      <w:r>
        <w:t>, pp. 75–76.</w:t>
      </w:r>
    </w:p>
  </w:footnote>
  <w:footnote w:id="71">
    <w:p w:rsidR="00B96BBA" w:rsidRDefault="00B96BBA" w:rsidP="00EF6F52">
      <w:pPr>
        <w:pStyle w:val="FootnoteText"/>
      </w:pPr>
      <w:r>
        <w:rPr>
          <w:rStyle w:val="FootnoteReference"/>
        </w:rPr>
        <w:footnoteRef/>
      </w:r>
      <w:r>
        <w:t xml:space="preserve"> </w:t>
      </w:r>
      <w:r>
        <w:tab/>
        <w:t xml:space="preserve">AusNet Services, </w:t>
      </w:r>
      <w:r>
        <w:rPr>
          <w:rStyle w:val="AERtextitalic"/>
        </w:rPr>
        <w:t>Revenue proposal 2017–22</w:t>
      </w:r>
      <w:r>
        <w:t>, 30 October</w:t>
      </w:r>
      <w:r w:rsidRPr="00640174">
        <w:t xml:space="preserve"> 2015</w:t>
      </w:r>
      <w:r>
        <w:t>, pp. 75–76.</w:t>
      </w:r>
    </w:p>
  </w:footnote>
  <w:footnote w:id="72">
    <w:p w:rsidR="00B96BBA" w:rsidRDefault="00B96BBA">
      <w:pPr>
        <w:pStyle w:val="FootnoteText"/>
      </w:pPr>
      <w:r>
        <w:rPr>
          <w:rStyle w:val="FootnoteReference"/>
        </w:rPr>
        <w:footnoteRef/>
      </w:r>
      <w:r>
        <w:t xml:space="preserve"> </w:t>
      </w:r>
      <w:r>
        <w:tab/>
      </w:r>
      <w:proofErr w:type="gramStart"/>
      <w:r>
        <w:t xml:space="preserve">AusNet Services, </w:t>
      </w:r>
      <w:r w:rsidRPr="00A20ACE">
        <w:rPr>
          <w:rStyle w:val="AERtextitalic"/>
        </w:rPr>
        <w:t>AMS 10-24 Asset Renewal Planning Guide - PUBLIC</w:t>
      </w:r>
      <w:r>
        <w:t>, October 2015, p.19.</w:t>
      </w:r>
      <w:proofErr w:type="gramEnd"/>
    </w:p>
  </w:footnote>
  <w:footnote w:id="73">
    <w:p w:rsidR="00B96BBA" w:rsidRDefault="00B96BBA" w:rsidP="00D23E07">
      <w:pPr>
        <w:pStyle w:val="FootnoteText"/>
      </w:pPr>
      <w:r>
        <w:rPr>
          <w:rStyle w:val="FootnoteReference"/>
        </w:rPr>
        <w:footnoteRef/>
      </w:r>
      <w:r>
        <w:t xml:space="preserve"> </w:t>
      </w:r>
      <w:r>
        <w:tab/>
        <w:t xml:space="preserve">AusNet Services, </w:t>
      </w:r>
      <w:r>
        <w:rPr>
          <w:rStyle w:val="AERtextitalic"/>
        </w:rPr>
        <w:t>Revenue proposal 2017–22</w:t>
      </w:r>
      <w:r>
        <w:t>, 30 October</w:t>
      </w:r>
      <w:r w:rsidRPr="00640174">
        <w:t xml:space="preserve"> 2015</w:t>
      </w:r>
      <w:r>
        <w:t>, p. 71.</w:t>
      </w:r>
    </w:p>
  </w:footnote>
  <w:footnote w:id="74">
    <w:p w:rsidR="00B96BBA" w:rsidRDefault="00B96BBA" w:rsidP="00D23E07">
      <w:pPr>
        <w:pStyle w:val="FootnoteText"/>
      </w:pPr>
      <w:r>
        <w:rPr>
          <w:rStyle w:val="FootnoteReference"/>
        </w:rPr>
        <w:footnoteRef/>
      </w:r>
      <w:r>
        <w:t xml:space="preserve"> </w:t>
      </w:r>
      <w:r>
        <w:tab/>
      </w:r>
      <w:r w:rsidRPr="0017483A">
        <w:t xml:space="preserve">AusNet Services, </w:t>
      </w:r>
      <w:r w:rsidRPr="007F2824">
        <w:rPr>
          <w:rStyle w:val="AERtextitalic"/>
        </w:rPr>
        <w:t>Response to AER information request IR#015</w:t>
      </w:r>
      <w:r w:rsidRPr="0017483A">
        <w:t>,</w:t>
      </w:r>
      <w:r>
        <w:t xml:space="preserve"> 26 April 2016, p. 2</w:t>
      </w:r>
      <w:r w:rsidRPr="0017483A">
        <w:t>.</w:t>
      </w:r>
    </w:p>
  </w:footnote>
  <w:footnote w:id="75">
    <w:p w:rsidR="00B96BBA" w:rsidRDefault="00B96BBA" w:rsidP="00A05922">
      <w:pPr>
        <w:pStyle w:val="FootnoteText"/>
      </w:pPr>
      <w:r>
        <w:rPr>
          <w:rStyle w:val="FootnoteReference"/>
        </w:rPr>
        <w:footnoteRef/>
      </w:r>
      <w:r>
        <w:t xml:space="preserve"> </w:t>
      </w:r>
      <w:r>
        <w:tab/>
      </w:r>
      <w:r w:rsidRPr="0017483A">
        <w:t xml:space="preserve">AusNet Services, </w:t>
      </w:r>
      <w:r w:rsidRPr="007F2824">
        <w:rPr>
          <w:rStyle w:val="AERtextitalic"/>
        </w:rPr>
        <w:t>Response to AER information request IR#015</w:t>
      </w:r>
      <w:r w:rsidRPr="0017483A">
        <w:t>,</w:t>
      </w:r>
      <w:r>
        <w:t xml:space="preserve"> 26 April 2016, p. 2</w:t>
      </w:r>
      <w:r w:rsidRPr="0017483A">
        <w:t>.</w:t>
      </w:r>
    </w:p>
  </w:footnote>
  <w:footnote w:id="76">
    <w:p w:rsidR="00B96BBA" w:rsidRDefault="00B96BBA" w:rsidP="00D23E07">
      <w:pPr>
        <w:pStyle w:val="FootnoteText"/>
      </w:pPr>
      <w:r>
        <w:rPr>
          <w:rStyle w:val="FootnoteReference"/>
        </w:rPr>
        <w:footnoteRef/>
      </w:r>
      <w:r>
        <w:t xml:space="preserve"> </w:t>
      </w:r>
      <w:r>
        <w:tab/>
        <w:t xml:space="preserve">AusNet Services, </w:t>
      </w:r>
      <w:r>
        <w:rPr>
          <w:rStyle w:val="AERtextitalic"/>
        </w:rPr>
        <w:t>Revenue proposal 2017–22</w:t>
      </w:r>
      <w:r>
        <w:t>, 30 October</w:t>
      </w:r>
      <w:r w:rsidRPr="00640174">
        <w:t xml:space="preserve"> 2015</w:t>
      </w:r>
      <w:r>
        <w:t>, p. 71.</w:t>
      </w:r>
    </w:p>
  </w:footnote>
  <w:footnote w:id="77">
    <w:p w:rsidR="00B96BBA" w:rsidRDefault="00B96BBA" w:rsidP="00D23E07">
      <w:pPr>
        <w:pStyle w:val="FootnoteText"/>
      </w:pPr>
      <w:r>
        <w:rPr>
          <w:rStyle w:val="FootnoteReference"/>
        </w:rPr>
        <w:footnoteRef/>
      </w:r>
      <w:r>
        <w:t xml:space="preserve"> </w:t>
      </w:r>
      <w:r>
        <w:tab/>
      </w:r>
      <w:r w:rsidRPr="0017483A">
        <w:t xml:space="preserve">AusNet Services, </w:t>
      </w:r>
      <w:r w:rsidRPr="007F2824">
        <w:rPr>
          <w:rStyle w:val="AERtextitalic"/>
        </w:rPr>
        <w:t>Response to AER information request IR#015</w:t>
      </w:r>
      <w:r w:rsidRPr="0017483A">
        <w:t>,</w:t>
      </w:r>
      <w:r>
        <w:t xml:space="preserve"> 26 April 2016, pp. 2–12</w:t>
      </w:r>
      <w:r w:rsidRPr="0017483A">
        <w:t>.</w:t>
      </w:r>
    </w:p>
  </w:footnote>
  <w:footnote w:id="78">
    <w:p w:rsidR="00B96BBA" w:rsidRDefault="00B96BBA" w:rsidP="00D23E07">
      <w:pPr>
        <w:pStyle w:val="FootnoteText"/>
      </w:pPr>
      <w:r>
        <w:rPr>
          <w:rStyle w:val="FootnoteReference"/>
        </w:rPr>
        <w:footnoteRef/>
      </w:r>
      <w:r>
        <w:t xml:space="preserve"> </w:t>
      </w:r>
      <w:r>
        <w:tab/>
        <w:t>NER, cl. 6A.6.7(c</w:t>
      </w:r>
      <w:proofErr w:type="gramStart"/>
      <w:r>
        <w:t>)(</w:t>
      </w:r>
      <w:proofErr w:type="gramEnd"/>
      <w:r>
        <w:t>3).</w:t>
      </w:r>
    </w:p>
  </w:footnote>
  <w:footnote w:id="79">
    <w:p w:rsidR="00B96BBA" w:rsidRDefault="00B96BBA" w:rsidP="00D23E07">
      <w:pPr>
        <w:pStyle w:val="FootnoteText"/>
      </w:pPr>
      <w:r>
        <w:rPr>
          <w:rStyle w:val="FootnoteReference"/>
        </w:rPr>
        <w:footnoteRef/>
      </w:r>
      <w:r>
        <w:t xml:space="preserve"> </w:t>
      </w:r>
      <w:r>
        <w:tab/>
        <w:t xml:space="preserve">AER, </w:t>
      </w:r>
      <w:r w:rsidRPr="00AC7A79">
        <w:rPr>
          <w:rStyle w:val="AERtextitalic"/>
        </w:rPr>
        <w:t>Prel</w:t>
      </w:r>
      <w:r>
        <w:rPr>
          <w:rStyle w:val="AERtextitalic"/>
        </w:rPr>
        <w:t>iminary Decision - CitiPower</w:t>
      </w:r>
      <w:r w:rsidRPr="00AC7A79">
        <w:rPr>
          <w:rStyle w:val="AERtextitalic"/>
        </w:rPr>
        <w:t xml:space="preserve"> distribution determination 2016–2020 – Attachment 6</w:t>
      </w:r>
      <w:r>
        <w:t xml:space="preserve">, October 2015; AER, </w:t>
      </w:r>
      <w:r w:rsidRPr="00AC7A79">
        <w:rPr>
          <w:rStyle w:val="AERtextitalic"/>
        </w:rPr>
        <w:t>Preliminary Decision - Powercor distribution determination 2016–2020 – Attachment 6</w:t>
      </w:r>
      <w:r>
        <w:t xml:space="preserve">, October 2015; AER, </w:t>
      </w:r>
      <w:r w:rsidRPr="00AC7A79">
        <w:rPr>
          <w:rStyle w:val="AERtextitalic"/>
        </w:rPr>
        <w:t>Prel</w:t>
      </w:r>
      <w:r>
        <w:rPr>
          <w:rStyle w:val="AERtextitalic"/>
        </w:rPr>
        <w:t>iminary Decision - United Energy</w:t>
      </w:r>
      <w:r w:rsidRPr="00AC7A79">
        <w:rPr>
          <w:rStyle w:val="AERtextitalic"/>
        </w:rPr>
        <w:t xml:space="preserve"> distribution determination 2016–2020 – Attachment 6</w:t>
      </w:r>
      <w:r>
        <w:t xml:space="preserve">, October 2015; AER, </w:t>
      </w:r>
      <w:r w:rsidRPr="00AC7A79">
        <w:rPr>
          <w:rStyle w:val="AERtextitalic"/>
        </w:rPr>
        <w:t>Prel</w:t>
      </w:r>
      <w:r>
        <w:rPr>
          <w:rStyle w:val="AERtextitalic"/>
        </w:rPr>
        <w:t>iminary Decision - AusNet Services</w:t>
      </w:r>
      <w:r w:rsidRPr="00AC7A79">
        <w:rPr>
          <w:rStyle w:val="AERtextitalic"/>
        </w:rPr>
        <w:t xml:space="preserve"> distribution determination 2016–2020 – Attachment 6</w:t>
      </w:r>
      <w:r>
        <w:t xml:space="preserve">, October 2015; and AER, </w:t>
      </w:r>
      <w:r w:rsidRPr="00AC7A79">
        <w:rPr>
          <w:rStyle w:val="AERtextitalic"/>
        </w:rPr>
        <w:t>Prel</w:t>
      </w:r>
      <w:r>
        <w:rPr>
          <w:rStyle w:val="AERtextitalic"/>
        </w:rPr>
        <w:t>iminary Decision - Jemena</w:t>
      </w:r>
      <w:r w:rsidRPr="00AC7A79">
        <w:rPr>
          <w:rStyle w:val="AERtextitalic"/>
        </w:rPr>
        <w:t xml:space="preserve"> distribution determination 2016–2020 – Attachment 6</w:t>
      </w:r>
      <w:r>
        <w:t>, October 2015.</w:t>
      </w:r>
    </w:p>
  </w:footnote>
  <w:footnote w:id="80">
    <w:p w:rsidR="00B96BBA" w:rsidRDefault="00B96BBA" w:rsidP="00D23E07">
      <w:pPr>
        <w:pStyle w:val="FootnoteText"/>
      </w:pPr>
      <w:r>
        <w:rPr>
          <w:rStyle w:val="FootnoteReference"/>
        </w:rPr>
        <w:footnoteRef/>
      </w:r>
      <w:r>
        <w:t xml:space="preserve"> </w:t>
      </w:r>
      <w:r>
        <w:tab/>
        <w:t xml:space="preserve">See for example AER, </w:t>
      </w:r>
      <w:r w:rsidRPr="00AC7A79">
        <w:rPr>
          <w:rStyle w:val="AERtextitalic"/>
        </w:rPr>
        <w:t>Preliminary Decision - Powercor distribution determination 2016–2020 – Attachment 6</w:t>
      </w:r>
      <w:r>
        <w:t>, October 2015, pp. 6–152 to 6–153.</w:t>
      </w:r>
    </w:p>
  </w:footnote>
  <w:footnote w:id="81">
    <w:p w:rsidR="00B96BBA" w:rsidRDefault="00B96BBA" w:rsidP="007E5129">
      <w:pPr>
        <w:pStyle w:val="FootnoteText"/>
      </w:pPr>
      <w:r>
        <w:rPr>
          <w:rStyle w:val="FootnoteReference"/>
        </w:rPr>
        <w:footnoteRef/>
      </w:r>
      <w:r>
        <w:t xml:space="preserve"> </w:t>
      </w:r>
      <w:r>
        <w:tab/>
      </w:r>
      <w:proofErr w:type="gramStart"/>
      <w:r>
        <w:t>AusNet Services, AMS 10-24 Asset Renewal Planning Guideline, 12 October</w:t>
      </w:r>
      <w:r w:rsidRPr="00640174">
        <w:t xml:space="preserve"> 2015</w:t>
      </w:r>
      <w:r>
        <w:t>, p. 66.</w:t>
      </w:r>
      <w:proofErr w:type="gramEnd"/>
    </w:p>
  </w:footnote>
  <w:footnote w:id="82">
    <w:p w:rsidR="00B96BBA" w:rsidRDefault="00B96BBA" w:rsidP="007E5129">
      <w:pPr>
        <w:pStyle w:val="FootnoteText"/>
      </w:pPr>
      <w:r>
        <w:rPr>
          <w:rStyle w:val="FootnoteReference"/>
        </w:rPr>
        <w:footnoteRef/>
      </w:r>
      <w:r>
        <w:t xml:space="preserve"> </w:t>
      </w:r>
      <w:r>
        <w:tab/>
        <w:t>AusNet Services, Appendix 4A</w:t>
      </w:r>
      <w:r w:rsidRPr="005C5528">
        <w:t xml:space="preserve">: </w:t>
      </w:r>
      <w:r>
        <w:t>Network Capital Expenditure Overview</w:t>
      </w:r>
      <w:r w:rsidRPr="005C5528">
        <w:t xml:space="preserve"> </w:t>
      </w:r>
      <w:r>
        <w:t>- 2017 to 20</w:t>
      </w:r>
      <w:r w:rsidRPr="005C5528">
        <w:t>22</w:t>
      </w:r>
      <w:r>
        <w:t>, 30 October 2015, pp. 16–17.</w:t>
      </w:r>
    </w:p>
  </w:footnote>
  <w:footnote w:id="83">
    <w:p w:rsidR="00B96BBA" w:rsidRDefault="00B96BBA" w:rsidP="007E5129">
      <w:pPr>
        <w:pStyle w:val="FootnoteText"/>
      </w:pPr>
      <w:r>
        <w:rPr>
          <w:rStyle w:val="FootnoteReference"/>
        </w:rPr>
        <w:footnoteRef/>
      </w:r>
      <w:r>
        <w:t xml:space="preserve"> </w:t>
      </w:r>
      <w:r>
        <w:tab/>
        <w:t xml:space="preserve">In general, </w:t>
      </w:r>
      <w:r w:rsidRPr="00156FF3">
        <w:t>AusNet Services' processes for assessing options to manage the remaining life of assets accords with the principles and practices required under ISO 55000 (Asset Management). Further, AusNet Services' risk analysis is largely quantitative and is based on principles and practices that accord with ISO 31000 (Risk Management).</w:t>
      </w:r>
    </w:p>
  </w:footnote>
  <w:footnote w:id="84">
    <w:p w:rsidR="00B96BBA" w:rsidRDefault="00B96BBA" w:rsidP="007E5129">
      <w:pPr>
        <w:pStyle w:val="FootnoteText"/>
      </w:pPr>
      <w:r>
        <w:rPr>
          <w:rStyle w:val="FootnoteReference"/>
        </w:rPr>
        <w:footnoteRef/>
      </w:r>
      <w:r>
        <w:t xml:space="preserve"> </w:t>
      </w:r>
      <w:r>
        <w:tab/>
      </w:r>
      <w:proofErr w:type="gramStart"/>
      <w:r>
        <w:t>AusNet Services, AMS 10-24 Asset Renewal Planning Guideline, 12 October</w:t>
      </w:r>
      <w:r w:rsidRPr="00640174">
        <w:t xml:space="preserve"> 2015</w:t>
      </w:r>
      <w:r>
        <w:t>, pp. 27–28.</w:t>
      </w:r>
      <w:proofErr w:type="gramEnd"/>
    </w:p>
  </w:footnote>
  <w:footnote w:id="85">
    <w:p w:rsidR="00B96BBA" w:rsidRDefault="00B96BBA" w:rsidP="007E5129">
      <w:pPr>
        <w:pStyle w:val="FootnoteText"/>
      </w:pPr>
      <w:r>
        <w:rPr>
          <w:rStyle w:val="FootnoteReference"/>
        </w:rPr>
        <w:footnoteRef/>
      </w:r>
      <w:r>
        <w:t xml:space="preserve"> </w:t>
      </w:r>
      <w:r>
        <w:tab/>
      </w:r>
      <w:proofErr w:type="gramStart"/>
      <w:r>
        <w:t>AusNet Services, AMS 10-24 Asset Renewal Planning Guideline, 12 October</w:t>
      </w:r>
      <w:r w:rsidRPr="00640174">
        <w:t xml:space="preserve"> 2015</w:t>
      </w:r>
      <w:r>
        <w:t>, p. 27.</w:t>
      </w:r>
      <w:proofErr w:type="gramEnd"/>
    </w:p>
  </w:footnote>
  <w:footnote w:id="86">
    <w:p w:rsidR="00B96BBA" w:rsidRDefault="00B96BBA" w:rsidP="00EF00E9">
      <w:pPr>
        <w:pStyle w:val="FootnoteText"/>
      </w:pPr>
      <w:r>
        <w:rPr>
          <w:rStyle w:val="FootnoteReference"/>
        </w:rPr>
        <w:footnoteRef/>
      </w:r>
      <w:r>
        <w:t xml:space="preserve"> </w:t>
      </w:r>
      <w:r>
        <w:tab/>
      </w:r>
      <w:proofErr w:type="gramStart"/>
      <w:r>
        <w:t>NER, cl 6A.6.7(c).</w:t>
      </w:r>
      <w:proofErr w:type="gramEnd"/>
    </w:p>
  </w:footnote>
  <w:footnote w:id="87">
    <w:p w:rsidR="00B96BBA" w:rsidRDefault="00B96BBA" w:rsidP="00EF00E9">
      <w:pPr>
        <w:pStyle w:val="FootnoteText"/>
      </w:pPr>
      <w:r>
        <w:rPr>
          <w:rStyle w:val="FootnoteReference"/>
        </w:rPr>
        <w:footnoteRef/>
      </w:r>
      <w:r>
        <w:t xml:space="preserve"> </w:t>
      </w:r>
      <w:r>
        <w:tab/>
      </w:r>
      <w:proofErr w:type="gramStart"/>
      <w:r>
        <w:t>NEL, section 7.</w:t>
      </w:r>
      <w:proofErr w:type="gramEnd"/>
    </w:p>
  </w:footnote>
  <w:footnote w:id="88">
    <w:p w:rsidR="00B96BBA" w:rsidRDefault="00B96BBA" w:rsidP="00EF00E9">
      <w:pPr>
        <w:pStyle w:val="FootnoteText"/>
      </w:pPr>
      <w:r>
        <w:rPr>
          <w:rStyle w:val="FootnoteReference"/>
        </w:rPr>
        <w:footnoteRef/>
      </w:r>
      <w:r>
        <w:t xml:space="preserve"> </w:t>
      </w:r>
      <w:r>
        <w:tab/>
        <w:t xml:space="preserve">See NER, cl </w:t>
      </w:r>
      <w:proofErr w:type="gramStart"/>
      <w:r>
        <w:t>6A.6.7(</w:t>
      </w:r>
      <w:proofErr w:type="gramEnd"/>
      <w:r>
        <w:t>a)(4) and cl 6A.6.7(c).</w:t>
      </w:r>
    </w:p>
  </w:footnote>
  <w:footnote w:id="89">
    <w:p w:rsidR="00B96BBA" w:rsidRDefault="00B96BBA" w:rsidP="00EF00E9">
      <w:pPr>
        <w:pStyle w:val="FootnoteText"/>
      </w:pPr>
      <w:r>
        <w:rPr>
          <w:rStyle w:val="FootnoteReference"/>
        </w:rPr>
        <w:footnoteRef/>
      </w:r>
      <w:r>
        <w:t xml:space="preserve"> </w:t>
      </w:r>
      <w:r>
        <w:tab/>
        <w:t xml:space="preserve">For example, in accordance with relevant provisions of the </w:t>
      </w:r>
      <w:r w:rsidRPr="00C50DC9">
        <w:rPr>
          <w:rStyle w:val="AERtextitalic"/>
        </w:rPr>
        <w:t>Occupational Health and Safety Act 2004</w:t>
      </w:r>
      <w:r>
        <w:t xml:space="preserve">, </w:t>
      </w:r>
      <w:r w:rsidRPr="00C50DC9">
        <w:rPr>
          <w:rStyle w:val="AERtextitalic"/>
        </w:rPr>
        <w:t>Electricity Safety Act 1998</w:t>
      </w:r>
      <w:r>
        <w:t xml:space="preserve"> and associated regulations.</w:t>
      </w:r>
    </w:p>
  </w:footnote>
  <w:footnote w:id="90">
    <w:p w:rsidR="00B96BBA" w:rsidRDefault="00B96BBA" w:rsidP="00EF00E9">
      <w:pPr>
        <w:pStyle w:val="FootnoteText"/>
      </w:pPr>
      <w:r>
        <w:rPr>
          <w:rStyle w:val="FootnoteReference"/>
        </w:rPr>
        <w:footnoteRef/>
      </w:r>
      <w:r>
        <w:t xml:space="preserve"> </w:t>
      </w:r>
      <w:r>
        <w:tab/>
        <w:t xml:space="preserve">AusNet Services, </w:t>
      </w:r>
      <w:r w:rsidRPr="00C50DC9">
        <w:rPr>
          <w:rStyle w:val="AERtextitalic"/>
        </w:rPr>
        <w:t>RM001-2006 Risk Management Policy &amp; Framework</w:t>
      </w:r>
      <w:r>
        <w:t>, 27 March 2013, p. 9.</w:t>
      </w:r>
    </w:p>
  </w:footnote>
  <w:footnote w:id="91">
    <w:p w:rsidR="00B96BBA" w:rsidRDefault="00B96BBA" w:rsidP="00EF00E9">
      <w:pPr>
        <w:pStyle w:val="FootnoteText"/>
      </w:pPr>
      <w:r>
        <w:rPr>
          <w:rStyle w:val="FootnoteReference"/>
        </w:rPr>
        <w:footnoteRef/>
      </w:r>
      <w:r>
        <w:t xml:space="preserve"> </w:t>
      </w:r>
      <w:r>
        <w:tab/>
      </w:r>
      <w:r w:rsidRPr="00BA4A76">
        <w:t xml:space="preserve">AusNet Services, </w:t>
      </w:r>
      <w:r w:rsidRPr="00BA4A76">
        <w:rPr>
          <w:i/>
        </w:rPr>
        <w:t>AMS 10-13 Condition Monitoring</w:t>
      </w:r>
      <w:r w:rsidRPr="00BA4A76">
        <w:t xml:space="preserve">, 16 September 2015, p. </w:t>
      </w:r>
      <w:r>
        <w:t>17</w:t>
      </w:r>
      <w:r w:rsidRPr="00BA4A76">
        <w:t>.</w:t>
      </w:r>
    </w:p>
  </w:footnote>
  <w:footnote w:id="92">
    <w:p w:rsidR="00B96BBA" w:rsidRDefault="00B96BBA" w:rsidP="00EF00E9">
      <w:pPr>
        <w:pStyle w:val="FootnoteText"/>
      </w:pPr>
      <w:r>
        <w:rPr>
          <w:rStyle w:val="FootnoteReference"/>
        </w:rPr>
        <w:footnoteRef/>
      </w:r>
      <w:r>
        <w:t xml:space="preserve"> </w:t>
      </w:r>
      <w:r>
        <w:tab/>
        <w:t xml:space="preserve">AusNet Services, </w:t>
      </w:r>
      <w:r w:rsidRPr="00247B27">
        <w:rPr>
          <w:i/>
        </w:rPr>
        <w:t>Appendix 4A: Network Capital Expenditure Overview – 2017 to 2022</w:t>
      </w:r>
      <w:r>
        <w:t>, 30 October 2015, p. 38.</w:t>
      </w:r>
    </w:p>
  </w:footnote>
  <w:footnote w:id="93">
    <w:p w:rsidR="00B96BBA" w:rsidRDefault="00B96BBA" w:rsidP="00EF00E9">
      <w:pPr>
        <w:pStyle w:val="FootnoteText"/>
      </w:pPr>
      <w:r>
        <w:rPr>
          <w:rStyle w:val="FootnoteReference"/>
        </w:rPr>
        <w:footnoteRef/>
      </w:r>
      <w:r>
        <w:t xml:space="preserve"> </w:t>
      </w:r>
      <w:r>
        <w:tab/>
        <w:t xml:space="preserve">AusNet Services, </w:t>
      </w:r>
      <w:r w:rsidRPr="009A43F0">
        <w:rPr>
          <w:i/>
        </w:rPr>
        <w:t>Appendix 4A: Network Capital Expenditure Overview – 2017 to 2022</w:t>
      </w:r>
      <w:r>
        <w:t xml:space="preserve">, 30 October 2015, p. 39; and AusNet Services, </w:t>
      </w:r>
      <w:r w:rsidRPr="00C50DC9">
        <w:rPr>
          <w:rStyle w:val="AERtextitalic"/>
        </w:rPr>
        <w:t>AMS 10-13 Condition Monitoring</w:t>
      </w:r>
      <w:r>
        <w:t>, 16 September</w:t>
      </w:r>
      <w:r w:rsidRPr="00640174">
        <w:t xml:space="preserve"> 2015</w:t>
      </w:r>
      <w:r>
        <w:t>, p. 18.</w:t>
      </w:r>
    </w:p>
  </w:footnote>
  <w:footnote w:id="94">
    <w:p w:rsidR="00B96BBA" w:rsidRDefault="00B96BBA" w:rsidP="00EF00E9">
      <w:pPr>
        <w:pStyle w:val="FootnoteText"/>
      </w:pPr>
      <w:r>
        <w:rPr>
          <w:rStyle w:val="FootnoteReference"/>
        </w:rPr>
        <w:footnoteRef/>
      </w:r>
      <w:r>
        <w:t xml:space="preserve"> </w:t>
      </w:r>
      <w:r>
        <w:tab/>
        <w:t xml:space="preserve">AusNet Services, </w:t>
      </w:r>
      <w:r w:rsidRPr="00247B27">
        <w:rPr>
          <w:i/>
        </w:rPr>
        <w:t>Appendix 4A: Network Capital Expenditure Overview – 2017 to 2022</w:t>
      </w:r>
      <w:r>
        <w:t>, 30 October 2015, p. 44.</w:t>
      </w:r>
    </w:p>
  </w:footnote>
  <w:footnote w:id="95">
    <w:p w:rsidR="00B96BBA" w:rsidRDefault="00B96BBA" w:rsidP="00EF00E9">
      <w:pPr>
        <w:pStyle w:val="FootnoteText"/>
      </w:pPr>
      <w:r>
        <w:rPr>
          <w:rStyle w:val="FootnoteReference"/>
        </w:rPr>
        <w:footnoteRef/>
      </w:r>
      <w:r>
        <w:t xml:space="preserve"> </w:t>
      </w:r>
      <w:r>
        <w:tab/>
        <w:t xml:space="preserve">AusNet Services, </w:t>
      </w:r>
      <w:r w:rsidRPr="00247B27">
        <w:rPr>
          <w:i/>
        </w:rPr>
        <w:t>Appendix 4A: Network Capital Expenditure Overview – 2017 to 2022</w:t>
      </w:r>
      <w:r>
        <w:t>, 30 October 2015, p. 43.</w:t>
      </w:r>
    </w:p>
  </w:footnote>
  <w:footnote w:id="96">
    <w:p w:rsidR="00B96BBA" w:rsidRDefault="00B96BBA" w:rsidP="00EF00E9">
      <w:pPr>
        <w:pStyle w:val="FootnoteText"/>
      </w:pPr>
      <w:r>
        <w:rPr>
          <w:rStyle w:val="FootnoteReference"/>
        </w:rPr>
        <w:footnoteRef/>
      </w:r>
      <w:r>
        <w:t xml:space="preserve"> </w:t>
      </w:r>
      <w:r>
        <w:tab/>
        <w:t xml:space="preserve">AusNet Services, </w:t>
      </w:r>
      <w:r w:rsidRPr="00247B27">
        <w:rPr>
          <w:i/>
        </w:rPr>
        <w:t>Appendix 4A: Network Capital Expenditure Overview – 2017 to 2022</w:t>
      </w:r>
      <w:r>
        <w:t>, 30 October 2015, p. 19.</w:t>
      </w:r>
    </w:p>
  </w:footnote>
  <w:footnote w:id="97">
    <w:p w:rsidR="00B96BBA" w:rsidRDefault="00B96BBA" w:rsidP="00EF00E9">
      <w:pPr>
        <w:pStyle w:val="FootnoteText"/>
      </w:pPr>
      <w:r>
        <w:rPr>
          <w:rStyle w:val="FootnoteReference"/>
        </w:rPr>
        <w:footnoteRef/>
      </w:r>
      <w:r>
        <w:t xml:space="preserve"> </w:t>
      </w:r>
      <w:r>
        <w:tab/>
        <w:t xml:space="preserve">AusNet Services, </w:t>
      </w:r>
      <w:r w:rsidRPr="00C50DC9">
        <w:rPr>
          <w:rStyle w:val="AERtextitalic"/>
        </w:rPr>
        <w:t>AMS 10-13 Condition Monitoring</w:t>
      </w:r>
      <w:r>
        <w:t>, 16 September</w:t>
      </w:r>
      <w:r w:rsidRPr="00640174">
        <w:t xml:space="preserve"> 2015</w:t>
      </w:r>
      <w:r>
        <w:t>, pp. 10-11.</w:t>
      </w:r>
    </w:p>
  </w:footnote>
  <w:footnote w:id="98">
    <w:p w:rsidR="00B96BBA" w:rsidRDefault="00B96BBA" w:rsidP="00EF00E9">
      <w:pPr>
        <w:pStyle w:val="FootnoteText"/>
      </w:pPr>
      <w:r>
        <w:rPr>
          <w:rStyle w:val="FootnoteReference"/>
        </w:rPr>
        <w:footnoteRef/>
      </w:r>
      <w:r>
        <w:t xml:space="preserve"> </w:t>
      </w:r>
      <w:r>
        <w:tab/>
        <w:t xml:space="preserve">AusNet Services, </w:t>
      </w:r>
      <w:r w:rsidRPr="00C50DC9">
        <w:rPr>
          <w:rStyle w:val="AERtextitalic"/>
        </w:rPr>
        <w:t>AMS 10-13 Condition Monitoring</w:t>
      </w:r>
      <w:r>
        <w:t>, 16 September</w:t>
      </w:r>
      <w:r w:rsidRPr="00640174">
        <w:t xml:space="preserve"> 2015</w:t>
      </w:r>
      <w:r>
        <w:t>, p. 10.</w:t>
      </w:r>
    </w:p>
  </w:footnote>
  <w:footnote w:id="99">
    <w:p w:rsidR="00B96BBA" w:rsidRDefault="00B96BBA" w:rsidP="00EF00E9">
      <w:pPr>
        <w:pStyle w:val="FootnoteText"/>
      </w:pPr>
      <w:r>
        <w:rPr>
          <w:rStyle w:val="FootnoteReference"/>
        </w:rPr>
        <w:footnoteRef/>
      </w:r>
      <w:r>
        <w:t xml:space="preserve"> </w:t>
      </w:r>
      <w:r>
        <w:tab/>
        <w:t xml:space="preserve">AusNet Services, </w:t>
      </w:r>
      <w:r w:rsidRPr="00C50DC9">
        <w:rPr>
          <w:rStyle w:val="AERtextitalic"/>
        </w:rPr>
        <w:t>AMS 10-13 Condition Monitoring</w:t>
      </w:r>
      <w:r>
        <w:t>, 16 September</w:t>
      </w:r>
      <w:r w:rsidRPr="00640174">
        <w:t xml:space="preserve"> 2015</w:t>
      </w:r>
      <w:r>
        <w:t>, p. 13.</w:t>
      </w:r>
    </w:p>
  </w:footnote>
  <w:footnote w:id="100">
    <w:p w:rsidR="00B96BBA" w:rsidRDefault="00B96BBA" w:rsidP="00EF00E9">
      <w:pPr>
        <w:pStyle w:val="FootnoteText"/>
      </w:pPr>
      <w:r>
        <w:rPr>
          <w:rStyle w:val="FootnoteReference"/>
        </w:rPr>
        <w:footnoteRef/>
      </w:r>
      <w:r>
        <w:t xml:space="preserve"> </w:t>
      </w:r>
      <w:r>
        <w:tab/>
        <w:t xml:space="preserve">AusNet Services, </w:t>
      </w:r>
      <w:r w:rsidRPr="00C50DC9">
        <w:rPr>
          <w:rStyle w:val="AERtextitalic"/>
        </w:rPr>
        <w:t>AMS 10-13 Condition Monitoring</w:t>
      </w:r>
      <w:r>
        <w:t>, 16 September</w:t>
      </w:r>
      <w:r w:rsidRPr="00640174">
        <w:t xml:space="preserve"> 2015</w:t>
      </w:r>
      <w:r>
        <w:t>, p. 12.</w:t>
      </w:r>
    </w:p>
  </w:footnote>
  <w:footnote w:id="101">
    <w:p w:rsidR="00B96BBA" w:rsidRDefault="00B96BBA" w:rsidP="00EF00E9">
      <w:pPr>
        <w:pStyle w:val="FootnoteText"/>
      </w:pPr>
      <w:r>
        <w:rPr>
          <w:rStyle w:val="FootnoteReference"/>
        </w:rPr>
        <w:footnoteRef/>
      </w:r>
      <w:r>
        <w:t xml:space="preserve"> </w:t>
      </w:r>
      <w:r>
        <w:tab/>
        <w:t xml:space="preserve">AusNet Services, </w:t>
      </w:r>
      <w:r w:rsidRPr="00C50DC9">
        <w:rPr>
          <w:rStyle w:val="AERtextitalic"/>
        </w:rPr>
        <w:t>AMS 10-13 Condition Monitoring</w:t>
      </w:r>
      <w:r>
        <w:t>, 16 September</w:t>
      </w:r>
      <w:r w:rsidRPr="00640174">
        <w:t xml:space="preserve"> 2015</w:t>
      </w:r>
      <w:r>
        <w:t>, p. 15.</w:t>
      </w:r>
    </w:p>
  </w:footnote>
  <w:footnote w:id="102">
    <w:p w:rsidR="00B96BBA" w:rsidRDefault="00B96BBA" w:rsidP="00EF00E9">
      <w:pPr>
        <w:pStyle w:val="FootnoteText"/>
      </w:pPr>
      <w:r>
        <w:rPr>
          <w:rStyle w:val="FootnoteReference"/>
        </w:rPr>
        <w:footnoteRef/>
      </w:r>
      <w:r>
        <w:t xml:space="preserve"> </w:t>
      </w:r>
      <w:r>
        <w:tab/>
      </w:r>
      <w:r w:rsidRPr="008B51B3">
        <w:t xml:space="preserve">We </w:t>
      </w:r>
      <w:r>
        <w:t xml:space="preserve">also </w:t>
      </w:r>
      <w:r w:rsidRPr="008B51B3">
        <w:t>tested our estima</w:t>
      </w:r>
      <w:r>
        <w:t>te by considering AusNet Services'</w:t>
      </w:r>
      <w:r w:rsidRPr="008B51B3">
        <w:t xml:space="preserve"> estimate for hazard </w:t>
      </w:r>
      <w:r>
        <w:t>zone occupation set out it its i</w:t>
      </w:r>
      <w:r w:rsidRPr="008B51B3">
        <w:t>nstrument transformer risk assessment</w:t>
      </w:r>
      <w:r>
        <w:t>,</w:t>
      </w:r>
      <w:r w:rsidRPr="008B51B3">
        <w:t xml:space="preserve"> and found our estimate </w:t>
      </w:r>
      <w:r>
        <w:t xml:space="preserve">of 1 per cent </w:t>
      </w:r>
      <w:r w:rsidRPr="008B51B3">
        <w:t xml:space="preserve">to </w:t>
      </w:r>
      <w:r>
        <w:t>be conservative relative to</w:t>
      </w:r>
      <w:r w:rsidRPr="008B51B3">
        <w:t xml:space="preserve"> the hazard zone occupancy rate </w:t>
      </w:r>
      <w:r>
        <w:t>assumed</w:t>
      </w:r>
      <w:r w:rsidRPr="008B51B3">
        <w:t xml:space="preserve"> by AusNet</w:t>
      </w:r>
      <w:r>
        <w:t xml:space="preserve"> Services in that</w:t>
      </w:r>
      <w:r w:rsidRPr="008B51B3">
        <w:t xml:space="preserve"> case.</w:t>
      </w:r>
    </w:p>
  </w:footnote>
  <w:footnote w:id="103">
    <w:p w:rsidR="00B96BBA" w:rsidRDefault="00B96BBA" w:rsidP="00EF00E9">
      <w:pPr>
        <w:pStyle w:val="FootnoteText"/>
      </w:pPr>
      <w:r>
        <w:rPr>
          <w:rStyle w:val="FootnoteReference"/>
        </w:rPr>
        <w:footnoteRef/>
      </w:r>
      <w:r>
        <w:t xml:space="preserve"> </w:t>
      </w:r>
      <w:r>
        <w:tab/>
      </w:r>
      <w:proofErr w:type="gramStart"/>
      <w:r>
        <w:t>NER, cl. 6A.6.7(c).</w:t>
      </w:r>
      <w:proofErr w:type="gramEnd"/>
    </w:p>
  </w:footnote>
  <w:footnote w:id="104">
    <w:p w:rsidR="00B96BBA" w:rsidRDefault="00B96BBA" w:rsidP="00366392">
      <w:pPr>
        <w:pStyle w:val="FootnoteText"/>
      </w:pPr>
      <w:r>
        <w:rPr>
          <w:rStyle w:val="FootnoteReference"/>
        </w:rPr>
        <w:footnoteRef/>
      </w:r>
      <w:r>
        <w:t xml:space="preserve"> </w:t>
      </w:r>
      <w:r>
        <w:tab/>
        <w:t>AusNet Services' modelling for the instrument transformers asset type appears to imply a hazard zo</w:t>
      </w:r>
      <w:r w:rsidR="00A47F92">
        <w:t>ne occupation rate</w:t>
      </w:r>
      <w:r>
        <w:t xml:space="preserve"> less than the rate of 1 per cent assumed in this draft decision.</w:t>
      </w:r>
    </w:p>
  </w:footnote>
  <w:footnote w:id="105">
    <w:p w:rsidR="00B96BBA" w:rsidRDefault="00B96BBA" w:rsidP="00F53F95">
      <w:pPr>
        <w:pStyle w:val="FootnoteText"/>
      </w:pPr>
      <w:r>
        <w:rPr>
          <w:rStyle w:val="FootnoteReference"/>
        </w:rPr>
        <w:footnoteRef/>
      </w:r>
      <w:r>
        <w:t xml:space="preserve"> </w:t>
      </w:r>
      <w:r>
        <w:tab/>
        <w:t xml:space="preserve">AusNet Services, </w:t>
      </w:r>
      <w:r w:rsidRPr="00455EC8">
        <w:rPr>
          <w:rStyle w:val="AERtextitalic"/>
        </w:rPr>
        <w:t>AMS 10-54 Circuit breakers</w:t>
      </w:r>
      <w:r>
        <w:t xml:space="preserve">, 22 July 2015, p. 14; and </w:t>
      </w:r>
      <w:r w:rsidRPr="00455EC8">
        <w:t xml:space="preserve">AusNet Services, </w:t>
      </w:r>
      <w:r w:rsidRPr="00455EC8">
        <w:rPr>
          <w:rStyle w:val="AERtextitalic"/>
        </w:rPr>
        <w:t>AMS</w:t>
      </w:r>
      <w:r>
        <w:rPr>
          <w:rStyle w:val="AERtextitalic"/>
        </w:rPr>
        <w:t xml:space="preserve"> 10-64 Instrument transformers</w:t>
      </w:r>
      <w:r w:rsidRPr="00455EC8">
        <w:t xml:space="preserve">, </w:t>
      </w:r>
      <w:r>
        <w:t>14 August</w:t>
      </w:r>
      <w:r w:rsidRPr="00455EC8">
        <w:t xml:space="preserve"> 2015, </w:t>
      </w:r>
      <w:r>
        <w:t xml:space="preserve">p. </w:t>
      </w:r>
      <w:r w:rsidRPr="00455EC8">
        <w:t xml:space="preserve">4. </w:t>
      </w:r>
      <w:r>
        <w:t xml:space="preserve"> </w:t>
      </w:r>
    </w:p>
  </w:footnote>
  <w:footnote w:id="106">
    <w:p w:rsidR="00B96BBA" w:rsidRDefault="00B96BBA" w:rsidP="00F53F95">
      <w:pPr>
        <w:pStyle w:val="FootnoteText"/>
      </w:pPr>
      <w:r>
        <w:rPr>
          <w:rStyle w:val="FootnoteReference"/>
        </w:rPr>
        <w:footnoteRef/>
      </w:r>
      <w:r>
        <w:t xml:space="preserve"> </w:t>
      </w:r>
      <w:r>
        <w:tab/>
      </w:r>
      <w:proofErr w:type="gramStart"/>
      <w:r>
        <w:t>NER, cl. 6A.6.7(c).</w:t>
      </w:r>
      <w:proofErr w:type="gramEnd"/>
    </w:p>
  </w:footnote>
  <w:footnote w:id="107">
    <w:p w:rsidR="00B96BBA" w:rsidRDefault="00B96BBA">
      <w:pPr>
        <w:pStyle w:val="FootnoteText"/>
      </w:pPr>
      <w:r>
        <w:rPr>
          <w:rStyle w:val="FootnoteReference"/>
        </w:rPr>
        <w:footnoteRef/>
      </w:r>
      <w:r>
        <w:t xml:space="preserve"> </w:t>
      </w:r>
      <w:r>
        <w:tab/>
      </w:r>
      <w:r w:rsidRPr="003F4D41">
        <w:t>We have not made any adjust</w:t>
      </w:r>
      <w:r>
        <w:t>ment to forecast capex for the remaining</w:t>
      </w:r>
      <w:r w:rsidRPr="003F4D41">
        <w:t xml:space="preserve"> </w:t>
      </w:r>
      <w:r>
        <w:t xml:space="preserve">major </w:t>
      </w:r>
      <w:r w:rsidRPr="003F4D41">
        <w:t xml:space="preserve">station projects </w:t>
      </w:r>
      <w:r>
        <w:t>which</w:t>
      </w:r>
      <w:r w:rsidRPr="003F4D41">
        <w:t xml:space="preserve"> </w:t>
      </w:r>
      <w:r>
        <w:t xml:space="preserve">are </w:t>
      </w:r>
      <w:r w:rsidRPr="003F4D41">
        <w:t>already underway, with the majority of expenditure expected to be incurred in the 2014–17 regulatory control period.</w:t>
      </w:r>
    </w:p>
  </w:footnote>
  <w:footnote w:id="108">
    <w:p w:rsidR="00B96BBA" w:rsidRDefault="00B96BBA">
      <w:pPr>
        <w:pStyle w:val="FootnoteText"/>
      </w:pPr>
      <w:r>
        <w:rPr>
          <w:rStyle w:val="FootnoteReference"/>
        </w:rPr>
        <w:footnoteRef/>
      </w:r>
      <w:r>
        <w:t xml:space="preserve"> </w:t>
      </w:r>
      <w:r>
        <w:tab/>
      </w:r>
      <w:proofErr w:type="gramStart"/>
      <w:r>
        <w:t xml:space="preserve">AER, </w:t>
      </w:r>
      <w:r w:rsidRPr="00E17C25">
        <w:rPr>
          <w:rStyle w:val="AERtextitalic"/>
        </w:rPr>
        <w:t>Final decision -</w:t>
      </w:r>
      <w:r>
        <w:t xml:space="preserve"> </w:t>
      </w:r>
      <w:r w:rsidRPr="00191449">
        <w:rPr>
          <w:rStyle w:val="AERtextitalic"/>
        </w:rPr>
        <w:t>CitiPower distribution determination 2016-20</w:t>
      </w:r>
      <w:r>
        <w:rPr>
          <w:rStyle w:val="AERtextitalic"/>
        </w:rPr>
        <w:t xml:space="preserve"> - Attachment 6</w:t>
      </w:r>
      <w:r>
        <w:t>, May 2016.</w:t>
      </w:r>
      <w:proofErr w:type="gramEnd"/>
    </w:p>
  </w:footnote>
  <w:footnote w:id="109">
    <w:p w:rsidR="00B96BBA" w:rsidRDefault="00B96BBA">
      <w:pPr>
        <w:pStyle w:val="FootnoteText"/>
      </w:pPr>
      <w:r>
        <w:rPr>
          <w:rStyle w:val="FootnoteReference"/>
        </w:rPr>
        <w:footnoteRef/>
      </w:r>
      <w:r>
        <w:t xml:space="preserve"> </w:t>
      </w:r>
      <w:r>
        <w:tab/>
      </w:r>
      <w:proofErr w:type="gramStart"/>
      <w:r>
        <w:t xml:space="preserve">AER, </w:t>
      </w:r>
      <w:r w:rsidRPr="00E17C25">
        <w:rPr>
          <w:rStyle w:val="AERtextitalic"/>
        </w:rPr>
        <w:t>Final decision CitiPower distribution determination, attachment 6 - capital expenditure - May 2016</w:t>
      </w:r>
      <w:r>
        <w:t>, p.6-46.</w:t>
      </w:r>
      <w:proofErr w:type="gramEnd"/>
    </w:p>
  </w:footnote>
  <w:footnote w:id="110">
    <w:p w:rsidR="00B96BBA" w:rsidRDefault="00B96BBA" w:rsidP="004A7FF8">
      <w:pPr>
        <w:pStyle w:val="FootnoteText"/>
      </w:pPr>
      <w:r>
        <w:rPr>
          <w:rStyle w:val="FootnoteReference"/>
        </w:rPr>
        <w:footnoteRef/>
      </w:r>
      <w:r>
        <w:t xml:space="preserve"> </w:t>
      </w:r>
      <w:r>
        <w:tab/>
        <w:t xml:space="preserve">AusNet Services, </w:t>
      </w:r>
      <w:r w:rsidRPr="00E17C25">
        <w:rPr>
          <w:rStyle w:val="AERtextitalic"/>
        </w:rPr>
        <w:t>Project planning report XA14 - WMTS (PUBLIC)</w:t>
      </w:r>
      <w:r>
        <w:t xml:space="preserve">, October 2015, p. 29. </w:t>
      </w:r>
    </w:p>
  </w:footnote>
  <w:footnote w:id="111">
    <w:p w:rsidR="00B96BBA" w:rsidRDefault="00B96BBA">
      <w:pPr>
        <w:pStyle w:val="FootnoteText"/>
      </w:pPr>
      <w:r>
        <w:rPr>
          <w:rStyle w:val="FootnoteReference"/>
        </w:rPr>
        <w:footnoteRef/>
      </w:r>
      <w:r>
        <w:t xml:space="preserve"> </w:t>
      </w:r>
      <w:r>
        <w:tab/>
      </w:r>
      <w:proofErr w:type="gramStart"/>
      <w:r>
        <w:t xml:space="preserve">AER, </w:t>
      </w:r>
      <w:r w:rsidRPr="00351A3C">
        <w:rPr>
          <w:rStyle w:val="AERtextitalic"/>
        </w:rPr>
        <w:t>CitiPower distribution determination 2016-20</w:t>
      </w:r>
      <w:r>
        <w:t>, May 2016.</w:t>
      </w:r>
      <w:proofErr w:type="gramEnd"/>
    </w:p>
  </w:footnote>
  <w:footnote w:id="112">
    <w:p w:rsidR="00B96BBA" w:rsidRDefault="00B96BBA">
      <w:pPr>
        <w:pStyle w:val="FootnoteText"/>
      </w:pPr>
      <w:r>
        <w:rPr>
          <w:rStyle w:val="FootnoteReference"/>
        </w:rPr>
        <w:footnoteRef/>
      </w:r>
      <w:r>
        <w:t xml:space="preserve"> </w:t>
      </w:r>
      <w:r>
        <w:tab/>
        <w:t>NER, 6A.6.7(3)</w:t>
      </w:r>
    </w:p>
  </w:footnote>
  <w:footnote w:id="113">
    <w:p w:rsidR="00B96BBA" w:rsidRDefault="00B96BBA">
      <w:pPr>
        <w:pStyle w:val="FootnoteText"/>
      </w:pPr>
      <w:r>
        <w:rPr>
          <w:rStyle w:val="FootnoteReference"/>
        </w:rPr>
        <w:footnoteRef/>
      </w:r>
      <w:r>
        <w:t xml:space="preserve"> </w:t>
      </w:r>
      <w:r>
        <w:tab/>
        <w:t xml:space="preserve">AusNet Services, </w:t>
      </w:r>
      <w:r>
        <w:rPr>
          <w:rStyle w:val="AERtextitalic"/>
        </w:rPr>
        <w:t>Revenue proposal</w:t>
      </w:r>
      <w:r w:rsidRPr="00EB6E65">
        <w:rPr>
          <w:rStyle w:val="AERtextitalic"/>
        </w:rPr>
        <w:t xml:space="preserve"> 2017-22</w:t>
      </w:r>
      <w:r>
        <w:t>, 30 October 2015, p.104.</w:t>
      </w:r>
    </w:p>
  </w:footnote>
  <w:footnote w:id="114">
    <w:p w:rsidR="00B96BBA" w:rsidRDefault="00B96BBA">
      <w:pPr>
        <w:pStyle w:val="FootnoteText"/>
      </w:pPr>
      <w:r>
        <w:rPr>
          <w:rStyle w:val="FootnoteReference"/>
        </w:rPr>
        <w:footnoteRef/>
      </w:r>
      <w:r>
        <w:t xml:space="preserve"> </w:t>
      </w:r>
      <w:r>
        <w:tab/>
        <w:t xml:space="preserve">AusNet Services, </w:t>
      </w:r>
      <w:r>
        <w:rPr>
          <w:rStyle w:val="AERtextitalic"/>
        </w:rPr>
        <w:t>Revenue proposal</w:t>
      </w:r>
      <w:r w:rsidRPr="00EB6E65">
        <w:rPr>
          <w:rStyle w:val="AERtextitalic"/>
        </w:rPr>
        <w:t xml:space="preserve"> 2017-22</w:t>
      </w:r>
      <w:r>
        <w:t>, 30 October 2015, p.104.</w:t>
      </w:r>
    </w:p>
  </w:footnote>
  <w:footnote w:id="115">
    <w:p w:rsidR="00B96BBA" w:rsidRDefault="00B96BBA">
      <w:pPr>
        <w:pStyle w:val="FootnoteText"/>
      </w:pPr>
      <w:r>
        <w:rPr>
          <w:rStyle w:val="FootnoteReference"/>
        </w:rPr>
        <w:footnoteRef/>
      </w:r>
      <w:r>
        <w:t xml:space="preserve"> </w:t>
      </w:r>
      <w:r>
        <w:tab/>
        <w:t xml:space="preserve">AusNet Services, </w:t>
      </w:r>
      <w:r>
        <w:rPr>
          <w:rStyle w:val="AERtextitalic"/>
        </w:rPr>
        <w:t>Revenue proposal, Risk Management (PUBLIC VERSION)</w:t>
      </w:r>
      <w:r>
        <w:t>, October 2015, p. 4.</w:t>
      </w:r>
    </w:p>
  </w:footnote>
  <w:footnote w:id="116">
    <w:p w:rsidR="00B96BBA" w:rsidRDefault="00B96BBA" w:rsidP="001D7E58">
      <w:pPr>
        <w:pStyle w:val="FootnoteText"/>
      </w:pPr>
      <w:r>
        <w:rPr>
          <w:rStyle w:val="FootnoteReference"/>
        </w:rPr>
        <w:footnoteRef/>
      </w:r>
      <w:r>
        <w:t xml:space="preserve"> </w:t>
      </w:r>
      <w:r>
        <w:tab/>
      </w:r>
      <w:proofErr w:type="gramStart"/>
      <w:r>
        <w:t xml:space="preserve">AusNet Services, </w:t>
      </w:r>
      <w:r w:rsidRPr="004A7FF8">
        <w:rPr>
          <w:rStyle w:val="AERtextitalic"/>
        </w:rPr>
        <w:t>Appendix 4A, Network capital expenditure overview</w:t>
      </w:r>
      <w:r>
        <w:t>, October 2015, p.20.</w:t>
      </w:r>
      <w:proofErr w:type="gramEnd"/>
    </w:p>
  </w:footnote>
  <w:footnote w:id="117">
    <w:p w:rsidR="00B96BBA" w:rsidRDefault="00B96BBA">
      <w:pPr>
        <w:pStyle w:val="FootnoteText"/>
      </w:pPr>
      <w:r>
        <w:rPr>
          <w:rStyle w:val="FootnoteReference"/>
        </w:rPr>
        <w:footnoteRef/>
      </w:r>
      <w:r>
        <w:t xml:space="preserve"> </w:t>
      </w:r>
      <w:r>
        <w:tab/>
        <w:t>AusNet Services has removed this overall network risk analysis from its 2016-17 to 2020-21 asset management plan.</w:t>
      </w:r>
    </w:p>
  </w:footnote>
  <w:footnote w:id="118">
    <w:p w:rsidR="00B96BBA" w:rsidRDefault="00B96BBA">
      <w:pPr>
        <w:pStyle w:val="FootnoteText"/>
      </w:pPr>
      <w:r>
        <w:rPr>
          <w:rStyle w:val="FootnoteReference"/>
        </w:rPr>
        <w:footnoteRef/>
      </w:r>
      <w:r>
        <w:t xml:space="preserve"> </w:t>
      </w:r>
      <w:r>
        <w:tab/>
        <w:t>These repex programs included instrument transformers, circuit breakers and groundwires.</w:t>
      </w:r>
    </w:p>
  </w:footnote>
  <w:footnote w:id="119">
    <w:p w:rsidR="00B96BBA" w:rsidRDefault="00B96BBA" w:rsidP="00A52FD9">
      <w:pPr>
        <w:pStyle w:val="FootnoteText"/>
      </w:pPr>
      <w:r>
        <w:rPr>
          <w:rStyle w:val="FootnoteReference"/>
        </w:rPr>
        <w:footnoteRef/>
      </w:r>
      <w:r>
        <w:t xml:space="preserve"> </w:t>
      </w:r>
      <w:r>
        <w:tab/>
        <w:t>This indicator uses asset age as a proxy for asset condition.</w:t>
      </w:r>
    </w:p>
  </w:footnote>
  <w:footnote w:id="120">
    <w:p w:rsidR="00B96BBA" w:rsidRDefault="00B96BBA" w:rsidP="001D7E58">
      <w:pPr>
        <w:pStyle w:val="FootnoteText"/>
      </w:pPr>
      <w:r>
        <w:rPr>
          <w:rStyle w:val="FootnoteReference"/>
        </w:rPr>
        <w:footnoteRef/>
      </w:r>
      <w:r>
        <w:t xml:space="preserve"> </w:t>
      </w:r>
      <w:r>
        <w:tab/>
        <w:t xml:space="preserve">AusNet Services, </w:t>
      </w:r>
      <w:r>
        <w:rPr>
          <w:rStyle w:val="AERtextitalic"/>
        </w:rPr>
        <w:t>Revenue proposal</w:t>
      </w:r>
      <w:r w:rsidRPr="004A7FF8">
        <w:rPr>
          <w:rStyle w:val="AERtextitalic"/>
        </w:rPr>
        <w:t xml:space="preserve"> 2017-22</w:t>
      </w:r>
      <w:r>
        <w:t>, 30 October 2015, p.73.</w:t>
      </w:r>
    </w:p>
  </w:footnote>
  <w:footnote w:id="121">
    <w:p w:rsidR="00B96BBA" w:rsidRDefault="00B96BBA" w:rsidP="00EB2D70">
      <w:pPr>
        <w:pStyle w:val="FootnoteText"/>
      </w:pPr>
      <w:r>
        <w:rPr>
          <w:rStyle w:val="FootnoteReference"/>
        </w:rPr>
        <w:footnoteRef/>
      </w:r>
      <w:r>
        <w:t xml:space="preserve"> </w:t>
      </w:r>
      <w:r>
        <w:tab/>
      </w:r>
      <w:r w:rsidRPr="00ED0E2D">
        <w:t xml:space="preserve">In </w:t>
      </w:r>
      <w:r>
        <w:t>our</w:t>
      </w:r>
      <w:r w:rsidRPr="00ED0E2D">
        <w:t xml:space="preserve"> Explanatory Statement for Category Analysis RINs released in March 2014, </w:t>
      </w:r>
      <w:r>
        <w:t>we</w:t>
      </w:r>
      <w:r w:rsidRPr="00ED0E2D">
        <w:t xml:space="preserve"> adopted the following definition for asset failure</w:t>
      </w:r>
      <w:r>
        <w:t>:</w:t>
      </w:r>
    </w:p>
    <w:p w:rsidR="00B96BBA" w:rsidRPr="00ED0E2D" w:rsidRDefault="00B96BBA" w:rsidP="00EB2D70">
      <w:pPr>
        <w:pStyle w:val="FootnoteText"/>
        <w:rPr>
          <w:rStyle w:val="AERtextitalic"/>
        </w:rPr>
      </w:pPr>
      <w:r>
        <w:tab/>
      </w:r>
      <w:r w:rsidRPr="00ED0E2D">
        <w:rPr>
          <w:rStyle w:val="AERtextitalic"/>
        </w:rPr>
        <w:t>The failure of an asset to perform its intended function safely and in compliance with jurisdictional regulations, not as a result of external impacts such as:</w:t>
      </w:r>
    </w:p>
    <w:p w:rsidR="00B96BBA" w:rsidRPr="00ED0E2D" w:rsidRDefault="00B96BBA" w:rsidP="00EB2D70">
      <w:pPr>
        <w:pStyle w:val="FootnoteText"/>
        <w:rPr>
          <w:rStyle w:val="AERtextitalic"/>
        </w:rPr>
      </w:pPr>
      <w:r w:rsidRPr="00ED0E2D">
        <w:rPr>
          <w:rStyle w:val="AERtextitalic"/>
        </w:rPr>
        <w:tab/>
        <w:t xml:space="preserve">• extreme or atypical weather events; or </w:t>
      </w:r>
    </w:p>
    <w:p w:rsidR="00B96BBA" w:rsidRPr="00ED0E2D" w:rsidRDefault="00B96BBA" w:rsidP="00EB2D70">
      <w:pPr>
        <w:pStyle w:val="FootnoteText"/>
        <w:rPr>
          <w:rStyle w:val="AERtextitalic"/>
        </w:rPr>
      </w:pPr>
      <w:r w:rsidRPr="00ED0E2D">
        <w:rPr>
          <w:rStyle w:val="AERtextitalic"/>
        </w:rPr>
        <w:tab/>
        <w:t xml:space="preserve">• third party interference, such as traffic accidents and vandalism; or </w:t>
      </w:r>
    </w:p>
    <w:p w:rsidR="00B96BBA" w:rsidRPr="00ED0E2D" w:rsidRDefault="00B96BBA" w:rsidP="00EB2D70">
      <w:pPr>
        <w:pStyle w:val="FootnoteText"/>
        <w:rPr>
          <w:rStyle w:val="AERtextitalic"/>
        </w:rPr>
      </w:pPr>
      <w:r w:rsidRPr="00ED0E2D">
        <w:rPr>
          <w:rStyle w:val="AERtextitalic"/>
        </w:rPr>
        <w:tab/>
        <w:t xml:space="preserve">• wildlife interference, but only where the wildlife interference directly, clearly and unambiguously influenced asset performance; or </w:t>
      </w:r>
    </w:p>
    <w:p w:rsidR="00B96BBA" w:rsidRPr="00ED0E2D" w:rsidRDefault="00B96BBA" w:rsidP="00EB2D70">
      <w:pPr>
        <w:pStyle w:val="FootnoteText"/>
        <w:rPr>
          <w:rStyle w:val="AERtextitalic"/>
        </w:rPr>
      </w:pPr>
      <w:r w:rsidRPr="00ED0E2D">
        <w:rPr>
          <w:rStyle w:val="AERtextitalic"/>
        </w:rPr>
        <w:tab/>
        <w:t xml:space="preserve">• </w:t>
      </w:r>
      <w:proofErr w:type="gramStart"/>
      <w:r w:rsidRPr="00ED0E2D">
        <w:rPr>
          <w:rStyle w:val="AERtextitalic"/>
        </w:rPr>
        <w:t>vegetation</w:t>
      </w:r>
      <w:proofErr w:type="gramEnd"/>
      <w:r w:rsidRPr="00ED0E2D">
        <w:rPr>
          <w:rStyle w:val="AERtextitalic"/>
        </w:rPr>
        <w:t xml:space="preserve"> interference, but only where the vegetation interference directly, clearly and unambiguously influenced asset performance. </w:t>
      </w:r>
    </w:p>
    <w:p w:rsidR="00B96BBA" w:rsidRPr="00ED0E2D" w:rsidRDefault="00B96BBA" w:rsidP="00EB2D70">
      <w:pPr>
        <w:pStyle w:val="FootnoteText"/>
        <w:rPr>
          <w:rStyle w:val="AERtextitalic"/>
        </w:rPr>
      </w:pPr>
      <w:r w:rsidRPr="00ED0E2D">
        <w:rPr>
          <w:rStyle w:val="AERtextitalic"/>
        </w:rPr>
        <w:tab/>
      </w:r>
      <w:proofErr w:type="gramStart"/>
      <w:r w:rsidRPr="00ED0E2D">
        <w:rPr>
          <w:rStyle w:val="AERtextitalic"/>
        </w:rPr>
        <w:t>Excludes planned interruptions.</w:t>
      </w:r>
      <w:proofErr w:type="gramEnd"/>
    </w:p>
  </w:footnote>
  <w:footnote w:id="122">
    <w:p w:rsidR="00B96BBA" w:rsidRDefault="00B96BBA" w:rsidP="008608EA">
      <w:pPr>
        <w:pStyle w:val="FootnoteText"/>
      </w:pPr>
      <w:r>
        <w:rPr>
          <w:rStyle w:val="FootnoteReference"/>
        </w:rPr>
        <w:footnoteRef/>
      </w:r>
      <w:r>
        <w:t xml:space="preserve"> </w:t>
      </w:r>
      <w:r>
        <w:tab/>
      </w:r>
      <w:hyperlink r:id="rId1" w:history="1">
        <w:proofErr w:type="gramStart"/>
        <w:r w:rsidRPr="009A7A29">
          <w:t xml:space="preserve">AusNet Services (transmission), </w:t>
        </w:r>
        <w:r w:rsidRPr="009A7A29">
          <w:rPr>
            <w:rStyle w:val="AERtextitalic"/>
          </w:rPr>
          <w:t>2014-15 - Category Analysis RIN - Templates</w:t>
        </w:r>
      </w:hyperlink>
      <w:r w:rsidRPr="009A7A29">
        <w:t>.</w:t>
      </w:r>
      <w:proofErr w:type="gramEnd"/>
    </w:p>
  </w:footnote>
  <w:footnote w:id="123">
    <w:p w:rsidR="00B96BBA" w:rsidRDefault="00B96BBA" w:rsidP="00A00A62">
      <w:pPr>
        <w:pStyle w:val="FootnoteText"/>
      </w:pPr>
      <w:r>
        <w:rPr>
          <w:rStyle w:val="FootnoteReference"/>
        </w:rPr>
        <w:footnoteRef/>
      </w:r>
      <w:r>
        <w:t xml:space="preserve"> </w:t>
      </w:r>
      <w:r>
        <w:tab/>
      </w:r>
      <w:hyperlink r:id="rId2" w:history="1">
        <w:proofErr w:type="gramStart"/>
        <w:r w:rsidRPr="006F39DA">
          <w:t>AusNet Services (transmission)</w:t>
        </w:r>
        <w:r>
          <w:t>,</w:t>
        </w:r>
        <w:r w:rsidRPr="006F39DA">
          <w:t xml:space="preserve"> </w:t>
        </w:r>
        <w:r w:rsidRPr="006F39DA">
          <w:rPr>
            <w:rStyle w:val="AERtextitalic"/>
          </w:rPr>
          <w:t>2014-15 - Category Analysis RIN - Templates</w:t>
        </w:r>
      </w:hyperlink>
      <w:r>
        <w:t>.</w:t>
      </w:r>
      <w:proofErr w:type="gramEnd"/>
    </w:p>
  </w:footnote>
  <w:footnote w:id="124">
    <w:p w:rsidR="00B96BBA" w:rsidRDefault="00B96BBA">
      <w:pPr>
        <w:pStyle w:val="FootnoteText"/>
      </w:pPr>
      <w:r>
        <w:rPr>
          <w:rStyle w:val="FootnoteReference"/>
        </w:rPr>
        <w:footnoteRef/>
      </w:r>
      <w:r>
        <w:t xml:space="preserve"> </w:t>
      </w:r>
      <w:r>
        <w:tab/>
        <w:t xml:space="preserve">EUCV, </w:t>
      </w:r>
      <w:r w:rsidRPr="00F21878">
        <w:rPr>
          <w:rStyle w:val="AERtextitalic"/>
        </w:rPr>
        <w:t>Submission on AusNet Services' transmission revenue review 2017-2022</w:t>
      </w:r>
      <w:r>
        <w:t>, 9 February 2016, p. 17.</w:t>
      </w:r>
    </w:p>
  </w:footnote>
  <w:footnote w:id="125">
    <w:p w:rsidR="00B96BBA" w:rsidRDefault="00B96BBA" w:rsidP="005C117A">
      <w:pPr>
        <w:pStyle w:val="FootnoteText"/>
      </w:pPr>
      <w:r>
        <w:rPr>
          <w:rStyle w:val="FootnoteReference"/>
        </w:rPr>
        <w:footnoteRef/>
      </w:r>
      <w:r>
        <w:t xml:space="preserve"> </w:t>
      </w:r>
      <w:r>
        <w:tab/>
      </w:r>
      <w:r w:rsidRPr="00014134">
        <w:t xml:space="preserve">AusNet Services, </w:t>
      </w:r>
      <w:r w:rsidRPr="00014134">
        <w:rPr>
          <w:rStyle w:val="AERtextitalic"/>
        </w:rPr>
        <w:t>Regulatory information notice</w:t>
      </w:r>
      <w:r w:rsidRPr="00014134">
        <w:t xml:space="preserve">, template 2.6; AusNet Services, </w:t>
      </w:r>
      <w:r w:rsidRPr="00014134">
        <w:rPr>
          <w:rStyle w:val="AERtextitalic"/>
        </w:rPr>
        <w:t>Category Analysis RIN 2014–15</w:t>
      </w:r>
      <w:r w:rsidRPr="00014134">
        <w:t xml:space="preserve">, template 2.6; AusNet Services, </w:t>
      </w:r>
      <w:r w:rsidRPr="00014134">
        <w:rPr>
          <w:rStyle w:val="AERtextitalic"/>
        </w:rPr>
        <w:t>Category Analysis RIN 2013–14</w:t>
      </w:r>
      <w:r w:rsidRPr="00014134">
        <w:t xml:space="preserve">, template 2.6; AusNet Services, </w:t>
      </w:r>
      <w:r w:rsidRPr="00014134">
        <w:rPr>
          <w:rStyle w:val="AERtextitalic"/>
        </w:rPr>
        <w:t>Category Analysis RIN 2008–13</w:t>
      </w:r>
      <w:r w:rsidRPr="00014134">
        <w:t xml:space="preserve">, template 2.6; </w:t>
      </w:r>
      <w:r>
        <w:t>Excludes overheads.</w:t>
      </w:r>
    </w:p>
  </w:footnote>
  <w:footnote w:id="126">
    <w:p w:rsidR="00B96BBA" w:rsidRDefault="00B96BBA" w:rsidP="00203295">
      <w:pPr>
        <w:pStyle w:val="FootnoteText"/>
      </w:pPr>
      <w:r>
        <w:rPr>
          <w:rStyle w:val="FootnoteReference"/>
        </w:rPr>
        <w:footnoteRef/>
      </w:r>
      <w:r>
        <w:t xml:space="preserve"> </w:t>
      </w:r>
      <w:r>
        <w:tab/>
      </w:r>
      <w:r w:rsidRPr="00014134">
        <w:t xml:space="preserve">AusNet Services, </w:t>
      </w:r>
      <w:r w:rsidRPr="00014134">
        <w:rPr>
          <w:rStyle w:val="AERtextitalic"/>
        </w:rPr>
        <w:t>Regulatory information notice</w:t>
      </w:r>
      <w:r w:rsidRPr="00014134">
        <w:t xml:space="preserve">, template 2.6; AusNet Services, </w:t>
      </w:r>
      <w:r w:rsidRPr="00014134">
        <w:rPr>
          <w:rStyle w:val="AERtextitalic"/>
        </w:rPr>
        <w:t>Category Analysis RIN 2014–15</w:t>
      </w:r>
      <w:r w:rsidRPr="00014134">
        <w:t>, template 2.6</w:t>
      </w:r>
      <w:r>
        <w:t>; AER analysis.</w:t>
      </w:r>
    </w:p>
  </w:footnote>
  <w:footnote w:id="127">
    <w:p w:rsidR="00BB103F" w:rsidRDefault="00BB103F">
      <w:pPr>
        <w:pStyle w:val="FootnoteText"/>
      </w:pPr>
      <w:r>
        <w:rPr>
          <w:rStyle w:val="FootnoteReference"/>
        </w:rPr>
        <w:footnoteRef/>
      </w:r>
      <w:r>
        <w:t xml:space="preserve"> </w:t>
      </w:r>
      <w:r>
        <w:tab/>
      </w:r>
      <w:proofErr w:type="gramStart"/>
      <w:r>
        <w:t xml:space="preserve">Consumer Challenge Panel (Panel 5), </w:t>
      </w:r>
      <w:r w:rsidRPr="00F21878">
        <w:rPr>
          <w:rStyle w:val="AERtextitalic"/>
        </w:rPr>
        <w:t>Submission on AusNet Services' transmission revenue review 2017-2022</w:t>
      </w:r>
      <w:r>
        <w:t>, 8 February 2016, p. 19.</w:t>
      </w:r>
      <w:proofErr w:type="gramEnd"/>
    </w:p>
  </w:footnote>
  <w:footnote w:id="128">
    <w:p w:rsidR="00B96BBA" w:rsidRDefault="00B96BBA" w:rsidP="00203295">
      <w:pPr>
        <w:pStyle w:val="FootnoteText"/>
      </w:pPr>
      <w:r>
        <w:rPr>
          <w:rStyle w:val="FootnoteReference"/>
        </w:rPr>
        <w:footnoteRef/>
      </w:r>
      <w:r>
        <w:t xml:space="preserve"> </w:t>
      </w:r>
      <w:r>
        <w:tab/>
        <w:t xml:space="preserve">NER, cl. </w:t>
      </w:r>
      <w:proofErr w:type="gramStart"/>
      <w:r>
        <w:t>6A.6.7(</w:t>
      </w:r>
      <w:proofErr w:type="gramEnd"/>
      <w:r>
        <w:t>e)(5).</w:t>
      </w:r>
    </w:p>
  </w:footnote>
  <w:footnote w:id="129">
    <w:p w:rsidR="00B96BBA" w:rsidRDefault="00B96BBA">
      <w:pPr>
        <w:pStyle w:val="FootnoteText"/>
      </w:pPr>
      <w:r>
        <w:rPr>
          <w:rStyle w:val="FootnoteReference"/>
        </w:rPr>
        <w:footnoteRef/>
      </w:r>
      <w:r>
        <w:t xml:space="preserve"> </w:t>
      </w:r>
      <w:r>
        <w:tab/>
        <w:t xml:space="preserve">EUCV, </w:t>
      </w:r>
      <w:r w:rsidRPr="00E81602">
        <w:rPr>
          <w:rStyle w:val="AERtextitalic"/>
        </w:rPr>
        <w:t>Response to AusNet revenue reset proposal for the 2017-2022 period</w:t>
      </w:r>
      <w:r>
        <w:t>, p.19</w:t>
      </w:r>
    </w:p>
  </w:footnote>
  <w:footnote w:id="130">
    <w:p w:rsidR="00B96BBA" w:rsidRPr="00293101" w:rsidRDefault="00B96BBA" w:rsidP="0024086C">
      <w:pPr>
        <w:pStyle w:val="FootnoteText"/>
      </w:pPr>
      <w:r>
        <w:rPr>
          <w:rStyle w:val="FootnoteReference"/>
        </w:rPr>
        <w:footnoteRef/>
      </w:r>
      <w:r>
        <w:t xml:space="preserve"> </w:t>
      </w:r>
      <w:r>
        <w:tab/>
        <w:t xml:space="preserve">AusNet Services, </w:t>
      </w:r>
      <w:r>
        <w:rPr>
          <w:i/>
        </w:rPr>
        <w:t>Transmission Revenue Review 2017–2022</w:t>
      </w:r>
      <w:r>
        <w:t xml:space="preserve">, 30 October 2015, pp. 100-103. AusNet Services, </w:t>
      </w:r>
      <w:r>
        <w:rPr>
          <w:i/>
        </w:rPr>
        <w:t>Appendix 4H: ICT Strategy 2017–2022 Electricity Transmission Network</w:t>
      </w:r>
      <w:r>
        <w:t>, 30 October 2015.</w:t>
      </w:r>
    </w:p>
  </w:footnote>
  <w:footnote w:id="131">
    <w:p w:rsidR="00B96BBA" w:rsidRPr="00293101" w:rsidRDefault="00B96BBA" w:rsidP="0024086C">
      <w:pPr>
        <w:pStyle w:val="FootnoteText"/>
      </w:pPr>
      <w:r>
        <w:rPr>
          <w:rStyle w:val="FootnoteReference"/>
        </w:rPr>
        <w:footnoteRef/>
      </w:r>
      <w:r>
        <w:t xml:space="preserve"> </w:t>
      </w:r>
      <w:r>
        <w:tab/>
        <w:t xml:space="preserve">AER, </w:t>
      </w:r>
      <w:r>
        <w:rPr>
          <w:i/>
        </w:rPr>
        <w:t xml:space="preserve">Information Request #008 – AusNet </w:t>
      </w:r>
      <w:proofErr w:type="gramStart"/>
      <w:r>
        <w:rPr>
          <w:i/>
        </w:rPr>
        <w:t>Tx</w:t>
      </w:r>
      <w:proofErr w:type="gramEnd"/>
      <w:r>
        <w:rPr>
          <w:i/>
        </w:rPr>
        <w:t xml:space="preserve"> – IT, comms, and other</w:t>
      </w:r>
      <w:r>
        <w:t>, 10 December 2015.</w:t>
      </w:r>
    </w:p>
  </w:footnote>
  <w:footnote w:id="132">
    <w:p w:rsidR="00B96BBA" w:rsidRDefault="00B96BBA" w:rsidP="0024086C">
      <w:pPr>
        <w:pStyle w:val="FootnoteText"/>
      </w:pPr>
      <w:r>
        <w:rPr>
          <w:rStyle w:val="FootnoteReference"/>
        </w:rPr>
        <w:footnoteRef/>
      </w:r>
      <w:r>
        <w:t xml:space="preserve"> </w:t>
      </w:r>
      <w:r>
        <w:tab/>
        <w:t xml:space="preserve">AusNet Services, </w:t>
      </w:r>
      <w:r w:rsidRPr="00271E82">
        <w:rPr>
          <w:i/>
        </w:rPr>
        <w:t xml:space="preserve">Response to AER information request #008, </w:t>
      </w:r>
      <w:r>
        <w:t>13 January 2016, p. 3.</w:t>
      </w:r>
    </w:p>
  </w:footnote>
  <w:footnote w:id="133">
    <w:p w:rsidR="00B96BBA" w:rsidRDefault="00B96BBA" w:rsidP="0024086C">
      <w:pPr>
        <w:pStyle w:val="FootnoteText"/>
      </w:pPr>
      <w:r>
        <w:rPr>
          <w:rStyle w:val="FootnoteReference"/>
        </w:rPr>
        <w:footnoteRef/>
      </w:r>
      <w:r>
        <w:t xml:space="preserve"> </w:t>
      </w:r>
      <w:r>
        <w:tab/>
        <w:t xml:space="preserve">AusNet Services, </w:t>
      </w:r>
      <w:r w:rsidRPr="00271E82">
        <w:rPr>
          <w:i/>
        </w:rPr>
        <w:t>Response to AER information request #008, Attachment 2 – TRR ICT Cost Breakdown.xlsx</w:t>
      </w:r>
      <w:r w:rsidR="00300F01">
        <w:t>, 13 </w:t>
      </w:r>
      <w:r>
        <w:t>January 2016.</w:t>
      </w:r>
    </w:p>
  </w:footnote>
  <w:footnote w:id="134">
    <w:p w:rsidR="00B96BBA" w:rsidRDefault="00B96BBA">
      <w:pPr>
        <w:pStyle w:val="FootnoteText"/>
      </w:pPr>
      <w:r>
        <w:rPr>
          <w:rStyle w:val="FootnoteReference"/>
        </w:rPr>
        <w:footnoteRef/>
      </w:r>
      <w:r>
        <w:t xml:space="preserve"> </w:t>
      </w:r>
      <w:r>
        <w:tab/>
      </w:r>
      <w:proofErr w:type="gramStart"/>
      <w:r>
        <w:t xml:space="preserve">AER, </w:t>
      </w:r>
      <w:r>
        <w:rPr>
          <w:rStyle w:val="AERtextitalic"/>
        </w:rPr>
        <w:t>Final Decision - AusNet Services</w:t>
      </w:r>
      <w:r w:rsidRPr="00AC7A79">
        <w:rPr>
          <w:rStyle w:val="AERtextitalic"/>
        </w:rPr>
        <w:t xml:space="preserve"> distribution determination 2016–2020 – Attachment 6</w:t>
      </w:r>
      <w:r>
        <w:t>, May 2016.</w:t>
      </w:r>
      <w:proofErr w:type="gramEnd"/>
    </w:p>
  </w:footnote>
  <w:footnote w:id="135">
    <w:p w:rsidR="00B96BBA" w:rsidRDefault="00B96BBA" w:rsidP="0024086C">
      <w:pPr>
        <w:pStyle w:val="FootnoteText"/>
      </w:pPr>
      <w:r>
        <w:rPr>
          <w:rStyle w:val="FootnoteReference"/>
        </w:rPr>
        <w:footnoteRef/>
      </w:r>
      <w:r>
        <w:t xml:space="preserve"> </w:t>
      </w:r>
      <w:r>
        <w:tab/>
        <w:t xml:space="preserve">AusNet Services, </w:t>
      </w:r>
      <w:r w:rsidRPr="00271E82">
        <w:rPr>
          <w:i/>
        </w:rPr>
        <w:t>Response to AER information request #008, Attachment 2 – TRR ICT Cost Breakdown.xlsx</w:t>
      </w:r>
      <w:r w:rsidR="00300F01">
        <w:t>, 13 </w:t>
      </w:r>
      <w:r>
        <w:t>January 2016.</w:t>
      </w:r>
    </w:p>
  </w:footnote>
  <w:footnote w:id="136">
    <w:p w:rsidR="00B96BBA" w:rsidRDefault="00B96BBA" w:rsidP="0024086C">
      <w:pPr>
        <w:pStyle w:val="FootnoteText"/>
      </w:pPr>
      <w:r>
        <w:rPr>
          <w:rStyle w:val="FootnoteReference"/>
        </w:rPr>
        <w:footnoteRef/>
      </w:r>
      <w:r>
        <w:t xml:space="preserve"> </w:t>
      </w:r>
      <w:r>
        <w:tab/>
        <w:t xml:space="preserve">AusNet Services, </w:t>
      </w:r>
      <w:r w:rsidRPr="00271E82">
        <w:rPr>
          <w:i/>
        </w:rPr>
        <w:t xml:space="preserve">Response to AER information request #008, </w:t>
      </w:r>
      <w:r>
        <w:t>13 January 2016.</w:t>
      </w:r>
    </w:p>
  </w:footnote>
  <w:footnote w:id="137">
    <w:p w:rsidR="00B96BBA" w:rsidRDefault="00B96BBA" w:rsidP="0024086C">
      <w:pPr>
        <w:pStyle w:val="FootnoteText"/>
      </w:pPr>
      <w:r>
        <w:rPr>
          <w:rStyle w:val="FootnoteReference"/>
        </w:rPr>
        <w:footnoteRef/>
      </w:r>
      <w:r>
        <w:t xml:space="preserve"> </w:t>
      </w:r>
      <w:r>
        <w:tab/>
        <w:t xml:space="preserve">AusNet Services, </w:t>
      </w:r>
      <w:r>
        <w:rPr>
          <w:i/>
        </w:rPr>
        <w:t>Appendix 4H: ICT Strategy 2017–2022 Electricity Transmission Network</w:t>
      </w:r>
      <w:r w:rsidR="00300F01">
        <w:t>, 30 October 2015, pp. </w:t>
      </w:r>
      <w:r>
        <w:t>128-129.</w:t>
      </w:r>
      <w:r w:rsidRPr="00576C9F">
        <w:t xml:space="preserve"> </w:t>
      </w:r>
      <w:r>
        <w:t xml:space="preserve">AusNet Services, </w:t>
      </w:r>
      <w:r w:rsidRPr="00271E82">
        <w:rPr>
          <w:i/>
        </w:rPr>
        <w:t>Response to AER information request #008, Attachment 2 – TRR ICT Cost Breakdown.xlsx</w:t>
      </w:r>
      <w:r>
        <w:t>, 13 January 2016.</w:t>
      </w:r>
    </w:p>
  </w:footnote>
  <w:footnote w:id="138">
    <w:p w:rsidR="00B96BBA" w:rsidRDefault="00B96BBA" w:rsidP="0024086C">
      <w:pPr>
        <w:pStyle w:val="FootnoteText"/>
      </w:pPr>
      <w:r>
        <w:rPr>
          <w:rStyle w:val="FootnoteReference"/>
        </w:rPr>
        <w:footnoteRef/>
      </w:r>
      <w:r>
        <w:t xml:space="preserve"> </w:t>
      </w:r>
      <w:r>
        <w:tab/>
        <w:t xml:space="preserve">NER, r. </w:t>
      </w:r>
      <w:proofErr w:type="gramStart"/>
      <w:r>
        <w:t>6A.6.7(</w:t>
      </w:r>
      <w:proofErr w:type="gramEnd"/>
      <w:r>
        <w:t>a).</w:t>
      </w:r>
    </w:p>
  </w:footnote>
  <w:footnote w:id="139">
    <w:p w:rsidR="00B96BBA" w:rsidRDefault="00B96BBA" w:rsidP="00407535">
      <w:pPr>
        <w:pStyle w:val="FootnoteText"/>
      </w:pPr>
      <w:r>
        <w:rPr>
          <w:rStyle w:val="FootnoteReference"/>
        </w:rPr>
        <w:footnoteRef/>
      </w:r>
      <w:r>
        <w:t xml:space="preserve"> </w:t>
      </w:r>
      <w:r>
        <w:tab/>
        <w:t xml:space="preserve">AusNet Services, </w:t>
      </w:r>
      <w:r>
        <w:rPr>
          <w:rStyle w:val="AERtextitalic"/>
        </w:rPr>
        <w:t xml:space="preserve">Revenue proposal 2017-22, </w:t>
      </w:r>
      <w:r>
        <w:t>October 2015, p. 100.</w:t>
      </w:r>
    </w:p>
  </w:footnote>
  <w:footnote w:id="140">
    <w:p w:rsidR="00B96BBA" w:rsidRDefault="00B96BBA" w:rsidP="00407535">
      <w:pPr>
        <w:pStyle w:val="FootnoteText"/>
      </w:pPr>
      <w:r>
        <w:rPr>
          <w:rStyle w:val="FootnoteReference"/>
        </w:rPr>
        <w:footnoteRef/>
      </w:r>
      <w:r>
        <w:t xml:space="preserve"> </w:t>
      </w:r>
      <w:r>
        <w:tab/>
        <w:t xml:space="preserve">AusNet Services, </w:t>
      </w:r>
      <w:r>
        <w:rPr>
          <w:rStyle w:val="AERtextitalic"/>
        </w:rPr>
        <w:t xml:space="preserve">Revenue proposal 2017-22, </w:t>
      </w:r>
      <w:r>
        <w:t>October 2015, p. 100.</w:t>
      </w:r>
    </w:p>
  </w:footnote>
  <w:footnote w:id="141">
    <w:p w:rsidR="00B96BBA" w:rsidRDefault="00B96BBA" w:rsidP="00407535">
      <w:pPr>
        <w:pStyle w:val="FootnoteText"/>
      </w:pPr>
      <w:r>
        <w:rPr>
          <w:rStyle w:val="FootnoteReference"/>
        </w:rPr>
        <w:footnoteRef/>
      </w:r>
      <w:r>
        <w:t xml:space="preserve"> </w:t>
      </w:r>
      <w:r>
        <w:tab/>
        <w:t xml:space="preserve">AusNet Services, </w:t>
      </w:r>
      <w:r>
        <w:rPr>
          <w:rStyle w:val="AERtextitalic"/>
        </w:rPr>
        <w:t xml:space="preserve">Revenue proposal 2017-22, </w:t>
      </w:r>
      <w:r>
        <w:t>October 2015, p. 103.</w:t>
      </w:r>
    </w:p>
  </w:footnote>
  <w:footnote w:id="142">
    <w:p w:rsidR="00B96BBA" w:rsidRDefault="00B96BBA" w:rsidP="00407535">
      <w:pPr>
        <w:pStyle w:val="FootnoteText"/>
      </w:pPr>
      <w:r>
        <w:rPr>
          <w:rStyle w:val="FootnoteReference"/>
        </w:rPr>
        <w:footnoteRef/>
      </w:r>
      <w:r>
        <w:t xml:space="preserve"> </w:t>
      </w:r>
      <w:r>
        <w:tab/>
        <w:t xml:space="preserve">AusNet Services, </w:t>
      </w:r>
      <w:r>
        <w:rPr>
          <w:rStyle w:val="AERtextitalic"/>
        </w:rPr>
        <w:t>Revenue proposal,</w:t>
      </w:r>
      <w:r w:rsidRPr="008B06DB">
        <w:rPr>
          <w:rStyle w:val="AERtextitalic"/>
        </w:rPr>
        <w:t xml:space="preserve"> </w:t>
      </w:r>
      <w:r w:rsidRPr="007F6414">
        <w:rPr>
          <w:rStyle w:val="AERtextitalic"/>
        </w:rPr>
        <w:t>AusNet Regulatory Information Notice - Template-PUBLIC</w:t>
      </w:r>
      <w:r>
        <w:t>, 29 January</w:t>
      </w:r>
      <w:r w:rsidRPr="00640174">
        <w:t xml:space="preserve"> 201</w:t>
      </w:r>
      <w:r>
        <w:t>6, Table 2.6.3 Annual Descriptor Metrics - Motor Vehicles.</w:t>
      </w:r>
    </w:p>
  </w:footnote>
  <w:footnote w:id="143">
    <w:p w:rsidR="00B96BBA" w:rsidRDefault="00B96BBA" w:rsidP="00407535">
      <w:pPr>
        <w:pStyle w:val="FootnoteText"/>
      </w:pPr>
      <w:r>
        <w:rPr>
          <w:rStyle w:val="FootnoteReference"/>
        </w:rPr>
        <w:footnoteRef/>
      </w:r>
      <w:r>
        <w:t xml:space="preserve"> </w:t>
      </w:r>
      <w:r>
        <w:tab/>
        <w:t>NER, cl. 6.5.7(c</w:t>
      </w:r>
      <w:proofErr w:type="gramStart"/>
      <w:r>
        <w:t>)(</w:t>
      </w:r>
      <w:proofErr w:type="gramEnd"/>
      <w:r>
        <w:t>1).</w:t>
      </w:r>
    </w:p>
  </w:footnote>
  <w:footnote w:id="144">
    <w:p w:rsidR="00B96BBA" w:rsidRDefault="00B96BBA" w:rsidP="00407535">
      <w:pPr>
        <w:pStyle w:val="FootnoteText"/>
      </w:pPr>
      <w:r>
        <w:rPr>
          <w:rStyle w:val="FootnoteReference"/>
        </w:rPr>
        <w:footnoteRef/>
      </w:r>
      <w:r>
        <w:t xml:space="preserve"> </w:t>
      </w:r>
      <w:r>
        <w:tab/>
        <w:t>NER, cl. 6.5.7(e</w:t>
      </w:r>
      <w:proofErr w:type="gramStart"/>
      <w:r>
        <w:t>)(</w:t>
      </w:r>
      <w:proofErr w:type="gramEnd"/>
      <w:r>
        <w:t>7).</w:t>
      </w:r>
    </w:p>
  </w:footnote>
  <w:footnote w:id="145">
    <w:p w:rsidR="00B96BBA" w:rsidRDefault="00B96BBA" w:rsidP="00407535">
      <w:pPr>
        <w:pStyle w:val="FootnoteText"/>
      </w:pPr>
      <w:r>
        <w:rPr>
          <w:rStyle w:val="FootnoteReference"/>
        </w:rPr>
        <w:footnoteRef/>
      </w:r>
      <w:r>
        <w:t xml:space="preserve"> </w:t>
      </w:r>
      <w:r>
        <w:tab/>
        <w:t xml:space="preserve">AusNet Services, </w:t>
      </w:r>
      <w:r w:rsidRPr="00151D2B">
        <w:rPr>
          <w:rStyle w:val="AERtextitalic"/>
        </w:rPr>
        <w:t>Response to i</w:t>
      </w:r>
      <w:r>
        <w:rPr>
          <w:rStyle w:val="AERtextitalic"/>
        </w:rPr>
        <w:t>nformation request AusNet Services</w:t>
      </w:r>
      <w:r w:rsidRPr="00151D2B">
        <w:rPr>
          <w:rStyle w:val="AERtextitalic"/>
        </w:rPr>
        <w:t xml:space="preserve"> </w:t>
      </w:r>
      <w:r>
        <w:rPr>
          <w:rStyle w:val="AERtextitalic"/>
        </w:rPr>
        <w:t>IR# 001b</w:t>
      </w:r>
      <w:r>
        <w:t>, 10 December 2015.</w:t>
      </w:r>
    </w:p>
  </w:footnote>
  <w:footnote w:id="146">
    <w:p w:rsidR="00B96BBA" w:rsidRDefault="00B96BBA" w:rsidP="00203295">
      <w:pPr>
        <w:pStyle w:val="FootnoteText"/>
      </w:pPr>
      <w:r>
        <w:rPr>
          <w:rStyle w:val="FootnoteReference"/>
        </w:rPr>
        <w:footnoteRef/>
      </w:r>
      <w:r>
        <w:t xml:space="preserve"> </w:t>
      </w:r>
      <w:r>
        <w:tab/>
      </w:r>
      <w:proofErr w:type="gramStart"/>
      <w:r>
        <w:t xml:space="preserve">AER, </w:t>
      </w:r>
      <w:r w:rsidRPr="002F1913">
        <w:rPr>
          <w:rStyle w:val="AERtextitalic"/>
        </w:rPr>
        <w:t>Infor</w:t>
      </w:r>
      <w:r>
        <w:rPr>
          <w:rStyle w:val="AERtextitalic"/>
        </w:rPr>
        <w:t>mation request to AusNet Services IR# 001b</w:t>
      </w:r>
      <w:r>
        <w:t>, 3 December 2015.</w:t>
      </w:r>
      <w:proofErr w:type="gramEnd"/>
    </w:p>
  </w:footnote>
  <w:footnote w:id="147">
    <w:p w:rsidR="00B96BBA" w:rsidRDefault="00B96BBA" w:rsidP="00203295">
      <w:pPr>
        <w:pStyle w:val="FootnoteText"/>
      </w:pPr>
      <w:r>
        <w:rPr>
          <w:rStyle w:val="FootnoteReference"/>
        </w:rPr>
        <w:footnoteRef/>
      </w:r>
      <w:r>
        <w:t xml:space="preserve"> </w:t>
      </w:r>
      <w:r>
        <w:tab/>
        <w:t xml:space="preserve">AusNet Services, </w:t>
      </w:r>
      <w:r w:rsidRPr="00151D2B">
        <w:rPr>
          <w:rStyle w:val="AERtextitalic"/>
        </w:rPr>
        <w:t>Response to i</w:t>
      </w:r>
      <w:r>
        <w:rPr>
          <w:rStyle w:val="AERtextitalic"/>
        </w:rPr>
        <w:t>nformation request AusNet Services</w:t>
      </w:r>
      <w:r w:rsidRPr="00151D2B">
        <w:rPr>
          <w:rStyle w:val="AERtextitalic"/>
        </w:rPr>
        <w:t xml:space="preserve"> </w:t>
      </w:r>
      <w:r>
        <w:rPr>
          <w:rStyle w:val="AERtextitalic"/>
        </w:rPr>
        <w:t>IR# 001b</w:t>
      </w:r>
      <w:r>
        <w:t>, 10 December 2015.</w:t>
      </w:r>
    </w:p>
  </w:footnote>
  <w:footnote w:id="148">
    <w:p w:rsidR="00B96BBA" w:rsidRDefault="00B96BBA" w:rsidP="00A07986">
      <w:pPr>
        <w:pStyle w:val="FootnoteText"/>
      </w:pPr>
      <w:r>
        <w:rPr>
          <w:rStyle w:val="FootnoteReference"/>
        </w:rPr>
        <w:footnoteRef/>
      </w:r>
      <w:r>
        <w:t xml:space="preserve"> </w:t>
      </w:r>
      <w:r>
        <w:tab/>
        <w:t xml:space="preserve">AusNet Services, Transmission Revenue Review 2017–2022, October 2015, p. 71. </w:t>
      </w:r>
    </w:p>
  </w:footnote>
  <w:footnote w:id="149">
    <w:p w:rsidR="00B96BBA" w:rsidRDefault="00B96BBA" w:rsidP="00A07986">
      <w:pPr>
        <w:pStyle w:val="FootnoteText"/>
      </w:pPr>
      <w:r>
        <w:rPr>
          <w:rStyle w:val="FootnoteReference"/>
        </w:rPr>
        <w:footnoteRef/>
      </w:r>
      <w:r>
        <w:t xml:space="preserve"> </w:t>
      </w:r>
      <w:r>
        <w:tab/>
        <w:t>PLEASE ADD REFERENCE</w:t>
      </w:r>
    </w:p>
  </w:footnote>
  <w:footnote w:id="150">
    <w:p w:rsidR="00B96BBA" w:rsidRDefault="00B96BBA" w:rsidP="00A07986">
      <w:pPr>
        <w:pStyle w:val="FootnoteText"/>
      </w:pPr>
      <w:r>
        <w:rPr>
          <w:rStyle w:val="FootnoteReference"/>
        </w:rPr>
        <w:footnoteRef/>
      </w:r>
      <w:r>
        <w:t xml:space="preserve"> </w:t>
      </w:r>
      <w:r>
        <w:tab/>
        <w:t xml:space="preserve">AusNet Services, Transmission Revenue Review 2017–2022, October 2015, p. 71. </w:t>
      </w:r>
    </w:p>
  </w:footnote>
  <w:footnote w:id="151">
    <w:p w:rsidR="00B96BBA" w:rsidRDefault="00B96BBA" w:rsidP="00A07986">
      <w:pPr>
        <w:pStyle w:val="FootnoteText"/>
      </w:pPr>
      <w:r>
        <w:rPr>
          <w:rStyle w:val="FootnoteReference"/>
        </w:rPr>
        <w:footnoteRef/>
      </w:r>
      <w:r>
        <w:t xml:space="preserve"> </w:t>
      </w:r>
      <w:r>
        <w:tab/>
        <w:t xml:space="preserve">The two forecasts AusNet Services referred to are provided in AusNet Services, Transmission Revenue Review 2017–2022, October 2015, Appendix 4B, </w:t>
      </w:r>
      <w:r w:rsidRPr="008A2B1B">
        <w:t>DNSP-Victorian Terminal Station Demand Forecasts for 2014–15 to 2024–25, Forecasts Prepared by Victorian Distribution Network Service Providers and Collated by AEMO, September 2014</w:t>
      </w:r>
      <w:r>
        <w:t xml:space="preserve"> and Appendix 4C, 2014 AEMO Transmission Connection Point Forecasting Report for Victoria, 30 October 2015. </w:t>
      </w:r>
    </w:p>
  </w:footnote>
  <w:footnote w:id="152">
    <w:p w:rsidR="00B96BBA" w:rsidRDefault="00B96BBA" w:rsidP="00A07986">
      <w:pPr>
        <w:pStyle w:val="FootnoteText"/>
      </w:pPr>
      <w:r>
        <w:rPr>
          <w:rStyle w:val="FootnoteReference"/>
        </w:rPr>
        <w:footnoteRef/>
      </w:r>
      <w:r>
        <w:t xml:space="preserve"> </w:t>
      </w:r>
      <w:r>
        <w:tab/>
        <w:t xml:space="preserve">AusNet Services, Response to AER questions #015 –Demand Forecasts, 26 April 2016, p.2. </w:t>
      </w:r>
    </w:p>
  </w:footnote>
  <w:footnote w:id="153">
    <w:p w:rsidR="00B96BBA" w:rsidRDefault="00B96BBA" w:rsidP="00A07986">
      <w:pPr>
        <w:pStyle w:val="FootnoteText"/>
      </w:pPr>
      <w:r>
        <w:rPr>
          <w:rStyle w:val="FootnoteReference"/>
        </w:rPr>
        <w:footnoteRef/>
      </w:r>
      <w:r>
        <w:t xml:space="preserve"> </w:t>
      </w:r>
      <w:r>
        <w:tab/>
        <w:t xml:space="preserve">AusNet Services, Transmission Revenue Review 2017–2022, October 2015, supporting documents: planning reports. </w:t>
      </w:r>
    </w:p>
  </w:footnote>
  <w:footnote w:id="154">
    <w:p w:rsidR="00B96BBA" w:rsidRDefault="00B96BBA">
      <w:pPr>
        <w:pStyle w:val="FootnoteText"/>
      </w:pPr>
      <w:r>
        <w:rPr>
          <w:rStyle w:val="FootnoteReference"/>
        </w:rPr>
        <w:footnoteRef/>
      </w:r>
      <w:r>
        <w:t xml:space="preserve"> </w:t>
      </w:r>
      <w:r>
        <w:tab/>
        <w:t>NER, cl. 6A.6.7(c</w:t>
      </w:r>
      <w:proofErr w:type="gramStart"/>
      <w:r>
        <w:t>)(</w:t>
      </w:r>
      <w:proofErr w:type="gramEnd"/>
      <w:r>
        <w:t>3).</w:t>
      </w:r>
    </w:p>
  </w:footnote>
  <w:footnote w:id="155">
    <w:p w:rsidR="00B96BBA" w:rsidRDefault="00B96BBA" w:rsidP="00A07986">
      <w:pPr>
        <w:pStyle w:val="FootnoteText"/>
      </w:pPr>
      <w:r>
        <w:rPr>
          <w:rStyle w:val="FootnoteReference"/>
        </w:rPr>
        <w:footnoteRef/>
      </w:r>
      <w:r>
        <w:t xml:space="preserve"> </w:t>
      </w:r>
      <w:r>
        <w:tab/>
        <w:t xml:space="preserve">AusNet Services, Response to AER questions #015 –Demand Forecasts, 26 April 2016, p.2. </w:t>
      </w:r>
    </w:p>
  </w:footnote>
  <w:footnote w:id="156">
    <w:p w:rsidR="00B96BBA" w:rsidRDefault="00B96BBA" w:rsidP="00D95AAD">
      <w:pPr>
        <w:pStyle w:val="FootnoteText"/>
      </w:pPr>
      <w:r>
        <w:rPr>
          <w:rStyle w:val="FootnoteReference"/>
        </w:rPr>
        <w:footnoteRef/>
      </w:r>
      <w:r>
        <w:t xml:space="preserve"> </w:t>
      </w:r>
      <w:r>
        <w:tab/>
        <w:t>Synchronous condensers maintain voltage stability and improve power factor on the transmission network.</w:t>
      </w:r>
    </w:p>
  </w:footnote>
  <w:footnote w:id="157">
    <w:p w:rsidR="00B96BBA" w:rsidRDefault="00B96BBA" w:rsidP="00D95AAD">
      <w:pPr>
        <w:pStyle w:val="FootnoteText"/>
      </w:pPr>
      <w:r>
        <w:rPr>
          <w:rStyle w:val="FootnoteReference"/>
        </w:rPr>
        <w:footnoteRef/>
      </w:r>
      <w:r>
        <w:t xml:space="preserve"> </w:t>
      </w:r>
      <w:r>
        <w:tab/>
        <w:t xml:space="preserve">AusNet Services, </w:t>
      </w:r>
      <w:r w:rsidRPr="00B275F9">
        <w:rPr>
          <w:rStyle w:val="AERtextitalic"/>
        </w:rPr>
        <w:t>Transmission Revenue Review 2017–2022 Appendix 4G: Proposed Contingent Project</w:t>
      </w:r>
      <w:r>
        <w:t>, 27 October 2015.</w:t>
      </w:r>
    </w:p>
  </w:footnote>
  <w:footnote w:id="158">
    <w:p w:rsidR="00B96BBA" w:rsidRDefault="00B96BBA" w:rsidP="00D95AAD">
      <w:pPr>
        <w:pStyle w:val="FootnoteText"/>
      </w:pPr>
      <w:r>
        <w:rPr>
          <w:rStyle w:val="FootnoteReference"/>
        </w:rPr>
        <w:footnoteRef/>
      </w:r>
      <w:r>
        <w:t xml:space="preserve"> </w:t>
      </w:r>
      <w:r>
        <w:tab/>
        <w:t>NER, cl. 6A.8.1(c</w:t>
      </w:r>
      <w:proofErr w:type="gramStart"/>
      <w:r>
        <w:t>)(</w:t>
      </w:r>
      <w:proofErr w:type="gramEnd"/>
      <w:r>
        <w:t>5).</w:t>
      </w:r>
    </w:p>
  </w:footnote>
  <w:footnote w:id="159">
    <w:p w:rsidR="00B96BBA" w:rsidRDefault="00B96BBA" w:rsidP="00D95AAD">
      <w:pPr>
        <w:pStyle w:val="FootnoteText"/>
      </w:pPr>
      <w:r>
        <w:rPr>
          <w:rStyle w:val="FootnoteReference"/>
        </w:rPr>
        <w:footnoteRef/>
      </w:r>
      <w:r>
        <w:t xml:space="preserve"> </w:t>
      </w:r>
      <w:r>
        <w:tab/>
        <w:t xml:space="preserve">AusNet Services, </w:t>
      </w:r>
      <w:r w:rsidRPr="00B275F9">
        <w:rPr>
          <w:rStyle w:val="AERtextitalic"/>
        </w:rPr>
        <w:t>Transmission Revenue Review 2017–2022 Appendix 4G: Proposed Contingent Project</w:t>
      </w:r>
      <w:r>
        <w:t>, 27 October 2015, p. 3.</w:t>
      </w:r>
    </w:p>
  </w:footnote>
  <w:footnote w:id="160">
    <w:p w:rsidR="00B96BBA" w:rsidRDefault="00B96BBA" w:rsidP="00D95AAD">
      <w:pPr>
        <w:pStyle w:val="FootnoteText"/>
      </w:pPr>
      <w:r>
        <w:rPr>
          <w:rStyle w:val="FootnoteReference"/>
        </w:rPr>
        <w:footnoteRef/>
      </w:r>
      <w:r>
        <w:t xml:space="preserve"> </w:t>
      </w:r>
      <w:r>
        <w:tab/>
        <w:t xml:space="preserve">AusNet Services, </w:t>
      </w:r>
      <w:r w:rsidRPr="00B275F9">
        <w:rPr>
          <w:rStyle w:val="AERtextitalic"/>
        </w:rPr>
        <w:t>Transmission Revenue Review 2017–2022 Appendix 4G: Proposed Contingent Project</w:t>
      </w:r>
      <w:r>
        <w:t>, 27 October 2015, p. 4.</w:t>
      </w:r>
    </w:p>
  </w:footnote>
  <w:footnote w:id="161">
    <w:p w:rsidR="00B96BBA" w:rsidRDefault="00B96BBA" w:rsidP="00D95AAD">
      <w:pPr>
        <w:pStyle w:val="FootnoteText"/>
      </w:pPr>
      <w:r>
        <w:rPr>
          <w:rStyle w:val="FootnoteReference"/>
        </w:rPr>
        <w:footnoteRef/>
      </w:r>
      <w:r>
        <w:t xml:space="preserve"> </w:t>
      </w:r>
      <w:r>
        <w:tab/>
        <w:t xml:space="preserve">AusNet Services, </w:t>
      </w:r>
      <w:r w:rsidRPr="009A4312">
        <w:rPr>
          <w:rStyle w:val="AERtextitalic"/>
        </w:rPr>
        <w:t>Transmission Revenue Reset: Update on Synchronous Condensers</w:t>
      </w:r>
      <w:r>
        <w:t>, 7 April 2016.</w:t>
      </w:r>
    </w:p>
  </w:footnote>
  <w:footnote w:id="162">
    <w:p w:rsidR="00B96BBA" w:rsidRDefault="00B96BBA" w:rsidP="00D95AAD">
      <w:pPr>
        <w:pStyle w:val="FootnoteText"/>
      </w:pPr>
      <w:r>
        <w:rPr>
          <w:rStyle w:val="FootnoteReference"/>
        </w:rPr>
        <w:footnoteRef/>
      </w:r>
      <w:r>
        <w:t xml:space="preserve"> </w:t>
      </w:r>
      <w:r>
        <w:tab/>
        <w:t xml:space="preserve">NER, cl. </w:t>
      </w:r>
      <w:proofErr w:type="gramStart"/>
      <w:r>
        <w:t>6A.8.1(</w:t>
      </w:r>
      <w:proofErr w:type="gramEnd"/>
      <w:r>
        <w:t>b)(1).</w:t>
      </w:r>
    </w:p>
  </w:footnote>
  <w:footnote w:id="163">
    <w:p w:rsidR="00B96BBA" w:rsidRDefault="00B96BBA" w:rsidP="007B6DFA">
      <w:pPr>
        <w:pStyle w:val="FootnoteText"/>
      </w:pPr>
      <w:r>
        <w:rPr>
          <w:rStyle w:val="FootnoteReference"/>
        </w:rPr>
        <w:footnoteRef/>
      </w:r>
      <w:r>
        <w:t xml:space="preserve"> </w:t>
      </w:r>
      <w:r>
        <w:tab/>
      </w:r>
      <w:r w:rsidRPr="00493022">
        <w:t>NER cl. 6A</w:t>
      </w:r>
      <w:r>
        <w:t>.</w:t>
      </w:r>
      <w:r w:rsidRPr="00493022">
        <w:t>14.2.</w:t>
      </w:r>
      <w:r>
        <w:t>(b)</w:t>
      </w:r>
    </w:p>
  </w:footnote>
  <w:footnote w:id="164">
    <w:p w:rsidR="00B96BBA" w:rsidRDefault="00B96BBA" w:rsidP="007B6DFA">
      <w:pPr>
        <w:pStyle w:val="FootnoteText"/>
      </w:pPr>
      <w:r>
        <w:rPr>
          <w:rStyle w:val="FootnoteReference"/>
        </w:rPr>
        <w:footnoteRef/>
      </w:r>
      <w:r>
        <w:t xml:space="preserve"> </w:t>
      </w:r>
      <w:r>
        <w:tab/>
        <w:t>NER cl. S6A.2.2A</w:t>
      </w:r>
    </w:p>
  </w:footnote>
  <w:footnote w:id="165">
    <w:p w:rsidR="00B96BBA" w:rsidRDefault="00B96BBA">
      <w:pPr>
        <w:pStyle w:val="FootnoteText"/>
      </w:pPr>
      <w:r>
        <w:rPr>
          <w:rStyle w:val="FootnoteReference"/>
        </w:rPr>
        <w:footnoteRef/>
      </w:r>
      <w:r>
        <w:t xml:space="preserve"> </w:t>
      </w:r>
      <w:r>
        <w:tab/>
        <w:t xml:space="preserve">NER, cl. </w:t>
      </w:r>
      <w:proofErr w:type="gramStart"/>
      <w:r w:rsidRPr="00916F9E">
        <w:t>S6A.2.2A(</w:t>
      </w:r>
      <w:proofErr w:type="gramEnd"/>
      <w:r w:rsidRPr="00916F9E">
        <w:t>a</w:t>
      </w:r>
      <w:r>
        <w:t>).</w:t>
      </w:r>
    </w:p>
  </w:footnote>
  <w:footnote w:id="166">
    <w:p w:rsidR="00B96BBA" w:rsidRDefault="00B96BBA">
      <w:pPr>
        <w:pStyle w:val="FootnoteText"/>
      </w:pPr>
      <w:r>
        <w:rPr>
          <w:rStyle w:val="FootnoteReference"/>
        </w:rPr>
        <w:footnoteRef/>
      </w:r>
      <w:r>
        <w:t xml:space="preserve"> </w:t>
      </w:r>
      <w:r>
        <w:tab/>
      </w:r>
      <w:proofErr w:type="gramStart"/>
      <w:r>
        <w:t xml:space="preserve">NER, cl. </w:t>
      </w:r>
      <w:r w:rsidRPr="00916F9E">
        <w:t>11.59.4(a)</w:t>
      </w:r>
      <w:r>
        <w:t>.</w:t>
      </w:r>
      <w:proofErr w:type="gramEnd"/>
    </w:p>
  </w:footnote>
  <w:footnote w:id="167">
    <w:p w:rsidR="00B96BBA" w:rsidRDefault="00B96BBA">
      <w:pPr>
        <w:pStyle w:val="FootnoteText"/>
      </w:pPr>
      <w:r>
        <w:rPr>
          <w:rStyle w:val="FootnoteReference"/>
        </w:rPr>
        <w:footnoteRef/>
      </w:r>
      <w:r>
        <w:t xml:space="preserve"> </w:t>
      </w:r>
      <w:r>
        <w:tab/>
        <w:t xml:space="preserve">AER, </w:t>
      </w:r>
      <w:r w:rsidRPr="00E17C25">
        <w:rPr>
          <w:rStyle w:val="AERtextitalic"/>
        </w:rPr>
        <w:t>Capital Expenditure Incentive Guideline</w:t>
      </w:r>
      <w:r>
        <w:t>, November 2013, pp. 19–22.</w:t>
      </w:r>
    </w:p>
  </w:footnote>
  <w:footnote w:id="168">
    <w:p w:rsidR="00B96BBA" w:rsidRDefault="00B96BBA">
      <w:pPr>
        <w:pStyle w:val="FootnoteText"/>
      </w:pPr>
      <w:r>
        <w:rPr>
          <w:rStyle w:val="FootnoteReference"/>
        </w:rPr>
        <w:footnoteRef/>
      </w:r>
      <w:r>
        <w:t xml:space="preserve"> </w:t>
      </w:r>
      <w:r>
        <w:tab/>
        <w:t xml:space="preserve">AER, </w:t>
      </w:r>
      <w:r w:rsidRPr="00CE1FA6">
        <w:rPr>
          <w:rStyle w:val="AERtextitalic"/>
        </w:rPr>
        <w:t>Annual benchmarking report: Electricity transmission network service providers</w:t>
      </w:r>
      <w:r w:rsidRPr="00CE1FA6">
        <w:t>, November 2015</w:t>
      </w:r>
      <w:r>
        <w:t>.</w:t>
      </w:r>
    </w:p>
  </w:footnote>
  <w:footnote w:id="169">
    <w:p w:rsidR="00B96BBA" w:rsidRDefault="00B96BBA">
      <w:pPr>
        <w:pStyle w:val="FootnoteText"/>
      </w:pPr>
      <w:r>
        <w:rPr>
          <w:rStyle w:val="FootnoteReference"/>
        </w:rPr>
        <w:footnoteRef/>
      </w:r>
      <w:r>
        <w:t xml:space="preserve"> </w:t>
      </w:r>
      <w:r>
        <w:tab/>
        <w:t xml:space="preserve">AusNet Services, </w:t>
      </w:r>
      <w:r>
        <w:rPr>
          <w:rStyle w:val="AERtextitalic"/>
        </w:rPr>
        <w:t>Revenue proposal</w:t>
      </w:r>
      <w:r w:rsidRPr="00916F9E">
        <w:rPr>
          <w:rStyle w:val="AERtextitalic"/>
        </w:rPr>
        <w:t xml:space="preserve"> 2017–22</w:t>
      </w:r>
      <w:r>
        <w:t xml:space="preserve">, 30 October 2015, p 78. </w:t>
      </w:r>
    </w:p>
  </w:footnote>
  <w:footnote w:id="170">
    <w:p w:rsidR="00B96BBA" w:rsidRDefault="00B96BBA">
      <w:pPr>
        <w:pStyle w:val="FootnoteText"/>
      </w:pPr>
      <w:r>
        <w:rPr>
          <w:rStyle w:val="FootnoteReference"/>
        </w:rPr>
        <w:footnoteRef/>
      </w:r>
      <w:r>
        <w:t xml:space="preserve"> </w:t>
      </w:r>
      <w:r>
        <w:tab/>
        <w:t>Productivity index number (PIN) techniques use an index to determine the relationship between outputs and inputs. They measure productivity by constructing a ratio of inputs used for total output delivered. The PIN analysis used is multilateral total factor productivity (MTFP). MTFP relates total inputs to total outputs.</w:t>
      </w:r>
    </w:p>
  </w:footnote>
  <w:footnote w:id="171">
    <w:p w:rsidR="00B96BBA" w:rsidRDefault="00B96BBA">
      <w:pPr>
        <w:pStyle w:val="FootnoteText"/>
      </w:pPr>
      <w:r>
        <w:rPr>
          <w:rStyle w:val="FootnoteReference"/>
        </w:rPr>
        <w:footnoteRef/>
      </w:r>
      <w:r>
        <w:t xml:space="preserve"> </w:t>
      </w:r>
      <w:r>
        <w:tab/>
        <w:t xml:space="preserve">AusNet Services' efficiency performance in 2009 was affected by an explosive failure at South Morang and a conductor drop on the Bendigo to Ballarat line. </w:t>
      </w:r>
    </w:p>
  </w:footnote>
  <w:footnote w:id="172">
    <w:p w:rsidR="00B96BBA" w:rsidRDefault="00B96BBA">
      <w:pPr>
        <w:pStyle w:val="FootnoteText"/>
      </w:pPr>
      <w:r>
        <w:rPr>
          <w:rStyle w:val="FootnoteReference"/>
        </w:rPr>
        <w:footnoteRef/>
      </w:r>
      <w:r>
        <w:t xml:space="preserve"> </w:t>
      </w:r>
      <w:r>
        <w:tab/>
        <w:t>We have previously recognised that inter TNSP comparisons should be treated with caution as AEMO's planning and augmentation costs of AusNet's Services transmission network may not be fully reflected in past levels of capex which may overstate AusNet Services productivity performance.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52" w:rsidRDefault="00203A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52" w:rsidRDefault="00203A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52" w:rsidRDefault="00203A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185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8F3DB6"/>
    <w:multiLevelType w:val="hybridMultilevel"/>
    <w:tmpl w:val="7472C2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8">
    <w:nsid w:val="3F5F4FFC"/>
    <w:multiLevelType w:val="multilevel"/>
    <w:tmpl w:val="950A1C52"/>
    <w:numStyleLink w:val="AERHeadings"/>
  </w:abstractNum>
  <w:abstractNum w:abstractNumId="29">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41A80E45"/>
    <w:multiLevelType w:val="multilevel"/>
    <w:tmpl w:val="950A1C52"/>
    <w:numStyleLink w:val="AERHeadings"/>
  </w:abstractNum>
  <w:abstractNum w:abstractNumId="3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2">
    <w:nsid w:val="455E5D54"/>
    <w:multiLevelType w:val="hybridMultilevel"/>
    <w:tmpl w:val="3820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87C7731"/>
    <w:multiLevelType w:val="multilevel"/>
    <w:tmpl w:val="950A1C52"/>
    <w:numStyleLink w:val="AERHeadings"/>
  </w:abstractNum>
  <w:abstractNum w:abstractNumId="3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9">
    <w:nsid w:val="5ECE4384"/>
    <w:multiLevelType w:val="multilevel"/>
    <w:tmpl w:val="D4D200EE"/>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85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41">
    <w:nsid w:val="6DE36827"/>
    <w:multiLevelType w:val="multilevel"/>
    <w:tmpl w:val="950A1C52"/>
    <w:numStyleLink w:val="AERHeadings"/>
  </w:abstractNum>
  <w:abstractNum w:abstractNumId="42">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E2819EC"/>
    <w:multiLevelType w:val="multilevel"/>
    <w:tmpl w:val="1250F310"/>
    <w:lvl w:ilvl="0">
      <w:start w:val="1"/>
      <w:numFmt w:val="bullet"/>
      <w:pStyle w:val="AERbulletlistfirststyle"/>
      <w:lvlText w:val=""/>
      <w:lvlJc w:val="left"/>
      <w:pPr>
        <w:ind w:left="1069"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0"/>
  </w:num>
  <w:num w:numId="13">
    <w:abstractNumId w:val="25"/>
  </w:num>
  <w:num w:numId="14">
    <w:abstractNumId w:val="11"/>
  </w:num>
  <w:num w:numId="15">
    <w:abstractNumId w:val="14"/>
  </w:num>
  <w:num w:numId="16">
    <w:abstractNumId w:val="34"/>
  </w:num>
  <w:num w:numId="17">
    <w:abstractNumId w:val="10"/>
  </w:num>
  <w:num w:numId="18">
    <w:abstractNumId w:val="19"/>
  </w:num>
  <w:num w:numId="19">
    <w:abstractNumId w:val="35"/>
  </w:num>
  <w:num w:numId="20">
    <w:abstractNumId w:val="42"/>
  </w:num>
  <w:num w:numId="21">
    <w:abstractNumId w:val="15"/>
  </w:num>
  <w:num w:numId="22">
    <w:abstractNumId w:val="38"/>
  </w:num>
  <w:num w:numId="23">
    <w:abstractNumId w:val="36"/>
  </w:num>
  <w:num w:numId="24">
    <w:abstractNumId w:val="22"/>
  </w:num>
  <w:num w:numId="25">
    <w:abstractNumId w:val="37"/>
  </w:num>
  <w:num w:numId="26">
    <w:abstractNumId w:val="39"/>
  </w:num>
  <w:num w:numId="27">
    <w:abstractNumId w:val="24"/>
  </w:num>
  <w:num w:numId="28">
    <w:abstractNumId w:val="21"/>
  </w:num>
  <w:num w:numId="29">
    <w:abstractNumId w:val="18"/>
  </w:num>
  <w:num w:numId="30">
    <w:abstractNumId w:val="43"/>
  </w:num>
  <w:num w:numId="31">
    <w:abstractNumId w:val="16"/>
  </w:num>
  <w:num w:numId="32">
    <w:abstractNumId w:val="29"/>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41"/>
  </w:num>
  <w:num w:numId="37">
    <w:abstractNumId w:val="33"/>
  </w:num>
  <w:num w:numId="38">
    <w:abstractNumId w:val="28"/>
  </w:num>
  <w:num w:numId="39">
    <w:abstractNumId w:val="13"/>
  </w:num>
  <w:num w:numId="40">
    <w:abstractNumId w:val="39"/>
  </w:num>
  <w:num w:numId="41">
    <w:abstractNumId w:val="39"/>
  </w:num>
  <w:num w:numId="42">
    <w:abstractNumId w:val="30"/>
  </w:num>
  <w:num w:numId="43">
    <w:abstractNumId w:val="17"/>
  </w:num>
  <w:num w:numId="44">
    <w:abstractNumId w:val="31"/>
  </w:num>
  <w:num w:numId="45">
    <w:abstractNumId w:val="26"/>
  </w:num>
  <w:num w:numId="46">
    <w:abstractNumId w:val="9"/>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27"/>
  </w:num>
  <w:num w:numId="52">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jsnFmwjqQa8EI1vQcdw6OF+sS/MTH0oslIAIAm3plhw=" w:saltValue="QxlP5eWzBi2f8Ck549V4Wg==" w:algorithmName="SHA-256"/>
  <w:defaultTabStop w:val="340"/>
  <w:characterSpacingControl w:val="doNotCompress"/>
  <w:hdrShapeDefaults>
    <o:shapedefaults v:ext="edit" spidmax="350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mleco\3.2.1 ausnet services 2017-22 - draft decision - attachment 6 - capital expenditure (AER2015-004428).docx"/>
  </w:docVars>
  <w:rsids>
    <w:rsidRoot w:val="00961A4A"/>
    <w:rsid w:val="000006CC"/>
    <w:rsid w:val="000012E3"/>
    <w:rsid w:val="00003239"/>
    <w:rsid w:val="000035FC"/>
    <w:rsid w:val="00005540"/>
    <w:rsid w:val="000059F5"/>
    <w:rsid w:val="00012DD7"/>
    <w:rsid w:val="00012F5B"/>
    <w:rsid w:val="000160E5"/>
    <w:rsid w:val="000165E8"/>
    <w:rsid w:val="0002025B"/>
    <w:rsid w:val="00021202"/>
    <w:rsid w:val="00021C2B"/>
    <w:rsid w:val="00022046"/>
    <w:rsid w:val="0002517F"/>
    <w:rsid w:val="0003437A"/>
    <w:rsid w:val="0003578C"/>
    <w:rsid w:val="00036409"/>
    <w:rsid w:val="000427A1"/>
    <w:rsid w:val="00043467"/>
    <w:rsid w:val="00043571"/>
    <w:rsid w:val="0005341C"/>
    <w:rsid w:val="00053EA9"/>
    <w:rsid w:val="00056EFC"/>
    <w:rsid w:val="00063247"/>
    <w:rsid w:val="00064F1D"/>
    <w:rsid w:val="000651E3"/>
    <w:rsid w:val="00065951"/>
    <w:rsid w:val="0006611A"/>
    <w:rsid w:val="00070F9F"/>
    <w:rsid w:val="0007137B"/>
    <w:rsid w:val="000724E7"/>
    <w:rsid w:val="00072FC4"/>
    <w:rsid w:val="00074213"/>
    <w:rsid w:val="00074BC7"/>
    <w:rsid w:val="00077389"/>
    <w:rsid w:val="000804EC"/>
    <w:rsid w:val="00082646"/>
    <w:rsid w:val="00085663"/>
    <w:rsid w:val="00085EBF"/>
    <w:rsid w:val="00086871"/>
    <w:rsid w:val="0008785E"/>
    <w:rsid w:val="000905D0"/>
    <w:rsid w:val="00091D3C"/>
    <w:rsid w:val="00092FA8"/>
    <w:rsid w:val="00096808"/>
    <w:rsid w:val="00097F1E"/>
    <w:rsid w:val="000A0B85"/>
    <w:rsid w:val="000A0ED9"/>
    <w:rsid w:val="000A3020"/>
    <w:rsid w:val="000A339B"/>
    <w:rsid w:val="000A47BE"/>
    <w:rsid w:val="000A6C7B"/>
    <w:rsid w:val="000B003F"/>
    <w:rsid w:val="000B051B"/>
    <w:rsid w:val="000B2283"/>
    <w:rsid w:val="000B321F"/>
    <w:rsid w:val="000B70AB"/>
    <w:rsid w:val="000B7990"/>
    <w:rsid w:val="000C085C"/>
    <w:rsid w:val="000C1C93"/>
    <w:rsid w:val="000C2B40"/>
    <w:rsid w:val="000C4A38"/>
    <w:rsid w:val="000C4E63"/>
    <w:rsid w:val="000D122C"/>
    <w:rsid w:val="000D14F2"/>
    <w:rsid w:val="000D3F52"/>
    <w:rsid w:val="000D6AC8"/>
    <w:rsid w:val="000E1819"/>
    <w:rsid w:val="000E266B"/>
    <w:rsid w:val="000E2BFE"/>
    <w:rsid w:val="000E4821"/>
    <w:rsid w:val="000E6C72"/>
    <w:rsid w:val="000F45A9"/>
    <w:rsid w:val="000F5EDB"/>
    <w:rsid w:val="001011F3"/>
    <w:rsid w:val="00101E39"/>
    <w:rsid w:val="00103C97"/>
    <w:rsid w:val="0010575E"/>
    <w:rsid w:val="00105A1F"/>
    <w:rsid w:val="00106913"/>
    <w:rsid w:val="00107C21"/>
    <w:rsid w:val="00112867"/>
    <w:rsid w:val="00116EB2"/>
    <w:rsid w:val="001203C4"/>
    <w:rsid w:val="001237B2"/>
    <w:rsid w:val="00124609"/>
    <w:rsid w:val="00126A4C"/>
    <w:rsid w:val="00133C6E"/>
    <w:rsid w:val="00134E1A"/>
    <w:rsid w:val="00135566"/>
    <w:rsid w:val="00140128"/>
    <w:rsid w:val="0014085B"/>
    <w:rsid w:val="0014128A"/>
    <w:rsid w:val="001428BE"/>
    <w:rsid w:val="00145313"/>
    <w:rsid w:val="0014573B"/>
    <w:rsid w:val="001466F8"/>
    <w:rsid w:val="00150C29"/>
    <w:rsid w:val="00156FF3"/>
    <w:rsid w:val="00157129"/>
    <w:rsid w:val="001573E4"/>
    <w:rsid w:val="001575B2"/>
    <w:rsid w:val="00160756"/>
    <w:rsid w:val="0016256D"/>
    <w:rsid w:val="0016269E"/>
    <w:rsid w:val="0016280B"/>
    <w:rsid w:val="001633FB"/>
    <w:rsid w:val="00163EFD"/>
    <w:rsid w:val="00165E35"/>
    <w:rsid w:val="001662E3"/>
    <w:rsid w:val="0017232E"/>
    <w:rsid w:val="001727A1"/>
    <w:rsid w:val="00172AD4"/>
    <w:rsid w:val="00174102"/>
    <w:rsid w:val="0017493A"/>
    <w:rsid w:val="001754EE"/>
    <w:rsid w:val="00175899"/>
    <w:rsid w:val="0017700B"/>
    <w:rsid w:val="00180157"/>
    <w:rsid w:val="001806EE"/>
    <w:rsid w:val="00185C55"/>
    <w:rsid w:val="00185CB9"/>
    <w:rsid w:val="00186F77"/>
    <w:rsid w:val="00187591"/>
    <w:rsid w:val="00191449"/>
    <w:rsid w:val="001921F2"/>
    <w:rsid w:val="001926A4"/>
    <w:rsid w:val="00192AD5"/>
    <w:rsid w:val="00193E5D"/>
    <w:rsid w:val="001957A7"/>
    <w:rsid w:val="001979A3"/>
    <w:rsid w:val="001A12EB"/>
    <w:rsid w:val="001A69EA"/>
    <w:rsid w:val="001A6ECD"/>
    <w:rsid w:val="001B1F04"/>
    <w:rsid w:val="001B45A0"/>
    <w:rsid w:val="001B6EB2"/>
    <w:rsid w:val="001C16AE"/>
    <w:rsid w:val="001C1714"/>
    <w:rsid w:val="001C5121"/>
    <w:rsid w:val="001C75CD"/>
    <w:rsid w:val="001C7B17"/>
    <w:rsid w:val="001C7D62"/>
    <w:rsid w:val="001D055E"/>
    <w:rsid w:val="001D5F85"/>
    <w:rsid w:val="001D7E58"/>
    <w:rsid w:val="001E3E9F"/>
    <w:rsid w:val="001F044F"/>
    <w:rsid w:val="001F3937"/>
    <w:rsid w:val="001F4012"/>
    <w:rsid w:val="001F492E"/>
    <w:rsid w:val="001F6DA3"/>
    <w:rsid w:val="001F74D5"/>
    <w:rsid w:val="002010BC"/>
    <w:rsid w:val="002016E7"/>
    <w:rsid w:val="00202E03"/>
    <w:rsid w:val="00203295"/>
    <w:rsid w:val="00203A52"/>
    <w:rsid w:val="00203E7F"/>
    <w:rsid w:val="0020492C"/>
    <w:rsid w:val="00206362"/>
    <w:rsid w:val="00210CDA"/>
    <w:rsid w:val="0021537A"/>
    <w:rsid w:val="00217394"/>
    <w:rsid w:val="0021739C"/>
    <w:rsid w:val="0022120E"/>
    <w:rsid w:val="00222DEA"/>
    <w:rsid w:val="00224DB9"/>
    <w:rsid w:val="00233775"/>
    <w:rsid w:val="00235CAC"/>
    <w:rsid w:val="00235FB4"/>
    <w:rsid w:val="002403BB"/>
    <w:rsid w:val="0024086C"/>
    <w:rsid w:val="00241010"/>
    <w:rsid w:val="00251745"/>
    <w:rsid w:val="00257D77"/>
    <w:rsid w:val="00260029"/>
    <w:rsid w:val="0026161C"/>
    <w:rsid w:val="00261F8A"/>
    <w:rsid w:val="00263AC0"/>
    <w:rsid w:val="00264264"/>
    <w:rsid w:val="00265F58"/>
    <w:rsid w:val="0026772D"/>
    <w:rsid w:val="00270052"/>
    <w:rsid w:val="0027064C"/>
    <w:rsid w:val="0027511D"/>
    <w:rsid w:val="002804A4"/>
    <w:rsid w:val="0028391D"/>
    <w:rsid w:val="00286368"/>
    <w:rsid w:val="00286874"/>
    <w:rsid w:val="002876B3"/>
    <w:rsid w:val="00290C63"/>
    <w:rsid w:val="0029629D"/>
    <w:rsid w:val="00296B65"/>
    <w:rsid w:val="00297C2E"/>
    <w:rsid w:val="002A0C23"/>
    <w:rsid w:val="002A1B14"/>
    <w:rsid w:val="002A1FBB"/>
    <w:rsid w:val="002A2FD0"/>
    <w:rsid w:val="002A392C"/>
    <w:rsid w:val="002A39C7"/>
    <w:rsid w:val="002A7DEF"/>
    <w:rsid w:val="002B0634"/>
    <w:rsid w:val="002B0D74"/>
    <w:rsid w:val="002B574E"/>
    <w:rsid w:val="002B78F5"/>
    <w:rsid w:val="002B7A3C"/>
    <w:rsid w:val="002C1886"/>
    <w:rsid w:val="002C233C"/>
    <w:rsid w:val="002C5031"/>
    <w:rsid w:val="002D02D8"/>
    <w:rsid w:val="002D20C3"/>
    <w:rsid w:val="002D3D74"/>
    <w:rsid w:val="002D5825"/>
    <w:rsid w:val="002D72E8"/>
    <w:rsid w:val="002E72F6"/>
    <w:rsid w:val="002E78F6"/>
    <w:rsid w:val="002E7A35"/>
    <w:rsid w:val="002E7B22"/>
    <w:rsid w:val="002F0C2F"/>
    <w:rsid w:val="002F3B21"/>
    <w:rsid w:val="002F7986"/>
    <w:rsid w:val="002F7EDA"/>
    <w:rsid w:val="00300F01"/>
    <w:rsid w:val="00301B40"/>
    <w:rsid w:val="003029EE"/>
    <w:rsid w:val="00305CC8"/>
    <w:rsid w:val="003076D4"/>
    <w:rsid w:val="00307F6D"/>
    <w:rsid w:val="00314764"/>
    <w:rsid w:val="00314F7A"/>
    <w:rsid w:val="003177A2"/>
    <w:rsid w:val="00317B39"/>
    <w:rsid w:val="00322644"/>
    <w:rsid w:val="00322BA0"/>
    <w:rsid w:val="00322DC6"/>
    <w:rsid w:val="00325A5C"/>
    <w:rsid w:val="003271B5"/>
    <w:rsid w:val="00327273"/>
    <w:rsid w:val="00327A1E"/>
    <w:rsid w:val="00331264"/>
    <w:rsid w:val="00334C8D"/>
    <w:rsid w:val="00335153"/>
    <w:rsid w:val="00335E89"/>
    <w:rsid w:val="00336B06"/>
    <w:rsid w:val="003414D6"/>
    <w:rsid w:val="00343A18"/>
    <w:rsid w:val="00343D0E"/>
    <w:rsid w:val="00345F81"/>
    <w:rsid w:val="00347198"/>
    <w:rsid w:val="003518B3"/>
    <w:rsid w:val="00351A3C"/>
    <w:rsid w:val="00353FF9"/>
    <w:rsid w:val="00355E98"/>
    <w:rsid w:val="00356130"/>
    <w:rsid w:val="0035657B"/>
    <w:rsid w:val="00361C7C"/>
    <w:rsid w:val="00365D4E"/>
    <w:rsid w:val="00366392"/>
    <w:rsid w:val="003705FB"/>
    <w:rsid w:val="00370D41"/>
    <w:rsid w:val="003766EE"/>
    <w:rsid w:val="0038248A"/>
    <w:rsid w:val="003846F1"/>
    <w:rsid w:val="0038577F"/>
    <w:rsid w:val="00386113"/>
    <w:rsid w:val="003903F6"/>
    <w:rsid w:val="00396350"/>
    <w:rsid w:val="003966DA"/>
    <w:rsid w:val="003A4F3F"/>
    <w:rsid w:val="003A5A97"/>
    <w:rsid w:val="003B45F5"/>
    <w:rsid w:val="003B484F"/>
    <w:rsid w:val="003B7835"/>
    <w:rsid w:val="003B7FBA"/>
    <w:rsid w:val="003C2037"/>
    <w:rsid w:val="003C303F"/>
    <w:rsid w:val="003C3A9C"/>
    <w:rsid w:val="003C5130"/>
    <w:rsid w:val="003D0AC1"/>
    <w:rsid w:val="003D25FA"/>
    <w:rsid w:val="003D4ACB"/>
    <w:rsid w:val="003E0D05"/>
    <w:rsid w:val="003E2B6D"/>
    <w:rsid w:val="003E3EA7"/>
    <w:rsid w:val="003E3FA5"/>
    <w:rsid w:val="003E539D"/>
    <w:rsid w:val="003E732C"/>
    <w:rsid w:val="003E78F2"/>
    <w:rsid w:val="003F1528"/>
    <w:rsid w:val="003F174D"/>
    <w:rsid w:val="003F4D41"/>
    <w:rsid w:val="003F4E41"/>
    <w:rsid w:val="003F621B"/>
    <w:rsid w:val="003F7A65"/>
    <w:rsid w:val="00400514"/>
    <w:rsid w:val="00402352"/>
    <w:rsid w:val="00407535"/>
    <w:rsid w:val="00412B86"/>
    <w:rsid w:val="0041423C"/>
    <w:rsid w:val="004146EF"/>
    <w:rsid w:val="00415F31"/>
    <w:rsid w:val="00417ED8"/>
    <w:rsid w:val="00420494"/>
    <w:rsid w:val="00420C0F"/>
    <w:rsid w:val="0042305B"/>
    <w:rsid w:val="00423A77"/>
    <w:rsid w:val="004260FD"/>
    <w:rsid w:val="004303B1"/>
    <w:rsid w:val="004307A3"/>
    <w:rsid w:val="00432031"/>
    <w:rsid w:val="0043520D"/>
    <w:rsid w:val="004363D0"/>
    <w:rsid w:val="00441F92"/>
    <w:rsid w:val="00443602"/>
    <w:rsid w:val="00444343"/>
    <w:rsid w:val="0044793B"/>
    <w:rsid w:val="00451B6E"/>
    <w:rsid w:val="004529A8"/>
    <w:rsid w:val="004557A8"/>
    <w:rsid w:val="00456F34"/>
    <w:rsid w:val="0045777E"/>
    <w:rsid w:val="0046647B"/>
    <w:rsid w:val="00466F57"/>
    <w:rsid w:val="00467627"/>
    <w:rsid w:val="0047020D"/>
    <w:rsid w:val="0047022E"/>
    <w:rsid w:val="00472ABE"/>
    <w:rsid w:val="004738EC"/>
    <w:rsid w:val="004755D9"/>
    <w:rsid w:val="00476A25"/>
    <w:rsid w:val="004777E5"/>
    <w:rsid w:val="00480B4B"/>
    <w:rsid w:val="0048127C"/>
    <w:rsid w:val="004855D0"/>
    <w:rsid w:val="00485DC4"/>
    <w:rsid w:val="00486059"/>
    <w:rsid w:val="00487E1B"/>
    <w:rsid w:val="0049082E"/>
    <w:rsid w:val="00491349"/>
    <w:rsid w:val="00492389"/>
    <w:rsid w:val="00492BE4"/>
    <w:rsid w:val="00493022"/>
    <w:rsid w:val="00493865"/>
    <w:rsid w:val="004940C9"/>
    <w:rsid w:val="0049558D"/>
    <w:rsid w:val="00495B56"/>
    <w:rsid w:val="004A0794"/>
    <w:rsid w:val="004A0D5A"/>
    <w:rsid w:val="004A43D1"/>
    <w:rsid w:val="004A7FF8"/>
    <w:rsid w:val="004B08A4"/>
    <w:rsid w:val="004B1008"/>
    <w:rsid w:val="004B4412"/>
    <w:rsid w:val="004B4665"/>
    <w:rsid w:val="004B5F11"/>
    <w:rsid w:val="004B6AB2"/>
    <w:rsid w:val="004C1746"/>
    <w:rsid w:val="004C348C"/>
    <w:rsid w:val="004C7C0D"/>
    <w:rsid w:val="004C7C35"/>
    <w:rsid w:val="004D17F1"/>
    <w:rsid w:val="004D4888"/>
    <w:rsid w:val="004D55BA"/>
    <w:rsid w:val="004E22EC"/>
    <w:rsid w:val="004E52FF"/>
    <w:rsid w:val="004F0DAF"/>
    <w:rsid w:val="004F22BF"/>
    <w:rsid w:val="004F290D"/>
    <w:rsid w:val="004F6A0E"/>
    <w:rsid w:val="00503A90"/>
    <w:rsid w:val="005056B1"/>
    <w:rsid w:val="005075F6"/>
    <w:rsid w:val="0051264D"/>
    <w:rsid w:val="00514455"/>
    <w:rsid w:val="005147C9"/>
    <w:rsid w:val="00514C19"/>
    <w:rsid w:val="005204B9"/>
    <w:rsid w:val="00521785"/>
    <w:rsid w:val="00524A66"/>
    <w:rsid w:val="00524A6F"/>
    <w:rsid w:val="00526685"/>
    <w:rsid w:val="00526748"/>
    <w:rsid w:val="00527E5C"/>
    <w:rsid w:val="00530128"/>
    <w:rsid w:val="00531274"/>
    <w:rsid w:val="00532467"/>
    <w:rsid w:val="00536BF6"/>
    <w:rsid w:val="00540248"/>
    <w:rsid w:val="00540418"/>
    <w:rsid w:val="0054096E"/>
    <w:rsid w:val="00544C12"/>
    <w:rsid w:val="0054679E"/>
    <w:rsid w:val="00547456"/>
    <w:rsid w:val="005502D1"/>
    <w:rsid w:val="00550F69"/>
    <w:rsid w:val="00551606"/>
    <w:rsid w:val="00553037"/>
    <w:rsid w:val="00553342"/>
    <w:rsid w:val="00564A4D"/>
    <w:rsid w:val="005667CE"/>
    <w:rsid w:val="00567BA5"/>
    <w:rsid w:val="005707B3"/>
    <w:rsid w:val="00571584"/>
    <w:rsid w:val="00571B35"/>
    <w:rsid w:val="00571D57"/>
    <w:rsid w:val="005754DB"/>
    <w:rsid w:val="00577A09"/>
    <w:rsid w:val="00581B96"/>
    <w:rsid w:val="005829C2"/>
    <w:rsid w:val="00584D8F"/>
    <w:rsid w:val="00586229"/>
    <w:rsid w:val="00586EE3"/>
    <w:rsid w:val="005935ED"/>
    <w:rsid w:val="005963D9"/>
    <w:rsid w:val="005A07C3"/>
    <w:rsid w:val="005A12A3"/>
    <w:rsid w:val="005A3851"/>
    <w:rsid w:val="005A404D"/>
    <w:rsid w:val="005A49F4"/>
    <w:rsid w:val="005A508F"/>
    <w:rsid w:val="005A5F44"/>
    <w:rsid w:val="005A6371"/>
    <w:rsid w:val="005A64AD"/>
    <w:rsid w:val="005A6881"/>
    <w:rsid w:val="005A7FF3"/>
    <w:rsid w:val="005B1E3C"/>
    <w:rsid w:val="005B3191"/>
    <w:rsid w:val="005B3504"/>
    <w:rsid w:val="005B704A"/>
    <w:rsid w:val="005C0117"/>
    <w:rsid w:val="005C117A"/>
    <w:rsid w:val="005C26CC"/>
    <w:rsid w:val="005C3DB4"/>
    <w:rsid w:val="005C544B"/>
    <w:rsid w:val="005C568B"/>
    <w:rsid w:val="005C6531"/>
    <w:rsid w:val="005C6B30"/>
    <w:rsid w:val="005D4626"/>
    <w:rsid w:val="005D738F"/>
    <w:rsid w:val="005D7697"/>
    <w:rsid w:val="005D7761"/>
    <w:rsid w:val="005D7BA2"/>
    <w:rsid w:val="005D7E24"/>
    <w:rsid w:val="005E1C36"/>
    <w:rsid w:val="005E271D"/>
    <w:rsid w:val="005E36C2"/>
    <w:rsid w:val="005E3EF0"/>
    <w:rsid w:val="005F3CA6"/>
    <w:rsid w:val="005F4B4F"/>
    <w:rsid w:val="005F7575"/>
    <w:rsid w:val="005F7A36"/>
    <w:rsid w:val="00600586"/>
    <w:rsid w:val="00601B10"/>
    <w:rsid w:val="00610DE2"/>
    <w:rsid w:val="00612125"/>
    <w:rsid w:val="00612F4F"/>
    <w:rsid w:val="00615C6B"/>
    <w:rsid w:val="006164A9"/>
    <w:rsid w:val="00621DCE"/>
    <w:rsid w:val="00621F0B"/>
    <w:rsid w:val="00625F09"/>
    <w:rsid w:val="00630E92"/>
    <w:rsid w:val="006310E8"/>
    <w:rsid w:val="00631F48"/>
    <w:rsid w:val="00632CF0"/>
    <w:rsid w:val="00632D6D"/>
    <w:rsid w:val="00633226"/>
    <w:rsid w:val="0063476E"/>
    <w:rsid w:val="00635D73"/>
    <w:rsid w:val="006367C3"/>
    <w:rsid w:val="00640324"/>
    <w:rsid w:val="00642C3E"/>
    <w:rsid w:val="00646A02"/>
    <w:rsid w:val="006537AA"/>
    <w:rsid w:val="00654EC4"/>
    <w:rsid w:val="006565E0"/>
    <w:rsid w:val="00660CB2"/>
    <w:rsid w:val="0066104A"/>
    <w:rsid w:val="00663DAD"/>
    <w:rsid w:val="00670ADF"/>
    <w:rsid w:val="00675E20"/>
    <w:rsid w:val="00676679"/>
    <w:rsid w:val="006768F4"/>
    <w:rsid w:val="006776CB"/>
    <w:rsid w:val="00677BED"/>
    <w:rsid w:val="00680351"/>
    <w:rsid w:val="00683C89"/>
    <w:rsid w:val="00690496"/>
    <w:rsid w:val="006A0299"/>
    <w:rsid w:val="006A08A8"/>
    <w:rsid w:val="006A1158"/>
    <w:rsid w:val="006A2FA1"/>
    <w:rsid w:val="006A3A5C"/>
    <w:rsid w:val="006A3E4E"/>
    <w:rsid w:val="006A7769"/>
    <w:rsid w:val="006B2395"/>
    <w:rsid w:val="006B4CF9"/>
    <w:rsid w:val="006B7AC8"/>
    <w:rsid w:val="006C1736"/>
    <w:rsid w:val="006C58DB"/>
    <w:rsid w:val="006D5008"/>
    <w:rsid w:val="006D550F"/>
    <w:rsid w:val="006E086B"/>
    <w:rsid w:val="006E248A"/>
    <w:rsid w:val="006E4B64"/>
    <w:rsid w:val="006E5D6B"/>
    <w:rsid w:val="006E5E68"/>
    <w:rsid w:val="006E7D87"/>
    <w:rsid w:val="006F0A4C"/>
    <w:rsid w:val="006F10A1"/>
    <w:rsid w:val="006F34DB"/>
    <w:rsid w:val="006F39DA"/>
    <w:rsid w:val="006F4924"/>
    <w:rsid w:val="006F68E7"/>
    <w:rsid w:val="006F78B3"/>
    <w:rsid w:val="00701CAB"/>
    <w:rsid w:val="00704ABE"/>
    <w:rsid w:val="007050C5"/>
    <w:rsid w:val="00707563"/>
    <w:rsid w:val="007110B7"/>
    <w:rsid w:val="00711278"/>
    <w:rsid w:val="00713956"/>
    <w:rsid w:val="00713BA6"/>
    <w:rsid w:val="00715ABE"/>
    <w:rsid w:val="0071745C"/>
    <w:rsid w:val="00723038"/>
    <w:rsid w:val="0072348C"/>
    <w:rsid w:val="00724A37"/>
    <w:rsid w:val="00727B98"/>
    <w:rsid w:val="007303C3"/>
    <w:rsid w:val="00731756"/>
    <w:rsid w:val="007333FD"/>
    <w:rsid w:val="00733DE3"/>
    <w:rsid w:val="00735181"/>
    <w:rsid w:val="007379F9"/>
    <w:rsid w:val="00742683"/>
    <w:rsid w:val="007429BE"/>
    <w:rsid w:val="00743223"/>
    <w:rsid w:val="00744D0B"/>
    <w:rsid w:val="00745E9C"/>
    <w:rsid w:val="00746513"/>
    <w:rsid w:val="00746E01"/>
    <w:rsid w:val="00750C6B"/>
    <w:rsid w:val="00751204"/>
    <w:rsid w:val="00752EB8"/>
    <w:rsid w:val="00753755"/>
    <w:rsid w:val="0075445B"/>
    <w:rsid w:val="00757364"/>
    <w:rsid w:val="00757BDF"/>
    <w:rsid w:val="007609D0"/>
    <w:rsid w:val="00763E5D"/>
    <w:rsid w:val="0076500A"/>
    <w:rsid w:val="007660AD"/>
    <w:rsid w:val="00767740"/>
    <w:rsid w:val="00774373"/>
    <w:rsid w:val="00775857"/>
    <w:rsid w:val="00777EE6"/>
    <w:rsid w:val="00782EEA"/>
    <w:rsid w:val="007840EE"/>
    <w:rsid w:val="00784B70"/>
    <w:rsid w:val="0078734E"/>
    <w:rsid w:val="00794A54"/>
    <w:rsid w:val="00796270"/>
    <w:rsid w:val="007B186E"/>
    <w:rsid w:val="007B2C72"/>
    <w:rsid w:val="007B2FB3"/>
    <w:rsid w:val="007B6ABF"/>
    <w:rsid w:val="007B6DFA"/>
    <w:rsid w:val="007C1C53"/>
    <w:rsid w:val="007C29EE"/>
    <w:rsid w:val="007C455F"/>
    <w:rsid w:val="007C74BB"/>
    <w:rsid w:val="007C7FAE"/>
    <w:rsid w:val="007D20CF"/>
    <w:rsid w:val="007D3C04"/>
    <w:rsid w:val="007D3C22"/>
    <w:rsid w:val="007D456E"/>
    <w:rsid w:val="007D5E37"/>
    <w:rsid w:val="007D69DC"/>
    <w:rsid w:val="007D7A0E"/>
    <w:rsid w:val="007E022E"/>
    <w:rsid w:val="007E2B21"/>
    <w:rsid w:val="007E3B52"/>
    <w:rsid w:val="007E4904"/>
    <w:rsid w:val="007E4CB5"/>
    <w:rsid w:val="007E5129"/>
    <w:rsid w:val="007E7E31"/>
    <w:rsid w:val="007F066B"/>
    <w:rsid w:val="007F244E"/>
    <w:rsid w:val="007F3340"/>
    <w:rsid w:val="007F3946"/>
    <w:rsid w:val="007F4520"/>
    <w:rsid w:val="007F4B1C"/>
    <w:rsid w:val="007F68DA"/>
    <w:rsid w:val="007F7504"/>
    <w:rsid w:val="00800A30"/>
    <w:rsid w:val="0080192B"/>
    <w:rsid w:val="008023C4"/>
    <w:rsid w:val="008033C4"/>
    <w:rsid w:val="00803ACE"/>
    <w:rsid w:val="008042FA"/>
    <w:rsid w:val="00804E43"/>
    <w:rsid w:val="00806C88"/>
    <w:rsid w:val="008071D9"/>
    <w:rsid w:val="008078F2"/>
    <w:rsid w:val="00807F03"/>
    <w:rsid w:val="0081034E"/>
    <w:rsid w:val="00810C7B"/>
    <w:rsid w:val="008116A1"/>
    <w:rsid w:val="00812DD0"/>
    <w:rsid w:val="00815DCA"/>
    <w:rsid w:val="00816361"/>
    <w:rsid w:val="00823EC6"/>
    <w:rsid w:val="0082405B"/>
    <w:rsid w:val="00827169"/>
    <w:rsid w:val="008335FD"/>
    <w:rsid w:val="008344F6"/>
    <w:rsid w:val="0083510F"/>
    <w:rsid w:val="0083560C"/>
    <w:rsid w:val="00840215"/>
    <w:rsid w:val="008409A3"/>
    <w:rsid w:val="00842AFA"/>
    <w:rsid w:val="00851209"/>
    <w:rsid w:val="008608EA"/>
    <w:rsid w:val="008617DB"/>
    <w:rsid w:val="008618E0"/>
    <w:rsid w:val="0086515B"/>
    <w:rsid w:val="008707BA"/>
    <w:rsid w:val="00871C03"/>
    <w:rsid w:val="00873640"/>
    <w:rsid w:val="0088037B"/>
    <w:rsid w:val="00880C9E"/>
    <w:rsid w:val="00880E37"/>
    <w:rsid w:val="0088353D"/>
    <w:rsid w:val="008837AC"/>
    <w:rsid w:val="00883A3A"/>
    <w:rsid w:val="00884141"/>
    <w:rsid w:val="008867F5"/>
    <w:rsid w:val="00891B54"/>
    <w:rsid w:val="00894BB0"/>
    <w:rsid w:val="008A2AC6"/>
    <w:rsid w:val="008A3F21"/>
    <w:rsid w:val="008A587D"/>
    <w:rsid w:val="008A679A"/>
    <w:rsid w:val="008B06DB"/>
    <w:rsid w:val="008B2486"/>
    <w:rsid w:val="008B35CD"/>
    <w:rsid w:val="008B4309"/>
    <w:rsid w:val="008B4829"/>
    <w:rsid w:val="008B50AF"/>
    <w:rsid w:val="008B51B3"/>
    <w:rsid w:val="008B5FCC"/>
    <w:rsid w:val="008C2D65"/>
    <w:rsid w:val="008C518F"/>
    <w:rsid w:val="008C5486"/>
    <w:rsid w:val="008C6DC8"/>
    <w:rsid w:val="008D04DE"/>
    <w:rsid w:val="008D1661"/>
    <w:rsid w:val="008D5359"/>
    <w:rsid w:val="008D620D"/>
    <w:rsid w:val="008D73A5"/>
    <w:rsid w:val="008E281C"/>
    <w:rsid w:val="008E36F7"/>
    <w:rsid w:val="008E4484"/>
    <w:rsid w:val="008E4F34"/>
    <w:rsid w:val="008E61CC"/>
    <w:rsid w:val="008E6E69"/>
    <w:rsid w:val="008E7031"/>
    <w:rsid w:val="008E77DE"/>
    <w:rsid w:val="008F0662"/>
    <w:rsid w:val="008F07A3"/>
    <w:rsid w:val="008F23EC"/>
    <w:rsid w:val="008F2B50"/>
    <w:rsid w:val="008F612B"/>
    <w:rsid w:val="008F78B7"/>
    <w:rsid w:val="00900019"/>
    <w:rsid w:val="009001B6"/>
    <w:rsid w:val="00900E1B"/>
    <w:rsid w:val="0090431C"/>
    <w:rsid w:val="00906B29"/>
    <w:rsid w:val="009115D7"/>
    <w:rsid w:val="00912A87"/>
    <w:rsid w:val="00916F9E"/>
    <w:rsid w:val="00921473"/>
    <w:rsid w:val="009233EE"/>
    <w:rsid w:val="0092523F"/>
    <w:rsid w:val="0092596B"/>
    <w:rsid w:val="009348B2"/>
    <w:rsid w:val="0093601B"/>
    <w:rsid w:val="00936BA3"/>
    <w:rsid w:val="00936FB3"/>
    <w:rsid w:val="00937F99"/>
    <w:rsid w:val="009411AC"/>
    <w:rsid w:val="009460AA"/>
    <w:rsid w:val="00947689"/>
    <w:rsid w:val="00947B1F"/>
    <w:rsid w:val="00951978"/>
    <w:rsid w:val="009524D2"/>
    <w:rsid w:val="00954010"/>
    <w:rsid w:val="0095552A"/>
    <w:rsid w:val="00961107"/>
    <w:rsid w:val="00961A4A"/>
    <w:rsid w:val="00963580"/>
    <w:rsid w:val="009637A1"/>
    <w:rsid w:val="009661DE"/>
    <w:rsid w:val="009673B9"/>
    <w:rsid w:val="00971D37"/>
    <w:rsid w:val="00974953"/>
    <w:rsid w:val="009751EB"/>
    <w:rsid w:val="009753BA"/>
    <w:rsid w:val="00975639"/>
    <w:rsid w:val="00976D53"/>
    <w:rsid w:val="00980F46"/>
    <w:rsid w:val="00982A25"/>
    <w:rsid w:val="00983BF9"/>
    <w:rsid w:val="00983C25"/>
    <w:rsid w:val="0098513C"/>
    <w:rsid w:val="009856B7"/>
    <w:rsid w:val="00985C86"/>
    <w:rsid w:val="009867F2"/>
    <w:rsid w:val="00986A00"/>
    <w:rsid w:val="009879C5"/>
    <w:rsid w:val="00992C7B"/>
    <w:rsid w:val="00994E1A"/>
    <w:rsid w:val="00996349"/>
    <w:rsid w:val="00996A8E"/>
    <w:rsid w:val="009A2DA9"/>
    <w:rsid w:val="009A5FC3"/>
    <w:rsid w:val="009A7783"/>
    <w:rsid w:val="009A7A29"/>
    <w:rsid w:val="009A7D9D"/>
    <w:rsid w:val="009B090B"/>
    <w:rsid w:val="009B74B0"/>
    <w:rsid w:val="009C0D47"/>
    <w:rsid w:val="009C50CB"/>
    <w:rsid w:val="009C7464"/>
    <w:rsid w:val="009D3773"/>
    <w:rsid w:val="009D3906"/>
    <w:rsid w:val="009D4390"/>
    <w:rsid w:val="009D5811"/>
    <w:rsid w:val="009D6609"/>
    <w:rsid w:val="009D6B46"/>
    <w:rsid w:val="009D7722"/>
    <w:rsid w:val="009D7B50"/>
    <w:rsid w:val="009F38D1"/>
    <w:rsid w:val="009F4940"/>
    <w:rsid w:val="009F5BA1"/>
    <w:rsid w:val="009F5D65"/>
    <w:rsid w:val="009F7A52"/>
    <w:rsid w:val="00A00A62"/>
    <w:rsid w:val="00A00EA4"/>
    <w:rsid w:val="00A02A88"/>
    <w:rsid w:val="00A03FFD"/>
    <w:rsid w:val="00A0562E"/>
    <w:rsid w:val="00A05922"/>
    <w:rsid w:val="00A05C23"/>
    <w:rsid w:val="00A06972"/>
    <w:rsid w:val="00A0726D"/>
    <w:rsid w:val="00A07986"/>
    <w:rsid w:val="00A1039D"/>
    <w:rsid w:val="00A11BB8"/>
    <w:rsid w:val="00A132DE"/>
    <w:rsid w:val="00A140AF"/>
    <w:rsid w:val="00A15B8B"/>
    <w:rsid w:val="00A16BF6"/>
    <w:rsid w:val="00A20ACE"/>
    <w:rsid w:val="00A272DB"/>
    <w:rsid w:val="00A31F3B"/>
    <w:rsid w:val="00A32FBB"/>
    <w:rsid w:val="00A344D3"/>
    <w:rsid w:val="00A34664"/>
    <w:rsid w:val="00A35727"/>
    <w:rsid w:val="00A3765D"/>
    <w:rsid w:val="00A428EE"/>
    <w:rsid w:val="00A429EB"/>
    <w:rsid w:val="00A42EDE"/>
    <w:rsid w:val="00A42F1F"/>
    <w:rsid w:val="00A43E8A"/>
    <w:rsid w:val="00A4478A"/>
    <w:rsid w:val="00A44852"/>
    <w:rsid w:val="00A44A6C"/>
    <w:rsid w:val="00A47F92"/>
    <w:rsid w:val="00A50411"/>
    <w:rsid w:val="00A5181F"/>
    <w:rsid w:val="00A52715"/>
    <w:rsid w:val="00A52F7E"/>
    <w:rsid w:val="00A52FD9"/>
    <w:rsid w:val="00A5357D"/>
    <w:rsid w:val="00A54A22"/>
    <w:rsid w:val="00A54D92"/>
    <w:rsid w:val="00A566AB"/>
    <w:rsid w:val="00A57D04"/>
    <w:rsid w:val="00A57D1D"/>
    <w:rsid w:val="00A60190"/>
    <w:rsid w:val="00A60A26"/>
    <w:rsid w:val="00A61598"/>
    <w:rsid w:val="00A622B8"/>
    <w:rsid w:val="00A63EDD"/>
    <w:rsid w:val="00A65AA2"/>
    <w:rsid w:val="00A704B2"/>
    <w:rsid w:val="00A72D0C"/>
    <w:rsid w:val="00A76316"/>
    <w:rsid w:val="00A84A99"/>
    <w:rsid w:val="00A84F46"/>
    <w:rsid w:val="00A85EAE"/>
    <w:rsid w:val="00A871F4"/>
    <w:rsid w:val="00A87EB4"/>
    <w:rsid w:val="00A9061E"/>
    <w:rsid w:val="00A95109"/>
    <w:rsid w:val="00AA1B0A"/>
    <w:rsid w:val="00AA1CE4"/>
    <w:rsid w:val="00AA2B81"/>
    <w:rsid w:val="00AA3B8E"/>
    <w:rsid w:val="00AA3FAF"/>
    <w:rsid w:val="00AA77F2"/>
    <w:rsid w:val="00AB1713"/>
    <w:rsid w:val="00AB375C"/>
    <w:rsid w:val="00AB4D90"/>
    <w:rsid w:val="00AC0C43"/>
    <w:rsid w:val="00AC1B2C"/>
    <w:rsid w:val="00AC3264"/>
    <w:rsid w:val="00AC3E49"/>
    <w:rsid w:val="00AC4546"/>
    <w:rsid w:val="00AD0690"/>
    <w:rsid w:val="00AD1EA4"/>
    <w:rsid w:val="00AD7792"/>
    <w:rsid w:val="00AE1BF1"/>
    <w:rsid w:val="00AE1C35"/>
    <w:rsid w:val="00AE521C"/>
    <w:rsid w:val="00AE5BE0"/>
    <w:rsid w:val="00AE7796"/>
    <w:rsid w:val="00AF0BFE"/>
    <w:rsid w:val="00AF0DD2"/>
    <w:rsid w:val="00AF18D5"/>
    <w:rsid w:val="00AF377D"/>
    <w:rsid w:val="00AF4C69"/>
    <w:rsid w:val="00AF557B"/>
    <w:rsid w:val="00AF5ABF"/>
    <w:rsid w:val="00B01732"/>
    <w:rsid w:val="00B02CAF"/>
    <w:rsid w:val="00B04700"/>
    <w:rsid w:val="00B06C2F"/>
    <w:rsid w:val="00B07596"/>
    <w:rsid w:val="00B112EF"/>
    <w:rsid w:val="00B116E9"/>
    <w:rsid w:val="00B11827"/>
    <w:rsid w:val="00B13048"/>
    <w:rsid w:val="00B1716D"/>
    <w:rsid w:val="00B173A2"/>
    <w:rsid w:val="00B17A1D"/>
    <w:rsid w:val="00B207A0"/>
    <w:rsid w:val="00B20AD2"/>
    <w:rsid w:val="00B217BD"/>
    <w:rsid w:val="00B225EC"/>
    <w:rsid w:val="00B22CBF"/>
    <w:rsid w:val="00B2303F"/>
    <w:rsid w:val="00B24C76"/>
    <w:rsid w:val="00B27F43"/>
    <w:rsid w:val="00B33E98"/>
    <w:rsid w:val="00B47140"/>
    <w:rsid w:val="00B514DD"/>
    <w:rsid w:val="00B51ED3"/>
    <w:rsid w:val="00B52AF0"/>
    <w:rsid w:val="00B561BD"/>
    <w:rsid w:val="00B56E03"/>
    <w:rsid w:val="00B5726C"/>
    <w:rsid w:val="00B622AB"/>
    <w:rsid w:val="00B62B55"/>
    <w:rsid w:val="00B652D9"/>
    <w:rsid w:val="00B67203"/>
    <w:rsid w:val="00B708E8"/>
    <w:rsid w:val="00B71B8A"/>
    <w:rsid w:val="00B72A37"/>
    <w:rsid w:val="00B8080B"/>
    <w:rsid w:val="00B81E42"/>
    <w:rsid w:val="00B820AD"/>
    <w:rsid w:val="00B82223"/>
    <w:rsid w:val="00B82F93"/>
    <w:rsid w:val="00B838B0"/>
    <w:rsid w:val="00B8467B"/>
    <w:rsid w:val="00B87BA5"/>
    <w:rsid w:val="00B87C39"/>
    <w:rsid w:val="00B93457"/>
    <w:rsid w:val="00B93562"/>
    <w:rsid w:val="00B93842"/>
    <w:rsid w:val="00B9548F"/>
    <w:rsid w:val="00B9562D"/>
    <w:rsid w:val="00B96BBA"/>
    <w:rsid w:val="00B9733D"/>
    <w:rsid w:val="00BA0D0F"/>
    <w:rsid w:val="00BA1236"/>
    <w:rsid w:val="00BA4665"/>
    <w:rsid w:val="00BB103F"/>
    <w:rsid w:val="00BB2FB2"/>
    <w:rsid w:val="00BB3304"/>
    <w:rsid w:val="00BB4884"/>
    <w:rsid w:val="00BB5D6B"/>
    <w:rsid w:val="00BB688D"/>
    <w:rsid w:val="00BB6EAA"/>
    <w:rsid w:val="00BC2E6D"/>
    <w:rsid w:val="00BC3AB7"/>
    <w:rsid w:val="00BC7185"/>
    <w:rsid w:val="00BC7504"/>
    <w:rsid w:val="00BD0943"/>
    <w:rsid w:val="00BD20A7"/>
    <w:rsid w:val="00BD2EBB"/>
    <w:rsid w:val="00BD3446"/>
    <w:rsid w:val="00BD484A"/>
    <w:rsid w:val="00BD5D87"/>
    <w:rsid w:val="00BE135B"/>
    <w:rsid w:val="00BE18C9"/>
    <w:rsid w:val="00BE1E3F"/>
    <w:rsid w:val="00BE1F1B"/>
    <w:rsid w:val="00BE3B61"/>
    <w:rsid w:val="00BE40E1"/>
    <w:rsid w:val="00BE47B5"/>
    <w:rsid w:val="00BE5677"/>
    <w:rsid w:val="00BE797B"/>
    <w:rsid w:val="00BF5B4A"/>
    <w:rsid w:val="00BF6B9B"/>
    <w:rsid w:val="00BF7BE7"/>
    <w:rsid w:val="00C010EB"/>
    <w:rsid w:val="00C023E8"/>
    <w:rsid w:val="00C04895"/>
    <w:rsid w:val="00C05B7F"/>
    <w:rsid w:val="00C06921"/>
    <w:rsid w:val="00C07365"/>
    <w:rsid w:val="00C10253"/>
    <w:rsid w:val="00C10353"/>
    <w:rsid w:val="00C11537"/>
    <w:rsid w:val="00C13250"/>
    <w:rsid w:val="00C1335B"/>
    <w:rsid w:val="00C1518B"/>
    <w:rsid w:val="00C17591"/>
    <w:rsid w:val="00C20B09"/>
    <w:rsid w:val="00C249BE"/>
    <w:rsid w:val="00C25FA6"/>
    <w:rsid w:val="00C266CD"/>
    <w:rsid w:val="00C26737"/>
    <w:rsid w:val="00C26A43"/>
    <w:rsid w:val="00C275A6"/>
    <w:rsid w:val="00C300DF"/>
    <w:rsid w:val="00C31B0A"/>
    <w:rsid w:val="00C31F61"/>
    <w:rsid w:val="00C32D48"/>
    <w:rsid w:val="00C368B6"/>
    <w:rsid w:val="00C420BC"/>
    <w:rsid w:val="00C46BC7"/>
    <w:rsid w:val="00C50DC9"/>
    <w:rsid w:val="00C538A9"/>
    <w:rsid w:val="00C53B5A"/>
    <w:rsid w:val="00C54F5A"/>
    <w:rsid w:val="00C569B4"/>
    <w:rsid w:val="00C57C9D"/>
    <w:rsid w:val="00C60946"/>
    <w:rsid w:val="00C61DD2"/>
    <w:rsid w:val="00C63A5E"/>
    <w:rsid w:val="00C6693D"/>
    <w:rsid w:val="00C67A92"/>
    <w:rsid w:val="00C703EA"/>
    <w:rsid w:val="00C70F75"/>
    <w:rsid w:val="00C710DD"/>
    <w:rsid w:val="00C71AF0"/>
    <w:rsid w:val="00C75FA0"/>
    <w:rsid w:val="00C81758"/>
    <w:rsid w:val="00C84560"/>
    <w:rsid w:val="00C84D37"/>
    <w:rsid w:val="00C86188"/>
    <w:rsid w:val="00C86679"/>
    <w:rsid w:val="00C8739E"/>
    <w:rsid w:val="00C87CDD"/>
    <w:rsid w:val="00C9117C"/>
    <w:rsid w:val="00C915E4"/>
    <w:rsid w:val="00C94BD7"/>
    <w:rsid w:val="00CA0BE7"/>
    <w:rsid w:val="00CA182C"/>
    <w:rsid w:val="00CA489E"/>
    <w:rsid w:val="00CA6778"/>
    <w:rsid w:val="00CA67ED"/>
    <w:rsid w:val="00CA76D7"/>
    <w:rsid w:val="00CB0279"/>
    <w:rsid w:val="00CB1581"/>
    <w:rsid w:val="00CB3B8C"/>
    <w:rsid w:val="00CB666B"/>
    <w:rsid w:val="00CB7798"/>
    <w:rsid w:val="00CC596B"/>
    <w:rsid w:val="00CC6883"/>
    <w:rsid w:val="00CC7F1D"/>
    <w:rsid w:val="00CD03F9"/>
    <w:rsid w:val="00CD053A"/>
    <w:rsid w:val="00CD1B77"/>
    <w:rsid w:val="00CD2504"/>
    <w:rsid w:val="00CD5BB0"/>
    <w:rsid w:val="00CD7C16"/>
    <w:rsid w:val="00CE1FA6"/>
    <w:rsid w:val="00CE276E"/>
    <w:rsid w:val="00CE3785"/>
    <w:rsid w:val="00CE3D57"/>
    <w:rsid w:val="00CE484B"/>
    <w:rsid w:val="00CE5183"/>
    <w:rsid w:val="00CF30EC"/>
    <w:rsid w:val="00CF6177"/>
    <w:rsid w:val="00CF74AB"/>
    <w:rsid w:val="00CF77AF"/>
    <w:rsid w:val="00D006AE"/>
    <w:rsid w:val="00D01CF0"/>
    <w:rsid w:val="00D032C2"/>
    <w:rsid w:val="00D0442A"/>
    <w:rsid w:val="00D05480"/>
    <w:rsid w:val="00D1258B"/>
    <w:rsid w:val="00D14A77"/>
    <w:rsid w:val="00D1563D"/>
    <w:rsid w:val="00D1644C"/>
    <w:rsid w:val="00D1644F"/>
    <w:rsid w:val="00D17061"/>
    <w:rsid w:val="00D17709"/>
    <w:rsid w:val="00D23E07"/>
    <w:rsid w:val="00D2451B"/>
    <w:rsid w:val="00D27530"/>
    <w:rsid w:val="00D325B8"/>
    <w:rsid w:val="00D342A0"/>
    <w:rsid w:val="00D34F47"/>
    <w:rsid w:val="00D35567"/>
    <w:rsid w:val="00D37E3F"/>
    <w:rsid w:val="00D4458E"/>
    <w:rsid w:val="00D445D4"/>
    <w:rsid w:val="00D501A8"/>
    <w:rsid w:val="00D51030"/>
    <w:rsid w:val="00D51C34"/>
    <w:rsid w:val="00D5247B"/>
    <w:rsid w:val="00D54F60"/>
    <w:rsid w:val="00D61388"/>
    <w:rsid w:val="00D61A54"/>
    <w:rsid w:val="00D6283D"/>
    <w:rsid w:val="00D6334E"/>
    <w:rsid w:val="00D64AA3"/>
    <w:rsid w:val="00D64DEA"/>
    <w:rsid w:val="00D66FA8"/>
    <w:rsid w:val="00D7168E"/>
    <w:rsid w:val="00D71AF9"/>
    <w:rsid w:val="00D71E57"/>
    <w:rsid w:val="00D76994"/>
    <w:rsid w:val="00D77475"/>
    <w:rsid w:val="00D77F50"/>
    <w:rsid w:val="00D80893"/>
    <w:rsid w:val="00D8390F"/>
    <w:rsid w:val="00D84854"/>
    <w:rsid w:val="00D867B6"/>
    <w:rsid w:val="00D92CF1"/>
    <w:rsid w:val="00D92D38"/>
    <w:rsid w:val="00D950F5"/>
    <w:rsid w:val="00D95AAD"/>
    <w:rsid w:val="00D96D20"/>
    <w:rsid w:val="00D97D65"/>
    <w:rsid w:val="00DA08C6"/>
    <w:rsid w:val="00DA3163"/>
    <w:rsid w:val="00DA4752"/>
    <w:rsid w:val="00DA61F3"/>
    <w:rsid w:val="00DA6A65"/>
    <w:rsid w:val="00DB04B7"/>
    <w:rsid w:val="00DB0F93"/>
    <w:rsid w:val="00DB1A67"/>
    <w:rsid w:val="00DB2E19"/>
    <w:rsid w:val="00DB48C6"/>
    <w:rsid w:val="00DB5074"/>
    <w:rsid w:val="00DB5316"/>
    <w:rsid w:val="00DB6324"/>
    <w:rsid w:val="00DC5D3C"/>
    <w:rsid w:val="00DC6857"/>
    <w:rsid w:val="00DC797D"/>
    <w:rsid w:val="00DC7981"/>
    <w:rsid w:val="00DD12E4"/>
    <w:rsid w:val="00DD2F9E"/>
    <w:rsid w:val="00DD50B2"/>
    <w:rsid w:val="00DE1093"/>
    <w:rsid w:val="00DE1F37"/>
    <w:rsid w:val="00DE2533"/>
    <w:rsid w:val="00DE34D0"/>
    <w:rsid w:val="00DE3695"/>
    <w:rsid w:val="00DE4EFA"/>
    <w:rsid w:val="00DE5520"/>
    <w:rsid w:val="00DE563D"/>
    <w:rsid w:val="00DF3F5A"/>
    <w:rsid w:val="00E01991"/>
    <w:rsid w:val="00E04818"/>
    <w:rsid w:val="00E057CA"/>
    <w:rsid w:val="00E06442"/>
    <w:rsid w:val="00E07383"/>
    <w:rsid w:val="00E146D8"/>
    <w:rsid w:val="00E159A5"/>
    <w:rsid w:val="00E15ED9"/>
    <w:rsid w:val="00E16944"/>
    <w:rsid w:val="00E17C25"/>
    <w:rsid w:val="00E23993"/>
    <w:rsid w:val="00E23F25"/>
    <w:rsid w:val="00E25B8C"/>
    <w:rsid w:val="00E314E6"/>
    <w:rsid w:val="00E41735"/>
    <w:rsid w:val="00E43C30"/>
    <w:rsid w:val="00E44328"/>
    <w:rsid w:val="00E46C95"/>
    <w:rsid w:val="00E52F26"/>
    <w:rsid w:val="00E5308F"/>
    <w:rsid w:val="00E53C51"/>
    <w:rsid w:val="00E53F15"/>
    <w:rsid w:val="00E54AAE"/>
    <w:rsid w:val="00E61B75"/>
    <w:rsid w:val="00E6474D"/>
    <w:rsid w:val="00E65C85"/>
    <w:rsid w:val="00E66199"/>
    <w:rsid w:val="00E70883"/>
    <w:rsid w:val="00E717CD"/>
    <w:rsid w:val="00E73009"/>
    <w:rsid w:val="00E73C63"/>
    <w:rsid w:val="00E755EC"/>
    <w:rsid w:val="00E7624D"/>
    <w:rsid w:val="00E81602"/>
    <w:rsid w:val="00E834B7"/>
    <w:rsid w:val="00E84A5D"/>
    <w:rsid w:val="00E872B8"/>
    <w:rsid w:val="00E907CB"/>
    <w:rsid w:val="00E907E8"/>
    <w:rsid w:val="00E910B9"/>
    <w:rsid w:val="00E958E3"/>
    <w:rsid w:val="00E97452"/>
    <w:rsid w:val="00E976E0"/>
    <w:rsid w:val="00EA3D42"/>
    <w:rsid w:val="00EA6B1B"/>
    <w:rsid w:val="00EB19CC"/>
    <w:rsid w:val="00EB1C8E"/>
    <w:rsid w:val="00EB2A44"/>
    <w:rsid w:val="00EB2D70"/>
    <w:rsid w:val="00EB6123"/>
    <w:rsid w:val="00EB6E65"/>
    <w:rsid w:val="00EC04F1"/>
    <w:rsid w:val="00EC2382"/>
    <w:rsid w:val="00EC2D4D"/>
    <w:rsid w:val="00EC4834"/>
    <w:rsid w:val="00ED0E2D"/>
    <w:rsid w:val="00ED2A57"/>
    <w:rsid w:val="00ED4FB5"/>
    <w:rsid w:val="00ED7323"/>
    <w:rsid w:val="00EE1828"/>
    <w:rsid w:val="00EE28F3"/>
    <w:rsid w:val="00EE50D1"/>
    <w:rsid w:val="00EE6266"/>
    <w:rsid w:val="00EE75E3"/>
    <w:rsid w:val="00EF00E9"/>
    <w:rsid w:val="00EF4531"/>
    <w:rsid w:val="00EF4F24"/>
    <w:rsid w:val="00EF5110"/>
    <w:rsid w:val="00EF6D51"/>
    <w:rsid w:val="00EF6F52"/>
    <w:rsid w:val="00F00D47"/>
    <w:rsid w:val="00F01F65"/>
    <w:rsid w:val="00F058F8"/>
    <w:rsid w:val="00F05A73"/>
    <w:rsid w:val="00F0689C"/>
    <w:rsid w:val="00F10411"/>
    <w:rsid w:val="00F1438D"/>
    <w:rsid w:val="00F15882"/>
    <w:rsid w:val="00F164A3"/>
    <w:rsid w:val="00F16A92"/>
    <w:rsid w:val="00F171E0"/>
    <w:rsid w:val="00F20BD3"/>
    <w:rsid w:val="00F20FBC"/>
    <w:rsid w:val="00F21878"/>
    <w:rsid w:val="00F2330D"/>
    <w:rsid w:val="00F33D1C"/>
    <w:rsid w:val="00F34517"/>
    <w:rsid w:val="00F34E55"/>
    <w:rsid w:val="00F35EE0"/>
    <w:rsid w:val="00F373A5"/>
    <w:rsid w:val="00F41792"/>
    <w:rsid w:val="00F42CD2"/>
    <w:rsid w:val="00F44F45"/>
    <w:rsid w:val="00F45E80"/>
    <w:rsid w:val="00F461E0"/>
    <w:rsid w:val="00F46587"/>
    <w:rsid w:val="00F47331"/>
    <w:rsid w:val="00F47559"/>
    <w:rsid w:val="00F47DE3"/>
    <w:rsid w:val="00F53106"/>
    <w:rsid w:val="00F53F95"/>
    <w:rsid w:val="00F55369"/>
    <w:rsid w:val="00F55C0D"/>
    <w:rsid w:val="00F62B77"/>
    <w:rsid w:val="00F64C7B"/>
    <w:rsid w:val="00F6566E"/>
    <w:rsid w:val="00F6760F"/>
    <w:rsid w:val="00F676DD"/>
    <w:rsid w:val="00F72E42"/>
    <w:rsid w:val="00F73143"/>
    <w:rsid w:val="00F7353F"/>
    <w:rsid w:val="00F73F92"/>
    <w:rsid w:val="00F75A26"/>
    <w:rsid w:val="00F7610A"/>
    <w:rsid w:val="00F76706"/>
    <w:rsid w:val="00F773AB"/>
    <w:rsid w:val="00F80F4B"/>
    <w:rsid w:val="00F82CB7"/>
    <w:rsid w:val="00F83BFC"/>
    <w:rsid w:val="00F83FAD"/>
    <w:rsid w:val="00F8495F"/>
    <w:rsid w:val="00F85B03"/>
    <w:rsid w:val="00F85D06"/>
    <w:rsid w:val="00F85D0E"/>
    <w:rsid w:val="00F912D2"/>
    <w:rsid w:val="00F9425E"/>
    <w:rsid w:val="00F952A0"/>
    <w:rsid w:val="00F960AA"/>
    <w:rsid w:val="00F96387"/>
    <w:rsid w:val="00F9685D"/>
    <w:rsid w:val="00FA1959"/>
    <w:rsid w:val="00FA3C7F"/>
    <w:rsid w:val="00FA65C1"/>
    <w:rsid w:val="00FB24F8"/>
    <w:rsid w:val="00FB2E19"/>
    <w:rsid w:val="00FB60FE"/>
    <w:rsid w:val="00FB74E2"/>
    <w:rsid w:val="00FC3E3F"/>
    <w:rsid w:val="00FC539C"/>
    <w:rsid w:val="00FC5F8B"/>
    <w:rsid w:val="00FD5614"/>
    <w:rsid w:val="00FD5E55"/>
    <w:rsid w:val="00FD5E78"/>
    <w:rsid w:val="00FD5F0E"/>
    <w:rsid w:val="00FE0BE1"/>
    <w:rsid w:val="00FE1DE9"/>
    <w:rsid w:val="00FE36AF"/>
    <w:rsid w:val="00FE39C2"/>
    <w:rsid w:val="00FE3C32"/>
    <w:rsid w:val="00FE4367"/>
    <w:rsid w:val="00FE55BF"/>
    <w:rsid w:val="00FE64AE"/>
    <w:rsid w:val="00FF02A3"/>
    <w:rsid w:val="00FF2F52"/>
    <w:rsid w:val="00FF3F88"/>
    <w:rsid w:val="00FF60C5"/>
    <w:rsid w:val="00FF6860"/>
    <w:rsid w:val="00FF7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0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ind w:left="72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ind w:left="72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90117">
      <w:bodyDiv w:val="1"/>
      <w:marLeft w:val="0"/>
      <w:marRight w:val="0"/>
      <w:marTop w:val="0"/>
      <w:marBottom w:val="0"/>
      <w:divBdr>
        <w:top w:val="none" w:sz="0" w:space="0" w:color="auto"/>
        <w:left w:val="none" w:sz="0" w:space="0" w:color="auto"/>
        <w:bottom w:val="none" w:sz="0" w:space="0" w:color="auto"/>
        <w:right w:val="none" w:sz="0" w:space="0" w:color="auto"/>
      </w:divBdr>
    </w:div>
    <w:div w:id="247689156">
      <w:bodyDiv w:val="1"/>
      <w:marLeft w:val="0"/>
      <w:marRight w:val="0"/>
      <w:marTop w:val="0"/>
      <w:marBottom w:val="0"/>
      <w:divBdr>
        <w:top w:val="none" w:sz="0" w:space="0" w:color="auto"/>
        <w:left w:val="none" w:sz="0" w:space="0" w:color="auto"/>
        <w:bottom w:val="none" w:sz="0" w:space="0" w:color="auto"/>
        <w:right w:val="none" w:sz="0" w:space="0" w:color="auto"/>
      </w:divBdr>
    </w:div>
    <w:div w:id="360588448">
      <w:bodyDiv w:val="1"/>
      <w:marLeft w:val="0"/>
      <w:marRight w:val="0"/>
      <w:marTop w:val="0"/>
      <w:marBottom w:val="0"/>
      <w:divBdr>
        <w:top w:val="none" w:sz="0" w:space="0" w:color="auto"/>
        <w:left w:val="none" w:sz="0" w:space="0" w:color="auto"/>
        <w:bottom w:val="none" w:sz="0" w:space="0" w:color="auto"/>
        <w:right w:val="none" w:sz="0" w:space="0" w:color="auto"/>
      </w:divBdr>
    </w:div>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554581202">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22606602">
      <w:bodyDiv w:val="1"/>
      <w:marLeft w:val="0"/>
      <w:marRight w:val="0"/>
      <w:marTop w:val="0"/>
      <w:marBottom w:val="0"/>
      <w:divBdr>
        <w:top w:val="none" w:sz="0" w:space="0" w:color="auto"/>
        <w:left w:val="none" w:sz="0" w:space="0" w:color="auto"/>
        <w:bottom w:val="none" w:sz="0" w:space="0" w:color="auto"/>
        <w:right w:val="none" w:sz="0" w:space="0" w:color="auto"/>
      </w:divBdr>
    </w:div>
    <w:div w:id="769474690">
      <w:bodyDiv w:val="1"/>
      <w:marLeft w:val="0"/>
      <w:marRight w:val="0"/>
      <w:marTop w:val="0"/>
      <w:marBottom w:val="0"/>
      <w:divBdr>
        <w:top w:val="none" w:sz="0" w:space="0" w:color="auto"/>
        <w:left w:val="none" w:sz="0" w:space="0" w:color="auto"/>
        <w:bottom w:val="none" w:sz="0" w:space="0" w:color="auto"/>
        <w:right w:val="none" w:sz="0" w:space="0" w:color="auto"/>
      </w:divBdr>
    </w:div>
    <w:div w:id="97795271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79156318">
      <w:bodyDiv w:val="1"/>
      <w:marLeft w:val="0"/>
      <w:marRight w:val="0"/>
      <w:marTop w:val="0"/>
      <w:marBottom w:val="0"/>
      <w:divBdr>
        <w:top w:val="none" w:sz="0" w:space="0" w:color="auto"/>
        <w:left w:val="none" w:sz="0" w:space="0" w:color="auto"/>
        <w:bottom w:val="none" w:sz="0" w:space="0" w:color="auto"/>
        <w:right w:val="none" w:sz="0" w:space="0" w:color="auto"/>
      </w:divBdr>
    </w:div>
    <w:div w:id="1543901972">
      <w:bodyDiv w:val="1"/>
      <w:marLeft w:val="0"/>
      <w:marRight w:val="0"/>
      <w:marTop w:val="0"/>
      <w:marBottom w:val="0"/>
      <w:divBdr>
        <w:top w:val="none" w:sz="0" w:space="0" w:color="auto"/>
        <w:left w:val="none" w:sz="0" w:space="0" w:color="auto"/>
        <w:bottom w:val="none" w:sz="0" w:space="0" w:color="auto"/>
        <w:right w:val="none" w:sz="0" w:space="0" w:color="auto"/>
      </w:divBdr>
    </w:div>
    <w:div w:id="1634797443">
      <w:bodyDiv w:val="1"/>
      <w:marLeft w:val="0"/>
      <w:marRight w:val="0"/>
      <w:marTop w:val="0"/>
      <w:marBottom w:val="0"/>
      <w:divBdr>
        <w:top w:val="none" w:sz="0" w:space="0" w:color="auto"/>
        <w:left w:val="none" w:sz="0" w:space="0" w:color="auto"/>
        <w:bottom w:val="none" w:sz="0" w:space="0" w:color="auto"/>
        <w:right w:val="none" w:sz="0" w:space="0" w:color="auto"/>
      </w:divBdr>
    </w:div>
    <w:div w:id="1685549666">
      <w:bodyDiv w:val="1"/>
      <w:marLeft w:val="0"/>
      <w:marRight w:val="0"/>
      <w:marTop w:val="0"/>
      <w:marBottom w:val="0"/>
      <w:divBdr>
        <w:top w:val="none" w:sz="0" w:space="0" w:color="auto"/>
        <w:left w:val="none" w:sz="0" w:space="0" w:color="auto"/>
        <w:bottom w:val="none" w:sz="0" w:space="0" w:color="auto"/>
        <w:right w:val="none" w:sz="0" w:space="0" w:color="auto"/>
      </w:divBdr>
    </w:div>
    <w:div w:id="193705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yperlink" Target="http://www.ausnetservices.com.au/CA257D1D007678E1/Lookup/Projects2/$file/TCPR%20TSDemandForecast.xlsx"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3.em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www.aer.gov.au/system/files/Copy%20of%20D14%2068840%28V3%29%20%20SP%20AusNet%20%28T%29%202006-13%20-%20Economic%20Benchmarking%20RIN%20-%20Templates%20consolidated%20-%20%28as%20Updated%2026%20September%29%20-%2029%20April%202014%20-%20PUBLIC.xlsx" TargetMode="Externa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8.png"/><Relationship Id="rId32" Type="http://schemas.openxmlformats.org/officeDocument/2006/relationships/hyperlink" Target="http://www.aer.gov.au/system/files/Copy%20of%20D14%2068840%28V3%29%20%20SP%20AusNet%20%28T%29%202006-13%20-%20Economic%20Benchmarking%20RIN%20-%20Templates%20consolidated%20-%20%28as%20Updated%2026%20September%29%20-%2029%20April%202014%20-%20PUBLIC.xlsx" TargetMode="External"/><Relationship Id="rId37" Type="http://schemas.openxmlformats.org/officeDocument/2006/relationships/hyperlink" Target="http://www.ausnetservices.com.au/CA257D1D007678E1/Lookup/Projects2/$file/TCPR%20TSDemandForecast.xlsx" TargetMode="External"/><Relationship Id="rId40" Type="http://schemas.openxmlformats.org/officeDocument/2006/relationships/image" Target="media/image17.em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1.jpeg"/><Relationship Id="rId36"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image" Target="media/image3.emf"/><Relationship Id="rId31" Type="http://schemas.openxmlformats.org/officeDocument/2006/relationships/hyperlink" Target="http://www.aer.gov.au/system/files/Copy%20of%20D14%2068840%28V3%29%20%20SP%20AusNet%20%28T%29%202006-13%20-%20Economic%20Benchmarking%20RIN%20-%20Templates%20consolidated%20-%20%28as%20Updated%2026%20September%29%20-%2029%20April%202014%20-%20PUBLIC.xls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cid:image003.png@01D1C195.DB07BBA0" TargetMode="External"/><Relationship Id="rId30" Type="http://schemas.openxmlformats.org/officeDocument/2006/relationships/hyperlink" Target="http://www.aer.gov.au/system/files/Copy%20of%20D14%2068840%28V3%29%20%20SP%20AusNet%20%28T%29%202006-13%20-%20Economic%20Benchmarking%20RIN%20-%20Templates%20consolidated%20-%20%28as%20Updated%2026%20September%29%20-%2029%20April%202014%20-%20PUBLIC.xlsx" TargetMode="External"/><Relationship Id="rId35" Type="http://schemas.openxmlformats.org/officeDocument/2006/relationships/image" Target="media/image14.emf"/></Relationships>
</file>

<file path=word/_rels/footnotes.xml.rels><?xml version="1.0" encoding="UTF-8" standalone="yes"?>
<Relationships xmlns="http://schemas.openxmlformats.org/package/2006/relationships"><Relationship Id="rId2" Type="http://schemas.openxmlformats.org/officeDocument/2006/relationships/hyperlink" Target="http://www.aer.gov.au/system/files/Copy%20of%20D15%20113122%20%20AusNet%20Services%20%28T%29%20-%202014-15%20-%20Category%20Analysis%20-%20TEMPLATES%20-%20Public_0.xlsm" TargetMode="External"/><Relationship Id="rId1" Type="http://schemas.openxmlformats.org/officeDocument/2006/relationships/hyperlink" Target="http://www.aer.gov.au/system/files/Copy%20of%20D15%20113122%20%20AusNet%20Services%20%28T%29%20-%202014-15%20-%20Category%20Analysis%20-%20TEMPLATES%20-%20Public_0.xlsm"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D39213-044B-44D9-9F20-18A5B9625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2C05EBFB</Template>
  <TotalTime>0</TotalTime>
  <Pages>86</Pages>
  <Words>25704</Words>
  <Characters>146514</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AusNet Services 2017-22 - Draft decision - Attachment 6 - Capital expenditure</vt:lpstr>
    </vt:vector>
  </TitlesOfParts>
  <LinksUpToDate>false</LinksUpToDate>
  <CharactersWithSpaces>171875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AusNet Services 2017-22 - Draft decision - Attachment 6 - Capital expenditure</dc:title>
  <dc:creator/>
  <cp:lastModifiedBy/>
  <cp:revision>1</cp:revision>
  <dcterms:created xsi:type="dcterms:W3CDTF">2016-07-18T02:38:00Z</dcterms:created>
  <dcterms:modified xsi:type="dcterms:W3CDTF">2016-07-19T04:24:00Z</dcterms:modified>
</cp:coreProperties>
</file>