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5518C2" w:rsidP="00390585">
          <w:pPr>
            <w:tabs>
              <w:tab w:val="left" w:pos="4395"/>
            </w:tabs>
          </w:pPr>
          <w:r w:rsidRPr="009D33B1">
            <w:rPr>
              <w:noProof/>
              <w:lang w:eastAsia="en-AU"/>
            </w:rPr>
            <w:drawing>
              <wp:anchor distT="0" distB="0" distL="114300" distR="114300" simplePos="0" relativeHeight="251661312" behindDoc="1" locked="0" layoutInCell="1" allowOverlap="1" wp14:anchorId="1C85FEBD" wp14:editId="5B8A51FB">
                <wp:simplePos x="0" y="0"/>
                <wp:positionH relativeFrom="column">
                  <wp:posOffset>-1097915</wp:posOffset>
                </wp:positionH>
                <wp:positionV relativeFrom="paragraph">
                  <wp:posOffset>-925830</wp:posOffset>
                </wp:positionV>
                <wp:extent cx="7572375" cy="107035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F646E5" w:rsidP="008F07A3">
          <w:pPr>
            <w:pStyle w:val="ReportSubtitle"/>
          </w:pPr>
          <w:r>
            <w:t>2017–18 to 2021–22</w:t>
          </w:r>
          <w:r w:rsidR="00DA4752">
            <w:t xml:space="preserve"> </w:t>
          </w:r>
        </w:p>
        <w:p w:rsidR="008F07A3" w:rsidRPr="000A6C7B" w:rsidRDefault="008F07A3" w:rsidP="008F07A3">
          <w:pPr>
            <w:pStyle w:val="ReportSubtitle"/>
          </w:pPr>
        </w:p>
        <w:p w:rsidR="000A6C7B" w:rsidRPr="000A6C7B" w:rsidRDefault="00390585" w:rsidP="008F07A3">
          <w:pPr>
            <w:pStyle w:val="ReportSubtitle"/>
          </w:pPr>
          <w:r>
            <w:t>Attachment 7</w:t>
          </w:r>
          <w:r w:rsidR="00DA4752">
            <w:t xml:space="preserve"> </w:t>
          </w:r>
          <w:r w:rsidR="00415F31">
            <w:rPr>
              <w:rFonts w:cs="Arial"/>
            </w:rPr>
            <w:t>–</w:t>
          </w:r>
          <w:r w:rsidR="00DA4752">
            <w:t xml:space="preserve"> </w:t>
          </w:r>
          <w:r>
            <w:t>Operating expenditure</w:t>
          </w:r>
        </w:p>
        <w:p w:rsidR="00B9733D" w:rsidRDefault="00B9733D" w:rsidP="00327A1E">
          <w:pPr>
            <w:pStyle w:val="ReportDate"/>
          </w:pPr>
        </w:p>
        <w:p w:rsidR="000A6C7B" w:rsidRPr="00865DDD" w:rsidRDefault="00865DDD" w:rsidP="00865DDD">
          <w:pPr>
            <w:pStyle w:val="ReportDate"/>
          </w:pPr>
          <w:r>
            <w:t>July 2</w:t>
          </w:r>
          <w:r w:rsidR="00DA4752" w:rsidRPr="00865DDD">
            <w:t>01</w:t>
          </w:r>
          <w:r w:rsidR="00B9733D" w:rsidRPr="00865DDD">
            <w:t>6</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B9562D" w:rsidRDefault="000A6C7B" w:rsidP="00B9562D">
      <w:pPr>
        <w:pStyle w:val="Copyright"/>
      </w:pPr>
      <w:r>
        <w:t xml:space="preserve">Tel: </w:t>
      </w:r>
      <w:r w:rsidR="00293243">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2C1039">
      <w:pPr>
        <w:pStyle w:val="UnnumberedHeading"/>
        <w:numPr>
          <w:ilvl w:val="0"/>
          <w:numId w:val="23"/>
        </w:numPr>
      </w:pPr>
      <w:bookmarkStart w:id="4" w:name="_Toc453172477"/>
      <w:bookmarkStart w:id="5" w:name="_Toc456601951"/>
      <w:r>
        <w:lastRenderedPageBreak/>
        <w:t>N</w:t>
      </w:r>
      <w:r w:rsidR="008F07A3">
        <w:t>ote</w:t>
      </w:r>
      <w:bookmarkEnd w:id="0"/>
      <w:bookmarkEnd w:id="1"/>
      <w:bookmarkEnd w:id="2"/>
      <w:bookmarkEnd w:id="3"/>
      <w:bookmarkEnd w:id="4"/>
      <w:bookmarkEnd w:id="5"/>
    </w:p>
    <w:p w:rsidR="00415F31" w:rsidRDefault="00415F31" w:rsidP="002C1039">
      <w:pPr>
        <w:numPr>
          <w:ilvl w:val="0"/>
          <w:numId w:val="24"/>
        </w:numPr>
        <w:spacing w:before="0" w:after="240" w:line="288" w:lineRule="auto"/>
        <w:jc w:val="both"/>
      </w:pPr>
    </w:p>
    <w:p w:rsidR="00415F31" w:rsidRDefault="008F07A3" w:rsidP="002C1039">
      <w:pPr>
        <w:numPr>
          <w:ilvl w:val="0"/>
          <w:numId w:val="24"/>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2C1039">
      <w:pPr>
        <w:numPr>
          <w:ilvl w:val="0"/>
          <w:numId w:val="24"/>
        </w:numPr>
        <w:spacing w:before="0" w:after="240" w:line="288" w:lineRule="auto"/>
        <w:jc w:val="both"/>
      </w:pPr>
      <w:r>
        <w:t xml:space="preserve">The </w:t>
      </w:r>
      <w:r w:rsidR="000B321F">
        <w:t>draft</w:t>
      </w:r>
      <w:r>
        <w:t xml:space="preserve"> decision includes the following documents:</w:t>
      </w:r>
    </w:p>
    <w:p w:rsidR="00415F31" w:rsidRDefault="00415F31" w:rsidP="002C1039">
      <w:pPr>
        <w:numPr>
          <w:ilvl w:val="0"/>
          <w:numId w:val="24"/>
        </w:numPr>
        <w:spacing w:before="0" w:after="240" w:line="288" w:lineRule="auto"/>
        <w:jc w:val="both"/>
      </w:pPr>
      <w:r>
        <w:t>Overview</w:t>
      </w:r>
    </w:p>
    <w:p w:rsidR="00415F31" w:rsidRDefault="00415F31" w:rsidP="002C1039">
      <w:pPr>
        <w:numPr>
          <w:ilvl w:val="0"/>
          <w:numId w:val="24"/>
        </w:numPr>
        <w:spacing w:before="0" w:after="240" w:line="288" w:lineRule="auto"/>
        <w:jc w:val="both"/>
      </w:pPr>
      <w:r>
        <w:t>Attachment 1 – maximum allowed revenue</w:t>
      </w:r>
    </w:p>
    <w:p w:rsidR="00415F31" w:rsidRDefault="00415F31" w:rsidP="002C1039">
      <w:pPr>
        <w:numPr>
          <w:ilvl w:val="0"/>
          <w:numId w:val="24"/>
        </w:numPr>
        <w:spacing w:before="0" w:after="240" w:line="288" w:lineRule="auto"/>
        <w:jc w:val="both"/>
      </w:pPr>
      <w:r>
        <w:t>Attachment 2 – regulatory asset base</w:t>
      </w:r>
    </w:p>
    <w:p w:rsidR="00415F31" w:rsidRDefault="00415F31" w:rsidP="002C1039">
      <w:pPr>
        <w:numPr>
          <w:ilvl w:val="0"/>
          <w:numId w:val="24"/>
        </w:numPr>
        <w:spacing w:before="0" w:after="240" w:line="288" w:lineRule="auto"/>
        <w:jc w:val="both"/>
      </w:pPr>
      <w:r>
        <w:t>Attachment 3 – rate of return</w:t>
      </w:r>
    </w:p>
    <w:p w:rsidR="00415F31" w:rsidRDefault="00415F31" w:rsidP="002C1039">
      <w:pPr>
        <w:numPr>
          <w:ilvl w:val="0"/>
          <w:numId w:val="24"/>
        </w:numPr>
        <w:spacing w:before="0" w:after="240" w:line="288" w:lineRule="auto"/>
        <w:jc w:val="both"/>
      </w:pPr>
      <w:r>
        <w:t>Attachment 4 – value of imputation credits</w:t>
      </w:r>
    </w:p>
    <w:p w:rsidR="00415F31" w:rsidRDefault="00415F31" w:rsidP="002C1039">
      <w:pPr>
        <w:numPr>
          <w:ilvl w:val="0"/>
          <w:numId w:val="24"/>
        </w:numPr>
        <w:spacing w:before="0" w:after="240" w:line="288" w:lineRule="auto"/>
        <w:jc w:val="both"/>
      </w:pPr>
      <w:r>
        <w:t>Attachment 5 – regulatory depreciation</w:t>
      </w:r>
    </w:p>
    <w:p w:rsidR="00415F31" w:rsidRDefault="00415F31" w:rsidP="002C1039">
      <w:pPr>
        <w:numPr>
          <w:ilvl w:val="0"/>
          <w:numId w:val="24"/>
        </w:numPr>
        <w:spacing w:before="0" w:after="240" w:line="288" w:lineRule="auto"/>
        <w:jc w:val="both"/>
      </w:pPr>
      <w:r>
        <w:t xml:space="preserve">Attachment 6 – capital expenditure </w:t>
      </w:r>
    </w:p>
    <w:p w:rsidR="00415F31" w:rsidRDefault="00415F31" w:rsidP="002C1039">
      <w:pPr>
        <w:numPr>
          <w:ilvl w:val="0"/>
          <w:numId w:val="24"/>
        </w:numPr>
        <w:spacing w:before="0" w:after="240" w:line="288" w:lineRule="auto"/>
        <w:jc w:val="both"/>
      </w:pPr>
      <w:r>
        <w:t>Attachment 7 – operating expenditure</w:t>
      </w:r>
    </w:p>
    <w:p w:rsidR="00415F31" w:rsidRDefault="00415F31" w:rsidP="002C1039">
      <w:pPr>
        <w:numPr>
          <w:ilvl w:val="0"/>
          <w:numId w:val="24"/>
        </w:numPr>
        <w:spacing w:before="0" w:after="240" w:line="288" w:lineRule="auto"/>
        <w:jc w:val="both"/>
      </w:pPr>
      <w:r>
        <w:t>Attachment 8 – corporate income tax</w:t>
      </w:r>
    </w:p>
    <w:p w:rsidR="00415F31" w:rsidRDefault="00415F31" w:rsidP="002C1039">
      <w:pPr>
        <w:numPr>
          <w:ilvl w:val="0"/>
          <w:numId w:val="24"/>
        </w:numPr>
        <w:spacing w:before="0" w:after="240" w:line="288" w:lineRule="auto"/>
        <w:jc w:val="both"/>
      </w:pPr>
      <w:r>
        <w:t>Attachment 9 – efficiency benefit sharing scheme</w:t>
      </w:r>
    </w:p>
    <w:p w:rsidR="00415F31" w:rsidRDefault="00415F31" w:rsidP="002C1039">
      <w:pPr>
        <w:numPr>
          <w:ilvl w:val="0"/>
          <w:numId w:val="24"/>
        </w:numPr>
        <w:spacing w:before="0" w:after="240" w:line="288" w:lineRule="auto"/>
        <w:jc w:val="both"/>
      </w:pPr>
      <w:r>
        <w:t>Attachment 10 – capital expenditure sharing scheme</w:t>
      </w:r>
    </w:p>
    <w:p w:rsidR="00415F31" w:rsidRDefault="00415F31" w:rsidP="002C1039">
      <w:pPr>
        <w:numPr>
          <w:ilvl w:val="0"/>
          <w:numId w:val="24"/>
        </w:numPr>
        <w:spacing w:before="0" w:after="240" w:line="288" w:lineRule="auto"/>
        <w:jc w:val="both"/>
      </w:pPr>
      <w:r>
        <w:t>Attachment 11 – service target performance incentive scheme</w:t>
      </w:r>
    </w:p>
    <w:p w:rsidR="00415F31" w:rsidRPr="00D904FA" w:rsidRDefault="00415F31" w:rsidP="002C1039">
      <w:pPr>
        <w:numPr>
          <w:ilvl w:val="0"/>
          <w:numId w:val="24"/>
        </w:numPr>
        <w:spacing w:before="0" w:after="240" w:line="288" w:lineRule="auto"/>
        <w:jc w:val="both"/>
      </w:pPr>
      <w:r>
        <w:t xml:space="preserve">Attachment 12 – </w:t>
      </w:r>
      <w:r w:rsidRPr="00D904FA">
        <w:t>pricing methodology</w:t>
      </w:r>
    </w:p>
    <w:p w:rsidR="00415F31" w:rsidRPr="00D904FA" w:rsidRDefault="00415F31" w:rsidP="002C1039">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2C1039">
      <w:pPr>
        <w:numPr>
          <w:ilvl w:val="0"/>
          <w:numId w:val="24"/>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2C1039">
      <w:pPr>
        <w:pStyle w:val="UnnumberedHeading"/>
        <w:numPr>
          <w:ilvl w:val="0"/>
          <w:numId w:val="23"/>
        </w:numPr>
      </w:pPr>
      <w:bookmarkStart w:id="6" w:name="_Toc403144133"/>
      <w:bookmarkStart w:id="7" w:name="_Toc453172478"/>
      <w:bookmarkStart w:id="8" w:name="_Toc456601952"/>
      <w:r>
        <w:lastRenderedPageBreak/>
        <w:t>Contents</w:t>
      </w:r>
      <w:bookmarkEnd w:id="6"/>
      <w:bookmarkEnd w:id="7"/>
      <w:bookmarkEnd w:id="8"/>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DA67AB"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1951" w:history="1">
            <w:r w:rsidR="00DA67AB" w:rsidRPr="00957CE8">
              <w:rPr>
                <w:rStyle w:val="Hyperlink"/>
              </w:rPr>
              <w:t>Note</w:t>
            </w:r>
            <w:r w:rsidR="00DA67AB">
              <w:rPr>
                <w:webHidden/>
              </w:rPr>
              <w:tab/>
            </w:r>
            <w:r w:rsidR="00DA67AB">
              <w:rPr>
                <w:webHidden/>
              </w:rPr>
              <w:fldChar w:fldCharType="begin"/>
            </w:r>
            <w:r w:rsidR="00DA67AB">
              <w:rPr>
                <w:webHidden/>
              </w:rPr>
              <w:instrText xml:space="preserve"> PAGEREF _Toc456601951 \h </w:instrText>
            </w:r>
            <w:r w:rsidR="00DA67AB">
              <w:rPr>
                <w:webHidden/>
              </w:rPr>
            </w:r>
            <w:r w:rsidR="00DA67AB">
              <w:rPr>
                <w:webHidden/>
              </w:rPr>
              <w:fldChar w:fldCharType="separate"/>
            </w:r>
            <w:r w:rsidR="00740726">
              <w:rPr>
                <w:webHidden/>
              </w:rPr>
              <w:t>7-2</w:t>
            </w:r>
            <w:r w:rsidR="00DA67AB">
              <w:rPr>
                <w:webHidden/>
              </w:rPr>
              <w:fldChar w:fldCharType="end"/>
            </w:r>
          </w:hyperlink>
        </w:p>
        <w:p w:rsidR="00DA67AB" w:rsidRDefault="00F64824">
          <w:pPr>
            <w:pStyle w:val="TOC1"/>
            <w:rPr>
              <w:rFonts w:asciiTheme="minorHAnsi" w:eastAsiaTheme="minorEastAsia" w:hAnsiTheme="minorHAnsi"/>
              <w:b w:val="0"/>
              <w:color w:val="auto"/>
              <w:sz w:val="22"/>
              <w:lang w:val="en-AU" w:eastAsia="en-AU"/>
            </w:rPr>
          </w:pPr>
          <w:hyperlink w:anchor="_Toc456601952" w:history="1">
            <w:r w:rsidR="00DA67AB" w:rsidRPr="00957CE8">
              <w:rPr>
                <w:rStyle w:val="Hyperlink"/>
              </w:rPr>
              <w:t>Contents</w:t>
            </w:r>
            <w:r w:rsidR="00DA67AB">
              <w:rPr>
                <w:webHidden/>
              </w:rPr>
              <w:tab/>
            </w:r>
            <w:r w:rsidR="00DA67AB">
              <w:rPr>
                <w:webHidden/>
              </w:rPr>
              <w:fldChar w:fldCharType="begin"/>
            </w:r>
            <w:r w:rsidR="00DA67AB">
              <w:rPr>
                <w:webHidden/>
              </w:rPr>
              <w:instrText xml:space="preserve"> PAGEREF _Toc456601952 \h </w:instrText>
            </w:r>
            <w:r w:rsidR="00DA67AB">
              <w:rPr>
                <w:webHidden/>
              </w:rPr>
            </w:r>
            <w:r w:rsidR="00DA67AB">
              <w:rPr>
                <w:webHidden/>
              </w:rPr>
              <w:fldChar w:fldCharType="separate"/>
            </w:r>
            <w:r w:rsidR="00740726">
              <w:rPr>
                <w:webHidden/>
              </w:rPr>
              <w:t>7-3</w:t>
            </w:r>
            <w:r w:rsidR="00DA67AB">
              <w:rPr>
                <w:webHidden/>
              </w:rPr>
              <w:fldChar w:fldCharType="end"/>
            </w:r>
          </w:hyperlink>
        </w:p>
        <w:p w:rsidR="00DA67AB" w:rsidRDefault="00F64824">
          <w:pPr>
            <w:pStyle w:val="TOC1"/>
            <w:rPr>
              <w:rFonts w:asciiTheme="minorHAnsi" w:eastAsiaTheme="minorEastAsia" w:hAnsiTheme="minorHAnsi"/>
              <w:b w:val="0"/>
              <w:color w:val="auto"/>
              <w:sz w:val="22"/>
              <w:lang w:val="en-AU" w:eastAsia="en-AU"/>
            </w:rPr>
          </w:pPr>
          <w:hyperlink w:anchor="_Toc456601953" w:history="1">
            <w:r w:rsidR="00DA67AB" w:rsidRPr="00957CE8">
              <w:rPr>
                <w:rStyle w:val="Hyperlink"/>
              </w:rPr>
              <w:t>Shortened forms</w:t>
            </w:r>
            <w:r w:rsidR="00DA67AB">
              <w:rPr>
                <w:webHidden/>
              </w:rPr>
              <w:tab/>
            </w:r>
            <w:r w:rsidR="00DA67AB">
              <w:rPr>
                <w:webHidden/>
              </w:rPr>
              <w:fldChar w:fldCharType="begin"/>
            </w:r>
            <w:r w:rsidR="00DA67AB">
              <w:rPr>
                <w:webHidden/>
              </w:rPr>
              <w:instrText xml:space="preserve"> PAGEREF _Toc456601953 \h </w:instrText>
            </w:r>
            <w:r w:rsidR="00DA67AB">
              <w:rPr>
                <w:webHidden/>
              </w:rPr>
            </w:r>
            <w:r w:rsidR="00DA67AB">
              <w:rPr>
                <w:webHidden/>
              </w:rPr>
              <w:fldChar w:fldCharType="separate"/>
            </w:r>
            <w:r w:rsidR="00740726">
              <w:rPr>
                <w:webHidden/>
              </w:rPr>
              <w:t>7-6</w:t>
            </w:r>
            <w:r w:rsidR="00DA67AB">
              <w:rPr>
                <w:webHidden/>
              </w:rPr>
              <w:fldChar w:fldCharType="end"/>
            </w:r>
          </w:hyperlink>
        </w:p>
        <w:p w:rsidR="00DA67AB" w:rsidRDefault="00F64824">
          <w:pPr>
            <w:pStyle w:val="TOC1"/>
            <w:rPr>
              <w:rFonts w:asciiTheme="minorHAnsi" w:eastAsiaTheme="minorEastAsia" w:hAnsiTheme="minorHAnsi"/>
              <w:b w:val="0"/>
              <w:color w:val="auto"/>
              <w:sz w:val="22"/>
              <w:lang w:val="en-AU" w:eastAsia="en-AU"/>
            </w:rPr>
          </w:pPr>
          <w:hyperlink w:anchor="_Toc456601954" w:history="1">
            <w:r w:rsidR="00DA67AB" w:rsidRPr="00957CE8">
              <w:rPr>
                <w:rStyle w:val="Hyperlink"/>
              </w:rPr>
              <w:t>7</w:t>
            </w:r>
            <w:r w:rsidR="00DA67AB">
              <w:rPr>
                <w:rFonts w:asciiTheme="minorHAnsi" w:eastAsiaTheme="minorEastAsia" w:hAnsiTheme="minorHAnsi"/>
                <w:b w:val="0"/>
                <w:color w:val="auto"/>
                <w:sz w:val="22"/>
                <w:lang w:val="en-AU" w:eastAsia="en-AU"/>
              </w:rPr>
              <w:tab/>
            </w:r>
            <w:r w:rsidR="00DA67AB" w:rsidRPr="00957CE8">
              <w:rPr>
                <w:rStyle w:val="Hyperlink"/>
              </w:rPr>
              <w:t>Operating expenditure</w:t>
            </w:r>
            <w:r w:rsidR="00DA67AB">
              <w:rPr>
                <w:webHidden/>
              </w:rPr>
              <w:tab/>
            </w:r>
            <w:r w:rsidR="00DA67AB">
              <w:rPr>
                <w:webHidden/>
              </w:rPr>
              <w:fldChar w:fldCharType="begin"/>
            </w:r>
            <w:r w:rsidR="00DA67AB">
              <w:rPr>
                <w:webHidden/>
              </w:rPr>
              <w:instrText xml:space="preserve"> PAGEREF _Toc456601954 \h </w:instrText>
            </w:r>
            <w:r w:rsidR="00DA67AB">
              <w:rPr>
                <w:webHidden/>
              </w:rPr>
            </w:r>
            <w:r w:rsidR="00DA67AB">
              <w:rPr>
                <w:webHidden/>
              </w:rPr>
              <w:fldChar w:fldCharType="separate"/>
            </w:r>
            <w:r w:rsidR="00740726">
              <w:rPr>
                <w:webHidden/>
              </w:rPr>
              <w:t>7-8</w:t>
            </w:r>
            <w:r w:rsidR="00DA67AB">
              <w:rPr>
                <w:webHidden/>
              </w:rPr>
              <w:fldChar w:fldCharType="end"/>
            </w:r>
          </w:hyperlink>
        </w:p>
        <w:p w:rsidR="00DA67AB" w:rsidRDefault="00F64824">
          <w:pPr>
            <w:pStyle w:val="TOC2"/>
            <w:rPr>
              <w:rFonts w:asciiTheme="minorHAnsi" w:eastAsiaTheme="minorEastAsia" w:hAnsiTheme="minorHAnsi"/>
              <w:b w:val="0"/>
              <w:color w:val="auto"/>
              <w:sz w:val="22"/>
              <w:lang w:eastAsia="en-AU"/>
            </w:rPr>
          </w:pPr>
          <w:hyperlink w:anchor="_Toc456601955" w:history="1">
            <w:r w:rsidR="00DA67AB" w:rsidRPr="00957CE8">
              <w:rPr>
                <w:rStyle w:val="Hyperlink"/>
              </w:rPr>
              <w:t>7.1</w:t>
            </w:r>
            <w:r w:rsidR="00DA67AB">
              <w:rPr>
                <w:rFonts w:asciiTheme="minorHAnsi" w:eastAsiaTheme="minorEastAsia" w:hAnsiTheme="minorHAnsi"/>
                <w:b w:val="0"/>
                <w:color w:val="auto"/>
                <w:sz w:val="22"/>
                <w:lang w:eastAsia="en-AU"/>
              </w:rPr>
              <w:tab/>
            </w:r>
            <w:r w:rsidR="00DA67AB" w:rsidRPr="00957CE8">
              <w:rPr>
                <w:rStyle w:val="Hyperlink"/>
              </w:rPr>
              <w:t>Draft decision</w:t>
            </w:r>
            <w:r w:rsidR="00DA67AB">
              <w:rPr>
                <w:webHidden/>
              </w:rPr>
              <w:tab/>
            </w:r>
            <w:r w:rsidR="00DA67AB">
              <w:rPr>
                <w:webHidden/>
              </w:rPr>
              <w:fldChar w:fldCharType="begin"/>
            </w:r>
            <w:r w:rsidR="00DA67AB">
              <w:rPr>
                <w:webHidden/>
              </w:rPr>
              <w:instrText xml:space="preserve"> PAGEREF _Toc456601955 \h </w:instrText>
            </w:r>
            <w:r w:rsidR="00DA67AB">
              <w:rPr>
                <w:webHidden/>
              </w:rPr>
            </w:r>
            <w:r w:rsidR="00DA67AB">
              <w:rPr>
                <w:webHidden/>
              </w:rPr>
              <w:fldChar w:fldCharType="separate"/>
            </w:r>
            <w:r w:rsidR="00740726">
              <w:rPr>
                <w:webHidden/>
              </w:rPr>
              <w:t>7-8</w:t>
            </w:r>
            <w:r w:rsidR="00DA67AB">
              <w:rPr>
                <w:webHidden/>
              </w:rPr>
              <w:fldChar w:fldCharType="end"/>
            </w:r>
          </w:hyperlink>
        </w:p>
        <w:p w:rsidR="00DA67AB" w:rsidRDefault="00F64824">
          <w:pPr>
            <w:pStyle w:val="TOC2"/>
            <w:rPr>
              <w:rFonts w:asciiTheme="minorHAnsi" w:eastAsiaTheme="minorEastAsia" w:hAnsiTheme="minorHAnsi"/>
              <w:b w:val="0"/>
              <w:color w:val="auto"/>
              <w:sz w:val="22"/>
              <w:lang w:eastAsia="en-AU"/>
            </w:rPr>
          </w:pPr>
          <w:hyperlink w:anchor="_Toc456601956" w:history="1">
            <w:r w:rsidR="00DA67AB" w:rsidRPr="00957CE8">
              <w:rPr>
                <w:rStyle w:val="Hyperlink"/>
              </w:rPr>
              <w:t>7.2</w:t>
            </w:r>
            <w:r w:rsidR="00DA67AB">
              <w:rPr>
                <w:rFonts w:asciiTheme="minorHAnsi" w:eastAsiaTheme="minorEastAsia" w:hAnsiTheme="minorHAnsi"/>
                <w:b w:val="0"/>
                <w:color w:val="auto"/>
                <w:sz w:val="22"/>
                <w:lang w:eastAsia="en-AU"/>
              </w:rPr>
              <w:tab/>
            </w:r>
            <w:r w:rsidR="00DA67AB" w:rsidRPr="00957CE8">
              <w:rPr>
                <w:rStyle w:val="Hyperlink"/>
              </w:rPr>
              <w:t>AusNet Services’ proposal</w:t>
            </w:r>
            <w:r w:rsidR="00DA67AB">
              <w:rPr>
                <w:webHidden/>
              </w:rPr>
              <w:tab/>
            </w:r>
            <w:r w:rsidR="00DA67AB">
              <w:rPr>
                <w:webHidden/>
              </w:rPr>
              <w:fldChar w:fldCharType="begin"/>
            </w:r>
            <w:r w:rsidR="00DA67AB">
              <w:rPr>
                <w:webHidden/>
              </w:rPr>
              <w:instrText xml:space="preserve"> PAGEREF _Toc456601956 \h </w:instrText>
            </w:r>
            <w:r w:rsidR="00DA67AB">
              <w:rPr>
                <w:webHidden/>
              </w:rPr>
            </w:r>
            <w:r w:rsidR="00DA67AB">
              <w:rPr>
                <w:webHidden/>
              </w:rPr>
              <w:fldChar w:fldCharType="separate"/>
            </w:r>
            <w:r w:rsidR="00740726">
              <w:rPr>
                <w:webHidden/>
              </w:rPr>
              <w:t>7-9</w:t>
            </w:r>
            <w:r w:rsidR="00DA67AB">
              <w:rPr>
                <w:webHidden/>
              </w:rPr>
              <w:fldChar w:fldCharType="end"/>
            </w:r>
          </w:hyperlink>
        </w:p>
        <w:p w:rsidR="00DA67AB" w:rsidRDefault="00F64824">
          <w:pPr>
            <w:pStyle w:val="TOC2"/>
            <w:rPr>
              <w:rFonts w:asciiTheme="minorHAnsi" w:eastAsiaTheme="minorEastAsia" w:hAnsiTheme="minorHAnsi"/>
              <w:b w:val="0"/>
              <w:color w:val="auto"/>
              <w:sz w:val="22"/>
              <w:lang w:eastAsia="en-AU"/>
            </w:rPr>
          </w:pPr>
          <w:hyperlink w:anchor="_Toc456601957" w:history="1">
            <w:r w:rsidR="00DA67AB" w:rsidRPr="00957CE8">
              <w:rPr>
                <w:rStyle w:val="Hyperlink"/>
              </w:rPr>
              <w:t>7.3</w:t>
            </w:r>
            <w:r w:rsidR="00DA67AB">
              <w:rPr>
                <w:rFonts w:asciiTheme="minorHAnsi" w:eastAsiaTheme="minorEastAsia" w:hAnsiTheme="minorHAnsi"/>
                <w:b w:val="0"/>
                <w:color w:val="auto"/>
                <w:sz w:val="22"/>
                <w:lang w:eastAsia="en-AU"/>
              </w:rPr>
              <w:tab/>
            </w:r>
            <w:r w:rsidR="00DA67AB" w:rsidRPr="00957CE8">
              <w:rPr>
                <w:rStyle w:val="Hyperlink"/>
              </w:rPr>
              <w:t>AER’s assessment approach</w:t>
            </w:r>
            <w:r w:rsidR="00DA67AB">
              <w:rPr>
                <w:webHidden/>
              </w:rPr>
              <w:tab/>
            </w:r>
            <w:r w:rsidR="00DA67AB">
              <w:rPr>
                <w:webHidden/>
              </w:rPr>
              <w:fldChar w:fldCharType="begin"/>
            </w:r>
            <w:r w:rsidR="00DA67AB">
              <w:rPr>
                <w:webHidden/>
              </w:rPr>
              <w:instrText xml:space="preserve"> PAGEREF _Toc456601957 \h </w:instrText>
            </w:r>
            <w:r w:rsidR="00DA67AB">
              <w:rPr>
                <w:webHidden/>
              </w:rPr>
            </w:r>
            <w:r w:rsidR="00DA67AB">
              <w:rPr>
                <w:webHidden/>
              </w:rPr>
              <w:fldChar w:fldCharType="separate"/>
            </w:r>
            <w:r w:rsidR="00740726">
              <w:rPr>
                <w:webHidden/>
              </w:rPr>
              <w:t>7-11</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58" w:history="1">
            <w:r w:rsidR="00DA67AB" w:rsidRPr="00957CE8">
              <w:rPr>
                <w:rStyle w:val="Hyperlink"/>
              </w:rPr>
              <w:t>Expenditure forecast assessment guideline</w:t>
            </w:r>
            <w:r w:rsidR="00DA67AB">
              <w:rPr>
                <w:webHidden/>
              </w:rPr>
              <w:tab/>
            </w:r>
            <w:r w:rsidR="00DA67AB">
              <w:rPr>
                <w:webHidden/>
              </w:rPr>
              <w:fldChar w:fldCharType="begin"/>
            </w:r>
            <w:r w:rsidR="00DA67AB">
              <w:rPr>
                <w:webHidden/>
              </w:rPr>
              <w:instrText xml:space="preserve"> PAGEREF _Toc456601958 \h </w:instrText>
            </w:r>
            <w:r w:rsidR="00DA67AB">
              <w:rPr>
                <w:webHidden/>
              </w:rPr>
            </w:r>
            <w:r w:rsidR="00DA67AB">
              <w:rPr>
                <w:webHidden/>
              </w:rPr>
              <w:fldChar w:fldCharType="separate"/>
            </w:r>
            <w:r w:rsidR="00740726">
              <w:rPr>
                <w:webHidden/>
              </w:rPr>
              <w:t>7-15</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59" w:history="1">
            <w:r w:rsidR="00DA67AB" w:rsidRPr="00957CE8">
              <w:rPr>
                <w:rStyle w:val="Hyperlink"/>
              </w:rPr>
              <w:t>Building an alternative estimate of total forecast opex</w:t>
            </w:r>
            <w:r w:rsidR="00DA67AB">
              <w:rPr>
                <w:webHidden/>
              </w:rPr>
              <w:tab/>
            </w:r>
            <w:r w:rsidR="00DA67AB">
              <w:rPr>
                <w:webHidden/>
              </w:rPr>
              <w:fldChar w:fldCharType="begin"/>
            </w:r>
            <w:r w:rsidR="00DA67AB">
              <w:rPr>
                <w:webHidden/>
              </w:rPr>
              <w:instrText xml:space="preserve"> PAGEREF _Toc456601959 \h </w:instrText>
            </w:r>
            <w:r w:rsidR="00DA67AB">
              <w:rPr>
                <w:webHidden/>
              </w:rPr>
            </w:r>
            <w:r w:rsidR="00DA67AB">
              <w:rPr>
                <w:webHidden/>
              </w:rPr>
              <w:fldChar w:fldCharType="separate"/>
            </w:r>
            <w:r w:rsidR="00740726">
              <w:rPr>
                <w:webHidden/>
              </w:rPr>
              <w:t>7-16</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60" w:history="1">
            <w:r w:rsidR="00DA67AB" w:rsidRPr="00957CE8">
              <w:rPr>
                <w:rStyle w:val="Hyperlink"/>
              </w:rPr>
              <w:t>Step 1 – Base year choice</w:t>
            </w:r>
            <w:r w:rsidR="00DA67AB">
              <w:rPr>
                <w:webHidden/>
              </w:rPr>
              <w:tab/>
            </w:r>
            <w:r w:rsidR="00DA67AB">
              <w:rPr>
                <w:webHidden/>
              </w:rPr>
              <w:fldChar w:fldCharType="begin"/>
            </w:r>
            <w:r w:rsidR="00DA67AB">
              <w:rPr>
                <w:webHidden/>
              </w:rPr>
              <w:instrText xml:space="preserve"> PAGEREF _Toc456601960 \h </w:instrText>
            </w:r>
            <w:r w:rsidR="00DA67AB">
              <w:rPr>
                <w:webHidden/>
              </w:rPr>
            </w:r>
            <w:r w:rsidR="00DA67AB">
              <w:rPr>
                <w:webHidden/>
              </w:rPr>
              <w:fldChar w:fldCharType="separate"/>
            </w:r>
            <w:r w:rsidR="00740726">
              <w:rPr>
                <w:webHidden/>
              </w:rPr>
              <w:t>7-18</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61" w:history="1">
            <w:r w:rsidR="00DA67AB" w:rsidRPr="00957CE8">
              <w:rPr>
                <w:rStyle w:val="Hyperlink"/>
              </w:rPr>
              <w:t>Step 2 - Assessing base opex</w:t>
            </w:r>
            <w:r w:rsidR="00DA67AB">
              <w:rPr>
                <w:webHidden/>
              </w:rPr>
              <w:tab/>
            </w:r>
            <w:r w:rsidR="00DA67AB">
              <w:rPr>
                <w:webHidden/>
              </w:rPr>
              <w:fldChar w:fldCharType="begin"/>
            </w:r>
            <w:r w:rsidR="00DA67AB">
              <w:rPr>
                <w:webHidden/>
              </w:rPr>
              <w:instrText xml:space="preserve"> PAGEREF _Toc456601961 \h </w:instrText>
            </w:r>
            <w:r w:rsidR="00DA67AB">
              <w:rPr>
                <w:webHidden/>
              </w:rPr>
            </w:r>
            <w:r w:rsidR="00DA67AB">
              <w:rPr>
                <w:webHidden/>
              </w:rPr>
              <w:fldChar w:fldCharType="separate"/>
            </w:r>
            <w:r w:rsidR="00740726">
              <w:rPr>
                <w:webHidden/>
              </w:rPr>
              <w:t>7-19</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62" w:history="1">
            <w:r w:rsidR="00DA67AB" w:rsidRPr="00957CE8">
              <w:rPr>
                <w:rStyle w:val="Hyperlink"/>
              </w:rPr>
              <w:t>Step 3 - Rate of change</w:t>
            </w:r>
            <w:r w:rsidR="00DA67AB">
              <w:rPr>
                <w:webHidden/>
              </w:rPr>
              <w:tab/>
            </w:r>
            <w:r w:rsidR="00DA67AB">
              <w:rPr>
                <w:webHidden/>
              </w:rPr>
              <w:fldChar w:fldCharType="begin"/>
            </w:r>
            <w:r w:rsidR="00DA67AB">
              <w:rPr>
                <w:webHidden/>
              </w:rPr>
              <w:instrText xml:space="preserve"> PAGEREF _Toc456601962 \h </w:instrText>
            </w:r>
            <w:r w:rsidR="00DA67AB">
              <w:rPr>
                <w:webHidden/>
              </w:rPr>
            </w:r>
            <w:r w:rsidR="00DA67AB">
              <w:rPr>
                <w:webHidden/>
              </w:rPr>
              <w:fldChar w:fldCharType="separate"/>
            </w:r>
            <w:r w:rsidR="00740726">
              <w:rPr>
                <w:webHidden/>
              </w:rPr>
              <w:t>7-19</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63" w:history="1">
            <w:r w:rsidR="00DA67AB" w:rsidRPr="00957CE8">
              <w:rPr>
                <w:rStyle w:val="Hyperlink"/>
              </w:rPr>
              <w:t>Step 4 - Step changes</w:t>
            </w:r>
            <w:r w:rsidR="00DA67AB">
              <w:rPr>
                <w:webHidden/>
              </w:rPr>
              <w:tab/>
            </w:r>
            <w:r w:rsidR="00DA67AB">
              <w:rPr>
                <w:webHidden/>
              </w:rPr>
              <w:fldChar w:fldCharType="begin"/>
            </w:r>
            <w:r w:rsidR="00DA67AB">
              <w:rPr>
                <w:webHidden/>
              </w:rPr>
              <w:instrText xml:space="preserve"> PAGEREF _Toc456601963 \h </w:instrText>
            </w:r>
            <w:r w:rsidR="00DA67AB">
              <w:rPr>
                <w:webHidden/>
              </w:rPr>
            </w:r>
            <w:r w:rsidR="00DA67AB">
              <w:rPr>
                <w:webHidden/>
              </w:rPr>
              <w:fldChar w:fldCharType="separate"/>
            </w:r>
            <w:r w:rsidR="00740726">
              <w:rPr>
                <w:webHidden/>
              </w:rPr>
              <w:t>7-20</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64" w:history="1">
            <w:r w:rsidR="00DA67AB" w:rsidRPr="00957CE8">
              <w:rPr>
                <w:rStyle w:val="Hyperlink"/>
              </w:rPr>
              <w:t>Step 5 - Other costs that are not included in the base year</w:t>
            </w:r>
            <w:r w:rsidR="00DA67AB">
              <w:rPr>
                <w:webHidden/>
              </w:rPr>
              <w:tab/>
            </w:r>
            <w:r w:rsidR="00DA67AB">
              <w:rPr>
                <w:webHidden/>
              </w:rPr>
              <w:fldChar w:fldCharType="begin"/>
            </w:r>
            <w:r w:rsidR="00DA67AB">
              <w:rPr>
                <w:webHidden/>
              </w:rPr>
              <w:instrText xml:space="preserve"> PAGEREF _Toc456601964 \h </w:instrText>
            </w:r>
            <w:r w:rsidR="00DA67AB">
              <w:rPr>
                <w:webHidden/>
              </w:rPr>
            </w:r>
            <w:r w:rsidR="00DA67AB">
              <w:rPr>
                <w:webHidden/>
              </w:rPr>
              <w:fldChar w:fldCharType="separate"/>
            </w:r>
            <w:r w:rsidR="00740726">
              <w:rPr>
                <w:webHidden/>
              </w:rPr>
              <w:t>7-20</w:t>
            </w:r>
            <w:r w:rsidR="00DA67AB">
              <w:rPr>
                <w:webHidden/>
              </w:rPr>
              <w:fldChar w:fldCharType="end"/>
            </w:r>
          </w:hyperlink>
        </w:p>
        <w:p w:rsidR="00DA67AB" w:rsidRDefault="00F64824">
          <w:pPr>
            <w:pStyle w:val="TOC2"/>
            <w:rPr>
              <w:rFonts w:asciiTheme="minorHAnsi" w:eastAsiaTheme="minorEastAsia" w:hAnsiTheme="minorHAnsi"/>
              <w:b w:val="0"/>
              <w:color w:val="auto"/>
              <w:sz w:val="22"/>
              <w:lang w:eastAsia="en-AU"/>
            </w:rPr>
          </w:pPr>
          <w:hyperlink w:anchor="_Toc456601965" w:history="1">
            <w:r w:rsidR="00DA67AB" w:rsidRPr="00957CE8">
              <w:rPr>
                <w:rStyle w:val="Hyperlink"/>
              </w:rPr>
              <w:t>7.4</w:t>
            </w:r>
            <w:r w:rsidR="00DA67AB">
              <w:rPr>
                <w:rFonts w:asciiTheme="minorHAnsi" w:eastAsiaTheme="minorEastAsia" w:hAnsiTheme="minorHAnsi"/>
                <w:b w:val="0"/>
                <w:color w:val="auto"/>
                <w:sz w:val="22"/>
                <w:lang w:eastAsia="en-AU"/>
              </w:rPr>
              <w:tab/>
            </w:r>
            <w:r w:rsidR="00DA67AB" w:rsidRPr="00957CE8">
              <w:rPr>
                <w:rStyle w:val="Hyperlink"/>
              </w:rPr>
              <w:t>Reasons for draft decision</w:t>
            </w:r>
            <w:r w:rsidR="00DA67AB">
              <w:rPr>
                <w:webHidden/>
              </w:rPr>
              <w:tab/>
            </w:r>
            <w:r w:rsidR="00DA67AB">
              <w:rPr>
                <w:webHidden/>
              </w:rPr>
              <w:fldChar w:fldCharType="begin"/>
            </w:r>
            <w:r w:rsidR="00DA67AB">
              <w:rPr>
                <w:webHidden/>
              </w:rPr>
              <w:instrText xml:space="preserve"> PAGEREF _Toc456601965 \h </w:instrText>
            </w:r>
            <w:r w:rsidR="00DA67AB">
              <w:rPr>
                <w:webHidden/>
              </w:rPr>
            </w:r>
            <w:r w:rsidR="00DA67AB">
              <w:rPr>
                <w:webHidden/>
              </w:rPr>
              <w:fldChar w:fldCharType="separate"/>
            </w:r>
            <w:r w:rsidR="00740726">
              <w:rPr>
                <w:webHidden/>
              </w:rPr>
              <w:t>7-20</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66" w:history="1">
            <w:r w:rsidR="00DA67AB" w:rsidRPr="00957CE8">
              <w:rPr>
                <w:rStyle w:val="Hyperlink"/>
              </w:rPr>
              <w:t>7.4.1</w:t>
            </w:r>
            <w:r w:rsidR="00DA67AB">
              <w:rPr>
                <w:rFonts w:asciiTheme="minorHAnsi" w:eastAsiaTheme="minorEastAsia" w:hAnsiTheme="minorHAnsi"/>
                <w:lang w:eastAsia="en-AU"/>
              </w:rPr>
              <w:tab/>
            </w:r>
            <w:r w:rsidR="00DA67AB" w:rsidRPr="00957CE8">
              <w:rPr>
                <w:rStyle w:val="Hyperlink"/>
              </w:rPr>
              <w:t>Base opex</w:t>
            </w:r>
            <w:r w:rsidR="00DA67AB">
              <w:rPr>
                <w:webHidden/>
              </w:rPr>
              <w:tab/>
            </w:r>
            <w:r w:rsidR="00DA67AB">
              <w:rPr>
                <w:webHidden/>
              </w:rPr>
              <w:fldChar w:fldCharType="begin"/>
            </w:r>
            <w:r w:rsidR="00DA67AB">
              <w:rPr>
                <w:webHidden/>
              </w:rPr>
              <w:instrText xml:space="preserve"> PAGEREF _Toc456601966 \h </w:instrText>
            </w:r>
            <w:r w:rsidR="00DA67AB">
              <w:rPr>
                <w:webHidden/>
              </w:rPr>
            </w:r>
            <w:r w:rsidR="00DA67AB">
              <w:rPr>
                <w:webHidden/>
              </w:rPr>
              <w:fldChar w:fldCharType="separate"/>
            </w:r>
            <w:r w:rsidR="00740726">
              <w:rPr>
                <w:webHidden/>
              </w:rPr>
              <w:t>7-22</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67" w:history="1">
            <w:r w:rsidR="00DA67AB" w:rsidRPr="00957CE8">
              <w:rPr>
                <w:rStyle w:val="Hyperlink"/>
              </w:rPr>
              <w:t>7.4.2</w:t>
            </w:r>
            <w:r w:rsidR="00DA67AB">
              <w:rPr>
                <w:rFonts w:asciiTheme="minorHAnsi" w:eastAsiaTheme="minorEastAsia" w:hAnsiTheme="minorHAnsi"/>
                <w:lang w:eastAsia="en-AU"/>
              </w:rPr>
              <w:tab/>
            </w:r>
            <w:r w:rsidR="00DA67AB" w:rsidRPr="00957CE8">
              <w:rPr>
                <w:rStyle w:val="Hyperlink"/>
              </w:rPr>
              <w:t>Rate of change</w:t>
            </w:r>
            <w:r w:rsidR="00DA67AB">
              <w:rPr>
                <w:webHidden/>
              </w:rPr>
              <w:tab/>
            </w:r>
            <w:r w:rsidR="00DA67AB">
              <w:rPr>
                <w:webHidden/>
              </w:rPr>
              <w:fldChar w:fldCharType="begin"/>
            </w:r>
            <w:r w:rsidR="00DA67AB">
              <w:rPr>
                <w:webHidden/>
              </w:rPr>
              <w:instrText xml:space="preserve"> PAGEREF _Toc456601967 \h </w:instrText>
            </w:r>
            <w:r w:rsidR="00DA67AB">
              <w:rPr>
                <w:webHidden/>
              </w:rPr>
            </w:r>
            <w:r w:rsidR="00DA67AB">
              <w:rPr>
                <w:webHidden/>
              </w:rPr>
              <w:fldChar w:fldCharType="separate"/>
            </w:r>
            <w:r w:rsidR="00740726">
              <w:rPr>
                <w:webHidden/>
              </w:rPr>
              <w:t>7-22</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68" w:history="1">
            <w:r w:rsidR="00DA67AB" w:rsidRPr="00957CE8">
              <w:rPr>
                <w:rStyle w:val="Hyperlink"/>
              </w:rPr>
              <w:t>7.4.3</w:t>
            </w:r>
            <w:r w:rsidR="00DA67AB">
              <w:rPr>
                <w:rFonts w:asciiTheme="minorHAnsi" w:eastAsiaTheme="minorEastAsia" w:hAnsiTheme="minorHAnsi"/>
                <w:lang w:eastAsia="en-AU"/>
              </w:rPr>
              <w:tab/>
            </w:r>
            <w:r w:rsidR="00DA67AB" w:rsidRPr="00957CE8">
              <w:rPr>
                <w:rStyle w:val="Hyperlink"/>
              </w:rPr>
              <w:t>Step changes</w:t>
            </w:r>
            <w:r w:rsidR="00DA67AB">
              <w:rPr>
                <w:webHidden/>
              </w:rPr>
              <w:tab/>
            </w:r>
            <w:r w:rsidR="00DA67AB">
              <w:rPr>
                <w:webHidden/>
              </w:rPr>
              <w:fldChar w:fldCharType="begin"/>
            </w:r>
            <w:r w:rsidR="00DA67AB">
              <w:rPr>
                <w:webHidden/>
              </w:rPr>
              <w:instrText xml:space="preserve"> PAGEREF _Toc456601968 \h </w:instrText>
            </w:r>
            <w:r w:rsidR="00DA67AB">
              <w:rPr>
                <w:webHidden/>
              </w:rPr>
            </w:r>
            <w:r w:rsidR="00DA67AB">
              <w:rPr>
                <w:webHidden/>
              </w:rPr>
              <w:fldChar w:fldCharType="separate"/>
            </w:r>
            <w:r w:rsidR="00740726">
              <w:rPr>
                <w:webHidden/>
              </w:rPr>
              <w:t>7-23</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69" w:history="1">
            <w:r w:rsidR="00DA67AB" w:rsidRPr="00957CE8">
              <w:rPr>
                <w:rStyle w:val="Hyperlink"/>
              </w:rPr>
              <w:t>7.4.4</w:t>
            </w:r>
            <w:r w:rsidR="00DA67AB">
              <w:rPr>
                <w:rFonts w:asciiTheme="minorHAnsi" w:eastAsiaTheme="minorEastAsia" w:hAnsiTheme="minorHAnsi"/>
                <w:lang w:eastAsia="en-AU"/>
              </w:rPr>
              <w:tab/>
            </w:r>
            <w:r w:rsidR="00DA67AB" w:rsidRPr="00957CE8">
              <w:rPr>
                <w:rStyle w:val="Hyperlink"/>
              </w:rPr>
              <w:t>Other costs not included in the base year</w:t>
            </w:r>
            <w:r w:rsidR="00DA67AB">
              <w:rPr>
                <w:webHidden/>
              </w:rPr>
              <w:tab/>
            </w:r>
            <w:r w:rsidR="00DA67AB">
              <w:rPr>
                <w:webHidden/>
              </w:rPr>
              <w:fldChar w:fldCharType="begin"/>
            </w:r>
            <w:r w:rsidR="00DA67AB">
              <w:rPr>
                <w:webHidden/>
              </w:rPr>
              <w:instrText xml:space="preserve"> PAGEREF _Toc456601969 \h </w:instrText>
            </w:r>
            <w:r w:rsidR="00DA67AB">
              <w:rPr>
                <w:webHidden/>
              </w:rPr>
            </w:r>
            <w:r w:rsidR="00DA67AB">
              <w:rPr>
                <w:webHidden/>
              </w:rPr>
              <w:fldChar w:fldCharType="separate"/>
            </w:r>
            <w:r w:rsidR="00740726">
              <w:rPr>
                <w:webHidden/>
              </w:rPr>
              <w:t>7-23</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70" w:history="1">
            <w:r w:rsidR="00DA67AB" w:rsidRPr="00957CE8">
              <w:rPr>
                <w:rStyle w:val="Hyperlink"/>
              </w:rPr>
              <w:t>7.4.5</w:t>
            </w:r>
            <w:r w:rsidR="00DA67AB">
              <w:rPr>
                <w:rFonts w:asciiTheme="minorHAnsi" w:eastAsiaTheme="minorEastAsia" w:hAnsiTheme="minorHAnsi"/>
                <w:lang w:eastAsia="en-AU"/>
              </w:rPr>
              <w:tab/>
            </w:r>
            <w:r w:rsidR="00DA67AB" w:rsidRPr="00957CE8">
              <w:rPr>
                <w:rStyle w:val="Hyperlink"/>
              </w:rPr>
              <w:t>Interrelationships</w:t>
            </w:r>
            <w:r w:rsidR="00DA67AB">
              <w:rPr>
                <w:webHidden/>
              </w:rPr>
              <w:tab/>
            </w:r>
            <w:r w:rsidR="00DA67AB">
              <w:rPr>
                <w:webHidden/>
              </w:rPr>
              <w:fldChar w:fldCharType="begin"/>
            </w:r>
            <w:r w:rsidR="00DA67AB">
              <w:rPr>
                <w:webHidden/>
              </w:rPr>
              <w:instrText xml:space="preserve"> PAGEREF _Toc456601970 \h </w:instrText>
            </w:r>
            <w:r w:rsidR="00DA67AB">
              <w:rPr>
                <w:webHidden/>
              </w:rPr>
            </w:r>
            <w:r w:rsidR="00DA67AB">
              <w:rPr>
                <w:webHidden/>
              </w:rPr>
              <w:fldChar w:fldCharType="separate"/>
            </w:r>
            <w:r w:rsidR="00740726">
              <w:rPr>
                <w:webHidden/>
              </w:rPr>
              <w:t>7-24</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71" w:history="1">
            <w:r w:rsidR="00DA67AB" w:rsidRPr="00957CE8">
              <w:rPr>
                <w:rStyle w:val="Hyperlink"/>
              </w:rPr>
              <w:t>7.4.6</w:t>
            </w:r>
            <w:r w:rsidR="00DA67AB">
              <w:rPr>
                <w:rFonts w:asciiTheme="minorHAnsi" w:eastAsiaTheme="minorEastAsia" w:hAnsiTheme="minorHAnsi"/>
                <w:lang w:eastAsia="en-AU"/>
              </w:rPr>
              <w:tab/>
            </w:r>
            <w:r w:rsidR="00DA67AB" w:rsidRPr="00957CE8">
              <w:rPr>
                <w:rStyle w:val="Hyperlink"/>
              </w:rPr>
              <w:t>Assessment of opex factors</w:t>
            </w:r>
            <w:r w:rsidR="00DA67AB">
              <w:rPr>
                <w:webHidden/>
              </w:rPr>
              <w:tab/>
            </w:r>
            <w:r w:rsidR="00DA67AB">
              <w:rPr>
                <w:webHidden/>
              </w:rPr>
              <w:fldChar w:fldCharType="begin"/>
            </w:r>
            <w:r w:rsidR="00DA67AB">
              <w:rPr>
                <w:webHidden/>
              </w:rPr>
              <w:instrText xml:space="preserve"> PAGEREF _Toc456601971 \h </w:instrText>
            </w:r>
            <w:r w:rsidR="00DA67AB">
              <w:rPr>
                <w:webHidden/>
              </w:rPr>
            </w:r>
            <w:r w:rsidR="00DA67AB">
              <w:rPr>
                <w:webHidden/>
              </w:rPr>
              <w:fldChar w:fldCharType="separate"/>
            </w:r>
            <w:r w:rsidR="00740726">
              <w:rPr>
                <w:webHidden/>
              </w:rPr>
              <w:t>7-24</w:t>
            </w:r>
            <w:r w:rsidR="00DA67AB">
              <w:rPr>
                <w:webHidden/>
              </w:rPr>
              <w:fldChar w:fldCharType="end"/>
            </w:r>
          </w:hyperlink>
        </w:p>
        <w:p w:rsidR="00DA67AB" w:rsidRDefault="00F64824">
          <w:pPr>
            <w:pStyle w:val="TOC7"/>
            <w:tabs>
              <w:tab w:val="left" w:pos="2977"/>
            </w:tabs>
            <w:rPr>
              <w:rFonts w:asciiTheme="minorHAnsi" w:eastAsiaTheme="minorEastAsia" w:hAnsiTheme="minorHAnsi"/>
              <w:lang w:eastAsia="en-AU"/>
            </w:rPr>
          </w:pPr>
          <w:hyperlink w:anchor="_Toc456601972" w:history="1">
            <w:r w:rsidR="00DA67AB" w:rsidRPr="00957CE8">
              <w:rPr>
                <w:rStyle w:val="Hyperlink"/>
              </w:rPr>
              <w:t>A</w:t>
            </w:r>
            <w:r w:rsidR="00DA67AB">
              <w:rPr>
                <w:rFonts w:asciiTheme="minorHAnsi" w:eastAsiaTheme="minorEastAsia" w:hAnsiTheme="minorHAnsi"/>
                <w:lang w:eastAsia="en-AU"/>
              </w:rPr>
              <w:tab/>
            </w:r>
            <w:r w:rsidR="00DA67AB" w:rsidRPr="00957CE8">
              <w:rPr>
                <w:rStyle w:val="Hyperlink"/>
              </w:rPr>
              <w:t>Base opex</w:t>
            </w:r>
            <w:r w:rsidR="00DA67AB">
              <w:rPr>
                <w:webHidden/>
              </w:rPr>
              <w:tab/>
            </w:r>
            <w:r w:rsidR="00DA67AB">
              <w:rPr>
                <w:webHidden/>
              </w:rPr>
              <w:fldChar w:fldCharType="begin"/>
            </w:r>
            <w:r w:rsidR="00DA67AB">
              <w:rPr>
                <w:webHidden/>
              </w:rPr>
              <w:instrText xml:space="preserve"> PAGEREF _Toc456601972 \h </w:instrText>
            </w:r>
            <w:r w:rsidR="00DA67AB">
              <w:rPr>
                <w:webHidden/>
              </w:rPr>
            </w:r>
            <w:r w:rsidR="00DA67AB">
              <w:rPr>
                <w:webHidden/>
              </w:rPr>
              <w:fldChar w:fldCharType="separate"/>
            </w:r>
            <w:r w:rsidR="00740726">
              <w:rPr>
                <w:webHidden/>
              </w:rPr>
              <w:t>7-27</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73" w:history="1">
            <w:r w:rsidR="00DA67AB" w:rsidRPr="00957CE8">
              <w:rPr>
                <w:rStyle w:val="Hyperlink"/>
              </w:rPr>
              <w:t>A.1</w:t>
            </w:r>
            <w:r w:rsidR="00DA67AB">
              <w:rPr>
                <w:rFonts w:asciiTheme="minorHAnsi" w:eastAsiaTheme="minorEastAsia" w:hAnsiTheme="minorHAnsi"/>
                <w:lang w:eastAsia="en-AU"/>
              </w:rPr>
              <w:tab/>
            </w:r>
            <w:r w:rsidR="00DA67AB" w:rsidRPr="00957CE8">
              <w:rPr>
                <w:rStyle w:val="Hyperlink"/>
              </w:rPr>
              <w:t>Position</w:t>
            </w:r>
            <w:r w:rsidR="00DA67AB">
              <w:rPr>
                <w:webHidden/>
              </w:rPr>
              <w:tab/>
            </w:r>
            <w:r w:rsidR="00DA67AB">
              <w:rPr>
                <w:webHidden/>
              </w:rPr>
              <w:fldChar w:fldCharType="begin"/>
            </w:r>
            <w:r w:rsidR="00DA67AB">
              <w:rPr>
                <w:webHidden/>
              </w:rPr>
              <w:instrText xml:space="preserve"> PAGEREF _Toc456601973 \h </w:instrText>
            </w:r>
            <w:r w:rsidR="00DA67AB">
              <w:rPr>
                <w:webHidden/>
              </w:rPr>
            </w:r>
            <w:r w:rsidR="00DA67AB">
              <w:rPr>
                <w:webHidden/>
              </w:rPr>
              <w:fldChar w:fldCharType="separate"/>
            </w:r>
            <w:r w:rsidR="00740726">
              <w:rPr>
                <w:webHidden/>
              </w:rPr>
              <w:t>7-27</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74" w:history="1">
            <w:r w:rsidR="00DA67AB" w:rsidRPr="00957CE8">
              <w:rPr>
                <w:rStyle w:val="Hyperlink"/>
              </w:rPr>
              <w:t>A.2</w:t>
            </w:r>
            <w:r w:rsidR="00DA67AB">
              <w:rPr>
                <w:rFonts w:asciiTheme="minorHAnsi" w:eastAsiaTheme="minorEastAsia" w:hAnsiTheme="minorHAnsi"/>
                <w:lang w:eastAsia="en-AU"/>
              </w:rPr>
              <w:tab/>
            </w:r>
            <w:r w:rsidR="00DA67AB" w:rsidRPr="00957CE8">
              <w:rPr>
                <w:rStyle w:val="Hyperlink"/>
              </w:rPr>
              <w:t>AusNet Services' proposal</w:t>
            </w:r>
            <w:r w:rsidR="00DA67AB">
              <w:rPr>
                <w:webHidden/>
              </w:rPr>
              <w:tab/>
            </w:r>
            <w:r w:rsidR="00DA67AB">
              <w:rPr>
                <w:webHidden/>
              </w:rPr>
              <w:fldChar w:fldCharType="begin"/>
            </w:r>
            <w:r w:rsidR="00DA67AB">
              <w:rPr>
                <w:webHidden/>
              </w:rPr>
              <w:instrText xml:space="preserve"> PAGEREF _Toc456601974 \h </w:instrText>
            </w:r>
            <w:r w:rsidR="00DA67AB">
              <w:rPr>
                <w:webHidden/>
              </w:rPr>
            </w:r>
            <w:r w:rsidR="00DA67AB">
              <w:rPr>
                <w:webHidden/>
              </w:rPr>
              <w:fldChar w:fldCharType="separate"/>
            </w:r>
            <w:r w:rsidR="00740726">
              <w:rPr>
                <w:webHidden/>
              </w:rPr>
              <w:t>7-27</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75" w:history="1">
            <w:r w:rsidR="00DA67AB" w:rsidRPr="00957CE8">
              <w:rPr>
                <w:rStyle w:val="Hyperlink"/>
              </w:rPr>
              <w:t>A.3</w:t>
            </w:r>
            <w:r w:rsidR="00DA67AB">
              <w:rPr>
                <w:rFonts w:asciiTheme="minorHAnsi" w:eastAsiaTheme="minorEastAsia" w:hAnsiTheme="minorHAnsi"/>
                <w:lang w:eastAsia="en-AU"/>
              </w:rPr>
              <w:tab/>
            </w:r>
            <w:r w:rsidR="00DA67AB" w:rsidRPr="00957CE8">
              <w:rPr>
                <w:rStyle w:val="Hyperlink"/>
              </w:rPr>
              <w:t>Assessment approach</w:t>
            </w:r>
            <w:r w:rsidR="00DA67AB">
              <w:rPr>
                <w:webHidden/>
              </w:rPr>
              <w:tab/>
            </w:r>
            <w:r w:rsidR="00DA67AB">
              <w:rPr>
                <w:webHidden/>
              </w:rPr>
              <w:fldChar w:fldCharType="begin"/>
            </w:r>
            <w:r w:rsidR="00DA67AB">
              <w:rPr>
                <w:webHidden/>
              </w:rPr>
              <w:instrText xml:space="preserve"> PAGEREF _Toc456601975 \h </w:instrText>
            </w:r>
            <w:r w:rsidR="00DA67AB">
              <w:rPr>
                <w:webHidden/>
              </w:rPr>
            </w:r>
            <w:r w:rsidR="00DA67AB">
              <w:rPr>
                <w:webHidden/>
              </w:rPr>
              <w:fldChar w:fldCharType="separate"/>
            </w:r>
            <w:r w:rsidR="00740726">
              <w:rPr>
                <w:webHidden/>
              </w:rPr>
              <w:t>7-27</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76" w:history="1">
            <w:r w:rsidR="00DA67AB" w:rsidRPr="00957CE8">
              <w:rPr>
                <w:rStyle w:val="Hyperlink"/>
              </w:rPr>
              <w:t>A.4</w:t>
            </w:r>
            <w:r w:rsidR="00DA67AB">
              <w:rPr>
                <w:rFonts w:asciiTheme="minorHAnsi" w:eastAsiaTheme="minorEastAsia" w:hAnsiTheme="minorHAnsi"/>
                <w:lang w:eastAsia="en-AU"/>
              </w:rPr>
              <w:tab/>
            </w:r>
            <w:r w:rsidR="00DA67AB" w:rsidRPr="00957CE8">
              <w:rPr>
                <w:rStyle w:val="Hyperlink"/>
              </w:rPr>
              <w:t>Reasons for our decision</w:t>
            </w:r>
            <w:r w:rsidR="00DA67AB">
              <w:rPr>
                <w:webHidden/>
              </w:rPr>
              <w:tab/>
            </w:r>
            <w:r w:rsidR="00DA67AB">
              <w:rPr>
                <w:webHidden/>
              </w:rPr>
              <w:fldChar w:fldCharType="begin"/>
            </w:r>
            <w:r w:rsidR="00DA67AB">
              <w:rPr>
                <w:webHidden/>
              </w:rPr>
              <w:instrText xml:space="preserve"> PAGEREF _Toc456601976 \h </w:instrText>
            </w:r>
            <w:r w:rsidR="00DA67AB">
              <w:rPr>
                <w:webHidden/>
              </w:rPr>
            </w:r>
            <w:r w:rsidR="00DA67AB">
              <w:rPr>
                <w:webHidden/>
              </w:rPr>
              <w:fldChar w:fldCharType="separate"/>
            </w:r>
            <w:r w:rsidR="00740726">
              <w:rPr>
                <w:webHidden/>
              </w:rPr>
              <w:t>7-28</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77" w:history="1">
            <w:r w:rsidR="00DA67AB" w:rsidRPr="00957CE8">
              <w:rPr>
                <w:rStyle w:val="Hyperlink"/>
              </w:rPr>
              <w:t>A.4.1</w:t>
            </w:r>
            <w:r w:rsidR="00DA67AB">
              <w:rPr>
                <w:rFonts w:asciiTheme="minorHAnsi" w:eastAsiaTheme="minorEastAsia" w:hAnsiTheme="minorHAnsi"/>
                <w:lang w:eastAsia="en-AU"/>
              </w:rPr>
              <w:tab/>
            </w:r>
            <w:r w:rsidR="00DA67AB" w:rsidRPr="00957CE8">
              <w:rPr>
                <w:rStyle w:val="Hyperlink"/>
              </w:rPr>
              <w:t>AusNet Services' overall efficiency</w:t>
            </w:r>
            <w:r w:rsidR="00DA67AB">
              <w:rPr>
                <w:webHidden/>
              </w:rPr>
              <w:tab/>
            </w:r>
            <w:r w:rsidR="00DA67AB">
              <w:rPr>
                <w:webHidden/>
              </w:rPr>
              <w:fldChar w:fldCharType="begin"/>
            </w:r>
            <w:r w:rsidR="00DA67AB">
              <w:rPr>
                <w:webHidden/>
              </w:rPr>
              <w:instrText xml:space="preserve"> PAGEREF _Toc456601977 \h </w:instrText>
            </w:r>
            <w:r w:rsidR="00DA67AB">
              <w:rPr>
                <w:webHidden/>
              </w:rPr>
            </w:r>
            <w:r w:rsidR="00DA67AB">
              <w:rPr>
                <w:webHidden/>
              </w:rPr>
              <w:fldChar w:fldCharType="separate"/>
            </w:r>
            <w:r w:rsidR="00740726">
              <w:rPr>
                <w:webHidden/>
              </w:rPr>
              <w:t>7-28</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78" w:history="1">
            <w:r w:rsidR="00DA67AB" w:rsidRPr="00957CE8">
              <w:rPr>
                <w:rStyle w:val="Hyperlink"/>
              </w:rPr>
              <w:t>A.4.2</w:t>
            </w:r>
            <w:r w:rsidR="00DA67AB">
              <w:rPr>
                <w:rFonts w:asciiTheme="minorHAnsi" w:eastAsiaTheme="minorEastAsia" w:hAnsiTheme="minorHAnsi"/>
                <w:lang w:eastAsia="en-AU"/>
              </w:rPr>
              <w:tab/>
            </w:r>
            <w:r w:rsidR="00DA67AB" w:rsidRPr="00957CE8">
              <w:rPr>
                <w:rStyle w:val="Hyperlink"/>
              </w:rPr>
              <w:t>Choice of base year</w:t>
            </w:r>
            <w:r w:rsidR="00DA67AB">
              <w:rPr>
                <w:webHidden/>
              </w:rPr>
              <w:tab/>
            </w:r>
            <w:r w:rsidR="00DA67AB">
              <w:rPr>
                <w:webHidden/>
              </w:rPr>
              <w:fldChar w:fldCharType="begin"/>
            </w:r>
            <w:r w:rsidR="00DA67AB">
              <w:rPr>
                <w:webHidden/>
              </w:rPr>
              <w:instrText xml:space="preserve"> PAGEREF _Toc456601978 \h </w:instrText>
            </w:r>
            <w:r w:rsidR="00DA67AB">
              <w:rPr>
                <w:webHidden/>
              </w:rPr>
            </w:r>
            <w:r w:rsidR="00DA67AB">
              <w:rPr>
                <w:webHidden/>
              </w:rPr>
              <w:fldChar w:fldCharType="separate"/>
            </w:r>
            <w:r w:rsidR="00740726">
              <w:rPr>
                <w:webHidden/>
              </w:rPr>
              <w:t>7-30</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79" w:history="1">
            <w:r w:rsidR="00DA67AB" w:rsidRPr="00957CE8">
              <w:rPr>
                <w:rStyle w:val="Hyperlink"/>
              </w:rPr>
              <w:t>A.4.3</w:t>
            </w:r>
            <w:r w:rsidR="00DA67AB">
              <w:rPr>
                <w:rFonts w:asciiTheme="minorHAnsi" w:eastAsiaTheme="minorEastAsia" w:hAnsiTheme="minorHAnsi"/>
                <w:lang w:eastAsia="en-AU"/>
              </w:rPr>
              <w:tab/>
            </w:r>
            <w:r w:rsidR="00DA67AB" w:rsidRPr="00957CE8">
              <w:rPr>
                <w:rStyle w:val="Hyperlink"/>
              </w:rPr>
              <w:t>Adjustments to base opex</w:t>
            </w:r>
            <w:r w:rsidR="00DA67AB">
              <w:rPr>
                <w:webHidden/>
              </w:rPr>
              <w:tab/>
            </w:r>
            <w:r w:rsidR="00DA67AB">
              <w:rPr>
                <w:webHidden/>
              </w:rPr>
              <w:fldChar w:fldCharType="begin"/>
            </w:r>
            <w:r w:rsidR="00DA67AB">
              <w:rPr>
                <w:webHidden/>
              </w:rPr>
              <w:instrText xml:space="preserve"> PAGEREF _Toc456601979 \h </w:instrText>
            </w:r>
            <w:r w:rsidR="00DA67AB">
              <w:rPr>
                <w:webHidden/>
              </w:rPr>
            </w:r>
            <w:r w:rsidR="00DA67AB">
              <w:rPr>
                <w:webHidden/>
              </w:rPr>
              <w:fldChar w:fldCharType="separate"/>
            </w:r>
            <w:r w:rsidR="00740726">
              <w:rPr>
                <w:webHidden/>
              </w:rPr>
              <w:t>7-31</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80" w:history="1">
            <w:r w:rsidR="00DA67AB" w:rsidRPr="00957CE8">
              <w:rPr>
                <w:rStyle w:val="Hyperlink"/>
              </w:rPr>
              <w:t>Easement land tax</w:t>
            </w:r>
            <w:r w:rsidR="00DA67AB">
              <w:rPr>
                <w:webHidden/>
              </w:rPr>
              <w:tab/>
            </w:r>
            <w:r w:rsidR="00DA67AB">
              <w:rPr>
                <w:webHidden/>
              </w:rPr>
              <w:fldChar w:fldCharType="begin"/>
            </w:r>
            <w:r w:rsidR="00DA67AB">
              <w:rPr>
                <w:webHidden/>
              </w:rPr>
              <w:instrText xml:space="preserve"> PAGEREF _Toc456601980 \h </w:instrText>
            </w:r>
            <w:r w:rsidR="00DA67AB">
              <w:rPr>
                <w:webHidden/>
              </w:rPr>
            </w:r>
            <w:r w:rsidR="00DA67AB">
              <w:rPr>
                <w:webHidden/>
              </w:rPr>
              <w:fldChar w:fldCharType="separate"/>
            </w:r>
            <w:r w:rsidR="00740726">
              <w:rPr>
                <w:webHidden/>
              </w:rPr>
              <w:t>7-32</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81" w:history="1">
            <w:r w:rsidR="00DA67AB" w:rsidRPr="00957CE8">
              <w:rPr>
                <w:rStyle w:val="Hyperlink"/>
              </w:rPr>
              <w:t>Debt raising costs</w:t>
            </w:r>
            <w:r w:rsidR="00DA67AB">
              <w:rPr>
                <w:webHidden/>
              </w:rPr>
              <w:tab/>
            </w:r>
            <w:r w:rsidR="00DA67AB">
              <w:rPr>
                <w:webHidden/>
              </w:rPr>
              <w:fldChar w:fldCharType="begin"/>
            </w:r>
            <w:r w:rsidR="00DA67AB">
              <w:rPr>
                <w:webHidden/>
              </w:rPr>
              <w:instrText xml:space="preserve"> PAGEREF _Toc456601981 \h </w:instrText>
            </w:r>
            <w:r w:rsidR="00DA67AB">
              <w:rPr>
                <w:webHidden/>
              </w:rPr>
            </w:r>
            <w:r w:rsidR="00DA67AB">
              <w:rPr>
                <w:webHidden/>
              </w:rPr>
              <w:fldChar w:fldCharType="separate"/>
            </w:r>
            <w:r w:rsidR="00740726">
              <w:rPr>
                <w:webHidden/>
              </w:rPr>
              <w:t>7-33</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82" w:history="1">
            <w:r w:rsidR="00DA67AB" w:rsidRPr="00957CE8">
              <w:rPr>
                <w:rStyle w:val="Hyperlink"/>
              </w:rPr>
              <w:t>Insurance and self-insurance</w:t>
            </w:r>
            <w:r w:rsidR="00DA67AB">
              <w:rPr>
                <w:webHidden/>
              </w:rPr>
              <w:tab/>
            </w:r>
            <w:r w:rsidR="00DA67AB">
              <w:rPr>
                <w:webHidden/>
              </w:rPr>
              <w:fldChar w:fldCharType="begin"/>
            </w:r>
            <w:r w:rsidR="00DA67AB">
              <w:rPr>
                <w:webHidden/>
              </w:rPr>
              <w:instrText xml:space="preserve"> PAGEREF _Toc456601982 \h </w:instrText>
            </w:r>
            <w:r w:rsidR="00DA67AB">
              <w:rPr>
                <w:webHidden/>
              </w:rPr>
            </w:r>
            <w:r w:rsidR="00DA67AB">
              <w:rPr>
                <w:webHidden/>
              </w:rPr>
              <w:fldChar w:fldCharType="separate"/>
            </w:r>
            <w:r w:rsidR="00740726">
              <w:rPr>
                <w:webHidden/>
              </w:rPr>
              <w:t>7-33</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1983" w:history="1">
            <w:r w:rsidR="00DA67AB" w:rsidRPr="00957CE8">
              <w:rPr>
                <w:rStyle w:val="Hyperlink"/>
              </w:rPr>
              <w:t>Insurance</w:t>
            </w:r>
            <w:r w:rsidR="00DA67AB">
              <w:rPr>
                <w:webHidden/>
              </w:rPr>
              <w:tab/>
            </w:r>
            <w:r w:rsidR="00DA67AB">
              <w:rPr>
                <w:webHidden/>
              </w:rPr>
              <w:fldChar w:fldCharType="begin"/>
            </w:r>
            <w:r w:rsidR="00DA67AB">
              <w:rPr>
                <w:webHidden/>
              </w:rPr>
              <w:instrText xml:space="preserve"> PAGEREF _Toc456601983 \h </w:instrText>
            </w:r>
            <w:r w:rsidR="00DA67AB">
              <w:rPr>
                <w:webHidden/>
              </w:rPr>
            </w:r>
            <w:r w:rsidR="00DA67AB">
              <w:rPr>
                <w:webHidden/>
              </w:rPr>
              <w:fldChar w:fldCharType="separate"/>
            </w:r>
            <w:r w:rsidR="00740726">
              <w:rPr>
                <w:webHidden/>
              </w:rPr>
              <w:t>7-34</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1984" w:history="1">
            <w:r w:rsidR="00DA67AB" w:rsidRPr="00957CE8">
              <w:rPr>
                <w:rStyle w:val="Hyperlink"/>
              </w:rPr>
              <w:t>Self-insurance</w:t>
            </w:r>
            <w:r w:rsidR="00DA67AB">
              <w:rPr>
                <w:webHidden/>
              </w:rPr>
              <w:tab/>
            </w:r>
            <w:r w:rsidR="00DA67AB">
              <w:rPr>
                <w:webHidden/>
              </w:rPr>
              <w:fldChar w:fldCharType="begin"/>
            </w:r>
            <w:r w:rsidR="00DA67AB">
              <w:rPr>
                <w:webHidden/>
              </w:rPr>
              <w:instrText xml:space="preserve"> PAGEREF _Toc456601984 \h </w:instrText>
            </w:r>
            <w:r w:rsidR="00DA67AB">
              <w:rPr>
                <w:webHidden/>
              </w:rPr>
            </w:r>
            <w:r w:rsidR="00DA67AB">
              <w:rPr>
                <w:webHidden/>
              </w:rPr>
              <w:fldChar w:fldCharType="separate"/>
            </w:r>
            <w:r w:rsidR="00740726">
              <w:rPr>
                <w:webHidden/>
              </w:rPr>
              <w:t>7-35</w:t>
            </w:r>
            <w:r w:rsidR="00DA67AB">
              <w:rPr>
                <w:webHidden/>
              </w:rPr>
              <w:fldChar w:fldCharType="end"/>
            </w:r>
          </w:hyperlink>
        </w:p>
        <w:p w:rsidR="00DA67AB" w:rsidRDefault="00F64824">
          <w:pPr>
            <w:pStyle w:val="TOC3"/>
            <w:rPr>
              <w:rFonts w:asciiTheme="minorHAnsi" w:eastAsiaTheme="minorEastAsia" w:hAnsiTheme="minorHAnsi"/>
              <w:lang w:eastAsia="en-AU"/>
            </w:rPr>
          </w:pPr>
          <w:hyperlink w:anchor="_Toc456601985" w:history="1">
            <w:r w:rsidR="00DA67AB" w:rsidRPr="00957CE8">
              <w:rPr>
                <w:rStyle w:val="Hyperlink"/>
              </w:rPr>
              <w:t>Group 3 asset roll in</w:t>
            </w:r>
            <w:r w:rsidR="00DA67AB">
              <w:rPr>
                <w:webHidden/>
              </w:rPr>
              <w:tab/>
            </w:r>
            <w:r w:rsidR="00DA67AB">
              <w:rPr>
                <w:webHidden/>
              </w:rPr>
              <w:fldChar w:fldCharType="begin"/>
            </w:r>
            <w:r w:rsidR="00DA67AB">
              <w:rPr>
                <w:webHidden/>
              </w:rPr>
              <w:instrText xml:space="preserve"> PAGEREF _Toc456601985 \h </w:instrText>
            </w:r>
            <w:r w:rsidR="00DA67AB">
              <w:rPr>
                <w:webHidden/>
              </w:rPr>
            </w:r>
            <w:r w:rsidR="00DA67AB">
              <w:rPr>
                <w:webHidden/>
              </w:rPr>
              <w:fldChar w:fldCharType="separate"/>
            </w:r>
            <w:r w:rsidR="00740726">
              <w:rPr>
                <w:webHidden/>
              </w:rPr>
              <w:t>7-37</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86" w:history="1">
            <w:r w:rsidR="00DA67AB" w:rsidRPr="00957CE8">
              <w:rPr>
                <w:rStyle w:val="Hyperlink"/>
              </w:rPr>
              <w:t>A.4.4</w:t>
            </w:r>
            <w:r w:rsidR="00DA67AB">
              <w:rPr>
                <w:rFonts w:asciiTheme="minorHAnsi" w:eastAsiaTheme="minorEastAsia" w:hAnsiTheme="minorHAnsi"/>
                <w:lang w:eastAsia="en-AU"/>
              </w:rPr>
              <w:tab/>
            </w:r>
            <w:r w:rsidR="00DA67AB" w:rsidRPr="00957CE8">
              <w:rPr>
                <w:rStyle w:val="Hyperlink"/>
              </w:rPr>
              <w:t>Estimate of final year opex</w:t>
            </w:r>
            <w:r w:rsidR="00DA67AB">
              <w:rPr>
                <w:webHidden/>
              </w:rPr>
              <w:tab/>
            </w:r>
            <w:r w:rsidR="00DA67AB">
              <w:rPr>
                <w:webHidden/>
              </w:rPr>
              <w:fldChar w:fldCharType="begin"/>
            </w:r>
            <w:r w:rsidR="00DA67AB">
              <w:rPr>
                <w:webHidden/>
              </w:rPr>
              <w:instrText xml:space="preserve"> PAGEREF _Toc456601986 \h </w:instrText>
            </w:r>
            <w:r w:rsidR="00DA67AB">
              <w:rPr>
                <w:webHidden/>
              </w:rPr>
            </w:r>
            <w:r w:rsidR="00DA67AB">
              <w:rPr>
                <w:webHidden/>
              </w:rPr>
              <w:fldChar w:fldCharType="separate"/>
            </w:r>
            <w:r w:rsidR="00740726">
              <w:rPr>
                <w:webHidden/>
              </w:rPr>
              <w:t>7-38</w:t>
            </w:r>
            <w:r w:rsidR="00DA67AB">
              <w:rPr>
                <w:webHidden/>
              </w:rPr>
              <w:fldChar w:fldCharType="end"/>
            </w:r>
          </w:hyperlink>
        </w:p>
        <w:p w:rsidR="00DA67AB" w:rsidRDefault="00F64824">
          <w:pPr>
            <w:pStyle w:val="TOC7"/>
            <w:tabs>
              <w:tab w:val="left" w:pos="2977"/>
            </w:tabs>
            <w:rPr>
              <w:rFonts w:asciiTheme="minorHAnsi" w:eastAsiaTheme="minorEastAsia" w:hAnsiTheme="minorHAnsi"/>
              <w:lang w:eastAsia="en-AU"/>
            </w:rPr>
          </w:pPr>
          <w:hyperlink w:anchor="_Toc456601987" w:history="1">
            <w:r w:rsidR="00DA67AB" w:rsidRPr="00957CE8">
              <w:rPr>
                <w:rStyle w:val="Hyperlink"/>
              </w:rPr>
              <w:t>B</w:t>
            </w:r>
            <w:r w:rsidR="00DA67AB">
              <w:rPr>
                <w:rFonts w:asciiTheme="minorHAnsi" w:eastAsiaTheme="minorEastAsia" w:hAnsiTheme="minorHAnsi"/>
                <w:lang w:eastAsia="en-AU"/>
              </w:rPr>
              <w:tab/>
            </w:r>
            <w:r w:rsidR="00DA67AB" w:rsidRPr="00957CE8">
              <w:rPr>
                <w:rStyle w:val="Hyperlink"/>
              </w:rPr>
              <w:t>Rate of Change</w:t>
            </w:r>
            <w:r w:rsidR="00DA67AB">
              <w:rPr>
                <w:webHidden/>
              </w:rPr>
              <w:tab/>
            </w:r>
            <w:r w:rsidR="00DA67AB">
              <w:rPr>
                <w:webHidden/>
              </w:rPr>
              <w:fldChar w:fldCharType="begin"/>
            </w:r>
            <w:r w:rsidR="00DA67AB">
              <w:rPr>
                <w:webHidden/>
              </w:rPr>
              <w:instrText xml:space="preserve"> PAGEREF _Toc456601987 \h </w:instrText>
            </w:r>
            <w:r w:rsidR="00DA67AB">
              <w:rPr>
                <w:webHidden/>
              </w:rPr>
            </w:r>
            <w:r w:rsidR="00DA67AB">
              <w:rPr>
                <w:webHidden/>
              </w:rPr>
              <w:fldChar w:fldCharType="separate"/>
            </w:r>
            <w:r w:rsidR="00740726">
              <w:rPr>
                <w:webHidden/>
              </w:rPr>
              <w:t>7-39</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88" w:history="1">
            <w:r w:rsidR="00DA67AB" w:rsidRPr="00957CE8">
              <w:rPr>
                <w:rStyle w:val="Hyperlink"/>
              </w:rPr>
              <w:t>B.5</w:t>
            </w:r>
            <w:r w:rsidR="00DA67AB">
              <w:rPr>
                <w:rFonts w:asciiTheme="minorHAnsi" w:eastAsiaTheme="minorEastAsia" w:hAnsiTheme="minorHAnsi"/>
                <w:lang w:eastAsia="en-AU"/>
              </w:rPr>
              <w:tab/>
            </w:r>
            <w:r w:rsidR="00DA67AB" w:rsidRPr="00957CE8">
              <w:rPr>
                <w:rStyle w:val="Hyperlink"/>
              </w:rPr>
              <w:t>Position</w:t>
            </w:r>
            <w:r w:rsidR="00DA67AB">
              <w:rPr>
                <w:webHidden/>
              </w:rPr>
              <w:tab/>
            </w:r>
            <w:r w:rsidR="00DA67AB">
              <w:rPr>
                <w:webHidden/>
              </w:rPr>
              <w:fldChar w:fldCharType="begin"/>
            </w:r>
            <w:r w:rsidR="00DA67AB">
              <w:rPr>
                <w:webHidden/>
              </w:rPr>
              <w:instrText xml:space="preserve"> PAGEREF _Toc456601988 \h </w:instrText>
            </w:r>
            <w:r w:rsidR="00DA67AB">
              <w:rPr>
                <w:webHidden/>
              </w:rPr>
            </w:r>
            <w:r w:rsidR="00DA67AB">
              <w:rPr>
                <w:webHidden/>
              </w:rPr>
              <w:fldChar w:fldCharType="separate"/>
            </w:r>
            <w:r w:rsidR="00740726">
              <w:rPr>
                <w:webHidden/>
              </w:rPr>
              <w:t>7-39</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89" w:history="1">
            <w:r w:rsidR="00DA67AB" w:rsidRPr="00957CE8">
              <w:rPr>
                <w:rStyle w:val="Hyperlink"/>
              </w:rPr>
              <w:t>B.6</w:t>
            </w:r>
            <w:r w:rsidR="00DA67AB">
              <w:rPr>
                <w:rFonts w:asciiTheme="minorHAnsi" w:eastAsiaTheme="minorEastAsia" w:hAnsiTheme="minorHAnsi"/>
                <w:lang w:eastAsia="en-AU"/>
              </w:rPr>
              <w:tab/>
            </w:r>
            <w:r w:rsidR="00DA67AB" w:rsidRPr="00957CE8">
              <w:rPr>
                <w:rStyle w:val="Hyperlink"/>
              </w:rPr>
              <w:t>AusNet Services proposal</w:t>
            </w:r>
            <w:r w:rsidR="00DA67AB">
              <w:rPr>
                <w:webHidden/>
              </w:rPr>
              <w:tab/>
            </w:r>
            <w:r w:rsidR="00DA67AB">
              <w:rPr>
                <w:webHidden/>
              </w:rPr>
              <w:fldChar w:fldCharType="begin"/>
            </w:r>
            <w:r w:rsidR="00DA67AB">
              <w:rPr>
                <w:webHidden/>
              </w:rPr>
              <w:instrText xml:space="preserve"> PAGEREF _Toc456601989 \h </w:instrText>
            </w:r>
            <w:r w:rsidR="00DA67AB">
              <w:rPr>
                <w:webHidden/>
              </w:rPr>
            </w:r>
            <w:r w:rsidR="00DA67AB">
              <w:rPr>
                <w:webHidden/>
              </w:rPr>
              <w:fldChar w:fldCharType="separate"/>
            </w:r>
            <w:r w:rsidR="00740726">
              <w:rPr>
                <w:webHidden/>
              </w:rPr>
              <w:t>7-41</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90" w:history="1">
            <w:r w:rsidR="00DA67AB" w:rsidRPr="00957CE8">
              <w:rPr>
                <w:rStyle w:val="Hyperlink"/>
              </w:rPr>
              <w:t>Forecast price growth</w:t>
            </w:r>
            <w:r w:rsidR="00DA67AB">
              <w:rPr>
                <w:webHidden/>
              </w:rPr>
              <w:tab/>
            </w:r>
            <w:r w:rsidR="00DA67AB">
              <w:rPr>
                <w:webHidden/>
              </w:rPr>
              <w:fldChar w:fldCharType="begin"/>
            </w:r>
            <w:r w:rsidR="00DA67AB">
              <w:rPr>
                <w:webHidden/>
              </w:rPr>
              <w:instrText xml:space="preserve"> PAGEREF _Toc456601990 \h </w:instrText>
            </w:r>
            <w:r w:rsidR="00DA67AB">
              <w:rPr>
                <w:webHidden/>
              </w:rPr>
            </w:r>
            <w:r w:rsidR="00DA67AB">
              <w:rPr>
                <w:webHidden/>
              </w:rPr>
              <w:fldChar w:fldCharType="separate"/>
            </w:r>
            <w:r w:rsidR="00740726">
              <w:rPr>
                <w:webHidden/>
              </w:rPr>
              <w:t>7-41</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91" w:history="1">
            <w:r w:rsidR="00DA67AB" w:rsidRPr="00957CE8">
              <w:rPr>
                <w:rStyle w:val="Hyperlink"/>
              </w:rPr>
              <w:t>Forecast output growth</w:t>
            </w:r>
            <w:r w:rsidR="00DA67AB">
              <w:rPr>
                <w:webHidden/>
              </w:rPr>
              <w:tab/>
            </w:r>
            <w:r w:rsidR="00DA67AB">
              <w:rPr>
                <w:webHidden/>
              </w:rPr>
              <w:fldChar w:fldCharType="begin"/>
            </w:r>
            <w:r w:rsidR="00DA67AB">
              <w:rPr>
                <w:webHidden/>
              </w:rPr>
              <w:instrText xml:space="preserve"> PAGEREF _Toc456601991 \h </w:instrText>
            </w:r>
            <w:r w:rsidR="00DA67AB">
              <w:rPr>
                <w:webHidden/>
              </w:rPr>
            </w:r>
            <w:r w:rsidR="00DA67AB">
              <w:rPr>
                <w:webHidden/>
              </w:rPr>
              <w:fldChar w:fldCharType="separate"/>
            </w:r>
            <w:r w:rsidR="00740726">
              <w:rPr>
                <w:webHidden/>
              </w:rPr>
              <w:t>7-42</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92" w:history="1">
            <w:r w:rsidR="00DA67AB" w:rsidRPr="00957CE8">
              <w:rPr>
                <w:rStyle w:val="Hyperlink"/>
              </w:rPr>
              <w:t>Forecast productivity growth</w:t>
            </w:r>
            <w:r w:rsidR="00DA67AB">
              <w:rPr>
                <w:webHidden/>
              </w:rPr>
              <w:tab/>
            </w:r>
            <w:r w:rsidR="00DA67AB">
              <w:rPr>
                <w:webHidden/>
              </w:rPr>
              <w:fldChar w:fldCharType="begin"/>
            </w:r>
            <w:r w:rsidR="00DA67AB">
              <w:rPr>
                <w:webHidden/>
              </w:rPr>
              <w:instrText xml:space="preserve"> PAGEREF _Toc456601992 \h </w:instrText>
            </w:r>
            <w:r w:rsidR="00DA67AB">
              <w:rPr>
                <w:webHidden/>
              </w:rPr>
            </w:r>
            <w:r w:rsidR="00DA67AB">
              <w:rPr>
                <w:webHidden/>
              </w:rPr>
              <w:fldChar w:fldCharType="separate"/>
            </w:r>
            <w:r w:rsidR="00740726">
              <w:rPr>
                <w:webHidden/>
              </w:rPr>
              <w:t>7-43</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93" w:history="1">
            <w:r w:rsidR="00DA67AB" w:rsidRPr="00957CE8">
              <w:rPr>
                <w:rStyle w:val="Hyperlink"/>
              </w:rPr>
              <w:t>B.7</w:t>
            </w:r>
            <w:r w:rsidR="00DA67AB">
              <w:rPr>
                <w:rFonts w:asciiTheme="minorHAnsi" w:eastAsiaTheme="minorEastAsia" w:hAnsiTheme="minorHAnsi"/>
                <w:lang w:eastAsia="en-AU"/>
              </w:rPr>
              <w:tab/>
            </w:r>
            <w:r w:rsidR="00DA67AB" w:rsidRPr="00957CE8">
              <w:rPr>
                <w:rStyle w:val="Hyperlink"/>
              </w:rPr>
              <w:t>Assessment approach</w:t>
            </w:r>
            <w:r w:rsidR="00DA67AB">
              <w:rPr>
                <w:webHidden/>
              </w:rPr>
              <w:tab/>
            </w:r>
            <w:r w:rsidR="00DA67AB">
              <w:rPr>
                <w:webHidden/>
              </w:rPr>
              <w:fldChar w:fldCharType="begin"/>
            </w:r>
            <w:r w:rsidR="00DA67AB">
              <w:rPr>
                <w:webHidden/>
              </w:rPr>
              <w:instrText xml:space="preserve"> PAGEREF _Toc456601993 \h </w:instrText>
            </w:r>
            <w:r w:rsidR="00DA67AB">
              <w:rPr>
                <w:webHidden/>
              </w:rPr>
            </w:r>
            <w:r w:rsidR="00DA67AB">
              <w:rPr>
                <w:webHidden/>
              </w:rPr>
              <w:fldChar w:fldCharType="separate"/>
            </w:r>
            <w:r w:rsidR="00740726">
              <w:rPr>
                <w:webHidden/>
              </w:rPr>
              <w:t>7-43</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94" w:history="1">
            <w:r w:rsidR="00DA67AB" w:rsidRPr="00957CE8">
              <w:rPr>
                <w:rStyle w:val="Hyperlink"/>
              </w:rPr>
              <w:t>B.7.1</w:t>
            </w:r>
            <w:r w:rsidR="00DA67AB">
              <w:rPr>
                <w:rFonts w:asciiTheme="minorHAnsi" w:eastAsiaTheme="minorEastAsia" w:hAnsiTheme="minorHAnsi"/>
                <w:lang w:eastAsia="en-AU"/>
              </w:rPr>
              <w:tab/>
            </w:r>
            <w:r w:rsidR="00DA67AB" w:rsidRPr="00957CE8">
              <w:rPr>
                <w:rStyle w:val="Hyperlink"/>
              </w:rPr>
              <w:t>Price growth</w:t>
            </w:r>
            <w:r w:rsidR="00DA67AB">
              <w:rPr>
                <w:webHidden/>
              </w:rPr>
              <w:tab/>
            </w:r>
            <w:r w:rsidR="00DA67AB">
              <w:rPr>
                <w:webHidden/>
              </w:rPr>
              <w:fldChar w:fldCharType="begin"/>
            </w:r>
            <w:r w:rsidR="00DA67AB">
              <w:rPr>
                <w:webHidden/>
              </w:rPr>
              <w:instrText xml:space="preserve"> PAGEREF _Toc456601994 \h </w:instrText>
            </w:r>
            <w:r w:rsidR="00DA67AB">
              <w:rPr>
                <w:webHidden/>
              </w:rPr>
            </w:r>
            <w:r w:rsidR="00DA67AB">
              <w:rPr>
                <w:webHidden/>
              </w:rPr>
              <w:fldChar w:fldCharType="separate"/>
            </w:r>
            <w:r w:rsidR="00740726">
              <w:rPr>
                <w:webHidden/>
              </w:rPr>
              <w:t>7-44</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95" w:history="1">
            <w:r w:rsidR="00DA67AB" w:rsidRPr="00957CE8">
              <w:rPr>
                <w:rStyle w:val="Hyperlink"/>
              </w:rPr>
              <w:t>B.7.2</w:t>
            </w:r>
            <w:r w:rsidR="00DA67AB">
              <w:rPr>
                <w:rFonts w:asciiTheme="minorHAnsi" w:eastAsiaTheme="minorEastAsia" w:hAnsiTheme="minorHAnsi"/>
                <w:lang w:eastAsia="en-AU"/>
              </w:rPr>
              <w:tab/>
            </w:r>
            <w:r w:rsidR="00DA67AB" w:rsidRPr="00957CE8">
              <w:rPr>
                <w:rStyle w:val="Hyperlink"/>
              </w:rPr>
              <w:t>Output growth</w:t>
            </w:r>
            <w:r w:rsidR="00DA67AB">
              <w:rPr>
                <w:webHidden/>
              </w:rPr>
              <w:tab/>
            </w:r>
            <w:r w:rsidR="00DA67AB">
              <w:rPr>
                <w:webHidden/>
              </w:rPr>
              <w:fldChar w:fldCharType="begin"/>
            </w:r>
            <w:r w:rsidR="00DA67AB">
              <w:rPr>
                <w:webHidden/>
              </w:rPr>
              <w:instrText xml:space="preserve"> PAGEREF _Toc456601995 \h </w:instrText>
            </w:r>
            <w:r w:rsidR="00DA67AB">
              <w:rPr>
                <w:webHidden/>
              </w:rPr>
            </w:r>
            <w:r w:rsidR="00DA67AB">
              <w:rPr>
                <w:webHidden/>
              </w:rPr>
              <w:fldChar w:fldCharType="separate"/>
            </w:r>
            <w:r w:rsidR="00740726">
              <w:rPr>
                <w:webHidden/>
              </w:rPr>
              <w:t>7-44</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96" w:history="1">
            <w:r w:rsidR="00DA67AB" w:rsidRPr="00957CE8">
              <w:rPr>
                <w:rStyle w:val="Hyperlink"/>
              </w:rPr>
              <w:t>B.7.3</w:t>
            </w:r>
            <w:r w:rsidR="00DA67AB">
              <w:rPr>
                <w:rFonts w:asciiTheme="minorHAnsi" w:eastAsiaTheme="minorEastAsia" w:hAnsiTheme="minorHAnsi"/>
                <w:lang w:eastAsia="en-AU"/>
              </w:rPr>
              <w:tab/>
            </w:r>
            <w:r w:rsidR="00DA67AB" w:rsidRPr="00957CE8">
              <w:rPr>
                <w:rStyle w:val="Hyperlink"/>
              </w:rPr>
              <w:t>Productivity</w:t>
            </w:r>
            <w:r w:rsidR="00DA67AB">
              <w:rPr>
                <w:webHidden/>
              </w:rPr>
              <w:tab/>
            </w:r>
            <w:r w:rsidR="00DA67AB">
              <w:rPr>
                <w:webHidden/>
              </w:rPr>
              <w:fldChar w:fldCharType="begin"/>
            </w:r>
            <w:r w:rsidR="00DA67AB">
              <w:rPr>
                <w:webHidden/>
              </w:rPr>
              <w:instrText xml:space="preserve"> PAGEREF _Toc456601996 \h </w:instrText>
            </w:r>
            <w:r w:rsidR="00DA67AB">
              <w:rPr>
                <w:webHidden/>
              </w:rPr>
            </w:r>
            <w:r w:rsidR="00DA67AB">
              <w:rPr>
                <w:webHidden/>
              </w:rPr>
              <w:fldChar w:fldCharType="separate"/>
            </w:r>
            <w:r w:rsidR="00740726">
              <w:rPr>
                <w:webHidden/>
              </w:rPr>
              <w:t>7-44</w:t>
            </w:r>
            <w:r w:rsidR="00DA67AB">
              <w:rPr>
                <w:webHidden/>
              </w:rPr>
              <w:fldChar w:fldCharType="end"/>
            </w:r>
          </w:hyperlink>
        </w:p>
        <w:p w:rsidR="00DA67AB" w:rsidRDefault="00F64824">
          <w:pPr>
            <w:pStyle w:val="TOC8"/>
            <w:tabs>
              <w:tab w:val="left" w:pos="3527"/>
            </w:tabs>
            <w:rPr>
              <w:rFonts w:asciiTheme="minorHAnsi" w:eastAsiaTheme="minorEastAsia" w:hAnsiTheme="minorHAnsi"/>
              <w:lang w:eastAsia="en-AU"/>
            </w:rPr>
          </w:pPr>
          <w:hyperlink w:anchor="_Toc456601997" w:history="1">
            <w:r w:rsidR="00DA67AB" w:rsidRPr="00957CE8">
              <w:rPr>
                <w:rStyle w:val="Hyperlink"/>
              </w:rPr>
              <w:t>B.8</w:t>
            </w:r>
            <w:r w:rsidR="00DA67AB">
              <w:rPr>
                <w:rFonts w:asciiTheme="minorHAnsi" w:eastAsiaTheme="minorEastAsia" w:hAnsiTheme="minorHAnsi"/>
                <w:lang w:eastAsia="en-AU"/>
              </w:rPr>
              <w:tab/>
            </w:r>
            <w:r w:rsidR="00DA67AB" w:rsidRPr="00957CE8">
              <w:rPr>
                <w:rStyle w:val="Hyperlink"/>
              </w:rPr>
              <w:t>Reasons for position</w:t>
            </w:r>
            <w:r w:rsidR="00DA67AB">
              <w:rPr>
                <w:webHidden/>
              </w:rPr>
              <w:tab/>
            </w:r>
            <w:r w:rsidR="00DA67AB">
              <w:rPr>
                <w:webHidden/>
              </w:rPr>
              <w:fldChar w:fldCharType="begin"/>
            </w:r>
            <w:r w:rsidR="00DA67AB">
              <w:rPr>
                <w:webHidden/>
              </w:rPr>
              <w:instrText xml:space="preserve"> PAGEREF _Toc456601997 \h </w:instrText>
            </w:r>
            <w:r w:rsidR="00DA67AB">
              <w:rPr>
                <w:webHidden/>
              </w:rPr>
            </w:r>
            <w:r w:rsidR="00DA67AB">
              <w:rPr>
                <w:webHidden/>
              </w:rPr>
              <w:fldChar w:fldCharType="separate"/>
            </w:r>
            <w:r w:rsidR="00740726">
              <w:rPr>
                <w:webHidden/>
              </w:rPr>
              <w:t>7-45</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1998" w:history="1">
            <w:r w:rsidR="00DA67AB" w:rsidRPr="00957CE8">
              <w:rPr>
                <w:rStyle w:val="Hyperlink"/>
              </w:rPr>
              <w:t>B.8.1</w:t>
            </w:r>
            <w:r w:rsidR="00DA67AB">
              <w:rPr>
                <w:rFonts w:asciiTheme="minorHAnsi" w:eastAsiaTheme="minorEastAsia" w:hAnsiTheme="minorHAnsi"/>
                <w:lang w:eastAsia="en-AU"/>
              </w:rPr>
              <w:tab/>
            </w:r>
            <w:r w:rsidR="00DA67AB" w:rsidRPr="00957CE8">
              <w:rPr>
                <w:rStyle w:val="Hyperlink"/>
              </w:rPr>
              <w:t>Forecast price growth</w:t>
            </w:r>
            <w:r w:rsidR="00DA67AB">
              <w:rPr>
                <w:webHidden/>
              </w:rPr>
              <w:tab/>
            </w:r>
            <w:r w:rsidR="00DA67AB">
              <w:rPr>
                <w:webHidden/>
              </w:rPr>
              <w:fldChar w:fldCharType="begin"/>
            </w:r>
            <w:r w:rsidR="00DA67AB">
              <w:rPr>
                <w:webHidden/>
              </w:rPr>
              <w:instrText xml:space="preserve"> PAGEREF _Toc456601998 \h </w:instrText>
            </w:r>
            <w:r w:rsidR="00DA67AB">
              <w:rPr>
                <w:webHidden/>
              </w:rPr>
            </w:r>
            <w:r w:rsidR="00DA67AB">
              <w:rPr>
                <w:webHidden/>
              </w:rPr>
              <w:fldChar w:fldCharType="separate"/>
            </w:r>
            <w:r w:rsidR="00740726">
              <w:rPr>
                <w:webHidden/>
              </w:rPr>
              <w:t>7-47</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1999" w:history="1">
            <w:r w:rsidR="00DA67AB" w:rsidRPr="00957CE8">
              <w:rPr>
                <w:rStyle w:val="Hyperlink"/>
              </w:rPr>
              <w:t>Choice of price measures</w:t>
            </w:r>
            <w:r w:rsidR="00DA67AB">
              <w:rPr>
                <w:webHidden/>
              </w:rPr>
              <w:tab/>
            </w:r>
            <w:r w:rsidR="00DA67AB">
              <w:rPr>
                <w:webHidden/>
              </w:rPr>
              <w:fldChar w:fldCharType="begin"/>
            </w:r>
            <w:r w:rsidR="00DA67AB">
              <w:rPr>
                <w:webHidden/>
              </w:rPr>
              <w:instrText xml:space="preserve"> PAGEREF _Toc456601999 \h </w:instrText>
            </w:r>
            <w:r w:rsidR="00DA67AB">
              <w:rPr>
                <w:webHidden/>
              </w:rPr>
            </w:r>
            <w:r w:rsidR="00DA67AB">
              <w:rPr>
                <w:webHidden/>
              </w:rPr>
              <w:fldChar w:fldCharType="separate"/>
            </w:r>
            <w:r w:rsidR="00740726">
              <w:rPr>
                <w:webHidden/>
              </w:rPr>
              <w:t>7-47</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0" w:history="1">
            <w:r w:rsidR="00DA67AB" w:rsidRPr="00957CE8">
              <w:rPr>
                <w:rStyle w:val="Hyperlink"/>
              </w:rPr>
              <w:t>Contracted services have inputs other than labour</w:t>
            </w:r>
            <w:r w:rsidR="00DA67AB">
              <w:rPr>
                <w:webHidden/>
              </w:rPr>
              <w:tab/>
            </w:r>
            <w:r w:rsidR="00DA67AB">
              <w:rPr>
                <w:webHidden/>
              </w:rPr>
              <w:fldChar w:fldCharType="begin"/>
            </w:r>
            <w:r w:rsidR="00DA67AB">
              <w:rPr>
                <w:webHidden/>
              </w:rPr>
              <w:instrText xml:space="preserve"> PAGEREF _Toc456602000 \h </w:instrText>
            </w:r>
            <w:r w:rsidR="00DA67AB">
              <w:rPr>
                <w:webHidden/>
              </w:rPr>
            </w:r>
            <w:r w:rsidR="00DA67AB">
              <w:rPr>
                <w:webHidden/>
              </w:rPr>
              <w:fldChar w:fldCharType="separate"/>
            </w:r>
            <w:r w:rsidR="00740726">
              <w:rPr>
                <w:webHidden/>
              </w:rPr>
              <w:t>7-48</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1" w:history="1">
            <w:r w:rsidR="00DA67AB" w:rsidRPr="00957CE8">
              <w:rPr>
                <w:rStyle w:val="Hyperlink"/>
              </w:rPr>
              <w:t>The construction WPI is not the appropriate price measure for contracted services labour prices</w:t>
            </w:r>
            <w:r w:rsidR="00DA67AB">
              <w:rPr>
                <w:webHidden/>
              </w:rPr>
              <w:tab/>
            </w:r>
            <w:r w:rsidR="00DA67AB">
              <w:rPr>
                <w:webHidden/>
              </w:rPr>
              <w:fldChar w:fldCharType="begin"/>
            </w:r>
            <w:r w:rsidR="00DA67AB">
              <w:rPr>
                <w:webHidden/>
              </w:rPr>
              <w:instrText xml:space="preserve"> PAGEREF _Toc456602001 \h </w:instrText>
            </w:r>
            <w:r w:rsidR="00DA67AB">
              <w:rPr>
                <w:webHidden/>
              </w:rPr>
            </w:r>
            <w:r w:rsidR="00DA67AB">
              <w:rPr>
                <w:webHidden/>
              </w:rPr>
              <w:fldChar w:fldCharType="separate"/>
            </w:r>
            <w:r w:rsidR="00740726">
              <w:rPr>
                <w:webHidden/>
              </w:rPr>
              <w:t>7-50</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2" w:history="1">
            <w:r w:rsidR="00DA67AB" w:rsidRPr="00957CE8">
              <w:rPr>
                <w:rStyle w:val="Hyperlink"/>
              </w:rPr>
              <w:t>Firm specific price weights do not provide an incentive to adopt the most efficient input mix</w:t>
            </w:r>
            <w:r w:rsidR="00DA67AB">
              <w:rPr>
                <w:webHidden/>
              </w:rPr>
              <w:tab/>
            </w:r>
            <w:r w:rsidR="00DA67AB">
              <w:rPr>
                <w:webHidden/>
              </w:rPr>
              <w:fldChar w:fldCharType="begin"/>
            </w:r>
            <w:r w:rsidR="00DA67AB">
              <w:rPr>
                <w:webHidden/>
              </w:rPr>
              <w:instrText xml:space="preserve"> PAGEREF _Toc456602002 \h </w:instrText>
            </w:r>
            <w:r w:rsidR="00DA67AB">
              <w:rPr>
                <w:webHidden/>
              </w:rPr>
            </w:r>
            <w:r w:rsidR="00DA67AB">
              <w:rPr>
                <w:webHidden/>
              </w:rPr>
              <w:fldChar w:fldCharType="separate"/>
            </w:r>
            <w:r w:rsidR="00740726">
              <w:rPr>
                <w:webHidden/>
              </w:rPr>
              <w:t>7-51</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3" w:history="1">
            <w:r w:rsidR="00DA67AB" w:rsidRPr="00957CE8">
              <w:rPr>
                <w:rStyle w:val="Hyperlink"/>
              </w:rPr>
              <w:t>Forecast labour price growth</w:t>
            </w:r>
            <w:r w:rsidR="00DA67AB">
              <w:rPr>
                <w:webHidden/>
              </w:rPr>
              <w:tab/>
            </w:r>
            <w:r w:rsidR="00DA67AB">
              <w:rPr>
                <w:webHidden/>
              </w:rPr>
              <w:fldChar w:fldCharType="begin"/>
            </w:r>
            <w:r w:rsidR="00DA67AB">
              <w:rPr>
                <w:webHidden/>
              </w:rPr>
              <w:instrText xml:space="preserve"> PAGEREF _Toc456602003 \h </w:instrText>
            </w:r>
            <w:r w:rsidR="00DA67AB">
              <w:rPr>
                <w:webHidden/>
              </w:rPr>
            </w:r>
            <w:r w:rsidR="00DA67AB">
              <w:rPr>
                <w:webHidden/>
              </w:rPr>
              <w:fldChar w:fldCharType="separate"/>
            </w:r>
            <w:r w:rsidR="00740726">
              <w:rPr>
                <w:webHidden/>
              </w:rPr>
              <w:t>7-52</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2004" w:history="1">
            <w:r w:rsidR="00DA67AB" w:rsidRPr="00957CE8">
              <w:rPr>
                <w:rStyle w:val="Hyperlink"/>
              </w:rPr>
              <w:t>B.8.2</w:t>
            </w:r>
            <w:r w:rsidR="00DA67AB">
              <w:rPr>
                <w:rFonts w:asciiTheme="minorHAnsi" w:eastAsiaTheme="minorEastAsia" w:hAnsiTheme="minorHAnsi"/>
                <w:lang w:eastAsia="en-AU"/>
              </w:rPr>
              <w:tab/>
            </w:r>
            <w:r w:rsidR="00DA67AB" w:rsidRPr="00957CE8">
              <w:rPr>
                <w:rStyle w:val="Hyperlink"/>
              </w:rPr>
              <w:t>Forecast output growth</w:t>
            </w:r>
            <w:r w:rsidR="00DA67AB">
              <w:rPr>
                <w:webHidden/>
              </w:rPr>
              <w:tab/>
            </w:r>
            <w:r w:rsidR="00DA67AB">
              <w:rPr>
                <w:webHidden/>
              </w:rPr>
              <w:fldChar w:fldCharType="begin"/>
            </w:r>
            <w:r w:rsidR="00DA67AB">
              <w:rPr>
                <w:webHidden/>
              </w:rPr>
              <w:instrText xml:space="preserve"> PAGEREF _Toc456602004 \h </w:instrText>
            </w:r>
            <w:r w:rsidR="00DA67AB">
              <w:rPr>
                <w:webHidden/>
              </w:rPr>
            </w:r>
            <w:r w:rsidR="00DA67AB">
              <w:rPr>
                <w:webHidden/>
              </w:rPr>
              <w:fldChar w:fldCharType="separate"/>
            </w:r>
            <w:r w:rsidR="00740726">
              <w:rPr>
                <w:webHidden/>
              </w:rPr>
              <w:t>7-54</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5" w:history="1">
            <w:r w:rsidR="00DA67AB" w:rsidRPr="00957CE8">
              <w:rPr>
                <w:rStyle w:val="Hyperlink"/>
              </w:rPr>
              <w:t>Our standard approach to forecasting output growth</w:t>
            </w:r>
            <w:r w:rsidR="00DA67AB">
              <w:rPr>
                <w:webHidden/>
              </w:rPr>
              <w:tab/>
            </w:r>
            <w:r w:rsidR="00DA67AB">
              <w:rPr>
                <w:webHidden/>
              </w:rPr>
              <w:fldChar w:fldCharType="begin"/>
            </w:r>
            <w:r w:rsidR="00DA67AB">
              <w:rPr>
                <w:webHidden/>
              </w:rPr>
              <w:instrText xml:space="preserve"> PAGEREF _Toc456602005 \h </w:instrText>
            </w:r>
            <w:r w:rsidR="00DA67AB">
              <w:rPr>
                <w:webHidden/>
              </w:rPr>
            </w:r>
            <w:r w:rsidR="00DA67AB">
              <w:rPr>
                <w:webHidden/>
              </w:rPr>
              <w:fldChar w:fldCharType="separate"/>
            </w:r>
            <w:r w:rsidR="00740726">
              <w:rPr>
                <w:webHidden/>
              </w:rPr>
              <w:t>7-54</w:t>
            </w:r>
            <w:r w:rsidR="00DA67AB">
              <w:rPr>
                <w:webHidden/>
              </w:rPr>
              <w:fldChar w:fldCharType="end"/>
            </w:r>
          </w:hyperlink>
        </w:p>
        <w:p w:rsidR="00DA67AB" w:rsidRDefault="00F64824">
          <w:pPr>
            <w:pStyle w:val="TOC4"/>
            <w:rPr>
              <w:rFonts w:asciiTheme="minorHAnsi" w:eastAsiaTheme="minorEastAsia" w:hAnsiTheme="minorHAnsi"/>
              <w:lang w:eastAsia="en-AU"/>
            </w:rPr>
          </w:pPr>
          <w:hyperlink w:anchor="_Toc456602006" w:history="1">
            <w:r w:rsidR="00DA67AB" w:rsidRPr="00957CE8">
              <w:rPr>
                <w:rStyle w:val="Hyperlink"/>
              </w:rPr>
              <w:t>AusNet Services will not incur opex related to new augmentation or connection assets</w:t>
            </w:r>
            <w:r w:rsidR="00DA67AB">
              <w:rPr>
                <w:webHidden/>
              </w:rPr>
              <w:tab/>
            </w:r>
            <w:r w:rsidR="00DA67AB">
              <w:rPr>
                <w:webHidden/>
              </w:rPr>
              <w:fldChar w:fldCharType="begin"/>
            </w:r>
            <w:r w:rsidR="00DA67AB">
              <w:rPr>
                <w:webHidden/>
              </w:rPr>
              <w:instrText xml:space="preserve"> PAGEREF _Toc456602006 \h </w:instrText>
            </w:r>
            <w:r w:rsidR="00DA67AB">
              <w:rPr>
                <w:webHidden/>
              </w:rPr>
            </w:r>
            <w:r w:rsidR="00DA67AB">
              <w:rPr>
                <w:webHidden/>
              </w:rPr>
              <w:fldChar w:fldCharType="separate"/>
            </w:r>
            <w:r w:rsidR="00740726">
              <w:rPr>
                <w:webHidden/>
              </w:rPr>
              <w:t>7-54</w:t>
            </w:r>
            <w:r w:rsidR="00DA67AB">
              <w:rPr>
                <w:webHidden/>
              </w:rPr>
              <w:fldChar w:fldCharType="end"/>
            </w:r>
          </w:hyperlink>
        </w:p>
        <w:p w:rsidR="00DA67AB" w:rsidRDefault="00F64824">
          <w:pPr>
            <w:pStyle w:val="TOC9"/>
            <w:tabs>
              <w:tab w:val="left" w:pos="4136"/>
            </w:tabs>
            <w:rPr>
              <w:rFonts w:asciiTheme="minorHAnsi" w:eastAsiaTheme="minorEastAsia" w:hAnsiTheme="minorHAnsi"/>
              <w:lang w:eastAsia="en-AU"/>
            </w:rPr>
          </w:pPr>
          <w:hyperlink w:anchor="_Toc456602007" w:history="1">
            <w:r w:rsidR="00DA67AB" w:rsidRPr="00957CE8">
              <w:rPr>
                <w:rStyle w:val="Hyperlink"/>
              </w:rPr>
              <w:t>B.8.3</w:t>
            </w:r>
            <w:r w:rsidR="00DA67AB">
              <w:rPr>
                <w:rFonts w:asciiTheme="minorHAnsi" w:eastAsiaTheme="minorEastAsia" w:hAnsiTheme="minorHAnsi"/>
                <w:lang w:eastAsia="en-AU"/>
              </w:rPr>
              <w:tab/>
            </w:r>
            <w:r w:rsidR="00DA67AB" w:rsidRPr="00957CE8">
              <w:rPr>
                <w:rStyle w:val="Hyperlink"/>
              </w:rPr>
              <w:t>Forecast productivity growth</w:t>
            </w:r>
            <w:r w:rsidR="00DA67AB">
              <w:rPr>
                <w:webHidden/>
              </w:rPr>
              <w:tab/>
            </w:r>
            <w:r w:rsidR="00DA67AB">
              <w:rPr>
                <w:webHidden/>
              </w:rPr>
              <w:fldChar w:fldCharType="begin"/>
            </w:r>
            <w:r w:rsidR="00DA67AB">
              <w:rPr>
                <w:webHidden/>
              </w:rPr>
              <w:instrText xml:space="preserve"> PAGEREF _Toc456602007 \h </w:instrText>
            </w:r>
            <w:r w:rsidR="00DA67AB">
              <w:rPr>
                <w:webHidden/>
              </w:rPr>
            </w:r>
            <w:r w:rsidR="00DA67AB">
              <w:rPr>
                <w:webHidden/>
              </w:rPr>
              <w:fldChar w:fldCharType="separate"/>
            </w:r>
            <w:r w:rsidR="00740726">
              <w:rPr>
                <w:webHidden/>
              </w:rPr>
              <w:t>7-56</w:t>
            </w:r>
            <w:r w:rsidR="00DA67AB">
              <w:rPr>
                <w:webHidden/>
              </w:rPr>
              <w:fldChar w:fldCharType="end"/>
            </w:r>
          </w:hyperlink>
        </w:p>
        <w:p w:rsidR="00DA67AB" w:rsidRDefault="00F64824">
          <w:pPr>
            <w:pStyle w:val="TOC7"/>
            <w:tabs>
              <w:tab w:val="left" w:pos="2977"/>
            </w:tabs>
            <w:rPr>
              <w:rFonts w:asciiTheme="minorHAnsi" w:eastAsiaTheme="minorEastAsia" w:hAnsiTheme="minorHAnsi"/>
              <w:lang w:eastAsia="en-AU"/>
            </w:rPr>
          </w:pPr>
          <w:hyperlink w:anchor="_Toc456602008" w:history="1">
            <w:r w:rsidR="00DA67AB" w:rsidRPr="00957CE8">
              <w:rPr>
                <w:rStyle w:val="Hyperlink"/>
              </w:rPr>
              <w:t>C</w:t>
            </w:r>
            <w:r w:rsidR="00DA67AB">
              <w:rPr>
                <w:rFonts w:asciiTheme="minorHAnsi" w:eastAsiaTheme="minorEastAsia" w:hAnsiTheme="minorHAnsi"/>
                <w:lang w:eastAsia="en-AU"/>
              </w:rPr>
              <w:tab/>
            </w:r>
            <w:r w:rsidR="00DA67AB" w:rsidRPr="00957CE8">
              <w:rPr>
                <w:rStyle w:val="Hyperlink"/>
              </w:rPr>
              <w:t>Step changes</w:t>
            </w:r>
            <w:r w:rsidR="00DA67AB">
              <w:rPr>
                <w:webHidden/>
              </w:rPr>
              <w:tab/>
            </w:r>
            <w:r w:rsidR="00DA67AB">
              <w:rPr>
                <w:webHidden/>
              </w:rPr>
              <w:fldChar w:fldCharType="begin"/>
            </w:r>
            <w:r w:rsidR="00DA67AB">
              <w:rPr>
                <w:webHidden/>
              </w:rPr>
              <w:instrText xml:space="preserve"> PAGEREF _Toc456602008 \h </w:instrText>
            </w:r>
            <w:r w:rsidR="00DA67AB">
              <w:rPr>
                <w:webHidden/>
              </w:rPr>
            </w:r>
            <w:r w:rsidR="00DA67AB">
              <w:rPr>
                <w:webHidden/>
              </w:rPr>
              <w:fldChar w:fldCharType="separate"/>
            </w:r>
            <w:r w:rsidR="00740726">
              <w:rPr>
                <w:webHidden/>
              </w:rPr>
              <w:t>7-59</w:t>
            </w:r>
            <w:r w:rsidR="00DA67AB">
              <w:rPr>
                <w:webHidden/>
              </w:rPr>
              <w:fldChar w:fldCharType="end"/>
            </w:r>
          </w:hyperlink>
        </w:p>
        <w:p w:rsidR="00DA67AB" w:rsidRDefault="00F64824">
          <w:pPr>
            <w:pStyle w:val="TOC8"/>
            <w:tabs>
              <w:tab w:val="left" w:pos="3539"/>
            </w:tabs>
            <w:rPr>
              <w:rFonts w:asciiTheme="minorHAnsi" w:eastAsiaTheme="minorEastAsia" w:hAnsiTheme="minorHAnsi"/>
              <w:lang w:eastAsia="en-AU"/>
            </w:rPr>
          </w:pPr>
          <w:hyperlink w:anchor="_Toc456602009" w:history="1">
            <w:r w:rsidR="00DA67AB" w:rsidRPr="00957CE8">
              <w:rPr>
                <w:rStyle w:val="Hyperlink"/>
              </w:rPr>
              <w:t>C.1</w:t>
            </w:r>
            <w:r w:rsidR="00DA67AB">
              <w:rPr>
                <w:rFonts w:asciiTheme="minorHAnsi" w:eastAsiaTheme="minorEastAsia" w:hAnsiTheme="minorHAnsi"/>
                <w:lang w:eastAsia="en-AU"/>
              </w:rPr>
              <w:tab/>
            </w:r>
            <w:r w:rsidR="00DA67AB" w:rsidRPr="00957CE8">
              <w:rPr>
                <w:rStyle w:val="Hyperlink"/>
              </w:rPr>
              <w:t>Position</w:t>
            </w:r>
            <w:r w:rsidR="00DA67AB">
              <w:rPr>
                <w:webHidden/>
              </w:rPr>
              <w:tab/>
            </w:r>
            <w:r w:rsidR="00DA67AB">
              <w:rPr>
                <w:webHidden/>
              </w:rPr>
              <w:fldChar w:fldCharType="begin"/>
            </w:r>
            <w:r w:rsidR="00DA67AB">
              <w:rPr>
                <w:webHidden/>
              </w:rPr>
              <w:instrText xml:space="preserve"> PAGEREF _Toc456602009 \h </w:instrText>
            </w:r>
            <w:r w:rsidR="00DA67AB">
              <w:rPr>
                <w:webHidden/>
              </w:rPr>
            </w:r>
            <w:r w:rsidR="00DA67AB">
              <w:rPr>
                <w:webHidden/>
              </w:rPr>
              <w:fldChar w:fldCharType="separate"/>
            </w:r>
            <w:r w:rsidR="00740726">
              <w:rPr>
                <w:webHidden/>
              </w:rPr>
              <w:t>7-59</w:t>
            </w:r>
            <w:r w:rsidR="00DA67AB">
              <w:rPr>
                <w:webHidden/>
              </w:rPr>
              <w:fldChar w:fldCharType="end"/>
            </w:r>
          </w:hyperlink>
        </w:p>
        <w:p w:rsidR="00DA67AB" w:rsidRDefault="00F64824">
          <w:pPr>
            <w:pStyle w:val="TOC8"/>
            <w:tabs>
              <w:tab w:val="left" w:pos="3539"/>
            </w:tabs>
            <w:rPr>
              <w:rFonts w:asciiTheme="minorHAnsi" w:eastAsiaTheme="minorEastAsia" w:hAnsiTheme="minorHAnsi"/>
              <w:lang w:eastAsia="en-AU"/>
            </w:rPr>
          </w:pPr>
          <w:hyperlink w:anchor="_Toc456602010" w:history="1">
            <w:r w:rsidR="00DA67AB" w:rsidRPr="00957CE8">
              <w:rPr>
                <w:rStyle w:val="Hyperlink"/>
              </w:rPr>
              <w:t>C.2</w:t>
            </w:r>
            <w:r w:rsidR="00DA67AB">
              <w:rPr>
                <w:rFonts w:asciiTheme="minorHAnsi" w:eastAsiaTheme="minorEastAsia" w:hAnsiTheme="minorHAnsi"/>
                <w:lang w:eastAsia="en-AU"/>
              </w:rPr>
              <w:tab/>
            </w:r>
            <w:r w:rsidR="00DA67AB" w:rsidRPr="00957CE8">
              <w:rPr>
                <w:rStyle w:val="Hyperlink"/>
              </w:rPr>
              <w:t>AusNet Services' proposal</w:t>
            </w:r>
            <w:r w:rsidR="00DA67AB">
              <w:rPr>
                <w:webHidden/>
              </w:rPr>
              <w:tab/>
            </w:r>
            <w:r w:rsidR="00DA67AB">
              <w:rPr>
                <w:webHidden/>
              </w:rPr>
              <w:fldChar w:fldCharType="begin"/>
            </w:r>
            <w:r w:rsidR="00DA67AB">
              <w:rPr>
                <w:webHidden/>
              </w:rPr>
              <w:instrText xml:space="preserve"> PAGEREF _Toc456602010 \h </w:instrText>
            </w:r>
            <w:r w:rsidR="00DA67AB">
              <w:rPr>
                <w:webHidden/>
              </w:rPr>
            </w:r>
            <w:r w:rsidR="00DA67AB">
              <w:rPr>
                <w:webHidden/>
              </w:rPr>
              <w:fldChar w:fldCharType="separate"/>
            </w:r>
            <w:r w:rsidR="00740726">
              <w:rPr>
                <w:webHidden/>
              </w:rPr>
              <w:t>7-59</w:t>
            </w:r>
            <w:r w:rsidR="00DA67AB">
              <w:rPr>
                <w:webHidden/>
              </w:rPr>
              <w:fldChar w:fldCharType="end"/>
            </w:r>
          </w:hyperlink>
        </w:p>
        <w:p w:rsidR="00DA67AB" w:rsidRDefault="00F64824">
          <w:pPr>
            <w:pStyle w:val="TOC8"/>
            <w:tabs>
              <w:tab w:val="left" w:pos="3539"/>
            </w:tabs>
            <w:rPr>
              <w:rFonts w:asciiTheme="minorHAnsi" w:eastAsiaTheme="minorEastAsia" w:hAnsiTheme="minorHAnsi"/>
              <w:lang w:eastAsia="en-AU"/>
            </w:rPr>
          </w:pPr>
          <w:hyperlink w:anchor="_Toc456602011" w:history="1">
            <w:r w:rsidR="00DA67AB" w:rsidRPr="00957CE8">
              <w:rPr>
                <w:rStyle w:val="Hyperlink"/>
              </w:rPr>
              <w:t>C.3</w:t>
            </w:r>
            <w:r w:rsidR="00DA67AB">
              <w:rPr>
                <w:rFonts w:asciiTheme="minorHAnsi" w:eastAsiaTheme="minorEastAsia" w:hAnsiTheme="minorHAnsi"/>
                <w:lang w:eastAsia="en-AU"/>
              </w:rPr>
              <w:tab/>
            </w:r>
            <w:r w:rsidR="00DA67AB" w:rsidRPr="00957CE8">
              <w:rPr>
                <w:rStyle w:val="Hyperlink"/>
              </w:rPr>
              <w:t>Assessment approach</w:t>
            </w:r>
            <w:r w:rsidR="00DA67AB">
              <w:rPr>
                <w:webHidden/>
              </w:rPr>
              <w:tab/>
            </w:r>
            <w:r w:rsidR="00DA67AB">
              <w:rPr>
                <w:webHidden/>
              </w:rPr>
              <w:fldChar w:fldCharType="begin"/>
            </w:r>
            <w:r w:rsidR="00DA67AB">
              <w:rPr>
                <w:webHidden/>
              </w:rPr>
              <w:instrText xml:space="preserve"> PAGEREF _Toc456602011 \h </w:instrText>
            </w:r>
            <w:r w:rsidR="00DA67AB">
              <w:rPr>
                <w:webHidden/>
              </w:rPr>
            </w:r>
            <w:r w:rsidR="00DA67AB">
              <w:rPr>
                <w:webHidden/>
              </w:rPr>
              <w:fldChar w:fldCharType="separate"/>
            </w:r>
            <w:r w:rsidR="00740726">
              <w:rPr>
                <w:webHidden/>
              </w:rPr>
              <w:t>7-60</w:t>
            </w:r>
            <w:r w:rsidR="00DA67AB">
              <w:rPr>
                <w:webHidden/>
              </w:rPr>
              <w:fldChar w:fldCharType="end"/>
            </w:r>
          </w:hyperlink>
        </w:p>
        <w:p w:rsidR="00DA67AB" w:rsidRDefault="00F64824">
          <w:pPr>
            <w:pStyle w:val="TOC8"/>
            <w:tabs>
              <w:tab w:val="left" w:pos="3539"/>
            </w:tabs>
            <w:rPr>
              <w:rFonts w:asciiTheme="minorHAnsi" w:eastAsiaTheme="minorEastAsia" w:hAnsiTheme="minorHAnsi"/>
              <w:lang w:eastAsia="en-AU"/>
            </w:rPr>
          </w:pPr>
          <w:hyperlink w:anchor="_Toc456602012" w:history="1">
            <w:r w:rsidR="00DA67AB" w:rsidRPr="00957CE8">
              <w:rPr>
                <w:rStyle w:val="Hyperlink"/>
              </w:rPr>
              <w:t>C.4</w:t>
            </w:r>
            <w:r w:rsidR="00DA67AB">
              <w:rPr>
                <w:rFonts w:asciiTheme="minorHAnsi" w:eastAsiaTheme="minorEastAsia" w:hAnsiTheme="minorHAnsi"/>
                <w:lang w:eastAsia="en-AU"/>
              </w:rPr>
              <w:tab/>
            </w:r>
            <w:r w:rsidR="00DA67AB" w:rsidRPr="00957CE8">
              <w:rPr>
                <w:rStyle w:val="Hyperlink"/>
              </w:rPr>
              <w:t>Reasons for preliminary decision</w:t>
            </w:r>
            <w:r w:rsidR="00DA67AB">
              <w:rPr>
                <w:webHidden/>
              </w:rPr>
              <w:tab/>
            </w:r>
            <w:r w:rsidR="00DA67AB">
              <w:rPr>
                <w:webHidden/>
              </w:rPr>
              <w:fldChar w:fldCharType="begin"/>
            </w:r>
            <w:r w:rsidR="00DA67AB">
              <w:rPr>
                <w:webHidden/>
              </w:rPr>
              <w:instrText xml:space="preserve"> PAGEREF _Toc456602012 \h </w:instrText>
            </w:r>
            <w:r w:rsidR="00DA67AB">
              <w:rPr>
                <w:webHidden/>
              </w:rPr>
            </w:r>
            <w:r w:rsidR="00DA67AB">
              <w:rPr>
                <w:webHidden/>
              </w:rPr>
              <w:fldChar w:fldCharType="separate"/>
            </w:r>
            <w:r w:rsidR="00740726">
              <w:rPr>
                <w:webHidden/>
              </w:rPr>
              <w:t>7-62</w:t>
            </w:r>
            <w:r w:rsidR="00DA67AB">
              <w:rPr>
                <w:webHidden/>
              </w:rPr>
              <w:fldChar w:fldCharType="end"/>
            </w:r>
          </w:hyperlink>
        </w:p>
        <w:p w:rsidR="00DA67AB" w:rsidRDefault="00F64824">
          <w:pPr>
            <w:pStyle w:val="TOC9"/>
            <w:tabs>
              <w:tab w:val="left" w:pos="4148"/>
            </w:tabs>
            <w:rPr>
              <w:rFonts w:asciiTheme="minorHAnsi" w:eastAsiaTheme="minorEastAsia" w:hAnsiTheme="minorHAnsi"/>
              <w:lang w:eastAsia="en-AU"/>
            </w:rPr>
          </w:pPr>
          <w:hyperlink w:anchor="_Toc456602013" w:history="1">
            <w:r w:rsidR="00DA67AB" w:rsidRPr="00957CE8">
              <w:rPr>
                <w:rStyle w:val="Hyperlink"/>
              </w:rPr>
              <w:t>C.4.1</w:t>
            </w:r>
            <w:r w:rsidR="00DA67AB">
              <w:rPr>
                <w:rFonts w:asciiTheme="minorHAnsi" w:eastAsiaTheme="minorEastAsia" w:hAnsiTheme="minorHAnsi"/>
                <w:lang w:eastAsia="en-AU"/>
              </w:rPr>
              <w:tab/>
            </w:r>
            <w:r w:rsidR="00DA67AB" w:rsidRPr="00957CE8">
              <w:rPr>
                <w:rStyle w:val="Hyperlink"/>
              </w:rPr>
              <w:t>Establishment of IT security team</w:t>
            </w:r>
            <w:r w:rsidR="00DA67AB">
              <w:rPr>
                <w:webHidden/>
              </w:rPr>
              <w:tab/>
            </w:r>
            <w:r w:rsidR="00DA67AB">
              <w:rPr>
                <w:webHidden/>
              </w:rPr>
              <w:fldChar w:fldCharType="begin"/>
            </w:r>
            <w:r w:rsidR="00DA67AB">
              <w:rPr>
                <w:webHidden/>
              </w:rPr>
              <w:instrText xml:space="preserve"> PAGEREF _Toc456602013 \h </w:instrText>
            </w:r>
            <w:r w:rsidR="00DA67AB">
              <w:rPr>
                <w:webHidden/>
              </w:rPr>
            </w:r>
            <w:r w:rsidR="00DA67AB">
              <w:rPr>
                <w:webHidden/>
              </w:rPr>
              <w:fldChar w:fldCharType="separate"/>
            </w:r>
            <w:r w:rsidR="00740726">
              <w:rPr>
                <w:webHidden/>
              </w:rPr>
              <w:t>7-62</w:t>
            </w:r>
            <w:r w:rsidR="00DA67AB">
              <w:rPr>
                <w:webHidden/>
              </w:rPr>
              <w:fldChar w:fldCharType="end"/>
            </w:r>
          </w:hyperlink>
        </w:p>
        <w:p w:rsidR="00DA67AB" w:rsidRDefault="00F64824">
          <w:pPr>
            <w:pStyle w:val="TOC9"/>
            <w:tabs>
              <w:tab w:val="left" w:pos="4148"/>
            </w:tabs>
            <w:rPr>
              <w:rFonts w:asciiTheme="minorHAnsi" w:eastAsiaTheme="minorEastAsia" w:hAnsiTheme="minorHAnsi"/>
              <w:lang w:eastAsia="en-AU"/>
            </w:rPr>
          </w:pPr>
          <w:hyperlink w:anchor="_Toc456602014" w:history="1">
            <w:r w:rsidR="00DA67AB" w:rsidRPr="00957CE8">
              <w:rPr>
                <w:rStyle w:val="Hyperlink"/>
              </w:rPr>
              <w:t>C.4.2</w:t>
            </w:r>
            <w:r w:rsidR="00DA67AB">
              <w:rPr>
                <w:rFonts w:asciiTheme="minorHAnsi" w:eastAsiaTheme="minorEastAsia" w:hAnsiTheme="minorHAnsi"/>
                <w:lang w:eastAsia="en-AU"/>
              </w:rPr>
              <w:tab/>
            </w:r>
            <w:r w:rsidR="00DA67AB" w:rsidRPr="00957CE8">
              <w:rPr>
                <w:rStyle w:val="Hyperlink"/>
              </w:rPr>
              <w:t>New emergency response arrangements</w:t>
            </w:r>
            <w:r w:rsidR="00DA67AB">
              <w:rPr>
                <w:webHidden/>
              </w:rPr>
              <w:tab/>
            </w:r>
            <w:r w:rsidR="00DA67AB">
              <w:rPr>
                <w:webHidden/>
              </w:rPr>
              <w:fldChar w:fldCharType="begin"/>
            </w:r>
            <w:r w:rsidR="00DA67AB">
              <w:rPr>
                <w:webHidden/>
              </w:rPr>
              <w:instrText xml:space="preserve"> PAGEREF _Toc456602014 \h </w:instrText>
            </w:r>
            <w:r w:rsidR="00DA67AB">
              <w:rPr>
                <w:webHidden/>
              </w:rPr>
            </w:r>
            <w:r w:rsidR="00DA67AB">
              <w:rPr>
                <w:webHidden/>
              </w:rPr>
              <w:fldChar w:fldCharType="separate"/>
            </w:r>
            <w:r w:rsidR="00740726">
              <w:rPr>
                <w:webHidden/>
              </w:rPr>
              <w:t>7-63</w:t>
            </w:r>
            <w:r w:rsidR="00DA67AB">
              <w:rPr>
                <w:webHidden/>
              </w:rPr>
              <w:fldChar w:fldCharType="end"/>
            </w:r>
          </w:hyperlink>
        </w:p>
        <w:p w:rsidR="00DA67AB" w:rsidRDefault="00F64824">
          <w:pPr>
            <w:pStyle w:val="TOC9"/>
            <w:tabs>
              <w:tab w:val="left" w:pos="4148"/>
            </w:tabs>
            <w:rPr>
              <w:rFonts w:asciiTheme="minorHAnsi" w:eastAsiaTheme="minorEastAsia" w:hAnsiTheme="minorHAnsi"/>
              <w:lang w:eastAsia="en-AU"/>
            </w:rPr>
          </w:pPr>
          <w:hyperlink w:anchor="_Toc456602015" w:history="1">
            <w:r w:rsidR="00DA67AB" w:rsidRPr="00957CE8">
              <w:rPr>
                <w:rStyle w:val="Hyperlink"/>
              </w:rPr>
              <w:t>C.4.3</w:t>
            </w:r>
            <w:r w:rsidR="00DA67AB">
              <w:rPr>
                <w:rFonts w:asciiTheme="minorHAnsi" w:eastAsiaTheme="minorEastAsia" w:hAnsiTheme="minorHAnsi"/>
                <w:lang w:eastAsia="en-AU"/>
              </w:rPr>
              <w:tab/>
            </w:r>
            <w:r w:rsidR="00DA67AB" w:rsidRPr="00957CE8">
              <w:rPr>
                <w:rStyle w:val="Hyperlink"/>
              </w:rPr>
              <w:t>Smart Aerial Image Processing (SAIP) roll out</w:t>
            </w:r>
            <w:r w:rsidR="00DA67AB">
              <w:rPr>
                <w:webHidden/>
              </w:rPr>
              <w:tab/>
            </w:r>
            <w:r w:rsidR="00DA67AB">
              <w:rPr>
                <w:webHidden/>
              </w:rPr>
              <w:fldChar w:fldCharType="begin"/>
            </w:r>
            <w:r w:rsidR="00DA67AB">
              <w:rPr>
                <w:webHidden/>
              </w:rPr>
              <w:instrText xml:space="preserve"> PAGEREF _Toc456602015 \h </w:instrText>
            </w:r>
            <w:r w:rsidR="00DA67AB">
              <w:rPr>
                <w:webHidden/>
              </w:rPr>
            </w:r>
            <w:r w:rsidR="00DA67AB">
              <w:rPr>
                <w:webHidden/>
              </w:rPr>
              <w:fldChar w:fldCharType="separate"/>
            </w:r>
            <w:r w:rsidR="00740726">
              <w:rPr>
                <w:webHidden/>
              </w:rPr>
              <w:t>7-65</w:t>
            </w:r>
            <w:r w:rsidR="00DA67AB">
              <w:rPr>
                <w:webHidden/>
              </w:rPr>
              <w:fldChar w:fldCharType="end"/>
            </w:r>
          </w:hyperlink>
        </w:p>
        <w:p w:rsidR="00DA67AB" w:rsidRDefault="00F64824">
          <w:pPr>
            <w:pStyle w:val="TOC9"/>
            <w:tabs>
              <w:tab w:val="left" w:pos="4148"/>
            </w:tabs>
            <w:rPr>
              <w:rFonts w:asciiTheme="minorHAnsi" w:eastAsiaTheme="minorEastAsia" w:hAnsiTheme="minorHAnsi"/>
              <w:lang w:eastAsia="en-AU"/>
            </w:rPr>
          </w:pPr>
          <w:hyperlink w:anchor="_Toc456602016" w:history="1">
            <w:r w:rsidR="00DA67AB" w:rsidRPr="00957CE8">
              <w:rPr>
                <w:rStyle w:val="Hyperlink"/>
              </w:rPr>
              <w:t>C.4.4</w:t>
            </w:r>
            <w:r w:rsidR="00DA67AB">
              <w:rPr>
                <w:rFonts w:asciiTheme="minorHAnsi" w:eastAsiaTheme="minorEastAsia" w:hAnsiTheme="minorHAnsi"/>
                <w:lang w:eastAsia="en-AU"/>
              </w:rPr>
              <w:tab/>
            </w:r>
            <w:r w:rsidR="00DA67AB" w:rsidRPr="00957CE8">
              <w:rPr>
                <w:rStyle w:val="Hyperlink"/>
              </w:rPr>
              <w:t>Step changes for non-recurrent expenditure</w:t>
            </w:r>
            <w:r w:rsidR="00DA67AB">
              <w:rPr>
                <w:webHidden/>
              </w:rPr>
              <w:tab/>
            </w:r>
            <w:r w:rsidR="00DA67AB">
              <w:rPr>
                <w:webHidden/>
              </w:rPr>
              <w:fldChar w:fldCharType="begin"/>
            </w:r>
            <w:r w:rsidR="00DA67AB">
              <w:rPr>
                <w:webHidden/>
              </w:rPr>
              <w:instrText xml:space="preserve"> PAGEREF _Toc456602016 \h </w:instrText>
            </w:r>
            <w:r w:rsidR="00DA67AB">
              <w:rPr>
                <w:webHidden/>
              </w:rPr>
            </w:r>
            <w:r w:rsidR="00DA67AB">
              <w:rPr>
                <w:webHidden/>
              </w:rPr>
              <w:fldChar w:fldCharType="separate"/>
            </w:r>
            <w:r w:rsidR="00740726">
              <w:rPr>
                <w:webHidden/>
              </w:rPr>
              <w:t>7-67</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2017" w:history="1">
            <w:r w:rsidR="00DA67AB" w:rsidRPr="00957CE8">
              <w:rPr>
                <w:rStyle w:val="Hyperlink"/>
              </w:rPr>
              <w:t>WMTS mobile switchboard</w:t>
            </w:r>
            <w:r w:rsidR="00DA67AB">
              <w:rPr>
                <w:webHidden/>
              </w:rPr>
              <w:tab/>
            </w:r>
            <w:r w:rsidR="00DA67AB">
              <w:rPr>
                <w:webHidden/>
              </w:rPr>
              <w:fldChar w:fldCharType="begin"/>
            </w:r>
            <w:r w:rsidR="00DA67AB">
              <w:rPr>
                <w:webHidden/>
              </w:rPr>
              <w:instrText xml:space="preserve"> PAGEREF _Toc456602017 \h </w:instrText>
            </w:r>
            <w:r w:rsidR="00DA67AB">
              <w:rPr>
                <w:webHidden/>
              </w:rPr>
            </w:r>
            <w:r w:rsidR="00DA67AB">
              <w:rPr>
                <w:webHidden/>
              </w:rPr>
              <w:fldChar w:fldCharType="separate"/>
            </w:r>
            <w:r w:rsidR="00740726">
              <w:rPr>
                <w:webHidden/>
              </w:rPr>
              <w:t>7-67</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2018" w:history="1">
            <w:r w:rsidR="00DA67AB" w:rsidRPr="00957CE8">
              <w:rPr>
                <w:rStyle w:val="Hyperlink"/>
              </w:rPr>
              <w:t>Decommissioning of three synchronous condensers</w:t>
            </w:r>
            <w:r w:rsidR="00DA67AB">
              <w:rPr>
                <w:webHidden/>
              </w:rPr>
              <w:tab/>
            </w:r>
            <w:r w:rsidR="00DA67AB">
              <w:rPr>
                <w:webHidden/>
              </w:rPr>
              <w:fldChar w:fldCharType="begin"/>
            </w:r>
            <w:r w:rsidR="00DA67AB">
              <w:rPr>
                <w:webHidden/>
              </w:rPr>
              <w:instrText xml:space="preserve"> PAGEREF _Toc456602018 \h </w:instrText>
            </w:r>
            <w:r w:rsidR="00DA67AB">
              <w:rPr>
                <w:webHidden/>
              </w:rPr>
            </w:r>
            <w:r w:rsidR="00DA67AB">
              <w:rPr>
                <w:webHidden/>
              </w:rPr>
              <w:fldChar w:fldCharType="separate"/>
            </w:r>
            <w:r w:rsidR="00740726">
              <w:rPr>
                <w:webHidden/>
              </w:rPr>
              <w:t>7-67</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2019" w:history="1">
            <w:r w:rsidR="00DA67AB" w:rsidRPr="00957CE8">
              <w:rPr>
                <w:rStyle w:val="Hyperlink"/>
              </w:rPr>
              <w:t>Decommissioning of assets at Morwell Power Station</w:t>
            </w:r>
            <w:r w:rsidR="00DA67AB">
              <w:rPr>
                <w:webHidden/>
              </w:rPr>
              <w:tab/>
            </w:r>
            <w:r w:rsidR="00DA67AB">
              <w:rPr>
                <w:webHidden/>
              </w:rPr>
              <w:fldChar w:fldCharType="begin"/>
            </w:r>
            <w:r w:rsidR="00DA67AB">
              <w:rPr>
                <w:webHidden/>
              </w:rPr>
              <w:instrText xml:space="preserve"> PAGEREF _Toc456602019 \h </w:instrText>
            </w:r>
            <w:r w:rsidR="00DA67AB">
              <w:rPr>
                <w:webHidden/>
              </w:rPr>
            </w:r>
            <w:r w:rsidR="00DA67AB">
              <w:rPr>
                <w:webHidden/>
              </w:rPr>
              <w:fldChar w:fldCharType="separate"/>
            </w:r>
            <w:r w:rsidR="00740726">
              <w:rPr>
                <w:webHidden/>
              </w:rPr>
              <w:t>7-68</w:t>
            </w:r>
            <w:r w:rsidR="00DA67AB">
              <w:rPr>
                <w:webHidden/>
              </w:rPr>
              <w:fldChar w:fldCharType="end"/>
            </w:r>
          </w:hyperlink>
        </w:p>
        <w:p w:rsidR="00DA67AB" w:rsidRDefault="00F64824">
          <w:pPr>
            <w:pStyle w:val="TOC5"/>
            <w:rPr>
              <w:rFonts w:asciiTheme="minorHAnsi" w:eastAsiaTheme="minorEastAsia" w:hAnsiTheme="minorHAnsi"/>
              <w:lang w:eastAsia="en-AU"/>
            </w:rPr>
          </w:pPr>
          <w:hyperlink w:anchor="_Toc456602020" w:history="1">
            <w:r w:rsidR="00DA67AB" w:rsidRPr="00957CE8">
              <w:rPr>
                <w:rStyle w:val="Hyperlink"/>
              </w:rPr>
              <w:t>Assessment</w:t>
            </w:r>
            <w:r w:rsidR="00DA67AB">
              <w:rPr>
                <w:webHidden/>
              </w:rPr>
              <w:tab/>
            </w:r>
            <w:r w:rsidR="00DA67AB">
              <w:rPr>
                <w:webHidden/>
              </w:rPr>
              <w:fldChar w:fldCharType="begin"/>
            </w:r>
            <w:r w:rsidR="00DA67AB">
              <w:rPr>
                <w:webHidden/>
              </w:rPr>
              <w:instrText xml:space="preserve"> PAGEREF _Toc456602020 \h </w:instrText>
            </w:r>
            <w:r w:rsidR="00DA67AB">
              <w:rPr>
                <w:webHidden/>
              </w:rPr>
            </w:r>
            <w:r w:rsidR="00DA67AB">
              <w:rPr>
                <w:webHidden/>
              </w:rPr>
              <w:fldChar w:fldCharType="separate"/>
            </w:r>
            <w:r w:rsidR="00740726">
              <w:rPr>
                <w:webHidden/>
              </w:rPr>
              <w:t>7-68</w:t>
            </w:r>
            <w:r w:rsidR="00DA67AB">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2C1039">
      <w:pPr>
        <w:pStyle w:val="UnnumberedHeading"/>
        <w:numPr>
          <w:ilvl w:val="0"/>
          <w:numId w:val="23"/>
        </w:numPr>
      </w:pPr>
      <w:bookmarkStart w:id="9" w:name="_Toc404700925"/>
      <w:bookmarkStart w:id="10" w:name="_Toc456601953"/>
      <w:r>
        <w:lastRenderedPageBreak/>
        <w:t>Shortened forms</w:t>
      </w:r>
      <w:bookmarkEnd w:id="9"/>
      <w:bookmarkEnd w:id="10"/>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Shortened form</w:t>
            </w:r>
          </w:p>
        </w:tc>
        <w:tc>
          <w:tcPr>
            <w:tcW w:w="4621" w:type="dxa"/>
          </w:tcPr>
          <w:p w:rsidR="00415F31" w:rsidRDefault="00415F31" w:rsidP="002C1039">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AARR</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AEMC</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AEMO</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AER</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ASRR</w:t>
            </w:r>
          </w:p>
        </w:tc>
        <w:tc>
          <w:tcPr>
            <w:tcW w:w="4621" w:type="dxa"/>
          </w:tcPr>
          <w:p w:rsidR="00415F31" w:rsidRDefault="009D3906"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proofErr w:type="spellStart"/>
            <w:r>
              <w:t>augex</w:t>
            </w:r>
            <w:proofErr w:type="spellEnd"/>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capex</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CCP</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CESS</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CPI</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DRP</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EBSS</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ERP</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MAR</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MRP</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NEL</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NEM</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NEO</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NER</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NSP</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lastRenderedPageBreak/>
              <w:t>NTSC</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opex</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PPI</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PTRM</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RAB</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RBA</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repex</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RFM</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RIN</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RPP</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SLCAPM</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STPIS</w:t>
            </w:r>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TNSP</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proofErr w:type="spellStart"/>
            <w:r>
              <w:t>TUoS</w:t>
            </w:r>
            <w:proofErr w:type="spellEnd"/>
          </w:p>
        </w:tc>
        <w:tc>
          <w:tcPr>
            <w:tcW w:w="4621" w:type="dxa"/>
          </w:tcPr>
          <w:p w:rsidR="00415F31" w:rsidRDefault="00415F31" w:rsidP="002C1039">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C1039">
            <w:pPr>
              <w:numPr>
                <w:ilvl w:val="0"/>
                <w:numId w:val="24"/>
              </w:numPr>
              <w:spacing w:after="240" w:line="288" w:lineRule="auto"/>
              <w:jc w:val="both"/>
            </w:pPr>
            <w:r>
              <w:t>WACC</w:t>
            </w:r>
          </w:p>
        </w:tc>
        <w:tc>
          <w:tcPr>
            <w:tcW w:w="4621" w:type="dxa"/>
          </w:tcPr>
          <w:p w:rsidR="00415F31" w:rsidRDefault="00415F31" w:rsidP="002C1039">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2C1039">
      <w:pPr>
        <w:numPr>
          <w:ilvl w:val="0"/>
          <w:numId w:val="24"/>
        </w:numPr>
      </w:pPr>
    </w:p>
    <w:p w:rsidR="00DE563D" w:rsidRDefault="00DE563D" w:rsidP="00DE563D"/>
    <w:p w:rsidR="00DE563D" w:rsidRDefault="00390585" w:rsidP="00390585">
      <w:pPr>
        <w:pStyle w:val="Heading1"/>
      </w:pPr>
      <w:bookmarkStart w:id="11" w:name="_Toc456601954"/>
      <w:r>
        <w:lastRenderedPageBreak/>
        <w:t>Operating expenditure</w:t>
      </w:r>
      <w:bookmarkEnd w:id="11"/>
    </w:p>
    <w:p w:rsidR="00865DDD" w:rsidRPr="00865DDD" w:rsidRDefault="00865DDD" w:rsidP="00865DDD">
      <w:pPr>
        <w:rPr>
          <w:rStyle w:val="AERbody"/>
        </w:rPr>
      </w:pPr>
      <w:bookmarkStart w:id="12" w:name="_Toc403144136"/>
      <w:r w:rsidRPr="00865DDD">
        <w:rPr>
          <w:rStyle w:val="AERbody"/>
        </w:rPr>
        <w:t xml:space="preserve">Operating expenditure (opex) refers to the operating, maintenance and other </w:t>
      </w:r>
      <w:proofErr w:type="spellStart"/>
      <w:r w:rsidRPr="00865DDD">
        <w:rPr>
          <w:rStyle w:val="AERbody"/>
        </w:rPr>
        <w:t>non capital</w:t>
      </w:r>
      <w:proofErr w:type="spellEnd"/>
      <w:r w:rsidRPr="00865DDD">
        <w:rPr>
          <w:rStyle w:val="AERbody"/>
        </w:rPr>
        <w:t xml:space="preserve"> expenses, incurred in the provision of network services. Forecast opex for </w:t>
      </w:r>
      <w:r>
        <w:rPr>
          <w:rStyle w:val="AERbody"/>
        </w:rPr>
        <w:t>prescribed</w:t>
      </w:r>
      <w:r w:rsidRPr="00865DDD">
        <w:rPr>
          <w:rStyle w:val="AERbody"/>
        </w:rPr>
        <w:t xml:space="preserve"> services is one of the building blocks we use to determine a service provider's total revenue requirement.</w:t>
      </w:r>
    </w:p>
    <w:p w:rsidR="00865DDD" w:rsidRPr="00865DDD" w:rsidRDefault="00865DDD" w:rsidP="00865DDD">
      <w:pPr>
        <w:rPr>
          <w:rStyle w:val="AERbody"/>
        </w:rPr>
      </w:pPr>
      <w:r w:rsidRPr="00865DDD">
        <w:rPr>
          <w:rStyle w:val="AERbody"/>
        </w:rPr>
        <w:t>This attachment provides an overview of our assessment of opex. Detailed analysis of our assessment of opex is in the following appendices:</w:t>
      </w:r>
    </w:p>
    <w:p w:rsidR="00865DDD" w:rsidRPr="00865DDD" w:rsidRDefault="00865DDD" w:rsidP="00865DDD">
      <w:pPr>
        <w:pStyle w:val="AERbulletlistfirststyle"/>
        <w:rPr>
          <w:rStyle w:val="AERbody"/>
        </w:rPr>
      </w:pPr>
      <w:r w:rsidRPr="00865DDD">
        <w:rPr>
          <w:rStyle w:val="AERbody"/>
        </w:rPr>
        <w:t>Appendix A—</w:t>
      </w:r>
      <w:proofErr w:type="spellStart"/>
      <w:r w:rsidRPr="00865DDD">
        <w:rPr>
          <w:rStyle w:val="AERbody"/>
        </w:rPr>
        <w:t>base</w:t>
      </w:r>
      <w:proofErr w:type="spellEnd"/>
      <w:r w:rsidRPr="00865DDD">
        <w:rPr>
          <w:rStyle w:val="AERbody"/>
        </w:rPr>
        <w:t xml:space="preserve"> opex </w:t>
      </w:r>
      <w:r w:rsidR="00974351">
        <w:rPr>
          <w:rStyle w:val="AERbody"/>
        </w:rPr>
        <w:t>and category specific forecasts</w:t>
      </w:r>
    </w:p>
    <w:p w:rsidR="00865DDD" w:rsidRDefault="00865DDD" w:rsidP="00865DDD">
      <w:pPr>
        <w:pStyle w:val="AERbulletlistfirststyle"/>
        <w:rPr>
          <w:rStyle w:val="AERbody"/>
        </w:rPr>
      </w:pPr>
      <w:r w:rsidRPr="00865DDD">
        <w:rPr>
          <w:rStyle w:val="AERbody"/>
        </w:rPr>
        <w:t>Appendix B—rate of change</w:t>
      </w:r>
    </w:p>
    <w:p w:rsidR="00865DDD" w:rsidRPr="00865DDD" w:rsidRDefault="00865DDD" w:rsidP="00865DDD">
      <w:pPr>
        <w:pStyle w:val="AERbulletlistfirststyle"/>
        <w:rPr>
          <w:rStyle w:val="AERbody"/>
        </w:rPr>
      </w:pPr>
      <w:r>
        <w:rPr>
          <w:rStyle w:val="AERbody"/>
        </w:rPr>
        <w:t>Appendix C—step changes</w:t>
      </w:r>
      <w:r w:rsidRPr="00865DDD">
        <w:rPr>
          <w:rStyle w:val="AERbody"/>
        </w:rPr>
        <w:t>.</w:t>
      </w:r>
    </w:p>
    <w:p w:rsidR="00DE563D" w:rsidRPr="001754EE" w:rsidRDefault="000B321F" w:rsidP="001754EE">
      <w:pPr>
        <w:pStyle w:val="Heading2"/>
      </w:pPr>
      <w:bookmarkStart w:id="13" w:name="_Toc456601955"/>
      <w:r>
        <w:t>D</w:t>
      </w:r>
      <w:r w:rsidR="00974351">
        <w:t>raft</w:t>
      </w:r>
      <w:r w:rsidR="00DE563D" w:rsidRPr="001754EE">
        <w:t xml:space="preserve"> decision</w:t>
      </w:r>
      <w:bookmarkEnd w:id="12"/>
      <w:bookmarkEnd w:id="13"/>
    </w:p>
    <w:p w:rsidR="00492389" w:rsidRDefault="00865DDD" w:rsidP="00865DDD">
      <w:bookmarkStart w:id="14" w:name="_Toc403144137"/>
      <w:r w:rsidRPr="00865DDD">
        <w:rPr>
          <w:rStyle w:val="AERbody"/>
        </w:rPr>
        <w:t xml:space="preserve">We are not satisfied that </w:t>
      </w:r>
      <w:r>
        <w:rPr>
          <w:rStyle w:val="AERbody"/>
        </w:rPr>
        <w:t>AusNet Services'</w:t>
      </w:r>
      <w:r w:rsidRPr="00865DDD">
        <w:rPr>
          <w:rStyle w:val="AERbody"/>
        </w:rPr>
        <w:t xml:space="preserve"> forecast opex reasonably reflects the opex criteria.  </w:t>
      </w:r>
      <w:r>
        <w:t xml:space="preserve">We therefore do not accept </w:t>
      </w:r>
      <w:r w:rsidRPr="00511E4A">
        <w:t xml:space="preserve">the </w:t>
      </w:r>
      <w:r>
        <w:t xml:space="preserve">forecast opex AusNet Services </w:t>
      </w:r>
      <w:r w:rsidRPr="00511E4A">
        <w:t xml:space="preserve">included in </w:t>
      </w:r>
      <w:r>
        <w:t xml:space="preserve">its </w:t>
      </w:r>
      <w:r w:rsidRPr="00511E4A">
        <w:t>building block proposal.</w:t>
      </w:r>
      <w:r>
        <w:rPr>
          <w:rStyle w:val="FootnoteReference"/>
        </w:rPr>
        <w:footnoteReference w:id="1"/>
      </w:r>
      <w:r>
        <w:t xml:space="preserve"> Our</w:t>
      </w:r>
      <w:r w:rsidRPr="00602DD7">
        <w:t xml:space="preserve"> </w:t>
      </w:r>
      <w:r>
        <w:t xml:space="preserve">alternative </w:t>
      </w:r>
      <w:r w:rsidRPr="00602DD7">
        <w:t>estimate</w:t>
      </w:r>
      <w:r>
        <w:t xml:space="preserve"> of</w:t>
      </w:r>
      <w:r w:rsidRPr="00602DD7">
        <w:t xml:space="preserve"> </w:t>
      </w:r>
      <w:r>
        <w:t xml:space="preserve">AusNet Services' </w:t>
      </w:r>
      <w:r w:rsidRPr="00602DD7">
        <w:t xml:space="preserve">opex for the </w:t>
      </w:r>
      <w:r>
        <w:t>201</w:t>
      </w:r>
      <w:r w:rsidR="00536769">
        <w:t>7</w:t>
      </w:r>
      <w:r>
        <w:t xml:space="preserve">–22 </w:t>
      </w:r>
      <w:r w:rsidRPr="00602DD7">
        <w:t>period</w:t>
      </w:r>
      <w:r>
        <w:t>, which we consider reasonably reflects the opex criteria, is outlined in</w:t>
      </w:r>
      <w:r w:rsidR="007B4D87">
        <w:t xml:space="preserve"> </w:t>
      </w:r>
      <w:r w:rsidR="007B4D87">
        <w:fldChar w:fldCharType="begin"/>
      </w:r>
      <w:r w:rsidR="007B4D87">
        <w:instrText xml:space="preserve"> REF _Ref430781692 \h </w:instrText>
      </w:r>
      <w:r w:rsidR="007B4D87">
        <w:fldChar w:fldCharType="separate"/>
      </w:r>
      <w:r w:rsidR="00740726">
        <w:t xml:space="preserve">Table </w:t>
      </w:r>
      <w:r w:rsidR="00740726">
        <w:rPr>
          <w:noProof/>
        </w:rPr>
        <w:t>7</w:t>
      </w:r>
      <w:r w:rsidR="00740726">
        <w:t>.</w:t>
      </w:r>
      <w:r w:rsidR="00740726">
        <w:rPr>
          <w:noProof/>
        </w:rPr>
        <w:t>1</w:t>
      </w:r>
      <w:r w:rsidR="007B4D87">
        <w:fldChar w:fldCharType="end"/>
      </w:r>
      <w:r>
        <w:t>.</w:t>
      </w:r>
      <w:r>
        <w:rPr>
          <w:rStyle w:val="FootnoteReference"/>
        </w:rPr>
        <w:footnoteReference w:id="2"/>
      </w:r>
    </w:p>
    <w:p w:rsidR="00865DDD" w:rsidRDefault="00865DDD" w:rsidP="00865DDD">
      <w:pPr>
        <w:pStyle w:val="Caption"/>
      </w:pPr>
      <w:bookmarkStart w:id="15" w:name="_Ref430781692"/>
      <w:proofErr w:type="gramStart"/>
      <w:r>
        <w:t xml:space="preserve">Table </w:t>
      </w:r>
      <w:fldSimple w:instr=" STYLEREF 1 \s ">
        <w:r w:rsidR="00740726">
          <w:rPr>
            <w:noProof/>
          </w:rPr>
          <w:t>7</w:t>
        </w:r>
      </w:fldSimple>
      <w:r w:rsidR="006D1232">
        <w:t>.</w:t>
      </w:r>
      <w:proofErr w:type="gramEnd"/>
      <w:r w:rsidR="00740726">
        <w:fldChar w:fldCharType="begin"/>
      </w:r>
      <w:r w:rsidR="00740726">
        <w:instrText xml:space="preserve"> SEQ Table \* ARABIC \s 1 </w:instrText>
      </w:r>
      <w:r w:rsidR="00740726">
        <w:fldChar w:fldCharType="separate"/>
      </w:r>
      <w:r w:rsidR="00740726">
        <w:rPr>
          <w:noProof/>
        </w:rPr>
        <w:t>1</w:t>
      </w:r>
      <w:r w:rsidR="00740726">
        <w:rPr>
          <w:noProof/>
        </w:rPr>
        <w:fldChar w:fldCharType="end"/>
      </w:r>
      <w:bookmarkEnd w:id="15"/>
      <w:r>
        <w:tab/>
      </w:r>
      <w:r w:rsidRPr="001D3E9F">
        <w:t xml:space="preserve">Our </w:t>
      </w:r>
      <w:r>
        <w:t>draft</w:t>
      </w:r>
      <w:r w:rsidRPr="001D3E9F">
        <w:t xml:space="preserve"> decisio</w:t>
      </w:r>
      <w:r>
        <w:t>n on total opex ($ million, 2016</w:t>
      </w:r>
      <w:r w:rsidR="00E2581B">
        <w:t>–17</w:t>
      </w:r>
      <w:r w:rsidRPr="001D3E9F">
        <w:t>)</w:t>
      </w:r>
    </w:p>
    <w:tbl>
      <w:tblPr>
        <w:tblStyle w:val="AERtable-numbers"/>
        <w:tblW w:w="8693" w:type="dxa"/>
        <w:tblLook w:val="04A0" w:firstRow="1" w:lastRow="0" w:firstColumn="1" w:lastColumn="0" w:noHBand="0" w:noVBand="1"/>
      </w:tblPr>
      <w:tblGrid>
        <w:gridCol w:w="2355"/>
        <w:gridCol w:w="1029"/>
        <w:gridCol w:w="1029"/>
        <w:gridCol w:w="1028"/>
        <w:gridCol w:w="1029"/>
        <w:gridCol w:w="1029"/>
        <w:gridCol w:w="1194"/>
      </w:tblGrid>
      <w:tr w:rsidR="0069275F" w:rsidRPr="00436CB8" w:rsidTr="00464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vAlign w:val="top"/>
          </w:tcPr>
          <w:p w:rsidR="0069275F" w:rsidRPr="0069275F" w:rsidRDefault="0069275F" w:rsidP="00E27C9B"/>
        </w:tc>
        <w:tc>
          <w:tcPr>
            <w:tcW w:w="591" w:type="pct"/>
            <w:vAlign w:val="top"/>
          </w:tcPr>
          <w:p w:rsidR="0069275F" w:rsidRPr="0069275F" w:rsidRDefault="0069275F" w:rsidP="00E27C9B">
            <w:pPr>
              <w:cnfStyle w:val="100000000000" w:firstRow="1" w:lastRow="0" w:firstColumn="0" w:lastColumn="0" w:oddVBand="0" w:evenVBand="0" w:oddHBand="0" w:evenHBand="0" w:firstRowFirstColumn="0" w:firstRowLastColumn="0" w:lastRowFirstColumn="0" w:lastRowLastColumn="0"/>
            </w:pPr>
            <w:r w:rsidRPr="0069275F">
              <w:t>2017-18</w:t>
            </w:r>
          </w:p>
        </w:tc>
        <w:tc>
          <w:tcPr>
            <w:tcW w:w="592" w:type="pct"/>
            <w:vAlign w:val="top"/>
          </w:tcPr>
          <w:p w:rsidR="0069275F" w:rsidRPr="0069275F" w:rsidRDefault="0069275F" w:rsidP="00E27C9B">
            <w:pPr>
              <w:cnfStyle w:val="100000000000" w:firstRow="1" w:lastRow="0" w:firstColumn="0" w:lastColumn="0" w:oddVBand="0" w:evenVBand="0" w:oddHBand="0" w:evenHBand="0" w:firstRowFirstColumn="0" w:firstRowLastColumn="0" w:lastRowFirstColumn="0" w:lastRowLastColumn="0"/>
            </w:pPr>
            <w:r w:rsidRPr="0069275F">
              <w:t>2018-19</w:t>
            </w:r>
          </w:p>
        </w:tc>
        <w:tc>
          <w:tcPr>
            <w:tcW w:w="591" w:type="pct"/>
            <w:vAlign w:val="top"/>
          </w:tcPr>
          <w:p w:rsidR="0069275F" w:rsidRPr="0069275F" w:rsidRDefault="0069275F" w:rsidP="00E27C9B">
            <w:pPr>
              <w:cnfStyle w:val="100000000000" w:firstRow="1" w:lastRow="0" w:firstColumn="0" w:lastColumn="0" w:oddVBand="0" w:evenVBand="0" w:oddHBand="0" w:evenHBand="0" w:firstRowFirstColumn="0" w:firstRowLastColumn="0" w:lastRowFirstColumn="0" w:lastRowLastColumn="0"/>
            </w:pPr>
            <w:r w:rsidRPr="0069275F">
              <w:t>2019-20</w:t>
            </w:r>
          </w:p>
        </w:tc>
        <w:tc>
          <w:tcPr>
            <w:tcW w:w="592" w:type="pct"/>
            <w:vAlign w:val="top"/>
          </w:tcPr>
          <w:p w:rsidR="0069275F" w:rsidRPr="0069275F" w:rsidRDefault="0069275F" w:rsidP="00E27C9B">
            <w:pPr>
              <w:cnfStyle w:val="100000000000" w:firstRow="1" w:lastRow="0" w:firstColumn="0" w:lastColumn="0" w:oddVBand="0" w:evenVBand="0" w:oddHBand="0" w:evenHBand="0" w:firstRowFirstColumn="0" w:firstRowLastColumn="0" w:lastRowFirstColumn="0" w:lastRowLastColumn="0"/>
            </w:pPr>
            <w:r w:rsidRPr="0069275F">
              <w:t>2020-21</w:t>
            </w:r>
          </w:p>
        </w:tc>
        <w:tc>
          <w:tcPr>
            <w:tcW w:w="592" w:type="pct"/>
            <w:vAlign w:val="top"/>
          </w:tcPr>
          <w:p w:rsidR="0069275F" w:rsidRPr="0069275F" w:rsidRDefault="0069275F" w:rsidP="00E27C9B">
            <w:pPr>
              <w:cnfStyle w:val="100000000000" w:firstRow="1" w:lastRow="0" w:firstColumn="0" w:lastColumn="0" w:oddVBand="0" w:evenVBand="0" w:oddHBand="0" w:evenHBand="0" w:firstRowFirstColumn="0" w:firstRowLastColumn="0" w:lastRowFirstColumn="0" w:lastRowLastColumn="0"/>
            </w:pPr>
            <w:r w:rsidRPr="0069275F">
              <w:t>2021-22</w:t>
            </w:r>
          </w:p>
        </w:tc>
        <w:tc>
          <w:tcPr>
            <w:tcW w:w="687" w:type="pct"/>
            <w:vAlign w:val="top"/>
          </w:tcPr>
          <w:p w:rsidR="0069275F" w:rsidRPr="00F6711A" w:rsidRDefault="0069275F" w:rsidP="00E27C9B">
            <w:pPr>
              <w:cnfStyle w:val="100000000000" w:firstRow="1" w:lastRow="0" w:firstColumn="0" w:lastColumn="0" w:oddVBand="0" w:evenVBand="0" w:oddHBand="0" w:evenHBand="0" w:firstRowFirstColumn="0" w:firstRowLastColumn="0" w:lastRowFirstColumn="0" w:lastRowLastColumn="0"/>
            </w:pPr>
            <w:r w:rsidRPr="00F6711A">
              <w:t>Total</w:t>
            </w:r>
          </w:p>
        </w:tc>
      </w:tr>
      <w:tr w:rsidR="0084660A" w:rsidRPr="00436CB8" w:rsidTr="00464DEB">
        <w:tc>
          <w:tcPr>
            <w:cnfStyle w:val="001000000000" w:firstRow="0" w:lastRow="0" w:firstColumn="1" w:lastColumn="0" w:oddVBand="0" w:evenVBand="0" w:oddHBand="0" w:evenHBand="0" w:firstRowFirstColumn="0" w:firstRowLastColumn="0" w:lastRowFirstColumn="0" w:lastRowLastColumn="0"/>
            <w:tcW w:w="1353" w:type="pct"/>
            <w:vAlign w:val="top"/>
          </w:tcPr>
          <w:p w:rsidR="0084660A" w:rsidRPr="0084660A" w:rsidRDefault="0084660A" w:rsidP="0084660A">
            <w:r w:rsidRPr="0084660A">
              <w:t>AusNet Services' proposal</w:t>
            </w:r>
          </w:p>
        </w:tc>
        <w:tc>
          <w:tcPr>
            <w:tcW w:w="591" w:type="pct"/>
            <w:vAlign w:val="top"/>
          </w:tcPr>
          <w:p w:rsidR="0084660A" w:rsidRPr="0084660A" w:rsidRDefault="0084660A" w:rsidP="0084660A">
            <w:pPr>
              <w:cnfStyle w:val="000000000000" w:firstRow="0" w:lastRow="0" w:firstColumn="0" w:lastColumn="0" w:oddVBand="0" w:evenVBand="0" w:oddHBand="0" w:evenHBand="0" w:firstRowFirstColumn="0" w:firstRowLastColumn="0" w:lastRowFirstColumn="0" w:lastRowLastColumn="0"/>
            </w:pPr>
            <w:r w:rsidRPr="0084660A">
              <w:t>218.9</w:t>
            </w:r>
          </w:p>
        </w:tc>
        <w:tc>
          <w:tcPr>
            <w:tcW w:w="592" w:type="pct"/>
            <w:vAlign w:val="top"/>
          </w:tcPr>
          <w:p w:rsidR="0084660A" w:rsidRPr="0084660A" w:rsidRDefault="0084660A" w:rsidP="0084660A">
            <w:pPr>
              <w:cnfStyle w:val="000000000000" w:firstRow="0" w:lastRow="0" w:firstColumn="0" w:lastColumn="0" w:oddVBand="0" w:evenVBand="0" w:oddHBand="0" w:evenHBand="0" w:firstRowFirstColumn="0" w:firstRowLastColumn="0" w:lastRowFirstColumn="0" w:lastRowLastColumn="0"/>
            </w:pPr>
            <w:r w:rsidRPr="0084660A">
              <w:t>214.0</w:t>
            </w:r>
          </w:p>
        </w:tc>
        <w:tc>
          <w:tcPr>
            <w:tcW w:w="591" w:type="pct"/>
            <w:vAlign w:val="top"/>
          </w:tcPr>
          <w:p w:rsidR="0084660A" w:rsidRPr="0084660A" w:rsidRDefault="0084660A" w:rsidP="0084660A">
            <w:pPr>
              <w:cnfStyle w:val="000000000000" w:firstRow="0" w:lastRow="0" w:firstColumn="0" w:lastColumn="0" w:oddVBand="0" w:evenVBand="0" w:oddHBand="0" w:evenHBand="0" w:firstRowFirstColumn="0" w:firstRowLastColumn="0" w:lastRowFirstColumn="0" w:lastRowLastColumn="0"/>
            </w:pPr>
            <w:r w:rsidRPr="0084660A">
              <w:t>215.5</w:t>
            </w:r>
          </w:p>
        </w:tc>
        <w:tc>
          <w:tcPr>
            <w:tcW w:w="592" w:type="pct"/>
            <w:vAlign w:val="top"/>
          </w:tcPr>
          <w:p w:rsidR="0084660A" w:rsidRPr="0084660A" w:rsidRDefault="0084660A" w:rsidP="0084660A">
            <w:pPr>
              <w:cnfStyle w:val="000000000000" w:firstRow="0" w:lastRow="0" w:firstColumn="0" w:lastColumn="0" w:oddVBand="0" w:evenVBand="0" w:oddHBand="0" w:evenHBand="0" w:firstRowFirstColumn="0" w:firstRowLastColumn="0" w:lastRowFirstColumn="0" w:lastRowLastColumn="0"/>
            </w:pPr>
            <w:r w:rsidRPr="0084660A">
              <w:t>217.7</w:t>
            </w:r>
          </w:p>
        </w:tc>
        <w:tc>
          <w:tcPr>
            <w:tcW w:w="592" w:type="pct"/>
            <w:vAlign w:val="top"/>
          </w:tcPr>
          <w:p w:rsidR="0084660A" w:rsidRPr="0084660A" w:rsidRDefault="0084660A" w:rsidP="0084660A">
            <w:pPr>
              <w:cnfStyle w:val="000000000000" w:firstRow="0" w:lastRow="0" w:firstColumn="0" w:lastColumn="0" w:oddVBand="0" w:evenVBand="0" w:oddHBand="0" w:evenHBand="0" w:firstRowFirstColumn="0" w:firstRowLastColumn="0" w:lastRowFirstColumn="0" w:lastRowLastColumn="0"/>
            </w:pPr>
            <w:r w:rsidRPr="0084660A">
              <w:t>219.0</w:t>
            </w:r>
          </w:p>
        </w:tc>
        <w:tc>
          <w:tcPr>
            <w:tcW w:w="687" w:type="pct"/>
            <w:vAlign w:val="top"/>
          </w:tcPr>
          <w:p w:rsidR="0084660A" w:rsidRPr="005518C2" w:rsidRDefault="0084660A" w:rsidP="0084660A">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1085.0</w:t>
            </w:r>
          </w:p>
        </w:tc>
      </w:tr>
      <w:tr w:rsidR="00464DEB" w:rsidRPr="00436CB8" w:rsidTr="00464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vAlign w:val="top"/>
          </w:tcPr>
          <w:p w:rsidR="00464DEB" w:rsidRPr="00464DEB" w:rsidRDefault="00464DEB" w:rsidP="00464DEB">
            <w:r w:rsidRPr="00464DEB">
              <w:t>AER draft decision</w:t>
            </w:r>
          </w:p>
        </w:tc>
        <w:tc>
          <w:tcPr>
            <w:tcW w:w="591" w:type="pct"/>
            <w:vAlign w:val="top"/>
          </w:tcPr>
          <w:p w:rsidR="00464DEB" w:rsidRPr="00464DEB" w:rsidRDefault="00464DEB" w:rsidP="00464DEB">
            <w:pPr>
              <w:cnfStyle w:val="000000010000" w:firstRow="0" w:lastRow="0" w:firstColumn="0" w:lastColumn="0" w:oddVBand="0" w:evenVBand="0" w:oddHBand="0" w:evenHBand="1" w:firstRowFirstColumn="0" w:firstRowLastColumn="0" w:lastRowFirstColumn="0" w:lastRowLastColumn="0"/>
            </w:pPr>
            <w:r w:rsidRPr="00464DEB">
              <w:t>204.2</w:t>
            </w:r>
          </w:p>
        </w:tc>
        <w:tc>
          <w:tcPr>
            <w:tcW w:w="592" w:type="pct"/>
            <w:vAlign w:val="top"/>
          </w:tcPr>
          <w:p w:rsidR="00464DEB" w:rsidRPr="00464DEB" w:rsidRDefault="00464DEB" w:rsidP="00464DEB">
            <w:pPr>
              <w:cnfStyle w:val="000000010000" w:firstRow="0" w:lastRow="0" w:firstColumn="0" w:lastColumn="0" w:oddVBand="0" w:evenVBand="0" w:oddHBand="0" w:evenHBand="1" w:firstRowFirstColumn="0" w:firstRowLastColumn="0" w:lastRowFirstColumn="0" w:lastRowLastColumn="0"/>
            </w:pPr>
            <w:r w:rsidRPr="00464DEB">
              <w:t>204.4</w:t>
            </w:r>
          </w:p>
        </w:tc>
        <w:tc>
          <w:tcPr>
            <w:tcW w:w="591" w:type="pct"/>
            <w:vAlign w:val="top"/>
          </w:tcPr>
          <w:p w:rsidR="00464DEB" w:rsidRPr="00464DEB" w:rsidRDefault="00464DEB" w:rsidP="00464DEB">
            <w:pPr>
              <w:cnfStyle w:val="000000010000" w:firstRow="0" w:lastRow="0" w:firstColumn="0" w:lastColumn="0" w:oddVBand="0" w:evenVBand="0" w:oddHBand="0" w:evenHBand="1" w:firstRowFirstColumn="0" w:firstRowLastColumn="0" w:lastRowFirstColumn="0" w:lastRowLastColumn="0"/>
            </w:pPr>
            <w:r w:rsidRPr="00464DEB">
              <w:t>204.8</w:t>
            </w:r>
          </w:p>
        </w:tc>
        <w:tc>
          <w:tcPr>
            <w:tcW w:w="592" w:type="pct"/>
            <w:vAlign w:val="top"/>
          </w:tcPr>
          <w:p w:rsidR="00464DEB" w:rsidRPr="00464DEB" w:rsidRDefault="00464DEB" w:rsidP="00464DEB">
            <w:pPr>
              <w:cnfStyle w:val="000000010000" w:firstRow="0" w:lastRow="0" w:firstColumn="0" w:lastColumn="0" w:oddVBand="0" w:evenVBand="0" w:oddHBand="0" w:evenHBand="1" w:firstRowFirstColumn="0" w:firstRowLastColumn="0" w:lastRowFirstColumn="0" w:lastRowLastColumn="0"/>
            </w:pPr>
            <w:r w:rsidRPr="00464DEB">
              <w:t>205.2</w:t>
            </w:r>
          </w:p>
        </w:tc>
        <w:tc>
          <w:tcPr>
            <w:tcW w:w="592" w:type="pct"/>
            <w:vAlign w:val="top"/>
          </w:tcPr>
          <w:p w:rsidR="00464DEB" w:rsidRPr="00464DEB" w:rsidRDefault="00464DEB" w:rsidP="00464DEB">
            <w:pPr>
              <w:cnfStyle w:val="000000010000" w:firstRow="0" w:lastRow="0" w:firstColumn="0" w:lastColumn="0" w:oddVBand="0" w:evenVBand="0" w:oddHBand="0" w:evenHBand="1" w:firstRowFirstColumn="0" w:firstRowLastColumn="0" w:lastRowFirstColumn="0" w:lastRowLastColumn="0"/>
            </w:pPr>
            <w:r w:rsidRPr="00464DEB">
              <w:t>205.6</w:t>
            </w:r>
          </w:p>
        </w:tc>
        <w:tc>
          <w:tcPr>
            <w:tcW w:w="687" w:type="pct"/>
            <w:vAlign w:val="top"/>
          </w:tcPr>
          <w:p w:rsidR="00464DEB" w:rsidRPr="005518C2" w:rsidRDefault="00464DEB" w:rsidP="00464DEB">
            <w:pPr>
              <w:cnfStyle w:val="000000010000" w:firstRow="0" w:lastRow="0" w:firstColumn="0" w:lastColumn="0" w:oddVBand="0" w:evenVBand="0" w:oddHBand="0" w:evenHBand="1" w:firstRowFirstColumn="0" w:firstRowLastColumn="0" w:lastRowFirstColumn="0" w:lastRowLastColumn="0"/>
              <w:rPr>
                <w:rStyle w:val="Strong"/>
              </w:rPr>
            </w:pPr>
            <w:r w:rsidRPr="005518C2">
              <w:rPr>
                <w:rStyle w:val="Strong"/>
              </w:rPr>
              <w:t>1024.1</w:t>
            </w:r>
          </w:p>
        </w:tc>
      </w:tr>
      <w:tr w:rsidR="00464DEB" w:rsidRPr="00574049" w:rsidTr="00464DEB">
        <w:trPr>
          <w:trHeight w:val="80"/>
        </w:trPr>
        <w:tc>
          <w:tcPr>
            <w:cnfStyle w:val="001000000000" w:firstRow="0" w:lastRow="0" w:firstColumn="1" w:lastColumn="0" w:oddVBand="0" w:evenVBand="0" w:oddHBand="0" w:evenHBand="0" w:firstRowFirstColumn="0" w:firstRowLastColumn="0" w:lastRowFirstColumn="0" w:lastRowLastColumn="0"/>
            <w:tcW w:w="1353" w:type="pct"/>
            <w:vAlign w:val="top"/>
          </w:tcPr>
          <w:p w:rsidR="00464DEB" w:rsidRPr="00464DEB" w:rsidRDefault="00464DEB" w:rsidP="00464DEB">
            <w:pPr>
              <w:rPr>
                <w:rStyle w:val="Strong"/>
              </w:rPr>
            </w:pPr>
            <w:r w:rsidRPr="00464DEB">
              <w:rPr>
                <w:rStyle w:val="Strong"/>
              </w:rPr>
              <w:t>Difference</w:t>
            </w:r>
          </w:p>
        </w:tc>
        <w:tc>
          <w:tcPr>
            <w:tcW w:w="591"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–14.7</w:t>
            </w:r>
          </w:p>
        </w:tc>
        <w:tc>
          <w:tcPr>
            <w:tcW w:w="592"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–9.6</w:t>
            </w:r>
          </w:p>
        </w:tc>
        <w:tc>
          <w:tcPr>
            <w:tcW w:w="591"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–10.7</w:t>
            </w:r>
          </w:p>
        </w:tc>
        <w:tc>
          <w:tcPr>
            <w:tcW w:w="592"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–12.6</w:t>
            </w:r>
          </w:p>
        </w:tc>
        <w:tc>
          <w:tcPr>
            <w:tcW w:w="592"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–13.4</w:t>
            </w:r>
          </w:p>
        </w:tc>
        <w:tc>
          <w:tcPr>
            <w:tcW w:w="687" w:type="pct"/>
            <w:vAlign w:val="top"/>
          </w:tcPr>
          <w:p w:rsidR="00464DEB" w:rsidRPr="00AD14DC" w:rsidRDefault="00464DEB" w:rsidP="00464DEB">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–61.0</w:t>
            </w:r>
          </w:p>
        </w:tc>
      </w:tr>
    </w:tbl>
    <w:p w:rsidR="00865DDD" w:rsidRDefault="00865DDD" w:rsidP="00865DDD">
      <w:pPr>
        <w:pStyle w:val="AERtablesource"/>
      </w:pPr>
      <w:r w:rsidRPr="00B63E39">
        <w:t>Source:</w:t>
      </w:r>
      <w:r w:rsidRPr="00B63E39">
        <w:tab/>
        <w:t>AER analysis.</w:t>
      </w:r>
    </w:p>
    <w:p w:rsidR="00865DDD" w:rsidRDefault="00865DDD" w:rsidP="00865DDD">
      <w:pPr>
        <w:pStyle w:val="AERtablesource"/>
      </w:pPr>
      <w:r w:rsidRPr="00B63E39">
        <w:t>Note:</w:t>
      </w:r>
      <w:r w:rsidRPr="00B63E39">
        <w:tab/>
        <w:t>Excludes debt raising costs.</w:t>
      </w:r>
    </w:p>
    <w:p w:rsidR="00E2581B" w:rsidRPr="00E2581B" w:rsidRDefault="00E2581B" w:rsidP="002C1039">
      <w:pPr>
        <w:numPr>
          <w:ilvl w:val="0"/>
          <w:numId w:val="24"/>
        </w:numPr>
        <w:rPr>
          <w:rStyle w:val="AERbody"/>
        </w:rPr>
      </w:pPr>
      <w:r w:rsidRPr="00E2581B">
        <w:rPr>
          <w:rStyle w:val="AERbody"/>
        </w:rPr>
        <w:fldChar w:fldCharType="begin"/>
      </w:r>
      <w:r w:rsidRPr="00E2581B">
        <w:rPr>
          <w:rStyle w:val="AERbody"/>
        </w:rPr>
        <w:instrText xml:space="preserve"> REF _Ref403981476 \h </w:instrText>
      </w:r>
      <w:r w:rsidRPr="00E2581B">
        <w:rPr>
          <w:rStyle w:val="AERbody"/>
        </w:rPr>
      </w:r>
      <w:r w:rsidRPr="00E2581B">
        <w:rPr>
          <w:rStyle w:val="AERbody"/>
        </w:rPr>
        <w:fldChar w:fldCharType="separate"/>
      </w:r>
      <w:r w:rsidR="00740726" w:rsidRPr="00E2581B">
        <w:t xml:space="preserve">Figure </w:t>
      </w:r>
      <w:r w:rsidR="00740726">
        <w:rPr>
          <w:noProof/>
        </w:rPr>
        <w:t>7</w:t>
      </w:r>
      <w:r w:rsidR="00740726">
        <w:t>.</w:t>
      </w:r>
      <w:r w:rsidR="00740726">
        <w:rPr>
          <w:noProof/>
        </w:rPr>
        <w:t>1</w:t>
      </w:r>
      <w:r w:rsidRPr="00E2581B">
        <w:rPr>
          <w:rStyle w:val="AERbody"/>
        </w:rPr>
        <w:fldChar w:fldCharType="end"/>
      </w:r>
      <w:r w:rsidRPr="00E2581B">
        <w:rPr>
          <w:rStyle w:val="AERbody"/>
        </w:rPr>
        <w:t xml:space="preserve"> shows our </w:t>
      </w:r>
      <w:r w:rsidR="00A05717">
        <w:rPr>
          <w:rStyle w:val="AERbody"/>
        </w:rPr>
        <w:t>draft</w:t>
      </w:r>
      <w:r w:rsidRPr="00E2581B">
        <w:rPr>
          <w:rStyle w:val="AERbody"/>
        </w:rPr>
        <w:t xml:space="preserve"> decision compared to AusNet Services' proposal, its past allowances and past actual expenditure.</w:t>
      </w:r>
    </w:p>
    <w:p w:rsidR="00E2581B" w:rsidRPr="00E2581B" w:rsidRDefault="00E2581B" w:rsidP="00E2581B">
      <w:pPr>
        <w:pStyle w:val="Caption"/>
      </w:pPr>
      <w:bookmarkStart w:id="16" w:name="_Ref403981476"/>
      <w:proofErr w:type="gramStart"/>
      <w:r w:rsidRPr="00E2581B">
        <w:lastRenderedPageBreak/>
        <w:t xml:space="preserve">Figure </w:t>
      </w:r>
      <w:fldSimple w:instr=" STYLEREF 1 \s ">
        <w:r w:rsidR="00740726">
          <w:rPr>
            <w:noProof/>
          </w:rPr>
          <w:t>7</w:t>
        </w:r>
      </w:fldSimple>
      <w:r w:rsidR="000851EA">
        <w:t>.</w:t>
      </w:r>
      <w:proofErr w:type="gramEnd"/>
      <w:r w:rsidR="00740726">
        <w:fldChar w:fldCharType="begin"/>
      </w:r>
      <w:r w:rsidR="00740726">
        <w:instrText xml:space="preserve"> SEQ Figure \* ARABIC \s 1 </w:instrText>
      </w:r>
      <w:r w:rsidR="00740726">
        <w:fldChar w:fldCharType="separate"/>
      </w:r>
      <w:r w:rsidR="00740726">
        <w:rPr>
          <w:noProof/>
        </w:rPr>
        <w:t>1</w:t>
      </w:r>
      <w:r w:rsidR="00740726">
        <w:rPr>
          <w:noProof/>
        </w:rPr>
        <w:fldChar w:fldCharType="end"/>
      </w:r>
      <w:bookmarkEnd w:id="16"/>
      <w:r w:rsidRPr="00E2581B">
        <w:tab/>
        <w:t xml:space="preserve">Our </w:t>
      </w:r>
      <w:r w:rsidR="00A05717">
        <w:t>draft</w:t>
      </w:r>
      <w:r w:rsidRPr="00E2581B">
        <w:t xml:space="preserve"> decision compared to AusNet Services' past an</w:t>
      </w:r>
      <w:r w:rsidR="00A05717">
        <w:t>d proposed opex ($ million, 2016–17</w:t>
      </w:r>
      <w:r w:rsidRPr="00E2581B">
        <w:t>)</w:t>
      </w:r>
    </w:p>
    <w:p w:rsidR="00343479" w:rsidRDefault="00464DEB" w:rsidP="00E2581B">
      <w:pPr>
        <w:pStyle w:val="AERtablesource"/>
      </w:pPr>
      <w:r w:rsidRPr="00464DEB">
        <w:rPr>
          <w:noProof/>
          <w:lang w:eastAsia="en-AU"/>
        </w:rPr>
        <w:drawing>
          <wp:inline distT="0" distB="0" distL="0" distR="0" wp14:anchorId="55CA6126" wp14:editId="4FFDDC33">
            <wp:extent cx="5213445" cy="3023279"/>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3445" cy="3023279"/>
                    </a:xfrm>
                    <a:prstGeom prst="rect">
                      <a:avLst/>
                    </a:prstGeom>
                    <a:noFill/>
                    <a:ln>
                      <a:noFill/>
                    </a:ln>
                  </pic:spPr>
                </pic:pic>
              </a:graphicData>
            </a:graphic>
          </wp:inline>
        </w:drawing>
      </w:r>
    </w:p>
    <w:p w:rsidR="00E2581B" w:rsidRPr="00E2581B" w:rsidRDefault="00E2581B" w:rsidP="00E2581B">
      <w:pPr>
        <w:pStyle w:val="AERtablesource"/>
      </w:pPr>
      <w:r w:rsidRPr="00E2581B">
        <w:t>Source:</w:t>
      </w:r>
      <w:r w:rsidRPr="00E2581B">
        <w:tab/>
        <w:t>AusNet Se</w:t>
      </w:r>
      <w:r w:rsidR="002D50F8">
        <w:t>rvices, Regulatory accounts 2008-09</w:t>
      </w:r>
      <w:r w:rsidRPr="00E2581B">
        <w:t xml:space="preserve"> to </w:t>
      </w:r>
      <w:r w:rsidR="00A05717">
        <w:t>20</w:t>
      </w:r>
      <w:r w:rsidR="002D50F8">
        <w:t>14-</w:t>
      </w:r>
      <w:r w:rsidR="00A05717">
        <w:t>15</w:t>
      </w:r>
      <w:r w:rsidRPr="00E2581B">
        <w:t>; AusNet Services, Economic benchmarking - Regulatory Informat</w:t>
      </w:r>
      <w:r w:rsidR="00A05717">
        <w:t>ion Notice response 2006 to 2015</w:t>
      </w:r>
      <w:r w:rsidRPr="00E2581B">
        <w:t>; AER analysis.</w:t>
      </w:r>
      <w:r w:rsidR="00464DEB">
        <w:t xml:space="preserve"> </w:t>
      </w:r>
      <w:proofErr w:type="gramStart"/>
      <w:r w:rsidR="00464DEB">
        <w:t xml:space="preserve">Excludes </w:t>
      </w:r>
      <w:r w:rsidR="00AD14DC">
        <w:t>debt raising costs</w:t>
      </w:r>
      <w:r w:rsidR="00464DEB">
        <w:t>.</w:t>
      </w:r>
      <w:proofErr w:type="gramEnd"/>
    </w:p>
    <w:p w:rsidR="00DE563D" w:rsidRPr="001754EE" w:rsidRDefault="000B321F" w:rsidP="001754EE">
      <w:pPr>
        <w:pStyle w:val="Heading2"/>
      </w:pPr>
      <w:bookmarkStart w:id="17" w:name="_Toc456601956"/>
      <w:r>
        <w:t>AusNet Services</w:t>
      </w:r>
      <w:r w:rsidR="00415F31" w:rsidRPr="001754EE">
        <w:t>’</w:t>
      </w:r>
      <w:r w:rsidR="00DE563D" w:rsidRPr="001754EE">
        <w:t xml:space="preserve"> proposal</w:t>
      </w:r>
      <w:bookmarkEnd w:id="14"/>
      <w:bookmarkEnd w:id="17"/>
    </w:p>
    <w:p w:rsidR="002D3946" w:rsidRPr="002D3946" w:rsidRDefault="00A05717" w:rsidP="002D3946">
      <w:r w:rsidRPr="00A05717">
        <w:t>AusNet Services</w:t>
      </w:r>
      <w:r w:rsidR="00841CAE">
        <w:t>'</w:t>
      </w:r>
      <w:r w:rsidRPr="00A05717">
        <w:t xml:space="preserve"> proposed total opex of $1</w:t>
      </w:r>
      <w:r>
        <w:t>085.0</w:t>
      </w:r>
      <w:r w:rsidRPr="00A05717">
        <w:t xml:space="preserve"> million </w:t>
      </w:r>
      <w:r>
        <w:t>($2016–17</w:t>
      </w:r>
      <w:r w:rsidRPr="00A05717">
        <w:t xml:space="preserve">) for the </w:t>
      </w:r>
      <w:r w:rsidRPr="00A05717">
        <w:br/>
        <w:t>201</w:t>
      </w:r>
      <w:r w:rsidR="00536769">
        <w:t>7</w:t>
      </w:r>
      <w:r>
        <w:t>–22</w:t>
      </w:r>
      <w:r w:rsidRPr="00A05717">
        <w:t xml:space="preserve"> </w:t>
      </w:r>
      <w:r w:rsidR="008D482C">
        <w:t xml:space="preserve">regulatory control </w:t>
      </w:r>
      <w:r w:rsidRPr="00A05717">
        <w:t>period (excluding debt raising costs, totalling $</w:t>
      </w:r>
      <w:r w:rsidR="0032014F">
        <w:t>16.7</w:t>
      </w:r>
      <w:r w:rsidRPr="00A05717">
        <w:t xml:space="preserve"> million).</w:t>
      </w:r>
      <w:r w:rsidR="002D3946">
        <w:t xml:space="preserve"> </w:t>
      </w:r>
      <w:r w:rsidR="00A56339">
        <w:t>We note that a</w:t>
      </w:r>
      <w:r w:rsidR="00A56339" w:rsidRPr="006C6199">
        <w:t>round half of AusNet Services' total opex forecast is for easement land tax.</w:t>
      </w:r>
      <w:r w:rsidR="00A56339">
        <w:rPr>
          <w:rStyle w:val="FootnoteReference"/>
        </w:rPr>
        <w:footnoteReference w:id="3"/>
      </w:r>
      <w:r w:rsidR="00A56339">
        <w:t xml:space="preserve"> If we exclude this</w:t>
      </w:r>
      <w:r w:rsidR="000F59B3">
        <w:t xml:space="preserve"> tax, </w:t>
      </w:r>
      <w:r w:rsidR="00A56339">
        <w:t>AusNet Services' proposal</w:t>
      </w:r>
      <w:r w:rsidR="002D3946">
        <w:t xml:space="preserve"> represents </w:t>
      </w:r>
      <w:r w:rsidR="002D3946" w:rsidRPr="008E7D9C">
        <w:t xml:space="preserve">a </w:t>
      </w:r>
      <w:r w:rsidR="000F59B3">
        <w:t>14.0</w:t>
      </w:r>
      <w:r w:rsidR="002D3946" w:rsidRPr="008E7D9C">
        <w:t xml:space="preserve"> per cent increase in its annual opex compared to its annual </w:t>
      </w:r>
      <w:r w:rsidR="00A56339">
        <w:t xml:space="preserve">opex spend </w:t>
      </w:r>
      <w:r w:rsidR="002D3946" w:rsidRPr="008E7D9C">
        <w:t>in the 2014–17 regulatory control period.</w:t>
      </w:r>
      <w:r w:rsidR="002D3946" w:rsidRPr="008E7D9C">
        <w:rPr>
          <w:rStyle w:val="FootnoteReference"/>
        </w:rPr>
        <w:footnoteReference w:id="4"/>
      </w:r>
      <w:r w:rsidRPr="00A05717">
        <w:t xml:space="preserve"> </w:t>
      </w:r>
      <w:r w:rsidR="0025330C">
        <w:t>AusNet Services'</w:t>
      </w:r>
      <w:r w:rsidR="0025330C" w:rsidRPr="006C6199">
        <w:t xml:space="preserve"> </w:t>
      </w:r>
      <w:r w:rsidR="006C6199" w:rsidRPr="006C6199">
        <w:t>proposed total opex forecast</w:t>
      </w:r>
      <w:r w:rsidR="006C6199">
        <w:t xml:space="preserve"> is set out in</w:t>
      </w:r>
      <w:r w:rsidR="006C6199" w:rsidRPr="006C6199">
        <w:t xml:space="preserve"> </w:t>
      </w:r>
      <w:r w:rsidR="002D3946">
        <w:fldChar w:fldCharType="begin"/>
      </w:r>
      <w:r w:rsidR="002D3946">
        <w:instrText xml:space="preserve"> REF _Ref451504543 \h </w:instrText>
      </w:r>
      <w:r w:rsidR="002D3946">
        <w:fldChar w:fldCharType="separate"/>
      </w:r>
      <w:r w:rsidR="00740726">
        <w:t xml:space="preserve">Table </w:t>
      </w:r>
      <w:r w:rsidR="00740726">
        <w:rPr>
          <w:noProof/>
        </w:rPr>
        <w:t>7</w:t>
      </w:r>
      <w:r w:rsidR="00740726">
        <w:t>.</w:t>
      </w:r>
      <w:r w:rsidR="00740726">
        <w:rPr>
          <w:noProof/>
        </w:rPr>
        <w:t>2</w:t>
      </w:r>
      <w:r w:rsidR="002D3946">
        <w:fldChar w:fldCharType="end"/>
      </w:r>
      <w:r w:rsidR="006C6199">
        <w:t>.</w:t>
      </w:r>
      <w:r w:rsidR="002D3946">
        <w:t xml:space="preserve"> </w:t>
      </w:r>
    </w:p>
    <w:p w:rsidR="002D3946" w:rsidRPr="002D3946" w:rsidRDefault="002D3946" w:rsidP="002D3946">
      <w:pPr>
        <w:pStyle w:val="Caption"/>
      </w:pPr>
      <w:bookmarkStart w:id="18" w:name="_Ref451504543"/>
      <w:proofErr w:type="gramStart"/>
      <w:r>
        <w:t xml:space="preserve">Table </w:t>
      </w:r>
      <w:fldSimple w:instr=" STYLEREF 1 \s ">
        <w:r w:rsidR="00740726">
          <w:rPr>
            <w:noProof/>
          </w:rPr>
          <w:t>7</w:t>
        </w:r>
      </w:fldSimple>
      <w:r w:rsidR="006D1232">
        <w:t>.</w:t>
      </w:r>
      <w:proofErr w:type="gramEnd"/>
      <w:r w:rsidR="00740726">
        <w:fldChar w:fldCharType="begin"/>
      </w:r>
      <w:r w:rsidR="00740726">
        <w:instrText xml:space="preserve"> SEQ Table \* ARABIC \s 1 </w:instrText>
      </w:r>
      <w:r w:rsidR="00740726">
        <w:fldChar w:fldCharType="separate"/>
      </w:r>
      <w:r w:rsidR="00740726">
        <w:rPr>
          <w:noProof/>
        </w:rPr>
        <w:t>2</w:t>
      </w:r>
      <w:r w:rsidR="00740726">
        <w:rPr>
          <w:noProof/>
        </w:rPr>
        <w:fldChar w:fldCharType="end"/>
      </w:r>
      <w:bookmarkEnd w:id="18"/>
      <w:r w:rsidRPr="002D3946">
        <w:tab/>
        <w:t>Proposed prescribed services opex ($million, 2016–17)</w:t>
      </w:r>
    </w:p>
    <w:tbl>
      <w:tblPr>
        <w:tblStyle w:val="AERtable-numbers"/>
        <w:tblW w:w="0" w:type="auto"/>
        <w:tblLayout w:type="fixed"/>
        <w:tblLook w:val="04A0" w:firstRow="1" w:lastRow="0" w:firstColumn="1" w:lastColumn="0" w:noHBand="0" w:noVBand="1"/>
      </w:tblPr>
      <w:tblGrid>
        <w:gridCol w:w="3061"/>
        <w:gridCol w:w="938"/>
        <w:gridCol w:w="939"/>
        <w:gridCol w:w="939"/>
        <w:gridCol w:w="938"/>
        <w:gridCol w:w="939"/>
        <w:gridCol w:w="939"/>
      </w:tblGrid>
      <w:tr w:rsidR="002D3946" w:rsidRPr="009D240F" w:rsidTr="00E17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rsidR="002D3946" w:rsidRPr="002D3946" w:rsidRDefault="002D3946" w:rsidP="002D3946"/>
        </w:tc>
        <w:tc>
          <w:tcPr>
            <w:tcW w:w="938"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2017–18</w:t>
            </w:r>
          </w:p>
        </w:tc>
        <w:tc>
          <w:tcPr>
            <w:tcW w:w="939"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2018–19</w:t>
            </w:r>
          </w:p>
        </w:tc>
        <w:tc>
          <w:tcPr>
            <w:tcW w:w="939"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2019–20</w:t>
            </w:r>
          </w:p>
        </w:tc>
        <w:tc>
          <w:tcPr>
            <w:tcW w:w="938"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2020–21</w:t>
            </w:r>
          </w:p>
        </w:tc>
        <w:tc>
          <w:tcPr>
            <w:tcW w:w="939"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2021–22</w:t>
            </w:r>
          </w:p>
        </w:tc>
        <w:tc>
          <w:tcPr>
            <w:tcW w:w="939" w:type="dxa"/>
          </w:tcPr>
          <w:p w:rsidR="002D3946" w:rsidRPr="002D3946" w:rsidRDefault="002D3946" w:rsidP="002D3946">
            <w:pPr>
              <w:cnfStyle w:val="100000000000" w:firstRow="1" w:lastRow="0" w:firstColumn="0" w:lastColumn="0" w:oddVBand="0" w:evenVBand="0" w:oddHBand="0" w:evenHBand="0" w:firstRowFirstColumn="0" w:firstRowLastColumn="0" w:lastRowFirstColumn="0" w:lastRowLastColumn="0"/>
            </w:pPr>
            <w:r w:rsidRPr="002D3946">
              <w:t>Total</w:t>
            </w:r>
          </w:p>
        </w:tc>
      </w:tr>
      <w:tr w:rsidR="002D3946" w:rsidRPr="009D240F" w:rsidTr="00E1719E">
        <w:tc>
          <w:tcPr>
            <w:cnfStyle w:val="001000000000" w:firstRow="0" w:lastRow="0" w:firstColumn="1" w:lastColumn="0" w:oddVBand="0" w:evenVBand="0" w:oddHBand="0" w:evenHBand="0" w:firstRowFirstColumn="0" w:firstRowLastColumn="0" w:lastRowFirstColumn="0" w:lastRowLastColumn="0"/>
            <w:tcW w:w="3061" w:type="dxa"/>
          </w:tcPr>
          <w:p w:rsidR="002D3946" w:rsidRPr="002D3946" w:rsidRDefault="002D3946" w:rsidP="002D3946">
            <w:r w:rsidRPr="002D3946">
              <w:t>Opex (excluding easement land tax)</w:t>
            </w:r>
          </w:p>
        </w:tc>
        <w:tc>
          <w:tcPr>
            <w:tcW w:w="938"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103.6</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98.7</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100.2</w:t>
            </w:r>
          </w:p>
        </w:tc>
        <w:tc>
          <w:tcPr>
            <w:tcW w:w="938"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102.5</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103.7</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508.7</w:t>
            </w:r>
          </w:p>
        </w:tc>
      </w:tr>
      <w:tr w:rsidR="002D3946" w:rsidRPr="009D240F" w:rsidTr="00E17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rsidR="002D3946" w:rsidRPr="002D3946" w:rsidRDefault="002D3946" w:rsidP="002D3946">
            <w:r w:rsidRPr="002D3946">
              <w:t>Easement land tax</w:t>
            </w:r>
          </w:p>
        </w:tc>
        <w:tc>
          <w:tcPr>
            <w:tcW w:w="938"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115.3</w:t>
            </w:r>
          </w:p>
        </w:tc>
        <w:tc>
          <w:tcPr>
            <w:tcW w:w="939"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115.3</w:t>
            </w:r>
          </w:p>
        </w:tc>
        <w:tc>
          <w:tcPr>
            <w:tcW w:w="939"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115.3</w:t>
            </w:r>
          </w:p>
        </w:tc>
        <w:tc>
          <w:tcPr>
            <w:tcW w:w="938"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115.3</w:t>
            </w:r>
          </w:p>
        </w:tc>
        <w:tc>
          <w:tcPr>
            <w:tcW w:w="939"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115.3</w:t>
            </w:r>
          </w:p>
        </w:tc>
        <w:tc>
          <w:tcPr>
            <w:tcW w:w="939" w:type="dxa"/>
            <w:vAlign w:val="bottom"/>
          </w:tcPr>
          <w:p w:rsidR="002D3946" w:rsidRPr="002D3946" w:rsidRDefault="002D3946" w:rsidP="002D3946">
            <w:pPr>
              <w:cnfStyle w:val="000000010000" w:firstRow="0" w:lastRow="0" w:firstColumn="0" w:lastColumn="0" w:oddVBand="0" w:evenVBand="0" w:oddHBand="0" w:evenHBand="1" w:firstRowFirstColumn="0" w:firstRowLastColumn="0" w:lastRowFirstColumn="0" w:lastRowLastColumn="0"/>
            </w:pPr>
            <w:r w:rsidRPr="002D3946">
              <w:t>576.4</w:t>
            </w:r>
          </w:p>
        </w:tc>
      </w:tr>
      <w:tr w:rsidR="002D3946" w:rsidRPr="009D240F" w:rsidTr="00E1719E">
        <w:tc>
          <w:tcPr>
            <w:cnfStyle w:val="001000000000" w:firstRow="0" w:lastRow="0" w:firstColumn="1" w:lastColumn="0" w:oddVBand="0" w:evenVBand="0" w:oddHBand="0" w:evenHBand="0" w:firstRowFirstColumn="0" w:firstRowLastColumn="0" w:lastRowFirstColumn="0" w:lastRowLastColumn="0"/>
            <w:tcW w:w="3061" w:type="dxa"/>
          </w:tcPr>
          <w:p w:rsidR="002D3946" w:rsidRPr="002D3946" w:rsidRDefault="002D3946" w:rsidP="002D3946">
            <w:r w:rsidRPr="002D3946">
              <w:t>Opex including easement land tax</w:t>
            </w:r>
          </w:p>
        </w:tc>
        <w:tc>
          <w:tcPr>
            <w:tcW w:w="938"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218.9</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214.0</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215.5</w:t>
            </w:r>
          </w:p>
        </w:tc>
        <w:tc>
          <w:tcPr>
            <w:tcW w:w="938"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217.7</w:t>
            </w:r>
          </w:p>
        </w:tc>
        <w:tc>
          <w:tcPr>
            <w:tcW w:w="939" w:type="dxa"/>
            <w:vAlign w:val="bottom"/>
          </w:tcPr>
          <w:p w:rsidR="002D3946" w:rsidRPr="002D3946" w:rsidRDefault="002D3946" w:rsidP="002D3946">
            <w:pPr>
              <w:cnfStyle w:val="000000000000" w:firstRow="0" w:lastRow="0" w:firstColumn="0" w:lastColumn="0" w:oddVBand="0" w:evenVBand="0" w:oddHBand="0" w:evenHBand="0" w:firstRowFirstColumn="0" w:firstRowLastColumn="0" w:lastRowFirstColumn="0" w:lastRowLastColumn="0"/>
            </w:pPr>
            <w:r w:rsidRPr="002D3946">
              <w:t>219.0</w:t>
            </w:r>
          </w:p>
        </w:tc>
        <w:tc>
          <w:tcPr>
            <w:tcW w:w="939" w:type="dxa"/>
            <w:vAlign w:val="bottom"/>
          </w:tcPr>
          <w:p w:rsidR="002D3946" w:rsidRPr="002D3946" w:rsidRDefault="002D3946" w:rsidP="00E1719E">
            <w:pPr>
              <w:cnfStyle w:val="000000000000" w:firstRow="0" w:lastRow="0" w:firstColumn="0" w:lastColumn="0" w:oddVBand="0" w:evenVBand="0" w:oddHBand="0" w:evenHBand="0" w:firstRowFirstColumn="0" w:firstRowLastColumn="0" w:lastRowFirstColumn="0" w:lastRowLastColumn="0"/>
            </w:pPr>
            <w:r w:rsidRPr="002D3946">
              <w:t>1085.0</w:t>
            </w:r>
          </w:p>
        </w:tc>
      </w:tr>
    </w:tbl>
    <w:p w:rsidR="002D3946" w:rsidRDefault="002D3946" w:rsidP="002D3946">
      <w:pPr>
        <w:pStyle w:val="AERtablesource"/>
      </w:pPr>
      <w:r w:rsidRPr="002D3946">
        <w:t>Source:</w:t>
      </w:r>
      <w:r w:rsidRPr="002D3946">
        <w:tab/>
        <w:t xml:space="preserve">AusNet Services opex model, setting </w:t>
      </w:r>
      <w:r w:rsidR="00DC6B84">
        <w:t>debt raising costs</w:t>
      </w:r>
      <w:r w:rsidR="00DC6B84" w:rsidRPr="002D3946">
        <w:t xml:space="preserve"> </w:t>
      </w:r>
      <w:r w:rsidRPr="002D3946">
        <w:t xml:space="preserve">to zero. </w:t>
      </w:r>
    </w:p>
    <w:p w:rsidR="000B321F" w:rsidRDefault="00A05717" w:rsidP="00FE55BF">
      <w:r w:rsidRPr="00A05717">
        <w:lastRenderedPageBreak/>
        <w:t xml:space="preserve">In </w:t>
      </w:r>
      <w:r w:rsidRPr="00A05717">
        <w:fldChar w:fldCharType="begin"/>
      </w:r>
      <w:r w:rsidRPr="00A05717">
        <w:instrText xml:space="preserve"> REF _Ref401324627 \h </w:instrText>
      </w:r>
      <w:r w:rsidRPr="00A05717">
        <w:fldChar w:fldCharType="separate"/>
      </w:r>
      <w:r w:rsidR="00740726" w:rsidRPr="00D461E6">
        <w:t>Figure</w:t>
      </w:r>
      <w:r w:rsidR="00740726">
        <w:t xml:space="preserve"> </w:t>
      </w:r>
      <w:r w:rsidR="00740726">
        <w:rPr>
          <w:noProof/>
        </w:rPr>
        <w:t>7</w:t>
      </w:r>
      <w:r w:rsidR="00740726">
        <w:t>.</w:t>
      </w:r>
      <w:r w:rsidR="00740726">
        <w:rPr>
          <w:noProof/>
        </w:rPr>
        <w:t>2</w:t>
      </w:r>
      <w:r w:rsidRPr="00A05717">
        <w:fldChar w:fldCharType="end"/>
      </w:r>
      <w:r w:rsidRPr="00A05717">
        <w:t xml:space="preserve"> we separate AusNet Services' forecast opex into the different elements that make up its forecast.</w:t>
      </w:r>
    </w:p>
    <w:p w:rsidR="0032014F" w:rsidRDefault="0032014F" w:rsidP="0032014F">
      <w:pPr>
        <w:pStyle w:val="Caption"/>
      </w:pPr>
      <w:bookmarkStart w:id="19" w:name="_Ref401324627"/>
      <w:proofErr w:type="gramStart"/>
      <w:r w:rsidRPr="00D461E6">
        <w:t>Figure</w:t>
      </w:r>
      <w:r>
        <w:t xml:space="preserve"> </w:t>
      </w:r>
      <w:fldSimple w:instr=" STYLEREF 1 \s ">
        <w:r w:rsidR="00740726">
          <w:rPr>
            <w:noProof/>
          </w:rPr>
          <w:t>7</w:t>
        </w:r>
      </w:fldSimple>
      <w:r w:rsidR="000851EA">
        <w:t>.</w:t>
      </w:r>
      <w:proofErr w:type="gramEnd"/>
      <w:r w:rsidR="00740726">
        <w:fldChar w:fldCharType="begin"/>
      </w:r>
      <w:r w:rsidR="00740726">
        <w:instrText xml:space="preserve"> SEQ Figure \* ARABIC \s 1 </w:instrText>
      </w:r>
      <w:r w:rsidR="00740726">
        <w:fldChar w:fldCharType="separate"/>
      </w:r>
      <w:r w:rsidR="00740726">
        <w:rPr>
          <w:noProof/>
        </w:rPr>
        <w:t>2</w:t>
      </w:r>
      <w:r w:rsidR="00740726">
        <w:rPr>
          <w:noProof/>
        </w:rPr>
        <w:fldChar w:fldCharType="end"/>
      </w:r>
      <w:bookmarkEnd w:id="19"/>
      <w:r w:rsidRPr="00D461E6">
        <w:tab/>
      </w:r>
      <w:r>
        <w:t>AusNet Services' opex forecast</w:t>
      </w:r>
      <w:r w:rsidRPr="00D461E6">
        <w:t xml:space="preserve"> </w:t>
      </w:r>
      <w:r>
        <w:t>(</w:t>
      </w:r>
      <w:r w:rsidRPr="00D461E6">
        <w:t>$</w:t>
      </w:r>
      <w:r>
        <w:t xml:space="preserve"> </w:t>
      </w:r>
      <w:r w:rsidRPr="00D461E6">
        <w:t>million, 201</w:t>
      </w:r>
      <w:r>
        <w:t>6–17)</w:t>
      </w:r>
    </w:p>
    <w:p w:rsidR="0032014F" w:rsidRDefault="0032014F" w:rsidP="0032014F">
      <w:pPr>
        <w:pStyle w:val="AERtablesource"/>
      </w:pPr>
      <w:r w:rsidRPr="0032014F">
        <w:rPr>
          <w:noProof/>
          <w:lang w:eastAsia="en-AU"/>
        </w:rPr>
        <w:drawing>
          <wp:inline distT="0" distB="0" distL="0" distR="0" wp14:anchorId="58F571DC" wp14:editId="5B1DDCE3">
            <wp:extent cx="5382895" cy="332211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322117"/>
                    </a:xfrm>
                    <a:prstGeom prst="rect">
                      <a:avLst/>
                    </a:prstGeom>
                    <a:noFill/>
                    <a:ln>
                      <a:noFill/>
                    </a:ln>
                  </pic:spPr>
                </pic:pic>
              </a:graphicData>
            </a:graphic>
          </wp:inline>
        </w:drawing>
      </w:r>
    </w:p>
    <w:p w:rsidR="0032014F" w:rsidRDefault="0032014F" w:rsidP="0032014F">
      <w:pPr>
        <w:pStyle w:val="AERtablesource"/>
      </w:pPr>
      <w:r w:rsidRPr="00D461E6">
        <w:t>Source:</w:t>
      </w:r>
      <w:r w:rsidRPr="00D461E6">
        <w:tab/>
        <w:t>AER analysis.</w:t>
      </w:r>
    </w:p>
    <w:p w:rsidR="0032014F" w:rsidRDefault="0032014F" w:rsidP="0032014F">
      <w:r>
        <w:t>We describe each of these elements below</w:t>
      </w:r>
      <w:r w:rsidRPr="00B10A78">
        <w:t>:</w:t>
      </w:r>
    </w:p>
    <w:p w:rsidR="0032014F" w:rsidRDefault="0032014F" w:rsidP="0032014F">
      <w:pPr>
        <w:pStyle w:val="AERbulletlistfirststyle"/>
      </w:pPr>
      <w:r>
        <w:t>AusNet Services</w:t>
      </w:r>
      <w:r w:rsidRPr="00E64977">
        <w:t xml:space="preserve"> used </w:t>
      </w:r>
      <w:r w:rsidRPr="00404C59">
        <w:t>the actual opex it incurred in 201</w:t>
      </w:r>
      <w:r>
        <w:t>4–15</w:t>
      </w:r>
      <w:r w:rsidRPr="00404C59">
        <w:t xml:space="preserve"> as the base for forecasting its</w:t>
      </w:r>
      <w:r w:rsidR="00536769">
        <w:t xml:space="preserve"> opex for the 2017</w:t>
      </w:r>
      <w:r>
        <w:t>–22</w:t>
      </w:r>
      <w:r w:rsidRPr="00404C59">
        <w:t xml:space="preserve"> </w:t>
      </w:r>
      <w:r>
        <w:t xml:space="preserve">regulatory control </w:t>
      </w:r>
      <w:proofErr w:type="gramStart"/>
      <w:r w:rsidRPr="00404C59">
        <w:t>period</w:t>
      </w:r>
      <w:proofErr w:type="gramEnd"/>
      <w:r w:rsidRPr="00404C59">
        <w:t xml:space="preserve">. </w:t>
      </w:r>
      <w:r>
        <w:t>Its reported expenditure for 2014</w:t>
      </w:r>
      <w:r w:rsidR="008D482C">
        <w:t>–15</w:t>
      </w:r>
      <w:r>
        <w:t xml:space="preserve"> </w:t>
      </w:r>
      <w:r w:rsidRPr="00404C59">
        <w:t xml:space="preserve">would lead </w:t>
      </w:r>
      <w:r>
        <w:t>to base opex of $984.0 million ($2016–17</w:t>
      </w:r>
      <w:r w:rsidRPr="00404C59">
        <w:t xml:space="preserve">) over the </w:t>
      </w:r>
      <w:r w:rsidR="00536769">
        <w:t>2017</w:t>
      </w:r>
      <w:r>
        <w:t>–22</w:t>
      </w:r>
      <w:r w:rsidRPr="00404C59">
        <w:t xml:space="preserve"> regulatory control </w:t>
      </w:r>
      <w:proofErr w:type="gramStart"/>
      <w:r w:rsidRPr="00404C59">
        <w:t>period</w:t>
      </w:r>
      <w:proofErr w:type="gramEnd"/>
      <w:r w:rsidRPr="00404C59">
        <w:t xml:space="preserve">. </w:t>
      </w:r>
    </w:p>
    <w:p w:rsidR="0032014F" w:rsidRDefault="0032014F" w:rsidP="0032014F">
      <w:pPr>
        <w:pStyle w:val="AERbulletlistfirststyle"/>
      </w:pPr>
      <w:r>
        <w:t>AusNet Services</w:t>
      </w:r>
      <w:r w:rsidR="00974351">
        <w:t>'</w:t>
      </w:r>
      <w:r>
        <w:t xml:space="preserve"> 2014–15 regulatory accounts include one-</w:t>
      </w:r>
      <w:r w:rsidRPr="00F93DEB">
        <w:t>off accounting adjustments</w:t>
      </w:r>
      <w:r>
        <w:t xml:space="preserve"> </w:t>
      </w:r>
      <w:r w:rsidRPr="00F93DEB">
        <w:t xml:space="preserve">relating to </w:t>
      </w:r>
      <w:r w:rsidR="008D482C">
        <w:t xml:space="preserve">changes in </w:t>
      </w:r>
      <w:r w:rsidRPr="00F93DEB">
        <w:t>provision</w:t>
      </w:r>
      <w:r w:rsidR="008D482C">
        <w:t>s</w:t>
      </w:r>
      <w:r w:rsidRPr="00F93DEB">
        <w:t xml:space="preserve">. </w:t>
      </w:r>
      <w:r>
        <w:t xml:space="preserve">It </w:t>
      </w:r>
      <w:r w:rsidRPr="00F93DEB">
        <w:t xml:space="preserve">adjusted base </w:t>
      </w:r>
      <w:r>
        <w:t>opex</w:t>
      </w:r>
      <w:r w:rsidRPr="00F93DEB">
        <w:t xml:space="preserve"> to </w:t>
      </w:r>
      <w:r>
        <w:t>remove the</w:t>
      </w:r>
      <w:r w:rsidR="009042DB">
        <w:t xml:space="preserve"> movement in provisions in 2014–</w:t>
      </w:r>
      <w:r>
        <w:t xml:space="preserve">15. The effect of this is to set </w:t>
      </w:r>
      <w:r w:rsidRPr="00F93DEB">
        <w:t>the net forecast</w:t>
      </w:r>
      <w:r>
        <w:t xml:space="preserve"> </w:t>
      </w:r>
      <w:r w:rsidRPr="00F93DEB">
        <w:t xml:space="preserve">expenditure in this cost category </w:t>
      </w:r>
      <w:r>
        <w:t>to</w:t>
      </w:r>
      <w:r w:rsidRPr="00F93DEB">
        <w:t xml:space="preserve"> zero.</w:t>
      </w:r>
      <w:r>
        <w:t xml:space="preserve"> This increased AusNet Services' forecast by $0.7</w:t>
      </w:r>
      <w:r w:rsidRPr="00404C59">
        <w:t> million (</w:t>
      </w:r>
      <w:r>
        <w:t>$2016–17</w:t>
      </w:r>
      <w:r w:rsidRPr="00404C59">
        <w:t>).</w:t>
      </w:r>
    </w:p>
    <w:p w:rsidR="0032014F" w:rsidRDefault="0032014F" w:rsidP="0032014F">
      <w:pPr>
        <w:pStyle w:val="AERbulletlistfirststyle"/>
      </w:pPr>
      <w:r>
        <w:t xml:space="preserve">To forecast the increase </w:t>
      </w:r>
      <w:r w:rsidR="009042DB">
        <w:t>in opex between 2014–15 and 201</w:t>
      </w:r>
      <w:r w:rsidR="00FD4C84">
        <w:t>6</w:t>
      </w:r>
      <w:r w:rsidR="009042DB">
        <w:t>–1</w:t>
      </w:r>
      <w:r w:rsidR="00FD4C84">
        <w:t>7</w:t>
      </w:r>
      <w:r>
        <w:t xml:space="preserve"> AusNet Services added </w:t>
      </w:r>
      <w:r w:rsidR="00FD4C84">
        <w:t>the growth it forecast in prices, output and productivity</w:t>
      </w:r>
      <w:r>
        <w:t xml:space="preserve">. This is </w:t>
      </w:r>
      <w:r w:rsidR="00FD4C84">
        <w:t>in</w:t>
      </w:r>
      <w:r>
        <w:t xml:space="preserve">consistent with the approach set out in </w:t>
      </w:r>
      <w:r w:rsidR="009A25C2">
        <w:t xml:space="preserve">our </w:t>
      </w:r>
      <w:r w:rsidR="009A25C2" w:rsidRPr="005518C2">
        <w:rPr>
          <w:rStyle w:val="AERtextitalic"/>
        </w:rPr>
        <w:t>Expenditure forecast assessment guideline</w:t>
      </w:r>
      <w:r w:rsidR="009A25C2" w:rsidRPr="003C6B57">
        <w:t xml:space="preserve"> (the </w:t>
      </w:r>
      <w:r>
        <w:t>Guideline</w:t>
      </w:r>
      <w:r w:rsidR="009A25C2">
        <w:t>)</w:t>
      </w:r>
      <w:r>
        <w:t>. This increased AusNet Services' forecast by $13.8</w:t>
      </w:r>
      <w:r w:rsidRPr="00404C59">
        <w:t> million (</w:t>
      </w:r>
      <w:r>
        <w:t>$2016–17</w:t>
      </w:r>
      <w:r w:rsidRPr="00404C59">
        <w:t>).</w:t>
      </w:r>
      <w:r>
        <w:t xml:space="preserve"> </w:t>
      </w:r>
    </w:p>
    <w:p w:rsidR="0032014F" w:rsidRDefault="0032014F" w:rsidP="0032014F">
      <w:pPr>
        <w:pStyle w:val="AERbulletlistfirststyle"/>
      </w:pPr>
      <w:r>
        <w:t>AusNet Services included category specific forecasts for</w:t>
      </w:r>
      <w:r w:rsidR="007C7A20">
        <w:t xml:space="preserve"> easement land tax,</w:t>
      </w:r>
      <w:r>
        <w:t xml:space="preserve"> insurance</w:t>
      </w:r>
      <w:r w:rsidR="007C7A20">
        <w:t xml:space="preserve"> and</w:t>
      </w:r>
      <w:r>
        <w:t xml:space="preserve"> self-insurance co</w:t>
      </w:r>
      <w:r w:rsidR="007C7A20">
        <w:t>sts</w:t>
      </w:r>
      <w:r>
        <w:t>. This increased its forecast by $</w:t>
      </w:r>
      <w:r w:rsidR="007C7A20">
        <w:t>37.9 million ($2016–17</w:t>
      </w:r>
      <w:r>
        <w:t>).</w:t>
      </w:r>
    </w:p>
    <w:p w:rsidR="007C7A20" w:rsidRDefault="009042DB" w:rsidP="0032014F">
      <w:pPr>
        <w:pStyle w:val="AERbulletlistfirststyle"/>
      </w:pPr>
      <w:r>
        <w:lastRenderedPageBreak/>
        <w:t>It</w:t>
      </w:r>
      <w:r w:rsidR="007C7A20">
        <w:t xml:space="preserve"> </w:t>
      </w:r>
      <w:r>
        <w:t xml:space="preserve">also </w:t>
      </w:r>
      <w:r w:rsidR="007C7A20">
        <w:t>included a category specific forecast for group 3 assets roll in.</w:t>
      </w:r>
      <w:r w:rsidR="009858AC">
        <w:rPr>
          <w:rStyle w:val="FootnoteReference"/>
        </w:rPr>
        <w:footnoteReference w:id="5"/>
      </w:r>
      <w:r w:rsidR="007C7A20">
        <w:t xml:space="preserve"> </w:t>
      </w:r>
      <w:proofErr w:type="gramStart"/>
      <w:r w:rsidR="007C7A20">
        <w:t>This</w:t>
      </w:r>
      <w:proofErr w:type="gramEnd"/>
      <w:r w:rsidR="007C7A20">
        <w:t xml:space="preserve"> increased its forecast by $9.7 million ($2016–17).</w:t>
      </w:r>
    </w:p>
    <w:p w:rsidR="0032014F" w:rsidRDefault="0032014F" w:rsidP="0032014F">
      <w:pPr>
        <w:pStyle w:val="AERbulletlistfirststyle"/>
      </w:pPr>
      <w:r>
        <w:t xml:space="preserve">AusNet Services identified </w:t>
      </w:r>
      <w:r w:rsidR="007C7A20">
        <w:t>six</w:t>
      </w:r>
      <w:r>
        <w:t xml:space="preserve"> step change</w:t>
      </w:r>
      <w:r w:rsidR="007C7A20">
        <w:t>s</w:t>
      </w:r>
      <w:r>
        <w:t xml:space="preserve"> in costs it forecast </w:t>
      </w:r>
      <w:r w:rsidR="009042DB">
        <w:t>it would</w:t>
      </w:r>
      <w:r>
        <w:t xml:space="preserve"> incur during the forecast period, which were not incurred in 2014</w:t>
      </w:r>
      <w:r w:rsidR="009042DB">
        <w:t>–15</w:t>
      </w:r>
      <w:r>
        <w:t>. This increased AusNet Services' forecast by $</w:t>
      </w:r>
      <w:r w:rsidR="007C7A20">
        <w:t>13.5 million ($2016–17</w:t>
      </w:r>
      <w:r w:rsidRPr="00404C59">
        <w:t>).</w:t>
      </w:r>
    </w:p>
    <w:p w:rsidR="0032014F" w:rsidRDefault="0032014F" w:rsidP="0032014F">
      <w:pPr>
        <w:pStyle w:val="AERbulletlistfirststyle"/>
      </w:pPr>
      <w:r>
        <w:t>AusNet Services proposed output growth forecast using our forecast</w:t>
      </w:r>
      <w:r w:rsidR="00974351">
        <w:t>ing approach</w:t>
      </w:r>
      <w:r>
        <w:t>. This</w:t>
      </w:r>
      <w:r w:rsidRPr="00E64977">
        <w:t xml:space="preserve"> increased </w:t>
      </w:r>
      <w:r>
        <w:t>AusNet Services' opex forecast by $</w:t>
      </w:r>
      <w:r w:rsidR="007C7A20">
        <w:t>20.3</w:t>
      </w:r>
      <w:r w:rsidRPr="00E64977">
        <w:t> million (</w:t>
      </w:r>
      <w:r w:rsidR="007C7A20">
        <w:t>$2016–17</w:t>
      </w:r>
      <w:r w:rsidRPr="00404C59">
        <w:t>).</w:t>
      </w:r>
    </w:p>
    <w:p w:rsidR="0032014F" w:rsidRDefault="0032014F" w:rsidP="0032014F">
      <w:pPr>
        <w:pStyle w:val="AERbulletlistfirststyle"/>
      </w:pPr>
      <w:r>
        <w:t>AusNet Services</w:t>
      </w:r>
      <w:r w:rsidRPr="00E64977">
        <w:t xml:space="preserve"> accounted for forecast </w:t>
      </w:r>
      <w:r>
        <w:t>growth</w:t>
      </w:r>
      <w:r w:rsidRPr="00E64977">
        <w:t xml:space="preserve"> in prices related to labour price increases, contract</w:t>
      </w:r>
      <w:r>
        <w:t>ed service</w:t>
      </w:r>
      <w:r w:rsidRPr="00E64977">
        <w:t xml:space="preserve"> price increases</w:t>
      </w:r>
      <w:r>
        <w:t xml:space="preserve"> and non-labour price increases.</w:t>
      </w:r>
      <w:r w:rsidRPr="00E64977">
        <w:t xml:space="preserve"> These forecast price changes increased </w:t>
      </w:r>
      <w:r>
        <w:t>AusNet Services' opex forecast by $9.2</w:t>
      </w:r>
      <w:r w:rsidRPr="00E64977">
        <w:t> million (</w:t>
      </w:r>
      <w:r w:rsidR="007C7A20">
        <w:t>$2016–17</w:t>
      </w:r>
      <w:r w:rsidRPr="00404C59">
        <w:t>).</w:t>
      </w:r>
    </w:p>
    <w:p w:rsidR="007C7A20" w:rsidRDefault="007C7A20" w:rsidP="007C7A20">
      <w:pPr>
        <w:pStyle w:val="AERbulletlistfirststyle"/>
      </w:pPr>
      <w:r>
        <w:t>AusNet Services</w:t>
      </w:r>
      <w:r w:rsidRPr="00E64977">
        <w:t xml:space="preserve"> accounted for forecast </w:t>
      </w:r>
      <w:r>
        <w:t>growth</w:t>
      </w:r>
      <w:r w:rsidRPr="00E64977">
        <w:t xml:space="preserve"> in </w:t>
      </w:r>
      <w:r>
        <w:t>productivity.</w:t>
      </w:r>
      <w:r w:rsidRPr="00E64977">
        <w:t xml:space="preserve"> </w:t>
      </w:r>
      <w:r>
        <w:t>This de</w:t>
      </w:r>
      <w:r w:rsidRPr="00E64977">
        <w:t xml:space="preserve">creased </w:t>
      </w:r>
      <w:r>
        <w:t>AusNet Services' opex forecast by $3.4</w:t>
      </w:r>
      <w:r w:rsidRPr="00E64977">
        <w:t> million (</w:t>
      </w:r>
      <w:r>
        <w:t>$2016–17</w:t>
      </w:r>
      <w:r w:rsidRPr="00404C59">
        <w:t>).</w:t>
      </w:r>
    </w:p>
    <w:p w:rsidR="004F7F97" w:rsidRPr="004F7F97" w:rsidRDefault="004F7F97" w:rsidP="004F7F97">
      <w:pPr>
        <w:rPr>
          <w:rStyle w:val="AERbody"/>
        </w:rPr>
      </w:pPr>
      <w:r>
        <w:rPr>
          <w:rStyle w:val="AERbody"/>
        </w:rPr>
        <w:t xml:space="preserve">We received submissions from the Consumer Challenge Panel (CCP) and the </w:t>
      </w:r>
      <w:r w:rsidRPr="004F7F97">
        <w:rPr>
          <w:rStyle w:val="AERbody"/>
        </w:rPr>
        <w:t>Energy User Coalition of Victoria</w:t>
      </w:r>
      <w:r>
        <w:rPr>
          <w:rStyle w:val="AERbody"/>
        </w:rPr>
        <w:t xml:space="preserve"> (EUCV) in response to AusNet Services' proposal. Both were concerned about the increase </w:t>
      </w:r>
      <w:r w:rsidR="008325A1">
        <w:rPr>
          <w:rStyle w:val="AERbody"/>
        </w:rPr>
        <w:t>in</w:t>
      </w:r>
      <w:r>
        <w:rPr>
          <w:rStyle w:val="AERbody"/>
        </w:rPr>
        <w:t xml:space="preserve"> AusNet Services' proposed opex for the 2017–22 regulatory control period</w:t>
      </w:r>
      <w:r w:rsidR="008325A1">
        <w:rPr>
          <w:rStyle w:val="AERbody"/>
        </w:rPr>
        <w:t xml:space="preserve"> compared to historical levels</w:t>
      </w:r>
      <w:r>
        <w:rPr>
          <w:rStyle w:val="AERbody"/>
        </w:rPr>
        <w:t>.</w:t>
      </w:r>
      <w:r>
        <w:rPr>
          <w:rStyle w:val="FootnoteReference"/>
        </w:rPr>
        <w:footnoteReference w:id="6"/>
      </w:r>
      <w:r>
        <w:rPr>
          <w:rStyle w:val="AERbody"/>
        </w:rPr>
        <w:t xml:space="preserve"> </w:t>
      </w:r>
    </w:p>
    <w:p w:rsidR="00DE563D" w:rsidRDefault="00DE563D" w:rsidP="001754EE">
      <w:pPr>
        <w:pStyle w:val="Heading2"/>
      </w:pPr>
      <w:bookmarkStart w:id="20" w:name="_Toc403144138"/>
      <w:bookmarkStart w:id="21" w:name="_Toc456601957"/>
      <w:r w:rsidRPr="001754EE">
        <w:t>AER’s</w:t>
      </w:r>
      <w:r>
        <w:t xml:space="preserve"> assessment approach</w:t>
      </w:r>
      <w:bookmarkEnd w:id="20"/>
      <w:bookmarkEnd w:id="21"/>
    </w:p>
    <w:p w:rsidR="004E3AE1" w:rsidRPr="00654E80" w:rsidRDefault="004E3AE1" w:rsidP="002C1039">
      <w:pPr>
        <w:numPr>
          <w:ilvl w:val="0"/>
          <w:numId w:val="24"/>
        </w:numPr>
      </w:pPr>
      <w:bookmarkStart w:id="22" w:name="_Toc417465236"/>
      <w:bookmarkStart w:id="23" w:name="_Toc417646228"/>
      <w:r>
        <w:t>This section sets out our general approach to assessment.</w:t>
      </w:r>
      <w:r w:rsidRPr="00486F8F">
        <w:t xml:space="preserve"> </w:t>
      </w:r>
      <w:r>
        <w:t>Our approach to assessment of particular aspects of the opex forecast is set out in more detail in the relevant appendices.</w:t>
      </w:r>
    </w:p>
    <w:p w:rsidR="004E3AE1" w:rsidRDefault="004E3AE1" w:rsidP="004E3AE1">
      <w:pPr>
        <w:rPr>
          <w:rStyle w:val="AERbody"/>
        </w:rPr>
      </w:pPr>
      <w:r w:rsidRPr="003C6B57">
        <w:t>Our assessment approach, outlined below, is, for the most part, consistent with the Guideline.</w:t>
      </w:r>
      <w:r>
        <w:t xml:space="preserve"> </w:t>
      </w:r>
    </w:p>
    <w:p w:rsidR="004E3AE1" w:rsidRDefault="004E3AE1" w:rsidP="002C1039">
      <w:pPr>
        <w:numPr>
          <w:ilvl w:val="0"/>
          <w:numId w:val="24"/>
        </w:numPr>
      </w:pPr>
      <w:r>
        <w:t>There are two tasks that the NER requires us to undertake in assessing total forecast opex. In the first task, we form a view about whether we are satisfied a service provider’s proposed total opex forecast reasonably reflects the opex criteria.</w:t>
      </w:r>
      <w:r>
        <w:rPr>
          <w:rStyle w:val="FootnoteReference"/>
        </w:rPr>
        <w:footnoteReference w:id="7"/>
      </w:r>
      <w:r>
        <w:t xml:space="preserve"> If we are satisfied, we accept the service provider’s forecast.</w:t>
      </w:r>
      <w:r>
        <w:rPr>
          <w:rStyle w:val="FootnoteReference"/>
        </w:rPr>
        <w:footnoteReference w:id="8"/>
      </w:r>
      <w:r>
        <w:t xml:space="preserve"> In the second task, we determine a substitute estimate of the required total forecast opex that we are satisfied </w:t>
      </w:r>
      <w:r>
        <w:lastRenderedPageBreak/>
        <w:t>reasonably reflects the opex criteria.</w:t>
      </w:r>
      <w:r>
        <w:rPr>
          <w:rStyle w:val="FootnoteReference"/>
        </w:rPr>
        <w:footnoteReference w:id="9"/>
      </w:r>
      <w:r>
        <w:t xml:space="preserve"> We only undertake the second task if we do not accept the service provider's forecast after undertaking the first task.</w:t>
      </w:r>
    </w:p>
    <w:p w:rsidR="004E3AE1" w:rsidRDefault="004E3AE1" w:rsidP="004E3AE1">
      <w:r>
        <w:t xml:space="preserve">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w:t>
      </w:r>
      <w:r w:rsidRPr="006B52A4">
        <w:t xml:space="preserve">total forecast opex </w:t>
      </w:r>
      <w:r>
        <w:t xml:space="preserve">reasonably reflects </w:t>
      </w:r>
      <w:r w:rsidRPr="006B52A4">
        <w:t>the opex criteria.</w:t>
      </w:r>
    </w:p>
    <w:p w:rsidR="004E3AE1" w:rsidDel="00D63D65" w:rsidRDefault="004E3AE1" w:rsidP="004E3AE1">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10"/>
      </w:r>
      <w:r w:rsidRPr="003C6B57">
        <w:t xml:space="preserve"> </w:t>
      </w:r>
    </w:p>
    <w:p w:rsidR="004E3AE1" w:rsidRPr="00654E80" w:rsidRDefault="004E3AE1" w:rsidP="004E3AE1">
      <w:pPr>
        <w:pStyle w:val="AERquote"/>
      </w:pPr>
      <w:r w:rsidRPr="00654E80">
        <w:t>It should be noted here that what the AER approves in this context is expenditure allowances, not projects.</w:t>
      </w:r>
    </w:p>
    <w:p w:rsidR="004E3AE1" w:rsidRDefault="004E3AE1" w:rsidP="002C1039">
      <w:pPr>
        <w:numPr>
          <w:ilvl w:val="0"/>
          <w:numId w:val="24"/>
        </w:numPr>
      </w:pPr>
      <w:r>
        <w:t xml:space="preserve">The opex criteria that we must be satisfied a total forecast opex </w:t>
      </w:r>
      <w:r w:rsidRPr="00654E80">
        <w:t>reasonably reflect</w:t>
      </w:r>
      <w:r>
        <w:t>s are</w:t>
      </w:r>
      <w:r w:rsidRPr="00654E80">
        <w:t>:</w:t>
      </w:r>
      <w:r w:rsidRPr="00654E80">
        <w:rPr>
          <w:rStyle w:val="AERsuperscript"/>
        </w:rPr>
        <w:footnoteReference w:id="11"/>
      </w:r>
    </w:p>
    <w:p w:rsidR="004E3AE1" w:rsidRPr="00654E80" w:rsidRDefault="004E3AE1" w:rsidP="002C1039">
      <w:pPr>
        <w:pStyle w:val="ListNumber"/>
        <w:numPr>
          <w:ilvl w:val="1"/>
          <w:numId w:val="24"/>
        </w:numPr>
      </w:pPr>
      <w:r w:rsidRPr="00654E80">
        <w:t>the efficient costs of achieving the operating expenditure objectives</w:t>
      </w:r>
    </w:p>
    <w:p w:rsidR="004E3AE1" w:rsidRDefault="004E3AE1" w:rsidP="002C1039">
      <w:pPr>
        <w:pStyle w:val="ListNumber"/>
        <w:numPr>
          <w:ilvl w:val="1"/>
          <w:numId w:val="24"/>
        </w:numPr>
      </w:pPr>
      <w:r w:rsidRPr="00654E80">
        <w:t>the costs that a prudent operator would require to achieve the operating expenditure objectives</w:t>
      </w:r>
    </w:p>
    <w:p w:rsidR="004E3AE1" w:rsidRDefault="004E3AE1" w:rsidP="002C1039">
      <w:pPr>
        <w:pStyle w:val="ListNumber"/>
        <w:numPr>
          <w:ilvl w:val="1"/>
          <w:numId w:val="24"/>
        </w:numPr>
        <w:rPr>
          <w:rStyle w:val="AERbody"/>
        </w:rPr>
      </w:pPr>
      <w:proofErr w:type="gramStart"/>
      <w:r w:rsidRPr="00654E80">
        <w:t>a</w:t>
      </w:r>
      <w:proofErr w:type="gramEnd"/>
      <w:r w:rsidRPr="00654E80">
        <w:t xml:space="preserve"> realistic expectation of the demand forecast and cost inputs required to achieve the operating expenditure </w:t>
      </w:r>
      <w:r w:rsidRPr="00A964D8">
        <w:t>objectives</w:t>
      </w:r>
      <w:r w:rsidRPr="00654E80">
        <w:t>.</w:t>
      </w:r>
    </w:p>
    <w:p w:rsidR="004E3AE1" w:rsidRPr="00654E80" w:rsidRDefault="004E3AE1" w:rsidP="004E3AE1">
      <w:r w:rsidRPr="000834E9">
        <w:rPr>
          <w:rStyle w:val="AERbody"/>
        </w:rPr>
        <w:t>The AEMC noted that</w:t>
      </w:r>
      <w:r w:rsidRPr="00654E80">
        <w:t xml:space="preserve"> '[t]</w:t>
      </w:r>
      <w:proofErr w:type="spellStart"/>
      <w:r w:rsidRPr="00654E80">
        <w:t>hese</w:t>
      </w:r>
      <w:proofErr w:type="spellEnd"/>
      <w:r w:rsidRPr="00654E80">
        <w:t xml:space="preserve"> criteria broadly reflect the NEO [National Electricity Objective]'.</w:t>
      </w:r>
      <w:r w:rsidRPr="00654E80">
        <w:rPr>
          <w:rStyle w:val="FootnoteReference"/>
        </w:rPr>
        <w:footnoteReference w:id="12"/>
      </w:r>
    </w:p>
    <w:p w:rsidR="004E3AE1" w:rsidRPr="00654E80" w:rsidRDefault="004E3AE1" w:rsidP="002C1039">
      <w:pPr>
        <w:numPr>
          <w:ilvl w:val="0"/>
          <w:numId w:val="24"/>
        </w:numPr>
      </w:pPr>
      <w:r w:rsidRPr="00654E80">
        <w:t xml:space="preserve">The service provider’s forecast is intended to cover the expenditure that will be needed to achieve the </w:t>
      </w:r>
      <w:r>
        <w:t>opex</w:t>
      </w:r>
      <w:r w:rsidRPr="00654E80">
        <w:t xml:space="preserve"> objectives. The</w:t>
      </w:r>
      <w:r>
        <w:t xml:space="preserve"> opex</w:t>
      </w:r>
      <w:r w:rsidRPr="00654E80">
        <w:t xml:space="preserve"> objectives are:</w:t>
      </w:r>
      <w:r w:rsidRPr="00654E80">
        <w:rPr>
          <w:rStyle w:val="FootnoteReference"/>
        </w:rPr>
        <w:footnoteReference w:id="13"/>
      </w:r>
    </w:p>
    <w:p w:rsidR="004E3AE1" w:rsidRPr="00654E80" w:rsidRDefault="004E3AE1" w:rsidP="002C1039">
      <w:pPr>
        <w:pStyle w:val="ListNumber"/>
        <w:numPr>
          <w:ilvl w:val="1"/>
          <w:numId w:val="24"/>
        </w:numPr>
      </w:pPr>
      <w:r w:rsidRPr="00654E80">
        <w:t xml:space="preserve">meeting or managing the expected demand for </w:t>
      </w:r>
      <w:r w:rsidR="00E36B6C">
        <w:t>prescribed</w:t>
      </w:r>
      <w:r w:rsidRPr="00654E80">
        <w:t xml:space="preserve"> </w:t>
      </w:r>
      <w:r w:rsidR="00E36B6C">
        <w:t>transmission</w:t>
      </w:r>
      <w:r w:rsidRPr="00654E80">
        <w:t xml:space="preserve"> services over the regulatory control period</w:t>
      </w:r>
    </w:p>
    <w:p w:rsidR="004E3AE1" w:rsidRPr="00654E80" w:rsidRDefault="004E3AE1" w:rsidP="002C1039">
      <w:pPr>
        <w:pStyle w:val="ListNumber"/>
        <w:numPr>
          <w:ilvl w:val="1"/>
          <w:numId w:val="24"/>
        </w:numPr>
      </w:pPr>
      <w:r w:rsidRPr="00654E80">
        <w:t xml:space="preserve">complying with all applicable regulatory obligations or requirements associated with providing </w:t>
      </w:r>
      <w:r w:rsidR="00E36B6C">
        <w:t>prescribed</w:t>
      </w:r>
      <w:r w:rsidRPr="00654E80">
        <w:t xml:space="preserve"> </w:t>
      </w:r>
      <w:r w:rsidR="00E36B6C">
        <w:t>transmission</w:t>
      </w:r>
      <w:r w:rsidRPr="00654E80">
        <w:t xml:space="preserve"> services</w:t>
      </w:r>
    </w:p>
    <w:p w:rsidR="004E3AE1" w:rsidRPr="00654E80" w:rsidRDefault="004E3AE1" w:rsidP="002C1039">
      <w:pPr>
        <w:pStyle w:val="ListNumber"/>
        <w:numPr>
          <w:ilvl w:val="1"/>
          <w:numId w:val="24"/>
        </w:numPr>
      </w:pPr>
      <w:r w:rsidRPr="00654E80">
        <w:t xml:space="preserve">where there is no regulatory obligation or requirement, maintaining the quality, reliability and security of </w:t>
      </w:r>
      <w:r w:rsidR="00E36B6C">
        <w:t>supply of prescribed</w:t>
      </w:r>
      <w:r w:rsidRPr="00654E80">
        <w:t xml:space="preserve"> </w:t>
      </w:r>
      <w:r w:rsidR="00E36B6C">
        <w:t>transmission</w:t>
      </w:r>
      <w:r w:rsidRPr="00654E80">
        <w:t xml:space="preserve"> services and maintaining the reliability and security of the </w:t>
      </w:r>
      <w:r w:rsidR="00E36B6C">
        <w:t>transmission</w:t>
      </w:r>
      <w:r w:rsidRPr="00654E80">
        <w:t xml:space="preserve"> system</w:t>
      </w:r>
    </w:p>
    <w:p w:rsidR="004E3AE1" w:rsidRPr="00654E80" w:rsidRDefault="004E3AE1" w:rsidP="002C1039">
      <w:pPr>
        <w:pStyle w:val="ListNumber"/>
        <w:numPr>
          <w:ilvl w:val="1"/>
          <w:numId w:val="24"/>
        </w:numPr>
      </w:pPr>
      <w:proofErr w:type="gramStart"/>
      <w:r w:rsidRPr="00654E80">
        <w:lastRenderedPageBreak/>
        <w:t>maintaining</w:t>
      </w:r>
      <w:proofErr w:type="gramEnd"/>
      <w:r w:rsidRPr="00654E80">
        <w:t xml:space="preserve"> the safety of the </w:t>
      </w:r>
      <w:r w:rsidR="00E36B6C">
        <w:t>transmission</w:t>
      </w:r>
      <w:r w:rsidRPr="00654E80">
        <w:t xml:space="preserve"> system through the supply of </w:t>
      </w:r>
      <w:r w:rsidR="00E36B6C">
        <w:t>prescribed</w:t>
      </w:r>
      <w:r w:rsidRPr="00654E80">
        <w:t xml:space="preserve"> </w:t>
      </w:r>
      <w:r w:rsidR="00E36B6C">
        <w:t>transmission</w:t>
      </w:r>
      <w:r w:rsidRPr="00654E80">
        <w:t xml:space="preserve"> services.</w:t>
      </w:r>
    </w:p>
    <w:p w:rsidR="004E3AE1" w:rsidRDefault="004E3AE1" w:rsidP="002C1039">
      <w:pPr>
        <w:numPr>
          <w:ilvl w:val="0"/>
          <w:numId w:val="24"/>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4E3AE1" w:rsidRPr="00654E80" w:rsidRDefault="004E3AE1" w:rsidP="002C1039">
      <w:pPr>
        <w:numPr>
          <w:ilvl w:val="0"/>
          <w:numId w:val="24"/>
        </w:numPr>
      </w:pPr>
      <w:r>
        <w:t xml:space="preserve">Further, in undertaking these tasks </w:t>
      </w:r>
      <w:r w:rsidRPr="00654E80">
        <w:t>we have regard to the opex factors.</w:t>
      </w:r>
      <w:r w:rsidRPr="00654E80">
        <w:rPr>
          <w:rStyle w:val="FootnoteReference"/>
        </w:rPr>
        <w:footnoteReference w:id="14"/>
      </w:r>
      <w:r w:rsidRPr="00654E80">
        <w:t xml:space="preserve"> We attach different weight to different factors. This approach has been summarised by the AEMC as follows:</w:t>
      </w:r>
      <w:r w:rsidRPr="00654E80">
        <w:rPr>
          <w:rStyle w:val="FootnoteReference"/>
        </w:rPr>
        <w:footnoteReference w:id="15"/>
      </w:r>
    </w:p>
    <w:p w:rsidR="004E3AE1" w:rsidRPr="00A31C1A" w:rsidRDefault="004E3AE1" w:rsidP="004E3AE1">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4E3AE1" w:rsidRPr="00654E80" w:rsidRDefault="004E3AE1" w:rsidP="002C1039">
      <w:pPr>
        <w:numPr>
          <w:ilvl w:val="0"/>
          <w:numId w:val="24"/>
        </w:numPr>
      </w:pPr>
      <w:r w:rsidRPr="00654E80">
        <w:t xml:space="preserve">The opex factors </w:t>
      </w:r>
      <w:r>
        <w:t xml:space="preserve">that </w:t>
      </w:r>
      <w:r w:rsidRPr="00654E80">
        <w:t>we have regard to are:</w:t>
      </w:r>
    </w:p>
    <w:p w:rsidR="00162AB7" w:rsidRPr="00162AB7" w:rsidRDefault="00162AB7" w:rsidP="00162AB7">
      <w:pPr>
        <w:pStyle w:val="AERbulletlistfirststyle"/>
      </w:pPr>
      <w:r w:rsidRPr="00162AB7">
        <w:t>the most recent annual benchmarking report that has been published under clause 6A.31 and the benchmark operating expenditure that wou</w:t>
      </w:r>
      <w:r w:rsidR="00B26FB0">
        <w:t>ld be incurred by an efficient transmission network service p</w:t>
      </w:r>
      <w:r w:rsidRPr="00162AB7">
        <w:t>rovider over the rel</w:t>
      </w:r>
      <w:r w:rsidR="00B26FB0">
        <w:t>evant regulatory control period</w:t>
      </w:r>
    </w:p>
    <w:p w:rsidR="00162AB7" w:rsidRPr="00162AB7" w:rsidRDefault="00162AB7" w:rsidP="00162AB7">
      <w:pPr>
        <w:pStyle w:val="AERbulletlistfirststyle"/>
      </w:pPr>
      <w:r w:rsidRPr="00162AB7">
        <w:t>the actual and expecte</w:t>
      </w:r>
      <w:r w:rsidR="00B26FB0">
        <w:t>d operating expenditure of the transmission network service p</w:t>
      </w:r>
      <w:r w:rsidRPr="00162AB7">
        <w:t>rovider during any prece</w:t>
      </w:r>
      <w:r w:rsidR="00B26FB0">
        <w:t>ding regulatory control periods</w:t>
      </w:r>
    </w:p>
    <w:p w:rsidR="00162AB7" w:rsidRPr="00162AB7" w:rsidRDefault="00162AB7" w:rsidP="00162AB7">
      <w:pPr>
        <w:pStyle w:val="AERbulletlistfirststyle"/>
      </w:pPr>
      <w:r w:rsidRPr="00162AB7">
        <w:t>the extent to which the operating expenditure forecast includes expenditure to address the concerns of electricity consumers</w:t>
      </w:r>
      <w:r w:rsidR="00B26FB0">
        <w:t xml:space="preserve"> as identified by the transmission network service p</w:t>
      </w:r>
      <w:r w:rsidRPr="00162AB7">
        <w:t>rovider in the course of its engage</w:t>
      </w:r>
      <w:r w:rsidR="00B26FB0">
        <w:t>ment with electricity consumers</w:t>
      </w:r>
    </w:p>
    <w:p w:rsidR="00162AB7" w:rsidRPr="00162AB7" w:rsidRDefault="00162AB7" w:rsidP="00162AB7">
      <w:pPr>
        <w:pStyle w:val="AERbulletlistfirststyle"/>
      </w:pPr>
      <w:r w:rsidRPr="00162AB7">
        <w:t xml:space="preserve">the relative prices </w:t>
      </w:r>
      <w:r w:rsidR="00B26FB0">
        <w:t>of operating and capital inputs</w:t>
      </w:r>
    </w:p>
    <w:p w:rsidR="00162AB7" w:rsidRPr="00162AB7" w:rsidRDefault="00162AB7" w:rsidP="00162AB7">
      <w:pPr>
        <w:pStyle w:val="AERbulletlistfirststyle"/>
      </w:pPr>
      <w:r w:rsidRPr="00162AB7">
        <w:t>the substitution possibilities between op</w:t>
      </w:r>
      <w:r w:rsidR="00B26FB0">
        <w:t>erating and capital expenditure</w:t>
      </w:r>
    </w:p>
    <w:p w:rsidR="00162AB7" w:rsidRPr="00162AB7" w:rsidRDefault="00162AB7" w:rsidP="00162AB7">
      <w:pPr>
        <w:pStyle w:val="AERbulletlistfirststyle"/>
      </w:pPr>
      <w:r w:rsidRPr="00162AB7">
        <w:t>whether the operating expenditure forecast is consistent with any incentive schem</w:t>
      </w:r>
      <w:r w:rsidR="00B26FB0">
        <w:t>e or schemes that apply to the transmission network service p</w:t>
      </w:r>
      <w:r w:rsidRPr="00162AB7">
        <w:t>rovider under c</w:t>
      </w:r>
      <w:r w:rsidR="00B26FB0">
        <w:t>lauses 6A.6.5, 6A.7.4 or 6A.7.5</w:t>
      </w:r>
    </w:p>
    <w:p w:rsidR="00162AB7" w:rsidRPr="00162AB7" w:rsidRDefault="00162AB7" w:rsidP="00162AB7">
      <w:pPr>
        <w:pStyle w:val="AERbulletlistfirststyle"/>
      </w:pPr>
      <w:r w:rsidRPr="00162AB7">
        <w:lastRenderedPageBreak/>
        <w:t xml:space="preserve">the extent the operating expenditure forecast is </w:t>
      </w:r>
      <w:proofErr w:type="spellStart"/>
      <w:r w:rsidRPr="00162AB7">
        <w:t>referable</w:t>
      </w:r>
      <w:proofErr w:type="spellEnd"/>
      <w:r w:rsidRPr="00162AB7">
        <w:t xml:space="preserve"> to arrangements </w:t>
      </w:r>
      <w:r w:rsidR="00B26FB0">
        <w:t>with a person other than the transmission network service p</w:t>
      </w:r>
      <w:r w:rsidRPr="00162AB7">
        <w:t>rovider that, in the opinion of the AER, do</w:t>
      </w:r>
      <w:r w:rsidR="00B26FB0">
        <w:t xml:space="preserve"> not reflect arm's length terms</w:t>
      </w:r>
    </w:p>
    <w:p w:rsidR="00162AB7" w:rsidRPr="00162AB7" w:rsidRDefault="00162AB7" w:rsidP="00162AB7">
      <w:pPr>
        <w:pStyle w:val="AERbulletlistfirststyle"/>
      </w:pPr>
      <w:r w:rsidRPr="00162AB7">
        <w:t>whether the operating expenditure forecast includes an amount relating to a project that should more appropriately be included as a contingent</w:t>
      </w:r>
      <w:r w:rsidR="00B26FB0">
        <w:t xml:space="preserve"> project under clause 6A.8.1(b)</w:t>
      </w:r>
    </w:p>
    <w:p w:rsidR="00162AB7" w:rsidRPr="00162AB7" w:rsidRDefault="00162AB7" w:rsidP="00162AB7">
      <w:pPr>
        <w:pStyle w:val="AERbulletlistfirststyle"/>
      </w:pPr>
      <w:r w:rsidRPr="00162AB7">
        <w:t>the most recent NTNDP and any submissions made by AEMO, in accordance with the</w:t>
      </w:r>
      <w:r w:rsidR="00B26FB0">
        <w:t xml:space="preserve"> Rules, on the forecast of the transmission network service p</w:t>
      </w:r>
      <w:r w:rsidRPr="00162AB7">
        <w:t xml:space="preserve">rovider's </w:t>
      </w:r>
      <w:r w:rsidR="00B26FB0">
        <w:t>required operating expenditure</w:t>
      </w:r>
    </w:p>
    <w:p w:rsidR="00162AB7" w:rsidRPr="00162AB7" w:rsidRDefault="00162AB7" w:rsidP="00162AB7">
      <w:pPr>
        <w:pStyle w:val="AERbulletlistfirststyle"/>
      </w:pPr>
      <w:r w:rsidRPr="00162AB7">
        <w:t xml:space="preserve">the extent to which </w:t>
      </w:r>
      <w:r w:rsidR="00B26FB0">
        <w:t>the transmission network service p</w:t>
      </w:r>
      <w:r w:rsidRPr="00162AB7">
        <w:t>rovider has considered and made provision for efficient and p</w:t>
      </w:r>
      <w:r w:rsidR="00B26FB0">
        <w:t>rudent non-network alternatives</w:t>
      </w:r>
      <w:r w:rsidRPr="00162AB7">
        <w:t xml:space="preserve"> </w:t>
      </w:r>
    </w:p>
    <w:p w:rsidR="00162AB7" w:rsidRPr="00162AB7" w:rsidRDefault="00162AB7" w:rsidP="00162AB7">
      <w:pPr>
        <w:pStyle w:val="AERbulletlistfirststyle"/>
      </w:pPr>
      <w:r w:rsidRPr="00162AB7">
        <w:t>any relevant project assessment conclusion</w:t>
      </w:r>
      <w:r w:rsidR="00B26FB0">
        <w:t>s report required under 5.16.4</w:t>
      </w:r>
    </w:p>
    <w:p w:rsidR="00162AB7" w:rsidRPr="00162AB7" w:rsidRDefault="00162AB7" w:rsidP="00162AB7">
      <w:pPr>
        <w:pStyle w:val="AERbulletlistfirststyle"/>
      </w:pPr>
      <w:proofErr w:type="gramStart"/>
      <w:r w:rsidRPr="00162AB7">
        <w:t>any</w:t>
      </w:r>
      <w:proofErr w:type="gramEnd"/>
      <w:r w:rsidRPr="00162AB7">
        <w:t xml:space="preserve"> other factor the AER considers relevant and </w:t>
      </w:r>
      <w:r w:rsidR="00B26FB0">
        <w:t>which the AER has notified the transmission network service p</w:t>
      </w:r>
      <w:r w:rsidRPr="00162AB7">
        <w:t>rovider in writing, prior to</w:t>
      </w:r>
      <w:r w:rsidR="00B26FB0">
        <w:t xml:space="preserve"> the submission of its revised revenue p</w:t>
      </w:r>
      <w:r w:rsidRPr="00162AB7">
        <w:t xml:space="preserve">roposal under clause 6A.12.3, is an operating expenditure factor. </w:t>
      </w:r>
    </w:p>
    <w:p w:rsidR="00162AB7" w:rsidRPr="00162AB7" w:rsidRDefault="00162AB7" w:rsidP="002C1039">
      <w:pPr>
        <w:numPr>
          <w:ilvl w:val="0"/>
          <w:numId w:val="24"/>
        </w:numPr>
      </w:pPr>
      <w:r w:rsidRPr="00162AB7">
        <w:t>For this determination, there is one additional operating expenditure factors that we will take into account under the last opex factor above:</w:t>
      </w:r>
    </w:p>
    <w:p w:rsidR="00162AB7" w:rsidRPr="00162AB7" w:rsidRDefault="00162AB7" w:rsidP="00162AB7">
      <w:pPr>
        <w:pStyle w:val="AERbulletlistfirststyle"/>
      </w:pPr>
      <w:r w:rsidRPr="00162AB7">
        <w:t xml:space="preserve">our benchmarking data sets including, but not necessarily limited to: </w:t>
      </w:r>
    </w:p>
    <w:p w:rsidR="00162AB7" w:rsidRPr="00162AB7" w:rsidRDefault="00162AB7" w:rsidP="00162AB7">
      <w:pPr>
        <w:pStyle w:val="AERnumberedlistsecondstyle"/>
      </w:pPr>
      <w:r w:rsidRPr="00162AB7">
        <w:t>data contained in any economic benchmarking RIN, category analysis RIN, reset RIN or annual reporting RIN</w:t>
      </w:r>
    </w:p>
    <w:p w:rsidR="00162AB7" w:rsidRPr="00162AB7" w:rsidRDefault="00162AB7" w:rsidP="00162AB7">
      <w:pPr>
        <w:pStyle w:val="AERnumberedlistsecondstyle"/>
      </w:pPr>
      <w:r w:rsidRPr="00162AB7">
        <w:t xml:space="preserve">data sets that support other assessment techniques consistent with the approach set out in </w:t>
      </w:r>
      <w:r w:rsidR="00812F95">
        <w:t>the</w:t>
      </w:r>
      <w:r w:rsidRPr="00162AB7">
        <w:t xml:space="preserve"> Guideline</w:t>
      </w:r>
    </w:p>
    <w:p w:rsidR="00162AB7" w:rsidRPr="00162AB7" w:rsidRDefault="00162AB7" w:rsidP="00162AB7">
      <w:pPr>
        <w:pStyle w:val="ListContinue"/>
      </w:pPr>
      <w:proofErr w:type="gramStart"/>
      <w:r w:rsidRPr="00162AB7">
        <w:t>as</w:t>
      </w:r>
      <w:proofErr w:type="gramEnd"/>
      <w:r w:rsidRPr="00162AB7">
        <w:t xml:space="preserve"> updated from time to time.</w:t>
      </w:r>
    </w:p>
    <w:p w:rsidR="00162AB7" w:rsidRPr="00162AB7" w:rsidRDefault="00162AB7" w:rsidP="002C1039">
      <w:pPr>
        <w:numPr>
          <w:ilvl w:val="0"/>
          <w:numId w:val="24"/>
        </w:numPr>
      </w:pPr>
      <w:r w:rsidRPr="00162AB7">
        <w:t xml:space="preserve">For transparency and ease of reference, we have included a summary of how we have had regard to each of the opex factors in our assessment at the end of this </w:t>
      </w:r>
      <w:r w:rsidR="00985C1F">
        <w:t>attachment</w:t>
      </w:r>
      <w:r w:rsidRPr="00162AB7">
        <w:t xml:space="preserve">. </w:t>
      </w:r>
    </w:p>
    <w:p w:rsidR="004E3AE1" w:rsidRDefault="004E3AE1" w:rsidP="004E3AE1">
      <w:r>
        <w:t xml:space="preserve">As we noted above, the two tasks that the NER requires us to undertake involve us exercising our discretion. In exercising discretion, the </w:t>
      </w:r>
      <w:r w:rsidR="00985C1F" w:rsidRPr="00162AB7">
        <w:t>National Electricity Law</w:t>
      </w:r>
      <w:r w:rsidR="00985C1F">
        <w:t xml:space="preserve"> (NEL)</w:t>
      </w:r>
      <w:r>
        <w:t xml:space="preserve"> requires us to take into account the </w:t>
      </w:r>
      <w:r w:rsidRPr="00654E80">
        <w:t xml:space="preserve">revenue and pricing principles </w:t>
      </w:r>
      <w:r>
        <w:t>(RPPs)</w:t>
      </w:r>
      <w:r w:rsidRPr="00654E80">
        <w:t>.</w:t>
      </w:r>
      <w:r w:rsidRPr="00654E80">
        <w:rPr>
          <w:rStyle w:val="FootnoteReference"/>
        </w:rPr>
        <w:footnoteReference w:id="16"/>
      </w:r>
      <w:r w:rsidR="00985C1F">
        <w:t xml:space="preserve"> </w:t>
      </w:r>
      <w:r>
        <w:t>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7"/>
      </w:r>
      <w:r>
        <w:t xml:space="preserve"> By us taking into account the relevant capex/opex trade-offs, our assessment approach also ensures that the service provider faces the appropriate incentives to promote efficient investment in and provision and use of the network and </w:t>
      </w:r>
      <w:r>
        <w:lastRenderedPageBreak/>
        <w:t>minimises the costs and risks associated with the potential for under and over investment and utilisation of the network.</w:t>
      </w:r>
      <w:r>
        <w:rPr>
          <w:rStyle w:val="FootnoteReference"/>
        </w:rPr>
        <w:footnoteReference w:id="18"/>
      </w:r>
      <w:r>
        <w:t xml:space="preserve"> </w:t>
      </w:r>
    </w:p>
    <w:p w:rsidR="004E3AE1" w:rsidRPr="00654E80" w:rsidRDefault="004E3AE1" w:rsidP="004E3AE1">
      <w:pPr>
        <w:pStyle w:val="HeadingBoldBlue"/>
      </w:pPr>
      <w:bookmarkStart w:id="24" w:name="_Toc433629839"/>
      <w:bookmarkStart w:id="25" w:name="_Toc456601958"/>
      <w:r>
        <w:t>Expenditure forecast assessment g</w:t>
      </w:r>
      <w:r w:rsidRPr="00654E80">
        <w:t>uideline</w:t>
      </w:r>
      <w:bookmarkEnd w:id="22"/>
      <w:bookmarkEnd w:id="23"/>
      <w:bookmarkEnd w:id="24"/>
      <w:bookmarkEnd w:id="25"/>
    </w:p>
    <w:p w:rsidR="004E3AE1" w:rsidRDefault="004E3AE1" w:rsidP="004E3AE1">
      <w:pPr>
        <w:rPr>
          <w:rStyle w:val="AERbody"/>
        </w:rPr>
      </w:pPr>
      <w:bookmarkStart w:id="26" w:name="_Toc417465237"/>
      <w:bookmarkStart w:id="27" w:name="_Toc417646229"/>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t xml:space="preserve">Expenditure forecast assessment </w:t>
      </w:r>
      <w:r>
        <w:rPr>
          <w:rStyle w:val="AERbody"/>
        </w:rPr>
        <w:t>guideline</w:t>
      </w:r>
      <w:r w:rsidRPr="00654E80">
        <w:rPr>
          <w:rStyle w:val="AERbody"/>
        </w:rPr>
        <w:t xml:space="preserve"> in November 2013 together with an explanatory statement.</w:t>
      </w:r>
      <w:r>
        <w:rPr>
          <w:rStyle w:val="FootnoteReference"/>
        </w:rPr>
        <w:footnoteReference w:id="19"/>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20"/>
      </w:r>
    </w:p>
    <w:p w:rsidR="004E3AE1" w:rsidRPr="00654E80" w:rsidRDefault="004E3AE1" w:rsidP="004E3AE1">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21"/>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2"/>
      </w:r>
      <w:r w:rsidRPr="00654E80">
        <w:t xml:space="preserve"> In our Framework and Approach paper, we set out our intention to apply </w:t>
      </w:r>
      <w:r>
        <w:t>the</w:t>
      </w:r>
      <w:r w:rsidRPr="00654E80">
        <w:t xml:space="preserve"> </w:t>
      </w:r>
      <w:r>
        <w:t>G</w:t>
      </w:r>
      <w:r w:rsidRPr="00654E80">
        <w:t>uideline approach in making this determination.</w:t>
      </w:r>
      <w:r>
        <w:rPr>
          <w:rStyle w:val="FootnoteReference"/>
        </w:rPr>
        <w:footnoteReference w:id="23"/>
      </w:r>
      <w:r>
        <w:t xml:space="preserve"> There are several parts of our assessment:</w:t>
      </w:r>
    </w:p>
    <w:p w:rsidR="004E3AE1" w:rsidRDefault="004E3AE1" w:rsidP="004E3AE1">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4"/>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4E3AE1" w:rsidRDefault="004E3AE1" w:rsidP="004E3AE1">
      <w:pPr>
        <w:pStyle w:val="ListNumber"/>
      </w:pPr>
      <w:r>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prudent and efficient forecast.  </w:t>
      </w:r>
    </w:p>
    <w:p w:rsidR="004E3AE1" w:rsidRDefault="004E3AE1" w:rsidP="004E3AE1">
      <w:pPr>
        <w:pStyle w:val="ListNumber"/>
      </w:pPr>
      <w:r>
        <w:t xml:space="preserve">We </w:t>
      </w:r>
      <w:r w:rsidRPr="004865B3">
        <w:t>assess the service provider's proposed base opex, step changes and rate of change if the service provider has adopted this methodology to forecast its opex.</w:t>
      </w:r>
    </w:p>
    <w:p w:rsidR="004E3AE1" w:rsidRPr="00654E80" w:rsidRDefault="004E3AE1" w:rsidP="002C1039">
      <w:pPr>
        <w:numPr>
          <w:ilvl w:val="0"/>
          <w:numId w:val="24"/>
        </w:numPr>
      </w:pPr>
      <w:r>
        <w:t xml:space="preserve">Each of these assessments informs our first task. Namely, whether we are satisfied that the service provider's proposal reasonably reflects the opex criteria. </w:t>
      </w:r>
    </w:p>
    <w:p w:rsidR="004E3AE1" w:rsidRPr="00654E80" w:rsidRDefault="004E3AE1" w:rsidP="002C1039">
      <w:pPr>
        <w:numPr>
          <w:ilvl w:val="0"/>
          <w:numId w:val="24"/>
        </w:numPr>
      </w:pPr>
      <w:r>
        <w:t xml:space="preserve">If we are not satisfied with the service provider’s proposal, we approach our second task by using our alternative estimate as our substitute estimate. </w:t>
      </w:r>
      <w:r w:rsidRPr="00654E80">
        <w:t xml:space="preserve">This approach was </w:t>
      </w:r>
      <w:r w:rsidRPr="00654E80">
        <w:lastRenderedPageBreak/>
        <w:t>expressly endorsed by the AEMC in its decision on the major rule changes that were introduced in November 2012. The AEMC stated:</w:t>
      </w:r>
      <w:r w:rsidRPr="00654E80">
        <w:rPr>
          <w:rStyle w:val="FootnoteReference"/>
        </w:rPr>
        <w:footnoteReference w:id="25"/>
      </w:r>
    </w:p>
    <w:p w:rsidR="004E3AE1" w:rsidRPr="00654E80" w:rsidRDefault="004E3AE1" w:rsidP="004E3AE1">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4E3AE1" w:rsidRPr="004E3AE1" w:rsidRDefault="004E3AE1" w:rsidP="002C1039">
      <w:pPr>
        <w:numPr>
          <w:ilvl w:val="0"/>
          <w:numId w:val="24"/>
        </w:num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4E3AE1" w:rsidRPr="004E3AE1" w:rsidRDefault="004E3AE1" w:rsidP="004E3AE1">
      <w:pPr>
        <w:pStyle w:val="HeadingBoldBlue"/>
      </w:pPr>
      <w:bookmarkStart w:id="28" w:name="_Toc433629840"/>
      <w:bookmarkStart w:id="29" w:name="_Toc456601959"/>
      <w:r w:rsidRPr="00654E80">
        <w:t>Building an alternative estimate of total forecast opex</w:t>
      </w:r>
      <w:bookmarkEnd w:id="26"/>
      <w:bookmarkEnd w:id="27"/>
      <w:bookmarkEnd w:id="28"/>
      <w:bookmarkEnd w:id="29"/>
    </w:p>
    <w:p w:rsidR="004E3AE1" w:rsidRDefault="004E3AE1" w:rsidP="002C1039">
      <w:pPr>
        <w:numPr>
          <w:ilvl w:val="0"/>
          <w:numId w:val="24"/>
        </w:numPr>
      </w:pPr>
      <w:r>
        <w:t>The method we use to develop our</w:t>
      </w:r>
      <w:r w:rsidRPr="00654E80">
        <w:t xml:space="preserve"> alternative estimate involves five key steps</w:t>
      </w:r>
      <w:r>
        <w:t xml:space="preserve">. We outline these steps below in </w:t>
      </w:r>
      <w:r>
        <w:fldChar w:fldCharType="begin"/>
      </w:r>
      <w:r>
        <w:instrText xml:space="preserve"> REF _Ref417047669 \h </w:instrText>
      </w:r>
      <w:r>
        <w:fldChar w:fldCharType="separate"/>
      </w:r>
      <w:r w:rsidR="00740726">
        <w:t xml:space="preserve">Figure </w:t>
      </w:r>
      <w:r w:rsidR="00740726">
        <w:rPr>
          <w:noProof/>
        </w:rPr>
        <w:t>7</w:t>
      </w:r>
      <w:r w:rsidR="00740726">
        <w:t>.</w:t>
      </w:r>
      <w:r w:rsidR="00740726">
        <w:rPr>
          <w:noProof/>
        </w:rPr>
        <w:t>3</w:t>
      </w:r>
      <w:r>
        <w:fldChar w:fldCharType="end"/>
      </w:r>
      <w:r>
        <w:t xml:space="preserve">. </w:t>
      </w:r>
    </w:p>
    <w:p w:rsidR="004E3AE1" w:rsidRDefault="004E3AE1" w:rsidP="004E3AE1">
      <w:pPr>
        <w:pStyle w:val="Caption"/>
      </w:pPr>
      <w:bookmarkStart w:id="30" w:name="_Ref417047669"/>
      <w:proofErr w:type="gramStart"/>
      <w:r>
        <w:lastRenderedPageBreak/>
        <w:t xml:space="preserve">Figure </w:t>
      </w:r>
      <w:fldSimple w:instr=" STYLEREF 1 \s ">
        <w:r w:rsidR="00740726">
          <w:rPr>
            <w:noProof/>
          </w:rPr>
          <w:t>7</w:t>
        </w:r>
      </w:fldSimple>
      <w:r w:rsidR="000851EA">
        <w:t>.</w:t>
      </w:r>
      <w:proofErr w:type="gramEnd"/>
      <w:r w:rsidR="00740726">
        <w:fldChar w:fldCharType="begin"/>
      </w:r>
      <w:r w:rsidR="00740726">
        <w:instrText xml:space="preserve"> SEQ Figure \* ARABIC \s 1 </w:instrText>
      </w:r>
      <w:r w:rsidR="00740726">
        <w:fldChar w:fldCharType="separate"/>
      </w:r>
      <w:r w:rsidR="00740726">
        <w:rPr>
          <w:noProof/>
        </w:rPr>
        <w:t>3</w:t>
      </w:r>
      <w:r w:rsidR="00740726">
        <w:rPr>
          <w:noProof/>
        </w:rPr>
        <w:fldChar w:fldCharType="end"/>
      </w:r>
      <w:bookmarkEnd w:id="30"/>
      <w:r>
        <w:tab/>
        <w:t>How we build our alternative estimate</w:t>
      </w:r>
    </w:p>
    <w:p w:rsidR="004E3AE1" w:rsidRDefault="004E3AE1" w:rsidP="004E3AE1">
      <w:r w:rsidRPr="004E3AE1">
        <w:rPr>
          <w:noProof/>
          <w:lang w:eastAsia="en-AU"/>
        </w:rPr>
        <w:drawing>
          <wp:inline distT="0" distB="0" distL="0" distR="0" wp14:anchorId="23AFD3BF" wp14:editId="2B5B13B7">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E3AE1" w:rsidRPr="00654E80" w:rsidRDefault="004E3AE1" w:rsidP="002C1039">
      <w:pPr>
        <w:numPr>
          <w:ilvl w:val="0"/>
          <w:numId w:val="24"/>
        </w:numPr>
      </w:pPr>
      <w:r w:rsidRPr="00654E80">
        <w:t>Underlying our approach are two general assumptions:</w:t>
      </w:r>
    </w:p>
    <w:p w:rsidR="004E3AE1" w:rsidRPr="00654E80" w:rsidRDefault="004E3AE1" w:rsidP="002C1039">
      <w:pPr>
        <w:pStyle w:val="ListNumber"/>
        <w:numPr>
          <w:ilvl w:val="1"/>
          <w:numId w:val="24"/>
        </w:numPr>
      </w:pPr>
      <w:r w:rsidRPr="00654E80">
        <w:t>the efficiency criterion and the prudenc</w:t>
      </w:r>
      <w:r>
        <w:t>y</w:t>
      </w:r>
      <w:r w:rsidRPr="00654E80">
        <w:t xml:space="preserve"> criterion in the NER are complementary</w:t>
      </w:r>
    </w:p>
    <w:p w:rsidR="004E3AE1" w:rsidRPr="00654E80" w:rsidRDefault="004E3AE1" w:rsidP="002C1039">
      <w:pPr>
        <w:pStyle w:val="ListNumber"/>
        <w:numPr>
          <w:ilvl w:val="1"/>
          <w:numId w:val="24"/>
        </w:numPr>
      </w:pPr>
      <w:proofErr w:type="gramStart"/>
      <w:r w:rsidRPr="00654E80">
        <w:lastRenderedPageBreak/>
        <w:t>actual</w:t>
      </w:r>
      <w:proofErr w:type="gramEnd"/>
      <w:r w:rsidRPr="00654E80">
        <w:t xml:space="preserve"> </w:t>
      </w:r>
      <w:r>
        <w:t xml:space="preserve">operating </w:t>
      </w:r>
      <w:r w:rsidRPr="00654E80">
        <w:t>expenditure was sufficient to achieve the</w:t>
      </w:r>
      <w:r>
        <w:t xml:space="preserve"> opex</w:t>
      </w:r>
      <w:r w:rsidRPr="00654E80">
        <w:t xml:space="preserve"> objectives in the past.</w:t>
      </w:r>
    </w:p>
    <w:p w:rsidR="004E3AE1" w:rsidRPr="00654E80" w:rsidRDefault="004E3AE1" w:rsidP="002C1039">
      <w:pPr>
        <w:numPr>
          <w:ilvl w:val="0"/>
          <w:numId w:val="24"/>
        </w:numPr>
      </w:pPr>
      <w:r w:rsidRPr="00654E80">
        <w:t xml:space="preserve">We have used this general approach in our past decisions.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6"/>
      </w:r>
    </w:p>
    <w:p w:rsidR="004E3AE1" w:rsidRPr="00654E80" w:rsidRDefault="004E3AE1" w:rsidP="002C1039">
      <w:pPr>
        <w:numPr>
          <w:ilvl w:val="0"/>
          <w:numId w:val="24"/>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4E3AE1" w:rsidRPr="00654E80" w:rsidRDefault="004E3AE1" w:rsidP="002C1039">
      <w:pPr>
        <w:numPr>
          <w:ilvl w:val="0"/>
          <w:numId w:val="24"/>
        </w:numPr>
      </w:pPr>
      <w:r w:rsidRPr="00654E80">
        <w:t xml:space="preserve">We have set out more detail about each of the steps we follow in </w:t>
      </w:r>
      <w:r>
        <w:t>developing our alternative estimate below</w:t>
      </w:r>
      <w:r w:rsidRPr="00654E80">
        <w:t>.</w:t>
      </w:r>
    </w:p>
    <w:p w:rsidR="004E3AE1" w:rsidRPr="00654E80" w:rsidRDefault="004E3AE1" w:rsidP="002C1039">
      <w:pPr>
        <w:pStyle w:val="HeadingBoldItalic"/>
        <w:numPr>
          <w:ilvl w:val="0"/>
          <w:numId w:val="24"/>
        </w:numPr>
      </w:pPr>
      <w:bookmarkStart w:id="31" w:name="_Toc453060989"/>
      <w:bookmarkStart w:id="32" w:name="_Toc453172486"/>
      <w:bookmarkStart w:id="33" w:name="_Toc456601960"/>
      <w:r w:rsidRPr="00654E80">
        <w:t>Step 1 –</w:t>
      </w:r>
      <w:r>
        <w:t xml:space="preserve"> B</w:t>
      </w:r>
      <w:r w:rsidRPr="00654E80">
        <w:t xml:space="preserve">ase year </w:t>
      </w:r>
      <w:r>
        <w:t>choice</w:t>
      </w:r>
      <w:bookmarkEnd w:id="31"/>
      <w:bookmarkEnd w:id="32"/>
      <w:bookmarkEnd w:id="33"/>
    </w:p>
    <w:p w:rsidR="004E3AE1" w:rsidRPr="00654E80" w:rsidRDefault="004E3AE1" w:rsidP="002C1039">
      <w:pPr>
        <w:numPr>
          <w:ilvl w:val="0"/>
          <w:numId w:val="24"/>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4E3AE1" w:rsidRPr="00B10C1A" w:rsidRDefault="004E3AE1" w:rsidP="004E3AE1">
      <w:pPr>
        <w:pStyle w:val="AERbulletlistfirststyle"/>
      </w:pPr>
      <w:r w:rsidRPr="00654E80">
        <w:t xml:space="preserve">As total opex tends to be relatively recurrent, total opex in a recent year typically best reflects a service provider's current circumstances. </w:t>
      </w:r>
    </w:p>
    <w:p w:rsidR="004E3AE1" w:rsidRPr="00B10C1A" w:rsidRDefault="004E3AE1" w:rsidP="004E3AE1">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4E3AE1" w:rsidRPr="00B10C1A" w:rsidRDefault="004E3AE1" w:rsidP="004E3AE1">
      <w:pPr>
        <w:pStyle w:val="AERbulletlistfirststyle"/>
      </w:pPr>
      <w:r w:rsidRPr="00654E80">
        <w:t>Service providers also face many regulatory obligations in del</w:t>
      </w:r>
      <w:r>
        <w:t>ivering services to consumers.</w:t>
      </w:r>
      <w:r w:rsidRPr="00654E80">
        <w:t xml:space="preserve">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4E3AE1" w:rsidRPr="00654E80" w:rsidRDefault="004E3AE1" w:rsidP="002C1039">
      <w:pPr>
        <w:numPr>
          <w:ilvl w:val="0"/>
          <w:numId w:val="24"/>
        </w:numPr>
      </w:pPr>
      <w:r w:rsidRPr="00654E80">
        <w:t>In choosing a base year, we need to make a decision as to whether any categories of opex incurred in the base year should be removed. For instance:</w:t>
      </w:r>
    </w:p>
    <w:p w:rsidR="004E3AE1" w:rsidRPr="00B10C1A" w:rsidRDefault="004E3AE1" w:rsidP="004E3AE1">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4E3AE1" w:rsidRPr="00B10C1A" w:rsidRDefault="004E3AE1" w:rsidP="004E3AE1">
      <w:pPr>
        <w:pStyle w:val="AERbulletlistfirststyle"/>
      </w:pPr>
      <w:r w:rsidRPr="00654E80">
        <w:lastRenderedPageBreak/>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4E3AE1" w:rsidRPr="00654E80" w:rsidRDefault="004E3AE1" w:rsidP="002C1039">
      <w:pPr>
        <w:numPr>
          <w:ilvl w:val="0"/>
          <w:numId w:val="24"/>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opex is no higher than the opex incurred in that year. Similarly, the costs of an increase in opex flow through to consumers if base year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4E3AE1" w:rsidRPr="00654E80" w:rsidRDefault="004E3AE1" w:rsidP="002C1039">
      <w:pPr>
        <w:pStyle w:val="HeadingBoldItalic"/>
        <w:numPr>
          <w:ilvl w:val="0"/>
          <w:numId w:val="24"/>
        </w:numPr>
      </w:pPr>
      <w:bookmarkStart w:id="34" w:name="_Toc453060990"/>
      <w:bookmarkStart w:id="35" w:name="_Toc453172487"/>
      <w:bookmarkStart w:id="36" w:name="_Toc456601961"/>
      <w:r w:rsidRPr="00654E80">
        <w:t xml:space="preserve">Step 2 - Assessing base </w:t>
      </w:r>
      <w:r>
        <w:t>opex</w:t>
      </w:r>
      <w:bookmarkEnd w:id="34"/>
      <w:bookmarkEnd w:id="35"/>
      <w:bookmarkEnd w:id="36"/>
    </w:p>
    <w:p w:rsidR="004E3AE1" w:rsidRPr="00654E80" w:rsidRDefault="004E3AE1" w:rsidP="002C1039">
      <w:pPr>
        <w:numPr>
          <w:ilvl w:val="0"/>
          <w:numId w:val="24"/>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B47326" w:rsidRDefault="004E3AE1" w:rsidP="00D537EB">
      <w:pPr>
        <w:numPr>
          <w:ilvl w:val="0"/>
          <w:numId w:val="24"/>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7"/>
      </w:r>
      <w:r>
        <w:t xml:space="preserve"> This includes benchmarking and detailed reviews.</w:t>
      </w:r>
      <w:r w:rsidR="00B47326">
        <w:t xml:space="preserve"> Benchmarking allows us to compare the relative efficiency of different service providers.</w:t>
      </w:r>
    </w:p>
    <w:p w:rsidR="004E3AE1" w:rsidRDefault="004E3AE1" w:rsidP="00D537EB">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4E3AE1" w:rsidRPr="00654E80" w:rsidRDefault="004E3AE1" w:rsidP="002C1039">
      <w:pPr>
        <w:pStyle w:val="HeadingBoldItalic"/>
        <w:numPr>
          <w:ilvl w:val="0"/>
          <w:numId w:val="24"/>
        </w:numPr>
      </w:pPr>
      <w:bookmarkStart w:id="37" w:name="_Toc453060991"/>
      <w:bookmarkStart w:id="38" w:name="_Toc453172488"/>
      <w:bookmarkStart w:id="39" w:name="_Toc456601962"/>
      <w:r w:rsidRPr="00654E80">
        <w:t>Step 3 - Rate of change</w:t>
      </w:r>
      <w:bookmarkEnd w:id="37"/>
      <w:bookmarkEnd w:id="38"/>
      <w:bookmarkEnd w:id="39"/>
    </w:p>
    <w:p w:rsidR="004E3AE1" w:rsidRPr="00654E80" w:rsidRDefault="004E3AE1" w:rsidP="002C1039">
      <w:pPr>
        <w:numPr>
          <w:ilvl w:val="0"/>
          <w:numId w:val="24"/>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w:t>
      </w:r>
    </w:p>
    <w:p w:rsidR="004E3AE1" w:rsidRPr="00B10C1A" w:rsidRDefault="004E3AE1" w:rsidP="004E3AE1">
      <w:pPr>
        <w:pStyle w:val="AERbulletlistfirststyle"/>
      </w:pPr>
      <w:r>
        <w:t>p</w:t>
      </w:r>
      <w:r w:rsidRPr="00654E80">
        <w:t>rice</w:t>
      </w:r>
      <w:r>
        <w:t xml:space="preserve"> growth</w:t>
      </w:r>
    </w:p>
    <w:p w:rsidR="004E3AE1" w:rsidRPr="00B10C1A" w:rsidRDefault="004E3AE1" w:rsidP="004E3AE1">
      <w:pPr>
        <w:pStyle w:val="AERbulletlistfirststyle"/>
      </w:pPr>
      <w:r>
        <w:lastRenderedPageBreak/>
        <w:t>output growth</w:t>
      </w:r>
      <w:r w:rsidRPr="00654E80">
        <w:t xml:space="preserve"> </w:t>
      </w:r>
    </w:p>
    <w:p w:rsidR="004E3AE1" w:rsidRPr="00B10C1A" w:rsidRDefault="004E3AE1" w:rsidP="004E3AE1">
      <w:pPr>
        <w:pStyle w:val="AERbulletlistfirststyle"/>
      </w:pPr>
      <w:proofErr w:type="gramStart"/>
      <w:r w:rsidRPr="00654E80">
        <w:t>productivity</w:t>
      </w:r>
      <w:proofErr w:type="gramEnd"/>
      <w:r>
        <w:t xml:space="preserve"> growth</w:t>
      </w:r>
      <w:r w:rsidRPr="00654E80">
        <w:t xml:space="preserve">. </w:t>
      </w:r>
    </w:p>
    <w:p w:rsidR="004E3AE1" w:rsidRPr="00654E80" w:rsidRDefault="004E3AE1" w:rsidP="002C1039">
      <w:pPr>
        <w:numPr>
          <w:ilvl w:val="0"/>
          <w:numId w:val="24"/>
        </w:numPr>
      </w:pPr>
      <w:r w:rsidRPr="00654E80">
        <w:t xml:space="preserve">We estimate the </w:t>
      </w:r>
      <w:r w:rsidR="00F6711A">
        <w:t xml:space="preserve">rate of </w:t>
      </w:r>
      <w:r w:rsidRPr="00654E80">
        <w:t xml:space="preserve">change by </w:t>
      </w:r>
      <w:r w:rsidR="00F6711A">
        <w:t>forecasting the</w:t>
      </w:r>
      <w:r w:rsidRPr="00654E80">
        <w:t xml:space="preserve"> expected </w:t>
      </w:r>
      <w:r w:rsidR="00F6711A">
        <w:t>growth</w:t>
      </w:r>
      <w:r w:rsidRPr="00654E80">
        <w:t xml:space="preserve"> in prices (such as the price of labour and materials) and outputs (such as changes in customer numbers and demand for electricity). We then incorporate reasonable estimates of </w:t>
      </w:r>
      <w:r w:rsidR="00F6711A">
        <w:t>the growth</w:t>
      </w:r>
      <w:r w:rsidRPr="00654E80">
        <w:t xml:space="preserve"> in productivity. </w:t>
      </w:r>
    </w:p>
    <w:p w:rsidR="004E3AE1" w:rsidRPr="00654E80" w:rsidRDefault="004E3AE1" w:rsidP="002C1039">
      <w:pPr>
        <w:pStyle w:val="HeadingBoldItalic"/>
        <w:numPr>
          <w:ilvl w:val="0"/>
          <w:numId w:val="24"/>
        </w:numPr>
      </w:pPr>
      <w:bookmarkStart w:id="40" w:name="_Toc453060992"/>
      <w:bookmarkStart w:id="41" w:name="_Toc453172489"/>
      <w:bookmarkStart w:id="42" w:name="_Toc456601963"/>
      <w:r w:rsidRPr="00654E80">
        <w:t>Step 4 - Step changes</w:t>
      </w:r>
      <w:bookmarkEnd w:id="40"/>
      <w:bookmarkEnd w:id="41"/>
      <w:bookmarkEnd w:id="42"/>
    </w:p>
    <w:p w:rsidR="004E3AE1" w:rsidRDefault="004E3AE1" w:rsidP="002C1039">
      <w:pPr>
        <w:numPr>
          <w:ilvl w:val="0"/>
          <w:numId w:val="24"/>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opex and the rate of change in opex of an efficient service provider do not already </w:t>
      </w:r>
      <w:r>
        <w:t>include</w:t>
      </w:r>
      <w:r w:rsidRPr="00654E80">
        <w:t xml:space="preserve"> the proposed cost.</w:t>
      </w:r>
      <w:r w:rsidRPr="00654E80">
        <w:rPr>
          <w:rStyle w:val="FootnoteReference"/>
        </w:rPr>
        <w:footnoteReference w:id="28"/>
      </w:r>
    </w:p>
    <w:p w:rsidR="004E3AE1" w:rsidRPr="00654E80" w:rsidRDefault="004E3AE1" w:rsidP="002C1039">
      <w:pPr>
        <w:pStyle w:val="HeadingBoldItalic"/>
        <w:numPr>
          <w:ilvl w:val="0"/>
          <w:numId w:val="24"/>
        </w:numPr>
      </w:pPr>
      <w:bookmarkStart w:id="43" w:name="_Toc453060993"/>
      <w:bookmarkStart w:id="44" w:name="_Toc453172490"/>
      <w:bookmarkStart w:id="45" w:name="_Toc456601964"/>
      <w:r w:rsidRPr="00654E80">
        <w:t>Step 5 - Other costs that are not included in the base year</w:t>
      </w:r>
      <w:bookmarkEnd w:id="43"/>
      <w:bookmarkEnd w:id="44"/>
      <w:bookmarkEnd w:id="45"/>
    </w:p>
    <w:p w:rsidR="004E3AE1" w:rsidRPr="00654E80" w:rsidRDefault="004E3AE1" w:rsidP="002C1039">
      <w:pPr>
        <w:numPr>
          <w:ilvl w:val="0"/>
          <w:numId w:val="24"/>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0B321F" w:rsidRDefault="004E3AE1" w:rsidP="004E3AE1">
      <w:r w:rsidRPr="00654E80">
        <w:t xml:space="preserve">After applying these five steps, we arrive at our </w:t>
      </w:r>
      <w:r>
        <w:t>alternative estimate</w:t>
      </w:r>
      <w:r w:rsidRPr="00654E80">
        <w:t>.</w:t>
      </w:r>
    </w:p>
    <w:p w:rsidR="00DE563D" w:rsidRDefault="00DE563D" w:rsidP="001754EE">
      <w:pPr>
        <w:pStyle w:val="Heading2"/>
      </w:pPr>
      <w:bookmarkStart w:id="46" w:name="_Toc403144140"/>
      <w:bookmarkStart w:id="47" w:name="_Toc456601965"/>
      <w:r w:rsidRPr="001754EE">
        <w:t>Reasons</w:t>
      </w:r>
      <w:r>
        <w:t xml:space="preserve"> for </w:t>
      </w:r>
      <w:r w:rsidR="000B321F">
        <w:t>draft</w:t>
      </w:r>
      <w:r>
        <w:t xml:space="preserve"> decision</w:t>
      </w:r>
      <w:bookmarkEnd w:id="46"/>
      <w:bookmarkEnd w:id="47"/>
      <w:r>
        <w:t xml:space="preserve"> </w:t>
      </w:r>
    </w:p>
    <w:p w:rsidR="00FD72A5" w:rsidRPr="00FD72A5" w:rsidRDefault="00FD72A5" w:rsidP="00FD72A5">
      <w:pPr>
        <w:rPr>
          <w:rStyle w:val="AERbody"/>
        </w:rPr>
      </w:pPr>
      <w:r w:rsidRPr="00FD72A5">
        <w:rPr>
          <w:rStyle w:val="AERbody"/>
        </w:rPr>
        <w:t>We are not satisfied that AusNet Services' proposed total forecas</w:t>
      </w:r>
      <w:r w:rsidR="00E1719E">
        <w:rPr>
          <w:rStyle w:val="AERbody"/>
        </w:rPr>
        <w:t>t opex of $1085.0 </w:t>
      </w:r>
      <w:r>
        <w:rPr>
          <w:rStyle w:val="AERbody"/>
        </w:rPr>
        <w:t>million ($2016–17</w:t>
      </w:r>
      <w:r w:rsidRPr="00FD72A5">
        <w:rPr>
          <w:rStyle w:val="AERbody"/>
        </w:rPr>
        <w:t>) reasonably reflects the opex criteria.</w:t>
      </w:r>
      <w:r w:rsidR="00956945">
        <w:rPr>
          <w:rStyle w:val="FootnoteReference"/>
        </w:rPr>
        <w:footnoteReference w:id="29"/>
      </w:r>
      <w:r w:rsidRPr="00FD72A5">
        <w:rPr>
          <w:rStyle w:val="AERbody"/>
        </w:rPr>
        <w:t xml:space="preserve">  As we discussed above, we have therefore used our alternative estimate as our substitute estimate. </w:t>
      </w:r>
    </w:p>
    <w:p w:rsidR="000B321F" w:rsidRDefault="00D54BCC" w:rsidP="00FD72A5">
      <w:pPr>
        <w:rPr>
          <w:rStyle w:val="AERbody"/>
        </w:rPr>
      </w:pPr>
      <w:r>
        <w:rPr>
          <w:rStyle w:val="AERbody"/>
        </w:rPr>
        <w:fldChar w:fldCharType="begin"/>
      </w:r>
      <w:r>
        <w:rPr>
          <w:rStyle w:val="AERbody"/>
        </w:rPr>
        <w:instrText xml:space="preserve"> REF _Ref401668079 \h </w:instrText>
      </w:r>
      <w:r>
        <w:rPr>
          <w:rStyle w:val="AERbody"/>
        </w:rPr>
      </w:r>
      <w:r>
        <w:rPr>
          <w:rStyle w:val="AERbody"/>
        </w:rPr>
        <w:fldChar w:fldCharType="separate"/>
      </w:r>
      <w:r w:rsidR="00740726">
        <w:t xml:space="preserve">Figure </w:t>
      </w:r>
      <w:r w:rsidR="00740726">
        <w:rPr>
          <w:noProof/>
        </w:rPr>
        <w:t>7</w:t>
      </w:r>
      <w:r w:rsidR="00740726">
        <w:t>.</w:t>
      </w:r>
      <w:r w:rsidR="00740726">
        <w:rPr>
          <w:noProof/>
        </w:rPr>
        <w:t>4</w:t>
      </w:r>
      <w:r>
        <w:rPr>
          <w:rStyle w:val="AERbody"/>
        </w:rPr>
        <w:fldChar w:fldCharType="end"/>
      </w:r>
      <w:r>
        <w:rPr>
          <w:rStyle w:val="AERbody"/>
        </w:rPr>
        <w:t xml:space="preserve"> </w:t>
      </w:r>
      <w:r w:rsidR="00FD72A5" w:rsidRPr="00FD72A5">
        <w:rPr>
          <w:rStyle w:val="AERbody"/>
        </w:rPr>
        <w:t xml:space="preserve">illustrates how we constructed our </w:t>
      </w:r>
      <w:r w:rsidR="008D4903">
        <w:rPr>
          <w:rStyle w:val="AERbody"/>
        </w:rPr>
        <w:t>alternative forecast of $</w:t>
      </w:r>
      <w:r w:rsidR="00714518">
        <w:rPr>
          <w:rStyle w:val="AERbody"/>
        </w:rPr>
        <w:t>10</w:t>
      </w:r>
      <w:r w:rsidR="00464DEB">
        <w:rPr>
          <w:rStyle w:val="AERbody"/>
        </w:rPr>
        <w:t>2</w:t>
      </w:r>
      <w:r w:rsidR="00714518">
        <w:rPr>
          <w:rStyle w:val="AERbody"/>
        </w:rPr>
        <w:t>4.</w:t>
      </w:r>
      <w:r w:rsidR="00464DEB">
        <w:rPr>
          <w:rStyle w:val="AERbody"/>
        </w:rPr>
        <w:t>1</w:t>
      </w:r>
      <w:r w:rsidR="008D4903" w:rsidRPr="008D4903">
        <w:rPr>
          <w:rStyle w:val="AERbody"/>
        </w:rPr>
        <w:t xml:space="preserve"> </w:t>
      </w:r>
      <w:r w:rsidR="008D4903">
        <w:rPr>
          <w:rStyle w:val="AERbody"/>
        </w:rPr>
        <w:t>million ($2016–17</w:t>
      </w:r>
      <w:r w:rsidR="00D537EB">
        <w:rPr>
          <w:rStyle w:val="AERbody"/>
        </w:rPr>
        <w:t>)</w:t>
      </w:r>
      <w:r w:rsidR="00FD72A5" w:rsidRPr="00FD72A5">
        <w:rPr>
          <w:rStyle w:val="AERbody"/>
        </w:rPr>
        <w:t xml:space="preserve">. </w:t>
      </w:r>
    </w:p>
    <w:p w:rsidR="00FD72A5" w:rsidRDefault="00FD72A5" w:rsidP="00FD72A5">
      <w:pPr>
        <w:pStyle w:val="Caption"/>
      </w:pPr>
      <w:bookmarkStart w:id="48" w:name="_Ref401668079"/>
      <w:proofErr w:type="gramStart"/>
      <w:r>
        <w:lastRenderedPageBreak/>
        <w:t xml:space="preserve">Figure </w:t>
      </w:r>
      <w:fldSimple w:instr=" STYLEREF 1 \s ">
        <w:r w:rsidR="00740726">
          <w:rPr>
            <w:noProof/>
          </w:rPr>
          <w:t>7</w:t>
        </w:r>
      </w:fldSimple>
      <w:r w:rsidR="000851EA">
        <w:t>.</w:t>
      </w:r>
      <w:proofErr w:type="gramEnd"/>
      <w:r w:rsidR="00740726">
        <w:fldChar w:fldCharType="begin"/>
      </w:r>
      <w:r w:rsidR="00740726">
        <w:instrText xml:space="preserve"> SEQ Figure \* ARABIC \s 1 </w:instrText>
      </w:r>
      <w:r w:rsidR="00740726">
        <w:fldChar w:fldCharType="separate"/>
      </w:r>
      <w:r w:rsidR="00740726">
        <w:rPr>
          <w:noProof/>
        </w:rPr>
        <w:t>4</w:t>
      </w:r>
      <w:r w:rsidR="00740726">
        <w:rPr>
          <w:noProof/>
        </w:rPr>
        <w:fldChar w:fldCharType="end"/>
      </w:r>
      <w:bookmarkEnd w:id="48"/>
      <w:r>
        <w:tab/>
        <w:t xml:space="preserve">AER </w:t>
      </w:r>
      <w:r w:rsidR="00361A28">
        <w:t>draft</w:t>
      </w:r>
      <w:r>
        <w:t xml:space="preserve"> decision opex forecast </w:t>
      </w:r>
      <w:r w:rsidRPr="00237EBB">
        <w:t xml:space="preserve"> </w:t>
      </w:r>
    </w:p>
    <w:p w:rsidR="00FD72A5" w:rsidRPr="00CA28EA" w:rsidRDefault="00464DEB" w:rsidP="00FD72A5">
      <w:pPr>
        <w:pStyle w:val="AERtablesource"/>
      </w:pPr>
      <w:r w:rsidRPr="00464DEB">
        <w:rPr>
          <w:noProof/>
          <w:lang w:eastAsia="en-AU"/>
        </w:rPr>
        <w:drawing>
          <wp:inline distT="0" distB="0" distL="0" distR="0" wp14:anchorId="60101857" wp14:editId="648298AC">
            <wp:extent cx="5382895" cy="3935187"/>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35187"/>
                    </a:xfrm>
                    <a:prstGeom prst="rect">
                      <a:avLst/>
                    </a:prstGeom>
                    <a:noFill/>
                    <a:ln>
                      <a:noFill/>
                    </a:ln>
                  </pic:spPr>
                </pic:pic>
              </a:graphicData>
            </a:graphic>
          </wp:inline>
        </w:drawing>
      </w:r>
      <w:r w:rsidR="00FD72A5" w:rsidRPr="00CA28EA">
        <w:t>Source:</w:t>
      </w:r>
      <w:r w:rsidR="00FD72A5" w:rsidRPr="00CA28EA">
        <w:tab/>
        <w:t>AER analysis</w:t>
      </w:r>
      <w:r w:rsidR="00FD72A5">
        <w:t>.</w:t>
      </w:r>
    </w:p>
    <w:p w:rsidR="00740726" w:rsidRPr="00FD72A5" w:rsidRDefault="00FD72A5" w:rsidP="00FD72A5">
      <w:pPr>
        <w:rPr>
          <w:rStyle w:val="AERbody"/>
        </w:rPr>
      </w:pPr>
      <w:r w:rsidRPr="00FD72A5">
        <w:fldChar w:fldCharType="begin"/>
      </w:r>
      <w:r w:rsidRPr="00FD72A5">
        <w:instrText xml:space="preserve"> REF _Ref403981514 \h </w:instrText>
      </w:r>
      <w:r w:rsidRPr="00FD72A5">
        <w:fldChar w:fldCharType="separate"/>
      </w:r>
    </w:p>
    <w:p w:rsidR="00FD72A5" w:rsidRPr="00FD72A5" w:rsidRDefault="00740726" w:rsidP="00FD72A5">
      <w:pPr>
        <w:rPr>
          <w:rStyle w:val="AERbody"/>
        </w:rPr>
      </w:pPr>
      <w:r>
        <w:t xml:space="preserve">Table </w:t>
      </w:r>
      <w:r>
        <w:rPr>
          <w:noProof/>
        </w:rPr>
        <w:t>7</w:t>
      </w:r>
      <w:r>
        <w:t>.</w:t>
      </w:r>
      <w:r>
        <w:rPr>
          <w:noProof/>
        </w:rPr>
        <w:t>3</w:t>
      </w:r>
      <w:r w:rsidR="00FD72A5" w:rsidRPr="00FD72A5">
        <w:fldChar w:fldCharType="end"/>
      </w:r>
      <w:r w:rsidR="00FD72A5" w:rsidRPr="00FD72A5">
        <w:t xml:space="preserve"> </w:t>
      </w:r>
      <w:r w:rsidR="00FD72A5" w:rsidRPr="00FD72A5">
        <w:rPr>
          <w:rStyle w:val="AERbody"/>
        </w:rPr>
        <w:t xml:space="preserve">summarises the quantum of the difference between AusNet Services' proposed total opex and our preliminary decision estimate. </w:t>
      </w:r>
      <w:bookmarkStart w:id="49" w:name="_Ref403981514"/>
    </w:p>
    <w:p w:rsidR="00FD72A5" w:rsidRDefault="00FD72A5" w:rsidP="00FD72A5">
      <w:pPr>
        <w:pStyle w:val="Caption"/>
      </w:pPr>
      <w:proofErr w:type="gramStart"/>
      <w:r>
        <w:t xml:space="preserve">Table </w:t>
      </w:r>
      <w:fldSimple w:instr=" STYLEREF 1 \s ">
        <w:r w:rsidR="00740726">
          <w:rPr>
            <w:noProof/>
          </w:rPr>
          <w:t>7</w:t>
        </w:r>
      </w:fldSimple>
      <w:r w:rsidR="006D1232">
        <w:t>.</w:t>
      </w:r>
      <w:proofErr w:type="gramEnd"/>
      <w:r w:rsidR="00740726">
        <w:fldChar w:fldCharType="begin"/>
      </w:r>
      <w:r w:rsidR="00740726">
        <w:instrText xml:space="preserve"> SEQ Table \* ARABIC \s 1 </w:instrText>
      </w:r>
      <w:r w:rsidR="00740726">
        <w:fldChar w:fldCharType="separate"/>
      </w:r>
      <w:r w:rsidR="00740726">
        <w:rPr>
          <w:noProof/>
        </w:rPr>
        <w:t>3</w:t>
      </w:r>
      <w:r w:rsidR="00740726">
        <w:rPr>
          <w:noProof/>
        </w:rPr>
        <w:fldChar w:fldCharType="end"/>
      </w:r>
      <w:bookmarkEnd w:id="49"/>
      <w:r w:rsidRPr="005B4F7A">
        <w:tab/>
      </w:r>
      <w:r>
        <w:t xml:space="preserve">Proposed vs draft decision </w:t>
      </w:r>
      <w:r w:rsidR="00E1719E">
        <w:t xml:space="preserve">total forecast </w:t>
      </w:r>
      <w:proofErr w:type="gramStart"/>
      <w:r w:rsidR="00E1719E">
        <w:t>opex  (</w:t>
      </w:r>
      <w:proofErr w:type="gramEnd"/>
      <w:r w:rsidR="00E1719E">
        <w:t>$ million, </w:t>
      </w:r>
      <w:r>
        <w:t>20</w:t>
      </w:r>
      <w:r w:rsidRPr="005B4F7A">
        <w:t>1</w:t>
      </w:r>
      <w:r>
        <w:t>5)</w:t>
      </w:r>
    </w:p>
    <w:tbl>
      <w:tblPr>
        <w:tblStyle w:val="AERtable-numbers"/>
        <w:tblW w:w="5000" w:type="pct"/>
        <w:tblLook w:val="04A0" w:firstRow="1" w:lastRow="0" w:firstColumn="1" w:lastColumn="0" w:noHBand="0" w:noVBand="1"/>
      </w:tblPr>
      <w:tblGrid>
        <w:gridCol w:w="2157"/>
        <w:gridCol w:w="1082"/>
        <w:gridCol w:w="1081"/>
        <w:gridCol w:w="1081"/>
        <w:gridCol w:w="1081"/>
        <w:gridCol w:w="1017"/>
        <w:gridCol w:w="1194"/>
      </w:tblGrid>
      <w:tr w:rsidR="00D54BCC" w:rsidRPr="003D7928" w:rsidTr="00BF716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40" w:type="pct"/>
            <w:vAlign w:val="top"/>
          </w:tcPr>
          <w:p w:rsidR="00D54BCC" w:rsidRPr="00D54BCC" w:rsidRDefault="00D54BCC" w:rsidP="00E27C9B"/>
        </w:tc>
        <w:tc>
          <w:tcPr>
            <w:tcW w:w="622"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2017-18</w:t>
            </w:r>
          </w:p>
        </w:tc>
        <w:tc>
          <w:tcPr>
            <w:tcW w:w="622"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2018-19</w:t>
            </w:r>
          </w:p>
        </w:tc>
        <w:tc>
          <w:tcPr>
            <w:tcW w:w="622"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2019-20</w:t>
            </w:r>
          </w:p>
        </w:tc>
        <w:tc>
          <w:tcPr>
            <w:tcW w:w="622"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2020-21</w:t>
            </w:r>
          </w:p>
        </w:tc>
        <w:tc>
          <w:tcPr>
            <w:tcW w:w="585"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2021-22</w:t>
            </w:r>
          </w:p>
        </w:tc>
        <w:tc>
          <w:tcPr>
            <w:tcW w:w="687" w:type="pct"/>
            <w:vAlign w:val="top"/>
          </w:tcPr>
          <w:p w:rsidR="00D54BCC" w:rsidRPr="00D54BCC" w:rsidRDefault="00D54BCC" w:rsidP="00E27C9B">
            <w:pPr>
              <w:cnfStyle w:val="100000000000" w:firstRow="1" w:lastRow="0" w:firstColumn="0" w:lastColumn="0" w:oddVBand="0" w:evenVBand="0" w:oddHBand="0" w:evenHBand="0" w:firstRowFirstColumn="0" w:firstRowLastColumn="0" w:lastRowFirstColumn="0" w:lastRowLastColumn="0"/>
            </w:pPr>
            <w:r w:rsidRPr="00D54BCC">
              <w:t>Total</w:t>
            </w:r>
          </w:p>
        </w:tc>
      </w:tr>
      <w:tr w:rsidR="00714518" w:rsidRPr="003D7928" w:rsidTr="00BF7160">
        <w:trPr>
          <w:trHeight w:val="441"/>
        </w:trPr>
        <w:tc>
          <w:tcPr>
            <w:cnfStyle w:val="001000000000" w:firstRow="0" w:lastRow="0" w:firstColumn="1" w:lastColumn="0" w:oddVBand="0" w:evenVBand="0" w:oddHBand="0" w:evenHBand="0" w:firstRowFirstColumn="0" w:firstRowLastColumn="0" w:lastRowFirstColumn="0" w:lastRowLastColumn="0"/>
            <w:tcW w:w="1240" w:type="pct"/>
            <w:vAlign w:val="top"/>
          </w:tcPr>
          <w:p w:rsidR="00714518" w:rsidRPr="00714518" w:rsidRDefault="00714518" w:rsidP="00714518">
            <w:r w:rsidRPr="00714518">
              <w:t>AusNet Services' proposal</w:t>
            </w:r>
          </w:p>
        </w:tc>
        <w:tc>
          <w:tcPr>
            <w:tcW w:w="622"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pPr>
            <w:r w:rsidRPr="00714518">
              <w:t>218.9</w:t>
            </w:r>
          </w:p>
        </w:tc>
        <w:tc>
          <w:tcPr>
            <w:tcW w:w="622"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pPr>
            <w:r w:rsidRPr="00714518">
              <w:t>214.0</w:t>
            </w:r>
          </w:p>
        </w:tc>
        <w:tc>
          <w:tcPr>
            <w:tcW w:w="622"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pPr>
            <w:r w:rsidRPr="00714518">
              <w:t>215.5</w:t>
            </w:r>
          </w:p>
        </w:tc>
        <w:tc>
          <w:tcPr>
            <w:tcW w:w="622"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pPr>
            <w:r w:rsidRPr="00714518">
              <w:t>217.7</w:t>
            </w:r>
          </w:p>
        </w:tc>
        <w:tc>
          <w:tcPr>
            <w:tcW w:w="585"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pPr>
            <w:r w:rsidRPr="00714518">
              <w:t>219.0</w:t>
            </w:r>
          </w:p>
        </w:tc>
        <w:tc>
          <w:tcPr>
            <w:tcW w:w="687" w:type="pct"/>
            <w:vAlign w:val="top"/>
          </w:tcPr>
          <w:p w:rsidR="00714518" w:rsidRPr="00714518" w:rsidRDefault="00714518" w:rsidP="00714518">
            <w:pPr>
              <w:cnfStyle w:val="000000000000" w:firstRow="0" w:lastRow="0" w:firstColumn="0" w:lastColumn="0" w:oddVBand="0" w:evenVBand="0" w:oddHBand="0" w:evenHBand="0" w:firstRowFirstColumn="0" w:firstRowLastColumn="0" w:lastRowFirstColumn="0" w:lastRowLastColumn="0"/>
              <w:rPr>
                <w:rStyle w:val="Strong"/>
              </w:rPr>
            </w:pPr>
            <w:r w:rsidRPr="00714518">
              <w:rPr>
                <w:rStyle w:val="Strong"/>
              </w:rPr>
              <w:t>1085.0</w:t>
            </w:r>
          </w:p>
        </w:tc>
      </w:tr>
      <w:tr w:rsidR="00BF7160" w:rsidRPr="003D7928" w:rsidTr="00BF7160">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40" w:type="pct"/>
            <w:vAlign w:val="top"/>
          </w:tcPr>
          <w:p w:rsidR="00BF7160" w:rsidRPr="00BF7160" w:rsidRDefault="00BF7160" w:rsidP="00BF7160">
            <w:r w:rsidRPr="00BF7160">
              <w:t>AER draft decision</w:t>
            </w:r>
          </w:p>
        </w:tc>
        <w:tc>
          <w:tcPr>
            <w:tcW w:w="622" w:type="pct"/>
          </w:tcPr>
          <w:p w:rsidR="00BF7160" w:rsidRPr="00BF7160" w:rsidRDefault="00BF7160" w:rsidP="00BF7160">
            <w:pPr>
              <w:cnfStyle w:val="000000010000" w:firstRow="0" w:lastRow="0" w:firstColumn="0" w:lastColumn="0" w:oddVBand="0" w:evenVBand="0" w:oddHBand="0" w:evenHBand="1" w:firstRowFirstColumn="0" w:firstRowLastColumn="0" w:lastRowFirstColumn="0" w:lastRowLastColumn="0"/>
            </w:pPr>
            <w:r w:rsidRPr="00BF7160">
              <w:t>204.2</w:t>
            </w:r>
          </w:p>
        </w:tc>
        <w:tc>
          <w:tcPr>
            <w:tcW w:w="622" w:type="pct"/>
          </w:tcPr>
          <w:p w:rsidR="00BF7160" w:rsidRPr="00BF7160" w:rsidRDefault="00BF7160" w:rsidP="00BF7160">
            <w:pPr>
              <w:cnfStyle w:val="000000010000" w:firstRow="0" w:lastRow="0" w:firstColumn="0" w:lastColumn="0" w:oddVBand="0" w:evenVBand="0" w:oddHBand="0" w:evenHBand="1" w:firstRowFirstColumn="0" w:firstRowLastColumn="0" w:lastRowFirstColumn="0" w:lastRowLastColumn="0"/>
            </w:pPr>
            <w:r w:rsidRPr="00BF7160">
              <w:t>204.4</w:t>
            </w:r>
          </w:p>
        </w:tc>
        <w:tc>
          <w:tcPr>
            <w:tcW w:w="622" w:type="pct"/>
          </w:tcPr>
          <w:p w:rsidR="00BF7160" w:rsidRPr="00BF7160" w:rsidRDefault="00BF7160" w:rsidP="00BF7160">
            <w:pPr>
              <w:cnfStyle w:val="000000010000" w:firstRow="0" w:lastRow="0" w:firstColumn="0" w:lastColumn="0" w:oddVBand="0" w:evenVBand="0" w:oddHBand="0" w:evenHBand="1" w:firstRowFirstColumn="0" w:firstRowLastColumn="0" w:lastRowFirstColumn="0" w:lastRowLastColumn="0"/>
            </w:pPr>
            <w:r w:rsidRPr="00BF7160">
              <w:t>204.8</w:t>
            </w:r>
          </w:p>
        </w:tc>
        <w:tc>
          <w:tcPr>
            <w:tcW w:w="622" w:type="pct"/>
          </w:tcPr>
          <w:p w:rsidR="00BF7160" w:rsidRPr="00BF7160" w:rsidRDefault="00BF7160" w:rsidP="00BF7160">
            <w:pPr>
              <w:cnfStyle w:val="000000010000" w:firstRow="0" w:lastRow="0" w:firstColumn="0" w:lastColumn="0" w:oddVBand="0" w:evenVBand="0" w:oddHBand="0" w:evenHBand="1" w:firstRowFirstColumn="0" w:firstRowLastColumn="0" w:lastRowFirstColumn="0" w:lastRowLastColumn="0"/>
            </w:pPr>
            <w:r w:rsidRPr="00BF7160">
              <w:t>205.2</w:t>
            </w:r>
          </w:p>
        </w:tc>
        <w:tc>
          <w:tcPr>
            <w:tcW w:w="585" w:type="pct"/>
          </w:tcPr>
          <w:p w:rsidR="00BF7160" w:rsidRPr="00BF7160" w:rsidRDefault="00BF7160" w:rsidP="00BF7160">
            <w:pPr>
              <w:cnfStyle w:val="000000010000" w:firstRow="0" w:lastRow="0" w:firstColumn="0" w:lastColumn="0" w:oddVBand="0" w:evenVBand="0" w:oddHBand="0" w:evenHBand="1" w:firstRowFirstColumn="0" w:firstRowLastColumn="0" w:lastRowFirstColumn="0" w:lastRowLastColumn="0"/>
            </w:pPr>
            <w:r w:rsidRPr="00BF7160">
              <w:t>205.6</w:t>
            </w:r>
          </w:p>
        </w:tc>
        <w:tc>
          <w:tcPr>
            <w:tcW w:w="687" w:type="pct"/>
          </w:tcPr>
          <w:p w:rsidR="00BF7160" w:rsidRPr="00AD14DC" w:rsidRDefault="00BF7160" w:rsidP="00BF7160">
            <w:pPr>
              <w:cnfStyle w:val="000000010000" w:firstRow="0" w:lastRow="0" w:firstColumn="0" w:lastColumn="0" w:oddVBand="0" w:evenVBand="0" w:oddHBand="0" w:evenHBand="1" w:firstRowFirstColumn="0" w:firstRowLastColumn="0" w:lastRowFirstColumn="0" w:lastRowLastColumn="0"/>
              <w:rPr>
                <w:rStyle w:val="Strong"/>
              </w:rPr>
            </w:pPr>
            <w:r w:rsidRPr="005518C2">
              <w:rPr>
                <w:rStyle w:val="Strong"/>
              </w:rPr>
              <w:t>1024.1</w:t>
            </w:r>
          </w:p>
        </w:tc>
      </w:tr>
      <w:tr w:rsidR="00BF7160" w:rsidRPr="003D7928" w:rsidTr="00BF7160">
        <w:trPr>
          <w:trHeight w:val="425"/>
        </w:trPr>
        <w:tc>
          <w:tcPr>
            <w:cnfStyle w:val="001000000000" w:firstRow="0" w:lastRow="0" w:firstColumn="1" w:lastColumn="0" w:oddVBand="0" w:evenVBand="0" w:oddHBand="0" w:evenHBand="0" w:firstRowFirstColumn="0" w:firstRowLastColumn="0" w:lastRowFirstColumn="0" w:lastRowLastColumn="0"/>
            <w:tcW w:w="1240" w:type="pct"/>
            <w:vAlign w:val="top"/>
          </w:tcPr>
          <w:p w:rsidR="00BF7160" w:rsidRPr="00BF7160" w:rsidRDefault="00BF7160" w:rsidP="00BF7160">
            <w:r w:rsidRPr="00BF7160">
              <w:t>Difference</w:t>
            </w:r>
            <w:r w:rsidRPr="00BF7160">
              <w:tab/>
            </w:r>
          </w:p>
        </w:tc>
        <w:tc>
          <w:tcPr>
            <w:tcW w:w="622" w:type="pct"/>
          </w:tcPr>
          <w:p w:rsidR="00BF7160" w:rsidRPr="005518C2"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–14.7</w:t>
            </w:r>
          </w:p>
        </w:tc>
        <w:tc>
          <w:tcPr>
            <w:tcW w:w="622" w:type="pct"/>
          </w:tcPr>
          <w:p w:rsidR="00BF7160" w:rsidRPr="005518C2"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–9.6</w:t>
            </w:r>
          </w:p>
        </w:tc>
        <w:tc>
          <w:tcPr>
            <w:tcW w:w="622" w:type="pct"/>
          </w:tcPr>
          <w:p w:rsidR="00BF7160" w:rsidRPr="005518C2"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–10.7</w:t>
            </w:r>
          </w:p>
        </w:tc>
        <w:tc>
          <w:tcPr>
            <w:tcW w:w="622" w:type="pct"/>
          </w:tcPr>
          <w:p w:rsidR="00BF7160" w:rsidRPr="005518C2"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–12.6</w:t>
            </w:r>
          </w:p>
        </w:tc>
        <w:tc>
          <w:tcPr>
            <w:tcW w:w="585" w:type="pct"/>
          </w:tcPr>
          <w:p w:rsidR="00BF7160" w:rsidRPr="005518C2"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–13.4</w:t>
            </w:r>
          </w:p>
        </w:tc>
        <w:tc>
          <w:tcPr>
            <w:tcW w:w="687" w:type="pct"/>
          </w:tcPr>
          <w:p w:rsidR="00BF7160" w:rsidRPr="00AD14DC" w:rsidRDefault="00BF7160" w:rsidP="00BF7160">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–61.0</w:t>
            </w:r>
          </w:p>
        </w:tc>
      </w:tr>
    </w:tbl>
    <w:p w:rsidR="00FD72A5" w:rsidRPr="00FD72A5" w:rsidRDefault="00FD72A5" w:rsidP="00FD72A5">
      <w:pPr>
        <w:pStyle w:val="AERtablesource"/>
      </w:pPr>
      <w:r w:rsidRPr="00D66DBF">
        <w:t>Source:</w:t>
      </w:r>
      <w:r w:rsidRPr="00D66DBF">
        <w:tab/>
        <w:t>AER analysis.</w:t>
      </w:r>
    </w:p>
    <w:p w:rsidR="00FD72A5" w:rsidRPr="00D66DBF" w:rsidRDefault="00FD72A5" w:rsidP="00FD72A5">
      <w:pPr>
        <w:pStyle w:val="AERtablesource"/>
      </w:pPr>
      <w:r w:rsidRPr="00D66DBF">
        <w:t>Note:</w:t>
      </w:r>
      <w:r w:rsidRPr="00D66DBF">
        <w:tab/>
        <w:t>Excludes debt raising costs.</w:t>
      </w:r>
    </w:p>
    <w:p w:rsidR="00FD72A5" w:rsidRDefault="00FD72A5" w:rsidP="00FD72A5">
      <w:r>
        <w:t>We outline the key elements of our alternative opex forecast and areas of difference between our estimate of opex and AusNet Services' estimate below.</w:t>
      </w:r>
    </w:p>
    <w:p w:rsidR="00B47326" w:rsidRDefault="00B47326" w:rsidP="00FD72A5"/>
    <w:p w:rsidR="00B47326" w:rsidRDefault="00B47326" w:rsidP="00FD72A5"/>
    <w:p w:rsidR="00FD72A5" w:rsidRPr="000D0625" w:rsidRDefault="00FD72A5" w:rsidP="00FD72A5">
      <w:pPr>
        <w:pStyle w:val="Heading3"/>
      </w:pPr>
      <w:bookmarkStart w:id="50" w:name="_Toc417052660"/>
      <w:bookmarkStart w:id="51" w:name="_Toc430784446"/>
      <w:bookmarkStart w:id="52" w:name="_Toc433629843"/>
      <w:bookmarkStart w:id="53" w:name="_Toc456601966"/>
      <w:r>
        <w:lastRenderedPageBreak/>
        <w:t>Base opex</w:t>
      </w:r>
      <w:bookmarkEnd w:id="50"/>
      <w:bookmarkEnd w:id="51"/>
      <w:bookmarkEnd w:id="52"/>
      <w:bookmarkEnd w:id="53"/>
    </w:p>
    <w:p w:rsidR="00FD72A5" w:rsidRDefault="00FD72A5" w:rsidP="00FD72A5">
      <w:pPr>
        <w:rPr>
          <w:rStyle w:val="AERbody"/>
        </w:rPr>
      </w:pPr>
      <w:r>
        <w:t>We have forecast a base opex amount of $</w:t>
      </w:r>
      <w:r w:rsidR="00113367" w:rsidRPr="00113367">
        <w:t>978.4</w:t>
      </w:r>
      <w:r>
        <w:t xml:space="preserve"> million ($2016–17</w:t>
      </w:r>
      <w:r w:rsidRPr="00EA016D">
        <w:t xml:space="preserve">). </w:t>
      </w:r>
      <w:r>
        <w:rPr>
          <w:rStyle w:val="AERbody"/>
        </w:rPr>
        <w:t xml:space="preserve">Consistent with AusNet Services' proposal we have relied on AusNet Services' reported opex in </w:t>
      </w:r>
      <w:r>
        <w:rPr>
          <w:rStyle w:val="AERbody"/>
        </w:rPr>
        <w:br/>
        <w:t>2014–15 to forecast opex. Benchmarking indicates AusNet Services is operating relatively efficiently when compared to other service providers in the NEM so we consider this is a reasonable starting point for determining our opex forecast.</w:t>
      </w:r>
    </w:p>
    <w:p w:rsidR="00FD72A5" w:rsidRDefault="008D4903" w:rsidP="00FD72A5">
      <w:pPr>
        <w:rPr>
          <w:rStyle w:val="AERbody"/>
        </w:rPr>
      </w:pPr>
      <w:r>
        <w:rPr>
          <w:rStyle w:val="AERbody"/>
        </w:rPr>
        <w:t xml:space="preserve">In deriving our </w:t>
      </w:r>
      <w:r w:rsidR="00FD72A5">
        <w:rPr>
          <w:rStyle w:val="AERbody"/>
        </w:rPr>
        <w:t>forecast of base opex</w:t>
      </w:r>
      <w:r>
        <w:rPr>
          <w:rStyle w:val="AERbody"/>
        </w:rPr>
        <w:t xml:space="preserve">, </w:t>
      </w:r>
      <w:r w:rsidR="00FD72A5">
        <w:rPr>
          <w:rStyle w:val="AERbody"/>
        </w:rPr>
        <w:t>we</w:t>
      </w:r>
      <w:r>
        <w:rPr>
          <w:rStyle w:val="AERbody"/>
        </w:rPr>
        <w:t xml:space="preserve"> have</w:t>
      </w:r>
      <w:r w:rsidR="00FD72A5">
        <w:rPr>
          <w:rStyle w:val="AERbody"/>
        </w:rPr>
        <w:t>:</w:t>
      </w:r>
    </w:p>
    <w:p w:rsidR="00FD72A5" w:rsidRDefault="00FD72A5" w:rsidP="00FD72A5">
      <w:pPr>
        <w:pStyle w:val="AERbulletlistfirststyle"/>
        <w:rPr>
          <w:rStyle w:val="AERbody"/>
        </w:rPr>
      </w:pPr>
      <w:r>
        <w:rPr>
          <w:rStyle w:val="AERbody"/>
        </w:rPr>
        <w:t>removed movement in provisions reported as opex in 2014–15</w:t>
      </w:r>
    </w:p>
    <w:p w:rsidR="000851EA" w:rsidRDefault="000851EA" w:rsidP="00FD72A5">
      <w:pPr>
        <w:pStyle w:val="AERbulletlistfirststyle"/>
        <w:rPr>
          <w:rStyle w:val="AERbody"/>
        </w:rPr>
      </w:pPr>
      <w:r>
        <w:rPr>
          <w:rStyle w:val="AERbody"/>
        </w:rPr>
        <w:t>removed easement land tax</w:t>
      </w:r>
      <w:r w:rsidR="00FA2665">
        <w:rPr>
          <w:rStyle w:val="AERbody"/>
        </w:rPr>
        <w:t xml:space="preserve"> </w:t>
      </w:r>
      <w:r>
        <w:rPr>
          <w:rStyle w:val="AERbody"/>
        </w:rPr>
        <w:t>and debt raising costs because we adopt a category specific forecast for these categories</w:t>
      </w:r>
    </w:p>
    <w:p w:rsidR="00A20AEB" w:rsidRDefault="00A20AEB" w:rsidP="00FD72A5">
      <w:pPr>
        <w:pStyle w:val="AERbulletlistfirststyle"/>
        <w:rPr>
          <w:rStyle w:val="AERbody"/>
        </w:rPr>
      </w:pPr>
      <w:r>
        <w:rPr>
          <w:rStyle w:val="AERbody"/>
        </w:rPr>
        <w:t>removed the AIS rebate because the scheme has ceased</w:t>
      </w:r>
    </w:p>
    <w:p w:rsidR="00FD72A5" w:rsidRDefault="00FD72A5" w:rsidP="00FD72A5">
      <w:pPr>
        <w:pStyle w:val="AERbulletlistfirststyle"/>
        <w:rPr>
          <w:rStyle w:val="AERbody"/>
        </w:rPr>
      </w:pPr>
      <w:proofErr w:type="gramStart"/>
      <w:r>
        <w:t>added</w:t>
      </w:r>
      <w:proofErr w:type="gramEnd"/>
      <w:r>
        <w:t xml:space="preserve"> our forecast increase </w:t>
      </w:r>
      <w:r w:rsidR="00FA2665">
        <w:t>in opex between 2014–15 and 2016</w:t>
      </w:r>
      <w:r>
        <w:t>–1</w:t>
      </w:r>
      <w:r w:rsidR="00FA2665">
        <w:t>7</w:t>
      </w:r>
      <w:r w:rsidR="00C711DC">
        <w:t>.</w:t>
      </w:r>
    </w:p>
    <w:p w:rsidR="00FD72A5" w:rsidRPr="002F5CA1" w:rsidRDefault="00FD72A5" w:rsidP="00FD72A5">
      <w:pPr>
        <w:pStyle w:val="Heading3"/>
      </w:pPr>
      <w:bookmarkStart w:id="54" w:name="_Toc430784447"/>
      <w:bookmarkStart w:id="55" w:name="_Toc433629844"/>
      <w:bookmarkStart w:id="56" w:name="_Toc456601967"/>
      <w:r>
        <w:t>Rate of change</w:t>
      </w:r>
      <w:bookmarkEnd w:id="54"/>
      <w:bookmarkEnd w:id="55"/>
      <w:bookmarkEnd w:id="56"/>
    </w:p>
    <w:p w:rsidR="00FD72A5" w:rsidRPr="00F00771" w:rsidRDefault="00FD72A5" w:rsidP="002C1039">
      <w:pPr>
        <w:numPr>
          <w:ilvl w:val="0"/>
          <w:numId w:val="24"/>
        </w:numPr>
      </w:pPr>
      <w:r w:rsidRPr="00F00771">
        <w:t>Once we have determined the opex required in the final year of the of the 201</w:t>
      </w:r>
      <w:r w:rsidR="00F646E5">
        <w:t>4–17</w:t>
      </w:r>
      <w:r w:rsidRPr="00F00771">
        <w:t xml:space="preserve"> regulatory control period we apply a forecast annual rate of change to forecast opex for the 201</w:t>
      </w:r>
      <w:r w:rsidR="00F646E5">
        <w:t>7–22</w:t>
      </w:r>
      <w:r w:rsidRPr="00F00771">
        <w:t xml:space="preserve"> regulatory control period. </w:t>
      </w:r>
    </w:p>
    <w:p w:rsidR="00FD72A5" w:rsidRPr="00F00771" w:rsidRDefault="00FD72A5" w:rsidP="002C1039">
      <w:pPr>
        <w:numPr>
          <w:ilvl w:val="0"/>
          <w:numId w:val="24"/>
        </w:numPr>
      </w:pPr>
      <w:r w:rsidRPr="00F00771">
        <w:t xml:space="preserve">Our forecast of the overall rate of change used to derive our alternative estimate of opex is </w:t>
      </w:r>
      <w:r w:rsidRPr="00E27C9B">
        <w:t>lower</w:t>
      </w:r>
      <w:r w:rsidRPr="00F00771">
        <w:t xml:space="preserve"> than </w:t>
      </w:r>
      <w:r>
        <w:t>AusNet Services'</w:t>
      </w:r>
      <w:r w:rsidRPr="00F00771">
        <w:t xml:space="preserve"> over the forecast period. </w:t>
      </w:r>
      <w:r w:rsidR="00DB7DE6">
        <w:fldChar w:fldCharType="begin"/>
      </w:r>
      <w:r w:rsidR="00DB7DE6">
        <w:instrText xml:space="preserve"> REF _Ref453235931 \h </w:instrText>
      </w:r>
      <w:r w:rsidR="00DB7DE6">
        <w:fldChar w:fldCharType="separate"/>
      </w:r>
      <w:r w:rsidR="00740726">
        <w:t xml:space="preserve">Figure </w:t>
      </w:r>
      <w:r w:rsidR="00740726">
        <w:rPr>
          <w:noProof/>
        </w:rPr>
        <w:t>7</w:t>
      </w:r>
      <w:r w:rsidR="00740726">
        <w:t>.</w:t>
      </w:r>
      <w:r w:rsidR="00740726">
        <w:rPr>
          <w:noProof/>
        </w:rPr>
        <w:t>5</w:t>
      </w:r>
      <w:r w:rsidR="00DB7DE6">
        <w:fldChar w:fldCharType="end"/>
      </w:r>
      <w:r w:rsidRPr="00F00771">
        <w:t xml:space="preserve"> below compares </w:t>
      </w:r>
      <w:r>
        <w:t>AusNet Services'</w:t>
      </w:r>
      <w:r w:rsidRPr="00F00771">
        <w:t xml:space="preserve"> and our overall rate of change for the 201</w:t>
      </w:r>
      <w:r w:rsidR="00F646E5">
        <w:t>7–22</w:t>
      </w:r>
      <w:r w:rsidRPr="00F00771">
        <w:t xml:space="preserve"> regulatory control </w:t>
      </w:r>
      <w:proofErr w:type="gramStart"/>
      <w:r w:rsidRPr="00F00771">
        <w:t>period</w:t>
      </w:r>
      <w:proofErr w:type="gramEnd"/>
      <w:r w:rsidR="008D4903">
        <w:t>,</w:t>
      </w:r>
      <w:r w:rsidR="008D4903" w:rsidRPr="008D4903">
        <w:t xml:space="preserve"> </w:t>
      </w:r>
      <w:r w:rsidR="008D4903" w:rsidRPr="00F00771">
        <w:t>in percentage terms</w:t>
      </w:r>
      <w:r w:rsidRPr="00F00771">
        <w:t>.</w:t>
      </w:r>
    </w:p>
    <w:p w:rsidR="00FD72A5" w:rsidRPr="00F00771" w:rsidRDefault="000851EA" w:rsidP="000851EA">
      <w:pPr>
        <w:pStyle w:val="Caption"/>
      </w:pPr>
      <w:bookmarkStart w:id="57" w:name="_Ref453235931"/>
      <w:proofErr w:type="gramStart"/>
      <w:r>
        <w:t xml:space="preserve">Figure </w:t>
      </w:r>
      <w:fldSimple w:instr=" STYLEREF 1 \s ">
        <w:r w:rsidR="00740726">
          <w:rPr>
            <w:noProof/>
          </w:rPr>
          <w:t>7</w:t>
        </w:r>
      </w:fldSimple>
      <w:r>
        <w:t>.</w:t>
      </w:r>
      <w:proofErr w:type="gramEnd"/>
      <w:r w:rsidR="00740726">
        <w:fldChar w:fldCharType="begin"/>
      </w:r>
      <w:r w:rsidR="00740726">
        <w:instrText xml:space="preserve"> SEQ Figure \* ARABIC \s 1 </w:instrText>
      </w:r>
      <w:r w:rsidR="00740726">
        <w:fldChar w:fldCharType="separate"/>
      </w:r>
      <w:r w:rsidR="00740726">
        <w:rPr>
          <w:noProof/>
        </w:rPr>
        <w:t>5</w:t>
      </w:r>
      <w:r w:rsidR="00740726">
        <w:rPr>
          <w:noProof/>
        </w:rPr>
        <w:fldChar w:fldCharType="end"/>
      </w:r>
      <w:bookmarkEnd w:id="57"/>
      <w:r w:rsidR="00FD72A5" w:rsidRPr="00F00771">
        <w:tab/>
      </w:r>
      <w:r w:rsidR="00FD72A5">
        <w:t>Forecast annual r</w:t>
      </w:r>
      <w:r w:rsidR="00FD72A5" w:rsidRPr="00F00771">
        <w:t xml:space="preserve">ate of change in opex </w:t>
      </w:r>
      <w:r w:rsidR="00FD72A5">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F646E5" w:rsidTr="008D4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F646E5" w:rsidRPr="00F00771" w:rsidRDefault="00F646E5" w:rsidP="00F646E5"/>
        </w:tc>
        <w:tc>
          <w:tcPr>
            <w:tcW w:w="1348" w:type="dxa"/>
            <w:tcBorders>
              <w:top w:val="nil"/>
              <w:left w:val="nil"/>
              <w:bottom w:val="nil"/>
              <w:right w:val="nil"/>
            </w:tcBorders>
            <w:hideMark/>
          </w:tcPr>
          <w:p w:rsidR="00F646E5" w:rsidRPr="00F646E5" w:rsidRDefault="00F646E5" w:rsidP="00F646E5">
            <w:pPr>
              <w:cnfStyle w:val="100000000000" w:firstRow="1" w:lastRow="0" w:firstColumn="0" w:lastColumn="0" w:oddVBand="0" w:evenVBand="0" w:oddHBand="0" w:evenHBand="0" w:firstRowFirstColumn="0" w:firstRowLastColumn="0" w:lastRowFirstColumn="0" w:lastRowLastColumn="0"/>
            </w:pPr>
            <w:r w:rsidRPr="00F646E5">
              <w:t>2017–18</w:t>
            </w:r>
          </w:p>
        </w:tc>
        <w:tc>
          <w:tcPr>
            <w:tcW w:w="1348" w:type="dxa"/>
            <w:tcBorders>
              <w:top w:val="nil"/>
              <w:left w:val="nil"/>
              <w:bottom w:val="nil"/>
              <w:right w:val="nil"/>
            </w:tcBorders>
            <w:hideMark/>
          </w:tcPr>
          <w:p w:rsidR="00F646E5" w:rsidRPr="00F646E5" w:rsidRDefault="00F646E5" w:rsidP="00F646E5">
            <w:pPr>
              <w:cnfStyle w:val="100000000000" w:firstRow="1" w:lastRow="0" w:firstColumn="0" w:lastColumn="0" w:oddVBand="0" w:evenVBand="0" w:oddHBand="0" w:evenHBand="0" w:firstRowFirstColumn="0" w:firstRowLastColumn="0" w:lastRowFirstColumn="0" w:lastRowLastColumn="0"/>
            </w:pPr>
            <w:r w:rsidRPr="00F646E5">
              <w:t>2018–19</w:t>
            </w:r>
          </w:p>
        </w:tc>
        <w:tc>
          <w:tcPr>
            <w:tcW w:w="1349" w:type="dxa"/>
            <w:tcBorders>
              <w:top w:val="nil"/>
              <w:left w:val="nil"/>
              <w:bottom w:val="nil"/>
              <w:right w:val="nil"/>
            </w:tcBorders>
            <w:hideMark/>
          </w:tcPr>
          <w:p w:rsidR="00F646E5" w:rsidRPr="00F646E5" w:rsidRDefault="00F646E5" w:rsidP="00F646E5">
            <w:pPr>
              <w:cnfStyle w:val="100000000000" w:firstRow="1" w:lastRow="0" w:firstColumn="0" w:lastColumn="0" w:oddVBand="0" w:evenVBand="0" w:oddHBand="0" w:evenHBand="0" w:firstRowFirstColumn="0" w:firstRowLastColumn="0" w:lastRowFirstColumn="0" w:lastRowLastColumn="0"/>
            </w:pPr>
            <w:r w:rsidRPr="00F646E5">
              <w:t>2019–20</w:t>
            </w:r>
          </w:p>
        </w:tc>
        <w:tc>
          <w:tcPr>
            <w:tcW w:w="1348" w:type="dxa"/>
            <w:tcBorders>
              <w:top w:val="nil"/>
              <w:left w:val="nil"/>
              <w:bottom w:val="nil"/>
              <w:right w:val="nil"/>
            </w:tcBorders>
            <w:hideMark/>
          </w:tcPr>
          <w:p w:rsidR="00F646E5" w:rsidRPr="00F646E5" w:rsidRDefault="00F646E5" w:rsidP="00F646E5">
            <w:pPr>
              <w:cnfStyle w:val="100000000000" w:firstRow="1" w:lastRow="0" w:firstColumn="0" w:lastColumn="0" w:oddVBand="0" w:evenVBand="0" w:oddHBand="0" w:evenHBand="0" w:firstRowFirstColumn="0" w:firstRowLastColumn="0" w:lastRowFirstColumn="0" w:lastRowLastColumn="0"/>
            </w:pPr>
            <w:r w:rsidRPr="00F646E5">
              <w:t>2020–21</w:t>
            </w:r>
          </w:p>
        </w:tc>
        <w:tc>
          <w:tcPr>
            <w:tcW w:w="1349" w:type="dxa"/>
            <w:tcBorders>
              <w:top w:val="nil"/>
              <w:left w:val="nil"/>
              <w:bottom w:val="nil"/>
              <w:right w:val="nil"/>
            </w:tcBorders>
            <w:hideMark/>
          </w:tcPr>
          <w:p w:rsidR="00F646E5" w:rsidRPr="00F646E5" w:rsidRDefault="00F646E5" w:rsidP="00F646E5">
            <w:pPr>
              <w:cnfStyle w:val="100000000000" w:firstRow="1" w:lastRow="0" w:firstColumn="0" w:lastColumn="0" w:oddVBand="0" w:evenVBand="0" w:oddHBand="0" w:evenHBand="0" w:firstRowFirstColumn="0" w:firstRowLastColumn="0" w:lastRowFirstColumn="0" w:lastRowLastColumn="0"/>
            </w:pPr>
            <w:r w:rsidRPr="00F646E5">
              <w:t>2021–22</w:t>
            </w:r>
          </w:p>
        </w:tc>
      </w:tr>
      <w:tr w:rsidR="00E27C9B" w:rsidTr="008D482C">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E27C9B" w:rsidRPr="00E27C9B" w:rsidRDefault="00E27C9B" w:rsidP="00E27C9B">
            <w:r w:rsidRPr="00E27C9B">
              <w:t>AusNet Services</w:t>
            </w:r>
          </w:p>
        </w:tc>
        <w:tc>
          <w:tcPr>
            <w:tcW w:w="1348" w:type="dxa"/>
            <w:tcBorders>
              <w:top w:val="nil"/>
              <w:left w:val="nil"/>
              <w:bottom w:val="nil"/>
              <w:right w:val="nil"/>
            </w:tcBorders>
            <w:vAlign w:val="top"/>
          </w:tcPr>
          <w:p w:rsidR="00E27C9B" w:rsidRPr="00E27C9B" w:rsidRDefault="00E27C9B" w:rsidP="00E27C9B">
            <w:pPr>
              <w:cnfStyle w:val="000000000000" w:firstRow="0" w:lastRow="0" w:firstColumn="0" w:lastColumn="0" w:oddVBand="0" w:evenVBand="0" w:oddHBand="0" w:evenHBand="0" w:firstRowFirstColumn="0" w:firstRowLastColumn="0" w:lastRowFirstColumn="0" w:lastRowLastColumn="0"/>
            </w:pPr>
            <w:r w:rsidRPr="00E27C9B">
              <w:t>2.21</w:t>
            </w:r>
          </w:p>
        </w:tc>
        <w:tc>
          <w:tcPr>
            <w:tcW w:w="1348" w:type="dxa"/>
            <w:tcBorders>
              <w:top w:val="nil"/>
              <w:left w:val="nil"/>
              <w:bottom w:val="nil"/>
              <w:right w:val="nil"/>
            </w:tcBorders>
            <w:vAlign w:val="top"/>
          </w:tcPr>
          <w:p w:rsidR="00E27C9B" w:rsidRPr="00E27C9B" w:rsidRDefault="00E27C9B" w:rsidP="00E27C9B">
            <w:pPr>
              <w:cnfStyle w:val="000000000000" w:firstRow="0" w:lastRow="0" w:firstColumn="0" w:lastColumn="0" w:oddVBand="0" w:evenVBand="0" w:oddHBand="0" w:evenHBand="0" w:firstRowFirstColumn="0" w:firstRowLastColumn="0" w:lastRowFirstColumn="0" w:lastRowLastColumn="0"/>
            </w:pPr>
            <w:r w:rsidRPr="00E27C9B">
              <w:t>1.94</w:t>
            </w:r>
          </w:p>
        </w:tc>
        <w:tc>
          <w:tcPr>
            <w:tcW w:w="1349" w:type="dxa"/>
            <w:tcBorders>
              <w:top w:val="nil"/>
              <w:left w:val="nil"/>
              <w:bottom w:val="nil"/>
              <w:right w:val="nil"/>
            </w:tcBorders>
            <w:vAlign w:val="top"/>
          </w:tcPr>
          <w:p w:rsidR="00E27C9B" w:rsidRPr="00E27C9B" w:rsidRDefault="00E27C9B" w:rsidP="00E27C9B">
            <w:pPr>
              <w:cnfStyle w:val="000000000000" w:firstRow="0" w:lastRow="0" w:firstColumn="0" w:lastColumn="0" w:oddVBand="0" w:evenVBand="0" w:oddHBand="0" w:evenHBand="0" w:firstRowFirstColumn="0" w:firstRowLastColumn="0" w:lastRowFirstColumn="0" w:lastRowLastColumn="0"/>
            </w:pPr>
            <w:r w:rsidRPr="00E27C9B">
              <w:t>1.93</w:t>
            </w:r>
          </w:p>
        </w:tc>
        <w:tc>
          <w:tcPr>
            <w:tcW w:w="1348" w:type="dxa"/>
            <w:tcBorders>
              <w:top w:val="nil"/>
              <w:left w:val="nil"/>
              <w:bottom w:val="nil"/>
              <w:right w:val="nil"/>
            </w:tcBorders>
            <w:vAlign w:val="top"/>
          </w:tcPr>
          <w:p w:rsidR="00E27C9B" w:rsidRPr="00E27C9B" w:rsidRDefault="00E27C9B" w:rsidP="00E27C9B">
            <w:pPr>
              <w:cnfStyle w:val="000000000000" w:firstRow="0" w:lastRow="0" w:firstColumn="0" w:lastColumn="0" w:oddVBand="0" w:evenVBand="0" w:oddHBand="0" w:evenHBand="0" w:firstRowFirstColumn="0" w:firstRowLastColumn="0" w:lastRowFirstColumn="0" w:lastRowLastColumn="0"/>
            </w:pPr>
            <w:r w:rsidRPr="00E27C9B">
              <w:t>1.99</w:t>
            </w:r>
          </w:p>
        </w:tc>
        <w:tc>
          <w:tcPr>
            <w:tcW w:w="1349" w:type="dxa"/>
            <w:tcBorders>
              <w:top w:val="nil"/>
              <w:left w:val="nil"/>
              <w:bottom w:val="nil"/>
              <w:right w:val="nil"/>
            </w:tcBorders>
            <w:vAlign w:val="top"/>
          </w:tcPr>
          <w:p w:rsidR="00E27C9B" w:rsidRPr="00E27C9B" w:rsidRDefault="00E27C9B" w:rsidP="00E27C9B">
            <w:pPr>
              <w:cnfStyle w:val="000000000000" w:firstRow="0" w:lastRow="0" w:firstColumn="0" w:lastColumn="0" w:oddVBand="0" w:evenVBand="0" w:oddHBand="0" w:evenHBand="0" w:firstRowFirstColumn="0" w:firstRowLastColumn="0" w:lastRowFirstColumn="0" w:lastRowLastColumn="0"/>
            </w:pPr>
            <w:r w:rsidRPr="00E27C9B">
              <w:t>2.01</w:t>
            </w:r>
          </w:p>
        </w:tc>
      </w:tr>
      <w:tr w:rsidR="00AD14DC" w:rsidTr="008D4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AD14DC" w:rsidRPr="00AD14DC" w:rsidRDefault="00AD14DC" w:rsidP="00AD14DC">
            <w:r w:rsidRPr="00AD14DC">
              <w:t>AER</w:t>
            </w:r>
          </w:p>
        </w:tc>
        <w:tc>
          <w:tcPr>
            <w:tcW w:w="1348" w:type="dxa"/>
            <w:tcBorders>
              <w:top w:val="nil"/>
              <w:left w:val="nil"/>
              <w:bottom w:val="nil"/>
              <w:right w:val="nil"/>
            </w:tcBorders>
            <w:vAlign w:val="top"/>
          </w:tcPr>
          <w:p w:rsidR="00AD14DC" w:rsidRPr="00AD14DC" w:rsidRDefault="00AD14DC" w:rsidP="00AD14DC">
            <w:pPr>
              <w:cnfStyle w:val="000000010000" w:firstRow="0" w:lastRow="0" w:firstColumn="0" w:lastColumn="0" w:oddVBand="0" w:evenVBand="0" w:oddHBand="0" w:evenHBand="1" w:firstRowFirstColumn="0" w:firstRowLastColumn="0" w:lastRowFirstColumn="0" w:lastRowLastColumn="0"/>
            </w:pPr>
            <w:r w:rsidRPr="00AD14DC">
              <w:t>0.09</w:t>
            </w:r>
          </w:p>
        </w:tc>
        <w:tc>
          <w:tcPr>
            <w:tcW w:w="1348" w:type="dxa"/>
            <w:tcBorders>
              <w:top w:val="nil"/>
              <w:left w:val="nil"/>
              <w:bottom w:val="nil"/>
              <w:right w:val="nil"/>
            </w:tcBorders>
            <w:vAlign w:val="top"/>
          </w:tcPr>
          <w:p w:rsidR="00AD14DC" w:rsidRPr="00AD14DC" w:rsidRDefault="00AD14DC" w:rsidP="00AD14DC">
            <w:pPr>
              <w:cnfStyle w:val="000000010000" w:firstRow="0" w:lastRow="0" w:firstColumn="0" w:lastColumn="0" w:oddVBand="0" w:evenVBand="0" w:oddHBand="0" w:evenHBand="1" w:firstRowFirstColumn="0" w:firstRowLastColumn="0" w:lastRowFirstColumn="0" w:lastRowLastColumn="0"/>
            </w:pPr>
            <w:r w:rsidRPr="00AD14DC">
              <w:t>0.31</w:t>
            </w:r>
          </w:p>
        </w:tc>
        <w:tc>
          <w:tcPr>
            <w:tcW w:w="1349" w:type="dxa"/>
            <w:tcBorders>
              <w:top w:val="nil"/>
              <w:left w:val="nil"/>
              <w:bottom w:val="nil"/>
              <w:right w:val="nil"/>
            </w:tcBorders>
            <w:vAlign w:val="top"/>
          </w:tcPr>
          <w:p w:rsidR="00AD14DC" w:rsidRPr="00AD14DC" w:rsidRDefault="00AD14DC" w:rsidP="00AD14DC">
            <w:pPr>
              <w:cnfStyle w:val="000000010000" w:firstRow="0" w:lastRow="0" w:firstColumn="0" w:lastColumn="0" w:oddVBand="0" w:evenVBand="0" w:oddHBand="0" w:evenHBand="1" w:firstRowFirstColumn="0" w:firstRowLastColumn="0" w:lastRowFirstColumn="0" w:lastRowLastColumn="0"/>
            </w:pPr>
            <w:r w:rsidRPr="00AD14DC">
              <w:t>0.40</w:t>
            </w:r>
          </w:p>
        </w:tc>
        <w:tc>
          <w:tcPr>
            <w:tcW w:w="1348" w:type="dxa"/>
            <w:tcBorders>
              <w:top w:val="nil"/>
              <w:left w:val="nil"/>
              <w:bottom w:val="nil"/>
              <w:right w:val="nil"/>
            </w:tcBorders>
            <w:vAlign w:val="top"/>
          </w:tcPr>
          <w:p w:rsidR="00AD14DC" w:rsidRPr="00AD14DC" w:rsidRDefault="00AD14DC" w:rsidP="00AD14DC">
            <w:pPr>
              <w:cnfStyle w:val="000000010000" w:firstRow="0" w:lastRow="0" w:firstColumn="0" w:lastColumn="0" w:oddVBand="0" w:evenVBand="0" w:oddHBand="0" w:evenHBand="1" w:firstRowFirstColumn="0" w:firstRowLastColumn="0" w:lastRowFirstColumn="0" w:lastRowLastColumn="0"/>
            </w:pPr>
            <w:r w:rsidRPr="00AD14DC">
              <w:t>0.43</w:t>
            </w:r>
          </w:p>
        </w:tc>
        <w:tc>
          <w:tcPr>
            <w:tcW w:w="1349" w:type="dxa"/>
            <w:tcBorders>
              <w:top w:val="nil"/>
              <w:left w:val="nil"/>
              <w:bottom w:val="nil"/>
              <w:right w:val="nil"/>
            </w:tcBorders>
            <w:vAlign w:val="top"/>
          </w:tcPr>
          <w:p w:rsidR="00AD14DC" w:rsidRPr="00AD14DC" w:rsidRDefault="00AD14DC" w:rsidP="00AD14DC">
            <w:pPr>
              <w:cnfStyle w:val="000000010000" w:firstRow="0" w:lastRow="0" w:firstColumn="0" w:lastColumn="0" w:oddVBand="0" w:evenVBand="0" w:oddHBand="0" w:evenHBand="1" w:firstRowFirstColumn="0" w:firstRowLastColumn="0" w:lastRowFirstColumn="0" w:lastRowLastColumn="0"/>
            </w:pPr>
            <w:r w:rsidRPr="00AD14DC">
              <w:t>0.43</w:t>
            </w:r>
          </w:p>
        </w:tc>
      </w:tr>
      <w:tr w:rsidR="00AD14DC" w:rsidRPr="009443A4" w:rsidTr="008D482C">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AD14DC" w:rsidRPr="00AD14DC" w:rsidRDefault="00AD14DC" w:rsidP="00AD14DC">
            <w:pPr>
              <w:rPr>
                <w:rStyle w:val="Strong"/>
              </w:rPr>
            </w:pPr>
            <w:r w:rsidRPr="00AD14DC">
              <w:rPr>
                <w:rStyle w:val="Strong"/>
              </w:rPr>
              <w:t>Difference</w:t>
            </w:r>
          </w:p>
        </w:tc>
        <w:tc>
          <w:tcPr>
            <w:tcW w:w="1348" w:type="dxa"/>
            <w:tcBorders>
              <w:top w:val="nil"/>
              <w:left w:val="nil"/>
              <w:bottom w:val="single" w:sz="4" w:space="0" w:color="365F91"/>
              <w:right w:val="nil"/>
            </w:tcBorders>
            <w:vAlign w:val="top"/>
          </w:tcPr>
          <w:p w:rsidR="00AD14DC" w:rsidRPr="00AD14DC" w:rsidRDefault="00AD14DC" w:rsidP="00AD14DC">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–2.12</w:t>
            </w:r>
          </w:p>
        </w:tc>
        <w:tc>
          <w:tcPr>
            <w:tcW w:w="1348" w:type="dxa"/>
            <w:tcBorders>
              <w:top w:val="nil"/>
              <w:left w:val="nil"/>
              <w:bottom w:val="single" w:sz="4" w:space="0" w:color="365F91"/>
              <w:right w:val="nil"/>
            </w:tcBorders>
            <w:vAlign w:val="top"/>
          </w:tcPr>
          <w:p w:rsidR="00AD14DC" w:rsidRPr="00AD14DC" w:rsidRDefault="00AD14DC" w:rsidP="00AD14DC">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–1.62</w:t>
            </w:r>
          </w:p>
        </w:tc>
        <w:tc>
          <w:tcPr>
            <w:tcW w:w="1349" w:type="dxa"/>
            <w:tcBorders>
              <w:top w:val="nil"/>
              <w:left w:val="nil"/>
              <w:bottom w:val="single" w:sz="4" w:space="0" w:color="365F91"/>
              <w:right w:val="nil"/>
            </w:tcBorders>
            <w:vAlign w:val="top"/>
          </w:tcPr>
          <w:p w:rsidR="00AD14DC" w:rsidRPr="00AD14DC" w:rsidRDefault="00AD14DC" w:rsidP="00AD14DC">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–1.53</w:t>
            </w:r>
          </w:p>
        </w:tc>
        <w:tc>
          <w:tcPr>
            <w:tcW w:w="1348" w:type="dxa"/>
            <w:tcBorders>
              <w:top w:val="nil"/>
              <w:left w:val="nil"/>
              <w:bottom w:val="single" w:sz="4" w:space="0" w:color="365F91"/>
              <w:right w:val="nil"/>
            </w:tcBorders>
            <w:vAlign w:val="top"/>
          </w:tcPr>
          <w:p w:rsidR="00AD14DC" w:rsidRPr="00AD14DC" w:rsidRDefault="00AD14DC" w:rsidP="00AD14DC">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–1.56</w:t>
            </w:r>
          </w:p>
        </w:tc>
        <w:tc>
          <w:tcPr>
            <w:tcW w:w="1349" w:type="dxa"/>
            <w:tcBorders>
              <w:top w:val="nil"/>
              <w:left w:val="nil"/>
              <w:bottom w:val="single" w:sz="4" w:space="0" w:color="365F91"/>
              <w:right w:val="nil"/>
            </w:tcBorders>
            <w:vAlign w:val="top"/>
          </w:tcPr>
          <w:p w:rsidR="00AD14DC" w:rsidRPr="00AD14DC" w:rsidRDefault="00AD14DC" w:rsidP="00AD14DC">
            <w:pPr>
              <w:cnfStyle w:val="000000000000" w:firstRow="0" w:lastRow="0" w:firstColumn="0" w:lastColumn="0" w:oddVBand="0" w:evenVBand="0" w:oddHBand="0" w:evenHBand="0" w:firstRowFirstColumn="0" w:firstRowLastColumn="0" w:lastRowFirstColumn="0" w:lastRowLastColumn="0"/>
              <w:rPr>
                <w:rStyle w:val="Strong"/>
              </w:rPr>
            </w:pPr>
            <w:r w:rsidRPr="005518C2">
              <w:rPr>
                <w:rStyle w:val="Strong"/>
              </w:rPr>
              <w:t>–1.57</w:t>
            </w:r>
          </w:p>
        </w:tc>
      </w:tr>
    </w:tbl>
    <w:p w:rsidR="00FD72A5" w:rsidRPr="00F00771" w:rsidRDefault="00FD72A5" w:rsidP="00FD72A5">
      <w:pPr>
        <w:pStyle w:val="AERtablesource"/>
      </w:pPr>
      <w:r w:rsidRPr="00F00771">
        <w:t>Source:</w:t>
      </w:r>
      <w:r w:rsidRPr="00F00771">
        <w:tab/>
        <w:t>AER analysis</w:t>
      </w:r>
      <w:r w:rsidR="00AD14DC">
        <w:t>;</w:t>
      </w:r>
      <w:r w:rsidR="00F646E5">
        <w:t xml:space="preserve"> AusNet Services, </w:t>
      </w:r>
      <w:r w:rsidR="000851EA" w:rsidRPr="000851EA">
        <w:rPr>
          <w:rStyle w:val="AERtextitalic"/>
        </w:rPr>
        <w:t>Revenue</w:t>
      </w:r>
      <w:r w:rsidR="00F646E5" w:rsidRPr="000851EA">
        <w:rPr>
          <w:rStyle w:val="AERtextitalic"/>
        </w:rPr>
        <w:t xml:space="preserve"> proposal</w:t>
      </w:r>
      <w:r w:rsidR="00F646E5">
        <w:t>, 30 October 2015, p. 125.</w:t>
      </w:r>
    </w:p>
    <w:p w:rsidR="00FD72A5" w:rsidRPr="00F00771" w:rsidRDefault="00FD72A5" w:rsidP="00FD72A5">
      <w:r>
        <w:t>The following factors drive t</w:t>
      </w:r>
      <w:r w:rsidRPr="00F00771">
        <w:t xml:space="preserve">he difference between our forecast rate of change and </w:t>
      </w:r>
      <w:r>
        <w:t>AusNet Services'</w:t>
      </w:r>
      <w:r w:rsidRPr="00F00771">
        <w:t>:</w:t>
      </w:r>
    </w:p>
    <w:p w:rsidR="00AE4E27" w:rsidRPr="00F7326E" w:rsidRDefault="00AE4E27" w:rsidP="00AE4E27">
      <w:pPr>
        <w:pStyle w:val="AERbulletlistfirststyle"/>
      </w:pPr>
      <w:r>
        <w:t>Aus</w:t>
      </w:r>
      <w:r w:rsidR="00A64F2B">
        <w:t>N</w:t>
      </w:r>
      <w:r>
        <w:t>et</w:t>
      </w:r>
      <w:r w:rsidRPr="00F7326E">
        <w:t xml:space="preserve"> Services'</w:t>
      </w:r>
      <w:r>
        <w:t xml:space="preserve"> forecast of labour price growth </w:t>
      </w:r>
      <w:r w:rsidRPr="00F7326E">
        <w:t>overstates the cost inputs required by a prudent and efficient DNSP in the forecast period.</w:t>
      </w:r>
      <w:r>
        <w:t xml:space="preserve"> This key reasons for this are:</w:t>
      </w:r>
    </w:p>
    <w:p w:rsidR="00AE4E27" w:rsidRPr="00AE4E27" w:rsidRDefault="00B47326" w:rsidP="00AE4E27">
      <w:pPr>
        <w:pStyle w:val="AERbulletlistsecondstyle"/>
      </w:pPr>
      <w:r>
        <w:t>AusN</w:t>
      </w:r>
      <w:r w:rsidR="00AE4E27">
        <w:t xml:space="preserve">et </w:t>
      </w:r>
      <w:r w:rsidR="00AE4E27" w:rsidRPr="00AE4E27">
        <w:t xml:space="preserve">Services forecasting approach treats all services contract expenditure as labour. This assumes that the price change of contractors' non-labour inputs is the same as their labour inputs.  We do not consider this is a reasonable assumption. </w:t>
      </w:r>
    </w:p>
    <w:p w:rsidR="00AE4E27" w:rsidRPr="00AE4E27" w:rsidRDefault="00B47326" w:rsidP="00AE4E27">
      <w:pPr>
        <w:pStyle w:val="AERbulletlistsecondstyle"/>
      </w:pPr>
      <w:r>
        <w:lastRenderedPageBreak/>
        <w:t>AusN</w:t>
      </w:r>
      <w:r w:rsidR="00AE4E27">
        <w:t xml:space="preserve">et </w:t>
      </w:r>
      <w:r w:rsidR="00AE4E27" w:rsidRPr="00AE4E27">
        <w:t>Services relies on outdated forecasts of WPI growth for the Victorian utilities industry that overstate the expected growth in labour prices.</w:t>
      </w:r>
    </w:p>
    <w:p w:rsidR="00AE4E27" w:rsidRDefault="00A64F2B" w:rsidP="00AE4E27">
      <w:pPr>
        <w:pStyle w:val="AERbulletlistfirststyle"/>
      </w:pPr>
      <w:r>
        <w:t>AusN</w:t>
      </w:r>
      <w:r w:rsidR="00AE4E27">
        <w:t xml:space="preserve">et Services' output growth forecast incorrectly assumes that the increase in opex due to output growth that occurs in the 2017–22 regulatory control period will be incurred by AusNet Services. Under existing arrangements, AEMO will </w:t>
      </w:r>
      <w:r w:rsidR="00AE4E27" w:rsidRPr="007725D9">
        <w:t>fund the operation and maintenance of new augmentation and connection assets</w:t>
      </w:r>
      <w:r w:rsidR="00AE4E27">
        <w:t xml:space="preserve"> during the 2017–22 regulatory control </w:t>
      </w:r>
      <w:proofErr w:type="gramStart"/>
      <w:r w:rsidR="00AE4E27">
        <w:t>period</w:t>
      </w:r>
      <w:proofErr w:type="gramEnd"/>
      <w:r w:rsidR="00AE4E27" w:rsidRPr="007725D9">
        <w:t>.</w:t>
      </w:r>
    </w:p>
    <w:p w:rsidR="00AE4E27" w:rsidRDefault="00A64F2B" w:rsidP="00AE4E27">
      <w:pPr>
        <w:pStyle w:val="AERbulletlistfirststyle"/>
      </w:pPr>
      <w:r>
        <w:t>AusN</w:t>
      </w:r>
      <w:r w:rsidR="00AE4E27" w:rsidRPr="007725D9">
        <w:t xml:space="preserve">et Services' </w:t>
      </w:r>
      <w:r w:rsidR="00AE4E27">
        <w:t xml:space="preserve">productivity </w:t>
      </w:r>
      <w:r w:rsidR="00AE4E27" w:rsidRPr="007725D9">
        <w:t xml:space="preserve">growth </w:t>
      </w:r>
      <w:r w:rsidR="00AE4E27">
        <w:t>r</w:t>
      </w:r>
      <w:r w:rsidR="00AE4E27" w:rsidRPr="00C54DFB">
        <w:t xml:space="preserve">elies on outdated forecasts of </w:t>
      </w:r>
      <w:r w:rsidR="00AE4E27">
        <w:t>productivity growth.</w:t>
      </w:r>
    </w:p>
    <w:p w:rsidR="00FD72A5" w:rsidRPr="00E47C52" w:rsidRDefault="00FD72A5" w:rsidP="00FD72A5">
      <w:r w:rsidRPr="00E47C52">
        <w:t xml:space="preserve">We outline our detailed assessment of the rate of change in appendix </w:t>
      </w:r>
      <w:r w:rsidR="00DB7DE6">
        <w:fldChar w:fldCharType="begin"/>
      </w:r>
      <w:r w:rsidR="00DB7DE6">
        <w:instrText xml:space="preserve"> REF _Ref453235964 \r \h </w:instrText>
      </w:r>
      <w:r w:rsidR="00DB7DE6">
        <w:fldChar w:fldCharType="separate"/>
      </w:r>
      <w:r w:rsidR="00740726">
        <w:t>B</w:t>
      </w:r>
      <w:r w:rsidR="00DB7DE6">
        <w:fldChar w:fldCharType="end"/>
      </w:r>
      <w:r w:rsidRPr="00E47C52">
        <w:t>.</w:t>
      </w:r>
    </w:p>
    <w:p w:rsidR="00FD72A5" w:rsidRDefault="00FD72A5" w:rsidP="00FD72A5">
      <w:pPr>
        <w:pStyle w:val="Heading3"/>
      </w:pPr>
      <w:bookmarkStart w:id="58" w:name="_Toc417052662"/>
      <w:bookmarkStart w:id="59" w:name="_Toc430784448"/>
      <w:bookmarkStart w:id="60" w:name="_Toc433629845"/>
      <w:bookmarkStart w:id="61" w:name="_Toc456601968"/>
      <w:r>
        <w:t>Step changes</w:t>
      </w:r>
      <w:bookmarkEnd w:id="58"/>
      <w:bookmarkEnd w:id="59"/>
      <w:bookmarkEnd w:id="60"/>
      <w:bookmarkEnd w:id="61"/>
    </w:p>
    <w:p w:rsidR="002E576E" w:rsidRPr="009621EA" w:rsidRDefault="002E576E" w:rsidP="002E576E">
      <w:r>
        <w:t>AusNet Services</w:t>
      </w:r>
      <w:r w:rsidRPr="004311F8">
        <w:t xml:space="preserve"> proposed </w:t>
      </w:r>
      <w:r>
        <w:t>six</w:t>
      </w:r>
      <w:r w:rsidRPr="004311F8">
        <w:t xml:space="preserve"> step changes to its base level of opex</w:t>
      </w:r>
      <w:r>
        <w:t>, totalling $13.5 million ($2016–17) or 2.7 per cent of its total opex forecast</w:t>
      </w:r>
      <w:r w:rsidRPr="004311F8">
        <w:t>.</w:t>
      </w:r>
      <w:r>
        <w:rPr>
          <w:rStyle w:val="FootnoteReference"/>
        </w:rPr>
        <w:footnoteReference w:id="30"/>
      </w:r>
      <w:r w:rsidRPr="004311F8">
        <w:t xml:space="preserve"> </w:t>
      </w:r>
      <w:r>
        <w:t>The</w:t>
      </w:r>
      <w:r w:rsidRPr="009621EA">
        <w:t xml:space="preserve"> </w:t>
      </w:r>
      <w:r>
        <w:t xml:space="preserve">proposed </w:t>
      </w:r>
      <w:r w:rsidRPr="009621EA">
        <w:t>step change</w:t>
      </w:r>
      <w:r>
        <w:t>s are</w:t>
      </w:r>
      <w:r w:rsidRPr="009621EA">
        <w:t xml:space="preserve"> </w:t>
      </w:r>
      <w:r>
        <w:t>to</w:t>
      </w:r>
      <w:r w:rsidRPr="009621EA">
        <w:t>:</w:t>
      </w:r>
    </w:p>
    <w:p w:rsidR="002E576E" w:rsidRPr="009621EA" w:rsidRDefault="002E576E" w:rsidP="002E576E">
      <w:pPr>
        <w:pStyle w:val="AERbulletlistfirststyle"/>
      </w:pPr>
      <w:r>
        <w:t>e</w:t>
      </w:r>
      <w:r w:rsidRPr="009621EA">
        <w:t>stab</w:t>
      </w:r>
      <w:r>
        <w:t>lish an IT security team</w:t>
      </w:r>
    </w:p>
    <w:p w:rsidR="002E576E" w:rsidRPr="009621EA" w:rsidRDefault="002E576E" w:rsidP="002E576E">
      <w:pPr>
        <w:pStyle w:val="AERbulletlistfirststyle"/>
      </w:pPr>
      <w:r>
        <w:t>implement n</w:t>
      </w:r>
      <w:r w:rsidRPr="009621EA">
        <w:t xml:space="preserve">ew </w:t>
      </w:r>
      <w:r>
        <w:t>emergency response arrangements</w:t>
      </w:r>
    </w:p>
    <w:p w:rsidR="002E576E" w:rsidRPr="009621EA" w:rsidRDefault="002E576E" w:rsidP="002E576E">
      <w:pPr>
        <w:pStyle w:val="AERbulletlistfirststyle"/>
      </w:pPr>
      <w:r>
        <w:t xml:space="preserve">roll out </w:t>
      </w:r>
      <w:r w:rsidRPr="009621EA">
        <w:t>Smart Aerial Image</w:t>
      </w:r>
      <w:r>
        <w:t xml:space="preserve"> Processing (SAIP) </w:t>
      </w:r>
    </w:p>
    <w:p w:rsidR="002E576E" w:rsidRDefault="00182440" w:rsidP="002E576E">
      <w:pPr>
        <w:pStyle w:val="AERbulletlistfirststyle"/>
      </w:pPr>
      <w:r>
        <w:t>lease</w:t>
      </w:r>
      <w:r w:rsidR="002E576E">
        <w:t xml:space="preserve"> a </w:t>
      </w:r>
      <w:r>
        <w:t xml:space="preserve">mobile switchboard  for </w:t>
      </w:r>
      <w:r w:rsidR="002E576E">
        <w:t>West Melbourne Terminal Station (</w:t>
      </w:r>
      <w:r w:rsidR="002E576E" w:rsidRPr="009621EA">
        <w:t>WMTS</w:t>
      </w:r>
      <w:r w:rsidR="002E576E">
        <w:t xml:space="preserve">) </w:t>
      </w:r>
    </w:p>
    <w:p w:rsidR="002E576E" w:rsidRPr="009621EA" w:rsidRDefault="002E576E" w:rsidP="002E576E">
      <w:pPr>
        <w:pStyle w:val="AERbulletlistfirststyle"/>
      </w:pPr>
      <w:r>
        <w:t>decommission synchronous condensers</w:t>
      </w:r>
      <w:r w:rsidRPr="009621EA">
        <w:t xml:space="preserve"> at </w:t>
      </w:r>
      <w:r>
        <w:t xml:space="preserve">the </w:t>
      </w:r>
      <w:proofErr w:type="spellStart"/>
      <w:r w:rsidRPr="009621EA">
        <w:t>Fishermans</w:t>
      </w:r>
      <w:proofErr w:type="spellEnd"/>
      <w:r w:rsidRPr="009621EA">
        <w:t xml:space="preserve"> Bend</w:t>
      </w:r>
      <w:r>
        <w:t xml:space="preserve">, Brooklyn </w:t>
      </w:r>
      <w:r w:rsidRPr="009621EA">
        <w:t xml:space="preserve"> and Temples</w:t>
      </w:r>
      <w:r>
        <w:t xml:space="preserve">towe Terminal Stations </w:t>
      </w:r>
    </w:p>
    <w:p w:rsidR="002E576E" w:rsidRDefault="002E576E" w:rsidP="002E576E">
      <w:pPr>
        <w:pStyle w:val="AERbulletlistfirststyle"/>
      </w:pPr>
      <w:proofErr w:type="gramStart"/>
      <w:r>
        <w:t>decommission</w:t>
      </w:r>
      <w:proofErr w:type="gramEnd"/>
      <w:r>
        <w:t xml:space="preserve"> t</w:t>
      </w:r>
      <w:r w:rsidRPr="009621EA">
        <w:t>ransmission assets at Morwell Power Station (MPS).</w:t>
      </w:r>
    </w:p>
    <w:p w:rsidR="00315B86" w:rsidRDefault="00315B86" w:rsidP="00315B86">
      <w:r>
        <w:t xml:space="preserve">We have </w:t>
      </w:r>
      <w:r w:rsidR="00B81A80">
        <w:t xml:space="preserve">not </w:t>
      </w:r>
      <w:r>
        <w:t>included</w:t>
      </w:r>
      <w:r w:rsidR="00B81A80">
        <w:t xml:space="preserve"> </w:t>
      </w:r>
      <w:r w:rsidR="00C711DC">
        <w:t xml:space="preserve">these </w:t>
      </w:r>
      <w:r>
        <w:t>step changes</w:t>
      </w:r>
      <w:r w:rsidRPr="008E7D9C">
        <w:t xml:space="preserve"> </w:t>
      </w:r>
      <w:r>
        <w:t>in our dra</w:t>
      </w:r>
      <w:r w:rsidR="00B81A80">
        <w:t xml:space="preserve">ft decision total opex forecast. </w:t>
      </w:r>
      <w:r w:rsidR="009A25C2">
        <w:t>W</w:t>
      </w:r>
      <w:r w:rsidR="002E576E">
        <w:t xml:space="preserve">e </w:t>
      </w:r>
      <w:r w:rsidR="009A25C2">
        <w:t xml:space="preserve">are not satisfied </w:t>
      </w:r>
      <w:r w:rsidR="00124B33">
        <w:t>these proposed cost increases above the base level opex (escalated by the rate of change) are required in order to arrive at a forecast of total opex that reasonably reflects the opex criteria.</w:t>
      </w:r>
      <w:r w:rsidR="00C711DC">
        <w:rPr>
          <w:rStyle w:val="FootnoteReference"/>
        </w:rPr>
        <w:footnoteReference w:id="31"/>
      </w:r>
      <w:r w:rsidR="00C711DC">
        <w:t xml:space="preserve"> </w:t>
      </w:r>
    </w:p>
    <w:p w:rsidR="00FD72A5" w:rsidRDefault="00FD72A5" w:rsidP="00FD72A5">
      <w:pPr>
        <w:pStyle w:val="Heading3"/>
      </w:pPr>
      <w:bookmarkStart w:id="62" w:name="_Ref433111132"/>
      <w:bookmarkStart w:id="63" w:name="_Toc433629846"/>
      <w:bookmarkStart w:id="64" w:name="_Toc456601969"/>
      <w:bookmarkStart w:id="65" w:name="_Toc417052663"/>
      <w:bookmarkStart w:id="66" w:name="_Toc430784449"/>
      <w:r>
        <w:t>Other costs not included in the base year</w:t>
      </w:r>
      <w:bookmarkEnd w:id="62"/>
      <w:bookmarkEnd w:id="63"/>
      <w:bookmarkEnd w:id="64"/>
    </w:p>
    <w:bookmarkEnd w:id="65"/>
    <w:bookmarkEnd w:id="66"/>
    <w:p w:rsidR="009A229B" w:rsidRDefault="009A229B" w:rsidP="009A229B">
      <w:r>
        <w:t>We have included the following category specific forecasts</w:t>
      </w:r>
      <w:r w:rsidRPr="008E7D9C">
        <w:t xml:space="preserve"> </w:t>
      </w:r>
      <w:r>
        <w:t>in our draft decision total opex forecast:</w:t>
      </w:r>
    </w:p>
    <w:p w:rsidR="009A229B" w:rsidRDefault="0025226E" w:rsidP="009A229B">
      <w:pPr>
        <w:pStyle w:val="AERbulletlistfirststyle"/>
      </w:pPr>
      <w:r>
        <w:t>e</w:t>
      </w:r>
      <w:r w:rsidR="009A229B">
        <w:t>asement land tax</w:t>
      </w:r>
    </w:p>
    <w:p w:rsidR="00D218B3" w:rsidRDefault="00D218B3" w:rsidP="009A229B">
      <w:pPr>
        <w:pStyle w:val="AERbulletlistfirststyle"/>
      </w:pPr>
      <w:r>
        <w:t xml:space="preserve">group 3 </w:t>
      </w:r>
      <w:r w:rsidR="00B47326">
        <w:t xml:space="preserve">asset </w:t>
      </w:r>
      <w:r>
        <w:t>roll in</w:t>
      </w:r>
    </w:p>
    <w:p w:rsidR="009A229B" w:rsidRDefault="00B81A80" w:rsidP="009A229B">
      <w:pPr>
        <w:pStyle w:val="AERbulletlistfirststyle"/>
      </w:pPr>
      <w:proofErr w:type="gramStart"/>
      <w:r>
        <w:t>debt</w:t>
      </w:r>
      <w:proofErr w:type="gramEnd"/>
      <w:r>
        <w:t xml:space="preserve"> raising costs</w:t>
      </w:r>
      <w:r w:rsidR="0025226E">
        <w:t>.</w:t>
      </w:r>
    </w:p>
    <w:p w:rsidR="00142192" w:rsidRDefault="009A229B" w:rsidP="009A229B">
      <w:r>
        <w:lastRenderedPageBreak/>
        <w:t>We discuss our forecast of eas</w:t>
      </w:r>
      <w:r w:rsidR="00142192">
        <w:t>e</w:t>
      </w:r>
      <w:r>
        <w:t>ment land tax</w:t>
      </w:r>
      <w:r w:rsidR="00A20AEB">
        <w:t xml:space="preserve"> and</w:t>
      </w:r>
      <w:r w:rsidR="00D218B3">
        <w:t xml:space="preserve"> group 3 </w:t>
      </w:r>
      <w:r w:rsidR="00B47326">
        <w:t xml:space="preserve">asset </w:t>
      </w:r>
      <w:r w:rsidR="00D218B3">
        <w:t>roll in</w:t>
      </w:r>
      <w:r w:rsidR="00A20AEB">
        <w:t>,</w:t>
      </w:r>
      <w:r w:rsidR="00D218B3">
        <w:t xml:space="preserve"> </w:t>
      </w:r>
      <w:r>
        <w:t>in appendix</w:t>
      </w:r>
      <w:r w:rsidR="00D218B3">
        <w:t xml:space="preserve"> </w:t>
      </w:r>
      <w:r w:rsidR="00D218B3">
        <w:fldChar w:fldCharType="begin"/>
      </w:r>
      <w:r w:rsidR="00D218B3">
        <w:instrText xml:space="preserve"> REF _Ref452735124 \r \h </w:instrText>
      </w:r>
      <w:r w:rsidR="00D218B3">
        <w:fldChar w:fldCharType="separate"/>
      </w:r>
      <w:r w:rsidR="00740726">
        <w:t>A</w:t>
      </w:r>
      <w:r w:rsidR="00D218B3">
        <w:fldChar w:fldCharType="end"/>
      </w:r>
      <w:r w:rsidRPr="009A229B">
        <w:t>.</w:t>
      </w:r>
      <w:r>
        <w:t xml:space="preserve"> </w:t>
      </w:r>
    </w:p>
    <w:p w:rsidR="009A229B" w:rsidRPr="009A229B" w:rsidRDefault="00142192" w:rsidP="009A229B">
      <w:r w:rsidRPr="00BC4DFC">
        <w:rPr>
          <w:rStyle w:val="AERbody"/>
        </w:rPr>
        <w:t xml:space="preserve">Debt raising costs are transaction costs incurred each time debt is raised or refinanced. Our assessment approach </w:t>
      </w:r>
      <w:r>
        <w:rPr>
          <w:rStyle w:val="AERbody"/>
        </w:rPr>
        <w:t xml:space="preserve">for debt raising costs </w:t>
      </w:r>
      <w:r w:rsidRPr="00BC4DFC">
        <w:rPr>
          <w:rStyle w:val="AERbody"/>
        </w:rPr>
        <w:t xml:space="preserve">and the reasons for </w:t>
      </w:r>
      <w:r>
        <w:rPr>
          <w:rStyle w:val="AERbody"/>
        </w:rPr>
        <w:t>our</w:t>
      </w:r>
      <w:r w:rsidRPr="00BC4DFC">
        <w:rPr>
          <w:rStyle w:val="AERbody"/>
        </w:rPr>
        <w:t xml:space="preserve"> fore</w:t>
      </w:r>
      <w:r>
        <w:rPr>
          <w:rStyle w:val="AERbody"/>
        </w:rPr>
        <w:t>cast</w:t>
      </w:r>
      <w:r w:rsidRPr="00BC4DFC">
        <w:rPr>
          <w:rStyle w:val="AERbody"/>
        </w:rPr>
        <w:t xml:space="preserve"> are set out in the debt and equity raising </w:t>
      </w:r>
      <w:r w:rsidRPr="008A63FD">
        <w:t>costs appendix in the rate of return</w:t>
      </w:r>
      <w:r>
        <w:rPr>
          <w:rStyle w:val="AERbody"/>
        </w:rPr>
        <w:t xml:space="preserve"> </w:t>
      </w:r>
      <w:r w:rsidR="009A229B">
        <w:t>attachment 3.</w:t>
      </w:r>
    </w:p>
    <w:p w:rsidR="00FD72A5" w:rsidRPr="00404C59" w:rsidRDefault="00FD72A5" w:rsidP="00FD72A5">
      <w:pPr>
        <w:pStyle w:val="Heading3"/>
      </w:pPr>
      <w:bookmarkStart w:id="67" w:name="_Toc417052664"/>
      <w:bookmarkStart w:id="68" w:name="_Toc430784450"/>
      <w:bookmarkStart w:id="69" w:name="_Toc433629847"/>
      <w:bookmarkStart w:id="70" w:name="_Toc456601970"/>
      <w:r w:rsidRPr="00B01771">
        <w:t>Interrelationships</w:t>
      </w:r>
      <w:bookmarkEnd w:id="67"/>
      <w:bookmarkEnd w:id="68"/>
      <w:bookmarkEnd w:id="69"/>
      <w:bookmarkEnd w:id="70"/>
    </w:p>
    <w:p w:rsidR="00FD72A5" w:rsidRPr="00DA1745" w:rsidRDefault="00FD72A5" w:rsidP="002C1039">
      <w:pPr>
        <w:numPr>
          <w:ilvl w:val="0"/>
          <w:numId w:val="24"/>
        </w:numPr>
      </w:pPr>
      <w:r w:rsidRPr="00DA1745">
        <w:t xml:space="preserve">In assessing </w:t>
      </w:r>
      <w:r>
        <w:t>AusNet Services'</w:t>
      </w:r>
      <w:r w:rsidRPr="00DA1745">
        <w:t xml:space="preserve"> total forecast opex we took into account other components of its </w:t>
      </w:r>
      <w:r w:rsidR="000851EA">
        <w:t>revenue</w:t>
      </w:r>
      <w:r w:rsidRPr="00DA1745">
        <w:t xml:space="preserve"> proposal, including:</w:t>
      </w:r>
    </w:p>
    <w:p w:rsidR="00FD72A5" w:rsidRDefault="00FD72A5" w:rsidP="00FD72A5">
      <w:pPr>
        <w:pStyle w:val="AERbulletlistfirststyle"/>
      </w:pPr>
      <w:r w:rsidRPr="003D79AA">
        <w:t>the operation of the EBSS in the 20</w:t>
      </w:r>
      <w:r w:rsidR="00C95108">
        <w:t>14–17</w:t>
      </w:r>
      <w:r w:rsidRPr="003D79AA">
        <w:t xml:space="preserve"> regulatory </w:t>
      </w:r>
      <w:r>
        <w:t>control period, which provided AusNet Services</w:t>
      </w:r>
      <w:r w:rsidRPr="003D79AA">
        <w:t xml:space="preserve"> an incen</w:t>
      </w:r>
      <w:r>
        <w:t>tive to reduce opex in the 2014</w:t>
      </w:r>
      <w:r w:rsidR="00C95108">
        <w:t>–15</w:t>
      </w:r>
      <w:r>
        <w:t xml:space="preserve"> base year </w:t>
      </w:r>
      <w:r w:rsidRPr="003D79AA">
        <w:t xml:space="preserve"> </w:t>
      </w:r>
    </w:p>
    <w:p w:rsidR="00DA3009" w:rsidRDefault="00DA3009" w:rsidP="00FD72A5">
      <w:pPr>
        <w:pStyle w:val="AERbulletlistfirststyle"/>
      </w:pPr>
      <w:r>
        <w:t xml:space="preserve">the roll in of </w:t>
      </w:r>
      <w:r w:rsidR="00124B33">
        <w:t xml:space="preserve">assets identified by AusNet Services as </w:t>
      </w:r>
      <w:r>
        <w:t>group 3 assets, which affects both the opening asset base and our category specific forecast for the group 3 roll in</w:t>
      </w:r>
    </w:p>
    <w:p w:rsidR="00FD72A5" w:rsidRPr="00404C59" w:rsidRDefault="00FD72A5" w:rsidP="00FD72A5">
      <w:pPr>
        <w:pStyle w:val="AERbulletlistfirststyle"/>
      </w:pPr>
      <w:proofErr w:type="gramStart"/>
      <w:r>
        <w:t>t</w:t>
      </w:r>
      <w:r w:rsidRPr="00404C59">
        <w:t>he</w:t>
      </w:r>
      <w:proofErr w:type="gramEnd"/>
      <w:r w:rsidRPr="00404C59">
        <w:t xml:space="preserve"> impact of cost drivers that affect both forecast opex and forecast capex. For instance forecast </w:t>
      </w:r>
      <w:r w:rsidR="00D218B3">
        <w:t>labour price growth</w:t>
      </w:r>
      <w:r w:rsidRPr="00404C59">
        <w:t xml:space="preserve"> affects forecast capex and </w:t>
      </w:r>
      <w:r w:rsidR="00DA3009">
        <w:t xml:space="preserve">our forecast of </w:t>
      </w:r>
      <w:r w:rsidRPr="00404C59">
        <w:t xml:space="preserve">forecast </w:t>
      </w:r>
      <w:r w:rsidR="00D218B3">
        <w:t>price</w:t>
      </w:r>
      <w:r w:rsidRPr="00404C59">
        <w:t xml:space="preserve"> growth used </w:t>
      </w:r>
      <w:r w:rsidR="00DA3009">
        <w:t>to</w:t>
      </w:r>
      <w:r w:rsidRPr="00404C59">
        <w:t xml:space="preserve"> estimat</w:t>
      </w:r>
      <w:r w:rsidR="00DA3009">
        <w:t>e</w:t>
      </w:r>
      <w:r w:rsidRPr="00404C59">
        <w:t xml:space="preserve"> the rate of change </w:t>
      </w:r>
      <w:r>
        <w:t>in opex</w:t>
      </w:r>
    </w:p>
    <w:p w:rsidR="00FD72A5" w:rsidRPr="00404C59" w:rsidRDefault="00FD72A5" w:rsidP="00FD72A5">
      <w:pPr>
        <w:pStyle w:val="AERbulletlistfirststyle"/>
      </w:pPr>
      <w:r>
        <w:t>the approach to</w:t>
      </w:r>
      <w:r w:rsidRPr="00404C59">
        <w:t xml:space="preserve"> assessing the rate of return, to ensure there is consistency between our determination of debt raising costs and the</w:t>
      </w:r>
      <w:r>
        <w:t xml:space="preserve"> rate of return building block</w:t>
      </w:r>
    </w:p>
    <w:p w:rsidR="00FD72A5" w:rsidRDefault="00FD72A5" w:rsidP="00FD72A5">
      <w:pPr>
        <w:pStyle w:val="AERbulletlistfirststyle"/>
      </w:pPr>
      <w:proofErr w:type="gramStart"/>
      <w:r>
        <w:t>c</w:t>
      </w:r>
      <w:r w:rsidRPr="003D79AA">
        <w:t>oncerns</w:t>
      </w:r>
      <w:proofErr w:type="gramEnd"/>
      <w:r w:rsidRPr="003D79AA">
        <w:t xml:space="preserve"> of electricity consumers identified in the course of its engagement with consumers.</w:t>
      </w:r>
    </w:p>
    <w:p w:rsidR="00FD72A5" w:rsidRPr="00404C59" w:rsidRDefault="00FD72A5" w:rsidP="00FD72A5">
      <w:pPr>
        <w:pStyle w:val="Heading3"/>
      </w:pPr>
      <w:bookmarkStart w:id="71" w:name="_Toc417052665"/>
      <w:bookmarkStart w:id="72" w:name="_Toc430784451"/>
      <w:bookmarkStart w:id="73" w:name="_Toc433629848"/>
      <w:bookmarkStart w:id="74" w:name="_Toc456601971"/>
      <w:r w:rsidRPr="00B01771">
        <w:t>Assessment of opex factors</w:t>
      </w:r>
      <w:bookmarkEnd w:id="71"/>
      <w:bookmarkEnd w:id="72"/>
      <w:bookmarkEnd w:id="73"/>
      <w:bookmarkEnd w:id="74"/>
    </w:p>
    <w:p w:rsidR="00FD72A5" w:rsidRPr="006E14B0" w:rsidRDefault="00FD72A5" w:rsidP="002C1039">
      <w:pPr>
        <w:numPr>
          <w:ilvl w:val="0"/>
          <w:numId w:val="24"/>
        </w:numPr>
      </w:pPr>
      <w:r>
        <w:t xml:space="preserve">In deciding whether we are satisfied </w:t>
      </w:r>
      <w:r w:rsidRPr="008F796D">
        <w:t>the service provider's forecast reasonably reflects the opex criteria we have regard to the opex factors.</w:t>
      </w:r>
      <w:r w:rsidRPr="008F796D">
        <w:rPr>
          <w:rStyle w:val="FootnoteReference"/>
        </w:rPr>
        <w:footnoteReference w:id="32"/>
      </w:r>
      <w:r w:rsidRPr="008F796D">
        <w:t xml:space="preserve"> </w:t>
      </w:r>
      <w:r>
        <w:fldChar w:fldCharType="begin"/>
      </w:r>
      <w:r>
        <w:instrText xml:space="preserve"> REF _Ref403981656 \h </w:instrText>
      </w:r>
      <w:r>
        <w:fldChar w:fldCharType="separate"/>
      </w:r>
      <w:r w:rsidR="00740726">
        <w:t xml:space="preserve">Table </w:t>
      </w:r>
      <w:r w:rsidR="00740726">
        <w:rPr>
          <w:noProof/>
        </w:rPr>
        <w:t>7</w:t>
      </w:r>
      <w:r w:rsidR="00740726">
        <w:t>.</w:t>
      </w:r>
      <w:r w:rsidR="00740726">
        <w:rPr>
          <w:noProof/>
        </w:rPr>
        <w:t>4</w:t>
      </w:r>
      <w:r>
        <w:fldChar w:fldCharType="end"/>
      </w:r>
      <w:r>
        <w:t xml:space="preserve"> summarises how we have taken the opex factors into account in making our preliminary decision.</w:t>
      </w:r>
    </w:p>
    <w:p w:rsidR="00FD72A5" w:rsidRDefault="00FD72A5" w:rsidP="00FD72A5">
      <w:pPr>
        <w:pStyle w:val="Caption"/>
      </w:pPr>
      <w:bookmarkStart w:id="75" w:name="_Ref403981656"/>
      <w:proofErr w:type="gramStart"/>
      <w:r>
        <w:t xml:space="preserve">Table </w:t>
      </w:r>
      <w:fldSimple w:instr=" STYLEREF 1 \s ">
        <w:r w:rsidR="00740726">
          <w:rPr>
            <w:noProof/>
          </w:rPr>
          <w:t>7</w:t>
        </w:r>
      </w:fldSimple>
      <w:r w:rsidR="006D1232">
        <w:t>.</w:t>
      </w:r>
      <w:proofErr w:type="gramEnd"/>
      <w:r w:rsidR="00740726">
        <w:fldChar w:fldCharType="begin"/>
      </w:r>
      <w:r w:rsidR="00740726">
        <w:instrText xml:space="preserve"> SEQ Table \* ARABIC \s 1 </w:instrText>
      </w:r>
      <w:r w:rsidR="00740726">
        <w:fldChar w:fldCharType="separate"/>
      </w:r>
      <w:r w:rsidR="00740726">
        <w:rPr>
          <w:noProof/>
        </w:rPr>
        <w:t>4</w:t>
      </w:r>
      <w:r w:rsidR="00740726">
        <w:rPr>
          <w:noProof/>
        </w:rPr>
        <w:fldChar w:fldCharType="end"/>
      </w:r>
      <w:bookmarkEnd w:id="75"/>
      <w:r>
        <w:tab/>
        <w:t>AER consideration of opex factors</w:t>
      </w:r>
    </w:p>
    <w:tbl>
      <w:tblPr>
        <w:tblStyle w:val="AERtable-text0"/>
        <w:tblW w:w="0" w:type="auto"/>
        <w:tblLook w:val="04A0" w:firstRow="1" w:lastRow="0" w:firstColumn="1" w:lastColumn="0" w:noHBand="0" w:noVBand="1"/>
      </w:tblPr>
      <w:tblGrid>
        <w:gridCol w:w="4344"/>
        <w:gridCol w:w="4349"/>
      </w:tblGrid>
      <w:tr w:rsidR="00FD72A5" w:rsidRPr="008946FF" w:rsidTr="008D482C">
        <w:trPr>
          <w:cnfStyle w:val="100000000000" w:firstRow="1" w:lastRow="0" w:firstColumn="0" w:lastColumn="0" w:oddVBand="0" w:evenVBand="0" w:oddHBand="0" w:evenHBand="0" w:firstRowFirstColumn="0" w:firstRowLastColumn="0" w:lastRowFirstColumn="0" w:lastRowLastColumn="0"/>
          <w:tblHeader/>
        </w:trPr>
        <w:tc>
          <w:tcPr>
            <w:tcW w:w="4621" w:type="dxa"/>
          </w:tcPr>
          <w:p w:rsidR="00FD72A5" w:rsidRPr="00FD72A5" w:rsidRDefault="00FD72A5" w:rsidP="00FD72A5">
            <w:r w:rsidRPr="008946FF">
              <w:t>Opex factor</w:t>
            </w:r>
          </w:p>
        </w:tc>
        <w:tc>
          <w:tcPr>
            <w:tcW w:w="4621" w:type="dxa"/>
          </w:tcPr>
          <w:p w:rsidR="00FD72A5" w:rsidRPr="00FD72A5" w:rsidRDefault="00FD72A5" w:rsidP="00FD72A5">
            <w:r w:rsidRPr="008946FF">
              <w:t>Consideration</w:t>
            </w:r>
          </w:p>
        </w:tc>
      </w:tr>
      <w:tr w:rsidR="00FD72A5" w:rsidRPr="008946FF" w:rsidTr="008D482C">
        <w:tc>
          <w:tcPr>
            <w:tcW w:w="4621" w:type="dxa"/>
          </w:tcPr>
          <w:p w:rsidR="00FD72A5" w:rsidRPr="00FD72A5" w:rsidRDefault="00FD72A5" w:rsidP="00F606C0">
            <w:r w:rsidRPr="008946FF">
              <w:t xml:space="preserve">The most recent annual benchmarking report that has been published under rule </w:t>
            </w:r>
            <w:r w:rsidR="00F606C0">
              <w:t xml:space="preserve">6A.31 </w:t>
            </w:r>
            <w:r w:rsidRPr="008946FF">
              <w:t>and the benchmark operating expenditure that would be incurred by an efficient network service provider over the relevant regulatory control period.</w:t>
            </w:r>
          </w:p>
        </w:tc>
        <w:tc>
          <w:tcPr>
            <w:tcW w:w="4621" w:type="dxa"/>
          </w:tcPr>
          <w:p w:rsidR="00FD72A5" w:rsidRPr="00FD72A5" w:rsidRDefault="00FD72A5" w:rsidP="00FD72A5">
            <w:r w:rsidRPr="008946FF">
              <w:t xml:space="preserve">There are two elements to this factor. First, we must have regard to the most recent annual benchmarking report. Second, we must have regard to the benchmark operating expenditure that would be incurred by an efficient </w:t>
            </w:r>
            <w:r w:rsidR="00B97CEF">
              <w:t>transmission</w:t>
            </w:r>
            <w:r w:rsidRPr="008946FF">
              <w:t xml:space="preserve"> network service provider over the period. The annual benchmarking report is intended to provide an annual snapshot of the relative efficiency of each service provider.  </w:t>
            </w:r>
          </w:p>
          <w:p w:rsidR="00FD72A5" w:rsidRPr="00FD72A5" w:rsidRDefault="00FD72A5" w:rsidP="00FD72A5">
            <w:r w:rsidRPr="008946FF">
              <w:t xml:space="preserve">The second element, that is, the benchmark operating </w:t>
            </w:r>
            <w:r w:rsidRPr="008946FF">
              <w:lastRenderedPageBreak/>
              <w:t xml:space="preserve">expenditure that would be incurred an </w:t>
            </w:r>
            <w:r w:rsidRPr="00FD72A5">
              <w:t>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FD72A5" w:rsidRPr="00FD72A5" w:rsidRDefault="00FD72A5" w:rsidP="00756CD9">
            <w:r w:rsidRPr="008946FF">
              <w:t>We have estimate</w:t>
            </w:r>
            <w:r w:rsidR="00756CD9">
              <w:t>d</w:t>
            </w:r>
            <w:r w:rsidRPr="008946FF">
              <w:t xml:space="preserve"> the benchmark opex that an efficient service provider would require over the forecast period. We have used our judgment </w:t>
            </w:r>
            <w:r w:rsidR="00756CD9">
              <w:t>to</w:t>
            </w:r>
            <w:r w:rsidRPr="008946FF">
              <w:t xml:space="preserve"> form a view on the efficiency of </w:t>
            </w:r>
            <w:r w:rsidRPr="00FD72A5">
              <w:t>AusNet Services' proposed total forecast opex compared to the benchmark efficient opex that would be incurred over the relevant regulatory control period.</w:t>
            </w:r>
          </w:p>
        </w:tc>
      </w:tr>
      <w:tr w:rsidR="00FD72A5"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D72A5" w:rsidRPr="00FD72A5" w:rsidRDefault="00FD72A5" w:rsidP="00C95108">
            <w:r w:rsidRPr="008946FF">
              <w:lastRenderedPageBreak/>
              <w:t xml:space="preserve">The actual and expected operating expenditure of the </w:t>
            </w:r>
            <w:r w:rsidR="00C95108">
              <w:t>transmission network service p</w:t>
            </w:r>
            <w:r w:rsidRPr="008946FF">
              <w:t xml:space="preserve">rovider during any proceeding regulatory </w:t>
            </w:r>
            <w:r w:rsidRPr="00FD72A5">
              <w:t>control periods.</w:t>
            </w:r>
          </w:p>
        </w:tc>
        <w:tc>
          <w:tcPr>
            <w:tcW w:w="4621" w:type="dxa"/>
          </w:tcPr>
          <w:p w:rsidR="00FD72A5" w:rsidRPr="00FD72A5" w:rsidRDefault="00FD72A5" w:rsidP="00FD72A5">
            <w:r w:rsidRPr="008946FF">
              <w:t xml:space="preserve">Our forecasting approach uses the service provider's actual opex as the starting point. We have compared several years of </w:t>
            </w:r>
            <w:r w:rsidRPr="00FD72A5">
              <w:t>AusNet Services' actual past opex with that of other service providers to form a view about whether or not its revealed expenditure is sufficiently efficient to rely on it as the basis for forecasting required opex in the forthcoming period.</w:t>
            </w:r>
          </w:p>
        </w:tc>
      </w:tr>
      <w:tr w:rsidR="00FD72A5" w:rsidRPr="008946FF" w:rsidTr="008D482C">
        <w:tc>
          <w:tcPr>
            <w:tcW w:w="4621" w:type="dxa"/>
          </w:tcPr>
          <w:p w:rsidR="00FD72A5" w:rsidRPr="00FD72A5" w:rsidRDefault="00FD72A5" w:rsidP="00C95108">
            <w:r w:rsidRPr="008946FF">
              <w:t>The extent to which the operating expenditure forecast includes expenditure to address the concerns of electricity consumers as identified by the Network Service Provider in the course of its engagement with electricity consumers.</w:t>
            </w:r>
          </w:p>
        </w:tc>
        <w:tc>
          <w:tcPr>
            <w:tcW w:w="4621" w:type="dxa"/>
          </w:tcPr>
          <w:p w:rsidR="00FD72A5" w:rsidRPr="00FD72A5" w:rsidRDefault="00FD72A5" w:rsidP="00FD72A5">
            <w:r w:rsidRPr="008946FF">
              <w:t xml:space="preserve">We understand the intention of this particular factor is to require us to have regard to the extent to which service providers have engaged </w:t>
            </w:r>
            <w:r w:rsidRPr="00FD72A5">
              <w:t xml:space="preserve">with consumers in preparing their </w:t>
            </w:r>
            <w:r w:rsidR="000851EA">
              <w:t>revenue</w:t>
            </w:r>
            <w:r w:rsidRPr="00FD72A5">
              <w:t xml:space="preserve"> proposals, such that they factor in the needs of consumers.</w:t>
            </w:r>
            <w:r w:rsidRPr="00FD72A5">
              <w:rPr>
                <w:rStyle w:val="AERsuperscript"/>
              </w:rPr>
              <w:footnoteReference w:id="33"/>
            </w:r>
            <w:r w:rsidRPr="00FD72A5">
              <w:rPr>
                <w:rStyle w:val="AERsuperscript"/>
              </w:rPr>
              <w:t xml:space="preserve"> </w:t>
            </w:r>
          </w:p>
          <w:p w:rsidR="00FD72A5" w:rsidRPr="008946FF" w:rsidRDefault="00FD72A5" w:rsidP="00FD72A5"/>
        </w:tc>
      </w:tr>
      <w:tr w:rsidR="00FD72A5"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D72A5" w:rsidRPr="00FD72A5" w:rsidRDefault="00FD72A5" w:rsidP="00FD72A5">
            <w:r w:rsidRPr="008946FF">
              <w:t>The relative prices of capital and operating inputs</w:t>
            </w:r>
          </w:p>
        </w:tc>
        <w:tc>
          <w:tcPr>
            <w:tcW w:w="4621" w:type="dxa"/>
          </w:tcPr>
          <w:p w:rsidR="00FD72A5" w:rsidRPr="00FD72A5" w:rsidRDefault="00FD72A5" w:rsidP="00FD72A5">
            <w:r w:rsidRPr="008946FF">
              <w:t xml:space="preserve">We have considered capex/opex trade-offs in considering </w:t>
            </w:r>
            <w:r w:rsidRPr="00FD72A5">
              <w:t xml:space="preserve">AusNet Services' proposed step changes. </w:t>
            </w:r>
          </w:p>
          <w:p w:rsidR="00FD72A5" w:rsidRPr="00FD72A5" w:rsidRDefault="00FD72A5" w:rsidP="00FD72A5">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FD72A5" w:rsidRPr="008946FF" w:rsidTr="008D482C">
        <w:tc>
          <w:tcPr>
            <w:tcW w:w="4621" w:type="dxa"/>
          </w:tcPr>
          <w:p w:rsidR="00FD72A5" w:rsidRPr="00FD72A5" w:rsidRDefault="00FD72A5" w:rsidP="00FD72A5">
            <w:r w:rsidRPr="008946FF">
              <w:t>The substitution possibilities between operating and capital expenditure.</w:t>
            </w:r>
          </w:p>
        </w:tc>
        <w:tc>
          <w:tcPr>
            <w:tcW w:w="4621" w:type="dxa"/>
          </w:tcPr>
          <w:p w:rsidR="00FD72A5" w:rsidRPr="00FD72A5" w:rsidRDefault="00FD72A5" w:rsidP="00FD72A5">
            <w:r w:rsidRPr="008946FF">
              <w:t>Some of our assessment techniques examine opex in isolation</w:t>
            </w:r>
            <w:r w:rsidRPr="00FD72A5">
              <w:t xml:space="preserve">—either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FD72A5" w:rsidRPr="00FD72A5" w:rsidRDefault="00FD72A5" w:rsidP="00FD72A5">
            <w:r w:rsidRPr="008946FF">
              <w:t>In developing our benchmarking models we have had regard to the relationship between capital, opex and outputs.</w:t>
            </w:r>
          </w:p>
          <w:p w:rsidR="00FD72A5" w:rsidRPr="00FD72A5" w:rsidRDefault="00FD72A5" w:rsidP="00FD72A5">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FD72A5" w:rsidRPr="00FD72A5" w:rsidRDefault="00FD72A5" w:rsidP="00FD72A5">
            <w:r w:rsidRPr="008946FF">
              <w:lastRenderedPageBreak/>
              <w:t>Further, we considered the different capitalisation policies of the service providers' and how this may affect opex performance under benchmarking.</w:t>
            </w:r>
          </w:p>
        </w:tc>
      </w:tr>
      <w:tr w:rsidR="00FD72A5"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D72A5" w:rsidRPr="00FD72A5" w:rsidRDefault="00FD72A5" w:rsidP="00334312">
            <w:r w:rsidRPr="008946FF">
              <w:lastRenderedPageBreak/>
              <w:t xml:space="preserve">Whether the operating expenditure forecast is consistent with any incentive scheme or schemes that apply to the </w:t>
            </w:r>
            <w:r w:rsidR="00C95108">
              <w:t>network service p</w:t>
            </w:r>
            <w:r w:rsidRPr="008946FF">
              <w:t xml:space="preserve">rovider under clauses </w:t>
            </w:r>
            <w:r w:rsidR="00B97CEF" w:rsidRPr="00B97CEF">
              <w:t>6A.6.5, 6A.7.4 or 6A.7.5</w:t>
            </w:r>
            <w:r w:rsidRPr="008946FF">
              <w:t>.</w:t>
            </w:r>
          </w:p>
        </w:tc>
        <w:tc>
          <w:tcPr>
            <w:tcW w:w="4621" w:type="dxa"/>
          </w:tcPr>
          <w:p w:rsidR="00FD72A5" w:rsidRPr="00FD72A5" w:rsidRDefault="00FD72A5" w:rsidP="00FD72A5">
            <w:r w:rsidRPr="008946FF">
              <w:t xml:space="preserve">The incentive scheme that applied to </w:t>
            </w:r>
            <w:r w:rsidRPr="00FD72A5">
              <w:t>AusNet Services'</w:t>
            </w:r>
            <w:r w:rsidR="00C95108">
              <w:t xml:space="preserve"> opex in the 2014–17</w:t>
            </w:r>
            <w:r w:rsidRPr="00FD72A5">
              <w:t xml:space="preserve"> regulatory control period, the EBSS, was intended to work in conjunction with a revealed cost forecasting approach.</w:t>
            </w:r>
          </w:p>
          <w:p w:rsidR="00FD72A5" w:rsidRPr="00FD72A5" w:rsidRDefault="00FD72A5" w:rsidP="00FD72A5">
            <w:r w:rsidRPr="008946FF">
              <w:t xml:space="preserve">We have applied our estimate of base opex consistently in applying the EBSS and forecasting </w:t>
            </w:r>
            <w:r w:rsidRPr="00FD72A5">
              <w:t>AusNet Services'</w:t>
            </w:r>
            <w:r w:rsidR="00F606C0">
              <w:t xml:space="preserve"> opex for the 2017–22</w:t>
            </w:r>
            <w:r w:rsidRPr="00FD72A5">
              <w:t xml:space="preserve"> regulatory control </w:t>
            </w:r>
            <w:proofErr w:type="gramStart"/>
            <w:r w:rsidRPr="00FD72A5">
              <w:t>period</w:t>
            </w:r>
            <w:proofErr w:type="gramEnd"/>
            <w:r w:rsidRPr="00FD72A5">
              <w:t>.</w:t>
            </w:r>
          </w:p>
        </w:tc>
      </w:tr>
      <w:tr w:rsidR="00FD72A5" w:rsidRPr="008946FF" w:rsidTr="008D482C">
        <w:tc>
          <w:tcPr>
            <w:tcW w:w="4621" w:type="dxa"/>
          </w:tcPr>
          <w:p w:rsidR="00FD72A5" w:rsidRPr="00FD72A5" w:rsidRDefault="00FD72A5" w:rsidP="00F606C0">
            <w:r w:rsidRPr="008946FF">
              <w:t xml:space="preserve">The extent the operating expenditure forecast is </w:t>
            </w:r>
            <w:proofErr w:type="spellStart"/>
            <w:r w:rsidRPr="008946FF">
              <w:t>referable</w:t>
            </w:r>
            <w:proofErr w:type="spellEnd"/>
            <w:r w:rsidRPr="00FD72A5">
              <w:t xml:space="preserve"> to arrangements with a person other than the </w:t>
            </w:r>
            <w:r w:rsidR="00F606C0">
              <w:t>network service p</w:t>
            </w:r>
            <w:r w:rsidRPr="00FD72A5">
              <w:t>rovider that, in the opinion of the AER, do not reflect arm's length terms.</w:t>
            </w:r>
          </w:p>
        </w:tc>
        <w:tc>
          <w:tcPr>
            <w:tcW w:w="4621" w:type="dxa"/>
          </w:tcPr>
          <w:p w:rsidR="00FD72A5" w:rsidRPr="00FD72A5" w:rsidRDefault="00FD72A5" w:rsidP="00124B33">
            <w:r w:rsidRPr="008946FF">
              <w:t xml:space="preserve">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t>
            </w:r>
            <w:r w:rsidR="00124B33">
              <w:t>that</w:t>
            </w:r>
            <w:r w:rsidR="00124B33" w:rsidRPr="008946FF">
              <w:t xml:space="preserve"> </w:t>
            </w:r>
            <w:r w:rsidRPr="008946FF">
              <w:t>does not use related party providers. If a service provider is inefficient, we adjust their total forecast opex proposal, regardless of their arrangements with related providers.</w:t>
            </w:r>
          </w:p>
        </w:tc>
      </w:tr>
      <w:tr w:rsidR="00FD72A5"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D72A5" w:rsidRPr="00FD72A5" w:rsidRDefault="00FD72A5" w:rsidP="00FD72A5">
            <w:r w:rsidRPr="008946FF">
              <w:t xml:space="preserve">Whether the operating expenditure forecast includes an amount relating to a project that should more appropriately be included as a </w:t>
            </w:r>
            <w:r w:rsidR="008D0193">
              <w:t xml:space="preserve">contingent project under clause </w:t>
            </w:r>
            <w:proofErr w:type="gramStart"/>
            <w:r w:rsidRPr="008946FF">
              <w:t>6A.</w:t>
            </w:r>
            <w:r w:rsidR="008D0193">
              <w:t>8.</w:t>
            </w:r>
            <w:r w:rsidRPr="008946FF">
              <w:t>1(</w:t>
            </w:r>
            <w:proofErr w:type="gramEnd"/>
            <w:r w:rsidRPr="008946FF">
              <w:t>b).</w:t>
            </w:r>
          </w:p>
        </w:tc>
        <w:tc>
          <w:tcPr>
            <w:tcW w:w="4621" w:type="dxa"/>
          </w:tcPr>
          <w:p w:rsidR="00FD72A5" w:rsidRPr="00FD72A5" w:rsidRDefault="00FD72A5" w:rsidP="00FD72A5">
            <w:r w:rsidRPr="008946FF">
              <w:t>This factor is only relevant in the context of assessing proposed step changes (which may be explicit projects or programs). We did not identify any contingent projects in reaching our preliminary decision.</w:t>
            </w:r>
          </w:p>
        </w:tc>
      </w:tr>
      <w:tr w:rsidR="003E6F56" w:rsidRPr="008946FF" w:rsidTr="008D482C">
        <w:tc>
          <w:tcPr>
            <w:tcW w:w="4621" w:type="dxa"/>
          </w:tcPr>
          <w:p w:rsidR="003E6F56" w:rsidRPr="008946FF" w:rsidRDefault="003E6F56" w:rsidP="00FD72A5">
            <w:r>
              <w:t>T</w:t>
            </w:r>
            <w:r w:rsidRPr="003E6F56">
              <w:t>he most recent NTNDP and any submissions made by AEMO, in accordance with the</w:t>
            </w:r>
            <w:r>
              <w:t xml:space="preserve"> Rules, on the forecast of the transmission network service </w:t>
            </w:r>
            <w:proofErr w:type="gramStart"/>
            <w:r>
              <w:t>p</w:t>
            </w:r>
            <w:r w:rsidRPr="003E6F56">
              <w:t>rovider’s</w:t>
            </w:r>
            <w:proofErr w:type="gramEnd"/>
            <w:r w:rsidRPr="003E6F56">
              <w:t xml:space="preserve"> required operating expenditure</w:t>
            </w:r>
            <w:r>
              <w:t>.</w:t>
            </w:r>
          </w:p>
        </w:tc>
        <w:tc>
          <w:tcPr>
            <w:tcW w:w="4621" w:type="dxa"/>
          </w:tcPr>
          <w:p w:rsidR="002F6DC6" w:rsidRPr="002F6DC6" w:rsidRDefault="002F6DC6" w:rsidP="002F6DC6">
            <w:r w:rsidRPr="002F6DC6">
              <w:t xml:space="preserve">We examined these factors and took them into account in considering whether the proposed total forecast opex reasonably reflects the opex criteria. </w:t>
            </w:r>
          </w:p>
          <w:p w:rsidR="003E6F56" w:rsidRPr="008946FF" w:rsidRDefault="003E6F56" w:rsidP="00304D66"/>
        </w:tc>
      </w:tr>
      <w:tr w:rsidR="00FD72A5"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D72A5" w:rsidRPr="00FD72A5" w:rsidRDefault="00FD72A5" w:rsidP="00F606C0">
            <w:r w:rsidRPr="008946FF">
              <w:t xml:space="preserve">The extent the </w:t>
            </w:r>
            <w:r w:rsidR="00F606C0">
              <w:t>network service p</w:t>
            </w:r>
            <w:r w:rsidRPr="008946FF">
              <w:t>rovider has considered, and made provision for, efficient and prudent non-network alternatives.</w:t>
            </w:r>
          </w:p>
        </w:tc>
        <w:tc>
          <w:tcPr>
            <w:tcW w:w="4621" w:type="dxa"/>
          </w:tcPr>
          <w:p w:rsidR="00FD72A5" w:rsidRPr="00FD72A5" w:rsidRDefault="00FD72A5" w:rsidP="00FD72A5">
            <w:r w:rsidRPr="008946FF">
              <w:t xml:space="preserve">We have not found this factor to be significant in reaching our preliminary decision. </w:t>
            </w:r>
          </w:p>
        </w:tc>
      </w:tr>
      <w:tr w:rsidR="00FB70EF" w:rsidRPr="008946FF" w:rsidTr="008D482C">
        <w:tc>
          <w:tcPr>
            <w:tcW w:w="4621" w:type="dxa"/>
          </w:tcPr>
          <w:p w:rsidR="00FB70EF" w:rsidRPr="008946FF" w:rsidRDefault="003E6F56" w:rsidP="00F606C0">
            <w:r w:rsidRPr="0027538E">
              <w:t>Any relevant project assessment conclusions report required under 5.16.4.</w:t>
            </w:r>
          </w:p>
        </w:tc>
        <w:tc>
          <w:tcPr>
            <w:tcW w:w="4621" w:type="dxa"/>
          </w:tcPr>
          <w:p w:rsidR="00304D66" w:rsidRPr="00304D66" w:rsidRDefault="00304D66" w:rsidP="00304D66">
            <w:r w:rsidRPr="00304D66">
              <w:t xml:space="preserve">We identified any RIT–T project that has been submitted by the </w:t>
            </w:r>
            <w:r>
              <w:t>AusNet Services</w:t>
            </w:r>
            <w:r w:rsidRPr="00304D66">
              <w:t xml:space="preserve"> and ensured that the conclusions were appropriately addressed in the total forecast opex. </w:t>
            </w:r>
          </w:p>
          <w:p w:rsidR="00FB70EF" w:rsidRPr="008946FF" w:rsidRDefault="00304D66" w:rsidP="00304D66">
            <w:r w:rsidRPr="00304D66">
              <w:t xml:space="preserve">We are unaware of any RIT–T project being submitted by </w:t>
            </w:r>
            <w:r>
              <w:t>AusNet Services</w:t>
            </w:r>
            <w:r w:rsidRPr="00304D66">
              <w:t xml:space="preserve">. </w:t>
            </w:r>
          </w:p>
        </w:tc>
      </w:tr>
      <w:tr w:rsidR="00FB70EF" w:rsidRPr="008946FF" w:rsidTr="008D482C">
        <w:trPr>
          <w:cnfStyle w:val="000000010000" w:firstRow="0" w:lastRow="0" w:firstColumn="0" w:lastColumn="0" w:oddVBand="0" w:evenVBand="0" w:oddHBand="0" w:evenHBand="1" w:firstRowFirstColumn="0" w:firstRowLastColumn="0" w:lastRowFirstColumn="0" w:lastRowLastColumn="0"/>
        </w:trPr>
        <w:tc>
          <w:tcPr>
            <w:tcW w:w="4621" w:type="dxa"/>
          </w:tcPr>
          <w:p w:rsidR="00FB70EF" w:rsidRPr="008946FF" w:rsidRDefault="003E6F56" w:rsidP="00F606C0">
            <w:r w:rsidRPr="0027538E">
              <w:t xml:space="preserve">Any other factor the AER considers relevant and which the AER has notified the </w:t>
            </w:r>
            <w:r w:rsidRPr="003E6F56">
              <w:t>service provider in writing, prior to the submission of its revised Revenue Proposal under 6A.12.3, is an operating expenditure factor.</w:t>
            </w:r>
          </w:p>
        </w:tc>
        <w:tc>
          <w:tcPr>
            <w:tcW w:w="4621" w:type="dxa"/>
          </w:tcPr>
          <w:p w:rsidR="00FB70EF" w:rsidRPr="008946FF" w:rsidRDefault="00304D66" w:rsidP="00304D66">
            <w:r w:rsidRPr="00304D66">
              <w:t xml:space="preserve">We have used our benchmarking data sets including, but not necessarily limited to data contained in any economic benchmarking RIN, category analysis RIN, reset RIN or annual reporting RIN. </w:t>
            </w:r>
          </w:p>
        </w:tc>
      </w:tr>
    </w:tbl>
    <w:p w:rsidR="00FD72A5" w:rsidRDefault="00FD72A5" w:rsidP="00FD72A5">
      <w:pPr>
        <w:pStyle w:val="AERtablesource"/>
      </w:pPr>
      <w:r>
        <w:t xml:space="preserve">Source: </w:t>
      </w:r>
      <w:r>
        <w:tab/>
        <w:t>AER analysis.</w:t>
      </w:r>
    </w:p>
    <w:p w:rsidR="00FD72A5" w:rsidRDefault="00FD72A5" w:rsidP="00FD72A5"/>
    <w:p w:rsidR="00FD72A5" w:rsidRPr="00E47C52" w:rsidRDefault="00FD72A5" w:rsidP="00FD72A5">
      <w:r>
        <w:br w:type="page"/>
      </w:r>
    </w:p>
    <w:p w:rsidR="00FD72A5" w:rsidRPr="00304D66" w:rsidRDefault="00304D66" w:rsidP="00AD14DC">
      <w:pPr>
        <w:pStyle w:val="Heading7"/>
        <w:rPr>
          <w:rStyle w:val="AERbody"/>
          <w:color w:val="70635A"/>
          <w:sz w:val="36"/>
        </w:rPr>
      </w:pPr>
      <w:bookmarkStart w:id="76" w:name="_Ref452735124"/>
      <w:bookmarkStart w:id="77" w:name="_Toc456601972"/>
      <w:r w:rsidRPr="00304D66">
        <w:rPr>
          <w:rStyle w:val="AERbody"/>
          <w:color w:val="70635A"/>
          <w:sz w:val="36"/>
        </w:rPr>
        <w:lastRenderedPageBreak/>
        <w:t xml:space="preserve">Base </w:t>
      </w:r>
      <w:bookmarkEnd w:id="76"/>
      <w:r w:rsidR="00AD14DC" w:rsidRPr="005B3340">
        <w:rPr>
          <w:rStyle w:val="AERbody"/>
          <w:color w:val="70635A"/>
          <w:sz w:val="36"/>
        </w:rPr>
        <w:t>o</w:t>
      </w:r>
      <w:r w:rsidR="00AD14DC" w:rsidRPr="00304D66">
        <w:rPr>
          <w:rStyle w:val="AERbody"/>
          <w:color w:val="70635A"/>
          <w:sz w:val="36"/>
        </w:rPr>
        <w:t>pex</w:t>
      </w:r>
      <w:bookmarkEnd w:id="77"/>
    </w:p>
    <w:p w:rsidR="006256FE" w:rsidRPr="00034966" w:rsidRDefault="006256FE" w:rsidP="006256FE">
      <w:r w:rsidRPr="00034966">
        <w:t>As opex is relatively recurrent, we typically forecast based on a single year of opex. We call this the base opex amount. In this section, we set out our assessment of AusNet Services' base opex.</w:t>
      </w:r>
    </w:p>
    <w:p w:rsidR="006256FE" w:rsidRPr="00034966" w:rsidRDefault="006256FE" w:rsidP="006256FE">
      <w:pPr>
        <w:pStyle w:val="Heading8"/>
      </w:pPr>
      <w:bookmarkStart w:id="78" w:name="_Toc428282151"/>
      <w:bookmarkStart w:id="79" w:name="_Toc433629850"/>
      <w:bookmarkStart w:id="80" w:name="_Toc456601973"/>
      <w:bookmarkStart w:id="81" w:name="_Toc411244133"/>
      <w:bookmarkStart w:id="82" w:name="_Toc417052667"/>
      <w:r w:rsidRPr="00034966">
        <w:t>Position</w:t>
      </w:r>
      <w:bookmarkEnd w:id="78"/>
      <w:bookmarkEnd w:id="79"/>
      <w:bookmarkEnd w:id="80"/>
    </w:p>
    <w:p w:rsidR="006256FE" w:rsidRDefault="006256FE" w:rsidP="006256FE">
      <w:r w:rsidRPr="009E70C8">
        <w:t xml:space="preserve">To form our alternative opex forecast we have used a forecast based on </w:t>
      </w:r>
      <w:r>
        <w:t>AusNet Services' actual opex in 2014–15</w:t>
      </w:r>
      <w:r w:rsidRPr="009E70C8">
        <w:t xml:space="preserve">.  </w:t>
      </w:r>
    </w:p>
    <w:p w:rsidR="006256FE" w:rsidRPr="00034966" w:rsidRDefault="006256FE" w:rsidP="006256FE">
      <w:pPr>
        <w:rPr>
          <w:rStyle w:val="AERbody"/>
        </w:rPr>
      </w:pPr>
      <w:r>
        <w:rPr>
          <w:rStyle w:val="AERbody"/>
        </w:rPr>
        <w:t>W</w:t>
      </w:r>
      <w:r w:rsidRPr="00034966">
        <w:rPr>
          <w:rStyle w:val="AERbody"/>
        </w:rPr>
        <w:t xml:space="preserve">e </w:t>
      </w:r>
      <w:r>
        <w:rPr>
          <w:rStyle w:val="AERbody"/>
        </w:rPr>
        <w:t>adjusted opex to</w:t>
      </w:r>
      <w:r w:rsidRPr="00034966">
        <w:rPr>
          <w:rStyle w:val="AERbody"/>
        </w:rPr>
        <w:t>:</w:t>
      </w:r>
    </w:p>
    <w:p w:rsidR="006256FE" w:rsidRDefault="00714518" w:rsidP="006256FE">
      <w:pPr>
        <w:pStyle w:val="AERbulletlistfirststyle"/>
        <w:rPr>
          <w:rStyle w:val="AERbody"/>
        </w:rPr>
      </w:pPr>
      <w:r>
        <w:rPr>
          <w:rStyle w:val="AERbody"/>
        </w:rPr>
        <w:t xml:space="preserve">remove </w:t>
      </w:r>
      <w:r w:rsidR="006256FE" w:rsidRPr="00034966">
        <w:rPr>
          <w:rStyle w:val="AERbody"/>
        </w:rPr>
        <w:t xml:space="preserve">movements in provisions </w:t>
      </w:r>
    </w:p>
    <w:p w:rsidR="006256FE" w:rsidRDefault="00714518" w:rsidP="006256FE">
      <w:pPr>
        <w:pStyle w:val="AERbulletlistfirststyle"/>
        <w:rPr>
          <w:rStyle w:val="AERbody"/>
        </w:rPr>
      </w:pPr>
      <w:r>
        <w:rPr>
          <w:rStyle w:val="AERbody"/>
        </w:rPr>
        <w:t xml:space="preserve">remove </w:t>
      </w:r>
      <w:r w:rsidR="006256FE">
        <w:rPr>
          <w:rStyle w:val="AERbody"/>
        </w:rPr>
        <w:t>debt raising costs</w:t>
      </w:r>
    </w:p>
    <w:p w:rsidR="006256FE" w:rsidRDefault="00714518" w:rsidP="006256FE">
      <w:pPr>
        <w:pStyle w:val="AERbulletlistfirststyle"/>
        <w:rPr>
          <w:rStyle w:val="AERbody"/>
        </w:rPr>
      </w:pPr>
      <w:r>
        <w:rPr>
          <w:rStyle w:val="AERbody"/>
        </w:rPr>
        <w:t xml:space="preserve">remove </w:t>
      </w:r>
      <w:r w:rsidR="006256FE">
        <w:rPr>
          <w:rStyle w:val="AERbody"/>
        </w:rPr>
        <w:t>easement land tax</w:t>
      </w:r>
    </w:p>
    <w:p w:rsidR="006256FE" w:rsidRDefault="00714518" w:rsidP="006256FE">
      <w:pPr>
        <w:pStyle w:val="AERbulletlistfirststyle"/>
        <w:rPr>
          <w:rStyle w:val="AERbody"/>
        </w:rPr>
      </w:pPr>
      <w:r>
        <w:t xml:space="preserve">remove </w:t>
      </w:r>
      <w:r w:rsidR="006256FE">
        <w:t>t</w:t>
      </w:r>
      <w:r w:rsidR="006256FE" w:rsidRPr="00A90041">
        <w:t>he costs of priority projects approved under the network ca</w:t>
      </w:r>
      <w:r w:rsidR="006256FE">
        <w:t>pability component of STPI</w:t>
      </w:r>
      <w:r w:rsidR="006256FE">
        <w:rPr>
          <w:rStyle w:val="AERbody"/>
        </w:rPr>
        <w:t>S</w:t>
      </w:r>
    </w:p>
    <w:p w:rsidR="006256FE" w:rsidRPr="00034966" w:rsidRDefault="00714518" w:rsidP="006256FE">
      <w:pPr>
        <w:pStyle w:val="AERbulletlistfirststyle"/>
        <w:rPr>
          <w:rStyle w:val="AERbody"/>
        </w:rPr>
      </w:pPr>
      <w:proofErr w:type="gramStart"/>
      <w:r>
        <w:rPr>
          <w:rStyle w:val="AERbody"/>
        </w:rPr>
        <w:t>remove</w:t>
      </w:r>
      <w:proofErr w:type="gramEnd"/>
      <w:r>
        <w:rPr>
          <w:rStyle w:val="AERbody"/>
        </w:rPr>
        <w:t xml:space="preserve"> </w:t>
      </w:r>
      <w:r w:rsidR="00A20AEB">
        <w:rPr>
          <w:rStyle w:val="AERbody"/>
        </w:rPr>
        <w:t xml:space="preserve">the </w:t>
      </w:r>
      <w:r w:rsidR="006256FE">
        <w:rPr>
          <w:rStyle w:val="AERbody"/>
        </w:rPr>
        <w:t xml:space="preserve">AIS rebate. </w:t>
      </w:r>
    </w:p>
    <w:p w:rsidR="006256FE" w:rsidRPr="00182440" w:rsidRDefault="006256FE" w:rsidP="00182440">
      <w:pPr>
        <w:pStyle w:val="AERbulletlistfirststyle"/>
        <w:numPr>
          <w:ilvl w:val="0"/>
          <w:numId w:val="0"/>
        </w:numPr>
        <w:rPr>
          <w:rStyle w:val="AERbody"/>
        </w:rPr>
      </w:pPr>
      <w:r w:rsidRPr="00182440">
        <w:rPr>
          <w:rStyle w:val="AERbody"/>
        </w:rPr>
        <w:t xml:space="preserve">We then added our forecast increase in opex between 2014–15 and 2016–17. </w:t>
      </w:r>
    </w:p>
    <w:p w:rsidR="006256FE" w:rsidRPr="00182440" w:rsidRDefault="006256FE" w:rsidP="00182440">
      <w:pPr>
        <w:pStyle w:val="AERbulletlistfirststyle"/>
        <w:numPr>
          <w:ilvl w:val="0"/>
          <w:numId w:val="0"/>
        </w:numPr>
        <w:ind w:left="357" w:hanging="357"/>
        <w:rPr>
          <w:rStyle w:val="AERbody"/>
        </w:rPr>
      </w:pPr>
      <w:r w:rsidRPr="00182440">
        <w:rPr>
          <w:rStyle w:val="AERbody"/>
        </w:rPr>
        <w:t>The resulting base opex amount is $</w:t>
      </w:r>
      <w:r w:rsidR="00F039ED">
        <w:rPr>
          <w:rStyle w:val="AERbody"/>
        </w:rPr>
        <w:t>87.8</w:t>
      </w:r>
      <w:r w:rsidRPr="00182440">
        <w:rPr>
          <w:rStyle w:val="AERbody"/>
        </w:rPr>
        <w:t xml:space="preserve"> million ($2016–17).</w:t>
      </w:r>
    </w:p>
    <w:p w:rsidR="006256FE" w:rsidRPr="00034966" w:rsidRDefault="007432F1" w:rsidP="006256FE">
      <w:pPr>
        <w:pStyle w:val="Heading8"/>
      </w:pPr>
      <w:bookmarkStart w:id="83" w:name="_Toc428282152"/>
      <w:bookmarkStart w:id="84" w:name="_Toc433629851"/>
      <w:bookmarkStart w:id="85" w:name="_Toc456601974"/>
      <w:r>
        <w:t>AusNet Services</w:t>
      </w:r>
      <w:r w:rsidR="005518C2">
        <w:t>'</w:t>
      </w:r>
      <w:r>
        <w:t xml:space="preserve"> </w:t>
      </w:r>
      <w:r w:rsidR="00AD14DC">
        <w:t>p</w:t>
      </w:r>
      <w:r w:rsidR="006256FE" w:rsidRPr="00034966">
        <w:t>roposal</w:t>
      </w:r>
      <w:bookmarkEnd w:id="83"/>
      <w:bookmarkEnd w:id="84"/>
      <w:bookmarkEnd w:id="85"/>
    </w:p>
    <w:p w:rsidR="006256FE" w:rsidRPr="00034966" w:rsidRDefault="006256FE" w:rsidP="006256FE">
      <w:r w:rsidRPr="00034966">
        <w:t xml:space="preserve">AusNet Services proposed a base opex amount </w:t>
      </w:r>
      <w:r w:rsidRPr="00A07CBF">
        <w:t>of $</w:t>
      </w:r>
      <w:r>
        <w:t>83.7 million ($2016–17)</w:t>
      </w:r>
      <w:r w:rsidRPr="00A07CBF">
        <w:t xml:space="preserve"> </w:t>
      </w:r>
      <w:r w:rsidRPr="00034966">
        <w:t>based on its actual opex in 2014</w:t>
      </w:r>
      <w:r>
        <w:t>–15</w:t>
      </w:r>
      <w:r w:rsidRPr="00034966">
        <w:t xml:space="preserve">. It </w:t>
      </w:r>
      <w:r>
        <w:t>adjusted</w:t>
      </w:r>
      <w:r w:rsidRPr="00034966">
        <w:t xml:space="preserve"> </w:t>
      </w:r>
      <w:r>
        <w:t xml:space="preserve">its </w:t>
      </w:r>
      <w:r w:rsidRPr="00034966">
        <w:t>actual opex in 2014</w:t>
      </w:r>
      <w:r>
        <w:t>–15 to</w:t>
      </w:r>
      <w:r w:rsidRPr="00034966">
        <w:t>:</w:t>
      </w:r>
    </w:p>
    <w:p w:rsidR="006256FE" w:rsidRPr="00034966" w:rsidRDefault="006256FE" w:rsidP="006256FE">
      <w:pPr>
        <w:pStyle w:val="AERbulletlistfirststyle"/>
      </w:pPr>
      <w:r w:rsidRPr="00034966">
        <w:t>remove movements in provisions in 2014</w:t>
      </w:r>
      <w:r w:rsidR="00182440">
        <w:t>–15</w:t>
      </w:r>
    </w:p>
    <w:p w:rsidR="006256FE" w:rsidRDefault="006256FE" w:rsidP="006256FE">
      <w:pPr>
        <w:pStyle w:val="AERbulletlistfirststyle"/>
      </w:pPr>
      <w:r w:rsidRPr="00034966">
        <w:t xml:space="preserve">remove opex where </w:t>
      </w:r>
      <w:r>
        <w:t>it</w:t>
      </w:r>
      <w:r w:rsidRPr="00034966">
        <w:t xml:space="preserve"> adopted a category specific forecasting approach</w:t>
      </w:r>
      <w:r>
        <w:t xml:space="preserve"> for easement land tax, insurance and self-insurance</w:t>
      </w:r>
    </w:p>
    <w:p w:rsidR="00714518" w:rsidRDefault="00714518" w:rsidP="006256FE">
      <w:pPr>
        <w:pStyle w:val="AERbulletlistfirststyle"/>
      </w:pPr>
      <w:r>
        <w:t>remove the AIS rebate</w:t>
      </w:r>
    </w:p>
    <w:p w:rsidR="006256FE" w:rsidRDefault="006256FE" w:rsidP="006256FE">
      <w:pPr>
        <w:pStyle w:val="AERbulletlistfirststyle"/>
      </w:pPr>
      <w:proofErr w:type="gramStart"/>
      <w:r>
        <w:t>add</w:t>
      </w:r>
      <w:proofErr w:type="gramEnd"/>
      <w:r>
        <w:t xml:space="preserve"> back debt raising costs.</w:t>
      </w:r>
    </w:p>
    <w:p w:rsidR="006256FE" w:rsidRPr="000F402C" w:rsidRDefault="006256FE" w:rsidP="006256FE">
      <w:pPr>
        <w:rPr>
          <w:rStyle w:val="AERbody"/>
        </w:rPr>
      </w:pPr>
      <w:r>
        <w:rPr>
          <w:rStyle w:val="AERbody"/>
        </w:rPr>
        <w:t xml:space="preserve">AusNet Services then </w:t>
      </w:r>
      <w:r w:rsidRPr="000F402C">
        <w:rPr>
          <w:rStyle w:val="AERbody"/>
        </w:rPr>
        <w:t>estimated 2016–17 opex by applying its proposed rate of change for the 2017–22 regulatory control period.</w:t>
      </w:r>
    </w:p>
    <w:p w:rsidR="006256FE" w:rsidRPr="00034966" w:rsidRDefault="006256FE" w:rsidP="006256FE">
      <w:pPr>
        <w:pStyle w:val="Heading8"/>
      </w:pPr>
      <w:bookmarkStart w:id="86" w:name="_Toc428282153"/>
      <w:bookmarkStart w:id="87" w:name="_Toc433629852"/>
      <w:bookmarkStart w:id="88" w:name="_Toc456601975"/>
      <w:r w:rsidRPr="00034966">
        <w:t>Assessment approach</w:t>
      </w:r>
      <w:bookmarkEnd w:id="86"/>
      <w:bookmarkEnd w:id="87"/>
      <w:bookmarkEnd w:id="88"/>
      <w:r w:rsidRPr="00034966">
        <w:t xml:space="preserve"> </w:t>
      </w:r>
    </w:p>
    <w:p w:rsidR="006256FE" w:rsidRPr="00034966" w:rsidRDefault="006256FE" w:rsidP="006256FE">
      <w:pPr>
        <w:numPr>
          <w:ilvl w:val="0"/>
          <w:numId w:val="24"/>
        </w:numPr>
      </w:pPr>
      <w:r w:rsidRPr="00034966">
        <w:t xml:space="preserve">In the </w:t>
      </w:r>
      <w:r w:rsidRPr="00034966">
        <w:rPr>
          <w:rStyle w:val="AERbody"/>
        </w:rPr>
        <w:t>Guideline</w:t>
      </w:r>
      <w:r w:rsidRPr="00034966">
        <w:t xml:space="preserve">, we explain that a 'revealed cost' approach is our preferred approach to assessing base opex. If actual expenditure in the base year reasonably reflects the opex criteria, we will set base opex equal to actual expenditure for those cost categories forecast using the revealed cost approach. </w:t>
      </w:r>
    </w:p>
    <w:p w:rsidR="006256FE" w:rsidRPr="00034966" w:rsidRDefault="006256FE" w:rsidP="006256FE">
      <w:pPr>
        <w:numPr>
          <w:ilvl w:val="0"/>
          <w:numId w:val="24"/>
        </w:numPr>
      </w:pPr>
      <w:r w:rsidRPr="00034966">
        <w:t>We will use a combination of techniques to assess whether base opex reasonably reflects the opex criteria. This includes economic benchmarking</w:t>
      </w:r>
      <w:r>
        <w:t xml:space="preserve"> and</w:t>
      </w:r>
      <w:r w:rsidRPr="00034966">
        <w:t xml:space="preserve"> partial </w:t>
      </w:r>
      <w:r w:rsidRPr="00034966">
        <w:lastRenderedPageBreak/>
        <w:t>performance indicators.</w:t>
      </w:r>
      <w:r w:rsidRPr="00383D5F">
        <w:t xml:space="preserve"> </w:t>
      </w:r>
      <w:r w:rsidRPr="00034966">
        <w:t>Benchmarking broadly refers to the practice of comparing the economic performance of a group of service providers that all provide the same service as a means of assessing their relative performance</w:t>
      </w:r>
      <w:r>
        <w:t xml:space="preserve">. </w:t>
      </w:r>
      <w:r w:rsidRPr="00034966">
        <w:t xml:space="preserve">If our economic benchmarking indicates a service provider's base year opex is materially inefficient, our approach is to complement our benchmarking findings with other analysis such as </w:t>
      </w:r>
      <w:r>
        <w:t>partial performance indicators (</w:t>
      </w:r>
      <w:r w:rsidRPr="00034966">
        <w:t>PPIs</w:t>
      </w:r>
      <w:r>
        <w:t xml:space="preserve">) </w:t>
      </w:r>
      <w:r w:rsidRPr="00034966">
        <w:t>and detailed review.</w:t>
      </w:r>
    </w:p>
    <w:p w:rsidR="006256FE" w:rsidRPr="00034966" w:rsidRDefault="006256FE" w:rsidP="006256FE">
      <w:pPr>
        <w:numPr>
          <w:ilvl w:val="0"/>
          <w:numId w:val="24"/>
        </w:numPr>
      </w:pPr>
      <w:r w:rsidRPr="00034966">
        <w:t>Where a service provider proposes adjustments to base opex then we assess whether those adjustments would lead to a total opex forecast that reasonably reflects the opex criteria.</w:t>
      </w:r>
    </w:p>
    <w:p w:rsidR="006256FE" w:rsidRDefault="006256FE" w:rsidP="006256FE">
      <w:pPr>
        <w:pStyle w:val="Heading8"/>
      </w:pPr>
      <w:bookmarkStart w:id="89" w:name="_Toc456601976"/>
      <w:bookmarkStart w:id="90" w:name="_Toc428282154"/>
      <w:bookmarkStart w:id="91" w:name="_Toc433629853"/>
      <w:r>
        <w:t>Reasons for our decision</w:t>
      </w:r>
      <w:bookmarkEnd w:id="89"/>
    </w:p>
    <w:p w:rsidR="006256FE" w:rsidRPr="00034966" w:rsidRDefault="006256FE" w:rsidP="006256FE">
      <w:pPr>
        <w:numPr>
          <w:ilvl w:val="0"/>
          <w:numId w:val="24"/>
        </w:numPr>
      </w:pPr>
      <w:r w:rsidRPr="00034966">
        <w:t>Our assessment of AusNet Services' base opex is set out below under the following headings:</w:t>
      </w:r>
    </w:p>
    <w:p w:rsidR="006256FE" w:rsidRDefault="006256FE" w:rsidP="006256FE">
      <w:pPr>
        <w:pStyle w:val="AERbulletlistfirststyle"/>
      </w:pPr>
      <w:r>
        <w:t>AusNet Service's overall efficiency</w:t>
      </w:r>
    </w:p>
    <w:p w:rsidR="006256FE" w:rsidRPr="00034966" w:rsidRDefault="00182440" w:rsidP="006256FE">
      <w:pPr>
        <w:pStyle w:val="AERbulletlistfirststyle"/>
      </w:pPr>
      <w:r>
        <w:t>C</w:t>
      </w:r>
      <w:r w:rsidR="006256FE">
        <w:t>hoice of base year</w:t>
      </w:r>
    </w:p>
    <w:p w:rsidR="006256FE" w:rsidRDefault="00182440" w:rsidP="006256FE">
      <w:pPr>
        <w:pStyle w:val="AERbulletlistfirststyle"/>
      </w:pPr>
      <w:r>
        <w:t>A</w:t>
      </w:r>
      <w:r w:rsidR="006256FE" w:rsidRPr="00034966">
        <w:t>djustments to base opex</w:t>
      </w:r>
    </w:p>
    <w:p w:rsidR="006256FE" w:rsidRDefault="00182440" w:rsidP="006256FE">
      <w:pPr>
        <w:pStyle w:val="AERbulletlistfirststyle"/>
      </w:pPr>
      <w:r>
        <w:t>E</w:t>
      </w:r>
      <w:r w:rsidR="006256FE">
        <w:t>stimate of final year opex</w:t>
      </w:r>
      <w:r w:rsidR="006256FE" w:rsidRPr="00034966">
        <w:t>.</w:t>
      </w:r>
    </w:p>
    <w:p w:rsidR="006256FE" w:rsidRPr="00034966" w:rsidRDefault="006256FE" w:rsidP="006256FE">
      <w:pPr>
        <w:pStyle w:val="Heading9"/>
      </w:pPr>
      <w:bookmarkStart w:id="92" w:name="_Toc453061007"/>
      <w:bookmarkStart w:id="93" w:name="_Toc453172503"/>
      <w:bookmarkStart w:id="94" w:name="_Toc456601977"/>
      <w:r>
        <w:t>AusNet Services' overall efficiency</w:t>
      </w:r>
      <w:bookmarkEnd w:id="81"/>
      <w:bookmarkEnd w:id="82"/>
      <w:bookmarkEnd w:id="90"/>
      <w:bookmarkEnd w:id="91"/>
      <w:bookmarkEnd w:id="92"/>
      <w:bookmarkEnd w:id="93"/>
      <w:bookmarkEnd w:id="94"/>
    </w:p>
    <w:p w:rsidR="006256FE" w:rsidRDefault="006256FE" w:rsidP="006256FE">
      <w:bookmarkStart w:id="95" w:name="_Ref400602296"/>
      <w:r>
        <w:t xml:space="preserve">Our benchmarking results </w:t>
      </w:r>
      <w:r w:rsidR="004D685C">
        <w:t xml:space="preserve">do not </w:t>
      </w:r>
      <w:r>
        <w:t xml:space="preserve">indicate </w:t>
      </w:r>
      <w:r w:rsidRPr="005C7C97">
        <w:t>AusNet Services</w:t>
      </w:r>
      <w:r w:rsidR="004D685C">
        <w:t>'</w:t>
      </w:r>
      <w:r w:rsidRPr="005C7C97">
        <w:t xml:space="preserve"> </w:t>
      </w:r>
      <w:r w:rsidR="004D685C">
        <w:t>base opex is materially inefficient</w:t>
      </w:r>
      <w:r w:rsidRPr="005C7C97">
        <w:t>.</w:t>
      </w:r>
    </w:p>
    <w:p w:rsidR="006256FE" w:rsidRDefault="006256FE" w:rsidP="006256FE">
      <w:r w:rsidRPr="00034966">
        <w:t xml:space="preserve">We have used economic benchmarking as a 'first pass' test to assess whether AusNet Services' opex shows signs of material inefficiency. On this basis we do not consider there is evidence justifying a departure from </w:t>
      </w:r>
      <w:r>
        <w:t>a revealed cost forecasting</w:t>
      </w:r>
      <w:r w:rsidRPr="00034966">
        <w:t xml:space="preserve"> approach for AusNet Services. </w:t>
      </w:r>
    </w:p>
    <w:p w:rsidR="006256FE" w:rsidRPr="00034966" w:rsidRDefault="006256FE" w:rsidP="006256FE">
      <w:r>
        <w:t xml:space="preserve">We consider our benchmarking models are the most robust measures of overall efficiency available. At the same time, however, we recognise that there is no perfect benchmarking model. In contrast to electricity distribution networks, where there has been a long history of benchmarking by international regulators, the benchmarking of transmission networks is relatively new. As a result, and because our models do not take into account different operating environments, the comparison of productivity levels between firms should be treated with caution. </w:t>
      </w:r>
      <w:r w:rsidR="00D37DE2">
        <w:t xml:space="preserve">The </w:t>
      </w:r>
      <w:r w:rsidR="008325A1">
        <w:t>CCP</w:t>
      </w:r>
      <w:r w:rsidR="00CE1DDC">
        <w:t xml:space="preserve"> </w:t>
      </w:r>
      <w:r w:rsidR="00D37DE2">
        <w:t>submitted that while caution should be taken in drawing conclusions, the 2014 and 2015 benchmarking released by the AER uses a reasonable and appropriate methodology.</w:t>
      </w:r>
      <w:r w:rsidR="00D37DE2">
        <w:rPr>
          <w:rStyle w:val="FootnoteReference"/>
        </w:rPr>
        <w:footnoteReference w:id="34"/>
      </w:r>
    </w:p>
    <w:p w:rsidR="006256FE" w:rsidRDefault="006256FE" w:rsidP="006256FE">
      <w:r>
        <w:t>The benchmarking techniques</w:t>
      </w:r>
      <w:r w:rsidRPr="00034966">
        <w:t xml:space="preserve"> measure either the overall efficiency of service providers or how efficiently they use </w:t>
      </w:r>
      <w:r w:rsidR="00AE66C0">
        <w:t>one particular input such as opex</w:t>
      </w:r>
      <w:r w:rsidRPr="00034966">
        <w:t xml:space="preserve">. </w:t>
      </w:r>
      <w:bookmarkStart w:id="96" w:name="_Toc417052668"/>
      <w:bookmarkStart w:id="97" w:name="_Toc428282155"/>
      <w:bookmarkStart w:id="98" w:name="_Toc433629854"/>
      <w:bookmarkEnd w:id="95"/>
      <w:r w:rsidRPr="005C7C97">
        <w:t xml:space="preserve">MTFP </w:t>
      </w:r>
      <w:r w:rsidRPr="005C7C97">
        <w:lastRenderedPageBreak/>
        <w:t xml:space="preserve">measures total output relative to an index of all inputs used. </w:t>
      </w:r>
      <w:bookmarkEnd w:id="96"/>
      <w:bookmarkEnd w:id="97"/>
      <w:bookmarkEnd w:id="98"/>
      <w:r w:rsidRPr="00034966">
        <w:t>MTFP allows for the comparison of productivity levels between service providers and across time. MPFP measures total output relative to one particular input (e.g. opex partial productivity is the ratio of total output quantity index to an index of opex quantity).</w:t>
      </w:r>
    </w:p>
    <w:p w:rsidR="006256FE" w:rsidRPr="00034966" w:rsidRDefault="006256FE" w:rsidP="006256FE">
      <w:r w:rsidRPr="005C7C97">
        <w:t xml:space="preserve">MTFP and MPFP modelling </w:t>
      </w:r>
      <w:r w:rsidR="00AE66C0">
        <w:t xml:space="preserve">does not </w:t>
      </w:r>
      <w:r w:rsidRPr="005C7C97">
        <w:t xml:space="preserve">indicate AusNet Services is </w:t>
      </w:r>
      <w:r w:rsidR="00AE66C0">
        <w:t>materially</w:t>
      </w:r>
      <w:r w:rsidR="00AE66C0" w:rsidRPr="005C7C97">
        <w:t xml:space="preserve"> </w:t>
      </w:r>
      <w:r w:rsidR="00AE66C0">
        <w:t>in</w:t>
      </w:r>
      <w:r w:rsidRPr="005C7C97">
        <w:t xml:space="preserve">efficient overall </w:t>
      </w:r>
      <w:r w:rsidR="00AE66C0">
        <w:t>or that it is materially inefficient in its</w:t>
      </w:r>
      <w:r w:rsidRPr="005C7C97">
        <w:t xml:space="preserve"> use of opex.</w:t>
      </w:r>
      <w:r w:rsidR="00756CD9">
        <w:rPr>
          <w:rStyle w:val="CommentReference"/>
          <w:rFonts w:asciiTheme="minorHAnsi" w:eastAsia="Calibri" w:hAnsiTheme="minorHAnsi" w:cs="Times New Roman"/>
        </w:rPr>
        <w:t xml:space="preserve"> </w:t>
      </w:r>
    </w:p>
    <w:p w:rsidR="006256FE" w:rsidRDefault="006256FE" w:rsidP="006256FE">
      <w:r>
        <w:fldChar w:fldCharType="begin"/>
      </w:r>
      <w:r>
        <w:instrText xml:space="preserve"> REF _Ref451521474 \h </w:instrText>
      </w:r>
      <w:r>
        <w:fldChar w:fldCharType="separate"/>
      </w:r>
      <w:r w:rsidR="00740726">
        <w:t xml:space="preserve">Figure </w:t>
      </w:r>
      <w:r w:rsidR="00740726">
        <w:rPr>
          <w:noProof/>
        </w:rPr>
        <w:t>A</w:t>
      </w:r>
      <w:r w:rsidR="00740726">
        <w:t>.</w:t>
      </w:r>
      <w:r w:rsidR="00740726">
        <w:rPr>
          <w:noProof/>
        </w:rPr>
        <w:t>1</w:t>
      </w:r>
      <w:r>
        <w:fldChar w:fldCharType="end"/>
      </w:r>
      <w:r>
        <w:t xml:space="preserve"> </w:t>
      </w:r>
      <w:r w:rsidRPr="00034966">
        <w:t xml:space="preserve">presents the </w:t>
      </w:r>
      <w:r>
        <w:t>MTFP</w:t>
      </w:r>
      <w:r w:rsidRPr="00034966">
        <w:t xml:space="preserve"> of </w:t>
      </w:r>
      <w:r>
        <w:t>each transmission network</w:t>
      </w:r>
      <w:r w:rsidRPr="00034966">
        <w:t xml:space="preserve"> </w:t>
      </w:r>
      <w:r>
        <w:t>service provider</w:t>
      </w:r>
      <w:r w:rsidRPr="00034966">
        <w:t>.</w:t>
      </w:r>
      <w:r>
        <w:t xml:space="preserve"> The graph </w:t>
      </w:r>
      <w:r w:rsidRPr="001268E4">
        <w:t xml:space="preserve">illustrates that </w:t>
      </w:r>
      <w:r>
        <w:t xml:space="preserve">AusNet Services' level of productivity (the green line) is in the middle of the range of the five transmission network service providers. </w:t>
      </w:r>
    </w:p>
    <w:p w:rsidR="00CE1DDC" w:rsidRPr="00034966" w:rsidRDefault="00CE1DDC" w:rsidP="006256FE">
      <w:r>
        <w:t>The CCP submitted that the m</w:t>
      </w:r>
      <w:r w:rsidRPr="00CE1DDC">
        <w:t xml:space="preserve">ultilateral total factor productivity should be a focus for improvement in the best interests of consumers, </w:t>
      </w:r>
      <w:r>
        <w:t>as it would indicate</w:t>
      </w:r>
      <w:r w:rsidRPr="00CE1DDC">
        <w:t xml:space="preserve"> networks </w:t>
      </w:r>
      <w:r w:rsidR="00714518">
        <w:t>are being used more efficiently</w:t>
      </w:r>
      <w:r w:rsidRPr="00CE1DDC">
        <w:t>.</w:t>
      </w:r>
      <w:r>
        <w:rPr>
          <w:rStyle w:val="FootnoteReference"/>
        </w:rPr>
        <w:footnoteReference w:id="35"/>
      </w:r>
    </w:p>
    <w:p w:rsidR="006256FE" w:rsidRPr="00034966" w:rsidRDefault="006256FE" w:rsidP="006256FE">
      <w:pPr>
        <w:pStyle w:val="Caption"/>
      </w:pPr>
      <w:bookmarkStart w:id="99" w:name="_Ref451521474"/>
      <w:bookmarkStart w:id="100" w:name="_Ref428287279"/>
      <w:r>
        <w:t xml:space="preserve">Figure </w:t>
      </w:r>
      <w:r w:rsidR="00F64824">
        <w:fldChar w:fldCharType="begin"/>
      </w:r>
      <w:r w:rsidR="00F64824">
        <w:instrText xml:space="preserve"> STYLEREF 7 \s </w:instrText>
      </w:r>
      <w:r w:rsidR="00F64824">
        <w:fldChar w:fldCharType="separate"/>
      </w:r>
      <w:r w:rsidR="00740726">
        <w:rPr>
          <w:noProof/>
        </w:rPr>
        <w:t>A</w:t>
      </w:r>
      <w:r w:rsidR="00F64824">
        <w:rPr>
          <w:noProof/>
        </w:rPr>
        <w:fldChar w:fldCharType="end"/>
      </w:r>
      <w:r>
        <w:t>.</w:t>
      </w:r>
      <w:r w:rsidR="00F64824">
        <w:fldChar w:fldCharType="begin"/>
      </w:r>
      <w:r w:rsidR="00F64824">
        <w:instrText xml:space="preserve"> SEQ Figure \* ARABIC \s 7 </w:instrText>
      </w:r>
      <w:r w:rsidR="00F64824">
        <w:fldChar w:fldCharType="separate"/>
      </w:r>
      <w:r w:rsidR="00740726">
        <w:rPr>
          <w:noProof/>
        </w:rPr>
        <w:t>1</w:t>
      </w:r>
      <w:r w:rsidR="00F64824">
        <w:rPr>
          <w:noProof/>
        </w:rPr>
        <w:fldChar w:fldCharType="end"/>
      </w:r>
      <w:bookmarkEnd w:id="99"/>
      <w:r w:rsidRPr="00034966">
        <w:tab/>
      </w:r>
      <w:r>
        <w:t>Multilateral total factor productivity by TNSP for 2006–14</w:t>
      </w:r>
    </w:p>
    <w:bookmarkEnd w:id="100"/>
    <w:p w:rsidR="006256FE" w:rsidRPr="004C0C36" w:rsidRDefault="006256FE" w:rsidP="006256FE">
      <w:pPr>
        <w:pStyle w:val="Source"/>
      </w:pPr>
      <w:r w:rsidRPr="006256FE">
        <w:rPr>
          <w:noProof/>
          <w:lang w:eastAsia="en-AU"/>
        </w:rPr>
        <w:drawing>
          <wp:inline distT="0" distB="0" distL="0" distR="0" wp14:anchorId="0127DAE0" wp14:editId="7104756D">
            <wp:extent cx="5149811" cy="3124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50750" cy="3125237"/>
                    </a:xfrm>
                    <a:prstGeom prst="rect">
                      <a:avLst/>
                    </a:prstGeom>
                    <a:noFill/>
                    <a:ln>
                      <a:noFill/>
                    </a:ln>
                  </pic:spPr>
                </pic:pic>
              </a:graphicData>
            </a:graphic>
          </wp:inline>
        </w:drawing>
      </w:r>
      <w:r w:rsidRPr="004C0C36">
        <w:t>Source:</w:t>
      </w:r>
      <w:r w:rsidRPr="004C0C36">
        <w:tab/>
        <w:t xml:space="preserve">AER, </w:t>
      </w:r>
      <w:r w:rsidRPr="006256FE">
        <w:rPr>
          <w:rStyle w:val="AERtextitalic"/>
        </w:rPr>
        <w:t>2015 Annual benchmarking report, Electricity transmission network service providers</w:t>
      </w:r>
      <w:r w:rsidRPr="004C0C36">
        <w:t xml:space="preserve">, November 2015, p. 5. </w:t>
      </w:r>
    </w:p>
    <w:p w:rsidR="006256FE" w:rsidRPr="004C0C36" w:rsidRDefault="006256FE" w:rsidP="006256FE">
      <w:pPr>
        <w:pStyle w:val="Source"/>
      </w:pPr>
      <w:r w:rsidRPr="004C0C36">
        <w:t>Note:</w:t>
      </w:r>
      <w:r w:rsidRPr="004C0C36">
        <w:tab/>
        <w:t>In 2009 AusNet Services had large customer interruptions which are why it performs poorly in this year.</w:t>
      </w:r>
    </w:p>
    <w:bookmarkStart w:id="101" w:name="_Ref401910009"/>
    <w:p w:rsidR="006256FE" w:rsidRDefault="006256FE" w:rsidP="006256FE">
      <w:r>
        <w:fldChar w:fldCharType="begin"/>
      </w:r>
      <w:r>
        <w:instrText xml:space="preserve"> REF _Ref451524886 \h </w:instrText>
      </w:r>
      <w:r>
        <w:fldChar w:fldCharType="separate"/>
      </w:r>
      <w:r w:rsidR="00740726">
        <w:t xml:space="preserve">Figure </w:t>
      </w:r>
      <w:r w:rsidR="00740726">
        <w:rPr>
          <w:noProof/>
        </w:rPr>
        <w:t>A</w:t>
      </w:r>
      <w:r w:rsidR="00740726">
        <w:t>.</w:t>
      </w:r>
      <w:r w:rsidR="00740726">
        <w:rPr>
          <w:noProof/>
        </w:rPr>
        <w:t>2</w:t>
      </w:r>
      <w:r>
        <w:fldChar w:fldCharType="end"/>
      </w:r>
      <w:r>
        <w:t xml:space="preserve"> </w:t>
      </w:r>
      <w:r w:rsidRPr="00034966">
        <w:t>presents the opex MPFP results</w:t>
      </w:r>
      <w:r>
        <w:t xml:space="preserve"> for all transmission network service providers over the same period. The MP</w:t>
      </w:r>
      <w:r w:rsidRPr="001268E4">
        <w:t xml:space="preserve">FP scores indicate that </w:t>
      </w:r>
      <w:r>
        <w:t>AusNet Services</w:t>
      </w:r>
      <w:r w:rsidRPr="00DF1855">
        <w:t xml:space="preserve"> ha</w:t>
      </w:r>
      <w:r>
        <w:t>s</w:t>
      </w:r>
      <w:r w:rsidRPr="00DF1855">
        <w:t xml:space="preserve"> relatively high productivity level</w:t>
      </w:r>
      <w:r>
        <w:t xml:space="preserve"> compared to the other TNSPs. </w:t>
      </w:r>
    </w:p>
    <w:p w:rsidR="006256FE" w:rsidRDefault="006256FE" w:rsidP="006256FE">
      <w:r w:rsidRPr="00034966">
        <w:lastRenderedPageBreak/>
        <w:t xml:space="preserve">As would be expected, the performance of the service providers changes somewhat under this comparison technique, reflecting the different combination of opex and capital used by the service providers to deliver network services. </w:t>
      </w:r>
    </w:p>
    <w:p w:rsidR="006256FE" w:rsidRPr="00DF7BA1" w:rsidRDefault="006256FE" w:rsidP="006256FE">
      <w:pPr>
        <w:pStyle w:val="Caption"/>
      </w:pPr>
      <w:bookmarkStart w:id="102" w:name="_Ref451524886"/>
      <w:r>
        <w:t xml:space="preserve">Figure </w:t>
      </w:r>
      <w:r w:rsidR="00F64824">
        <w:fldChar w:fldCharType="begin"/>
      </w:r>
      <w:r w:rsidR="00F64824">
        <w:instrText xml:space="preserve"> STYLEREF 7 \s </w:instrText>
      </w:r>
      <w:r w:rsidR="00F64824">
        <w:fldChar w:fldCharType="separate"/>
      </w:r>
      <w:r w:rsidR="00740726">
        <w:rPr>
          <w:noProof/>
        </w:rPr>
        <w:t>A</w:t>
      </w:r>
      <w:r w:rsidR="00F64824">
        <w:rPr>
          <w:noProof/>
        </w:rPr>
        <w:fldChar w:fldCharType="end"/>
      </w:r>
      <w:r>
        <w:t>.</w:t>
      </w:r>
      <w:r w:rsidR="00F64824">
        <w:fldChar w:fldCharType="begin"/>
      </w:r>
      <w:r w:rsidR="00F64824">
        <w:instrText xml:space="preserve"> SEQ Figure \* ARABIC \s 7 </w:instrText>
      </w:r>
      <w:r w:rsidR="00F64824">
        <w:fldChar w:fldCharType="separate"/>
      </w:r>
      <w:r w:rsidR="00740726">
        <w:rPr>
          <w:noProof/>
        </w:rPr>
        <w:t>2</w:t>
      </w:r>
      <w:r w:rsidR="00F64824">
        <w:rPr>
          <w:noProof/>
        </w:rPr>
        <w:fldChar w:fldCharType="end"/>
      </w:r>
      <w:bookmarkEnd w:id="102"/>
      <w:r>
        <w:tab/>
        <w:t>Opex partial factor productivity for 2006–14</w:t>
      </w:r>
    </w:p>
    <w:p w:rsidR="006256FE" w:rsidRPr="00DF7BA1" w:rsidRDefault="006256FE" w:rsidP="006256FE">
      <w:r w:rsidRPr="006256FE">
        <w:rPr>
          <w:noProof/>
          <w:lang w:eastAsia="en-AU"/>
        </w:rPr>
        <w:drawing>
          <wp:inline distT="0" distB="0" distL="0" distR="0" wp14:anchorId="5319BD53" wp14:editId="1D80FF95">
            <wp:extent cx="5159144" cy="31320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59144" cy="3132000"/>
                    </a:xfrm>
                    <a:prstGeom prst="rect">
                      <a:avLst/>
                    </a:prstGeom>
                    <a:noFill/>
                    <a:ln>
                      <a:noFill/>
                    </a:ln>
                  </pic:spPr>
                </pic:pic>
              </a:graphicData>
            </a:graphic>
          </wp:inline>
        </w:drawing>
      </w:r>
    </w:p>
    <w:bookmarkEnd w:id="101"/>
    <w:p w:rsidR="006256FE" w:rsidRDefault="006256FE" w:rsidP="006256FE">
      <w:pPr>
        <w:pStyle w:val="Source"/>
      </w:pPr>
      <w:r w:rsidRPr="00034966">
        <w:t>Source:</w:t>
      </w:r>
      <w:r w:rsidRPr="00034966">
        <w:tab/>
        <w:t>AER</w:t>
      </w:r>
      <w:r>
        <w:t xml:space="preserve">, </w:t>
      </w:r>
      <w:r w:rsidRPr="00805FAF">
        <w:rPr>
          <w:rStyle w:val="AERtextitalic"/>
        </w:rPr>
        <w:t>2015 Annual benchmarking report, Electricity transmission network service providers</w:t>
      </w:r>
      <w:r>
        <w:t>, November 2015, p. 17</w:t>
      </w:r>
      <w:r w:rsidRPr="00034966">
        <w:t>.</w:t>
      </w:r>
    </w:p>
    <w:p w:rsidR="006256FE" w:rsidRDefault="006256FE" w:rsidP="006256FE">
      <w:pPr>
        <w:pStyle w:val="Heading9"/>
      </w:pPr>
      <w:bookmarkStart w:id="103" w:name="_Toc453061008"/>
      <w:bookmarkStart w:id="104" w:name="_Toc453172504"/>
      <w:bookmarkStart w:id="105" w:name="_Toc456601978"/>
      <w:r>
        <w:t>Choice of base year</w:t>
      </w:r>
      <w:bookmarkEnd w:id="103"/>
      <w:bookmarkEnd w:id="104"/>
      <w:bookmarkEnd w:id="105"/>
    </w:p>
    <w:p w:rsidR="006256FE" w:rsidRPr="009E70C8" w:rsidRDefault="006256FE" w:rsidP="006256FE">
      <w:r w:rsidRPr="00167E2E">
        <w:t>To form our alternative opex forecast we have used a forecast based on</w:t>
      </w:r>
      <w:r w:rsidRPr="009E70C8">
        <w:t xml:space="preserve"> </w:t>
      </w:r>
      <w:r>
        <w:t>AusNet Services' actual opex in 2014–15</w:t>
      </w:r>
      <w:r w:rsidRPr="009E70C8">
        <w:t xml:space="preserve">.  </w:t>
      </w:r>
    </w:p>
    <w:p w:rsidR="006256FE" w:rsidRPr="009E70C8" w:rsidRDefault="006256FE" w:rsidP="006256FE">
      <w:r w:rsidRPr="009E70C8">
        <w:t xml:space="preserve">Our choice of base year is consistent with </w:t>
      </w:r>
      <w:r>
        <w:t>AusNet Services'</w:t>
      </w:r>
      <w:r w:rsidRPr="009E70C8">
        <w:t xml:space="preserve"> choice of base year. It proposed the use of 201</w:t>
      </w:r>
      <w:r>
        <w:t>4–15</w:t>
      </w:r>
      <w:r w:rsidRPr="009E70C8">
        <w:t xml:space="preserve"> as the base year (subject to adjustments) because:  </w:t>
      </w:r>
    </w:p>
    <w:p w:rsidR="006256FE" w:rsidRPr="009E70C8" w:rsidRDefault="006256FE" w:rsidP="006256FE">
      <w:pPr>
        <w:pStyle w:val="AERbulletlistfirststyle"/>
      </w:pPr>
      <w:r w:rsidRPr="009E70C8">
        <w:t>it was the most recent year for which audited actual expenditure is available</w:t>
      </w:r>
      <w:r>
        <w:t xml:space="preserve"> when it submitted its proposal</w:t>
      </w:r>
    </w:p>
    <w:p w:rsidR="006256FE" w:rsidRPr="009E70C8" w:rsidRDefault="006256FE" w:rsidP="006256FE">
      <w:pPr>
        <w:pStyle w:val="AERbulletlistfirststyle"/>
      </w:pPr>
      <w:r w:rsidRPr="009E70C8">
        <w:t>the regulatory framework provides incentives to minimise costs in this ye</w:t>
      </w:r>
      <w:r>
        <w:t>ar</w:t>
      </w:r>
    </w:p>
    <w:p w:rsidR="006256FE" w:rsidRPr="009E70C8" w:rsidRDefault="006256FE" w:rsidP="006256FE">
      <w:pPr>
        <w:pStyle w:val="AERbulletlistfirststyle"/>
      </w:pPr>
      <w:proofErr w:type="gramStart"/>
      <w:r>
        <w:t>i</w:t>
      </w:r>
      <w:r w:rsidRPr="009E70C8">
        <w:t>t</w:t>
      </w:r>
      <w:proofErr w:type="gramEnd"/>
      <w:r w:rsidRPr="009E70C8">
        <w:t xml:space="preserve"> considered it benchmarked favourably with its peers in Australia and overseas. </w:t>
      </w:r>
    </w:p>
    <w:p w:rsidR="006256FE" w:rsidRPr="009E70C8" w:rsidRDefault="006256FE" w:rsidP="006256FE">
      <w:r>
        <w:t>We consider using 2014–15</w:t>
      </w:r>
      <w:r w:rsidRPr="009E70C8">
        <w:t xml:space="preserve"> as the base ye</w:t>
      </w:r>
      <w:r>
        <w:t>ar to forecast opex for the 2017–22</w:t>
      </w:r>
      <w:r w:rsidRPr="009E70C8">
        <w:t xml:space="preserve"> </w:t>
      </w:r>
      <w:r>
        <w:t xml:space="preserve">regulatory control </w:t>
      </w:r>
      <w:r w:rsidRPr="009E70C8">
        <w:t xml:space="preserve">period will produce </w:t>
      </w:r>
      <w:r>
        <w:t xml:space="preserve">an </w:t>
      </w:r>
      <w:r w:rsidRPr="009E70C8">
        <w:t>opex forecast consistent with the opex criteria because:</w:t>
      </w:r>
    </w:p>
    <w:p w:rsidR="006256FE" w:rsidRDefault="00182440" w:rsidP="006256FE">
      <w:pPr>
        <w:pStyle w:val="AERbulletlistfirststyle"/>
      </w:pPr>
      <w:r>
        <w:t>O</w:t>
      </w:r>
      <w:r w:rsidR="006256FE">
        <w:t xml:space="preserve">ur benchmarking indicates that </w:t>
      </w:r>
      <w:r w:rsidR="006256FE" w:rsidRPr="00383D5F">
        <w:t>AusNet Services is relatively efficient overall and also in the use of its opex</w:t>
      </w:r>
      <w:r>
        <w:t>.</w:t>
      </w:r>
    </w:p>
    <w:p w:rsidR="006256FE" w:rsidRPr="009E70C8" w:rsidRDefault="006256FE" w:rsidP="006256FE">
      <w:pPr>
        <w:pStyle w:val="AERbulletlistfirststyle"/>
      </w:pPr>
      <w:r w:rsidRPr="009E70C8">
        <w:t xml:space="preserve">To the extent expenditure </w:t>
      </w:r>
      <w:proofErr w:type="gramStart"/>
      <w:r w:rsidRPr="009E70C8">
        <w:t>drivers</w:t>
      </w:r>
      <w:proofErr w:type="gramEnd"/>
      <w:r w:rsidRPr="009E70C8">
        <w:t xml:space="preserve"> change over time, the most recent year with available data is likely to best reflect expenditure in the forecast period. </w:t>
      </w:r>
    </w:p>
    <w:p w:rsidR="006256FE" w:rsidRPr="009E70C8" w:rsidRDefault="006256FE" w:rsidP="006256FE">
      <w:pPr>
        <w:pStyle w:val="AERbulletlistfirststyle"/>
      </w:pPr>
      <w:r w:rsidRPr="009E70C8">
        <w:lastRenderedPageBreak/>
        <w:t xml:space="preserve">Once opex is adjusted for </w:t>
      </w:r>
      <w:r>
        <w:t>easement land tax</w:t>
      </w:r>
      <w:r w:rsidRPr="009E70C8">
        <w:t xml:space="preserve"> </w:t>
      </w:r>
      <w:r>
        <w:t xml:space="preserve">and </w:t>
      </w:r>
      <w:r w:rsidRPr="009E70C8">
        <w:t>movement in provisions, total opex is st</w:t>
      </w:r>
      <w:r>
        <w:t>able</w:t>
      </w:r>
      <w:r w:rsidRPr="009E70C8">
        <w:t xml:space="preserve"> from 20</w:t>
      </w:r>
      <w:r>
        <w:t>10</w:t>
      </w:r>
      <w:r w:rsidRPr="009E70C8">
        <w:t>–</w:t>
      </w:r>
      <w:r>
        <w:t>11 to date</w:t>
      </w:r>
      <w:r w:rsidRPr="009E70C8">
        <w:t xml:space="preserve"> (</w:t>
      </w:r>
      <w:r>
        <w:t xml:space="preserve">see </w:t>
      </w:r>
      <w:r>
        <w:fldChar w:fldCharType="begin"/>
      </w:r>
      <w:r>
        <w:instrText xml:space="preserve"> REF _Ref452718290 \h </w:instrText>
      </w:r>
      <w:r>
        <w:fldChar w:fldCharType="separate"/>
      </w:r>
      <w:r w:rsidR="00740726">
        <w:t xml:space="preserve">Figure </w:t>
      </w:r>
      <w:r w:rsidR="00740726">
        <w:rPr>
          <w:noProof/>
        </w:rPr>
        <w:t>A</w:t>
      </w:r>
      <w:r w:rsidR="00740726">
        <w:t>.</w:t>
      </w:r>
      <w:r w:rsidR="00740726">
        <w:rPr>
          <w:noProof/>
        </w:rPr>
        <w:t>3</w:t>
      </w:r>
      <w:r>
        <w:fldChar w:fldCharType="end"/>
      </w:r>
      <w:r>
        <w:t xml:space="preserve"> below</w:t>
      </w:r>
      <w:r w:rsidRPr="009E70C8">
        <w:t>). The stability of opex is consistent with a business responding to the constant incentive to reduce opex provided by the EBSS.</w:t>
      </w:r>
    </w:p>
    <w:p w:rsidR="006256FE" w:rsidRDefault="00DE0AC9" w:rsidP="006256FE">
      <w:pPr>
        <w:pStyle w:val="AERbulletlistfirststyle"/>
      </w:pPr>
      <w:r>
        <w:t>U</w:t>
      </w:r>
      <w:r w:rsidR="00124B33">
        <w:t>sing a 2014–15</w:t>
      </w:r>
      <w:r w:rsidR="00124B33" w:rsidRPr="009E70C8">
        <w:t xml:space="preserve"> base year for forecasting opex is consistent with the operation of </w:t>
      </w:r>
      <w:r w:rsidR="00124B33">
        <w:t>AusNet Services'</w:t>
      </w:r>
      <w:r w:rsidR="00124B33" w:rsidRPr="009E70C8">
        <w:t xml:space="preserve"> EBSS</w:t>
      </w:r>
      <w:r>
        <w:t xml:space="preserve">. </w:t>
      </w:r>
      <w:r w:rsidR="00124B33" w:rsidRPr="009E70C8">
        <w:t xml:space="preserve"> </w:t>
      </w:r>
      <w:r w:rsidR="006256FE" w:rsidRPr="009E70C8">
        <w:t xml:space="preserve">When assessing the service providers opex forecasts we must have regard to whether the opex forecast is consistent with the EBSS.   The EBSS that applied to </w:t>
      </w:r>
      <w:r w:rsidR="006256FE">
        <w:t>AusNet Services in the 2014–17</w:t>
      </w:r>
      <w:r w:rsidR="006256FE" w:rsidRPr="009E70C8">
        <w:t xml:space="preserve"> regula</w:t>
      </w:r>
      <w:r w:rsidR="006256FE">
        <w:t>tory control period assumes 2014–15</w:t>
      </w:r>
      <w:r w:rsidR="006256FE" w:rsidRPr="009E70C8">
        <w:t xml:space="preserve"> is the base year used to forecast opex for th</w:t>
      </w:r>
      <w:r w:rsidR="006256FE">
        <w:t>e 2017–22</w:t>
      </w:r>
      <w:r w:rsidR="006256FE" w:rsidRPr="009E70C8">
        <w:t xml:space="preserve"> </w:t>
      </w:r>
      <w:proofErr w:type="gramStart"/>
      <w:r w:rsidR="006256FE" w:rsidRPr="009E70C8">
        <w:t>period</w:t>
      </w:r>
      <w:proofErr w:type="gramEnd"/>
      <w:r w:rsidR="006256FE" w:rsidRPr="009E70C8">
        <w:t>.  If the EBSS and opex forecast assume different base years then network users may not receive their share of efficienc</w:t>
      </w:r>
      <w:r w:rsidR="006256FE">
        <w:t xml:space="preserve">y gains. </w:t>
      </w:r>
    </w:p>
    <w:p w:rsidR="006256FE" w:rsidRDefault="006256FE" w:rsidP="006256FE">
      <w:pPr>
        <w:pStyle w:val="Caption"/>
      </w:pPr>
      <w:bookmarkStart w:id="106" w:name="_Ref452718290"/>
      <w:r>
        <w:t xml:space="preserve">Figure </w:t>
      </w:r>
      <w:r w:rsidR="00F64824">
        <w:fldChar w:fldCharType="begin"/>
      </w:r>
      <w:r w:rsidR="00F64824">
        <w:instrText xml:space="preserve"> STYLEREF 7 \s </w:instrText>
      </w:r>
      <w:r w:rsidR="00F64824">
        <w:fldChar w:fldCharType="separate"/>
      </w:r>
      <w:r w:rsidR="00740726">
        <w:rPr>
          <w:noProof/>
        </w:rPr>
        <w:t>A</w:t>
      </w:r>
      <w:r w:rsidR="00F64824">
        <w:rPr>
          <w:noProof/>
        </w:rPr>
        <w:fldChar w:fldCharType="end"/>
      </w:r>
      <w:r>
        <w:t>.</w:t>
      </w:r>
      <w:r w:rsidR="00F64824">
        <w:fldChar w:fldCharType="begin"/>
      </w:r>
      <w:r w:rsidR="00F64824">
        <w:instrText xml:space="preserve"> SEQ Figure </w:instrText>
      </w:r>
      <w:r w:rsidR="00F64824">
        <w:instrText xml:space="preserve">\* ARABIC \s 7 </w:instrText>
      </w:r>
      <w:r w:rsidR="00F64824">
        <w:fldChar w:fldCharType="separate"/>
      </w:r>
      <w:r w:rsidR="00740726">
        <w:rPr>
          <w:noProof/>
        </w:rPr>
        <w:t>3</w:t>
      </w:r>
      <w:r w:rsidR="00F64824">
        <w:rPr>
          <w:noProof/>
        </w:rPr>
        <w:fldChar w:fldCharType="end"/>
      </w:r>
      <w:bookmarkEnd w:id="106"/>
      <w:r>
        <w:tab/>
        <w:t>AusNet Services' actual opex ($ million, 2016–17)</w:t>
      </w:r>
    </w:p>
    <w:p w:rsidR="006256FE" w:rsidRPr="00E201C3" w:rsidRDefault="006256FE" w:rsidP="006256FE">
      <w:pPr>
        <w:rPr>
          <w:rStyle w:val="AERbody"/>
        </w:rPr>
      </w:pPr>
      <w:r w:rsidRPr="006256FE">
        <w:rPr>
          <w:noProof/>
          <w:lang w:eastAsia="en-AU"/>
        </w:rPr>
        <w:drawing>
          <wp:inline distT="0" distB="0" distL="0" distR="0" wp14:anchorId="78D9B637" wp14:editId="533059EF">
            <wp:extent cx="457263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6256FE" w:rsidRDefault="006256FE" w:rsidP="006256FE">
      <w:pPr>
        <w:pStyle w:val="AERtablesource"/>
      </w:pPr>
      <w:r w:rsidRPr="00E201C3">
        <w:t>Source</w:t>
      </w:r>
      <w:r>
        <w:t>:</w:t>
      </w:r>
      <w:r>
        <w:tab/>
        <w:t>AusNet Ser</w:t>
      </w:r>
      <w:r w:rsidR="00182440">
        <w:t>vices, Opex Model, October 2015.</w:t>
      </w:r>
      <w:r>
        <w:t xml:space="preserve"> </w:t>
      </w:r>
    </w:p>
    <w:p w:rsidR="006256FE" w:rsidRPr="00BB35BD" w:rsidRDefault="006256FE" w:rsidP="006256FE">
      <w:pPr>
        <w:pStyle w:val="AERtablesource"/>
      </w:pPr>
      <w:r>
        <w:t xml:space="preserve">Note: </w:t>
      </w:r>
      <w:r>
        <w:tab/>
      </w:r>
      <w:r w:rsidR="00AD14DC">
        <w:t>Excludes</w:t>
      </w:r>
      <w:r>
        <w:t xml:space="preserve"> easement land tax and </w:t>
      </w:r>
      <w:r w:rsidR="00AD14DC">
        <w:t xml:space="preserve">movements in </w:t>
      </w:r>
      <w:r>
        <w:t>provisions.</w:t>
      </w:r>
    </w:p>
    <w:p w:rsidR="006256FE" w:rsidRDefault="006256FE" w:rsidP="006256FE">
      <w:pPr>
        <w:pStyle w:val="Heading9"/>
      </w:pPr>
      <w:bookmarkStart w:id="107" w:name="_Toc453061009"/>
      <w:bookmarkStart w:id="108" w:name="_Toc453172505"/>
      <w:bookmarkStart w:id="109" w:name="_Toc456601979"/>
      <w:r>
        <w:t>Adjustments to base opex</w:t>
      </w:r>
      <w:bookmarkEnd w:id="107"/>
      <w:bookmarkEnd w:id="108"/>
      <w:bookmarkEnd w:id="109"/>
      <w:r>
        <w:t xml:space="preserve"> </w:t>
      </w:r>
    </w:p>
    <w:p w:rsidR="006256FE" w:rsidRDefault="006256FE" w:rsidP="006256FE">
      <w:r>
        <w:rPr>
          <w:rStyle w:val="AERbody"/>
        </w:rPr>
        <w:t>We consider a base-step-trend approach applied to all categories produces a total opex forecast consistent with the opex criteria. However, in limited circumstances, it may be necessary to adopt a category specific forecast for certain categories of opex for our total opex forecast to meet the opex criteria.</w:t>
      </w:r>
      <w:r>
        <w:t xml:space="preserve"> Where this is the case, we remove these categories of opex from the base year and add a category specific forecast to the base opex forecast. </w:t>
      </w:r>
    </w:p>
    <w:p w:rsidR="006256FE" w:rsidRPr="00587BE7" w:rsidRDefault="006256FE" w:rsidP="006256FE">
      <w:pPr>
        <w:rPr>
          <w:rStyle w:val="AERbody"/>
        </w:rPr>
      </w:pPr>
      <w:r w:rsidRPr="0065390C">
        <w:rPr>
          <w:rStyle w:val="AERbody"/>
        </w:rPr>
        <w:lastRenderedPageBreak/>
        <w:t xml:space="preserve">AusNet Services proposed </w:t>
      </w:r>
      <w:r w:rsidRPr="00587BE7">
        <w:rPr>
          <w:rStyle w:val="AERbody"/>
        </w:rPr>
        <w:t>category specific forecasts</w:t>
      </w:r>
      <w:r w:rsidRPr="0065390C">
        <w:rPr>
          <w:rStyle w:val="AERbody"/>
        </w:rPr>
        <w:t xml:space="preserve"> for easement land tax, insurance and self-insurance.</w:t>
      </w:r>
      <w:r w:rsidRPr="00587BE7">
        <w:rPr>
          <w:rStyle w:val="FootnoteReference"/>
        </w:rPr>
        <w:footnoteReference w:id="36"/>
      </w:r>
      <w:r w:rsidRPr="00587BE7">
        <w:rPr>
          <w:rStyle w:val="AERbody"/>
        </w:rPr>
        <w:t xml:space="preserve">  </w:t>
      </w:r>
      <w:r w:rsidRPr="0065390C">
        <w:rPr>
          <w:rStyle w:val="AERbody"/>
        </w:rPr>
        <w:t>AusNet services</w:t>
      </w:r>
      <w:r>
        <w:rPr>
          <w:rStyle w:val="AERbody"/>
        </w:rPr>
        <w:t xml:space="preserve"> proposed</w:t>
      </w:r>
      <w:r w:rsidRPr="0065390C">
        <w:rPr>
          <w:rStyle w:val="AERbody"/>
        </w:rPr>
        <w:t xml:space="preserve"> a base-step-trend approach to forecast debt raising costs. </w:t>
      </w:r>
    </w:p>
    <w:p w:rsidR="006256FE" w:rsidRDefault="006256FE" w:rsidP="006256FE">
      <w:r>
        <w:t xml:space="preserve">In our alternative opex forecast we have included category specific forecasts and removed the following categories of opex from the base year: </w:t>
      </w:r>
    </w:p>
    <w:p w:rsidR="006256FE" w:rsidRDefault="006256FE" w:rsidP="006256FE">
      <w:pPr>
        <w:pStyle w:val="AERbulletlistfirststyle"/>
      </w:pPr>
      <w:r>
        <w:t>easement land tax</w:t>
      </w:r>
    </w:p>
    <w:p w:rsidR="006256FE" w:rsidRDefault="006256FE" w:rsidP="006256FE">
      <w:pPr>
        <w:pStyle w:val="AERbulletlistfirststyle"/>
      </w:pPr>
      <w:proofErr w:type="gramStart"/>
      <w:r>
        <w:t>debt</w:t>
      </w:r>
      <w:proofErr w:type="gramEnd"/>
      <w:r>
        <w:t xml:space="preserve"> raising costs</w:t>
      </w:r>
      <w:r w:rsidR="00A20AEB">
        <w:t>.</w:t>
      </w:r>
    </w:p>
    <w:p w:rsidR="006256FE" w:rsidRDefault="006256FE" w:rsidP="006256FE">
      <w:r>
        <w:fldChar w:fldCharType="begin"/>
      </w:r>
      <w:r>
        <w:instrText xml:space="preserve"> REF _Ref452641067 \h </w:instrText>
      </w:r>
      <w:r>
        <w:fldChar w:fldCharType="separate"/>
      </w:r>
      <w:r w:rsidR="00740726">
        <w:t xml:space="preserve">Table </w:t>
      </w:r>
      <w:r w:rsidR="00740726">
        <w:rPr>
          <w:noProof/>
        </w:rPr>
        <w:t>A</w:t>
      </w:r>
      <w:r w:rsidR="00740726">
        <w:t>.</w:t>
      </w:r>
      <w:r w:rsidR="00740726">
        <w:rPr>
          <w:noProof/>
        </w:rPr>
        <w:t>1</w:t>
      </w:r>
      <w:r>
        <w:fldChar w:fldCharType="end"/>
      </w:r>
      <w:r>
        <w:t xml:space="preserve"> summaries the differences between the category specific forecasts AusNet Services included in its opex forecast and those we included in our opex forecast in our draft decision.</w:t>
      </w:r>
    </w:p>
    <w:p w:rsidR="006256FE" w:rsidRDefault="006256FE" w:rsidP="006256FE">
      <w:pPr>
        <w:pStyle w:val="Caption"/>
      </w:pPr>
      <w:bookmarkStart w:id="110" w:name="_Ref452641067"/>
      <w:r>
        <w:t xml:space="preserve">Table </w:t>
      </w:r>
      <w:r w:rsidR="00F64824">
        <w:fldChar w:fldCharType="begin"/>
      </w:r>
      <w:r w:rsidR="00F64824">
        <w:instrText xml:space="preserve"> STYLEREF 7 \s </w:instrText>
      </w:r>
      <w:r w:rsidR="00F64824">
        <w:fldChar w:fldCharType="separate"/>
      </w:r>
      <w:r w:rsidR="00740726">
        <w:rPr>
          <w:noProof/>
        </w:rPr>
        <w:t>A</w:t>
      </w:r>
      <w:r w:rsidR="00F64824">
        <w:rPr>
          <w:noProof/>
        </w:rPr>
        <w:fldChar w:fldCharType="end"/>
      </w:r>
      <w:r>
        <w:t>.</w:t>
      </w:r>
      <w:r w:rsidR="00F64824">
        <w:fldChar w:fldCharType="begin"/>
      </w:r>
      <w:r w:rsidR="00F64824">
        <w:instrText xml:space="preserve"> SEQ Table \* ARABIC \s 7 </w:instrText>
      </w:r>
      <w:r w:rsidR="00F64824">
        <w:fldChar w:fldCharType="separate"/>
      </w:r>
      <w:r w:rsidR="00740726">
        <w:rPr>
          <w:noProof/>
        </w:rPr>
        <w:t>1</w:t>
      </w:r>
      <w:r w:rsidR="00F64824">
        <w:rPr>
          <w:noProof/>
        </w:rPr>
        <w:fldChar w:fldCharType="end"/>
      </w:r>
      <w:bookmarkEnd w:id="110"/>
      <w:r>
        <w:tab/>
        <w:t>Adjustments to base opex to substitute category specific forecasts</w:t>
      </w:r>
    </w:p>
    <w:tbl>
      <w:tblPr>
        <w:tblStyle w:val="AERtable-text0"/>
        <w:tblW w:w="0" w:type="auto"/>
        <w:tblLook w:val="04A0" w:firstRow="1" w:lastRow="0" w:firstColumn="1" w:lastColumn="0" w:noHBand="0" w:noVBand="1"/>
      </w:tblPr>
      <w:tblGrid>
        <w:gridCol w:w="2093"/>
        <w:gridCol w:w="3300"/>
        <w:gridCol w:w="3300"/>
      </w:tblGrid>
      <w:tr w:rsidR="006256FE" w:rsidTr="00714518">
        <w:trPr>
          <w:cnfStyle w:val="100000000000" w:firstRow="1" w:lastRow="0" w:firstColumn="0" w:lastColumn="0" w:oddVBand="0" w:evenVBand="0" w:oddHBand="0" w:evenHBand="0" w:firstRowFirstColumn="0" w:firstRowLastColumn="0" w:lastRowFirstColumn="0" w:lastRowLastColumn="0"/>
        </w:trPr>
        <w:tc>
          <w:tcPr>
            <w:tcW w:w="2093" w:type="dxa"/>
          </w:tcPr>
          <w:p w:rsidR="006256FE" w:rsidRPr="00AC0CAF" w:rsidRDefault="006256FE" w:rsidP="006256FE"/>
        </w:tc>
        <w:tc>
          <w:tcPr>
            <w:tcW w:w="3300" w:type="dxa"/>
          </w:tcPr>
          <w:p w:rsidR="006256FE" w:rsidRPr="006256FE" w:rsidRDefault="006256FE" w:rsidP="006256FE">
            <w:r>
              <w:t xml:space="preserve">                </w:t>
            </w:r>
            <w:r w:rsidRPr="006256FE">
              <w:t xml:space="preserve">AusNet Services </w:t>
            </w:r>
          </w:p>
          <w:p w:rsidR="006256FE" w:rsidRPr="006256FE" w:rsidRDefault="006256FE" w:rsidP="006256FE">
            <w:r w:rsidRPr="00CA6282">
              <w:t xml:space="preserve">Remove from base year </w:t>
            </w:r>
            <w:r w:rsidRPr="006256FE">
              <w:t>to substitute a category specific forecast</w:t>
            </w:r>
          </w:p>
        </w:tc>
        <w:tc>
          <w:tcPr>
            <w:tcW w:w="3300" w:type="dxa"/>
          </w:tcPr>
          <w:p w:rsidR="006256FE" w:rsidRPr="006256FE" w:rsidRDefault="006256FE" w:rsidP="006256FE">
            <w:r>
              <w:t xml:space="preserve">        </w:t>
            </w:r>
            <w:r w:rsidRPr="006256FE">
              <w:t xml:space="preserve">         AER draft decision </w:t>
            </w:r>
          </w:p>
          <w:p w:rsidR="006256FE" w:rsidRPr="006256FE" w:rsidRDefault="006256FE" w:rsidP="006256FE">
            <w:r w:rsidRPr="00CA6282">
              <w:t xml:space="preserve">Remove from base year </w:t>
            </w:r>
            <w:r w:rsidRPr="006256FE">
              <w:t>to substitute a category specific forecast</w:t>
            </w:r>
          </w:p>
        </w:tc>
      </w:tr>
      <w:tr w:rsidR="006256FE" w:rsidTr="00714518">
        <w:tc>
          <w:tcPr>
            <w:tcW w:w="2093" w:type="dxa"/>
          </w:tcPr>
          <w:p w:rsidR="006256FE" w:rsidRPr="006256FE" w:rsidRDefault="006256FE" w:rsidP="006256FE">
            <w:r>
              <w:t>Easement land tax</w:t>
            </w:r>
          </w:p>
        </w:tc>
        <w:tc>
          <w:tcPr>
            <w:tcW w:w="3300" w:type="dxa"/>
          </w:tcPr>
          <w:p w:rsidR="006256FE" w:rsidRPr="006256FE" w:rsidRDefault="009858AC" w:rsidP="006256FE">
            <w:pPr>
              <w:pStyle w:val="Tabletext-centred"/>
            </w:pPr>
            <w:r>
              <w:t>x</w:t>
            </w:r>
          </w:p>
        </w:tc>
        <w:tc>
          <w:tcPr>
            <w:tcW w:w="3300" w:type="dxa"/>
          </w:tcPr>
          <w:p w:rsidR="006256FE" w:rsidRPr="006256FE" w:rsidRDefault="009858AC" w:rsidP="006256FE">
            <w:pPr>
              <w:pStyle w:val="Tabletext-centred"/>
            </w:pPr>
            <w:r>
              <w:t>x</w:t>
            </w:r>
          </w:p>
        </w:tc>
      </w:tr>
      <w:tr w:rsidR="006256FE" w:rsidTr="00714518">
        <w:trPr>
          <w:cnfStyle w:val="000000010000" w:firstRow="0" w:lastRow="0" w:firstColumn="0" w:lastColumn="0" w:oddVBand="0" w:evenVBand="0" w:oddHBand="0" w:evenHBand="1" w:firstRowFirstColumn="0" w:firstRowLastColumn="0" w:lastRowFirstColumn="0" w:lastRowLastColumn="0"/>
        </w:trPr>
        <w:tc>
          <w:tcPr>
            <w:tcW w:w="2093" w:type="dxa"/>
          </w:tcPr>
          <w:p w:rsidR="006256FE" w:rsidRPr="006256FE" w:rsidRDefault="006256FE" w:rsidP="006256FE">
            <w:r>
              <w:t>Debt raising costs</w:t>
            </w:r>
          </w:p>
        </w:tc>
        <w:tc>
          <w:tcPr>
            <w:tcW w:w="3300" w:type="dxa"/>
          </w:tcPr>
          <w:p w:rsidR="006256FE" w:rsidRDefault="006256FE" w:rsidP="006256FE">
            <w:pPr>
              <w:pStyle w:val="Tabletext-centred"/>
            </w:pPr>
          </w:p>
        </w:tc>
        <w:tc>
          <w:tcPr>
            <w:tcW w:w="3300" w:type="dxa"/>
          </w:tcPr>
          <w:p w:rsidR="006256FE" w:rsidRPr="006256FE" w:rsidRDefault="009858AC" w:rsidP="006256FE">
            <w:pPr>
              <w:pStyle w:val="Tabletext-centred"/>
            </w:pPr>
            <w:r>
              <w:t>x</w:t>
            </w:r>
          </w:p>
        </w:tc>
      </w:tr>
      <w:tr w:rsidR="006256FE" w:rsidTr="00714518">
        <w:tc>
          <w:tcPr>
            <w:tcW w:w="2093" w:type="dxa"/>
          </w:tcPr>
          <w:p w:rsidR="006256FE" w:rsidRPr="006256FE" w:rsidRDefault="006256FE" w:rsidP="006256FE">
            <w:r>
              <w:t>Insurance</w:t>
            </w:r>
          </w:p>
        </w:tc>
        <w:tc>
          <w:tcPr>
            <w:tcW w:w="3300" w:type="dxa"/>
          </w:tcPr>
          <w:p w:rsidR="006256FE" w:rsidRPr="006256FE" w:rsidRDefault="009858AC" w:rsidP="006256FE">
            <w:pPr>
              <w:pStyle w:val="Tabletext-centred"/>
            </w:pPr>
            <w:r>
              <w:t>x</w:t>
            </w:r>
          </w:p>
        </w:tc>
        <w:tc>
          <w:tcPr>
            <w:tcW w:w="3300" w:type="dxa"/>
          </w:tcPr>
          <w:p w:rsidR="006256FE" w:rsidRDefault="006256FE" w:rsidP="006256FE">
            <w:pPr>
              <w:pStyle w:val="Tabletext-centred"/>
            </w:pPr>
          </w:p>
        </w:tc>
      </w:tr>
      <w:tr w:rsidR="006256FE" w:rsidTr="00714518">
        <w:trPr>
          <w:cnfStyle w:val="000000010000" w:firstRow="0" w:lastRow="0" w:firstColumn="0" w:lastColumn="0" w:oddVBand="0" w:evenVBand="0" w:oddHBand="0" w:evenHBand="1" w:firstRowFirstColumn="0" w:firstRowLastColumn="0" w:lastRowFirstColumn="0" w:lastRowLastColumn="0"/>
        </w:trPr>
        <w:tc>
          <w:tcPr>
            <w:tcW w:w="2093" w:type="dxa"/>
          </w:tcPr>
          <w:p w:rsidR="006256FE" w:rsidRPr="006256FE" w:rsidRDefault="006256FE" w:rsidP="006256FE">
            <w:r>
              <w:t>Self-insurance</w:t>
            </w:r>
          </w:p>
        </w:tc>
        <w:tc>
          <w:tcPr>
            <w:tcW w:w="3300" w:type="dxa"/>
          </w:tcPr>
          <w:p w:rsidR="006256FE" w:rsidRPr="006256FE" w:rsidRDefault="009858AC" w:rsidP="006256FE">
            <w:pPr>
              <w:pStyle w:val="Tabletext-centred"/>
            </w:pPr>
            <w:r>
              <w:t>x</w:t>
            </w:r>
          </w:p>
        </w:tc>
        <w:tc>
          <w:tcPr>
            <w:tcW w:w="3300" w:type="dxa"/>
          </w:tcPr>
          <w:p w:rsidR="006256FE" w:rsidRDefault="006256FE" w:rsidP="006256FE">
            <w:pPr>
              <w:pStyle w:val="Tabletext-centred"/>
            </w:pPr>
          </w:p>
        </w:tc>
      </w:tr>
    </w:tbl>
    <w:p w:rsidR="006256FE" w:rsidRPr="004F0DD9" w:rsidRDefault="006256FE" w:rsidP="006256FE">
      <w:pPr>
        <w:pStyle w:val="Source"/>
      </w:pPr>
      <w:r>
        <w:t>Source:</w:t>
      </w:r>
      <w:r>
        <w:tab/>
        <w:t>AER analysis.</w:t>
      </w:r>
    </w:p>
    <w:p w:rsidR="006256FE" w:rsidRPr="003A229E" w:rsidRDefault="006256FE" w:rsidP="006256FE">
      <w:pPr>
        <w:pStyle w:val="HeadingBoldBlue"/>
      </w:pPr>
      <w:bookmarkStart w:id="111" w:name="_Toc452990522"/>
      <w:bookmarkStart w:id="112" w:name="_Toc453061010"/>
      <w:bookmarkStart w:id="113" w:name="_Toc453172506"/>
      <w:bookmarkStart w:id="114" w:name="_Toc456601980"/>
      <w:r>
        <w:t>Easement land tax</w:t>
      </w:r>
      <w:bookmarkEnd w:id="111"/>
      <w:bookmarkEnd w:id="112"/>
      <w:bookmarkEnd w:id="113"/>
      <w:bookmarkEnd w:id="114"/>
    </w:p>
    <w:p w:rsidR="006256FE" w:rsidRPr="00610219" w:rsidRDefault="00DD4D33" w:rsidP="006256FE">
      <w:pPr>
        <w:rPr>
          <w:rStyle w:val="AERbody"/>
        </w:rPr>
      </w:pPr>
      <w:r>
        <w:rPr>
          <w:rStyle w:val="AERbody"/>
        </w:rPr>
        <w:t xml:space="preserve">AusNet Services' </w:t>
      </w:r>
      <w:r w:rsidRPr="00DD4D33">
        <w:rPr>
          <w:rStyle w:val="AERbody"/>
        </w:rPr>
        <w:t>network is built on a series of easements, which are subject to the Victorian Government's easements land tax</w:t>
      </w:r>
      <w:r w:rsidR="006256FE" w:rsidRPr="00610219">
        <w:rPr>
          <w:rStyle w:val="AERbody"/>
        </w:rPr>
        <w:t xml:space="preserve">. AusNet </w:t>
      </w:r>
      <w:r w:rsidR="006256FE">
        <w:rPr>
          <w:rStyle w:val="AERbody"/>
        </w:rPr>
        <w:t xml:space="preserve">Services </w:t>
      </w:r>
      <w:r w:rsidR="006256FE" w:rsidRPr="00610219">
        <w:rPr>
          <w:rStyle w:val="AERbody"/>
        </w:rPr>
        <w:t xml:space="preserve">is required to forecast its easement land tax liability as part of the forecast opex. Where the forecast we </w:t>
      </w:r>
      <w:r w:rsidR="006256FE">
        <w:rPr>
          <w:rStyle w:val="AERbody"/>
        </w:rPr>
        <w:t>include in our opex forecast</w:t>
      </w:r>
      <w:r w:rsidR="006256FE" w:rsidRPr="00610219">
        <w:rPr>
          <w:rStyle w:val="AERbody"/>
        </w:rPr>
        <w:t xml:space="preserve"> differs (higher or lower) from the actual tax paid, AusNet </w:t>
      </w:r>
      <w:r w:rsidR="006256FE">
        <w:rPr>
          <w:rStyle w:val="AERbody"/>
        </w:rPr>
        <w:t xml:space="preserve">Services </w:t>
      </w:r>
      <w:r w:rsidR="006256FE" w:rsidRPr="00610219">
        <w:rPr>
          <w:rStyle w:val="AERbody"/>
        </w:rPr>
        <w:t>is entitled to apply for a cost pass through.</w:t>
      </w:r>
      <w:r w:rsidR="006256FE">
        <w:rPr>
          <w:rStyle w:val="FootnoteReference"/>
        </w:rPr>
        <w:footnoteReference w:id="37"/>
      </w:r>
      <w:r w:rsidR="006256FE">
        <w:rPr>
          <w:rStyle w:val="AERbody"/>
        </w:rPr>
        <w:t xml:space="preserve"> AusNet Services' easement land tax is typically half of its total opex forecast.</w:t>
      </w:r>
    </w:p>
    <w:p w:rsidR="006256FE" w:rsidRDefault="006256FE" w:rsidP="006256FE">
      <w:pPr>
        <w:pStyle w:val="Footer"/>
        <w:rPr>
          <w:rStyle w:val="AERbody"/>
        </w:rPr>
      </w:pPr>
      <w:r w:rsidRPr="00610219">
        <w:rPr>
          <w:rStyle w:val="AERbody"/>
        </w:rPr>
        <w:t xml:space="preserve">AusNet </w:t>
      </w:r>
      <w:r>
        <w:rPr>
          <w:rStyle w:val="AERbody"/>
        </w:rPr>
        <w:t xml:space="preserve">Services </w:t>
      </w:r>
      <w:r w:rsidRPr="00610219">
        <w:rPr>
          <w:rStyle w:val="AERbody"/>
        </w:rPr>
        <w:t>proposed an ea</w:t>
      </w:r>
      <w:r>
        <w:rPr>
          <w:rStyle w:val="AERbody"/>
        </w:rPr>
        <w:t xml:space="preserve">sement land tax forecast </w:t>
      </w:r>
      <w:r w:rsidR="00BF7160">
        <w:rPr>
          <w:rStyle w:val="AERbody"/>
        </w:rPr>
        <w:t>based on its most recent tax assessment notice</w:t>
      </w:r>
      <w:r w:rsidRPr="00610219">
        <w:rPr>
          <w:rStyle w:val="AERbody"/>
        </w:rPr>
        <w:t xml:space="preserve">. We are satisfied </w:t>
      </w:r>
      <w:r w:rsidR="00BF7160">
        <w:rPr>
          <w:rStyle w:val="AERbody"/>
        </w:rPr>
        <w:t>this is a reasonable basis to forecast easement land tax</w:t>
      </w:r>
      <w:r>
        <w:rPr>
          <w:rStyle w:val="AERbody"/>
        </w:rPr>
        <w:t xml:space="preserve">. </w:t>
      </w:r>
    </w:p>
    <w:p w:rsidR="00CB011B" w:rsidRDefault="00CB011B" w:rsidP="006256FE">
      <w:pPr>
        <w:pStyle w:val="Footer"/>
        <w:rPr>
          <w:rStyle w:val="AERbody"/>
        </w:rPr>
      </w:pPr>
      <w:r>
        <w:rPr>
          <w:rStyle w:val="AERbody"/>
        </w:rPr>
        <w:t xml:space="preserve">The EUCV submitted </w:t>
      </w:r>
      <w:r w:rsidRPr="00CB011B">
        <w:rPr>
          <w:rStyle w:val="AERbody"/>
        </w:rPr>
        <w:t xml:space="preserve">the </w:t>
      </w:r>
      <w:r>
        <w:rPr>
          <w:rStyle w:val="AERbody"/>
        </w:rPr>
        <w:t xml:space="preserve">easement land </w:t>
      </w:r>
      <w:r w:rsidRPr="00CB011B">
        <w:rPr>
          <w:rStyle w:val="AERbody"/>
        </w:rPr>
        <w:t xml:space="preserve">tax </w:t>
      </w:r>
      <w:r>
        <w:rPr>
          <w:rStyle w:val="AERbody"/>
        </w:rPr>
        <w:t>replaced the s</w:t>
      </w:r>
      <w:r w:rsidRPr="00CB011B">
        <w:rPr>
          <w:rStyle w:val="AERbody"/>
        </w:rPr>
        <w:t>melter levy</w:t>
      </w:r>
      <w:r w:rsidR="006B2CB1">
        <w:rPr>
          <w:rStyle w:val="AERbody"/>
        </w:rPr>
        <w:t>.</w:t>
      </w:r>
      <w:r w:rsidRPr="00CB011B">
        <w:rPr>
          <w:rStyle w:val="AERbody"/>
        </w:rPr>
        <w:t xml:space="preserve"> </w:t>
      </w:r>
      <w:r w:rsidR="006B2CB1">
        <w:rPr>
          <w:rStyle w:val="AERbody"/>
        </w:rPr>
        <w:t xml:space="preserve">It considered </w:t>
      </w:r>
      <w:r w:rsidRPr="00CB011B">
        <w:rPr>
          <w:rStyle w:val="AERbody"/>
        </w:rPr>
        <w:t>the Victorian government would revoke the easement land tax</w:t>
      </w:r>
      <w:r w:rsidR="006B2CB1" w:rsidRPr="006B2CB1">
        <w:rPr>
          <w:rStyle w:val="AERbody"/>
        </w:rPr>
        <w:t xml:space="preserve"> when the government </w:t>
      </w:r>
      <w:r w:rsidR="006B2CB1" w:rsidRPr="006B2CB1">
        <w:rPr>
          <w:rStyle w:val="AERbody"/>
        </w:rPr>
        <w:lastRenderedPageBreak/>
        <w:t>liability to Alcoa which caused this levy no longer applied</w:t>
      </w:r>
      <w:r>
        <w:rPr>
          <w:rStyle w:val="AERbody"/>
        </w:rPr>
        <w:t>.</w:t>
      </w:r>
      <w:r w:rsidR="006B2CB1">
        <w:rPr>
          <w:rStyle w:val="FootnoteReference"/>
          <w:color w:val="auto"/>
          <w:sz w:val="22"/>
        </w:rPr>
        <w:footnoteReference w:id="38"/>
      </w:r>
      <w:r>
        <w:rPr>
          <w:rStyle w:val="AERbody"/>
        </w:rPr>
        <w:t xml:space="preserve"> T</w:t>
      </w:r>
      <w:r w:rsidRPr="00CB011B">
        <w:rPr>
          <w:rStyle w:val="AERbody"/>
        </w:rPr>
        <w:t xml:space="preserve">he EUCV </w:t>
      </w:r>
      <w:r>
        <w:rPr>
          <w:rStyle w:val="AERbody"/>
        </w:rPr>
        <w:t>requested</w:t>
      </w:r>
      <w:r w:rsidRPr="00CB011B">
        <w:rPr>
          <w:rStyle w:val="AERbody"/>
        </w:rPr>
        <w:t xml:space="preserve"> </w:t>
      </w:r>
      <w:r w:rsidR="006B2CB1">
        <w:rPr>
          <w:rStyle w:val="AERbody"/>
        </w:rPr>
        <w:t>us to</w:t>
      </w:r>
      <w:r w:rsidRPr="00CB011B">
        <w:rPr>
          <w:rStyle w:val="AERbody"/>
        </w:rPr>
        <w:t xml:space="preserve"> ensure the amount </w:t>
      </w:r>
      <w:r>
        <w:rPr>
          <w:rStyle w:val="AERbody"/>
        </w:rPr>
        <w:t>of forecast easement land tax</w:t>
      </w:r>
      <w:r w:rsidRPr="00CB011B">
        <w:rPr>
          <w:rStyle w:val="AERbody"/>
        </w:rPr>
        <w:t xml:space="preserve"> is legitimate</w:t>
      </w:r>
      <w:r>
        <w:rPr>
          <w:rStyle w:val="AERbody"/>
        </w:rPr>
        <w:t>.</w:t>
      </w:r>
      <w:r w:rsidRPr="00CB011B">
        <w:rPr>
          <w:rStyle w:val="AERbody"/>
        </w:rPr>
        <w:t xml:space="preserve"> </w:t>
      </w:r>
      <w:r>
        <w:rPr>
          <w:rStyle w:val="AERbody"/>
        </w:rPr>
        <w:t xml:space="preserve">It also requested us to ensure the amount of the tax </w:t>
      </w:r>
      <w:r w:rsidRPr="00CB011B">
        <w:rPr>
          <w:rStyle w:val="AERbody"/>
        </w:rPr>
        <w:t xml:space="preserve">reflects the amounts that the government requires to offset its liabilities to Alcoa. Further, </w:t>
      </w:r>
      <w:r>
        <w:rPr>
          <w:rStyle w:val="AERbody"/>
        </w:rPr>
        <w:t>requested we</w:t>
      </w:r>
      <w:r w:rsidRPr="00CB011B">
        <w:rPr>
          <w:rStyle w:val="AERbody"/>
        </w:rPr>
        <w:t xml:space="preserve"> query the Victorian government </w:t>
      </w:r>
      <w:r>
        <w:rPr>
          <w:rStyle w:val="AERbody"/>
        </w:rPr>
        <w:t xml:space="preserve">about </w:t>
      </w:r>
      <w:r w:rsidRPr="00CB011B">
        <w:rPr>
          <w:rStyle w:val="AERbody"/>
        </w:rPr>
        <w:t>when the easement land tax might cease.</w:t>
      </w:r>
    </w:p>
    <w:p w:rsidR="006B2CB1" w:rsidRDefault="00CB011B" w:rsidP="006256FE">
      <w:pPr>
        <w:pStyle w:val="Footer"/>
        <w:rPr>
          <w:rStyle w:val="AERbody"/>
        </w:rPr>
      </w:pPr>
      <w:r>
        <w:rPr>
          <w:rStyle w:val="AERbody"/>
        </w:rPr>
        <w:t xml:space="preserve">We have no evidence that the easement land tax will </w:t>
      </w:r>
      <w:r w:rsidR="006B2CB1">
        <w:rPr>
          <w:rStyle w:val="AERbody"/>
        </w:rPr>
        <w:t>cease</w:t>
      </w:r>
      <w:r>
        <w:rPr>
          <w:rStyle w:val="AERbody"/>
        </w:rPr>
        <w:t xml:space="preserve"> to apply to AusNet Services</w:t>
      </w:r>
      <w:r w:rsidR="006B2CB1">
        <w:rPr>
          <w:rStyle w:val="AERbody"/>
        </w:rPr>
        <w:t xml:space="preserve"> over the 2017–22 regulatory control period</w:t>
      </w:r>
      <w:r w:rsidR="00DD4D33">
        <w:rPr>
          <w:rStyle w:val="AERbody"/>
        </w:rPr>
        <w:t>. As noted above</w:t>
      </w:r>
      <w:r w:rsidR="00AD14DC">
        <w:rPr>
          <w:rStyle w:val="AERbody"/>
        </w:rPr>
        <w:t>,</w:t>
      </w:r>
      <w:r w:rsidR="00DD4D33">
        <w:rPr>
          <w:rStyle w:val="AERbody"/>
        </w:rPr>
        <w:t xml:space="preserve"> a</w:t>
      </w:r>
      <w:r w:rsidR="00DD4D33" w:rsidRPr="00DD4D33">
        <w:rPr>
          <w:rStyle w:val="AERbody"/>
        </w:rPr>
        <w:t xml:space="preserve"> pass–through provision provides assurance that neither AusNet Services, nor its customers, will receive a windfall gain (or loss) due to the actual land tax payments required of AusNet Services being lower (or higher) than forecast in its revenue determination.</w:t>
      </w:r>
    </w:p>
    <w:p w:rsidR="00CB011B" w:rsidRDefault="00DD4D33" w:rsidP="006256FE">
      <w:pPr>
        <w:pStyle w:val="Footer"/>
        <w:rPr>
          <w:rStyle w:val="AERbody"/>
        </w:rPr>
      </w:pPr>
      <w:r>
        <w:rPr>
          <w:rStyle w:val="AERbody"/>
        </w:rPr>
        <w:t>T</w:t>
      </w:r>
      <w:r w:rsidRPr="00DD4D33">
        <w:rPr>
          <w:rStyle w:val="AERbody"/>
        </w:rPr>
        <w:t xml:space="preserve">he Victorian State Government </w:t>
      </w:r>
      <w:r>
        <w:rPr>
          <w:rStyle w:val="AERbody"/>
        </w:rPr>
        <w:t>ultimately decides whether and how much e</w:t>
      </w:r>
      <w:r w:rsidR="00B46C0B">
        <w:rPr>
          <w:rStyle w:val="AERbody"/>
        </w:rPr>
        <w:t xml:space="preserve">asement land tax </w:t>
      </w:r>
      <w:r>
        <w:rPr>
          <w:rStyle w:val="AERbody"/>
        </w:rPr>
        <w:t>it will impose.</w:t>
      </w:r>
    </w:p>
    <w:p w:rsidR="006256FE" w:rsidRPr="00333FBA" w:rsidRDefault="006256FE" w:rsidP="006256FE">
      <w:pPr>
        <w:pStyle w:val="HeadingBoldBlue"/>
      </w:pPr>
      <w:bookmarkStart w:id="115" w:name="_Toc450830182"/>
      <w:bookmarkStart w:id="116" w:name="_Toc452990523"/>
      <w:bookmarkStart w:id="117" w:name="_Toc453061011"/>
      <w:bookmarkStart w:id="118" w:name="_Toc453172507"/>
      <w:bookmarkStart w:id="119" w:name="_Toc456601981"/>
      <w:r w:rsidRPr="003A229E">
        <w:t>Debt raising costs</w:t>
      </w:r>
      <w:bookmarkEnd w:id="115"/>
      <w:bookmarkEnd w:id="116"/>
      <w:bookmarkEnd w:id="117"/>
      <w:bookmarkEnd w:id="118"/>
      <w:bookmarkEnd w:id="119"/>
    </w:p>
    <w:p w:rsidR="006256FE" w:rsidRDefault="006256FE" w:rsidP="006256FE">
      <w:r>
        <w:t xml:space="preserve">Our draft decision is to </w:t>
      </w:r>
      <w:r w:rsidR="00DE0AC9">
        <w:t>apply</w:t>
      </w:r>
      <w:r>
        <w:t xml:space="preserve"> a category specific forecast based on a benchmark for debt raising costs.</w:t>
      </w:r>
      <w:r w:rsidRPr="004F215C">
        <w:t xml:space="preserve"> </w:t>
      </w:r>
    </w:p>
    <w:p w:rsidR="006256FE" w:rsidRPr="004F215C" w:rsidRDefault="006256FE" w:rsidP="006256FE">
      <w:r w:rsidRPr="004F215C">
        <w:t xml:space="preserve">AusNet Services </w:t>
      </w:r>
      <w:r>
        <w:t>proposed using a revealed cost forecasting approach for debt raising costs. That is, it proposed leaving debt raising costs in the base year.</w:t>
      </w:r>
      <w:r w:rsidRPr="004F215C">
        <w:rPr>
          <w:rStyle w:val="FootnoteReference"/>
        </w:rPr>
        <w:footnoteReference w:id="39"/>
      </w:r>
    </w:p>
    <w:p w:rsidR="006256FE" w:rsidRDefault="006256FE" w:rsidP="006256FE">
      <w:r>
        <w:rPr>
          <w:rStyle w:val="AERbody"/>
        </w:rPr>
        <w:t>However,</w:t>
      </w:r>
      <w:r>
        <w:t xml:space="preserve"> o</w:t>
      </w:r>
      <w:r w:rsidRPr="002F6520">
        <w:t xml:space="preserve">ur </w:t>
      </w:r>
      <w:r>
        <w:t xml:space="preserve">preferred </w:t>
      </w:r>
      <w:r w:rsidRPr="002F6520">
        <w:t>approach is to forecast debt raising costs based on a benchmarking approach rather than a service provider’s actual costs</w:t>
      </w:r>
      <w:r>
        <w:t xml:space="preserve"> in a single year</w:t>
      </w:r>
      <w:r w:rsidRPr="002F6520">
        <w:t xml:space="preserve">. This </w:t>
      </w:r>
      <w:r w:rsidR="00DE0AC9">
        <w:t>provides for consistency</w:t>
      </w:r>
      <w:r w:rsidRPr="002F6520">
        <w:t xml:space="preserve"> with the forecast of the cost of debt in the rate of return building block</w:t>
      </w:r>
      <w:r w:rsidR="00DE0AC9">
        <w:t xml:space="preserve">.  We discuss this </w:t>
      </w:r>
      <w:r>
        <w:t xml:space="preserve">in the equity and </w:t>
      </w:r>
      <w:r w:rsidR="00182440">
        <w:t>debt raising costs appendix to A</w:t>
      </w:r>
      <w:r>
        <w:t>ttachment 3.</w:t>
      </w:r>
    </w:p>
    <w:p w:rsidR="006256FE" w:rsidRDefault="006256FE" w:rsidP="006256FE">
      <w:pPr>
        <w:pStyle w:val="HeadingBoldBlue"/>
      </w:pPr>
      <w:bookmarkStart w:id="120" w:name="_Toc452990525"/>
      <w:bookmarkStart w:id="121" w:name="_Toc453061013"/>
      <w:bookmarkStart w:id="122" w:name="_Toc453172509"/>
      <w:bookmarkStart w:id="123" w:name="_Toc456601982"/>
      <w:r>
        <w:t>Insurance and self-insurance</w:t>
      </w:r>
      <w:bookmarkEnd w:id="120"/>
      <w:bookmarkEnd w:id="121"/>
      <w:bookmarkEnd w:id="122"/>
      <w:bookmarkEnd w:id="123"/>
    </w:p>
    <w:p w:rsidR="006256FE" w:rsidRDefault="006256FE" w:rsidP="006256FE">
      <w:r>
        <w:t xml:space="preserve">We have not included a category specific forecast for insurance or self-insurance in our total opex forecast. Instead we have left insurance and self-insurance costs in the base year and applied a revealed cost forecasting approach.  </w:t>
      </w:r>
      <w:r w:rsidRPr="00A75416">
        <w:t>As outlined in the Guideline, base year expenditure is escalated by the forecast rate of change in opex, which includes forecast price change.</w:t>
      </w:r>
    </w:p>
    <w:p w:rsidR="006256FE" w:rsidRDefault="006256FE" w:rsidP="006256FE">
      <w:r w:rsidRPr="00A45DC4">
        <w:t>AusNet Services has forecast its insurance and self-insurance premium costs on a bottom-up basis</w:t>
      </w:r>
      <w:r>
        <w:t>. It stated it did this</w:t>
      </w:r>
      <w:r w:rsidRPr="00A45DC4">
        <w:t xml:space="preserve"> </w:t>
      </w:r>
      <w:r>
        <w:t>g</w:t>
      </w:r>
      <w:r w:rsidRPr="00A45DC4">
        <w:t xml:space="preserve">iven the magnitude of its insurance premiums and the volatile </w:t>
      </w:r>
      <w:r>
        <w:t>nature of self-insurance losses.</w:t>
      </w:r>
      <w:r>
        <w:rPr>
          <w:rStyle w:val="FootnoteReference"/>
        </w:rPr>
        <w:footnoteReference w:id="40"/>
      </w:r>
      <w:r>
        <w:t xml:space="preserve"> </w:t>
      </w:r>
      <w:r w:rsidRPr="007824EC">
        <w:t xml:space="preserve">AusNet Services </w:t>
      </w:r>
      <w:r>
        <w:t>considered</w:t>
      </w:r>
      <w:r w:rsidRPr="007824EC">
        <w:t xml:space="preserve"> </w:t>
      </w:r>
      <w:r>
        <w:t>our</w:t>
      </w:r>
      <w:r w:rsidRPr="007824EC">
        <w:t xml:space="preserve"> </w:t>
      </w:r>
      <w:r w:rsidRPr="007824EC">
        <w:lastRenderedPageBreak/>
        <w:t xml:space="preserve">approach of rolling forward base year insurance premiums at the rate of change should not be applied to </w:t>
      </w:r>
      <w:r>
        <w:t>it i</w:t>
      </w:r>
      <w:r w:rsidRPr="00A45DC4">
        <w:t>n light</w:t>
      </w:r>
      <w:r>
        <w:t xml:space="preserve"> of</w:t>
      </w:r>
      <w:r w:rsidRPr="00A45DC4">
        <w:t xml:space="preserve"> </w:t>
      </w:r>
      <w:r>
        <w:t xml:space="preserve">its forecast </w:t>
      </w:r>
      <w:r w:rsidRPr="00A45DC4">
        <w:t>cost increases</w:t>
      </w:r>
      <w:r>
        <w:t>.</w:t>
      </w:r>
      <w:r>
        <w:rPr>
          <w:rStyle w:val="FootnoteReference"/>
        </w:rPr>
        <w:footnoteReference w:id="41"/>
      </w:r>
      <w:r>
        <w:t xml:space="preserve"> </w:t>
      </w:r>
    </w:p>
    <w:p w:rsidR="006256FE" w:rsidRDefault="006256FE" w:rsidP="006256FE">
      <w:pPr>
        <w:pStyle w:val="HeadingOrange"/>
      </w:pPr>
      <w:bookmarkStart w:id="124" w:name="_Toc452990526"/>
      <w:bookmarkStart w:id="125" w:name="_Toc453061014"/>
      <w:bookmarkStart w:id="126" w:name="_Toc453172510"/>
      <w:bookmarkStart w:id="127" w:name="_Toc456601983"/>
      <w:r>
        <w:t>Insurance</w:t>
      </w:r>
      <w:bookmarkEnd w:id="124"/>
      <w:bookmarkEnd w:id="125"/>
      <w:bookmarkEnd w:id="126"/>
      <w:bookmarkEnd w:id="127"/>
    </w:p>
    <w:p w:rsidR="006256FE" w:rsidRDefault="006256FE" w:rsidP="006256FE">
      <w:r>
        <w:t>AusNet Services proposed a category specific forecast for insurance of $28.9 million ($2016–17). This increased its total opex forecast by $2.2 million compared to leaving insurance costs in the base year.</w:t>
      </w:r>
      <w:r>
        <w:rPr>
          <w:rStyle w:val="FootnoteReference"/>
        </w:rPr>
        <w:footnoteReference w:id="42"/>
      </w:r>
    </w:p>
    <w:p w:rsidR="006256FE" w:rsidRDefault="006256FE" w:rsidP="006256FE">
      <w:r>
        <w:t>AusNet Services stated that i</w:t>
      </w:r>
      <w:r w:rsidRPr="007824EC">
        <w:t>nsurance costs are a significant component of opex, accounting for around 6</w:t>
      </w:r>
      <w:r w:rsidR="00AD14DC">
        <w:t> per cent</w:t>
      </w:r>
      <w:r w:rsidRPr="007824EC">
        <w:t xml:space="preserve"> of </w:t>
      </w:r>
      <w:r>
        <w:t>its</w:t>
      </w:r>
      <w:r w:rsidRPr="007824EC">
        <w:t xml:space="preserve"> controlla</w:t>
      </w:r>
      <w:r>
        <w:t>ble opex forecast over the 2017–</w:t>
      </w:r>
      <w:r w:rsidRPr="007824EC">
        <w:t xml:space="preserve">22 regulatory </w:t>
      </w:r>
      <w:r>
        <w:t xml:space="preserve">control </w:t>
      </w:r>
      <w:proofErr w:type="gramStart"/>
      <w:r w:rsidRPr="007824EC">
        <w:t>period</w:t>
      </w:r>
      <w:proofErr w:type="gramEnd"/>
      <w:r w:rsidRPr="007824EC">
        <w:t>.</w:t>
      </w:r>
      <w:r>
        <w:rPr>
          <w:rStyle w:val="FootnoteReference"/>
        </w:rPr>
        <w:footnoteReference w:id="43"/>
      </w:r>
      <w:r w:rsidRPr="007824EC">
        <w:t xml:space="preserve"> </w:t>
      </w:r>
      <w:r>
        <w:t xml:space="preserve">It stated </w:t>
      </w:r>
      <w:r w:rsidR="00DE7F00">
        <w:t xml:space="preserve">that </w:t>
      </w:r>
      <w:r w:rsidR="009858AC" w:rsidRPr="009858AC">
        <w:t xml:space="preserve">our approach implies that any increase </w:t>
      </w:r>
      <w:r w:rsidR="009858AC">
        <w:t xml:space="preserve">in insurance </w:t>
      </w:r>
      <w:r w:rsidR="009858AC" w:rsidRPr="009858AC">
        <w:t>is offset by a similarly large decline in other opex costs</w:t>
      </w:r>
      <w:r w:rsidRPr="007824EC">
        <w:t xml:space="preserve">. Given the quantum of its insurance premiums relative to other </w:t>
      </w:r>
      <w:r>
        <w:t xml:space="preserve">costs, AusNet Services did not consider </w:t>
      </w:r>
      <w:r w:rsidRPr="007824EC">
        <w:t>such offsets would exist.</w:t>
      </w:r>
    </w:p>
    <w:p w:rsidR="006256FE" w:rsidRPr="00A75416" w:rsidRDefault="006256FE" w:rsidP="006256FE">
      <w:r w:rsidRPr="00A75416">
        <w:t xml:space="preserve">If we exclude opex categories that are rising faster than total opex from base opex then the remaining categories will be rising at a slower rate than total opex or declining. If we apply the total opex rate of change to those remaining categories then the total opex forecast will systematically exceed the efficient level of opex. Frontier Economics made this point when they reviewed the forecasting approach </w:t>
      </w:r>
      <w:r>
        <w:t xml:space="preserve">AusNet Services (then </w:t>
      </w:r>
      <w:r w:rsidRPr="00A75416">
        <w:t>SP AusNet</w:t>
      </w:r>
      <w:r>
        <w:t>)</w:t>
      </w:r>
      <w:r w:rsidRPr="00A75416">
        <w:t xml:space="preserve"> adopted to forecast its opex</w:t>
      </w:r>
      <w:r>
        <w:t xml:space="preserve"> in its previous </w:t>
      </w:r>
      <w:r w:rsidRPr="00A75416">
        <w:t xml:space="preserve">transmission </w:t>
      </w:r>
      <w:r>
        <w:t>determination</w:t>
      </w:r>
      <w:r w:rsidRPr="00A75416">
        <w:t>:</w:t>
      </w:r>
      <w:r>
        <w:rPr>
          <w:rStyle w:val="FootnoteReference"/>
        </w:rPr>
        <w:footnoteReference w:id="44"/>
      </w:r>
      <w:r w:rsidRPr="00A75416">
        <w:t xml:space="preserve"> </w:t>
      </w:r>
    </w:p>
    <w:p w:rsidR="006256FE" w:rsidRPr="00A75416" w:rsidRDefault="006256FE" w:rsidP="006256FE">
      <w:pPr>
        <w:pStyle w:val="AERquote"/>
      </w:pPr>
      <w:r w:rsidRPr="00A75416">
        <w:t>In our view, such ‘cherry-picking’ would likely result in aggregate controllable opex being systematically and inefficiently over-forecast. This is because with overall controllable opex fairly stable over time, the exclusion of components forecast to rise from the single base year forecasting approach would imply that the remaining components of controllable opex—those subject to the single base year approach—would exhibit a falling trend. However, as a premise of the single base year approach is that future expenditure should mimic past expenditure, using such an approach to forecast expenditure components known to be in a falling trend would tend to result in the forecasts for these components being too high. Therefore, combining a bottom-up approach for rising trend components of opex with a single base year approach for falling trend components of opex would tend to result in an overall controllable opex forecast that systematically exceeded the efficient level of expenditure.</w:t>
      </w:r>
    </w:p>
    <w:p w:rsidR="006256FE" w:rsidRDefault="006256FE" w:rsidP="006256FE">
      <w:pPr>
        <w:rPr>
          <w:rStyle w:val="AERbody"/>
        </w:rPr>
      </w:pPr>
      <w:r>
        <w:t>We acknowledge</w:t>
      </w:r>
      <w:r w:rsidRPr="00A75416">
        <w:t xml:space="preserve"> the market price for insurance change</w:t>
      </w:r>
      <w:r>
        <w:t>s</w:t>
      </w:r>
      <w:r w:rsidRPr="00A75416">
        <w:t xml:space="preserve"> at a different rate than total opex. However, this is true of many opex cost items. If we separately forecast insurance costs because it increases in price more rapidly than the total opex basket, then we must also separately forecast opex items that increase in price less rapidly to avoid forecasting bias. For this reason, we consider that forecasting the price change of total opex is likely to be more accurate. </w:t>
      </w:r>
      <w:r>
        <w:rPr>
          <w:rStyle w:val="AERbody"/>
        </w:rPr>
        <w:fldChar w:fldCharType="begin"/>
      </w:r>
      <w:r>
        <w:rPr>
          <w:rStyle w:val="AERbody"/>
        </w:rPr>
        <w:instrText xml:space="preserve"> REF _Ref452718290 \h </w:instrText>
      </w:r>
      <w:r>
        <w:rPr>
          <w:rStyle w:val="AERbody"/>
        </w:rPr>
      </w:r>
      <w:r>
        <w:rPr>
          <w:rStyle w:val="AERbody"/>
        </w:rPr>
        <w:fldChar w:fldCharType="separate"/>
      </w:r>
      <w:r w:rsidR="00740726">
        <w:t xml:space="preserve">Figure </w:t>
      </w:r>
      <w:r w:rsidR="00740726">
        <w:rPr>
          <w:noProof/>
        </w:rPr>
        <w:t>A</w:t>
      </w:r>
      <w:r w:rsidR="00740726">
        <w:t>.</w:t>
      </w:r>
      <w:r w:rsidR="00740726">
        <w:rPr>
          <w:noProof/>
        </w:rPr>
        <w:t>3</w:t>
      </w:r>
      <w:r>
        <w:rPr>
          <w:rStyle w:val="AERbody"/>
        </w:rPr>
        <w:fldChar w:fldCharType="end"/>
      </w:r>
      <w:r>
        <w:rPr>
          <w:rStyle w:val="AERbody"/>
        </w:rPr>
        <w:t xml:space="preserve"> above </w:t>
      </w:r>
      <w:r w:rsidR="003F4B0B">
        <w:rPr>
          <w:rStyle w:val="AERbody"/>
        </w:rPr>
        <w:t xml:space="preserve">supports our position.  It </w:t>
      </w:r>
      <w:r>
        <w:rPr>
          <w:rStyle w:val="AERbody"/>
        </w:rPr>
        <w:lastRenderedPageBreak/>
        <w:t xml:space="preserve">shows AusNet Services' total opex has been relatively stable since 2010–11 despite increasing insurance premiums. </w:t>
      </w:r>
    </w:p>
    <w:p w:rsidR="00A839A3" w:rsidRDefault="00A839A3" w:rsidP="006256FE">
      <w:pPr>
        <w:rPr>
          <w:rStyle w:val="AERbody"/>
        </w:rPr>
      </w:pPr>
      <w:r>
        <w:rPr>
          <w:rStyle w:val="AERbody"/>
        </w:rPr>
        <w:t>The CCP submitted it was concerned about AusNet Services'</w:t>
      </w:r>
      <w:r w:rsidRPr="00A839A3">
        <w:rPr>
          <w:rStyle w:val="AERbody"/>
        </w:rPr>
        <w:t xml:space="preserve"> proposed increase in insurance costs</w:t>
      </w:r>
      <w:r>
        <w:rPr>
          <w:rStyle w:val="AERbody"/>
        </w:rPr>
        <w:t xml:space="preserve">. It was not convinced by AusNet Services' reason to include a category specific forecast. It proposed we </w:t>
      </w:r>
      <w:r w:rsidRPr="00A839A3">
        <w:rPr>
          <w:rStyle w:val="AERbody"/>
        </w:rPr>
        <w:t>maintain the approach of rolling forward base year premiums and regard insurance costs as part of ‘base’ opex</w:t>
      </w:r>
      <w:r>
        <w:rPr>
          <w:rStyle w:val="AERbody"/>
        </w:rPr>
        <w:t>.</w:t>
      </w:r>
      <w:r>
        <w:rPr>
          <w:rStyle w:val="FootnoteReference"/>
        </w:rPr>
        <w:footnoteReference w:id="45"/>
      </w:r>
    </w:p>
    <w:p w:rsidR="006256FE" w:rsidRDefault="006256FE" w:rsidP="006256FE">
      <w:pPr>
        <w:rPr>
          <w:rStyle w:val="AERbody"/>
        </w:rPr>
      </w:pPr>
      <w:r>
        <w:rPr>
          <w:rStyle w:val="AERbody"/>
        </w:rPr>
        <w:t xml:space="preserve">We note AusNet Services has joint insurance for its transmission and distribution businesses. To forecast insurance costs for its transmission business, it forecast the joint base premiums and then allocated the appropriate portion </w:t>
      </w:r>
      <w:r w:rsidRPr="006A49DE">
        <w:rPr>
          <w:rStyle w:val="AERbody"/>
        </w:rPr>
        <w:t xml:space="preserve">to </w:t>
      </w:r>
      <w:r>
        <w:rPr>
          <w:rStyle w:val="AERbody"/>
        </w:rPr>
        <w:t>the t</w:t>
      </w:r>
      <w:r w:rsidRPr="006A49DE">
        <w:rPr>
          <w:rStyle w:val="AERbody"/>
        </w:rPr>
        <w:t>ransmission business.</w:t>
      </w:r>
      <w:r>
        <w:rPr>
          <w:rStyle w:val="AERbody"/>
        </w:rPr>
        <w:t xml:space="preserve"> We note that in our recent determination for AusNet Services' distribution business we forecast its insurance on a base-step-trend approach. That is, we left insurance in the base year and applied the same rate of change we applied to the total opex forecast. AusNet Services </w:t>
      </w:r>
      <w:r w:rsidR="00675850">
        <w:rPr>
          <w:rStyle w:val="AERbody"/>
        </w:rPr>
        <w:t xml:space="preserve">adopted </w:t>
      </w:r>
      <w:r>
        <w:rPr>
          <w:rStyle w:val="AERbody"/>
        </w:rPr>
        <w:t>this approach in its revised proposal.</w:t>
      </w:r>
      <w:r>
        <w:rPr>
          <w:rStyle w:val="FootnoteReference"/>
        </w:rPr>
        <w:footnoteReference w:id="46"/>
      </w:r>
      <w:r>
        <w:rPr>
          <w:rStyle w:val="AERbody"/>
        </w:rPr>
        <w:t xml:space="preserve"> </w:t>
      </w:r>
    </w:p>
    <w:p w:rsidR="006256FE" w:rsidRDefault="006256FE" w:rsidP="006256FE">
      <w:pPr>
        <w:pStyle w:val="HeadingOrange"/>
      </w:pPr>
      <w:bookmarkStart w:id="128" w:name="_Toc452990527"/>
      <w:bookmarkStart w:id="129" w:name="_Toc453061015"/>
      <w:bookmarkStart w:id="130" w:name="_Toc453172511"/>
      <w:bookmarkStart w:id="131" w:name="_Toc456601984"/>
      <w:r>
        <w:t>Self-insurance</w:t>
      </w:r>
      <w:bookmarkEnd w:id="128"/>
      <w:bookmarkEnd w:id="129"/>
      <w:bookmarkEnd w:id="130"/>
      <w:bookmarkEnd w:id="131"/>
    </w:p>
    <w:p w:rsidR="006256FE" w:rsidRDefault="006256FE" w:rsidP="006256FE">
      <w:r>
        <w:t>AusNet Services proposed a category specific forecast for self-insurance of $13.5 million ($2016–17).</w:t>
      </w:r>
      <w:r w:rsidRPr="008343F3">
        <w:t xml:space="preserve"> </w:t>
      </w:r>
      <w:r>
        <w:t>This increased its total opex forecast by $3.2 million ($2016–17) compared to leaving self-insurance costs in the base year.</w:t>
      </w:r>
    </w:p>
    <w:p w:rsidR="006256FE" w:rsidRDefault="006256FE" w:rsidP="006256FE">
      <w:r>
        <w:t>AusNet Services stated s</w:t>
      </w:r>
      <w:r w:rsidRPr="008343F3">
        <w:t>elf-insurance losses are volatile and can vary markedly from year to year.</w:t>
      </w:r>
      <w:r>
        <w:rPr>
          <w:rStyle w:val="FootnoteReference"/>
        </w:rPr>
        <w:footnoteReference w:id="47"/>
      </w:r>
      <w:r w:rsidRPr="008343F3">
        <w:t xml:space="preserve"> For this reason, </w:t>
      </w:r>
      <w:r>
        <w:t xml:space="preserve">it considered our </w:t>
      </w:r>
      <w:r w:rsidRPr="008343F3">
        <w:t xml:space="preserve">approach </w:t>
      </w:r>
      <w:r>
        <w:t xml:space="preserve">of relying on actual losses in a single year </w:t>
      </w:r>
      <w:r w:rsidRPr="008343F3">
        <w:t xml:space="preserve">is likely to result in a less accurate forecast of self-insurance than </w:t>
      </w:r>
      <w:r>
        <w:t>a forecast based on expected losses</w:t>
      </w:r>
      <w:r w:rsidRPr="008343F3">
        <w:t>, particularly if base year opex is influenced by an abnormally high or low level of self-insurance losses.</w:t>
      </w:r>
    </w:p>
    <w:p w:rsidR="006256FE" w:rsidRDefault="006256FE" w:rsidP="006256FE">
      <w:pPr>
        <w:rPr>
          <w:rStyle w:val="AERbody"/>
        </w:rPr>
      </w:pPr>
      <w:r>
        <w:t>T</w:t>
      </w:r>
      <w:r w:rsidRPr="00A75416">
        <w:t xml:space="preserve">he NER requires us to form a view on </w:t>
      </w:r>
      <w:r>
        <w:t xml:space="preserve">total opex, rather than on </w:t>
      </w:r>
      <w:r w:rsidRPr="00A75416">
        <w:t xml:space="preserve">components such as </w:t>
      </w:r>
      <w:r>
        <w:t>self-</w:t>
      </w:r>
      <w:r w:rsidRPr="00A75416">
        <w:t>insurance.</w:t>
      </w:r>
      <w:r w:rsidRPr="0004599B">
        <w:rPr>
          <w:rStyle w:val="FootnoteReference"/>
        </w:rPr>
        <w:t xml:space="preserve"> </w:t>
      </w:r>
      <w:r>
        <w:rPr>
          <w:rStyle w:val="FootnoteReference"/>
        </w:rPr>
        <w:footnoteReference w:id="48"/>
      </w:r>
      <w:r>
        <w:t xml:space="preserve"> Consequently, w</w:t>
      </w:r>
      <w:r w:rsidRPr="00034966">
        <w:t>e make our assessment about the total forecast opex</w:t>
      </w:r>
      <w:r>
        <w:t xml:space="preserve"> amount</w:t>
      </w:r>
      <w:r w:rsidRPr="00034966">
        <w:t xml:space="preserve"> and not about particular categories or projects in the opex forecast.</w:t>
      </w:r>
      <w:r w:rsidRPr="00034966">
        <w:rPr>
          <w:rStyle w:val="AERbody"/>
        </w:rPr>
        <w:t xml:space="preserve"> Within total opex we would expect some variation in the composition of expenditure from year to year. That is, expenditure for some categories </w:t>
      </w:r>
      <w:r w:rsidR="00716DE7">
        <w:rPr>
          <w:rStyle w:val="AERbody"/>
        </w:rPr>
        <w:t>would</w:t>
      </w:r>
      <w:r w:rsidR="00716DE7" w:rsidRPr="00034966">
        <w:rPr>
          <w:rStyle w:val="AERbody"/>
        </w:rPr>
        <w:t xml:space="preserve"> </w:t>
      </w:r>
      <w:r w:rsidRPr="00034966">
        <w:rPr>
          <w:rStyle w:val="AERbody"/>
        </w:rPr>
        <w:t xml:space="preserve">be higher than usual in a given year while other categories </w:t>
      </w:r>
      <w:r w:rsidR="00716DE7">
        <w:rPr>
          <w:rStyle w:val="AERbody"/>
        </w:rPr>
        <w:t>would</w:t>
      </w:r>
      <w:r w:rsidR="00716DE7" w:rsidRPr="00034966">
        <w:rPr>
          <w:rStyle w:val="AERbody"/>
        </w:rPr>
        <w:t xml:space="preserve"> </w:t>
      </w:r>
      <w:r w:rsidRPr="00034966">
        <w:rPr>
          <w:rStyle w:val="AERbody"/>
        </w:rPr>
        <w:t xml:space="preserve">be lower than usual. However, these variations </w:t>
      </w:r>
      <w:r w:rsidR="00716DE7">
        <w:rPr>
          <w:rStyle w:val="AERbody"/>
        </w:rPr>
        <w:t>are expected</w:t>
      </w:r>
      <w:r w:rsidR="00716DE7" w:rsidRPr="00034966">
        <w:rPr>
          <w:rStyle w:val="AERbody"/>
        </w:rPr>
        <w:t xml:space="preserve"> </w:t>
      </w:r>
      <w:r w:rsidRPr="00034966">
        <w:rPr>
          <w:rStyle w:val="AERbody"/>
        </w:rPr>
        <w:t>to offset each other so that total opex is relatively stable</w:t>
      </w:r>
      <w:r w:rsidR="00716DE7">
        <w:rPr>
          <w:rStyle w:val="AERbody"/>
        </w:rPr>
        <w:t xml:space="preserve">. </w:t>
      </w:r>
      <w:r w:rsidR="009858AC">
        <w:rPr>
          <w:rStyle w:val="AERbody"/>
        </w:rPr>
        <w:t xml:space="preserve"> </w:t>
      </w:r>
      <w:r w:rsidR="00716DE7">
        <w:rPr>
          <w:rStyle w:val="AERbody"/>
        </w:rPr>
        <w:t xml:space="preserve">This </w:t>
      </w:r>
      <w:r w:rsidR="00625FE8">
        <w:rPr>
          <w:rStyle w:val="AERbody"/>
        </w:rPr>
        <w:t xml:space="preserve">expectation </w:t>
      </w:r>
      <w:r w:rsidR="00716DE7">
        <w:rPr>
          <w:rStyle w:val="AERbody"/>
        </w:rPr>
        <w:t xml:space="preserve">is consistent with </w:t>
      </w:r>
      <w:r w:rsidR="009858AC" w:rsidRPr="009858AC">
        <w:rPr>
          <w:rStyle w:val="AERbody"/>
        </w:rPr>
        <w:t>AusNet Services' past opex</w:t>
      </w:r>
      <w:r w:rsidR="00107D1C">
        <w:rPr>
          <w:rStyle w:val="AERbody"/>
        </w:rPr>
        <w:t xml:space="preserve"> which has been relatively stable since 2010–11 (see </w:t>
      </w:r>
      <w:r w:rsidR="00107D1C">
        <w:rPr>
          <w:rStyle w:val="AERbody"/>
        </w:rPr>
        <w:fldChar w:fldCharType="begin"/>
      </w:r>
      <w:r w:rsidR="00107D1C">
        <w:rPr>
          <w:rStyle w:val="AERbody"/>
        </w:rPr>
        <w:instrText xml:space="preserve"> REF _Ref403981476 \h </w:instrText>
      </w:r>
      <w:r w:rsidR="00107D1C">
        <w:rPr>
          <w:rStyle w:val="AERbody"/>
        </w:rPr>
      </w:r>
      <w:r w:rsidR="00107D1C">
        <w:rPr>
          <w:rStyle w:val="AERbody"/>
        </w:rPr>
        <w:fldChar w:fldCharType="separate"/>
      </w:r>
      <w:r w:rsidR="00740726" w:rsidRPr="00E2581B">
        <w:t xml:space="preserve">Figure </w:t>
      </w:r>
      <w:r w:rsidR="00740726">
        <w:rPr>
          <w:noProof/>
        </w:rPr>
        <w:t>7</w:t>
      </w:r>
      <w:r w:rsidR="00740726">
        <w:t>.</w:t>
      </w:r>
      <w:r w:rsidR="00740726">
        <w:rPr>
          <w:noProof/>
        </w:rPr>
        <w:t>1</w:t>
      </w:r>
      <w:r w:rsidR="00107D1C">
        <w:rPr>
          <w:rStyle w:val="AERbody"/>
        </w:rPr>
        <w:fldChar w:fldCharType="end"/>
      </w:r>
      <w:r w:rsidR="00107D1C">
        <w:rPr>
          <w:rStyle w:val="AERbody"/>
        </w:rPr>
        <w:t>)</w:t>
      </w:r>
      <w:r w:rsidRPr="00034966">
        <w:rPr>
          <w:rStyle w:val="AERbody"/>
        </w:rPr>
        <w:t>.</w:t>
      </w:r>
      <w:r w:rsidRPr="0004599B">
        <w:t xml:space="preserve"> </w:t>
      </w:r>
      <w:r w:rsidRPr="00272E00">
        <w:t xml:space="preserve">We would generally expect that a </w:t>
      </w:r>
      <w:r>
        <w:t xml:space="preserve">prudent and efficient </w:t>
      </w:r>
      <w:r w:rsidRPr="00272E00">
        <w:t xml:space="preserve">service provider </w:t>
      </w:r>
      <w:r>
        <w:t>would</w:t>
      </w:r>
      <w:r w:rsidRPr="00272E00">
        <w:t xml:space="preserve"> reallocate resources between different projects and between different categories</w:t>
      </w:r>
      <w:r>
        <w:t xml:space="preserve"> in response to its changing business needs</w:t>
      </w:r>
      <w:r w:rsidRPr="00272E00">
        <w:t>.</w:t>
      </w:r>
      <w:r w:rsidRPr="00034966">
        <w:rPr>
          <w:rStyle w:val="AERbody"/>
        </w:rPr>
        <w:t xml:space="preserve"> </w:t>
      </w:r>
      <w:r>
        <w:rPr>
          <w:rStyle w:val="AERbody"/>
        </w:rPr>
        <w:t>In this context, u</w:t>
      </w:r>
      <w:r w:rsidRPr="00034966">
        <w:rPr>
          <w:rStyle w:val="AERbody"/>
        </w:rPr>
        <w:t xml:space="preserve">sing a category specific forecasting method may produce </w:t>
      </w:r>
      <w:r w:rsidR="00625FE8">
        <w:rPr>
          <w:rStyle w:val="AERbody"/>
        </w:rPr>
        <w:t>a better forecast</w:t>
      </w:r>
      <w:r w:rsidRPr="00034966">
        <w:rPr>
          <w:rStyle w:val="AERbody"/>
        </w:rPr>
        <w:t xml:space="preserve"> of expenditure for </w:t>
      </w:r>
      <w:r w:rsidR="00625FE8">
        <w:rPr>
          <w:rStyle w:val="AERbody"/>
        </w:rPr>
        <w:t>a particular category</w:t>
      </w:r>
      <w:r w:rsidRPr="00034966">
        <w:rPr>
          <w:rStyle w:val="AERbody"/>
        </w:rPr>
        <w:t xml:space="preserve"> but we do not consider it produces a better forecast of total opex. </w:t>
      </w:r>
    </w:p>
    <w:p w:rsidR="006256FE" w:rsidRPr="00272E00" w:rsidRDefault="006256FE" w:rsidP="006256FE">
      <w:r w:rsidRPr="00272E00">
        <w:lastRenderedPageBreak/>
        <w:t>Both we and AusNet Serv</w:t>
      </w:r>
      <w:r w:rsidR="00625FE8">
        <w:t>ices have forecast opex for 2017–22</w:t>
      </w:r>
      <w:r w:rsidRPr="00272E00">
        <w:t xml:space="preserve"> by predominantly using a top down revealed cost method. That is, both we and AusNet Services have taken the costs incurred in 2014 and used them to estimate total opex for </w:t>
      </w:r>
      <w:r w:rsidR="00625FE8">
        <w:t>the 2017–22 regulatory control period</w:t>
      </w:r>
      <w:r w:rsidRPr="00272E00">
        <w:t xml:space="preserve">. </w:t>
      </w:r>
    </w:p>
    <w:p w:rsidR="006256FE" w:rsidRPr="00272E00" w:rsidRDefault="006256FE" w:rsidP="006256FE">
      <w:r w:rsidRPr="00272E00">
        <w:t xml:space="preserve">We use this approach because total opex tends to be relatively </w:t>
      </w:r>
      <w:r w:rsidR="00625FE8">
        <w:t>stable</w:t>
      </w:r>
      <w:r w:rsidR="00AD14DC">
        <w:t>—</w:t>
      </w:r>
      <w:r w:rsidRPr="00272E00">
        <w:t xml:space="preserve">suggesting it is a reasonable basis for forecasting total opex for the next regulatory control period. As </w:t>
      </w:r>
      <w:r w:rsidR="00A30EB0">
        <w:t>stated above</w:t>
      </w:r>
      <w:r w:rsidRPr="00272E00">
        <w:t xml:space="preserve">, AusNet Services' total opex has been </w:t>
      </w:r>
      <w:r w:rsidR="00625FE8">
        <w:t>stable</w:t>
      </w:r>
      <w:r w:rsidRPr="00272E00">
        <w:t xml:space="preserve"> </w:t>
      </w:r>
      <w:r>
        <w:t>since 2010–11</w:t>
      </w:r>
      <w:r w:rsidRPr="00272E00">
        <w:t xml:space="preserve">. This is the case even though </w:t>
      </w:r>
      <w:r>
        <w:t>self-insurance costs may have been volatile.</w:t>
      </w:r>
      <w:r w:rsidRPr="00272E00">
        <w:t xml:space="preserve"> </w:t>
      </w:r>
    </w:p>
    <w:p w:rsidR="006256FE" w:rsidRPr="00272E00" w:rsidRDefault="006256FE" w:rsidP="006256FE">
      <w:r w:rsidRPr="00272E00">
        <w:t xml:space="preserve">By using a revealed cost approach neither we nor AusNet Services are forecasting that the opex </w:t>
      </w:r>
      <w:r>
        <w:t>AusNet Services incurred in 2014–15</w:t>
      </w:r>
      <w:r w:rsidRPr="00272E00">
        <w:t xml:space="preserve"> for each specific program or category will be the same in each year of the next regulatory control period. We have not considered what forecast opex AusNet Services will spend on each opex program and project in the next regulatory control period. The top down nature of this approach (which is consistent with the NER requirement to determine opex in total) means it is not necessary </w:t>
      </w:r>
      <w:r w:rsidR="003F4B0B">
        <w:t xml:space="preserve">for us </w:t>
      </w:r>
      <w:r w:rsidRPr="00272E00">
        <w:t xml:space="preserve">to consider exactly how AusNet Services </w:t>
      </w:r>
      <w:r w:rsidR="003F4B0B">
        <w:t>intends to</w:t>
      </w:r>
      <w:r w:rsidR="003F4B0B" w:rsidRPr="00272E00">
        <w:t xml:space="preserve"> </w:t>
      </w:r>
      <w:r w:rsidRPr="00272E00">
        <w:t xml:space="preserve">allocate opex to programs and projects in the next regulatory control period. </w:t>
      </w:r>
      <w:r w:rsidR="00B47326">
        <w:t xml:space="preserve">In its proposal, with the exception of proposed step changes, </w:t>
      </w:r>
      <w:r w:rsidRPr="00272E00">
        <w:t>AusNet Services</w:t>
      </w:r>
      <w:r w:rsidR="003F4B0B">
        <w:t xml:space="preserve"> has not sought to explain</w:t>
      </w:r>
      <w:r w:rsidR="00B47326">
        <w:t xml:space="preserve"> </w:t>
      </w:r>
      <w:r w:rsidR="003F4B0B">
        <w:t>what</w:t>
      </w:r>
      <w:r w:rsidRPr="00272E00">
        <w:t xml:space="preserve"> it expects to spend on each program in the next regulatory control period. </w:t>
      </w:r>
    </w:p>
    <w:p w:rsidR="006256FE" w:rsidRPr="00272E00" w:rsidRDefault="006256FE" w:rsidP="006256FE">
      <w:r w:rsidRPr="00272E00">
        <w:t xml:space="preserve">We also have concerns about category specific forecasting approaches when used in conjunction with a revealed cost forecasting approach. Under such a hybrid approach, a service provider has an incentive to use a bottom-up forecasting approach for new projects or programs, or where the cost is expected to rise in the forecast period. Where a service provider expects the costs of projects or programs to decline, its incentive is to use a base year approach. Under such a hybrid forecasting approach, a service provider would be financially rewarded as a result of the costs of projects and programs that are declining but would not be penalised for the costs of the projects and programs that are increasing. </w:t>
      </w:r>
    </w:p>
    <w:p w:rsidR="006256FE" w:rsidRPr="00272E00" w:rsidRDefault="006256FE" w:rsidP="006256FE">
      <w:r>
        <w:t>We note</w:t>
      </w:r>
      <w:r w:rsidRPr="00272E00">
        <w:t xml:space="preserve"> the revenue impacts of one off self-insurance losses in the base year will be addressed by including self-insurance in the EBSS</w:t>
      </w:r>
      <w:r w:rsidRPr="00F35A60">
        <w:t xml:space="preserve"> </w:t>
      </w:r>
      <w:r w:rsidRPr="00272E00">
        <w:t>in the next regulatory control period. The interaction of the EBSS with a revealed cost forecasting approach means the net impact on total revenue of a self-insurance loss (or savings) in the base year is small. For example, if AusNet Services incurs a $10 million self-insurance cost in the base year, its opex forecast for the following period will be $50 million higher. However, its EBSS reward will be lower by a similar magnitude, offsetting the higher opex forecast. Similarly, if AusNet Services pays no self-insurance costs in the base year, its opex forecast going forward will be lower but it will receive an offsetting EBSS reward. When the EBSS applies, the costs of a self-insurance event will be shared between the network service provider and network consumers according to the sharing ratio in the EBSS. That is, regardless of the timing of the event</w:t>
      </w:r>
      <w:r w:rsidR="00A30EB0">
        <w:t>,</w:t>
      </w:r>
      <w:r w:rsidRPr="00272E00">
        <w:t xml:space="preserve"> the cost will be shared approximately 30:70 between the service provider and network consumers.</w:t>
      </w:r>
      <w:r>
        <w:rPr>
          <w:rStyle w:val="FootnoteReference"/>
        </w:rPr>
        <w:footnoteReference w:id="49"/>
      </w:r>
      <w:r w:rsidRPr="00272E00">
        <w:t xml:space="preserve"> </w:t>
      </w:r>
    </w:p>
    <w:p w:rsidR="006256FE" w:rsidRPr="007D40E6" w:rsidRDefault="006256FE" w:rsidP="006256FE">
      <w:pPr>
        <w:pStyle w:val="HeadingBoldBlue"/>
        <w:rPr>
          <w:rStyle w:val="AERbody"/>
        </w:rPr>
      </w:pPr>
      <w:bookmarkStart w:id="132" w:name="_Toc452990528"/>
      <w:bookmarkStart w:id="133" w:name="_Toc453061016"/>
      <w:bookmarkStart w:id="134" w:name="_Toc453172512"/>
      <w:bookmarkStart w:id="135" w:name="_Toc456601985"/>
      <w:r w:rsidRPr="00E2613F">
        <w:lastRenderedPageBreak/>
        <w:t>Group 3 asset roll in</w:t>
      </w:r>
      <w:bookmarkEnd w:id="132"/>
      <w:bookmarkEnd w:id="133"/>
      <w:bookmarkEnd w:id="134"/>
      <w:bookmarkEnd w:id="135"/>
    </w:p>
    <w:p w:rsidR="006256FE" w:rsidRPr="00C911F8" w:rsidRDefault="006256FE" w:rsidP="006256FE">
      <w:r w:rsidRPr="00C911F8">
        <w:t xml:space="preserve">During any regulatory control period, AEMO or a distribution business may request AusNet Services to augment the transmission network or distribution connection services. </w:t>
      </w:r>
      <w:r>
        <w:t>We do not roll t</w:t>
      </w:r>
      <w:r w:rsidRPr="00C911F8">
        <w:t xml:space="preserve">hese assets </w:t>
      </w:r>
      <w:r>
        <w:t xml:space="preserve">into the regulated asset base </w:t>
      </w:r>
      <w:r w:rsidRPr="00C911F8">
        <w:t>until the subsequent revenue determination. AusNet Services refer to the</w:t>
      </w:r>
      <w:r>
        <w:t>se</w:t>
      </w:r>
      <w:r w:rsidRPr="00C911F8">
        <w:t xml:space="preserve"> assets as ‘</w:t>
      </w:r>
      <w:r w:rsidR="00A64F2B">
        <w:t>gr</w:t>
      </w:r>
      <w:r w:rsidRPr="00C911F8">
        <w:t>oup 3 assets’.</w:t>
      </w:r>
    </w:p>
    <w:p w:rsidR="006256FE" w:rsidRDefault="006256FE" w:rsidP="006256FE">
      <w:pPr>
        <w:rPr>
          <w:rStyle w:val="AERbody"/>
        </w:rPr>
      </w:pPr>
      <w:r>
        <w:rPr>
          <w:rStyle w:val="AERbody"/>
        </w:rPr>
        <w:t>T</w:t>
      </w:r>
      <w:r w:rsidRPr="009E64BC">
        <w:rPr>
          <w:rStyle w:val="AERbody"/>
        </w:rPr>
        <w:t>he opex associated with the</w:t>
      </w:r>
      <w:r>
        <w:rPr>
          <w:rStyle w:val="AERbody"/>
        </w:rPr>
        <w:t>se</w:t>
      </w:r>
      <w:r w:rsidRPr="009E64BC">
        <w:rPr>
          <w:rStyle w:val="AERbody"/>
        </w:rPr>
        <w:t xml:space="preserve"> group 3 assets is currently charged to customers outside the revenue cap</w:t>
      </w:r>
      <w:r>
        <w:rPr>
          <w:rStyle w:val="AERbody"/>
        </w:rPr>
        <w:t xml:space="preserve"> and is not reflected in base opex. Consequently we need to increase our opex forecast for the additional expenses associated with the operation and maintenance of the group 3 assets that we roll into the RAB. The value of the assets being rolled into the RAB in April 2017 is $99 million ($2016–17).</w:t>
      </w:r>
      <w:r>
        <w:rPr>
          <w:rStyle w:val="FootnoteReference"/>
        </w:rPr>
        <w:footnoteReference w:id="50"/>
      </w:r>
    </w:p>
    <w:p w:rsidR="006256FE" w:rsidRDefault="006256FE" w:rsidP="006256FE">
      <w:pPr>
        <w:rPr>
          <w:rStyle w:val="AERbody"/>
        </w:rPr>
      </w:pPr>
      <w:r w:rsidRPr="009E64BC">
        <w:rPr>
          <w:rStyle w:val="AERbody"/>
        </w:rPr>
        <w:t xml:space="preserve">AusNet Services forecast </w:t>
      </w:r>
      <w:r>
        <w:rPr>
          <w:rStyle w:val="AERbody"/>
        </w:rPr>
        <w:t xml:space="preserve">the </w:t>
      </w:r>
      <w:r w:rsidRPr="009E64BC">
        <w:rPr>
          <w:rStyle w:val="AERbody"/>
        </w:rPr>
        <w:t xml:space="preserve">opex </w:t>
      </w:r>
      <w:r>
        <w:rPr>
          <w:rStyle w:val="AERbody"/>
        </w:rPr>
        <w:t>associated with these</w:t>
      </w:r>
      <w:r w:rsidRPr="009E64BC">
        <w:rPr>
          <w:rStyle w:val="AERbody"/>
        </w:rPr>
        <w:t xml:space="preserve"> group 3 assets based on the </w:t>
      </w:r>
      <w:r>
        <w:rPr>
          <w:rStyle w:val="AERbody"/>
        </w:rPr>
        <w:t xml:space="preserve">change between </w:t>
      </w:r>
      <w:r w:rsidRPr="00FC6F79">
        <w:rPr>
          <w:rStyle w:val="AERbody"/>
        </w:rPr>
        <w:t>1 April 2014 and 1 April 2017</w:t>
      </w:r>
      <w:r>
        <w:rPr>
          <w:rStyle w:val="AERbody"/>
        </w:rPr>
        <w:t xml:space="preserve"> in the proportion of its total asset base that relates to regulated assets, which was 4.03 per cent.</w:t>
      </w:r>
      <w:r>
        <w:rPr>
          <w:rStyle w:val="FootnoteReference"/>
        </w:rPr>
        <w:footnoteReference w:id="51"/>
      </w:r>
      <w:r>
        <w:rPr>
          <w:rStyle w:val="AERbody"/>
        </w:rPr>
        <w:t xml:space="preserve">  </w:t>
      </w:r>
      <w:r w:rsidR="0081406F">
        <w:rPr>
          <w:rStyle w:val="AERbody"/>
        </w:rPr>
        <w:t xml:space="preserve">It </w:t>
      </w:r>
      <w:r>
        <w:rPr>
          <w:rStyle w:val="AERbody"/>
        </w:rPr>
        <w:t>then used this to estimate a percentage increase in total opex by applying a weighted scale factor of 59.45 per cent</w:t>
      </w:r>
      <w:bookmarkStart w:id="136" w:name="_GoBack"/>
      <w:bookmarkEnd w:id="136"/>
      <w:r>
        <w:rPr>
          <w:rStyle w:val="AERbody"/>
        </w:rPr>
        <w:t>. This resulted in a forecast increase in opex of</w:t>
      </w:r>
      <w:r w:rsidRPr="00FC6F79">
        <w:rPr>
          <w:rStyle w:val="AERbody"/>
        </w:rPr>
        <w:t xml:space="preserve"> 2.39</w:t>
      </w:r>
      <w:r>
        <w:rPr>
          <w:rStyle w:val="AERbody"/>
        </w:rPr>
        <w:t> per cent</w:t>
      </w:r>
      <w:r w:rsidRPr="00FC6F79">
        <w:rPr>
          <w:rStyle w:val="AERbody"/>
        </w:rPr>
        <w:t xml:space="preserve"> </w:t>
      </w:r>
      <w:r>
        <w:rPr>
          <w:rStyle w:val="AERbody"/>
        </w:rPr>
        <w:t xml:space="preserve">in the first year of the 2017–22 regulatory control </w:t>
      </w:r>
      <w:proofErr w:type="gramStart"/>
      <w:r>
        <w:rPr>
          <w:rStyle w:val="AERbody"/>
        </w:rPr>
        <w:t>period</w:t>
      </w:r>
      <w:proofErr w:type="gramEnd"/>
      <w:r>
        <w:rPr>
          <w:rStyle w:val="AERbody"/>
        </w:rPr>
        <w:t>, equal to $10 million ($2016–17) over the five year forecast</w:t>
      </w:r>
      <w:r w:rsidRPr="00FC6F79">
        <w:rPr>
          <w:rStyle w:val="AERbody"/>
        </w:rPr>
        <w:t>.</w:t>
      </w:r>
    </w:p>
    <w:p w:rsidR="006256FE" w:rsidRDefault="006256FE" w:rsidP="006256FE">
      <w:pPr>
        <w:rPr>
          <w:rStyle w:val="AERbody"/>
        </w:rPr>
      </w:pPr>
      <w:r>
        <w:rPr>
          <w:rStyle w:val="AERbody"/>
        </w:rPr>
        <w:t>We ha</w:t>
      </w:r>
      <w:r w:rsidR="00765126">
        <w:rPr>
          <w:rStyle w:val="AERbody"/>
        </w:rPr>
        <w:t>d</w:t>
      </w:r>
      <w:r>
        <w:rPr>
          <w:rStyle w:val="AERbody"/>
        </w:rPr>
        <w:t xml:space="preserve"> concerns that this approach </w:t>
      </w:r>
      <w:r w:rsidR="00765126">
        <w:rPr>
          <w:rStyle w:val="AERbody"/>
        </w:rPr>
        <w:t xml:space="preserve">may </w:t>
      </w:r>
      <w:r>
        <w:rPr>
          <w:rStyle w:val="AERbody"/>
        </w:rPr>
        <w:t>not reasonably reflect the increase in efficient opex due to the roll in of group 3 assets. Specifically, AusNet Services' calculation:</w:t>
      </w:r>
    </w:p>
    <w:p w:rsidR="006256FE" w:rsidRDefault="00765126" w:rsidP="006256FE">
      <w:pPr>
        <w:pStyle w:val="AERbulletlistfirststyle"/>
        <w:rPr>
          <w:rStyle w:val="AERbody"/>
        </w:rPr>
      </w:pPr>
      <w:r>
        <w:rPr>
          <w:rStyle w:val="AERbody"/>
        </w:rPr>
        <w:t xml:space="preserve">may </w:t>
      </w:r>
      <w:r w:rsidR="006256FE">
        <w:rPr>
          <w:rStyle w:val="AERbody"/>
        </w:rPr>
        <w:t>overstate the output growth associated with the rolled in group 3 assets because the group 3 assets have not been depreciated as much as the assets already in the asset base</w:t>
      </w:r>
    </w:p>
    <w:p w:rsidR="006256FE" w:rsidRDefault="006256FE" w:rsidP="006256FE">
      <w:pPr>
        <w:pStyle w:val="AERbulletlistfirststyle"/>
        <w:rPr>
          <w:rStyle w:val="AERbody"/>
        </w:rPr>
      </w:pPr>
      <w:r>
        <w:rPr>
          <w:rStyle w:val="AERbody"/>
        </w:rPr>
        <w:t>is influenced by replacement capex, which does not relate to an increase in output</w:t>
      </w:r>
    </w:p>
    <w:p w:rsidR="006256FE" w:rsidRDefault="006256FE" w:rsidP="006256FE">
      <w:pPr>
        <w:pStyle w:val="AERbulletlistfirststyle"/>
        <w:rPr>
          <w:rStyle w:val="AERbody"/>
        </w:rPr>
      </w:pPr>
      <w:proofErr w:type="gramStart"/>
      <w:r>
        <w:rPr>
          <w:rStyle w:val="AERbody"/>
        </w:rPr>
        <w:t>is</w:t>
      </w:r>
      <w:proofErr w:type="gramEnd"/>
      <w:r>
        <w:rPr>
          <w:rStyle w:val="AERbody"/>
        </w:rPr>
        <w:t xml:space="preserve"> influenced by the value of unregulated assets that are not group 3 assets, which will not impact the opex associated with operating and maintaining its regulated assets.</w:t>
      </w:r>
    </w:p>
    <w:p w:rsidR="006256FE" w:rsidRDefault="00765126" w:rsidP="006256FE">
      <w:r>
        <w:t>We considered different approaches to forecasting the opex associated with the</w:t>
      </w:r>
      <w:r w:rsidR="004D7797">
        <w:t>se</w:t>
      </w:r>
      <w:r>
        <w:t xml:space="preserve"> group 3 assets that would reduce the impact of these concerns. However, the opex forecast under these different approaches was not materially different to that proposed by AusNet Services.</w:t>
      </w:r>
      <w:r w:rsidR="006256FE">
        <w:t xml:space="preserve"> </w:t>
      </w:r>
      <w:r w:rsidR="004D7797">
        <w:t xml:space="preserve">Consequently, although we do have some concerns with AusNet Services' approach, we are satisfied that the forecast opex associated with group 3 assets reasonably reflects the efficient costs of operating and maintaining these assets. </w:t>
      </w:r>
    </w:p>
    <w:p w:rsidR="006256FE" w:rsidRPr="007D40E6" w:rsidRDefault="006256FE" w:rsidP="006256FE">
      <w:pPr>
        <w:pStyle w:val="Heading9"/>
      </w:pPr>
      <w:bookmarkStart w:id="137" w:name="_Toc453061017"/>
      <w:bookmarkStart w:id="138" w:name="_Toc453172513"/>
      <w:bookmarkStart w:id="139" w:name="_Toc456601986"/>
      <w:r w:rsidRPr="007D40E6">
        <w:lastRenderedPageBreak/>
        <w:t>Estimate of final year opex</w:t>
      </w:r>
      <w:bookmarkEnd w:id="137"/>
      <w:bookmarkEnd w:id="138"/>
      <w:bookmarkEnd w:id="139"/>
    </w:p>
    <w:p w:rsidR="006256FE" w:rsidRDefault="006256FE" w:rsidP="006256FE">
      <w:pPr>
        <w:rPr>
          <w:rStyle w:val="AERbody"/>
        </w:rPr>
      </w:pPr>
      <w:r>
        <w:rPr>
          <w:rStyle w:val="AERbody"/>
        </w:rPr>
        <w:t xml:space="preserve">To forecast opex for the 2017–22 regulatory control </w:t>
      </w:r>
      <w:proofErr w:type="gramStart"/>
      <w:r>
        <w:rPr>
          <w:rStyle w:val="AERbody"/>
        </w:rPr>
        <w:t>period</w:t>
      </w:r>
      <w:proofErr w:type="gramEnd"/>
      <w:r>
        <w:rPr>
          <w:rStyle w:val="AERbody"/>
        </w:rPr>
        <w:t xml:space="preserve"> we have applied our rate of change to our estimate of 2016–</w:t>
      </w:r>
      <w:r>
        <w:rPr>
          <w:rStyle w:val="AERbody"/>
        </w:rPr>
        <w:softHyphen/>
        <w:t xml:space="preserve">17 opex. However, we usually make a regulatory determination during the final year of the preceding regulatory control period and do not know actual opex for that year. Therefore, we need to forecast opex for the final year. </w:t>
      </w:r>
    </w:p>
    <w:p w:rsidR="006256FE" w:rsidRDefault="006256FE" w:rsidP="006256FE">
      <w:pPr>
        <w:rPr>
          <w:rStyle w:val="AERbody"/>
        </w:rPr>
      </w:pPr>
      <w:r w:rsidRPr="00AF7910">
        <w:rPr>
          <w:rStyle w:val="AERbody"/>
        </w:rPr>
        <w:t xml:space="preserve">AusNet Services applied its proposed rate of change </w:t>
      </w:r>
      <w:r>
        <w:rPr>
          <w:rStyle w:val="AERbody"/>
        </w:rPr>
        <w:t xml:space="preserve">to base year opex to forecast opex for 2016–17 as well as the </w:t>
      </w:r>
      <w:r w:rsidRPr="00AF7910">
        <w:rPr>
          <w:rStyle w:val="AERbody"/>
        </w:rPr>
        <w:t xml:space="preserve">2017–22 regulatory control </w:t>
      </w:r>
      <w:proofErr w:type="gramStart"/>
      <w:r w:rsidRPr="00AF7910">
        <w:rPr>
          <w:rStyle w:val="AERbody"/>
        </w:rPr>
        <w:t>period</w:t>
      </w:r>
      <w:proofErr w:type="gramEnd"/>
      <w:r w:rsidRPr="00AF7910">
        <w:rPr>
          <w:rStyle w:val="AERbody"/>
        </w:rPr>
        <w:t xml:space="preserve">. </w:t>
      </w:r>
      <w:r>
        <w:rPr>
          <w:rStyle w:val="AERbody"/>
        </w:rPr>
        <w:t xml:space="preserve">We are not satisfied this approach produces an opex forecast consistent with the opex criteria, having regard to the opex factors. It is also not consistent with the approach outlined in </w:t>
      </w:r>
      <w:r w:rsidR="00812F95">
        <w:rPr>
          <w:rStyle w:val="AERbody"/>
        </w:rPr>
        <w:t>the</w:t>
      </w:r>
      <w:r>
        <w:rPr>
          <w:rStyle w:val="AERbody"/>
        </w:rPr>
        <w:t xml:space="preserve"> </w:t>
      </w:r>
      <w:r w:rsidRPr="00D218C5">
        <w:t>Guideline.</w:t>
      </w:r>
      <w:r w:rsidRPr="00AF7910">
        <w:rPr>
          <w:rStyle w:val="FootnoteReference"/>
        </w:rPr>
        <w:footnoteReference w:id="52"/>
      </w:r>
      <w:r w:rsidRPr="00AF7910">
        <w:rPr>
          <w:rStyle w:val="AERbody"/>
        </w:rPr>
        <w:t xml:space="preserve"> </w:t>
      </w:r>
    </w:p>
    <w:p w:rsidR="006256FE" w:rsidRDefault="00812F95" w:rsidP="006256FE">
      <w:pPr>
        <w:rPr>
          <w:rStyle w:val="AERbody"/>
        </w:rPr>
      </w:pPr>
      <w:r>
        <w:rPr>
          <w:rStyle w:val="AERbody"/>
        </w:rPr>
        <w:t>The</w:t>
      </w:r>
      <w:r w:rsidR="006256FE" w:rsidRPr="00BD3418">
        <w:rPr>
          <w:rStyle w:val="AERbody"/>
        </w:rPr>
        <w:t xml:space="preserve"> Guideline states we estimate final y</w:t>
      </w:r>
      <w:r w:rsidR="006256FE">
        <w:rPr>
          <w:rStyle w:val="AERbody"/>
        </w:rPr>
        <w:t>ear expenditure to be equal to:</w:t>
      </w:r>
      <w:r w:rsidR="006256FE">
        <w:rPr>
          <w:rStyle w:val="FootnoteReference"/>
        </w:rPr>
        <w:footnoteReference w:id="53"/>
      </w:r>
    </w:p>
    <w:p w:rsidR="006256FE" w:rsidRPr="00BD3418" w:rsidRDefault="00F64824" w:rsidP="006256FE">
      <w:pPr>
        <w:rPr>
          <w:rStyle w:val="AERbody"/>
        </w:rPr>
      </w:pPr>
      <m:oMathPara>
        <m:oMath>
          <m:sSubSup>
            <m:sSubSupPr>
              <m:ctrlPr>
                <w:rPr>
                  <w:rStyle w:val="AERbody"/>
                  <w:rFonts w:ascii="Cambria Math" w:hAnsi="Cambria Math"/>
                </w:rPr>
              </m:ctrlPr>
            </m:sSubSupPr>
            <m:e>
              <m:r>
                <w:rPr>
                  <w:rStyle w:val="AERbody"/>
                  <w:rFonts w:ascii="Cambria Math" w:hAnsi="Cambria Math"/>
                </w:rPr>
                <m:t>A</m:t>
              </m:r>
            </m:e>
            <m:sub>
              <m:r>
                <w:rPr>
                  <w:rStyle w:val="AERbody"/>
                  <w:rFonts w:ascii="Cambria Math" w:hAnsi="Cambria Math"/>
                </w:rPr>
                <m:t>f</m:t>
              </m:r>
            </m:sub>
            <m:sup>
              <m:r>
                <w:rPr>
                  <w:rStyle w:val="AERbody"/>
                  <w:rFonts w:ascii="Cambria Math" w:hAnsi="Cambria Math"/>
                </w:rPr>
                <m:t>*</m:t>
              </m:r>
            </m:sup>
          </m:sSubSup>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f</m:t>
              </m:r>
            </m:sub>
          </m:sSub>
          <m:r>
            <w:rPr>
              <w:rStyle w:val="AERbody"/>
              <w:rFonts w:ascii="Cambria Math" w:hAnsi="Cambria Math"/>
            </w:rPr>
            <m:t>-</m:t>
          </m:r>
          <m:d>
            <m:dPr>
              <m:ctrlPr>
                <w:rPr>
                  <w:rStyle w:val="AERbody"/>
                  <w:rFonts w:ascii="Cambria Math" w:hAnsi="Cambria Math"/>
                </w:rPr>
              </m:ctrlPr>
            </m:dPr>
            <m:e>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b</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b</m:t>
                  </m:r>
                </m:sub>
              </m:sSub>
            </m:e>
          </m:d>
          <m:r>
            <w:rPr>
              <w:rStyle w:val="AERbody"/>
              <w:rFonts w:ascii="Cambria Math" w:hAnsi="Cambria Math"/>
            </w:rPr>
            <m:t xml:space="preserve">+non-recurrent efficiency </m:t>
          </m:r>
          <m:sSub>
            <m:sSubPr>
              <m:ctrlPr>
                <w:rPr>
                  <w:rStyle w:val="AERbody"/>
                  <w:rFonts w:ascii="Cambria Math" w:hAnsi="Cambria Math"/>
                </w:rPr>
              </m:ctrlPr>
            </m:sSubPr>
            <m:e>
              <m:r>
                <w:rPr>
                  <w:rStyle w:val="AERbody"/>
                  <w:rFonts w:ascii="Cambria Math" w:hAnsi="Cambria Math"/>
                </w:rPr>
                <m:t>gain</m:t>
              </m:r>
            </m:e>
            <m:sub>
              <m:r>
                <w:rPr>
                  <w:rStyle w:val="AERbody"/>
                  <w:rFonts w:ascii="Cambria Math" w:hAnsi="Cambria Math"/>
                </w:rPr>
                <m:t>b</m:t>
              </m:r>
            </m:sub>
          </m:sSub>
        </m:oMath>
      </m:oMathPara>
    </w:p>
    <w:p w:rsidR="006256FE" w:rsidRPr="00BD3418" w:rsidRDefault="006256FE" w:rsidP="006256FE">
      <w:pPr>
        <w:rPr>
          <w:rStyle w:val="AERbody"/>
        </w:rPr>
      </w:pPr>
      <w:proofErr w:type="gramStart"/>
      <w:r w:rsidRPr="00BD3418">
        <w:rPr>
          <w:rStyle w:val="AERbody"/>
        </w:rPr>
        <w:t>where</w:t>
      </w:r>
      <w:proofErr w:type="gramEnd"/>
      <w:r w:rsidRPr="00BD3418">
        <w:rPr>
          <w:rStyle w:val="AERbody"/>
        </w:rPr>
        <w:t>:</w:t>
      </w:r>
    </w:p>
    <w:p w:rsidR="006256FE" w:rsidRPr="00BD3418" w:rsidRDefault="00F64824" w:rsidP="006256FE">
      <w:pPr>
        <w:pStyle w:val="ListContinue"/>
        <w:rPr>
          <w:rStyle w:val="AERbody"/>
        </w:rPr>
      </w:pPr>
      <m:oMath>
        <m:sSubSup>
          <m:sSubSupPr>
            <m:ctrlPr>
              <w:rPr>
                <w:rStyle w:val="AERbody"/>
                <w:rFonts w:ascii="Cambria Math" w:hAnsi="Cambria Math"/>
              </w:rPr>
            </m:ctrlPr>
          </m:sSubSupPr>
          <m:e>
            <m:r>
              <w:rPr>
                <w:rStyle w:val="AERbody"/>
                <w:rFonts w:ascii="Cambria Math" w:hAnsi="Cambria Math"/>
              </w:rPr>
              <m:t>A</m:t>
            </m:r>
          </m:e>
          <m:sub>
            <m:r>
              <w:rPr>
                <w:rStyle w:val="AERbody"/>
                <w:rFonts w:ascii="Cambria Math" w:hAnsi="Cambria Math"/>
              </w:rPr>
              <m:t>f</m:t>
            </m:r>
          </m:sub>
          <m:sup>
            <m:r>
              <w:rPr>
                <w:rStyle w:val="AERbody"/>
                <w:rFonts w:ascii="Cambria Math" w:hAnsi="Cambria Math"/>
              </w:rPr>
              <m:t>*</m:t>
            </m:r>
          </m:sup>
        </m:sSubSup>
      </m:oMath>
      <w:r w:rsidR="006256FE">
        <w:rPr>
          <w:rStyle w:val="AERbody"/>
        </w:rPr>
        <w:t xml:space="preserve"> </w:t>
      </w:r>
      <w:r w:rsidR="006256FE" w:rsidRPr="00BD3418">
        <w:rPr>
          <w:rStyle w:val="AERbody"/>
        </w:rPr>
        <w:t>is the best estimate of actual opex for the final year of the preceding regulatory control period</w:t>
      </w:r>
    </w:p>
    <w:p w:rsidR="006256FE" w:rsidRPr="00BD3418" w:rsidRDefault="00F64824" w:rsidP="006256FE">
      <w:pPr>
        <w:pStyle w:val="ListContinue"/>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f</m:t>
            </m:r>
          </m:sub>
        </m:sSub>
      </m:oMath>
      <w:r w:rsidR="006256FE">
        <w:rPr>
          <w:rStyle w:val="AERbody"/>
        </w:rPr>
        <w:t xml:space="preserve"> </w:t>
      </w:r>
      <w:r w:rsidR="006256FE" w:rsidRPr="00BD3418">
        <w:rPr>
          <w:rStyle w:val="AERbody"/>
        </w:rPr>
        <w:t>is the determined opex allowance for the final year of the preceding regulatory control period</w:t>
      </w:r>
    </w:p>
    <w:p w:rsidR="006256FE" w:rsidRPr="00BD3418" w:rsidRDefault="00F64824" w:rsidP="006256FE">
      <w:pPr>
        <w:pStyle w:val="ListContinue"/>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b</m:t>
            </m:r>
          </m:sub>
        </m:sSub>
      </m:oMath>
      <w:r w:rsidR="006256FE">
        <w:rPr>
          <w:rStyle w:val="AERbody"/>
        </w:rPr>
        <w:t xml:space="preserve"> </w:t>
      </w:r>
      <w:r w:rsidR="006256FE" w:rsidRPr="00BD3418">
        <w:rPr>
          <w:rStyle w:val="AERbody"/>
        </w:rPr>
        <w:t>is the determined opex allowance for the base year</w:t>
      </w:r>
    </w:p>
    <w:p w:rsidR="006256FE" w:rsidRPr="00BD3418" w:rsidRDefault="00F64824" w:rsidP="006256FE">
      <w:pPr>
        <w:pStyle w:val="ListContinue"/>
        <w:rPr>
          <w:rStyle w:val="AERbody"/>
        </w:rPr>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b</m:t>
            </m:r>
          </m:sub>
        </m:sSub>
      </m:oMath>
      <w:r w:rsidR="006256FE">
        <w:rPr>
          <w:rStyle w:val="AERbody"/>
        </w:rPr>
        <w:t xml:space="preserve"> </w:t>
      </w:r>
      <w:proofErr w:type="gramStart"/>
      <w:r w:rsidR="006256FE" w:rsidRPr="00BD3418">
        <w:rPr>
          <w:rStyle w:val="AERbody"/>
        </w:rPr>
        <w:t>is</w:t>
      </w:r>
      <w:proofErr w:type="gramEnd"/>
      <w:r w:rsidR="006256FE" w:rsidRPr="00BD3418">
        <w:rPr>
          <w:rStyle w:val="AERbody"/>
        </w:rPr>
        <w:t xml:space="preserve"> the amount of actual opex in the base year is the non-recurrent efficiency gain in the base year.</w:t>
      </w:r>
    </w:p>
    <w:p w:rsidR="006256FE" w:rsidRPr="00BD3418" w:rsidRDefault="006256FE" w:rsidP="006256FE">
      <w:pPr>
        <w:rPr>
          <w:rStyle w:val="AERbody"/>
        </w:rPr>
      </w:pPr>
      <w:r>
        <w:rPr>
          <w:rStyle w:val="AERbody"/>
        </w:rPr>
        <w:t xml:space="preserve">We apply this estimate of opex for 2016–17 when we forecast opex for the </w:t>
      </w:r>
      <w:r w:rsidR="004A1508">
        <w:rPr>
          <w:rStyle w:val="AERbody"/>
        </w:rPr>
        <w:br/>
      </w:r>
      <w:r>
        <w:rPr>
          <w:rStyle w:val="AERbody"/>
        </w:rPr>
        <w:t xml:space="preserve">2017–22 regulatory control </w:t>
      </w:r>
      <w:proofErr w:type="gramStart"/>
      <w:r>
        <w:rPr>
          <w:rStyle w:val="AERbody"/>
        </w:rPr>
        <w:t>period</w:t>
      </w:r>
      <w:proofErr w:type="gramEnd"/>
      <w:r>
        <w:rPr>
          <w:rStyle w:val="AERbody"/>
        </w:rPr>
        <w:t xml:space="preserve"> and when we calculate EBSS carryovers.  This</w:t>
      </w:r>
      <w:r w:rsidRPr="00BD3418">
        <w:rPr>
          <w:rStyle w:val="AERbody"/>
        </w:rPr>
        <w:t xml:space="preserve"> ensure</w:t>
      </w:r>
      <w:r>
        <w:rPr>
          <w:rStyle w:val="AERbody"/>
        </w:rPr>
        <w:t>s</w:t>
      </w:r>
      <w:r w:rsidRPr="00BD3418">
        <w:rPr>
          <w:rStyle w:val="AERbody"/>
        </w:rPr>
        <w:t xml:space="preserve"> </w:t>
      </w:r>
      <w:r>
        <w:rPr>
          <w:rStyle w:val="AERbody"/>
        </w:rPr>
        <w:t>AusNet Services</w:t>
      </w:r>
      <w:r w:rsidRPr="00BD3418">
        <w:rPr>
          <w:rStyle w:val="AERbody"/>
        </w:rPr>
        <w:t xml:space="preserve"> shares efficiency gains made in 201</w:t>
      </w:r>
      <w:r>
        <w:rPr>
          <w:rStyle w:val="AERbody"/>
        </w:rPr>
        <w:t>6</w:t>
      </w:r>
      <w:r w:rsidRPr="00BD3418">
        <w:rPr>
          <w:rStyle w:val="AERbody"/>
        </w:rPr>
        <w:t>–1</w:t>
      </w:r>
      <w:r>
        <w:rPr>
          <w:rStyle w:val="AERbody"/>
        </w:rPr>
        <w:t>7</w:t>
      </w:r>
      <w:r w:rsidRPr="00BD3418">
        <w:rPr>
          <w:rStyle w:val="AERbody"/>
        </w:rPr>
        <w:t xml:space="preserve"> with its network users </w:t>
      </w:r>
      <w:r>
        <w:rPr>
          <w:rStyle w:val="AERbody"/>
        </w:rPr>
        <w:t xml:space="preserve">the same as gains made in other years and </w:t>
      </w:r>
      <w:r w:rsidRPr="00BD3418">
        <w:rPr>
          <w:rStyle w:val="AERbody"/>
        </w:rPr>
        <w:t>as intended by the EBSS.</w:t>
      </w:r>
      <w:r>
        <w:rPr>
          <w:rStyle w:val="FootnoteReference"/>
        </w:rPr>
        <w:footnoteReference w:id="54"/>
      </w:r>
      <w:r w:rsidRPr="00BD3418">
        <w:rPr>
          <w:rStyle w:val="AERbody"/>
        </w:rPr>
        <w:t xml:space="preserve"> </w:t>
      </w:r>
      <w:r>
        <w:rPr>
          <w:rStyle w:val="AERbody"/>
        </w:rPr>
        <w:t>We maintain this consistency because we</w:t>
      </w:r>
      <w:r w:rsidRPr="00BD3418">
        <w:rPr>
          <w:rStyle w:val="AERbody"/>
        </w:rPr>
        <w:t xml:space="preserve"> are required to have regard to whether the opex forecast is consistent with the EBSS when deciding whether we are satisfied that the proposed opex forecast reasonably reflects the opex criteria.</w:t>
      </w:r>
      <w:r>
        <w:rPr>
          <w:rStyle w:val="FootnoteReference"/>
        </w:rPr>
        <w:footnoteReference w:id="55"/>
      </w:r>
      <w:r w:rsidRPr="00BD3418">
        <w:rPr>
          <w:rStyle w:val="AERbody"/>
        </w:rPr>
        <w:t xml:space="preserve"> </w:t>
      </w:r>
    </w:p>
    <w:p w:rsidR="00304D66" w:rsidRDefault="006256FE" w:rsidP="00304D66">
      <w:r w:rsidRPr="00BD3418">
        <w:rPr>
          <w:rStyle w:val="AERbody"/>
        </w:rPr>
        <w:t>We applied this equation to derive an estimated opex of $</w:t>
      </w:r>
      <w:r>
        <w:rPr>
          <w:rStyle w:val="AERbody"/>
        </w:rPr>
        <w:t>8</w:t>
      </w:r>
      <w:r w:rsidR="00AD14DC">
        <w:rPr>
          <w:rStyle w:val="AERbody"/>
        </w:rPr>
        <w:t>7.8</w:t>
      </w:r>
      <w:r w:rsidRPr="00BD3418">
        <w:rPr>
          <w:rStyle w:val="AERbody"/>
        </w:rPr>
        <w:t xml:space="preserve"> million (real 201</w:t>
      </w:r>
      <w:r>
        <w:rPr>
          <w:rStyle w:val="AERbody"/>
        </w:rPr>
        <w:t>6</w:t>
      </w:r>
      <w:r w:rsidRPr="00BD3418">
        <w:rPr>
          <w:rStyle w:val="AERbody"/>
        </w:rPr>
        <w:t>–1</w:t>
      </w:r>
      <w:r>
        <w:rPr>
          <w:rStyle w:val="AERbody"/>
        </w:rPr>
        <w:t>7</w:t>
      </w:r>
      <w:r w:rsidRPr="00BD3418">
        <w:rPr>
          <w:rStyle w:val="AERbody"/>
        </w:rPr>
        <w:t>) for 201</w:t>
      </w:r>
      <w:r>
        <w:rPr>
          <w:rStyle w:val="AERbody"/>
        </w:rPr>
        <w:t>6</w:t>
      </w:r>
      <w:r w:rsidRPr="00BD3418">
        <w:rPr>
          <w:rStyle w:val="AERbody"/>
        </w:rPr>
        <w:t>–1</w:t>
      </w:r>
      <w:r>
        <w:rPr>
          <w:rStyle w:val="AERbody"/>
        </w:rPr>
        <w:t>7, excluding easement land tax and debt raising costs</w:t>
      </w:r>
      <w:r w:rsidRPr="00BD3418">
        <w:rPr>
          <w:rStyle w:val="AERbody"/>
        </w:rPr>
        <w:t>.</w:t>
      </w:r>
    </w:p>
    <w:p w:rsidR="00304D66" w:rsidRDefault="00304D66" w:rsidP="00304D66">
      <w:pPr>
        <w:pStyle w:val="Heading7"/>
      </w:pPr>
      <w:bookmarkStart w:id="140" w:name="_Ref453235964"/>
      <w:bookmarkStart w:id="141" w:name="_Toc456601987"/>
      <w:r>
        <w:lastRenderedPageBreak/>
        <w:t>Rate of Change</w:t>
      </w:r>
      <w:bookmarkEnd w:id="140"/>
      <w:bookmarkEnd w:id="141"/>
    </w:p>
    <w:p w:rsidR="002C1039" w:rsidRPr="00EC7B9B" w:rsidRDefault="002C1039" w:rsidP="002C1039">
      <w:r w:rsidRPr="00EC7B9B">
        <w:t xml:space="preserve">Once we have determined the efficient opex required in </w:t>
      </w:r>
      <w:r>
        <w:t xml:space="preserve">2016–17 </w:t>
      </w:r>
      <w:r w:rsidRPr="00EC7B9B">
        <w:t>we apply a forecast annual rate of change to forecast opex for the 201</w:t>
      </w:r>
      <w:r>
        <w:t>7</w:t>
      </w:r>
      <w:r w:rsidRPr="00EC7B9B">
        <w:t>–2</w:t>
      </w:r>
      <w:r>
        <w:t>2</w:t>
      </w:r>
      <w:r w:rsidRPr="00EC7B9B">
        <w:t xml:space="preserve"> regulatory control period. We do this to account for likely changes in demand and cost inputs for each year of the forecast period. As set out in the </w:t>
      </w:r>
      <w:r w:rsidR="00812F95">
        <w:t>Guideline</w:t>
      </w:r>
      <w:r w:rsidRPr="00EC7B9B">
        <w:t>, the rate o</w:t>
      </w:r>
      <w:r>
        <w:t>f change accounts for forecast:</w:t>
      </w:r>
      <w:r>
        <w:rPr>
          <w:rStyle w:val="FootnoteReference"/>
        </w:rPr>
        <w:footnoteReference w:id="56"/>
      </w:r>
    </w:p>
    <w:p w:rsidR="002C1039" w:rsidRPr="00EC7B9B" w:rsidRDefault="002C1039" w:rsidP="002C1039">
      <w:pPr>
        <w:pStyle w:val="AERbulletlistfirststyle"/>
      </w:pPr>
      <w:r w:rsidRPr="00EC7B9B">
        <w:t>price growth</w:t>
      </w:r>
    </w:p>
    <w:p w:rsidR="002C1039" w:rsidRPr="00EC7B9B" w:rsidRDefault="002C1039" w:rsidP="002C1039">
      <w:pPr>
        <w:pStyle w:val="AERbulletlistfirststyle"/>
      </w:pPr>
      <w:r w:rsidRPr="00EC7B9B">
        <w:t>output growth</w:t>
      </w:r>
    </w:p>
    <w:p w:rsidR="002C1039" w:rsidRPr="00EC7B9B" w:rsidRDefault="002C1039" w:rsidP="002C1039">
      <w:pPr>
        <w:pStyle w:val="AERbulletlistfirststyle"/>
      </w:pPr>
      <w:proofErr w:type="gramStart"/>
      <w:r w:rsidRPr="00EC7B9B">
        <w:t>productivity</w:t>
      </w:r>
      <w:proofErr w:type="gramEnd"/>
      <w:r w:rsidRPr="00EC7B9B">
        <w:t xml:space="preserve"> growth.</w:t>
      </w:r>
    </w:p>
    <w:p w:rsidR="002C1039" w:rsidRPr="00C844EE" w:rsidRDefault="002C1039" w:rsidP="002C1039">
      <w:r w:rsidRPr="00EC7B9B">
        <w:t>This appendix contains our assessment of the opex rate of change for use in developing our estimate of total opex.</w:t>
      </w:r>
    </w:p>
    <w:p w:rsidR="002C1039" w:rsidRPr="00C844EE" w:rsidRDefault="002C1039" w:rsidP="002C1039">
      <w:pPr>
        <w:pStyle w:val="Heading8"/>
      </w:pPr>
      <w:bookmarkStart w:id="142" w:name="_Toc456601988"/>
      <w:r>
        <w:t>P</w:t>
      </w:r>
      <w:r w:rsidRPr="00C844EE">
        <w:t>osition</w:t>
      </w:r>
      <w:bookmarkEnd w:id="142"/>
    </w:p>
    <w:p w:rsidR="002C1039" w:rsidRPr="00C54DFB" w:rsidRDefault="002C1039" w:rsidP="002C1039">
      <w:r w:rsidRPr="00C54DFB">
        <w:t>We are not satisfied AusNet Services' proposed rate of change for the 201</w:t>
      </w:r>
      <w:r>
        <w:t>7</w:t>
      </w:r>
      <w:r w:rsidRPr="00C54DFB">
        <w:t>–2</w:t>
      </w:r>
      <w:r>
        <w:t>2</w:t>
      </w:r>
      <w:r w:rsidRPr="00C54DFB">
        <w:t xml:space="preserve"> regulatory control period </w:t>
      </w:r>
      <w:r>
        <w:t xml:space="preserve">produces a forecast of opex that </w:t>
      </w:r>
      <w:r w:rsidRPr="00C54DFB">
        <w:t>reasonably reflects the opex criteria.</w:t>
      </w:r>
      <w:r>
        <w:rPr>
          <w:rStyle w:val="FootnoteReference"/>
        </w:rPr>
        <w:footnoteReference w:id="57"/>
      </w:r>
      <w:r w:rsidRPr="00C54DFB">
        <w:t xml:space="preserve"> This is because:</w:t>
      </w:r>
    </w:p>
    <w:p w:rsidR="002C1039" w:rsidRPr="00F7326E" w:rsidRDefault="002C1039" w:rsidP="002C1039">
      <w:pPr>
        <w:pStyle w:val="AERbulletlistfirststyle"/>
      </w:pPr>
      <w:r>
        <w:t>AusNet</w:t>
      </w:r>
      <w:r w:rsidRPr="00F7326E">
        <w:t xml:space="preserve"> Services'</w:t>
      </w:r>
      <w:r>
        <w:t xml:space="preserve"> forecast of labour price growth </w:t>
      </w:r>
      <w:r w:rsidRPr="00F7326E">
        <w:t>overstates the cost inputs required by a prudent and efficient DNSP in the forecast period.</w:t>
      </w:r>
      <w:r>
        <w:t xml:space="preserve"> This </w:t>
      </w:r>
      <w:r w:rsidR="00CA3B97">
        <w:t xml:space="preserve">is </w:t>
      </w:r>
      <w:r>
        <w:t>due to two key reasons:</w:t>
      </w:r>
    </w:p>
    <w:p w:rsidR="002C1039" w:rsidRPr="002C1039" w:rsidRDefault="002C1039" w:rsidP="002C1039">
      <w:pPr>
        <w:pStyle w:val="AERbulletlistfirststyle"/>
        <w:numPr>
          <w:ilvl w:val="1"/>
          <w:numId w:val="2"/>
        </w:numPr>
      </w:pPr>
      <w:r>
        <w:t>AusNet</w:t>
      </w:r>
      <w:r w:rsidRPr="002C1039">
        <w:t xml:space="preserve"> Services forecasting approach treats all services contract expenditure as labour. This assumes that the price change of contractors' non-labour inputs is the same as their labour inputs.  We do not consider this is a reasonable assumption. </w:t>
      </w:r>
    </w:p>
    <w:p w:rsidR="002C1039" w:rsidRPr="002C1039" w:rsidRDefault="002C1039" w:rsidP="002C1039">
      <w:pPr>
        <w:pStyle w:val="AERbulletlistfirststyle"/>
        <w:numPr>
          <w:ilvl w:val="1"/>
          <w:numId w:val="2"/>
        </w:numPr>
      </w:pPr>
      <w:r>
        <w:t>AusNet</w:t>
      </w:r>
      <w:r w:rsidRPr="002C1039">
        <w:t xml:space="preserve"> Services relies on </w:t>
      </w:r>
      <w:r w:rsidR="00361E69">
        <w:t xml:space="preserve">now </w:t>
      </w:r>
      <w:r w:rsidRPr="002C1039">
        <w:t>outdated forecasts of WPI growth for the Victorian utilities industry that overstate the expected growth in labour prices.</w:t>
      </w:r>
    </w:p>
    <w:p w:rsidR="002C1039" w:rsidRDefault="002C1039" w:rsidP="002C1039">
      <w:pPr>
        <w:pStyle w:val="AERbulletlistfirststyle"/>
      </w:pPr>
      <w:r>
        <w:t xml:space="preserve">AusNet Services' output growth forecast incorrectly assumes that the increase in opex due to output growth that occurs in the 2017–22 regulatory control period will be incurred by AusNet Services. </w:t>
      </w:r>
      <w:r w:rsidR="00CA3B97">
        <w:t>However, u</w:t>
      </w:r>
      <w:r>
        <w:t xml:space="preserve">nder existing arrangements, AEMO will </w:t>
      </w:r>
      <w:r w:rsidRPr="007725D9">
        <w:t>fund the operation and maintenance of new augmentation and connection assets</w:t>
      </w:r>
      <w:r>
        <w:t xml:space="preserve"> during 2017–22 regulatory control </w:t>
      </w:r>
      <w:proofErr w:type="gramStart"/>
      <w:r>
        <w:t>period</w:t>
      </w:r>
      <w:proofErr w:type="gramEnd"/>
      <w:r w:rsidRPr="007725D9">
        <w:t>.</w:t>
      </w:r>
    </w:p>
    <w:p w:rsidR="002C1039" w:rsidRDefault="002C1039" w:rsidP="002C1039">
      <w:pPr>
        <w:pStyle w:val="AERbulletlistfirststyle"/>
      </w:pPr>
      <w:r w:rsidRPr="007725D9">
        <w:t xml:space="preserve">AusNet Services' </w:t>
      </w:r>
      <w:r>
        <w:t xml:space="preserve">productivity </w:t>
      </w:r>
      <w:r w:rsidRPr="007725D9">
        <w:t xml:space="preserve">growth </w:t>
      </w:r>
      <w:r>
        <w:t>r</w:t>
      </w:r>
      <w:r w:rsidRPr="00C54DFB">
        <w:t xml:space="preserve">elies on </w:t>
      </w:r>
      <w:r w:rsidR="00361E69">
        <w:t xml:space="preserve">now </w:t>
      </w:r>
      <w:r w:rsidRPr="00C54DFB">
        <w:t xml:space="preserve">outdated forecasts of </w:t>
      </w:r>
      <w:r>
        <w:t>productivity growth.</w:t>
      </w:r>
    </w:p>
    <w:p w:rsidR="002C1039" w:rsidRPr="00C54DFB" w:rsidRDefault="002C1039" w:rsidP="002C1039">
      <w:r w:rsidRPr="00C54DFB">
        <w:t>Since we are not satisfied that AusNet Services' proposed rate of change will produce a total opex forecast consistent with the opex criteria, we must not accept it and we must develop our own estimate.</w:t>
      </w:r>
      <w:r>
        <w:rPr>
          <w:rStyle w:val="FootnoteReference"/>
        </w:rPr>
        <w:footnoteReference w:id="58"/>
      </w:r>
      <w:r w:rsidRPr="00C54DFB">
        <w:t xml:space="preserve"> Our estimate of the rate of change forecasts:</w:t>
      </w:r>
    </w:p>
    <w:p w:rsidR="002C1039" w:rsidRPr="00C54DFB" w:rsidRDefault="002C1039" w:rsidP="002C1039">
      <w:pPr>
        <w:pStyle w:val="AERbulletlistfirststyle"/>
      </w:pPr>
      <w:proofErr w:type="gramStart"/>
      <w:r w:rsidRPr="00C54DFB">
        <w:lastRenderedPageBreak/>
        <w:t>labour</w:t>
      </w:r>
      <w:proofErr w:type="gramEnd"/>
      <w:r w:rsidRPr="00C54DFB">
        <w:t xml:space="preserve"> price growth based on the forecast growth in the WPI for the Victorian electricity, gas, water and waste services (utilities) industry. We have used the average of the Victorian utilities WPI forecasts from Deloitte Access Economics (DAE) and the Centre for International Economics (CIE). </w:t>
      </w:r>
      <w:r w:rsidR="00807C95">
        <w:t>Adopting</w:t>
      </w:r>
      <w:r w:rsidRPr="00C54DFB">
        <w:t xml:space="preserve"> expert advice from Economic Insights, we have applied input price weights of 62 per cent for labour and 38 per cent for non-labour, which reflect the weights of an efficient benchmark firm, to forecast total price change. </w:t>
      </w:r>
    </w:p>
    <w:p w:rsidR="002C1039" w:rsidRPr="00C54DFB" w:rsidRDefault="002C1039" w:rsidP="002C1039">
      <w:pPr>
        <w:pStyle w:val="AERbulletlistfirststyle"/>
      </w:pPr>
      <w:r w:rsidRPr="00C54DFB">
        <w:tab/>
      </w:r>
      <w:proofErr w:type="gramStart"/>
      <w:r w:rsidRPr="00C54DFB">
        <w:t>output</w:t>
      </w:r>
      <w:proofErr w:type="gramEnd"/>
      <w:r w:rsidRPr="00C54DFB">
        <w:t xml:space="preserve"> growth </w:t>
      </w:r>
      <w:r>
        <w:t>of zero based on the fact that AusNet Services will not incur the increase in opex due to output growth that occurs in the 2017–22 regulatory control period.</w:t>
      </w:r>
    </w:p>
    <w:p w:rsidR="002C1039" w:rsidRPr="00C54DFB" w:rsidRDefault="002C1039" w:rsidP="002C1039">
      <w:pPr>
        <w:pStyle w:val="AERbulletlistfirststyle"/>
      </w:pPr>
      <w:r w:rsidRPr="00C54DFB">
        <w:tab/>
      </w:r>
      <w:proofErr w:type="gramStart"/>
      <w:r>
        <w:t>forecast</w:t>
      </w:r>
      <w:proofErr w:type="gramEnd"/>
      <w:r w:rsidRPr="00C54DFB">
        <w:t xml:space="preserve"> productivity</w:t>
      </w:r>
      <w:r>
        <w:t xml:space="preserve"> growth of 0.2 per cent, based on advice from Economic Insights that relies </w:t>
      </w:r>
      <w:r w:rsidR="00807C95">
        <w:t xml:space="preserve">on </w:t>
      </w:r>
      <w:r>
        <w:t xml:space="preserve">the most up to date </w:t>
      </w:r>
      <w:r w:rsidR="00807C95">
        <w:t xml:space="preserve">forecasts </w:t>
      </w:r>
      <w:r>
        <w:t>available</w:t>
      </w:r>
      <w:r w:rsidRPr="00C54DFB">
        <w:t>.</w:t>
      </w:r>
      <w:r>
        <w:rPr>
          <w:rStyle w:val="FootnoteReference"/>
        </w:rPr>
        <w:footnoteReference w:id="59"/>
      </w:r>
      <w:r w:rsidRPr="00C54DFB">
        <w:t xml:space="preserve">  </w:t>
      </w:r>
    </w:p>
    <w:p w:rsidR="002C1039" w:rsidRPr="00C54DFB" w:rsidRDefault="002C1039" w:rsidP="002C1039">
      <w:r w:rsidRPr="00C54DFB">
        <w:t>We consider that applying our method to derive an alternative estimate of opex will result in a forecast that reasonably reflects the efficient and prudent costs faced by AusNet Services given a realistic expectation of demand forecasts and cost inputs because:</w:t>
      </w:r>
    </w:p>
    <w:p w:rsidR="002C1039" w:rsidRPr="00C54DFB" w:rsidRDefault="002C1039" w:rsidP="002C1039">
      <w:pPr>
        <w:pStyle w:val="AERbulletlistfirststyle"/>
      </w:pPr>
      <w:r w:rsidRPr="00C54DFB">
        <w:t>our labour price growth measure reasonably reflects current and forecast economic conditions</w:t>
      </w:r>
    </w:p>
    <w:p w:rsidR="002C1039" w:rsidRPr="00C54DFB" w:rsidRDefault="002C1039" w:rsidP="002C1039">
      <w:pPr>
        <w:pStyle w:val="AERbulletlistfirststyle"/>
      </w:pPr>
      <w:r w:rsidRPr="00C54DFB">
        <w:t xml:space="preserve">our labour and non-labour price weights reasonably reflect the benchmark efficient mix of labour services and other costs required to provide </w:t>
      </w:r>
      <w:r>
        <w:t xml:space="preserve">transmission </w:t>
      </w:r>
      <w:r w:rsidRPr="00C54DFB">
        <w:t>services</w:t>
      </w:r>
    </w:p>
    <w:p w:rsidR="002C1039" w:rsidRDefault="002C1039" w:rsidP="002C1039">
      <w:pPr>
        <w:pStyle w:val="AERbulletlistfirststyle"/>
      </w:pPr>
      <w:r>
        <w:t>our forecast of output growth recognises that AusNet Services' will not incur the costs associated with operating and maintaining new augmentation and connection assets (</w:t>
      </w:r>
      <w:r w:rsidR="005E66A7">
        <w:t xml:space="preserve">including </w:t>
      </w:r>
      <w:r>
        <w:t>group 3 assets)</w:t>
      </w:r>
    </w:p>
    <w:p w:rsidR="002C1039" w:rsidRPr="00C54DFB" w:rsidRDefault="002C1039" w:rsidP="002C1039">
      <w:pPr>
        <w:pStyle w:val="AERbulletlistfirststyle"/>
      </w:pPr>
      <w:proofErr w:type="gramStart"/>
      <w:r>
        <w:t>our</w:t>
      </w:r>
      <w:proofErr w:type="gramEnd"/>
      <w:r>
        <w:t xml:space="preserve"> productivity growth forecast is based on the most up to date available information.</w:t>
      </w:r>
    </w:p>
    <w:p w:rsidR="002C1039" w:rsidRPr="007810B6" w:rsidRDefault="002C1039" w:rsidP="002C1039">
      <w:r w:rsidRPr="007810B6">
        <w:t>Our forecast of the overall rate of change used to derive our alternative estimate of opex is lower than AusNet Services' over the forecast period. Table B.1 shows AusNet Services' and our overall rate of change in percentage terms for the 201</w:t>
      </w:r>
      <w:r>
        <w:t>7</w:t>
      </w:r>
      <w:r w:rsidRPr="007810B6">
        <w:t>–2</w:t>
      </w:r>
      <w:r>
        <w:t>2</w:t>
      </w:r>
      <w:r w:rsidRPr="007810B6">
        <w:t xml:space="preserve"> regulatory control </w:t>
      </w:r>
      <w:proofErr w:type="gramStart"/>
      <w:r w:rsidRPr="007810B6">
        <w:t>period</w:t>
      </w:r>
      <w:proofErr w:type="gramEnd"/>
      <w:r w:rsidRPr="007810B6">
        <w:t xml:space="preserve">. </w:t>
      </w:r>
    </w:p>
    <w:p w:rsidR="002C1039" w:rsidRPr="007810B6" w:rsidRDefault="002C1039" w:rsidP="002C1039">
      <w:r w:rsidRPr="007810B6">
        <w:t>The differences in the forecast rate of change components are:</w:t>
      </w:r>
    </w:p>
    <w:p w:rsidR="002C1039" w:rsidRPr="007810B6" w:rsidRDefault="002C1039" w:rsidP="002C1039">
      <w:pPr>
        <w:pStyle w:val="AERbulletlistfirststyle"/>
      </w:pPr>
      <w:r w:rsidRPr="007810B6">
        <w:t>our forecast of annual price growth is on average 0.</w:t>
      </w:r>
      <w:r w:rsidR="000F7E92">
        <w:t>20</w:t>
      </w:r>
      <w:r w:rsidRPr="007810B6">
        <w:t xml:space="preserve"> percentage points lower than AusNet Services'</w:t>
      </w:r>
    </w:p>
    <w:p w:rsidR="002C1039" w:rsidRDefault="002C1039" w:rsidP="002C1039">
      <w:pPr>
        <w:pStyle w:val="AERbulletlistfirststyle"/>
      </w:pPr>
      <w:r w:rsidRPr="007810B6">
        <w:t xml:space="preserve">our forecast of annual output growth is on average </w:t>
      </w:r>
      <w:r>
        <w:t>1.56</w:t>
      </w:r>
      <w:r w:rsidRPr="007810B6">
        <w:t xml:space="preserve"> percentage points </w:t>
      </w:r>
      <w:r>
        <w:t>lower than AusNet Services'</w:t>
      </w:r>
    </w:p>
    <w:p w:rsidR="002C1039" w:rsidRPr="007810B6" w:rsidRDefault="002C1039" w:rsidP="002C1039">
      <w:pPr>
        <w:pStyle w:val="AERbulletlistfirststyle"/>
      </w:pPr>
      <w:proofErr w:type="gramStart"/>
      <w:r w:rsidRPr="007810B6">
        <w:t>our</w:t>
      </w:r>
      <w:proofErr w:type="gramEnd"/>
      <w:r w:rsidRPr="007810B6">
        <w:t xml:space="preserve"> forecast of annual </w:t>
      </w:r>
      <w:r>
        <w:t>productivity</w:t>
      </w:r>
      <w:r w:rsidRPr="007810B6">
        <w:t xml:space="preserve"> growth is on average 0.</w:t>
      </w:r>
      <w:r>
        <w:t>08</w:t>
      </w:r>
      <w:r w:rsidRPr="007810B6">
        <w:t xml:space="preserve"> percentage points </w:t>
      </w:r>
      <w:r>
        <w:t>lower than AusNet Services'.</w:t>
      </w:r>
    </w:p>
    <w:p w:rsidR="002C1039" w:rsidRDefault="002C1039" w:rsidP="002C1039">
      <w:r w:rsidRPr="007810B6">
        <w:lastRenderedPageBreak/>
        <w:t>We discuss the reasons for the</w:t>
      </w:r>
      <w:r>
        <w:t>se</w:t>
      </w:r>
      <w:r w:rsidRPr="007810B6">
        <w:t xml:space="preserve"> difference</w:t>
      </w:r>
      <w:r>
        <w:t>s</w:t>
      </w:r>
      <w:r w:rsidRPr="007810B6">
        <w:t xml:space="preserve"> below.</w:t>
      </w:r>
    </w:p>
    <w:p w:rsidR="002C1039" w:rsidRDefault="002C1039" w:rsidP="002C1039">
      <w:pPr>
        <w:pStyle w:val="Caption"/>
      </w:pPr>
      <w:bookmarkStart w:id="143" w:name="_Ref452641332"/>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1</w:t>
      </w:r>
      <w:r w:rsidR="00F64824">
        <w:rPr>
          <w:noProof/>
        </w:rPr>
        <w:fldChar w:fldCharType="end"/>
      </w:r>
      <w:bookmarkEnd w:id="143"/>
      <w:r>
        <w:tab/>
      </w:r>
      <w:r w:rsidRPr="00530687">
        <w:t>AusNet Services and AER rate of change (per cent)</w:t>
      </w:r>
    </w:p>
    <w:tbl>
      <w:tblPr>
        <w:tblStyle w:val="AERtable-numbers"/>
        <w:tblW w:w="0" w:type="auto"/>
        <w:tblLook w:val="04A0" w:firstRow="1" w:lastRow="0" w:firstColumn="1" w:lastColumn="0" w:noHBand="0" w:noVBand="1"/>
      </w:tblPr>
      <w:tblGrid>
        <w:gridCol w:w="1668"/>
        <w:gridCol w:w="1170"/>
        <w:gridCol w:w="1171"/>
        <w:gridCol w:w="1171"/>
        <w:gridCol w:w="1171"/>
        <w:gridCol w:w="1171"/>
        <w:gridCol w:w="1171"/>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C1039" w:rsidRDefault="002C1039" w:rsidP="002C1039"/>
        </w:tc>
        <w:tc>
          <w:tcPr>
            <w:tcW w:w="1170"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2017–18</w:t>
            </w:r>
          </w:p>
        </w:tc>
        <w:tc>
          <w:tcPr>
            <w:tcW w:w="1171"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2018–19</w:t>
            </w:r>
          </w:p>
        </w:tc>
        <w:tc>
          <w:tcPr>
            <w:tcW w:w="1171"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2019–20</w:t>
            </w:r>
          </w:p>
        </w:tc>
        <w:tc>
          <w:tcPr>
            <w:tcW w:w="1171"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2020–21</w:t>
            </w:r>
          </w:p>
        </w:tc>
        <w:tc>
          <w:tcPr>
            <w:tcW w:w="1171"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2021–22</w:t>
            </w:r>
          </w:p>
        </w:tc>
        <w:tc>
          <w:tcPr>
            <w:tcW w:w="1171"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Average</w:t>
            </w:r>
          </w:p>
        </w:tc>
      </w:tr>
      <w:tr w:rsidR="002C1039" w:rsidTr="006256FE">
        <w:tc>
          <w:tcPr>
            <w:cnfStyle w:val="001000000000" w:firstRow="0" w:lastRow="0" w:firstColumn="1" w:lastColumn="0" w:oddVBand="0" w:evenVBand="0" w:oddHBand="0" w:evenHBand="0" w:firstRowFirstColumn="0" w:firstRowLastColumn="0" w:lastRowFirstColumn="0" w:lastRowLastColumn="0"/>
            <w:tcW w:w="1668" w:type="dxa"/>
          </w:tcPr>
          <w:p w:rsidR="002C1039" w:rsidRPr="002C1039" w:rsidRDefault="002C1039" w:rsidP="002C1039">
            <w:r w:rsidRPr="002C1039">
              <w:t>AusNet Services</w:t>
            </w:r>
          </w:p>
        </w:tc>
        <w:tc>
          <w:tcPr>
            <w:tcW w:w="1170"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2.21</w:t>
            </w:r>
          </w:p>
        </w:tc>
        <w:tc>
          <w:tcPr>
            <w:tcW w:w="1171"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1.94</w:t>
            </w:r>
          </w:p>
        </w:tc>
        <w:tc>
          <w:tcPr>
            <w:tcW w:w="1171"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1.93</w:t>
            </w:r>
          </w:p>
        </w:tc>
        <w:tc>
          <w:tcPr>
            <w:tcW w:w="1171"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1.99</w:t>
            </w:r>
          </w:p>
        </w:tc>
        <w:tc>
          <w:tcPr>
            <w:tcW w:w="1171"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2.01</w:t>
            </w:r>
          </w:p>
        </w:tc>
        <w:tc>
          <w:tcPr>
            <w:tcW w:w="1171" w:type="dxa"/>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2.02</w:t>
            </w:r>
          </w:p>
        </w:tc>
      </w:tr>
      <w:tr w:rsidR="000F7E92"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F7E92" w:rsidRPr="000F7E92" w:rsidRDefault="000F7E92" w:rsidP="000F7E92">
            <w:r w:rsidRPr="000F7E92">
              <w:t>AER</w:t>
            </w:r>
          </w:p>
        </w:tc>
        <w:tc>
          <w:tcPr>
            <w:tcW w:w="1170"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0.09</w:t>
            </w:r>
          </w:p>
        </w:tc>
        <w:tc>
          <w:tcPr>
            <w:tcW w:w="1171"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0.31</w:t>
            </w:r>
          </w:p>
        </w:tc>
        <w:tc>
          <w:tcPr>
            <w:tcW w:w="1171"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0.40</w:t>
            </w:r>
          </w:p>
        </w:tc>
        <w:tc>
          <w:tcPr>
            <w:tcW w:w="1171"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0.43</w:t>
            </w:r>
          </w:p>
        </w:tc>
        <w:tc>
          <w:tcPr>
            <w:tcW w:w="1171"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0.43</w:t>
            </w:r>
          </w:p>
        </w:tc>
        <w:tc>
          <w:tcPr>
            <w:tcW w:w="1171" w:type="dxa"/>
            <w:vAlign w:val="top"/>
          </w:tcPr>
          <w:p w:rsidR="000F7E92" w:rsidRPr="000F7E92" w:rsidRDefault="000F7E92" w:rsidP="000F7E92">
            <w:pPr>
              <w:cnfStyle w:val="000000010000" w:firstRow="0" w:lastRow="0" w:firstColumn="0" w:lastColumn="0" w:oddVBand="0" w:evenVBand="0" w:oddHBand="0" w:evenHBand="1" w:firstRowFirstColumn="0" w:firstRowLastColumn="0" w:lastRowFirstColumn="0" w:lastRowLastColumn="0"/>
            </w:pPr>
            <w:r w:rsidRPr="000F7E92">
              <w:t>0.33</w:t>
            </w:r>
          </w:p>
        </w:tc>
      </w:tr>
      <w:tr w:rsidR="000F7E92" w:rsidRPr="00A456F9" w:rsidTr="006256FE">
        <w:tc>
          <w:tcPr>
            <w:cnfStyle w:val="001000000000" w:firstRow="0" w:lastRow="0" w:firstColumn="1" w:lastColumn="0" w:oddVBand="0" w:evenVBand="0" w:oddHBand="0" w:evenHBand="0" w:firstRowFirstColumn="0" w:firstRowLastColumn="0" w:lastRowFirstColumn="0" w:lastRowLastColumn="0"/>
            <w:tcW w:w="1668" w:type="dxa"/>
          </w:tcPr>
          <w:p w:rsidR="000F7E92" w:rsidRPr="000F7E92" w:rsidRDefault="000F7E92" w:rsidP="000F7E92">
            <w:pPr>
              <w:rPr>
                <w:rStyle w:val="Strong"/>
              </w:rPr>
            </w:pPr>
            <w:r w:rsidRPr="000F7E92">
              <w:rPr>
                <w:rStyle w:val="Strong"/>
              </w:rPr>
              <w:t>Difference</w:t>
            </w:r>
          </w:p>
        </w:tc>
        <w:tc>
          <w:tcPr>
            <w:tcW w:w="1170"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–2.12</w:t>
            </w:r>
          </w:p>
        </w:tc>
        <w:tc>
          <w:tcPr>
            <w:tcW w:w="1171"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–1.62</w:t>
            </w:r>
          </w:p>
        </w:tc>
        <w:tc>
          <w:tcPr>
            <w:tcW w:w="1171"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–1.53</w:t>
            </w:r>
          </w:p>
        </w:tc>
        <w:tc>
          <w:tcPr>
            <w:tcW w:w="1171"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–1.56</w:t>
            </w:r>
          </w:p>
        </w:tc>
        <w:tc>
          <w:tcPr>
            <w:tcW w:w="1171"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–1.57</w:t>
            </w:r>
          </w:p>
        </w:tc>
        <w:tc>
          <w:tcPr>
            <w:tcW w:w="1171" w:type="dxa"/>
            <w:vAlign w:val="top"/>
          </w:tcPr>
          <w:p w:rsidR="000F7E92" w:rsidRPr="000F7E92" w:rsidRDefault="000F7E92" w:rsidP="000F7E92">
            <w:pPr>
              <w:cnfStyle w:val="000000000000" w:firstRow="0" w:lastRow="0" w:firstColumn="0" w:lastColumn="0" w:oddVBand="0" w:evenVBand="0" w:oddHBand="0" w:evenHBand="0" w:firstRowFirstColumn="0" w:firstRowLastColumn="0" w:lastRowFirstColumn="0" w:lastRowLastColumn="0"/>
              <w:rPr>
                <w:rStyle w:val="Strong"/>
              </w:rPr>
            </w:pPr>
            <w:r w:rsidRPr="000F7E92">
              <w:rPr>
                <w:rStyle w:val="Strong"/>
              </w:rPr>
              <w:t>–1.68</w:t>
            </w:r>
          </w:p>
        </w:tc>
      </w:tr>
    </w:tbl>
    <w:p w:rsidR="002C1039" w:rsidRPr="000D0E5F" w:rsidRDefault="002C1039" w:rsidP="002C1039">
      <w:pPr>
        <w:pStyle w:val="AERtablesource"/>
      </w:pPr>
      <w:r>
        <w:t xml:space="preserve">Source: </w:t>
      </w:r>
      <w:r>
        <w:tab/>
        <w:t>AER analysis.</w:t>
      </w:r>
    </w:p>
    <w:p w:rsidR="002C1039" w:rsidRDefault="002C1039" w:rsidP="002C1039">
      <w:pPr>
        <w:pStyle w:val="Heading8"/>
      </w:pPr>
      <w:bookmarkStart w:id="144" w:name="_Toc456601989"/>
      <w:r w:rsidRPr="00C844EE">
        <w:t>AusNet Services proposal</w:t>
      </w:r>
      <w:bookmarkEnd w:id="144"/>
    </w:p>
    <w:p w:rsidR="002C1039" w:rsidRDefault="002C1039" w:rsidP="002C1039">
      <w:r>
        <w:fldChar w:fldCharType="begin"/>
      </w:r>
      <w:r>
        <w:instrText xml:space="preserve"> REF _Ref452540547 \h </w:instrText>
      </w:r>
      <w:r>
        <w:fldChar w:fldCharType="separate"/>
      </w:r>
      <w:r w:rsidR="00740726">
        <w:t xml:space="preserve">Table </w:t>
      </w:r>
      <w:r w:rsidR="00740726">
        <w:rPr>
          <w:noProof/>
        </w:rPr>
        <w:t>B</w:t>
      </w:r>
      <w:r w:rsidR="00740726">
        <w:t>.</w:t>
      </w:r>
      <w:r w:rsidR="00740726">
        <w:rPr>
          <w:noProof/>
        </w:rPr>
        <w:t>2</w:t>
      </w:r>
      <w:r>
        <w:fldChar w:fldCharType="end"/>
      </w:r>
      <w:r>
        <w:t xml:space="preserve"> </w:t>
      </w:r>
      <w:r w:rsidRPr="00FE13D2">
        <w:t xml:space="preserve">shows AusNet Services' proposed cumulative change in opex for each rate of change component reported in its reset RIN. </w:t>
      </w:r>
    </w:p>
    <w:p w:rsidR="002C1039" w:rsidRDefault="002C1039" w:rsidP="002C1039">
      <w:pPr>
        <w:pStyle w:val="Caption"/>
      </w:pPr>
      <w:bookmarkStart w:id="145" w:name="_Ref452540547"/>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2</w:t>
      </w:r>
      <w:r w:rsidR="00F64824">
        <w:rPr>
          <w:noProof/>
        </w:rPr>
        <w:fldChar w:fldCharType="end"/>
      </w:r>
      <w:bookmarkEnd w:id="145"/>
      <w:r>
        <w:tab/>
      </w:r>
      <w:r w:rsidRPr="00FE13D2">
        <w:t>AusNet Services proposed opex by rate of change drivers ($</w:t>
      </w:r>
      <w:r w:rsidR="000F7E92">
        <w:t> million</w:t>
      </w:r>
      <w:r w:rsidRPr="00FE13D2">
        <w:t>, 201</w:t>
      </w:r>
      <w:r>
        <w:t>6–17</w:t>
      </w:r>
      <w:r w:rsidRPr="00FE13D2">
        <w:t>)</w:t>
      </w:r>
    </w:p>
    <w:tbl>
      <w:tblPr>
        <w:tblStyle w:val="AERtable-numbers"/>
        <w:tblW w:w="5000" w:type="pct"/>
        <w:tblLook w:val="04A0" w:firstRow="1" w:lastRow="0" w:firstColumn="1" w:lastColumn="0" w:noHBand="0" w:noVBand="1"/>
      </w:tblPr>
      <w:tblGrid>
        <w:gridCol w:w="1670"/>
        <w:gridCol w:w="1172"/>
        <w:gridCol w:w="1172"/>
        <w:gridCol w:w="1172"/>
        <w:gridCol w:w="1170"/>
        <w:gridCol w:w="1170"/>
        <w:gridCol w:w="1167"/>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Pr>
          <w:p w:rsidR="002C1039" w:rsidRDefault="002C1039" w:rsidP="002C1039"/>
        </w:tc>
        <w:tc>
          <w:tcPr>
            <w:tcW w:w="67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2017–18</w:t>
            </w:r>
          </w:p>
        </w:tc>
        <w:tc>
          <w:tcPr>
            <w:tcW w:w="67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2018–19</w:t>
            </w:r>
          </w:p>
        </w:tc>
        <w:tc>
          <w:tcPr>
            <w:tcW w:w="67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2019–20</w:t>
            </w:r>
          </w:p>
        </w:tc>
        <w:tc>
          <w:tcPr>
            <w:tcW w:w="673"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2020–21</w:t>
            </w:r>
          </w:p>
        </w:tc>
        <w:tc>
          <w:tcPr>
            <w:tcW w:w="673"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2021–22</w:t>
            </w:r>
          </w:p>
        </w:tc>
        <w:tc>
          <w:tcPr>
            <w:tcW w:w="67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rsidRPr="00787398">
              <w:t>Total</w:t>
            </w:r>
          </w:p>
        </w:tc>
      </w:tr>
      <w:tr w:rsidR="002C1039" w:rsidTr="006256FE">
        <w:tc>
          <w:tcPr>
            <w:cnfStyle w:val="001000000000" w:firstRow="0" w:lastRow="0" w:firstColumn="1" w:lastColumn="0" w:oddVBand="0" w:evenVBand="0" w:oddHBand="0" w:evenHBand="0" w:firstRowFirstColumn="0" w:firstRowLastColumn="0" w:lastRowFirstColumn="0" w:lastRowLastColumn="0"/>
            <w:tcW w:w="961" w:type="pct"/>
          </w:tcPr>
          <w:p w:rsidR="002C1039" w:rsidRPr="002C1039" w:rsidRDefault="002C1039" w:rsidP="002C1039">
            <w:r w:rsidRPr="00787398">
              <w:t>Price growth</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787398">
              <w:t>1.4</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787398">
              <w:t>2.0</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787398">
              <w:t>2.6</w:t>
            </w:r>
          </w:p>
        </w:tc>
        <w:tc>
          <w:tcPr>
            <w:tcW w:w="673"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787398">
              <w:t>3.2</w:t>
            </w:r>
          </w:p>
        </w:tc>
        <w:tc>
          <w:tcPr>
            <w:tcW w:w="673"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787398">
              <w:t>3.9</w:t>
            </w:r>
          </w:p>
        </w:tc>
        <w:tc>
          <w:tcPr>
            <w:tcW w:w="67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787398">
              <w:rPr>
                <w:rStyle w:val="Strong"/>
              </w:rPr>
              <w:t>13.0</w:t>
            </w:r>
          </w:p>
        </w:tc>
      </w:tr>
      <w:tr w:rsidR="002C103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Pr>
          <w:p w:rsidR="002C1039" w:rsidRPr="002C1039" w:rsidRDefault="002C1039" w:rsidP="002C1039">
            <w:r w:rsidRPr="00787398">
              <w:t>Output growth</w:t>
            </w:r>
          </w:p>
        </w:tc>
        <w:tc>
          <w:tcPr>
            <w:tcW w:w="674"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787398">
              <w:t>4.1</w:t>
            </w:r>
          </w:p>
        </w:tc>
        <w:tc>
          <w:tcPr>
            <w:tcW w:w="674"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787398">
              <w:t>5.4</w:t>
            </w:r>
          </w:p>
        </w:tc>
        <w:tc>
          <w:tcPr>
            <w:tcW w:w="674"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787398">
              <w:t>6.7</w:t>
            </w:r>
          </w:p>
        </w:tc>
        <w:tc>
          <w:tcPr>
            <w:tcW w:w="673"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787398">
              <w:t>8.1</w:t>
            </w:r>
          </w:p>
        </w:tc>
        <w:tc>
          <w:tcPr>
            <w:tcW w:w="673"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787398">
              <w:t>9.4</w:t>
            </w:r>
          </w:p>
        </w:tc>
        <w:tc>
          <w:tcPr>
            <w:tcW w:w="67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787398">
              <w:rPr>
                <w:rStyle w:val="Strong"/>
              </w:rPr>
              <w:t>33.7</w:t>
            </w:r>
          </w:p>
        </w:tc>
      </w:tr>
      <w:tr w:rsidR="002C1039" w:rsidRPr="00FE13D2" w:rsidTr="006256FE">
        <w:tc>
          <w:tcPr>
            <w:cnfStyle w:val="001000000000" w:firstRow="0" w:lastRow="0" w:firstColumn="1" w:lastColumn="0" w:oddVBand="0" w:evenVBand="0" w:oddHBand="0" w:evenHBand="0" w:firstRowFirstColumn="0" w:firstRowLastColumn="0" w:lastRowFirstColumn="0" w:lastRowLastColumn="0"/>
            <w:tcW w:w="961" w:type="pct"/>
          </w:tcPr>
          <w:p w:rsidR="002C1039" w:rsidRPr="002C1039" w:rsidRDefault="002C1039" w:rsidP="002C1039">
            <w:r w:rsidRPr="00787398">
              <w:t>Productivity growth</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r w:rsidRPr="002C1039">
              <w:t>0.7</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r w:rsidRPr="002C1039">
              <w:t>0.9</w:t>
            </w:r>
          </w:p>
        </w:tc>
        <w:tc>
          <w:tcPr>
            <w:tcW w:w="674"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r w:rsidRPr="002C1039">
              <w:t>1.2</w:t>
            </w:r>
          </w:p>
        </w:tc>
        <w:tc>
          <w:tcPr>
            <w:tcW w:w="673"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r w:rsidRPr="002C1039">
              <w:t>1.4</w:t>
            </w:r>
          </w:p>
        </w:tc>
        <w:tc>
          <w:tcPr>
            <w:tcW w:w="673"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r w:rsidRPr="002C1039">
              <w:t>1.6</w:t>
            </w:r>
          </w:p>
        </w:tc>
        <w:tc>
          <w:tcPr>
            <w:tcW w:w="67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2C1039">
              <w:rPr>
                <w:rStyle w:val="Strong"/>
              </w:rPr>
              <w:t>5.8</w:t>
            </w:r>
          </w:p>
        </w:tc>
      </w:tr>
    </w:tbl>
    <w:p w:rsidR="002C1039" w:rsidRPr="00FE13D2" w:rsidRDefault="002C1039" w:rsidP="002C1039">
      <w:pPr>
        <w:pStyle w:val="AERtablesource"/>
      </w:pPr>
      <w:r w:rsidRPr="00FE13D2">
        <w:t xml:space="preserve">Source: </w:t>
      </w:r>
      <w:r>
        <w:tab/>
      </w:r>
      <w:r w:rsidRPr="00FE13D2">
        <w:t>AusNet Services reset RIN table 2.16.1.</w:t>
      </w:r>
    </w:p>
    <w:p w:rsidR="002C1039" w:rsidRPr="00FE13D2" w:rsidRDefault="002C1039" w:rsidP="002C1039">
      <w:r w:rsidRPr="00FE13D2">
        <w:t xml:space="preserve">We discuss how AusNet Services forecast each of the </w:t>
      </w:r>
      <w:proofErr w:type="gramStart"/>
      <w:r w:rsidRPr="00FE13D2">
        <w:t>rate</w:t>
      </w:r>
      <w:proofErr w:type="gramEnd"/>
      <w:r w:rsidRPr="00FE13D2">
        <w:t xml:space="preserve"> of change components below.</w:t>
      </w:r>
    </w:p>
    <w:p w:rsidR="002C1039" w:rsidRDefault="002C1039" w:rsidP="002C1039">
      <w:pPr>
        <w:pStyle w:val="HeadingBoldItalic"/>
      </w:pPr>
      <w:bookmarkStart w:id="146" w:name="_Toc452990533"/>
      <w:bookmarkStart w:id="147" w:name="_Toc453061021"/>
      <w:bookmarkStart w:id="148" w:name="_Toc453172517"/>
      <w:bookmarkStart w:id="149" w:name="_Toc456601990"/>
      <w:r w:rsidRPr="00EC7B9B">
        <w:t>Forecast price growth</w:t>
      </w:r>
      <w:bookmarkEnd w:id="146"/>
      <w:bookmarkEnd w:id="147"/>
      <w:bookmarkEnd w:id="148"/>
      <w:bookmarkEnd w:id="149"/>
    </w:p>
    <w:p w:rsidR="002C1039" w:rsidRPr="00915EA4" w:rsidRDefault="002C1039" w:rsidP="002C1039">
      <w:r w:rsidRPr="00915EA4">
        <w:t>AusNet Services proposed price growth for:</w:t>
      </w:r>
      <w:r>
        <w:rPr>
          <w:rStyle w:val="FootnoteReference"/>
        </w:rPr>
        <w:footnoteReference w:id="60"/>
      </w:r>
    </w:p>
    <w:p w:rsidR="002C1039" w:rsidRPr="00915EA4" w:rsidRDefault="002C1039" w:rsidP="002C1039">
      <w:pPr>
        <w:pStyle w:val="AERbulletlistfirststyle"/>
      </w:pPr>
      <w:r w:rsidRPr="00915EA4">
        <w:rPr>
          <w:rStyle w:val="Strong"/>
        </w:rPr>
        <w:t>internal labour costs</w:t>
      </w:r>
      <w:r>
        <w:rPr>
          <w:rStyle w:val="Strong"/>
        </w:rPr>
        <w:t xml:space="preserve"> (44 per cent)</w:t>
      </w:r>
      <w:r w:rsidRPr="00915EA4">
        <w:rPr>
          <w:rStyle w:val="Strong"/>
        </w:rPr>
        <w:t>:</w:t>
      </w:r>
      <w:r>
        <w:t xml:space="preserve"> </w:t>
      </w:r>
      <w:r w:rsidRPr="00915EA4">
        <w:t xml:space="preserve">AusNet Services </w:t>
      </w:r>
      <w:r>
        <w:t xml:space="preserve">used the </w:t>
      </w:r>
      <w:r w:rsidRPr="00915EA4">
        <w:t xml:space="preserve">forecasts growth in the </w:t>
      </w:r>
      <w:r>
        <w:t>w</w:t>
      </w:r>
      <w:r w:rsidRPr="00915EA4">
        <w:t xml:space="preserve">age </w:t>
      </w:r>
      <w:r>
        <w:t>p</w:t>
      </w:r>
      <w:r w:rsidRPr="00915EA4">
        <w:t xml:space="preserve">rice </w:t>
      </w:r>
      <w:r>
        <w:t>index (WPI) for the e</w:t>
      </w:r>
      <w:r w:rsidRPr="00915EA4">
        <w:t xml:space="preserve">lectricity, </w:t>
      </w:r>
      <w:r>
        <w:t>g</w:t>
      </w:r>
      <w:r w:rsidRPr="00915EA4">
        <w:t xml:space="preserve">as, </w:t>
      </w:r>
      <w:r>
        <w:t>w</w:t>
      </w:r>
      <w:r w:rsidRPr="00915EA4">
        <w:t xml:space="preserve">ater and </w:t>
      </w:r>
      <w:r>
        <w:t>w</w:t>
      </w:r>
      <w:r w:rsidRPr="00915EA4">
        <w:t xml:space="preserve">aste </w:t>
      </w:r>
      <w:r>
        <w:t>s</w:t>
      </w:r>
      <w:r w:rsidRPr="00915EA4">
        <w:t>ervices (</w:t>
      </w:r>
      <w:r>
        <w:t>utilities</w:t>
      </w:r>
      <w:r w:rsidRPr="00915EA4">
        <w:t xml:space="preserve">) </w:t>
      </w:r>
      <w:r>
        <w:t>industry, as forecast by the Centre for International Economics (CIE) and Deloitte Access Economics (DAE)</w:t>
      </w:r>
    </w:p>
    <w:p w:rsidR="002C1039" w:rsidRDefault="002C1039" w:rsidP="002C1039">
      <w:pPr>
        <w:pStyle w:val="AERbulletlistfirststyle"/>
      </w:pPr>
      <w:r w:rsidRPr="00915EA4">
        <w:rPr>
          <w:rStyle w:val="Strong"/>
        </w:rPr>
        <w:t>external labour costs</w:t>
      </w:r>
      <w:r>
        <w:rPr>
          <w:rStyle w:val="Strong"/>
        </w:rPr>
        <w:t xml:space="preserve"> (34 per cent)</w:t>
      </w:r>
      <w:r w:rsidRPr="00915EA4">
        <w:rPr>
          <w:rStyle w:val="Strong"/>
        </w:rPr>
        <w:t>:</w:t>
      </w:r>
      <w:r>
        <w:t xml:space="preserve"> </w:t>
      </w:r>
      <w:r w:rsidRPr="00915EA4">
        <w:t xml:space="preserve">AusNet Services </w:t>
      </w:r>
      <w:r>
        <w:t xml:space="preserve">used the </w:t>
      </w:r>
      <w:r w:rsidRPr="00915EA4">
        <w:t xml:space="preserve">forecasts growth in the </w:t>
      </w:r>
      <w:r>
        <w:t>WPI for the construction industry, as forecast by CIE</w:t>
      </w:r>
    </w:p>
    <w:p w:rsidR="002C1039" w:rsidRPr="00915EA4" w:rsidRDefault="002C1039" w:rsidP="002C1039">
      <w:pPr>
        <w:pStyle w:val="AERbulletlistfirststyle"/>
      </w:pPr>
      <w:proofErr w:type="gramStart"/>
      <w:r w:rsidRPr="00915EA4">
        <w:rPr>
          <w:rStyle w:val="Strong"/>
        </w:rPr>
        <w:lastRenderedPageBreak/>
        <w:t>non-labour</w:t>
      </w:r>
      <w:proofErr w:type="gramEnd"/>
      <w:r w:rsidRPr="00915EA4">
        <w:rPr>
          <w:rStyle w:val="Strong"/>
        </w:rPr>
        <w:t xml:space="preserve"> costs</w:t>
      </w:r>
      <w:r>
        <w:rPr>
          <w:rStyle w:val="Strong"/>
        </w:rPr>
        <w:t xml:space="preserve"> (22 per cent)</w:t>
      </w:r>
      <w:r w:rsidRPr="00915EA4">
        <w:rPr>
          <w:rStyle w:val="Strong"/>
        </w:rPr>
        <w:t>:</w:t>
      </w:r>
      <w:r>
        <w:t xml:space="preserve"> </w:t>
      </w:r>
      <w:r w:rsidRPr="00915EA4">
        <w:t>AusNet Ser</w:t>
      </w:r>
      <w:r>
        <w:t>vices considered</w:t>
      </w:r>
      <w:r w:rsidRPr="00915EA4">
        <w:t xml:space="preserve"> it </w:t>
      </w:r>
      <w:r>
        <w:t>was</w:t>
      </w:r>
      <w:r w:rsidRPr="00915EA4">
        <w:t xml:space="preserve"> appropriate to assume that these costs will increase at the same rate as CPI and therefore </w:t>
      </w:r>
      <w:r>
        <w:t xml:space="preserve">did </w:t>
      </w:r>
      <w:r w:rsidRPr="00915EA4">
        <w:t xml:space="preserve">not </w:t>
      </w:r>
      <w:r>
        <w:t>forecast real price growth for its non-labour costs.</w:t>
      </w:r>
    </w:p>
    <w:p w:rsidR="002C1039" w:rsidRDefault="002C1039" w:rsidP="002C1039">
      <w:r>
        <w:t>AusNet Services weighted these based on its actual expenditure in the base year.</w:t>
      </w:r>
    </w:p>
    <w:p w:rsidR="002C1039" w:rsidRDefault="002C1039" w:rsidP="002C1039">
      <w:r>
        <w:fldChar w:fldCharType="begin"/>
      </w:r>
      <w:r>
        <w:instrText xml:space="preserve"> REF _Ref451935911 \h </w:instrText>
      </w:r>
      <w:r>
        <w:fldChar w:fldCharType="separate"/>
      </w:r>
      <w:r w:rsidR="00740726">
        <w:t xml:space="preserve">Table </w:t>
      </w:r>
      <w:r w:rsidR="00740726">
        <w:rPr>
          <w:noProof/>
        </w:rPr>
        <w:t>B</w:t>
      </w:r>
      <w:r w:rsidR="00740726">
        <w:t>.</w:t>
      </w:r>
      <w:r w:rsidR="00740726">
        <w:rPr>
          <w:noProof/>
        </w:rPr>
        <w:t>3</w:t>
      </w:r>
      <w:r>
        <w:fldChar w:fldCharType="end"/>
      </w:r>
      <w:r>
        <w:t xml:space="preserve"> </w:t>
      </w:r>
      <w:r w:rsidRPr="00915EA4">
        <w:t>shows AusNet Services' annual percentage change for each of its proposed price growth categories.</w:t>
      </w:r>
    </w:p>
    <w:p w:rsidR="002C1039" w:rsidRDefault="002C1039" w:rsidP="002C1039">
      <w:pPr>
        <w:pStyle w:val="Caption"/>
      </w:pPr>
      <w:bookmarkStart w:id="150" w:name="_Ref451935911"/>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3</w:t>
      </w:r>
      <w:r w:rsidR="00F64824">
        <w:rPr>
          <w:noProof/>
        </w:rPr>
        <w:fldChar w:fldCharType="end"/>
      </w:r>
      <w:bookmarkEnd w:id="150"/>
      <w:r>
        <w:t xml:space="preserve"> </w:t>
      </w:r>
      <w:r>
        <w:tab/>
        <w:t>Proposed price growth, per cent, real</w:t>
      </w:r>
    </w:p>
    <w:tbl>
      <w:tblPr>
        <w:tblStyle w:val="AERtable-numbers"/>
        <w:tblW w:w="5000" w:type="pct"/>
        <w:tblLook w:val="04A0" w:firstRow="1" w:lastRow="0" w:firstColumn="1" w:lastColumn="0" w:noHBand="0" w:noVBand="1"/>
      </w:tblPr>
      <w:tblGrid>
        <w:gridCol w:w="2085"/>
        <w:gridCol w:w="1323"/>
        <w:gridCol w:w="1323"/>
        <w:gridCol w:w="1321"/>
        <w:gridCol w:w="1321"/>
        <w:gridCol w:w="1320"/>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pct"/>
          </w:tcPr>
          <w:p w:rsidR="002C1039" w:rsidRDefault="002C1039" w:rsidP="002C1039"/>
        </w:tc>
        <w:tc>
          <w:tcPr>
            <w:tcW w:w="7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2017–18</w:t>
            </w:r>
          </w:p>
        </w:tc>
        <w:tc>
          <w:tcPr>
            <w:tcW w:w="7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2018–19</w:t>
            </w:r>
          </w:p>
        </w:tc>
        <w:tc>
          <w:tcPr>
            <w:tcW w:w="760"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2019–20</w:t>
            </w:r>
          </w:p>
        </w:tc>
        <w:tc>
          <w:tcPr>
            <w:tcW w:w="760"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2020–21</w:t>
            </w:r>
          </w:p>
        </w:tc>
        <w:tc>
          <w:tcPr>
            <w:tcW w:w="759"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2021–22</w:t>
            </w:r>
          </w:p>
        </w:tc>
      </w:tr>
      <w:tr w:rsidR="002C1039" w:rsidTr="006256FE">
        <w:tc>
          <w:tcPr>
            <w:cnfStyle w:val="001000000000" w:firstRow="0" w:lastRow="0" w:firstColumn="1" w:lastColumn="0" w:oddVBand="0" w:evenVBand="0" w:oddHBand="0" w:evenHBand="0" w:firstRowFirstColumn="0" w:firstRowLastColumn="0" w:lastRowFirstColumn="0" w:lastRowLastColumn="0"/>
            <w:tcW w:w="1199" w:type="pct"/>
          </w:tcPr>
          <w:p w:rsidR="002C1039" w:rsidRPr="002C1039" w:rsidRDefault="002C1039" w:rsidP="002C1039">
            <w:r>
              <w:t>Internal labour</w:t>
            </w:r>
          </w:p>
        </w:tc>
        <w:tc>
          <w:tcPr>
            <w:tcW w:w="7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0.81</w:t>
            </w:r>
          </w:p>
        </w:tc>
        <w:tc>
          <w:tcPr>
            <w:tcW w:w="7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0.81</w:t>
            </w:r>
          </w:p>
        </w:tc>
        <w:tc>
          <w:tcPr>
            <w:tcW w:w="760"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0.83</w:t>
            </w:r>
          </w:p>
        </w:tc>
        <w:tc>
          <w:tcPr>
            <w:tcW w:w="760"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0.90</w:t>
            </w:r>
          </w:p>
        </w:tc>
        <w:tc>
          <w:tcPr>
            <w:tcW w:w="759"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0.91</w:t>
            </w:r>
          </w:p>
        </w:tc>
      </w:tr>
      <w:tr w:rsidR="002C1039" w:rsidRPr="0054100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pct"/>
          </w:tcPr>
          <w:p w:rsidR="002C1039" w:rsidRPr="002C1039" w:rsidRDefault="002C1039" w:rsidP="002C1039">
            <w:r>
              <w:t>External</w:t>
            </w:r>
            <w:r w:rsidRPr="002C1039">
              <w:t xml:space="preserve"> labour</w:t>
            </w:r>
          </w:p>
        </w:tc>
        <w:tc>
          <w:tcPr>
            <w:tcW w:w="7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541009">
              <w:t>1.04</w:t>
            </w:r>
          </w:p>
        </w:tc>
        <w:tc>
          <w:tcPr>
            <w:tcW w:w="7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1.04</w:t>
            </w:r>
          </w:p>
        </w:tc>
        <w:tc>
          <w:tcPr>
            <w:tcW w:w="760"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1.01</w:t>
            </w:r>
          </w:p>
        </w:tc>
        <w:tc>
          <w:tcPr>
            <w:tcW w:w="760"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1.09</w:t>
            </w:r>
          </w:p>
        </w:tc>
        <w:tc>
          <w:tcPr>
            <w:tcW w:w="759"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1.12</w:t>
            </w:r>
          </w:p>
        </w:tc>
      </w:tr>
      <w:tr w:rsidR="002C1039" w:rsidRPr="00541009" w:rsidTr="006256FE">
        <w:tc>
          <w:tcPr>
            <w:cnfStyle w:val="001000000000" w:firstRow="0" w:lastRow="0" w:firstColumn="1" w:lastColumn="0" w:oddVBand="0" w:evenVBand="0" w:oddHBand="0" w:evenHBand="0" w:firstRowFirstColumn="0" w:firstRowLastColumn="0" w:lastRowFirstColumn="0" w:lastRowLastColumn="0"/>
            <w:tcW w:w="1199" w:type="pct"/>
          </w:tcPr>
          <w:p w:rsidR="002C1039" w:rsidRPr="002C1039" w:rsidRDefault="002C1039" w:rsidP="002C1039">
            <w:r>
              <w:t>Non-labour</w:t>
            </w:r>
          </w:p>
        </w:tc>
        <w:tc>
          <w:tcPr>
            <w:tcW w:w="7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p>
        </w:tc>
        <w:tc>
          <w:tcPr>
            <w:tcW w:w="7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p>
        </w:tc>
        <w:tc>
          <w:tcPr>
            <w:tcW w:w="760"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p>
        </w:tc>
        <w:tc>
          <w:tcPr>
            <w:tcW w:w="760"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p>
        </w:tc>
        <w:tc>
          <w:tcPr>
            <w:tcW w:w="759"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w:t>
            </w:r>
          </w:p>
        </w:tc>
      </w:tr>
    </w:tbl>
    <w:p w:rsidR="002C1039" w:rsidRPr="00541009" w:rsidRDefault="002C1039" w:rsidP="002C1039">
      <w:pPr>
        <w:pStyle w:val="AERtablesource"/>
      </w:pPr>
      <w:r>
        <w:t>Source:</w:t>
      </w:r>
      <w:r>
        <w:tab/>
        <w:t xml:space="preserve">AusNet Services, </w:t>
      </w:r>
      <w:r>
        <w:rPr>
          <w:rStyle w:val="AERtextitalic"/>
        </w:rPr>
        <w:t>Revenue proposal</w:t>
      </w:r>
      <w:r>
        <w:t>, 30 October 2015, p. 128.</w:t>
      </w:r>
    </w:p>
    <w:p w:rsidR="002C1039" w:rsidRDefault="002C1039" w:rsidP="002C1039">
      <w:pPr>
        <w:pStyle w:val="HeadingBoldItalic"/>
      </w:pPr>
      <w:bookmarkStart w:id="151" w:name="_Toc452990534"/>
      <w:bookmarkStart w:id="152" w:name="_Toc453061022"/>
      <w:bookmarkStart w:id="153" w:name="_Toc453172518"/>
      <w:bookmarkStart w:id="154" w:name="_Toc456601991"/>
      <w:r w:rsidRPr="00EC7B9B">
        <w:t xml:space="preserve">Forecast </w:t>
      </w:r>
      <w:r>
        <w:t>output</w:t>
      </w:r>
      <w:r w:rsidRPr="00EC7B9B">
        <w:t xml:space="preserve"> growth</w:t>
      </w:r>
      <w:bookmarkEnd w:id="151"/>
      <w:bookmarkEnd w:id="152"/>
      <w:bookmarkEnd w:id="153"/>
      <w:bookmarkEnd w:id="154"/>
    </w:p>
    <w:p w:rsidR="002C1039" w:rsidRDefault="002C1039" w:rsidP="002C1039">
      <w:r w:rsidRPr="00852418">
        <w:t xml:space="preserve">AusNet Services </w:t>
      </w:r>
      <w:r>
        <w:t xml:space="preserve">stated </w:t>
      </w:r>
      <w:r w:rsidRPr="00852418">
        <w:t xml:space="preserve">that the rate of change should account for the impact of increased outputs over the </w:t>
      </w:r>
      <w:r>
        <w:t>2017–22</w:t>
      </w:r>
      <w:r w:rsidRPr="00852418">
        <w:t xml:space="preserve"> regulatory control </w:t>
      </w:r>
      <w:proofErr w:type="gramStart"/>
      <w:r w:rsidRPr="00852418">
        <w:t>period</w:t>
      </w:r>
      <w:proofErr w:type="gramEnd"/>
      <w:r w:rsidRPr="00852418">
        <w:t>. For instance, the growth in energy and demand from 2017</w:t>
      </w:r>
      <w:r>
        <w:t>–</w:t>
      </w:r>
      <w:r w:rsidRPr="00852418">
        <w:t>18 to 2021</w:t>
      </w:r>
      <w:r>
        <w:t>–</w:t>
      </w:r>
      <w:r w:rsidRPr="00852418">
        <w:t>22 is a proxy for growth in network size, which drives increases in operating and maintenance costs.</w:t>
      </w:r>
      <w:r>
        <w:rPr>
          <w:rStyle w:val="FootnoteReference"/>
        </w:rPr>
        <w:footnoteReference w:id="61"/>
      </w:r>
    </w:p>
    <w:p w:rsidR="002C1039" w:rsidRDefault="002C1039" w:rsidP="002C1039">
      <w:r w:rsidRPr="00D422D0">
        <w:t xml:space="preserve">AusNet Services </w:t>
      </w:r>
      <w:r>
        <w:t xml:space="preserve">stated that it </w:t>
      </w:r>
      <w:r w:rsidRPr="00D422D0">
        <w:t xml:space="preserve">adopted </w:t>
      </w:r>
      <w:r>
        <w:t>our</w:t>
      </w:r>
      <w:r w:rsidRPr="00D422D0">
        <w:t xml:space="preserve"> forecasting method for output growth. In particular, </w:t>
      </w:r>
      <w:r>
        <w:t>it</w:t>
      </w:r>
      <w:r w:rsidRPr="00D422D0">
        <w:t xml:space="preserve"> considered </w:t>
      </w:r>
      <w:r>
        <w:t xml:space="preserve">our </w:t>
      </w:r>
      <w:r w:rsidRPr="00D422D0">
        <w:t xml:space="preserve">output measures </w:t>
      </w:r>
      <w:r>
        <w:t xml:space="preserve">are </w:t>
      </w:r>
      <w:r w:rsidRPr="00D422D0">
        <w:t xml:space="preserve">reasonable drivers of opex increases over </w:t>
      </w:r>
      <w:r w:rsidRPr="00852418">
        <w:t xml:space="preserve">the </w:t>
      </w:r>
      <w:r>
        <w:t>2017–22</w:t>
      </w:r>
      <w:r w:rsidRPr="00852418">
        <w:t xml:space="preserve"> </w:t>
      </w:r>
      <w:r w:rsidRPr="00D422D0">
        <w:t xml:space="preserve">regulatory control period. </w:t>
      </w:r>
      <w:r>
        <w:t>It forecast these as</w:t>
      </w:r>
      <w:r w:rsidRPr="00D422D0">
        <w:t xml:space="preserve"> follows:</w:t>
      </w:r>
    </w:p>
    <w:p w:rsidR="002C1039" w:rsidRPr="00D422D0" w:rsidRDefault="002C1039" w:rsidP="002C1039">
      <w:pPr>
        <w:pStyle w:val="AERbulletlistfirststyle"/>
      </w:pPr>
      <w:r w:rsidRPr="00D422D0">
        <w:rPr>
          <w:rStyle w:val="Strong"/>
        </w:rPr>
        <w:t>energy throughput (with a weight of 21.4 per cent):</w:t>
      </w:r>
      <w:r>
        <w:t xml:space="preserve"> </w:t>
      </w:r>
      <w:r w:rsidRPr="00D422D0">
        <w:t>based on advice from AEMO</w:t>
      </w:r>
      <w:r>
        <w:t xml:space="preserve">, the </w:t>
      </w:r>
      <w:r w:rsidRPr="00D422D0">
        <w:t>Victori</w:t>
      </w:r>
      <w:r>
        <w:t>an transmission network planner</w:t>
      </w:r>
    </w:p>
    <w:p w:rsidR="002C1039" w:rsidRPr="00D422D0" w:rsidRDefault="002C1039" w:rsidP="002C1039">
      <w:pPr>
        <w:pStyle w:val="AERbulletlistfirststyle"/>
      </w:pPr>
      <w:r w:rsidRPr="00D422D0">
        <w:rPr>
          <w:rStyle w:val="Strong"/>
        </w:rPr>
        <w:t>ratcheted maximum demand (22.1 per cent):</w:t>
      </w:r>
      <w:r w:rsidRPr="00D422D0">
        <w:t xml:space="preserve"> based on advice from AEMO</w:t>
      </w:r>
    </w:p>
    <w:p w:rsidR="002C1039" w:rsidRPr="00D422D0" w:rsidRDefault="002C1039" w:rsidP="002C1039">
      <w:pPr>
        <w:pStyle w:val="AERbulletlistfirststyle"/>
      </w:pPr>
      <w:r w:rsidRPr="00D422D0">
        <w:rPr>
          <w:rStyle w:val="Strong"/>
        </w:rPr>
        <w:t>voltage-weighted entry and exit points (27.8 per cent):</w:t>
      </w:r>
      <w:r>
        <w:t xml:space="preserve"> </w:t>
      </w:r>
      <w:r w:rsidRPr="00D422D0">
        <w:t>based on average growth between 2006 and 2014 in the number of transmission node identifiers (TNIs), weighted by the voltage of each TNI</w:t>
      </w:r>
    </w:p>
    <w:p w:rsidR="002C1039" w:rsidRDefault="002C1039" w:rsidP="002C1039">
      <w:pPr>
        <w:pStyle w:val="AERbulletlistfirststyle"/>
      </w:pPr>
      <w:proofErr w:type="gramStart"/>
      <w:r w:rsidRPr="00D422D0">
        <w:rPr>
          <w:rStyle w:val="Strong"/>
        </w:rPr>
        <w:t>circuit</w:t>
      </w:r>
      <w:proofErr w:type="gramEnd"/>
      <w:r w:rsidRPr="00D422D0">
        <w:rPr>
          <w:rStyle w:val="Strong"/>
        </w:rPr>
        <w:t xml:space="preserve"> length (28.7 per cent):</w:t>
      </w:r>
      <w:r>
        <w:t xml:space="preserve"> </w:t>
      </w:r>
      <w:r w:rsidRPr="00D422D0">
        <w:t xml:space="preserve">No growth, </w:t>
      </w:r>
      <w:r>
        <w:t>other than an increase in 2017–</w:t>
      </w:r>
      <w:r w:rsidRPr="00D422D0">
        <w:t xml:space="preserve">18 </w:t>
      </w:r>
      <w:r>
        <w:t>that reflects an</w:t>
      </w:r>
      <w:r w:rsidRPr="00D422D0">
        <w:t xml:space="preserve"> additional circuit from Ballarat to Moorabool, as advised by AEMO.</w:t>
      </w:r>
    </w:p>
    <w:p w:rsidR="002C1039" w:rsidRDefault="002C1039" w:rsidP="002C1039">
      <w:pPr>
        <w:pStyle w:val="Caption"/>
      </w:pPr>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4</w:t>
      </w:r>
      <w:r w:rsidR="00F64824">
        <w:rPr>
          <w:noProof/>
        </w:rPr>
        <w:fldChar w:fldCharType="end"/>
      </w:r>
      <w:r>
        <w:t xml:space="preserve"> </w:t>
      </w:r>
      <w:r>
        <w:tab/>
        <w:t>Proposed output growth, per cent</w:t>
      </w:r>
    </w:p>
    <w:tbl>
      <w:tblPr>
        <w:tblStyle w:val="AERtable-numbers"/>
        <w:tblW w:w="5000" w:type="pct"/>
        <w:tblLook w:val="04A0" w:firstRow="1" w:lastRow="0" w:firstColumn="1" w:lastColumn="0" w:noHBand="0" w:noVBand="1"/>
      </w:tblPr>
      <w:tblGrid>
        <w:gridCol w:w="2946"/>
        <w:gridCol w:w="1150"/>
        <w:gridCol w:w="1150"/>
        <w:gridCol w:w="1149"/>
        <w:gridCol w:w="1149"/>
        <w:gridCol w:w="1149"/>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Pr>
          <w:p w:rsidR="002C1039" w:rsidRDefault="002C1039" w:rsidP="002C1039"/>
        </w:tc>
        <w:tc>
          <w:tcPr>
            <w:tcW w:w="6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2017–18</w:t>
            </w:r>
          </w:p>
        </w:tc>
        <w:tc>
          <w:tcPr>
            <w:tcW w:w="6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2018–19</w:t>
            </w:r>
          </w:p>
        </w:tc>
        <w:tc>
          <w:tcPr>
            <w:tcW w:w="6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2019–20</w:t>
            </w:r>
          </w:p>
        </w:tc>
        <w:tc>
          <w:tcPr>
            <w:tcW w:w="6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2020–21</w:t>
            </w:r>
          </w:p>
        </w:tc>
        <w:tc>
          <w:tcPr>
            <w:tcW w:w="66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2021–22</w:t>
            </w:r>
          </w:p>
        </w:tc>
      </w:tr>
      <w:tr w:rsidR="002C1039" w:rsidTr="006256FE">
        <w:tc>
          <w:tcPr>
            <w:cnfStyle w:val="001000000000" w:firstRow="0" w:lastRow="0" w:firstColumn="1" w:lastColumn="0" w:oddVBand="0" w:evenVBand="0" w:oddHBand="0" w:evenHBand="0" w:firstRowFirstColumn="0" w:firstRowLastColumn="0" w:lastRowFirstColumn="0" w:lastRowLastColumn="0"/>
            <w:tcW w:w="1693" w:type="pct"/>
          </w:tcPr>
          <w:p w:rsidR="002C1039" w:rsidRPr="002C1039" w:rsidRDefault="002C1039" w:rsidP="002C1039">
            <w:r w:rsidRPr="00D422D0">
              <w:t>Energy throughput</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1.00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1.00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1.00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1.00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1.00</w:t>
            </w:r>
          </w:p>
        </w:tc>
      </w:tr>
      <w:tr w:rsidR="002C1039" w:rsidRPr="0054100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Pr>
          <w:p w:rsidR="002C1039" w:rsidRPr="002C1039" w:rsidRDefault="002C1039" w:rsidP="002C1039">
            <w:r w:rsidRPr="00D422D0">
              <w:lastRenderedPageBreak/>
              <w:t>Ratcheted maximum demand</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1.00</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1.00</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1.00</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1.00</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1.00</w:t>
            </w:r>
          </w:p>
        </w:tc>
      </w:tr>
      <w:tr w:rsidR="002C1039" w:rsidRPr="00541009" w:rsidTr="006256FE">
        <w:tc>
          <w:tcPr>
            <w:cnfStyle w:val="001000000000" w:firstRow="0" w:lastRow="0" w:firstColumn="1" w:lastColumn="0" w:oddVBand="0" w:evenVBand="0" w:oddHBand="0" w:evenHBand="0" w:firstRowFirstColumn="0" w:firstRowLastColumn="0" w:lastRowFirstColumn="0" w:lastRowLastColumn="0"/>
            <w:tcW w:w="1693" w:type="pct"/>
          </w:tcPr>
          <w:p w:rsidR="002C1039" w:rsidRPr="002C1039" w:rsidRDefault="002C1039" w:rsidP="002C1039">
            <w:r w:rsidRPr="00D422D0">
              <w:t>Weighted entry and exit connections</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3.83</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3.83</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3.83</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3.83</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t>3.83</w:t>
            </w:r>
          </w:p>
        </w:tc>
      </w:tr>
      <w:tr w:rsidR="002C1039" w:rsidRPr="0054100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Pr>
          <w:p w:rsidR="002C1039" w:rsidRPr="002C1039" w:rsidRDefault="002C1039" w:rsidP="002C1039">
            <w:r w:rsidRPr="00D422D0">
              <w:t>Circuit length</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0.97</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w:t>
            </w:r>
          </w:p>
        </w:tc>
        <w:tc>
          <w:tcPr>
            <w:tcW w:w="66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t>–</w:t>
            </w:r>
          </w:p>
        </w:tc>
      </w:tr>
      <w:tr w:rsidR="002C1039" w:rsidRPr="00D422D0" w:rsidTr="006256FE">
        <w:tc>
          <w:tcPr>
            <w:cnfStyle w:val="001000000000" w:firstRow="0" w:lastRow="0" w:firstColumn="1" w:lastColumn="0" w:oddVBand="0" w:evenVBand="0" w:oddHBand="0" w:evenHBand="0" w:firstRowFirstColumn="0" w:firstRowLastColumn="0" w:lastRowFirstColumn="0" w:lastRowLastColumn="0"/>
            <w:tcW w:w="1693" w:type="pct"/>
          </w:tcPr>
          <w:p w:rsidR="002C1039" w:rsidRPr="002C1039" w:rsidRDefault="002C1039" w:rsidP="002C1039">
            <w:pPr>
              <w:rPr>
                <w:rStyle w:val="Strong"/>
              </w:rPr>
            </w:pPr>
            <w:r w:rsidRPr="00D422D0">
              <w:rPr>
                <w:rStyle w:val="Strong"/>
              </w:rPr>
              <w:t>Output growth</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D422D0">
              <w:rPr>
                <w:rStyle w:val="Strong"/>
              </w:rPr>
              <w:t>1.78</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D422D0">
              <w:rPr>
                <w:rStyle w:val="Strong"/>
              </w:rPr>
              <w:t>1.50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D422D0">
              <w:rPr>
                <w:rStyle w:val="Strong"/>
              </w:rPr>
              <w:t>1.50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D422D0">
              <w:rPr>
                <w:rStyle w:val="Strong"/>
              </w:rPr>
              <w:t>1.50</w:t>
            </w:r>
          </w:p>
        </w:tc>
        <w:tc>
          <w:tcPr>
            <w:tcW w:w="66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D422D0">
              <w:rPr>
                <w:rStyle w:val="Strong"/>
              </w:rPr>
              <w:t>1.50</w:t>
            </w:r>
          </w:p>
        </w:tc>
      </w:tr>
    </w:tbl>
    <w:p w:rsidR="002C1039" w:rsidRPr="00D422D0" w:rsidRDefault="002C1039" w:rsidP="002C1039">
      <w:pPr>
        <w:pStyle w:val="AERtablesource"/>
      </w:pPr>
      <w:r>
        <w:t>Source:</w:t>
      </w:r>
      <w:r>
        <w:tab/>
        <w:t xml:space="preserve">AusNet Services, </w:t>
      </w:r>
      <w:r>
        <w:rPr>
          <w:rStyle w:val="AERtextitalic"/>
        </w:rPr>
        <w:t>Revenue proposal</w:t>
      </w:r>
      <w:r>
        <w:t>, 30 October 2015, p. 126.</w:t>
      </w:r>
    </w:p>
    <w:p w:rsidR="002C1039" w:rsidRDefault="002C1039" w:rsidP="002C1039">
      <w:pPr>
        <w:pStyle w:val="HeadingBoldItalic"/>
      </w:pPr>
      <w:bookmarkStart w:id="155" w:name="_Toc452990535"/>
      <w:bookmarkStart w:id="156" w:name="_Toc453061023"/>
      <w:bookmarkStart w:id="157" w:name="_Toc453172519"/>
      <w:bookmarkStart w:id="158" w:name="_Toc456601992"/>
      <w:r w:rsidRPr="00EC7B9B">
        <w:t xml:space="preserve">Forecast </w:t>
      </w:r>
      <w:r>
        <w:t>productivity</w:t>
      </w:r>
      <w:r w:rsidRPr="00EC7B9B">
        <w:t xml:space="preserve"> growth</w:t>
      </w:r>
      <w:bookmarkEnd w:id="155"/>
      <w:bookmarkEnd w:id="156"/>
      <w:bookmarkEnd w:id="157"/>
      <w:bookmarkEnd w:id="158"/>
    </w:p>
    <w:p w:rsidR="002C1039" w:rsidRDefault="002C1039" w:rsidP="002C1039">
      <w:r w:rsidRPr="00E979C1">
        <w:t xml:space="preserve">AusNet Services </w:t>
      </w:r>
      <w:r>
        <w:t xml:space="preserve">stated </w:t>
      </w:r>
      <w:r w:rsidRPr="00E979C1">
        <w:t>that a</w:t>
      </w:r>
      <w:r w:rsidR="0094456F">
        <w:t>n</w:t>
      </w:r>
      <w:r w:rsidRPr="00E979C1">
        <w:t xml:space="preserve"> historical average of industry-wide productivity gains represents a reasonable proxy for the future productivity improvements an efficient TNSP would be expected to achieve in the future. </w:t>
      </w:r>
      <w:r>
        <w:t xml:space="preserve">It </w:t>
      </w:r>
      <w:r w:rsidRPr="00E979C1">
        <w:t xml:space="preserve">engaged </w:t>
      </w:r>
      <w:proofErr w:type="spellStart"/>
      <w:r w:rsidRPr="00E979C1">
        <w:t>Huegin</w:t>
      </w:r>
      <w:proofErr w:type="spellEnd"/>
      <w:r w:rsidRPr="00E979C1">
        <w:t xml:space="preserve"> Consulting to calculate average industry productivity using the most up to date information available.</w:t>
      </w:r>
      <w:r>
        <w:rPr>
          <w:rStyle w:val="FootnoteReference"/>
        </w:rPr>
        <w:footnoteReference w:id="62"/>
      </w:r>
    </w:p>
    <w:p w:rsidR="002C1039" w:rsidRDefault="00B47326" w:rsidP="002C1039">
      <w:proofErr w:type="spellStart"/>
      <w:r>
        <w:t>Huegin</w:t>
      </w:r>
      <w:proofErr w:type="spellEnd"/>
      <w:r w:rsidR="002C1039" w:rsidRPr="00E979C1">
        <w:t xml:space="preserve"> </w:t>
      </w:r>
      <w:r w:rsidR="002C1039">
        <w:t>found</w:t>
      </w:r>
      <w:r w:rsidR="002C1039" w:rsidRPr="00E979C1">
        <w:t xml:space="preserve"> </w:t>
      </w:r>
      <w:r w:rsidR="002C1039">
        <w:t xml:space="preserve">that </w:t>
      </w:r>
      <w:r w:rsidR="002C1039" w:rsidRPr="00E979C1">
        <w:t>over the period 2006 to 2014 average annual industry productivity change was 0.28</w:t>
      </w:r>
      <w:r w:rsidR="002C1039">
        <w:t> per cent. AusNet Services adopted this as its forecast of productivity growth.</w:t>
      </w:r>
      <w:r w:rsidR="002C1039">
        <w:rPr>
          <w:rStyle w:val="FootnoteReference"/>
        </w:rPr>
        <w:footnoteReference w:id="63"/>
      </w:r>
    </w:p>
    <w:p w:rsidR="002C1039" w:rsidRPr="00C844EE" w:rsidRDefault="002C1039" w:rsidP="002C1039">
      <w:pPr>
        <w:pStyle w:val="Heading8"/>
      </w:pPr>
      <w:bookmarkStart w:id="159" w:name="_Toc456601993"/>
      <w:r w:rsidRPr="00C844EE">
        <w:t>Assessment approach</w:t>
      </w:r>
      <w:bookmarkEnd w:id="159"/>
    </w:p>
    <w:p w:rsidR="002C1039" w:rsidRPr="00C844EE" w:rsidRDefault="002C1039" w:rsidP="002C1039">
      <w:r w:rsidRPr="00C844EE">
        <w:t>As discussed above, we assess the annual change in expenditure in the context of our assessment of AusNet Services' proposed total forecast opex.</w:t>
      </w:r>
    </w:p>
    <w:p w:rsidR="002C1039" w:rsidRPr="00C844EE" w:rsidRDefault="002C1039" w:rsidP="002C1039">
      <w:r w:rsidRPr="00C844EE">
        <w:t>The rate of change itself is a build-up of various components to provide an overall number that represents our forecast of annual change in overall required opex during the 201</w:t>
      </w:r>
      <w:r>
        <w:t>7</w:t>
      </w:r>
      <w:r w:rsidRPr="00C844EE">
        <w:t>–2</w:t>
      </w:r>
      <w:r>
        <w:t>2</w:t>
      </w:r>
      <w:r w:rsidRPr="00C844EE">
        <w:t xml:space="preserve"> regulatory control </w:t>
      </w:r>
      <w:proofErr w:type="gramStart"/>
      <w:r w:rsidRPr="00C844EE">
        <w:t>period</w:t>
      </w:r>
      <w:proofErr w:type="gramEnd"/>
      <w:r w:rsidRPr="00C844EE">
        <w:t xml:space="preserve">. The rate of change approach we have adopted takes into account </w:t>
      </w:r>
      <w:r>
        <w:t>the forecast growth in the outputs the service provider will be required to deliver. We then derive the forecast growth in the inputs required to deliver those outputs from the forecast growth in productivity.  We then use this to forecast the rate of change in opex from the forecast growth in the price of inputs</w:t>
      </w:r>
      <w:r w:rsidRPr="00C844EE">
        <w:t>.</w:t>
      </w:r>
    </w:p>
    <w:p w:rsidR="002C1039" w:rsidRDefault="002C1039" w:rsidP="002C1039">
      <w:r w:rsidRPr="00C844EE">
        <w:t xml:space="preserve">The rate of change </w:t>
      </w:r>
      <w:r>
        <w:t>equals</w:t>
      </w:r>
      <w:r w:rsidRPr="00C844EE">
        <w:t xml:space="preserve">: </w:t>
      </w:r>
    </w:p>
    <w:p w:rsidR="002C1039" w:rsidRPr="00F62236" w:rsidRDefault="002C1039" w:rsidP="00F62236">
      <w:pPr>
        <w:pStyle w:val="ListContinue2"/>
      </w:pPr>
      <w:r w:rsidRPr="00F62236">
        <w:t>(1 + price growth) × (1 + output growth) × (1 </w:t>
      </w:r>
      <w:r w:rsidR="0094456F">
        <w:t>–</w:t>
      </w:r>
      <w:r w:rsidRPr="00F62236">
        <w:t xml:space="preserve"> productivity growth) – 1</w:t>
      </w:r>
    </w:p>
    <w:p w:rsidR="002C1039" w:rsidRPr="00C844EE" w:rsidRDefault="002C1039" w:rsidP="002C1039">
      <w:r w:rsidRPr="00C844EE">
        <w:t xml:space="preserve">Our starting point for assessing the service provider's proposed change in annual expenditure is to disaggregate the service provider's proposal into the three </w:t>
      </w:r>
      <w:proofErr w:type="gramStart"/>
      <w:r w:rsidRPr="00C844EE">
        <w:t>rate</w:t>
      </w:r>
      <w:proofErr w:type="gramEnd"/>
      <w:r w:rsidRPr="00C844EE">
        <w:t xml:space="preserve"> of change components. This enables us to identify where there are differences in our estimate and the service provider's estimate of the components of the rate of change. While individual components in the service provider's proposed annual change in expenditure may differ from our rate of change component forecasts, we will form a </w:t>
      </w:r>
      <w:r w:rsidRPr="00C844EE">
        <w:lastRenderedPageBreak/>
        <w:t>view on the overall rate of change in deciding what to apply to derive our alternative opex forecast.</w:t>
      </w:r>
    </w:p>
    <w:p w:rsidR="002C1039" w:rsidRPr="00C844EE" w:rsidRDefault="002C1039" w:rsidP="002C1039">
      <w:r w:rsidRPr="00C844EE">
        <w:t>We also take into account whether the differences in the rate of change components are a result of differences in allocation or methodology. For example, a service provider may allocate economies of scale to the output growth component of the rate of change, whereas we consider this to be productivity growth. Irrespective of how a service provider has built up or categorised the components of its forecast rate of change, our assessment approach considers all the relevant drivers of the opex rate of change.</w:t>
      </w:r>
    </w:p>
    <w:p w:rsidR="002C1039" w:rsidRPr="00C844EE" w:rsidRDefault="002C1039" w:rsidP="002C1039">
      <w:r w:rsidRPr="00C844EE">
        <w:t xml:space="preserve">Since our rate of change approach is a holistic approach we cannot make adjustments to one component without considering the interactions with other rate of change components. For example, </w:t>
      </w:r>
      <w:r>
        <w:t>how we define our inputs will affect both forecast price growth, which is the growth in the price of those inputs, as well as forecast productivity change, which reflects the quantity of those inputs required to deliver the forecast outputs.</w:t>
      </w:r>
    </w:p>
    <w:p w:rsidR="002C1039" w:rsidRPr="00C844EE" w:rsidRDefault="002C1039" w:rsidP="002C1039">
      <w:pPr>
        <w:pStyle w:val="Heading9"/>
      </w:pPr>
      <w:bookmarkStart w:id="160" w:name="_Toc453061025"/>
      <w:bookmarkStart w:id="161" w:name="_Toc453172521"/>
      <w:bookmarkStart w:id="162" w:name="_Toc456601994"/>
      <w:r w:rsidRPr="00C844EE">
        <w:t>Price growth</w:t>
      </w:r>
      <w:bookmarkEnd w:id="160"/>
      <w:bookmarkEnd w:id="161"/>
      <w:bookmarkEnd w:id="162"/>
    </w:p>
    <w:p w:rsidR="002C1039" w:rsidRPr="00C844EE" w:rsidRDefault="002C1039" w:rsidP="002C1039">
      <w:r w:rsidRPr="00C844EE">
        <w:t xml:space="preserve">Under our rate of change approach we escalate opex by the forecast change in prices. Price growth </w:t>
      </w:r>
      <w:r>
        <w:t>includes both</w:t>
      </w:r>
      <w:r w:rsidRPr="00C844EE">
        <w:t xml:space="preserve"> labour price growth and non-labour price growth. </w:t>
      </w:r>
      <w:r>
        <w:t xml:space="preserve">Price growth </w:t>
      </w:r>
      <w:r w:rsidRPr="00C844EE">
        <w:t>accounts for the price of key inputs that do not move in line with the CPI and form a material proportion of AusNet Services' expenditure.</w:t>
      </w:r>
    </w:p>
    <w:p w:rsidR="002C1039" w:rsidRPr="00C844EE" w:rsidRDefault="002C1039" w:rsidP="002C1039">
      <w:r w:rsidRPr="00C844EE">
        <w:t xml:space="preserve">To determine the appropriate forecast change in labour prices we assessed forecasts from CIE and Deloitte Access Economics. These </w:t>
      </w:r>
      <w:r>
        <w:t xml:space="preserve">consultants base these </w:t>
      </w:r>
      <w:r w:rsidRPr="00C844EE">
        <w:t xml:space="preserve">forecasts </w:t>
      </w:r>
      <w:r>
        <w:t>on their</w:t>
      </w:r>
      <w:r w:rsidRPr="00C844EE">
        <w:t xml:space="preserve"> views of general macroeconomics trends for the utilities industry and the overall Australian economy. We discuss our consideration of the choice of labour price forecast below in section </w:t>
      </w:r>
      <w:r>
        <w:fldChar w:fldCharType="begin"/>
      </w:r>
      <w:r>
        <w:instrText xml:space="preserve"> REF _Ref451937281 \r \h </w:instrText>
      </w:r>
      <w:r>
        <w:fldChar w:fldCharType="separate"/>
      </w:r>
      <w:r w:rsidR="00740726">
        <w:t>B.8.1</w:t>
      </w:r>
      <w:r>
        <w:fldChar w:fldCharType="end"/>
      </w:r>
      <w:r w:rsidRPr="00C844EE">
        <w:t>.</w:t>
      </w:r>
    </w:p>
    <w:p w:rsidR="002C1039" w:rsidRPr="00C844EE" w:rsidRDefault="002C1039" w:rsidP="002C1039">
      <w:pPr>
        <w:pStyle w:val="Heading9"/>
      </w:pPr>
      <w:bookmarkStart w:id="163" w:name="_Toc453061026"/>
      <w:bookmarkStart w:id="164" w:name="_Toc453172522"/>
      <w:bookmarkStart w:id="165" w:name="_Toc456601995"/>
      <w:r w:rsidRPr="00C844EE">
        <w:t>Output growth</w:t>
      </w:r>
      <w:bookmarkEnd w:id="163"/>
      <w:bookmarkEnd w:id="164"/>
      <w:bookmarkEnd w:id="165"/>
    </w:p>
    <w:p w:rsidR="002C1039" w:rsidRPr="00C844EE" w:rsidRDefault="002C1039" w:rsidP="002C1039">
      <w:r w:rsidRPr="00C844EE">
        <w:t>Output growth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2C1039" w:rsidRPr="00C844EE" w:rsidRDefault="002C1039" w:rsidP="002C1039">
      <w:r w:rsidRPr="00C844EE">
        <w:t>Under our rate of change approach, a proportional change in output results in the same proportional change in expenditure. For example, if the only output measure is maximum demand, a 10 per cent increase in max</w:t>
      </w:r>
      <w:r w:rsidR="0094456F">
        <w:t>imum demand results in a 10 per </w:t>
      </w:r>
      <w:r w:rsidRPr="00C844EE">
        <w:t>cent increase in expenditure. We consider any subsequent adjustment for economies of scale as a part of our assessment of productivity</w:t>
      </w:r>
      <w:r>
        <w:t xml:space="preserve"> growth</w:t>
      </w:r>
      <w:r w:rsidRPr="00C844EE">
        <w:t>.</w:t>
      </w:r>
    </w:p>
    <w:p w:rsidR="002C1039" w:rsidRPr="00C844EE" w:rsidRDefault="002C1039" w:rsidP="002C1039">
      <w:r w:rsidRPr="00C844EE">
        <w:t>We discuss how we have estimated output growth in section</w:t>
      </w:r>
      <w:r>
        <w:t xml:space="preserve"> </w:t>
      </w:r>
      <w:r>
        <w:fldChar w:fldCharType="begin"/>
      </w:r>
      <w:r>
        <w:instrText xml:space="preserve"> REF _Ref451937295 \r \h </w:instrText>
      </w:r>
      <w:r>
        <w:fldChar w:fldCharType="separate"/>
      </w:r>
      <w:r w:rsidR="00740726">
        <w:t>B.8.2</w:t>
      </w:r>
      <w:r>
        <w:fldChar w:fldCharType="end"/>
      </w:r>
      <w:r w:rsidRPr="00C844EE">
        <w:t>.</w:t>
      </w:r>
    </w:p>
    <w:p w:rsidR="002C1039" w:rsidRPr="00C844EE" w:rsidRDefault="002C1039" w:rsidP="002C1039">
      <w:pPr>
        <w:pStyle w:val="Heading9"/>
      </w:pPr>
      <w:bookmarkStart w:id="166" w:name="_Toc453061027"/>
      <w:bookmarkStart w:id="167" w:name="_Toc453172523"/>
      <w:bookmarkStart w:id="168" w:name="_Toc456601996"/>
      <w:r w:rsidRPr="00C844EE">
        <w:t>Productivity</w:t>
      </w:r>
      <w:bookmarkEnd w:id="166"/>
      <w:bookmarkEnd w:id="167"/>
      <w:bookmarkEnd w:id="168"/>
    </w:p>
    <w:p w:rsidR="002C1039" w:rsidRPr="00C844EE" w:rsidRDefault="002C1039" w:rsidP="002C1039">
      <w:r w:rsidRPr="00C844EE">
        <w:lastRenderedPageBreak/>
        <w:t xml:space="preserve">We forecast productivity </w:t>
      </w:r>
      <w:r>
        <w:t xml:space="preserve">growth </w:t>
      </w:r>
      <w:r w:rsidRPr="00C844EE">
        <w:t xml:space="preserve">based on our expectations of the productivity an efficient service provider in the </w:t>
      </w:r>
      <w:r>
        <w:t xml:space="preserve">transmission </w:t>
      </w:r>
      <w:r w:rsidRPr="00C844EE">
        <w:t xml:space="preserve">industry can achieve. We consider the historic </w:t>
      </w:r>
      <w:r>
        <w:t>growth</w:t>
      </w:r>
      <w:r w:rsidRPr="00C844EE">
        <w:t xml:space="preserve"> in productivity</w:t>
      </w:r>
      <w:r>
        <w:t>,</w:t>
      </w:r>
      <w:r w:rsidRPr="00C844EE">
        <w:t xml:space="preserve"> and whether this reflects a reasonable expectation of the benchmark productivity </w:t>
      </w:r>
      <w:r>
        <w:t xml:space="preserve">growth </w:t>
      </w:r>
      <w:r w:rsidRPr="00C844EE">
        <w:t xml:space="preserve">that can be achieved </w:t>
      </w:r>
      <w:r>
        <w:t>in</w:t>
      </w:r>
      <w:r w:rsidRPr="00C844EE">
        <w:t xml:space="preserve"> the forecast period.</w:t>
      </w:r>
    </w:p>
    <w:p w:rsidR="002C1039" w:rsidRPr="00C844EE" w:rsidRDefault="002C1039" w:rsidP="002C1039">
      <w:r w:rsidRPr="00C844EE">
        <w:t xml:space="preserve">If inputs increase at a greater rate than outputs then a service provider's productivity is decreasing. </w:t>
      </w:r>
      <w:r>
        <w:t>P</w:t>
      </w:r>
      <w:r w:rsidRPr="00C844EE">
        <w:t xml:space="preserve">roductivity </w:t>
      </w:r>
      <w:r>
        <w:t xml:space="preserve">growth </w:t>
      </w:r>
      <w:r w:rsidRPr="00C844EE">
        <w:t xml:space="preserve">can have different sources. For example, productivity </w:t>
      </w:r>
      <w:r>
        <w:t xml:space="preserve">growth </w:t>
      </w:r>
      <w:r w:rsidRPr="00C844EE">
        <w:t>may be due to the realisation of economies of scale or technical change, such as the adoption of new technologies. We expect efficient service providers to pursue productivity improvements over time.</w:t>
      </w:r>
    </w:p>
    <w:p w:rsidR="002C1039" w:rsidRPr="00C844EE" w:rsidRDefault="002C1039" w:rsidP="002C1039">
      <w:r w:rsidRPr="00C844EE">
        <w:t>In the explanatory statement to the Guideline we noted that we would apply a rate of change to our estimate of final year opex (taking into account an efficiency adjustment, if required), to account for the shift in the productivity frontier over the forecast period.</w:t>
      </w:r>
      <w:r>
        <w:rPr>
          <w:rStyle w:val="FootnoteReference"/>
        </w:rPr>
        <w:footnoteReference w:id="64"/>
      </w:r>
    </w:p>
    <w:p w:rsidR="002C1039" w:rsidRPr="00C844EE" w:rsidRDefault="002C1039" w:rsidP="002C1039">
      <w:r w:rsidRPr="00C844EE">
        <w:t>Since forecast opex must reflect the efficient costs of a prudent firm, it must reflect the productivity improvements it is reasonable to expect a prudent service provider can achieve.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service provider is able to improve productivity beyond that forecast, it is able to retain those efficiency gains for a period.</w:t>
      </w:r>
      <w:r>
        <w:rPr>
          <w:rStyle w:val="FootnoteReference"/>
        </w:rPr>
        <w:footnoteReference w:id="65"/>
      </w:r>
    </w:p>
    <w:p w:rsidR="002C1039" w:rsidRPr="00C844EE" w:rsidRDefault="002C1039" w:rsidP="002C1039">
      <w:proofErr w:type="gramStart"/>
      <w:r w:rsidRPr="00C844EE">
        <w:t>Since we take both outputs and inputs into account, our productivity measure accounts for labour productivity and economies of scale.</w:t>
      </w:r>
      <w:proofErr w:type="gramEnd"/>
      <w:r w:rsidRPr="00C844EE">
        <w:t xml:space="preserve"> The effect of industry wide technical change is also included.</w:t>
      </w:r>
    </w:p>
    <w:p w:rsidR="002C1039" w:rsidRPr="00C844EE" w:rsidRDefault="002C1039" w:rsidP="002C1039">
      <w:r w:rsidRPr="00C844EE">
        <w:t>We discuss how we have estimated productivity growth in more detail in section</w:t>
      </w:r>
      <w:r>
        <w:t xml:space="preserve"> </w:t>
      </w:r>
      <w:r>
        <w:fldChar w:fldCharType="begin"/>
      </w:r>
      <w:r>
        <w:instrText xml:space="preserve"> REF _Ref451937306 \r \h </w:instrText>
      </w:r>
      <w:r>
        <w:fldChar w:fldCharType="separate"/>
      </w:r>
      <w:r w:rsidR="00740726">
        <w:t>B.8.3</w:t>
      </w:r>
      <w:r>
        <w:fldChar w:fldCharType="end"/>
      </w:r>
      <w:r w:rsidRPr="00C844EE">
        <w:t>.</w:t>
      </w:r>
    </w:p>
    <w:p w:rsidR="002C1039" w:rsidRPr="00C844EE" w:rsidRDefault="002C1039" w:rsidP="002C1039">
      <w:pPr>
        <w:pStyle w:val="Heading8"/>
      </w:pPr>
      <w:bookmarkStart w:id="169" w:name="_Toc456601997"/>
      <w:r w:rsidRPr="00C844EE">
        <w:t>Reasons for position</w:t>
      </w:r>
      <w:bookmarkEnd w:id="169"/>
    </w:p>
    <w:p w:rsidR="002C1039" w:rsidRDefault="002C1039" w:rsidP="002C1039">
      <w:r w:rsidRPr="00247B03">
        <w:t xml:space="preserve">For the reasons we discuss below, we are not satisfied that AusNet Services' approach to forecasting the rate of change will provide an opex forecast that reasonably reflects the opex criteria. We, therefore, </w:t>
      </w:r>
      <w:r w:rsidR="00807C95">
        <w:t xml:space="preserve">have </w:t>
      </w:r>
      <w:r w:rsidRPr="00247B03">
        <w:t>not accepted AusNet Services' proposal and forecast our own estimate of the rate of change. Our estimate is lower than that proposed by AusNet Services due to AusNet Service</w:t>
      </w:r>
      <w:r>
        <w:t xml:space="preserve">s' higher forecast price growth and output growth. We have also forecast lower productivity growth than </w:t>
      </w:r>
      <w:r w:rsidR="00807C95">
        <w:t xml:space="preserve">that forecast by </w:t>
      </w:r>
      <w:r>
        <w:t>AusNet Services.</w:t>
      </w:r>
    </w:p>
    <w:p w:rsidR="002C1039" w:rsidRDefault="00D84CCC" w:rsidP="002C1039">
      <w:r>
        <w:fldChar w:fldCharType="begin"/>
      </w:r>
      <w:r>
        <w:instrText xml:space="preserve"> REF _Ref456104181 \h </w:instrText>
      </w:r>
      <w:r>
        <w:fldChar w:fldCharType="separate"/>
      </w:r>
      <w:r w:rsidR="00740726">
        <w:t xml:space="preserve">Table </w:t>
      </w:r>
      <w:r w:rsidR="00740726">
        <w:rPr>
          <w:noProof/>
        </w:rPr>
        <w:t>B</w:t>
      </w:r>
      <w:r w:rsidR="00740726">
        <w:t>.</w:t>
      </w:r>
      <w:r w:rsidR="00740726">
        <w:rPr>
          <w:noProof/>
        </w:rPr>
        <w:t>5</w:t>
      </w:r>
      <w:r>
        <w:fldChar w:fldCharType="end"/>
      </w:r>
      <w:r>
        <w:t xml:space="preserve"> </w:t>
      </w:r>
      <w:r w:rsidR="002C1039" w:rsidRPr="00247B03">
        <w:t>shows AusNet Services' and our overall rate of change and each rate of change component for each regulatory year of the 201</w:t>
      </w:r>
      <w:r w:rsidR="002C1039">
        <w:t>7</w:t>
      </w:r>
      <w:r w:rsidR="002C1039" w:rsidRPr="00247B03">
        <w:t>–2</w:t>
      </w:r>
      <w:r w:rsidR="002C1039">
        <w:t>2</w:t>
      </w:r>
      <w:r w:rsidR="002C1039" w:rsidRPr="00247B03">
        <w:t xml:space="preserve"> regulatory control </w:t>
      </w:r>
      <w:proofErr w:type="gramStart"/>
      <w:r w:rsidR="002C1039" w:rsidRPr="00247B03">
        <w:t>period</w:t>
      </w:r>
      <w:proofErr w:type="gramEnd"/>
      <w:r w:rsidR="002C1039" w:rsidRPr="00247B03">
        <w:t>.</w:t>
      </w:r>
    </w:p>
    <w:p w:rsidR="002C1039" w:rsidRDefault="002C1039" w:rsidP="002C1039">
      <w:pPr>
        <w:pStyle w:val="Caption"/>
      </w:pPr>
      <w:bookmarkStart w:id="170" w:name="_Ref456104181"/>
      <w:r>
        <w:lastRenderedPageBreak/>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5</w:t>
      </w:r>
      <w:r w:rsidR="00F64824">
        <w:rPr>
          <w:noProof/>
        </w:rPr>
        <w:fldChar w:fldCharType="end"/>
      </w:r>
      <w:bookmarkEnd w:id="170"/>
      <w:r>
        <w:tab/>
      </w:r>
      <w:r w:rsidRPr="00247B03">
        <w:t>AusNet Services and AER rate of change (per cent real)</w:t>
      </w:r>
    </w:p>
    <w:tbl>
      <w:tblPr>
        <w:tblStyle w:val="AERtable-numbers"/>
        <w:tblW w:w="5000" w:type="pct"/>
        <w:tblLook w:val="04A0" w:firstRow="1" w:lastRow="0" w:firstColumn="1" w:lastColumn="0" w:noHBand="0" w:noVBand="1"/>
      </w:tblPr>
      <w:tblGrid>
        <w:gridCol w:w="2605"/>
        <w:gridCol w:w="1015"/>
        <w:gridCol w:w="1015"/>
        <w:gridCol w:w="1015"/>
        <w:gridCol w:w="1014"/>
        <w:gridCol w:w="1015"/>
        <w:gridCol w:w="1014"/>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2C1039" w:rsidRDefault="002C1039" w:rsidP="002C1039"/>
        </w:tc>
        <w:tc>
          <w:tcPr>
            <w:tcW w:w="58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2016</w:t>
            </w:r>
          </w:p>
        </w:tc>
        <w:tc>
          <w:tcPr>
            <w:tcW w:w="58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w:t>
            </w:r>
          </w:p>
        </w:tc>
        <w:tc>
          <w:tcPr>
            <w:tcW w:w="58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w:t>
            </w:r>
          </w:p>
        </w:tc>
        <w:tc>
          <w:tcPr>
            <w:tcW w:w="583"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w:t>
            </w:r>
          </w:p>
        </w:tc>
        <w:tc>
          <w:tcPr>
            <w:tcW w:w="584"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w:t>
            </w:r>
          </w:p>
        </w:tc>
        <w:tc>
          <w:tcPr>
            <w:tcW w:w="583"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Average</w:t>
            </w:r>
          </w:p>
        </w:tc>
      </w:tr>
      <w:tr w:rsidR="002C1039" w:rsidRPr="00036402" w:rsidTr="006256FE">
        <w:tc>
          <w:tcPr>
            <w:cnfStyle w:val="001000000000" w:firstRow="0" w:lastRow="0" w:firstColumn="1" w:lastColumn="0" w:oddVBand="0" w:evenVBand="0" w:oddHBand="0" w:evenHBand="0" w:firstRowFirstColumn="0" w:firstRowLastColumn="0" w:lastRowFirstColumn="0" w:lastRowLastColumn="0"/>
            <w:tcW w:w="2082" w:type="pct"/>
            <w:gridSpan w:val="2"/>
          </w:tcPr>
          <w:p w:rsidR="002C1039" w:rsidRPr="002C1039" w:rsidRDefault="002C1039" w:rsidP="002C1039">
            <w:pPr>
              <w:rPr>
                <w:rStyle w:val="Strong"/>
              </w:rPr>
            </w:pPr>
            <w:r>
              <w:rPr>
                <w:rStyle w:val="Strong"/>
              </w:rPr>
              <w:t>AusNet Services</w:t>
            </w:r>
            <w:r w:rsidRPr="002C1039">
              <w:rPr>
                <w:rStyle w:val="Strong"/>
              </w:rPr>
              <w:t xml:space="preserve"> revised proposal</w:t>
            </w:r>
          </w:p>
        </w:tc>
        <w:tc>
          <w:tcPr>
            <w:tcW w:w="584" w:type="pct"/>
          </w:tcPr>
          <w:p w:rsidR="002C1039" w:rsidRPr="00247B03"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p>
        </w:tc>
        <w:tc>
          <w:tcPr>
            <w:tcW w:w="584" w:type="pct"/>
          </w:tcPr>
          <w:p w:rsidR="002C1039" w:rsidRPr="00247B03"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p>
        </w:tc>
        <w:tc>
          <w:tcPr>
            <w:tcW w:w="583" w:type="pct"/>
          </w:tcPr>
          <w:p w:rsidR="002C1039" w:rsidRPr="00247B03"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p>
        </w:tc>
        <w:tc>
          <w:tcPr>
            <w:tcW w:w="584" w:type="pct"/>
          </w:tcPr>
          <w:p w:rsidR="002C1039" w:rsidRPr="00247B03"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p>
        </w:tc>
        <w:tc>
          <w:tcPr>
            <w:tcW w:w="583" w:type="pct"/>
          </w:tcPr>
          <w:p w:rsidR="002C1039" w:rsidRPr="00247B03"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p>
        </w:tc>
      </w:tr>
      <w:tr w:rsidR="002C103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2C1039" w:rsidRPr="002C1039" w:rsidRDefault="002C1039" w:rsidP="002C1039">
            <w:r w:rsidRPr="002C1039">
              <w:t>Price growth</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0.70</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0.71</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0.70</w:t>
            </w: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0.76</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0.78</w:t>
            </w: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0.73</w:t>
            </w:r>
          </w:p>
        </w:tc>
      </w:tr>
      <w:tr w:rsidR="002C1039" w:rsidTr="006256FE">
        <w:tc>
          <w:tcPr>
            <w:cnfStyle w:val="001000000000" w:firstRow="0" w:lastRow="0" w:firstColumn="1" w:lastColumn="0" w:oddVBand="0" w:evenVBand="0" w:oddHBand="0" w:evenHBand="0" w:firstRowFirstColumn="0" w:firstRowLastColumn="0" w:lastRowFirstColumn="0" w:lastRowLastColumn="0"/>
            <w:tcW w:w="1498" w:type="pct"/>
          </w:tcPr>
          <w:p w:rsidR="002C1039" w:rsidRPr="002C1039" w:rsidRDefault="002C1039" w:rsidP="002C1039">
            <w:r w:rsidRPr="002C1039">
              <w:t>Output growth</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1.78</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1.50</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1.50</w:t>
            </w:r>
          </w:p>
        </w:tc>
        <w:tc>
          <w:tcPr>
            <w:tcW w:w="583"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1.50</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1.50</w:t>
            </w:r>
          </w:p>
        </w:tc>
        <w:tc>
          <w:tcPr>
            <w:tcW w:w="583"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pPr>
            <w:r w:rsidRPr="002C1039">
              <w:t>1.56</w:t>
            </w:r>
          </w:p>
        </w:tc>
      </w:tr>
      <w:tr w:rsidR="002C103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2C1039" w:rsidRPr="002C1039" w:rsidRDefault="002C1039" w:rsidP="002C1039">
            <w:r w:rsidRPr="002C1039">
              <w:t>Productivity growth</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r w:rsidRPr="002C1039">
              <w:t>0.28</w:t>
            </w:r>
          </w:p>
        </w:tc>
      </w:tr>
      <w:tr w:rsidR="002C1039" w:rsidRPr="00036402" w:rsidTr="006256FE">
        <w:tc>
          <w:tcPr>
            <w:cnfStyle w:val="001000000000" w:firstRow="0" w:lastRow="0" w:firstColumn="1" w:lastColumn="0" w:oddVBand="0" w:evenVBand="0" w:oddHBand="0" w:evenHBand="0" w:firstRowFirstColumn="0" w:firstRowLastColumn="0" w:lastRowFirstColumn="0" w:lastRowLastColumn="0"/>
            <w:tcW w:w="1498" w:type="pct"/>
          </w:tcPr>
          <w:p w:rsidR="002C1039" w:rsidRPr="002C1039" w:rsidRDefault="002C1039" w:rsidP="002C1039">
            <w:pPr>
              <w:rPr>
                <w:rStyle w:val="Strong"/>
              </w:rPr>
            </w:pPr>
            <w:r w:rsidRPr="002C1039">
              <w:rPr>
                <w:rStyle w:val="Strong"/>
              </w:rPr>
              <w:t>Overall rate of change</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2.21</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1.94</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1.93</w:t>
            </w:r>
          </w:p>
        </w:tc>
        <w:tc>
          <w:tcPr>
            <w:tcW w:w="583"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1.99</w:t>
            </w:r>
          </w:p>
        </w:tc>
        <w:tc>
          <w:tcPr>
            <w:tcW w:w="584"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2.01</w:t>
            </w:r>
          </w:p>
        </w:tc>
        <w:tc>
          <w:tcPr>
            <w:tcW w:w="583" w:type="pct"/>
            <w:vAlign w:val="top"/>
          </w:tcPr>
          <w:p w:rsidR="002C1039" w:rsidRPr="002C1039" w:rsidRDefault="002C1039" w:rsidP="006256FE">
            <w:pPr>
              <w:cnfStyle w:val="000000000000" w:firstRow="0" w:lastRow="0" w:firstColumn="0" w:lastColumn="0" w:oddVBand="0" w:evenVBand="0" w:oddHBand="0" w:evenHBand="0" w:firstRowFirstColumn="0" w:firstRowLastColumn="0" w:lastRowFirstColumn="0" w:lastRowLastColumn="0"/>
              <w:rPr>
                <w:rStyle w:val="Strong"/>
              </w:rPr>
            </w:pPr>
            <w:r w:rsidRPr="002C1039">
              <w:rPr>
                <w:rStyle w:val="Strong"/>
              </w:rPr>
              <w:t>2.02</w:t>
            </w:r>
          </w:p>
        </w:tc>
      </w:tr>
      <w:tr w:rsidR="002C1039" w:rsidRPr="00036402"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2C1039" w:rsidRPr="002C1039" w:rsidRDefault="002C1039" w:rsidP="002C1039">
            <w:pPr>
              <w:rPr>
                <w:rStyle w:val="Strong"/>
              </w:rPr>
            </w:pPr>
            <w:r w:rsidRPr="002C1039">
              <w:rPr>
                <w:rStyle w:val="Strong"/>
              </w:rPr>
              <w:t>AER</w:t>
            </w: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c>
          <w:tcPr>
            <w:tcW w:w="584"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c>
          <w:tcPr>
            <w:tcW w:w="583" w:type="pct"/>
            <w:vAlign w:val="top"/>
          </w:tcPr>
          <w:p w:rsidR="002C1039" w:rsidRPr="002C1039" w:rsidRDefault="002C1039" w:rsidP="006256FE">
            <w:pPr>
              <w:cnfStyle w:val="000000010000" w:firstRow="0" w:lastRow="0" w:firstColumn="0" w:lastColumn="0" w:oddVBand="0" w:evenVBand="0" w:oddHBand="0" w:evenHBand="1" w:firstRowFirstColumn="0" w:firstRowLastColumn="0" w:lastRowFirstColumn="0" w:lastRowLastColumn="0"/>
            </w:pPr>
          </w:p>
        </w:tc>
      </w:tr>
      <w:tr w:rsidR="00D84CCC" w:rsidTr="006256FE">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r w:rsidRPr="00D84CCC">
              <w:t>Price growth</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0.29</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0.51</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0.60</w:t>
            </w: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0.63</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0.64</w:t>
            </w: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0.54</w:t>
            </w:r>
          </w:p>
        </w:tc>
      </w:tr>
      <w:tr w:rsidR="00D84CCC"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r w:rsidRPr="00D84CCC">
              <w:t>Output growth</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pPr>
            <w:r w:rsidRPr="00D84CCC">
              <w:t>–</w:t>
            </w:r>
          </w:p>
        </w:tc>
      </w:tr>
      <w:tr w:rsidR="00D84CCC" w:rsidTr="006256FE">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r w:rsidRPr="00D84CCC">
              <w:t>Productivity growth</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r w:rsidRPr="00D84CCC">
              <w:t>0.20</w:t>
            </w:r>
          </w:p>
        </w:tc>
      </w:tr>
      <w:tr w:rsidR="00D84CCC" w:rsidRPr="00036402"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pPr>
              <w:rPr>
                <w:rStyle w:val="Strong"/>
              </w:rPr>
            </w:pPr>
            <w:r w:rsidRPr="00D84CCC">
              <w:rPr>
                <w:rStyle w:val="Strong"/>
              </w:rPr>
              <w:t>Overall rate of change</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0.09</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0.31</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0.40</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0.43</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0.43</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0.33</w:t>
            </w:r>
          </w:p>
        </w:tc>
      </w:tr>
      <w:tr w:rsidR="00D84CCC" w:rsidTr="006256FE">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c>
          <w:tcPr>
            <w:tcW w:w="584"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c>
          <w:tcPr>
            <w:tcW w:w="583" w:type="pct"/>
            <w:vAlign w:val="top"/>
          </w:tcPr>
          <w:p w:rsidR="00D84CCC" w:rsidRPr="00D84CCC" w:rsidRDefault="00D84CCC" w:rsidP="00304872">
            <w:pPr>
              <w:cnfStyle w:val="000000000000" w:firstRow="0" w:lastRow="0" w:firstColumn="0" w:lastColumn="0" w:oddVBand="0" w:evenVBand="0" w:oddHBand="0" w:evenHBand="0" w:firstRowFirstColumn="0" w:firstRowLastColumn="0" w:lastRowFirstColumn="0" w:lastRowLastColumn="0"/>
            </w:pPr>
          </w:p>
        </w:tc>
      </w:tr>
      <w:tr w:rsidR="00D84CCC" w:rsidRPr="00036402"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Pr>
          <w:p w:rsidR="00D84CCC" w:rsidRPr="00D84CCC" w:rsidRDefault="00D84CCC" w:rsidP="00D84CCC">
            <w:pPr>
              <w:rPr>
                <w:rStyle w:val="Strong"/>
              </w:rPr>
            </w:pPr>
            <w:r w:rsidRPr="00D84CCC">
              <w:rPr>
                <w:rStyle w:val="Strong"/>
              </w:rPr>
              <w:t>Overall difference</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–2.12</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–1.62</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–1.53</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–1.56</w:t>
            </w:r>
          </w:p>
        </w:tc>
        <w:tc>
          <w:tcPr>
            <w:tcW w:w="584"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–1.57</w:t>
            </w:r>
          </w:p>
        </w:tc>
        <w:tc>
          <w:tcPr>
            <w:tcW w:w="583" w:type="pct"/>
            <w:vAlign w:val="top"/>
          </w:tcPr>
          <w:p w:rsidR="00D84CCC" w:rsidRPr="00D84CCC" w:rsidRDefault="00D84CCC" w:rsidP="00304872">
            <w:pPr>
              <w:cnfStyle w:val="000000010000" w:firstRow="0" w:lastRow="0" w:firstColumn="0" w:lastColumn="0" w:oddVBand="0" w:evenVBand="0" w:oddHBand="0" w:evenHBand="1" w:firstRowFirstColumn="0" w:firstRowLastColumn="0" w:lastRowFirstColumn="0" w:lastRowLastColumn="0"/>
              <w:rPr>
                <w:rStyle w:val="Strong"/>
              </w:rPr>
            </w:pPr>
            <w:r w:rsidRPr="00D84CCC">
              <w:rPr>
                <w:rStyle w:val="Strong"/>
              </w:rPr>
              <w:t>–1.68</w:t>
            </w:r>
          </w:p>
        </w:tc>
      </w:tr>
    </w:tbl>
    <w:p w:rsidR="002C1039" w:rsidRPr="00247B03" w:rsidRDefault="002C1039" w:rsidP="002C1039">
      <w:pPr>
        <w:pStyle w:val="AERtablesource"/>
      </w:pPr>
      <w:r w:rsidRPr="00564890">
        <w:t xml:space="preserve">Source: </w:t>
      </w:r>
      <w:r w:rsidRPr="00247B03">
        <w:tab/>
        <w:t>AER analysis.</w:t>
      </w:r>
    </w:p>
    <w:p w:rsidR="002C1039" w:rsidRPr="00DB4D5D" w:rsidRDefault="002C1039" w:rsidP="002C1039">
      <w:r w:rsidRPr="00DB4D5D">
        <w:t xml:space="preserve">In estimating our rate of change, we considered AusNet Services' proposed forecast growth in prices, output and productivity and the method used to forecast these. The key areas of </w:t>
      </w:r>
      <w:r w:rsidR="00807C95">
        <w:t>difference</w:t>
      </w:r>
      <w:r w:rsidR="00807C95" w:rsidRPr="00DB4D5D">
        <w:t xml:space="preserve"> </w:t>
      </w:r>
      <w:r w:rsidRPr="00DB4D5D">
        <w:t>with AusNet Services are:</w:t>
      </w:r>
    </w:p>
    <w:p w:rsidR="002C1039" w:rsidRPr="00DB4D5D" w:rsidRDefault="002C1039" w:rsidP="002C1039">
      <w:pPr>
        <w:pStyle w:val="ListNumber"/>
        <w:numPr>
          <w:ilvl w:val="0"/>
          <w:numId w:val="28"/>
        </w:numPr>
      </w:pPr>
      <w:r w:rsidRPr="00DB4D5D">
        <w:rPr>
          <w:rStyle w:val="Strong"/>
        </w:rPr>
        <w:t>Forecast labour price growth:</w:t>
      </w:r>
      <w:r w:rsidRPr="00DB4D5D">
        <w:t xml:space="preserve"> We </w:t>
      </w:r>
      <w:r>
        <w:t xml:space="preserve">and </w:t>
      </w:r>
      <w:r w:rsidRPr="000A531B">
        <w:t xml:space="preserve">AusNet Services </w:t>
      </w:r>
      <w:r>
        <w:t xml:space="preserve">both </w:t>
      </w:r>
      <w:r w:rsidRPr="00DB4D5D">
        <w:t xml:space="preserve">used the forecast </w:t>
      </w:r>
      <w:r>
        <w:t>growth</w:t>
      </w:r>
      <w:r w:rsidRPr="00DB4D5D">
        <w:t xml:space="preserve"> in the WPI for the electricity, gas, water and waste services industry (the utilities industry) as forecast by DAE and CIE. </w:t>
      </w:r>
      <w:r>
        <w:t xml:space="preserve">However, we have used the most up-to-date forecasts available from these forecasters. </w:t>
      </w:r>
    </w:p>
    <w:p w:rsidR="002C1039" w:rsidRDefault="002C1039" w:rsidP="002C1039">
      <w:pPr>
        <w:pStyle w:val="ListNumber"/>
      </w:pPr>
      <w:r w:rsidRPr="00DB4D5D">
        <w:rPr>
          <w:rStyle w:val="Strong"/>
        </w:rPr>
        <w:t>Input price weights:</w:t>
      </w:r>
      <w:r w:rsidRPr="00DB4D5D">
        <w:t xml:space="preserve"> AusNet Services applied a higher weighting to labour price growth, based on its actual expenditure in 2014, that treated all services</w:t>
      </w:r>
      <w:r>
        <w:t xml:space="preserve"> </w:t>
      </w:r>
      <w:r w:rsidRPr="00DB4D5D">
        <w:t>contract expenditure</w:t>
      </w:r>
      <w:r>
        <w:t xml:space="preserve"> </w:t>
      </w:r>
      <w:r w:rsidRPr="00431E43">
        <w:t>(both field services and non-field services)</w:t>
      </w:r>
      <w:r w:rsidRPr="00DB4D5D">
        <w:t xml:space="preserve"> as labour. </w:t>
      </w:r>
      <w:r w:rsidR="005B5C77">
        <w:t>By contrast, to better reflect the nature of the services, w</w:t>
      </w:r>
      <w:r w:rsidRPr="00DB4D5D">
        <w:t>e used a benchmark weighting that treated field services labour as a mix of labour and non-labour and non-field services as non-labour.</w:t>
      </w:r>
    </w:p>
    <w:p w:rsidR="002C1039" w:rsidRDefault="002C1039" w:rsidP="002C1039">
      <w:pPr>
        <w:pStyle w:val="ListNumber"/>
      </w:pPr>
      <w:r w:rsidRPr="003B4261">
        <w:rPr>
          <w:rStyle w:val="Strong"/>
        </w:rPr>
        <w:t>Forecast output growth:</w:t>
      </w:r>
      <w:r>
        <w:t xml:space="preserve"> AusNet Services applied our standard approach to forecasting output growth for transmission business.  However, we forecast no additional opex due to output growth because AusNet Services will not need to fund the cost of operating and maintaining augmentation and connection assets installed in the 2017–22 regulatory control period</w:t>
      </w:r>
      <w:r w:rsidR="005B5C77">
        <w:t xml:space="preserve"> as </w:t>
      </w:r>
      <w:r w:rsidR="00D84CCC">
        <w:t xml:space="preserve">AEMO </w:t>
      </w:r>
      <w:r w:rsidR="005B5C77">
        <w:t xml:space="preserve">will </w:t>
      </w:r>
      <w:r w:rsidR="00D84CCC">
        <w:t>incur this cost</w:t>
      </w:r>
      <w:r>
        <w:t>.</w:t>
      </w:r>
    </w:p>
    <w:p w:rsidR="002C1039" w:rsidRPr="00DB4D5D" w:rsidRDefault="002C1039" w:rsidP="002C1039">
      <w:pPr>
        <w:pStyle w:val="ListNumber"/>
      </w:pPr>
      <w:r w:rsidRPr="003B4261">
        <w:rPr>
          <w:rStyle w:val="Strong"/>
        </w:rPr>
        <w:t>Productivity growth:</w:t>
      </w:r>
      <w:r>
        <w:t xml:space="preserve"> </w:t>
      </w:r>
      <w:r w:rsidRPr="00DB4D5D">
        <w:t xml:space="preserve"> </w:t>
      </w:r>
      <w:r>
        <w:t xml:space="preserve">AusNet Services adopted our standard approach to measure productivity growth from 2006 to 2014. </w:t>
      </w:r>
      <w:r w:rsidR="005B5C77">
        <w:t>In order to more accurately measure productivity growth, w</w:t>
      </w:r>
      <w:r>
        <w:t xml:space="preserve">e </w:t>
      </w:r>
      <w:r w:rsidRPr="00E34277">
        <w:t>used an additional year of data (2015)</w:t>
      </w:r>
      <w:r>
        <w:t>,</w:t>
      </w:r>
      <w:r w:rsidRPr="00E34277">
        <w:t xml:space="preserve"> </w:t>
      </w:r>
      <w:r>
        <w:t xml:space="preserve">and </w:t>
      </w:r>
      <w:r w:rsidRPr="00E34277">
        <w:t>made a small number of revisions to the data</w:t>
      </w:r>
      <w:r>
        <w:t xml:space="preserve">. We also used a trend growth rate method rather than the </w:t>
      </w:r>
      <w:r w:rsidRPr="00E34277">
        <w:t>average annual growth rate method</w:t>
      </w:r>
      <w:r>
        <w:t xml:space="preserve"> </w:t>
      </w:r>
      <w:r w:rsidR="005B5C77">
        <w:t xml:space="preserve">used by </w:t>
      </w:r>
      <w:r>
        <w:t>AusNet Services.</w:t>
      </w:r>
    </w:p>
    <w:p w:rsidR="002C1039" w:rsidRPr="00247B03" w:rsidRDefault="002C1039" w:rsidP="002C1039">
      <w:r w:rsidRPr="00DB4D5D">
        <w:lastRenderedPageBreak/>
        <w:t xml:space="preserve">We have separated the sections below into the three </w:t>
      </w:r>
      <w:proofErr w:type="gramStart"/>
      <w:r w:rsidRPr="00DB4D5D">
        <w:t>rate</w:t>
      </w:r>
      <w:proofErr w:type="gramEnd"/>
      <w:r w:rsidRPr="00DB4D5D">
        <w:t xml:space="preserve"> of change components. Where relevant we compare these components to AusNet Services' proposed rate of change using information provided in its reset RIN and opex model.  </w:t>
      </w:r>
    </w:p>
    <w:p w:rsidR="002C1039" w:rsidRPr="00C844EE" w:rsidRDefault="002C1039" w:rsidP="002C1039">
      <w:pPr>
        <w:pStyle w:val="Heading9"/>
      </w:pPr>
      <w:bookmarkStart w:id="171" w:name="_Ref451937281"/>
      <w:bookmarkStart w:id="172" w:name="_Toc453061029"/>
      <w:bookmarkStart w:id="173" w:name="_Toc456601998"/>
      <w:r w:rsidRPr="00C844EE">
        <w:t>Forecast price growth</w:t>
      </w:r>
      <w:bookmarkEnd w:id="171"/>
      <w:bookmarkEnd w:id="172"/>
      <w:bookmarkEnd w:id="173"/>
    </w:p>
    <w:p w:rsidR="002C1039" w:rsidRPr="00DB4D5D" w:rsidRDefault="002C1039" w:rsidP="002C1039">
      <w:r w:rsidRPr="00DB4D5D">
        <w:t xml:space="preserve">We are not satisfied AusNet Services' proposed average annual price growth of </w:t>
      </w:r>
      <w:r>
        <w:t>0.7 </w:t>
      </w:r>
      <w:r w:rsidRPr="00DB4D5D">
        <w:t>per cent for the 201</w:t>
      </w:r>
      <w:r>
        <w:t>7</w:t>
      </w:r>
      <w:r w:rsidRPr="00DB4D5D">
        <w:t>–2</w:t>
      </w:r>
      <w:r>
        <w:t>2</w:t>
      </w:r>
      <w:r w:rsidRPr="00DB4D5D">
        <w:t xml:space="preserve"> regulatory control period reflects the increase in prices a prudent and efficient service provider would require to meet the opex objectives. We forecast an </w:t>
      </w:r>
      <w:r>
        <w:t>average annual price growth of 0.</w:t>
      </w:r>
      <w:r w:rsidR="00D84CCC">
        <w:t>5</w:t>
      </w:r>
      <w:r w:rsidRPr="00DB4D5D">
        <w:t xml:space="preserve"> per cent.</w:t>
      </w:r>
    </w:p>
    <w:p w:rsidR="002C1039" w:rsidRDefault="002C1039" w:rsidP="002C1039">
      <w:r w:rsidRPr="00DB4D5D">
        <w:t xml:space="preserve">There are </w:t>
      </w:r>
      <w:r>
        <w:t>three</w:t>
      </w:r>
      <w:r w:rsidRPr="00DB4D5D">
        <w:t xml:space="preserve"> main differences between AusNet Services' approach to forecasting price growth and the approach we have adopted</w:t>
      </w:r>
      <w:r>
        <w:t xml:space="preserve">. </w:t>
      </w:r>
      <w:r w:rsidRPr="00DB4D5D">
        <w:t>We discuss our consideration of each of these issues below.</w:t>
      </w:r>
    </w:p>
    <w:p w:rsidR="002C1039" w:rsidRDefault="002C1039" w:rsidP="002C1039">
      <w:pPr>
        <w:pStyle w:val="HeadingBoldItalic"/>
      </w:pPr>
      <w:bookmarkStart w:id="174" w:name="_Toc452990542"/>
      <w:bookmarkStart w:id="175" w:name="_Toc453061030"/>
      <w:bookmarkStart w:id="176" w:name="_Toc453172526"/>
      <w:bookmarkStart w:id="177" w:name="_Toc456601999"/>
      <w:r>
        <w:t>Choice of price measures</w:t>
      </w:r>
      <w:bookmarkEnd w:id="174"/>
      <w:bookmarkEnd w:id="175"/>
      <w:bookmarkEnd w:id="176"/>
      <w:bookmarkEnd w:id="177"/>
    </w:p>
    <w:p w:rsidR="002C1039" w:rsidRDefault="002C1039" w:rsidP="002C1039">
      <w:r w:rsidRPr="00016454">
        <w:t xml:space="preserve">We have forecast labour </w:t>
      </w:r>
      <w:r>
        <w:t xml:space="preserve">price growth </w:t>
      </w:r>
      <w:r w:rsidRPr="00016454">
        <w:t xml:space="preserve">based on the </w:t>
      </w:r>
      <w:r>
        <w:t xml:space="preserve">growth in the </w:t>
      </w:r>
      <w:r w:rsidRPr="00016454">
        <w:t>utilities WPI</w:t>
      </w:r>
      <w:r>
        <w:t>. We have forecast no non-labour price growth in real terms</w:t>
      </w:r>
      <w:r w:rsidRPr="00016454">
        <w:t xml:space="preserve">. </w:t>
      </w:r>
      <w:r>
        <w:t>We then apply benchmark weights to derive our forecast of overall opex price growth.</w:t>
      </w:r>
    </w:p>
    <w:p w:rsidR="002C1039" w:rsidRPr="00C07539" w:rsidRDefault="002C1039" w:rsidP="002C1039">
      <w:r w:rsidRPr="00C07539">
        <w:t>AusNet Services proposed price growth for:</w:t>
      </w:r>
      <w:r>
        <w:rPr>
          <w:rStyle w:val="FootnoteReference"/>
        </w:rPr>
        <w:footnoteReference w:id="66"/>
      </w:r>
    </w:p>
    <w:p w:rsidR="002C1039" w:rsidRPr="00C07539" w:rsidRDefault="002C1039" w:rsidP="002C1039">
      <w:pPr>
        <w:pStyle w:val="AERbulletlistfirststyle"/>
      </w:pPr>
      <w:r w:rsidRPr="00C07539">
        <w:t>internal labour costs (utilities WPI</w:t>
      </w:r>
      <w:r>
        <w:t xml:space="preserve"> growth</w:t>
      </w:r>
      <w:r w:rsidRPr="00C07539">
        <w:t>)</w:t>
      </w:r>
    </w:p>
    <w:p w:rsidR="002C1039" w:rsidRPr="00C07539" w:rsidRDefault="002C1039" w:rsidP="002C1039">
      <w:pPr>
        <w:pStyle w:val="AERbulletlistfirststyle"/>
      </w:pPr>
      <w:r w:rsidRPr="00C07539">
        <w:t>external labour costs (construction WPI</w:t>
      </w:r>
      <w:r>
        <w:t xml:space="preserve"> growth </w:t>
      </w:r>
      <w:r w:rsidRPr="00C07539">
        <w:t>)</w:t>
      </w:r>
    </w:p>
    <w:p w:rsidR="002C1039" w:rsidRPr="00C07539" w:rsidRDefault="002C1039" w:rsidP="002C1039">
      <w:pPr>
        <w:pStyle w:val="AERbulletlistfirststyle"/>
      </w:pPr>
      <w:proofErr w:type="gramStart"/>
      <w:r w:rsidRPr="00C07539">
        <w:t>non-labour</w:t>
      </w:r>
      <w:proofErr w:type="gramEnd"/>
      <w:r w:rsidRPr="00C07539">
        <w:t xml:space="preserve"> costs (CPI</w:t>
      </w:r>
      <w:r>
        <w:t xml:space="preserve"> growth</w:t>
      </w:r>
      <w:r w:rsidRPr="00C07539">
        <w:t>).</w:t>
      </w:r>
    </w:p>
    <w:p w:rsidR="002C1039" w:rsidRDefault="002C1039" w:rsidP="002C1039">
      <w:r>
        <w:t>AusNet Services defined i</w:t>
      </w:r>
      <w:r w:rsidRPr="008678C1">
        <w:t xml:space="preserve">nternal labour costs </w:t>
      </w:r>
      <w:r>
        <w:t>as</w:t>
      </w:r>
      <w:r w:rsidRPr="008678C1">
        <w:t xml:space="preserve"> the costs of AusNet Services’ employees and its internal labour hire</w:t>
      </w:r>
      <w:r>
        <w:t xml:space="preserve">. It defined </w:t>
      </w:r>
      <w:r w:rsidRPr="008678C1">
        <w:t xml:space="preserve">external labour costs </w:t>
      </w:r>
      <w:r>
        <w:t>as</w:t>
      </w:r>
      <w:r w:rsidRPr="008678C1">
        <w:t xml:space="preserve"> the costs of external contractors engaged to deliver services such as asset maintenance, as well as consultants.</w:t>
      </w:r>
      <w:r>
        <w:rPr>
          <w:rStyle w:val="FootnoteReference"/>
        </w:rPr>
        <w:footnoteReference w:id="67"/>
      </w:r>
    </w:p>
    <w:p w:rsidR="002C1039" w:rsidRDefault="002C1039" w:rsidP="002C1039">
      <w:r>
        <w:t xml:space="preserve">We compare the price measures we have used to forecast price change with those used by AusNet Services in </w:t>
      </w:r>
      <w:r>
        <w:fldChar w:fldCharType="begin"/>
      </w:r>
      <w:r>
        <w:instrText xml:space="preserve"> REF _Ref452975086 \h </w:instrText>
      </w:r>
      <w:r>
        <w:fldChar w:fldCharType="separate"/>
      </w:r>
      <w:r w:rsidR="00740726">
        <w:t xml:space="preserve">Table </w:t>
      </w:r>
      <w:r w:rsidR="00740726">
        <w:rPr>
          <w:noProof/>
        </w:rPr>
        <w:t>B</w:t>
      </w:r>
      <w:r w:rsidR="00740726">
        <w:t>.</w:t>
      </w:r>
      <w:r w:rsidR="00740726">
        <w:rPr>
          <w:noProof/>
        </w:rPr>
        <w:t>6</w:t>
      </w:r>
      <w:r>
        <w:fldChar w:fldCharType="end"/>
      </w:r>
      <w:r>
        <w:t xml:space="preserve"> </w:t>
      </w:r>
      <w:r>
        <w:fldChar w:fldCharType="begin"/>
      </w:r>
      <w:r>
        <w:instrText xml:space="preserve"> REF _Ref452975104 \p \h </w:instrText>
      </w:r>
      <w:r>
        <w:fldChar w:fldCharType="separate"/>
      </w:r>
      <w:r w:rsidR="00740726">
        <w:t>below</w:t>
      </w:r>
      <w:r>
        <w:fldChar w:fldCharType="end"/>
      </w:r>
      <w:r>
        <w:t>.</w:t>
      </w:r>
    </w:p>
    <w:p w:rsidR="002C1039" w:rsidRDefault="002C1039" w:rsidP="002C1039">
      <w:pPr>
        <w:pStyle w:val="Caption"/>
      </w:pPr>
      <w:bookmarkStart w:id="178" w:name="_Ref452975086"/>
      <w:bookmarkStart w:id="179" w:name="_Ref452975104"/>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6</w:t>
      </w:r>
      <w:r w:rsidR="00F64824">
        <w:rPr>
          <w:noProof/>
        </w:rPr>
        <w:fldChar w:fldCharType="end"/>
      </w:r>
      <w:bookmarkEnd w:id="178"/>
      <w:r>
        <w:tab/>
        <w:t>Comparison of price measures used</w:t>
      </w:r>
      <w:bookmarkEnd w:id="179"/>
    </w:p>
    <w:tbl>
      <w:tblPr>
        <w:tblStyle w:val="AERtable-text0"/>
        <w:tblW w:w="0" w:type="auto"/>
        <w:tblLook w:val="04A0" w:firstRow="1" w:lastRow="0" w:firstColumn="1" w:lastColumn="0" w:noHBand="0" w:noVBand="1"/>
      </w:tblPr>
      <w:tblGrid>
        <w:gridCol w:w="2897"/>
        <w:gridCol w:w="2898"/>
        <w:gridCol w:w="2898"/>
      </w:tblGrid>
      <w:tr w:rsidR="002C1039" w:rsidTr="006256FE">
        <w:trPr>
          <w:cnfStyle w:val="100000000000" w:firstRow="1" w:lastRow="0" w:firstColumn="0" w:lastColumn="0" w:oddVBand="0" w:evenVBand="0" w:oddHBand="0" w:evenHBand="0" w:firstRowFirstColumn="0" w:firstRowLastColumn="0" w:lastRowFirstColumn="0" w:lastRowLastColumn="0"/>
        </w:trPr>
        <w:tc>
          <w:tcPr>
            <w:tcW w:w="2897" w:type="dxa"/>
          </w:tcPr>
          <w:p w:rsidR="002C1039" w:rsidRDefault="002C1039" w:rsidP="002C1039"/>
        </w:tc>
        <w:tc>
          <w:tcPr>
            <w:tcW w:w="2898" w:type="dxa"/>
          </w:tcPr>
          <w:p w:rsidR="002C1039" w:rsidRPr="002C1039" w:rsidRDefault="002C1039" w:rsidP="002C1039">
            <w:r>
              <w:t xml:space="preserve">AusNet </w:t>
            </w:r>
            <w:r w:rsidRPr="002C1039">
              <w:t>Services</w:t>
            </w:r>
          </w:p>
        </w:tc>
        <w:tc>
          <w:tcPr>
            <w:tcW w:w="2898" w:type="dxa"/>
          </w:tcPr>
          <w:p w:rsidR="002C1039" w:rsidRPr="002C1039" w:rsidRDefault="002C1039" w:rsidP="002C1039">
            <w:r>
              <w:t>AER</w:t>
            </w:r>
          </w:p>
        </w:tc>
      </w:tr>
      <w:tr w:rsidR="002C1039" w:rsidTr="006256FE">
        <w:tc>
          <w:tcPr>
            <w:tcW w:w="2897" w:type="dxa"/>
          </w:tcPr>
          <w:p w:rsidR="002C1039" w:rsidRPr="002C1039" w:rsidRDefault="002C1039" w:rsidP="002C1039">
            <w:r>
              <w:t>Internal labour</w:t>
            </w:r>
          </w:p>
        </w:tc>
        <w:tc>
          <w:tcPr>
            <w:tcW w:w="2898" w:type="dxa"/>
          </w:tcPr>
          <w:p w:rsidR="002C1039" w:rsidRPr="002C1039" w:rsidRDefault="002C1039" w:rsidP="002C1039">
            <w:r>
              <w:t>Utilities WPI</w:t>
            </w:r>
          </w:p>
        </w:tc>
        <w:tc>
          <w:tcPr>
            <w:tcW w:w="2898" w:type="dxa"/>
          </w:tcPr>
          <w:p w:rsidR="002C1039" w:rsidRPr="002C1039" w:rsidRDefault="002C1039" w:rsidP="002C1039">
            <w:r>
              <w:t>Utilities WPI</w:t>
            </w:r>
          </w:p>
        </w:tc>
      </w:tr>
      <w:tr w:rsidR="002C1039" w:rsidTr="006256FE">
        <w:trPr>
          <w:cnfStyle w:val="000000010000" w:firstRow="0" w:lastRow="0" w:firstColumn="0" w:lastColumn="0" w:oddVBand="0" w:evenVBand="0" w:oddHBand="0" w:evenHBand="1" w:firstRowFirstColumn="0" w:firstRowLastColumn="0" w:lastRowFirstColumn="0" w:lastRowLastColumn="0"/>
        </w:trPr>
        <w:tc>
          <w:tcPr>
            <w:tcW w:w="2897" w:type="dxa"/>
          </w:tcPr>
          <w:p w:rsidR="002C1039" w:rsidRPr="002C1039" w:rsidRDefault="002C1039" w:rsidP="002C1039">
            <w:r>
              <w:t xml:space="preserve">Field </w:t>
            </w:r>
            <w:r w:rsidRPr="002C1039">
              <w:t>services, labour</w:t>
            </w:r>
          </w:p>
        </w:tc>
        <w:tc>
          <w:tcPr>
            <w:tcW w:w="2898" w:type="dxa"/>
          </w:tcPr>
          <w:p w:rsidR="002C1039" w:rsidRPr="002C1039" w:rsidRDefault="002C1039" w:rsidP="002C1039">
            <w:r>
              <w:t>Construction WPI</w:t>
            </w:r>
          </w:p>
        </w:tc>
        <w:tc>
          <w:tcPr>
            <w:tcW w:w="2898" w:type="dxa"/>
          </w:tcPr>
          <w:p w:rsidR="002C1039" w:rsidRPr="002C1039" w:rsidRDefault="002C1039" w:rsidP="002C1039">
            <w:r>
              <w:t>Utilities WPI</w:t>
            </w:r>
          </w:p>
        </w:tc>
      </w:tr>
      <w:tr w:rsidR="002C1039" w:rsidTr="006256FE">
        <w:tc>
          <w:tcPr>
            <w:tcW w:w="2897" w:type="dxa"/>
          </w:tcPr>
          <w:p w:rsidR="002C1039" w:rsidRPr="002C1039" w:rsidRDefault="002C1039" w:rsidP="002C1039">
            <w:r>
              <w:t xml:space="preserve">Field </w:t>
            </w:r>
            <w:r w:rsidRPr="002C1039">
              <w:t>services, non-labour</w:t>
            </w:r>
          </w:p>
        </w:tc>
        <w:tc>
          <w:tcPr>
            <w:tcW w:w="2898" w:type="dxa"/>
          </w:tcPr>
          <w:p w:rsidR="002C1039" w:rsidRPr="002C1039" w:rsidRDefault="002C1039" w:rsidP="002C1039">
            <w:r>
              <w:t>Construction WPI</w:t>
            </w:r>
          </w:p>
        </w:tc>
        <w:tc>
          <w:tcPr>
            <w:tcW w:w="2898" w:type="dxa"/>
          </w:tcPr>
          <w:p w:rsidR="002C1039" w:rsidRPr="002C1039" w:rsidRDefault="002C1039" w:rsidP="002C1039">
            <w:r>
              <w:t>CPI</w:t>
            </w:r>
          </w:p>
        </w:tc>
      </w:tr>
      <w:tr w:rsidR="002C1039" w:rsidTr="006256FE">
        <w:trPr>
          <w:cnfStyle w:val="000000010000" w:firstRow="0" w:lastRow="0" w:firstColumn="0" w:lastColumn="0" w:oddVBand="0" w:evenVBand="0" w:oddHBand="0" w:evenHBand="1" w:firstRowFirstColumn="0" w:firstRowLastColumn="0" w:lastRowFirstColumn="0" w:lastRowLastColumn="0"/>
        </w:trPr>
        <w:tc>
          <w:tcPr>
            <w:tcW w:w="2897" w:type="dxa"/>
          </w:tcPr>
          <w:p w:rsidR="002C1039" w:rsidRPr="002C1039" w:rsidRDefault="002C1039" w:rsidP="00D84CCC">
            <w:r>
              <w:t>Non-</w:t>
            </w:r>
            <w:r w:rsidRPr="002C1039">
              <w:t>field services</w:t>
            </w:r>
          </w:p>
        </w:tc>
        <w:tc>
          <w:tcPr>
            <w:tcW w:w="2898" w:type="dxa"/>
          </w:tcPr>
          <w:p w:rsidR="002C1039" w:rsidRPr="002C1039" w:rsidRDefault="002C1039" w:rsidP="002C1039">
            <w:r>
              <w:t>Construction WPI</w:t>
            </w:r>
          </w:p>
        </w:tc>
        <w:tc>
          <w:tcPr>
            <w:tcW w:w="2898" w:type="dxa"/>
          </w:tcPr>
          <w:p w:rsidR="002C1039" w:rsidRPr="002C1039" w:rsidRDefault="002C1039" w:rsidP="002C1039">
            <w:r>
              <w:t>CPI</w:t>
            </w:r>
          </w:p>
        </w:tc>
      </w:tr>
      <w:tr w:rsidR="002C1039" w:rsidTr="006256FE">
        <w:tc>
          <w:tcPr>
            <w:tcW w:w="2897" w:type="dxa"/>
          </w:tcPr>
          <w:p w:rsidR="002C1039" w:rsidRPr="002C1039" w:rsidRDefault="002C1039" w:rsidP="002C1039">
            <w:r>
              <w:lastRenderedPageBreak/>
              <w:t>Other</w:t>
            </w:r>
          </w:p>
        </w:tc>
        <w:tc>
          <w:tcPr>
            <w:tcW w:w="2898" w:type="dxa"/>
          </w:tcPr>
          <w:p w:rsidR="002C1039" w:rsidRPr="002C1039" w:rsidRDefault="002C1039" w:rsidP="002C1039">
            <w:r>
              <w:t>CPI</w:t>
            </w:r>
          </w:p>
        </w:tc>
        <w:tc>
          <w:tcPr>
            <w:tcW w:w="2898" w:type="dxa"/>
          </w:tcPr>
          <w:p w:rsidR="002C1039" w:rsidRPr="002C1039" w:rsidRDefault="002C1039" w:rsidP="002C1039">
            <w:r>
              <w:t>CPI</w:t>
            </w:r>
          </w:p>
        </w:tc>
      </w:tr>
    </w:tbl>
    <w:p w:rsidR="002C1039" w:rsidRDefault="002C1039" w:rsidP="002C1039">
      <w:pPr>
        <w:pStyle w:val="AERtablesource"/>
      </w:pPr>
      <w:r>
        <w:t>Source:</w:t>
      </w:r>
      <w:r>
        <w:tab/>
      </w:r>
      <w:r w:rsidRPr="005F20E2">
        <w:t>AusNet Services, Regulatory proposal, 30 October 2015, pp. 127–129.</w:t>
      </w:r>
    </w:p>
    <w:p w:rsidR="002C1039" w:rsidRPr="00D42C03" w:rsidRDefault="00E3766E" w:rsidP="002C1039">
      <w:r>
        <w:t>T</w:t>
      </w:r>
      <w:r w:rsidR="002C1039" w:rsidRPr="00D42C03">
        <w:t xml:space="preserve">here are </w:t>
      </w:r>
      <w:r w:rsidR="002C1039">
        <w:t>two</w:t>
      </w:r>
      <w:r w:rsidR="002C1039" w:rsidRPr="00D42C03">
        <w:t xml:space="preserve"> key differences between our input price </w:t>
      </w:r>
      <w:r w:rsidR="002C1039">
        <w:t>measures</w:t>
      </w:r>
      <w:r w:rsidR="002C1039" w:rsidRPr="00D42C03">
        <w:t xml:space="preserve"> and AusNet Services':</w:t>
      </w:r>
    </w:p>
    <w:p w:rsidR="002C1039" w:rsidRPr="002C1039" w:rsidRDefault="002C1039" w:rsidP="002C1039">
      <w:pPr>
        <w:pStyle w:val="ListNumber"/>
        <w:numPr>
          <w:ilvl w:val="0"/>
          <w:numId w:val="29"/>
        </w:numPr>
      </w:pPr>
      <w:r w:rsidRPr="00C07539">
        <w:t xml:space="preserve">AusNet Services treated contracted services as a labour cost whereas we treat </w:t>
      </w:r>
      <w:r w:rsidRPr="002C1039">
        <w:t>these services as a mix of labour and non-labour costs</w:t>
      </w:r>
    </w:p>
    <w:p w:rsidR="002C1039" w:rsidRPr="002C1039" w:rsidRDefault="002C1039" w:rsidP="002C1039">
      <w:pPr>
        <w:pStyle w:val="ListNumber"/>
      </w:pPr>
      <w:r>
        <w:t>AusNet Services forecast external labour prices to grow at the same rate as the construction industry WPI whereas we have forecast all labour to grow at the same rate as the utilities WPI</w:t>
      </w:r>
      <w:r w:rsidRPr="002C1039">
        <w:t>.</w:t>
      </w:r>
    </w:p>
    <w:p w:rsidR="002C1039" w:rsidRDefault="002C1039" w:rsidP="002C1039">
      <w:r w:rsidRPr="00C07539">
        <w:t>We discuss our reasons for these two differences below.</w:t>
      </w:r>
    </w:p>
    <w:p w:rsidR="002C1039" w:rsidRDefault="002C1039" w:rsidP="002C1039">
      <w:pPr>
        <w:pStyle w:val="HeadingItalic"/>
      </w:pPr>
      <w:bookmarkStart w:id="180" w:name="_Toc452990543"/>
      <w:bookmarkStart w:id="181" w:name="_Toc453061031"/>
      <w:bookmarkStart w:id="182" w:name="_Toc453172527"/>
      <w:bookmarkStart w:id="183" w:name="_Toc456602000"/>
      <w:r>
        <w:t>Contracted services have inputs other than labour</w:t>
      </w:r>
      <w:bookmarkEnd w:id="180"/>
      <w:bookmarkEnd w:id="181"/>
      <w:bookmarkEnd w:id="182"/>
      <w:bookmarkEnd w:id="183"/>
    </w:p>
    <w:p w:rsidR="002C1039" w:rsidRDefault="002C1039" w:rsidP="002C1039">
      <w:r w:rsidRPr="00D42C03">
        <w:t xml:space="preserve">In order to forecast the rate of change </w:t>
      </w:r>
      <w:r w:rsidR="00432FAA">
        <w:t>using</w:t>
      </w:r>
      <w:r w:rsidRPr="00D42C03">
        <w:t xml:space="preserve"> the opex forecasting method set out in</w:t>
      </w:r>
      <w:r w:rsidR="00812F95">
        <w:t xml:space="preserve"> the Guideline</w:t>
      </w:r>
      <w:r w:rsidRPr="00D42C03">
        <w:t xml:space="preserve">, </w:t>
      </w:r>
      <w:r w:rsidR="00432FAA">
        <w:t xml:space="preserve">we need to define the </w:t>
      </w:r>
      <w:r w:rsidR="00E3766E">
        <w:t>inputs</w:t>
      </w:r>
      <w:r w:rsidRPr="00D42C03">
        <w:t xml:space="preserve">. This is required to forecast price change and productivity change. Opex inputs </w:t>
      </w:r>
      <w:r>
        <w:t>can be</w:t>
      </w:r>
      <w:r w:rsidRPr="00D42C03">
        <w:t xml:space="preserve"> generally classified as labour, services or materials. </w:t>
      </w:r>
    </w:p>
    <w:p w:rsidR="002C1039" w:rsidRPr="00D42C03" w:rsidRDefault="002C1039" w:rsidP="002C1039">
      <w:r w:rsidRPr="00D42C03">
        <w:t>The key difference between our definition of labour expenditure and AusNet Services' is that AusNet's includes all services contracts expenditure</w:t>
      </w:r>
      <w:r>
        <w:t xml:space="preserve"> (both field services and non-field services)</w:t>
      </w:r>
      <w:r w:rsidRPr="00D42C03">
        <w:t xml:space="preserve"> in its labour weight. </w:t>
      </w:r>
      <w:r>
        <w:t>Unlike AusNe</w:t>
      </w:r>
      <w:r w:rsidR="003F2367">
        <w:t>t Services, we have treated non</w:t>
      </w:r>
      <w:r w:rsidR="003F2367">
        <w:noBreakHyphen/>
      </w:r>
      <w:r>
        <w:t xml:space="preserve">field services contracts as services and thus included them in our non-labour component. </w:t>
      </w:r>
      <w:r w:rsidRPr="00D42C03">
        <w:t>We only included the labour component of field services contracts in our labour weight.</w:t>
      </w:r>
    </w:p>
    <w:p w:rsidR="002C1039" w:rsidRPr="00D42C03" w:rsidRDefault="002C1039" w:rsidP="002C1039">
      <w:r>
        <w:t>By defining</w:t>
      </w:r>
      <w:r w:rsidRPr="00D42C03">
        <w:t xml:space="preserve"> labour this way we include the productivity related to providing field services in the productivity component of the opex cost function. This is true for both our measurement of historic productivity growth and the forecast productivity growth in our opex forecast. We do this because when we measure historic productivity growth we </w:t>
      </w:r>
      <w:r>
        <w:t>want to include</w:t>
      </w:r>
      <w:r w:rsidRPr="00D42C03">
        <w:t xml:space="preserve"> the productivity growth achieved by contractors providing services that </w:t>
      </w:r>
      <w:r>
        <w:t>define</w:t>
      </w:r>
      <w:r w:rsidRPr="00D42C03">
        <w:t xml:space="preserve"> electricity </w:t>
      </w:r>
      <w:r>
        <w:t xml:space="preserve">transmission in our productivity growth forecast. We do not include </w:t>
      </w:r>
      <w:r w:rsidRPr="00D42C03">
        <w:t xml:space="preserve">the productivity growth achieved by contractors providing services that are not unique to electricity </w:t>
      </w:r>
      <w:r>
        <w:t>transmission in our productivity growth forecast</w:t>
      </w:r>
      <w:r w:rsidRPr="00D42C03">
        <w:t>.</w:t>
      </w:r>
    </w:p>
    <w:p w:rsidR="002C1039" w:rsidRDefault="002C1039" w:rsidP="002C1039">
      <w:r>
        <w:t xml:space="preserve">As noted above, </w:t>
      </w:r>
      <w:r w:rsidRPr="00D42C03">
        <w:t>AusNet</w:t>
      </w:r>
      <w:r>
        <w:t xml:space="preserve"> Services</w:t>
      </w:r>
      <w:r w:rsidRPr="00D42C03">
        <w:t xml:space="preserve"> includes all </w:t>
      </w:r>
      <w:r>
        <w:t xml:space="preserve">non-field </w:t>
      </w:r>
      <w:r w:rsidRPr="00D42C03">
        <w:t>services contracts expenditure in its labour weight. At this point it is important to make the distinction between the price of a service and the price of labour. Here we are considering the appropriate price measure to apply to non-field services. It would be inappropriate to use the price of labour when we are forecasting the price of the service.</w:t>
      </w:r>
      <w:r>
        <w:t xml:space="preserve"> </w:t>
      </w:r>
      <w:r w:rsidRPr="00F8714B">
        <w:t xml:space="preserve">The WPI proposed by AusNet Services does not reflect the price of non-field services. Using WPI growth for non-field services would ignore the growth in the price of other inputs used to deliver those services as well as </w:t>
      </w:r>
      <w:r>
        <w:t xml:space="preserve">the </w:t>
      </w:r>
      <w:r w:rsidRPr="00F8714B">
        <w:t>productivity growth</w:t>
      </w:r>
      <w:r>
        <w:t xml:space="preserve"> achieved delivering these services</w:t>
      </w:r>
      <w:r w:rsidRPr="00F8714B">
        <w:t>. AusNet's proposal is not, therefore, a reasonable alternative to our approach.</w:t>
      </w:r>
    </w:p>
    <w:p w:rsidR="002C1039" w:rsidRDefault="002C1039" w:rsidP="002C1039">
      <w:r w:rsidRPr="002530E9">
        <w:lastRenderedPageBreak/>
        <w:t>The ABS publishes data on the movement in the price of goods and services. It publishes producer price indices for different industries as both input price indices and output price indices. That is, it publishes indices of the prices of inputs used by an industry and the prices of outputs produced by an industry. We looked at the output producer price indices that most closely reflect the non-field services that an efficient service pr</w:t>
      </w:r>
      <w:r w:rsidR="00F61B30">
        <w:t>ovider would purchase (</w:t>
      </w:r>
      <w:r w:rsidR="00F61B30">
        <w:fldChar w:fldCharType="begin"/>
      </w:r>
      <w:r w:rsidR="00F61B30">
        <w:instrText xml:space="preserve"> REF _Ref456104784 \h </w:instrText>
      </w:r>
      <w:r w:rsidR="00F61B30">
        <w:fldChar w:fldCharType="separate"/>
      </w:r>
      <w:r w:rsidR="00740726">
        <w:t xml:space="preserve">Table </w:t>
      </w:r>
      <w:r w:rsidR="00740726">
        <w:rPr>
          <w:noProof/>
        </w:rPr>
        <w:t>B</w:t>
      </w:r>
      <w:r w:rsidR="00740726">
        <w:t>.</w:t>
      </w:r>
      <w:r w:rsidR="00740726">
        <w:rPr>
          <w:noProof/>
        </w:rPr>
        <w:t>7</w:t>
      </w:r>
      <w:r w:rsidR="00F61B30">
        <w:fldChar w:fldCharType="end"/>
      </w:r>
      <w:r w:rsidRPr="002530E9">
        <w:t>). These are the same producer price indices that we use for the price of non-labour inputs in our opex cost function modelling that we use to measure historic productivity growth.</w:t>
      </w:r>
    </w:p>
    <w:p w:rsidR="002C1039" w:rsidRDefault="002C1039" w:rsidP="002C1039">
      <w:pPr>
        <w:pStyle w:val="Caption"/>
      </w:pPr>
      <w:bookmarkStart w:id="184" w:name="_Ref456104784"/>
      <w:r>
        <w:t xml:space="preserve">Table </w:t>
      </w:r>
      <w:r w:rsidR="00F64824">
        <w:fldChar w:fldCharType="begin"/>
      </w:r>
      <w:r w:rsidR="00F64824">
        <w:instrText xml:space="preserve"> ST</w:instrText>
      </w:r>
      <w:r w:rsidR="00F64824">
        <w:instrText xml:space="preserve">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7</w:t>
      </w:r>
      <w:r w:rsidR="00F64824">
        <w:rPr>
          <w:noProof/>
        </w:rPr>
        <w:fldChar w:fldCharType="end"/>
      </w:r>
      <w:bookmarkEnd w:id="184"/>
      <w:r>
        <w:tab/>
      </w:r>
      <w:r w:rsidRPr="002530E9">
        <w:t>Annual growth in the producer price indices of selected ANZSIC classifications</w:t>
      </w:r>
    </w:p>
    <w:tbl>
      <w:tblPr>
        <w:tblStyle w:val="AERtable-numbers"/>
        <w:tblW w:w="0" w:type="auto"/>
        <w:tblLook w:val="04A0" w:firstRow="1" w:lastRow="0" w:firstColumn="1" w:lastColumn="0" w:noHBand="0" w:noVBand="1"/>
      </w:tblPr>
      <w:tblGrid>
        <w:gridCol w:w="5495"/>
        <w:gridCol w:w="3198"/>
      </w:tblGrid>
      <w:tr w:rsidR="002C1039" w:rsidRPr="002530E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Index</w:t>
            </w:r>
          </w:p>
        </w:tc>
        <w:tc>
          <w:tcPr>
            <w:tcW w:w="3198" w:type="dxa"/>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rsidRPr="002530E9">
              <w:t>Annual growth</w:t>
            </w:r>
          </w:p>
        </w:tc>
      </w:tr>
      <w:tr w:rsidR="002C1039" w:rsidRPr="002530E9" w:rsidTr="006256FE">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All industries, domestic, intermediate inputs</w:t>
            </w:r>
          </w:p>
        </w:tc>
        <w:tc>
          <w:tcPr>
            <w:tcW w:w="3198" w:type="dxa"/>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530E9">
              <w:t>2.9</w:t>
            </w:r>
          </w:p>
        </w:tc>
      </w:tr>
      <w:tr w:rsidR="002C1039" w:rsidRPr="002530E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 xml:space="preserve">Data processing, web hosting </w:t>
            </w:r>
            <w:r w:rsidRPr="002C1039">
              <w:t>and electronic information storage services</w:t>
            </w:r>
          </w:p>
        </w:tc>
        <w:tc>
          <w:tcPr>
            <w:tcW w:w="3198" w:type="dxa"/>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530E9">
              <w:t>1.0</w:t>
            </w:r>
          </w:p>
        </w:tc>
      </w:tr>
      <w:tr w:rsidR="002C1039" w:rsidRPr="002530E9" w:rsidTr="006256FE">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Other administrative services</w:t>
            </w:r>
          </w:p>
        </w:tc>
        <w:tc>
          <w:tcPr>
            <w:tcW w:w="3198" w:type="dxa"/>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530E9">
              <w:t xml:space="preserve">2.7 </w:t>
            </w:r>
          </w:p>
        </w:tc>
      </w:tr>
      <w:tr w:rsidR="002C1039" w:rsidRPr="002530E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Legal and accounting services</w:t>
            </w:r>
          </w:p>
        </w:tc>
        <w:tc>
          <w:tcPr>
            <w:tcW w:w="3198" w:type="dxa"/>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530E9">
              <w:t>3.8</w:t>
            </w:r>
          </w:p>
        </w:tc>
      </w:tr>
      <w:tr w:rsidR="002C1039" w:rsidRPr="002530E9" w:rsidTr="006256FE">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Market research and statistical services</w:t>
            </w:r>
          </w:p>
        </w:tc>
        <w:tc>
          <w:tcPr>
            <w:tcW w:w="3198" w:type="dxa"/>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530E9">
              <w:t xml:space="preserve">4.0 </w:t>
            </w:r>
          </w:p>
        </w:tc>
      </w:tr>
      <w:tr w:rsidR="002C1039" w:rsidRPr="002530E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Weighted average producer price index*</w:t>
            </w:r>
          </w:p>
        </w:tc>
        <w:tc>
          <w:tcPr>
            <w:tcW w:w="3198" w:type="dxa"/>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530E9">
              <w:t>2.6</w:t>
            </w:r>
          </w:p>
        </w:tc>
      </w:tr>
      <w:tr w:rsidR="002C1039" w:rsidRPr="002530E9" w:rsidTr="006256FE">
        <w:tc>
          <w:tcPr>
            <w:cnfStyle w:val="001000000000" w:firstRow="0" w:lastRow="0" w:firstColumn="1" w:lastColumn="0" w:oddVBand="0" w:evenVBand="0" w:oddHBand="0" w:evenHBand="0" w:firstRowFirstColumn="0" w:firstRowLastColumn="0" w:lastRowFirstColumn="0" w:lastRowLastColumn="0"/>
            <w:tcW w:w="5495" w:type="dxa"/>
          </w:tcPr>
          <w:p w:rsidR="002C1039" w:rsidRPr="002C1039" w:rsidRDefault="002C1039" w:rsidP="002C1039">
            <w:r w:rsidRPr="002530E9">
              <w:t>Consumer price index</w:t>
            </w:r>
          </w:p>
        </w:tc>
        <w:tc>
          <w:tcPr>
            <w:tcW w:w="3198" w:type="dxa"/>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530E9">
              <w:t>2.8</w:t>
            </w:r>
          </w:p>
        </w:tc>
      </w:tr>
    </w:tbl>
    <w:p w:rsidR="002C1039" w:rsidRPr="002530E9" w:rsidRDefault="002C1039" w:rsidP="002C1039">
      <w:pPr>
        <w:pStyle w:val="AERtablesource"/>
      </w:pPr>
      <w:r w:rsidRPr="002530E9">
        <w:t xml:space="preserve">* </w:t>
      </w:r>
      <w:r>
        <w:tab/>
      </w:r>
      <w:r w:rsidRPr="002530E9">
        <w:t>We calculated the weighted average using the same weights used by Economic Insights in its opex cost function modelling.</w:t>
      </w:r>
    </w:p>
    <w:p w:rsidR="002C1039" w:rsidRPr="002530E9" w:rsidRDefault="002C1039" w:rsidP="002C1039">
      <w:pPr>
        <w:pStyle w:val="AERtablesource"/>
      </w:pPr>
      <w:r w:rsidRPr="002530E9">
        <w:t xml:space="preserve">Note: </w:t>
      </w:r>
      <w:r>
        <w:tab/>
      </w:r>
      <w:r w:rsidRPr="002530E9">
        <w:t>We measured annual growth over the period September 2001 to September 2014.</w:t>
      </w:r>
    </w:p>
    <w:p w:rsidR="002C1039" w:rsidRPr="00F8714B" w:rsidRDefault="002C1039" w:rsidP="002C1039">
      <w:pPr>
        <w:pStyle w:val="AERtablesource"/>
      </w:pPr>
      <w:r w:rsidRPr="002530E9">
        <w:t xml:space="preserve">Source: </w:t>
      </w:r>
      <w:r>
        <w:tab/>
      </w:r>
      <w:r w:rsidRPr="002530E9">
        <w:t>ABS catalogue 6427.0.</w:t>
      </w:r>
    </w:p>
    <w:p w:rsidR="002C1039" w:rsidRDefault="002C1039" w:rsidP="002C1039">
      <w:r w:rsidRPr="002530E9">
        <w:t>This analysis suggests that while the cost of some non-field services has increased by more than CPI others have increased by less than CPI. However, the price growth of non-field services tends to grow at a similar rate to CPI. Having reviewed the historic change in various producer price indices we found no evidence that the price of the non-field services purchased from contractors by an efficient service provider var</w:t>
      </w:r>
      <w:r w:rsidR="00F61B30">
        <w:t>ies</w:t>
      </w:r>
      <w:r w:rsidRPr="002530E9">
        <w:t xml:space="preserve"> materially from CPI.</w:t>
      </w:r>
    </w:p>
    <w:p w:rsidR="002C1039" w:rsidRPr="00F8714B" w:rsidRDefault="002C1039" w:rsidP="002C1039">
      <w:r w:rsidRPr="00F8714B">
        <w:t>Similarly for field services, it is not appropriate to assume the p</w:t>
      </w:r>
      <w:r>
        <w:t xml:space="preserve">rice of the inputs field services contractors use </w:t>
      </w:r>
      <w:r w:rsidRPr="00F8714B">
        <w:t xml:space="preserve">will </w:t>
      </w:r>
      <w:r>
        <w:t xml:space="preserve">all </w:t>
      </w:r>
      <w:r w:rsidRPr="00F8714B">
        <w:t>change at the same rate as labour prices. Field services contractors have inputs other than labour. For example, field services contractors will require inputs such as:</w:t>
      </w:r>
    </w:p>
    <w:p w:rsidR="002C1039" w:rsidRPr="00F8714B" w:rsidRDefault="002C1039" w:rsidP="002C1039">
      <w:pPr>
        <w:pStyle w:val="AERbulletlistfirststyle"/>
      </w:pPr>
      <w:r w:rsidRPr="00F8714B">
        <w:t>tools and other equipment used to provide the field services</w:t>
      </w:r>
    </w:p>
    <w:p w:rsidR="002C1039" w:rsidRPr="00F8714B" w:rsidRDefault="002C1039" w:rsidP="002C1039">
      <w:pPr>
        <w:pStyle w:val="AERbulletlistfirststyle"/>
      </w:pPr>
      <w:r w:rsidRPr="00F8714B">
        <w:t>materials used to provide the field services</w:t>
      </w:r>
    </w:p>
    <w:p w:rsidR="002C1039" w:rsidRPr="00F8714B" w:rsidRDefault="002C1039" w:rsidP="002C1039">
      <w:pPr>
        <w:pStyle w:val="AERbulletlistfirststyle"/>
      </w:pPr>
      <w:r w:rsidRPr="00F8714B">
        <w:t>vehicles including insurance, registration, fuel and servicing</w:t>
      </w:r>
    </w:p>
    <w:p w:rsidR="002C1039" w:rsidRPr="00F8714B" w:rsidRDefault="002C1039" w:rsidP="002C1039">
      <w:pPr>
        <w:pStyle w:val="AERbulletlistfirststyle"/>
      </w:pPr>
      <w:proofErr w:type="gramStart"/>
      <w:r w:rsidRPr="00F8714B">
        <w:t>owning</w:t>
      </w:r>
      <w:proofErr w:type="gramEnd"/>
      <w:r w:rsidRPr="00F8714B">
        <w:t xml:space="preserve"> or leasing offices and other buildings and maintaining them.</w:t>
      </w:r>
    </w:p>
    <w:p w:rsidR="002C1039" w:rsidRDefault="002C1039" w:rsidP="002C1039">
      <w:r w:rsidRPr="00F8714B">
        <w:t>AusNet Services' assumption ignores the price change of these other inputs. AusNet Services effectively assume</w:t>
      </w:r>
      <w:r>
        <w:t>s</w:t>
      </w:r>
      <w:r w:rsidRPr="00F8714B">
        <w:t xml:space="preserve"> that field services contractors have only one input, which </w:t>
      </w:r>
      <w:r w:rsidRPr="00F8714B">
        <w:lastRenderedPageBreak/>
        <w:t>is labour. This is not a reasonable assumption.</w:t>
      </w:r>
      <w:r>
        <w:t xml:space="preserve"> As distinct from non-field services, however, we are interested in the price change of field services inputs, rather than the price of field services, because we capture the productivity growth in delivering field services contracts in our productivity growth forecast.</w:t>
      </w:r>
    </w:p>
    <w:p w:rsidR="002C1039" w:rsidRDefault="002C1039" w:rsidP="002C1039">
      <w:r w:rsidRPr="00F8714B">
        <w:t xml:space="preserve">How we define our inputs, and the weights we assign to them, is intrinsically linked to productivity growth. For non-field services we capture productivity growth in the price growth component. For field services we capture the productivity growth of contractors in the productivity growth component of our rate of change. We do this both when we measure and forecast productivity growth as well as when we forecast price change.  </w:t>
      </w:r>
    </w:p>
    <w:p w:rsidR="002C1039" w:rsidRDefault="002C1039" w:rsidP="002C1039">
      <w:r w:rsidRPr="00F8714B">
        <w:t>Alternatively we could allocate all service contracts, b</w:t>
      </w:r>
      <w:r w:rsidR="007C086B">
        <w:t>oth field and non-field, to non</w:t>
      </w:r>
      <w:r w:rsidR="007C086B">
        <w:noBreakHyphen/>
      </w:r>
      <w:r w:rsidRPr="00F8714B">
        <w:t>labour costs since the service provider is purchasing a service rather than labour directly. This would have resulted in a lower labour weight and lower forecast price change. However, this would not be consistent with how we have defined our inputs when we measured and forecast productivity growth.</w:t>
      </w:r>
      <w:r>
        <w:t xml:space="preserve"> Similarly AusNet Services' proposal does not define its opex inputs consistently for its productivity growth forecast and its price growth forecast. For price growth it defines contracted services as entirely labour, but for productivity growth it defines its opex inputs the same as we do. Consequently AusNet Services' forecast rate of change overstates the increase in efficient opex over the 2017–22 regulatory control </w:t>
      </w:r>
      <w:proofErr w:type="gramStart"/>
      <w:r>
        <w:t>period</w:t>
      </w:r>
      <w:proofErr w:type="gramEnd"/>
      <w:r>
        <w:t>.</w:t>
      </w:r>
    </w:p>
    <w:p w:rsidR="002C1039" w:rsidRDefault="002C1039" w:rsidP="002C1039">
      <w:pPr>
        <w:pStyle w:val="HeadingItalic"/>
      </w:pPr>
      <w:bookmarkStart w:id="185" w:name="_Toc452990544"/>
      <w:bookmarkStart w:id="186" w:name="_Toc453061032"/>
      <w:bookmarkStart w:id="187" w:name="_Toc453172528"/>
      <w:bookmarkStart w:id="188" w:name="_Toc456602001"/>
      <w:r>
        <w:t>The construction WPI is not the appropriate price measure for contracted services labour prices</w:t>
      </w:r>
      <w:bookmarkEnd w:id="185"/>
      <w:bookmarkEnd w:id="186"/>
      <w:bookmarkEnd w:id="187"/>
      <w:bookmarkEnd w:id="188"/>
    </w:p>
    <w:p w:rsidR="002C1039" w:rsidRDefault="002C1039" w:rsidP="002C1039">
      <w:r w:rsidRPr="00780ED8">
        <w:t xml:space="preserve">AusNet Services’ </w:t>
      </w:r>
      <w:r>
        <w:t xml:space="preserve">stated that it forecast </w:t>
      </w:r>
      <w:r w:rsidRPr="00780ED8">
        <w:t xml:space="preserve">external labour </w:t>
      </w:r>
      <w:r>
        <w:t xml:space="preserve">price growth </w:t>
      </w:r>
      <w:r w:rsidRPr="00780ED8">
        <w:t xml:space="preserve">using the </w:t>
      </w:r>
      <w:r>
        <w:t>c</w:t>
      </w:r>
      <w:r w:rsidRPr="00780ED8">
        <w:t xml:space="preserve">onstruction WPI because </w:t>
      </w:r>
      <w:r>
        <w:t xml:space="preserve">the labour of </w:t>
      </w:r>
      <w:r w:rsidRPr="00780ED8">
        <w:t>most contractor</w:t>
      </w:r>
      <w:r>
        <w:t>s</w:t>
      </w:r>
      <w:r w:rsidRPr="00780ED8">
        <w:t xml:space="preserve"> in transmission undertakes construction-like work </w:t>
      </w:r>
      <w:r>
        <w:t>that</w:t>
      </w:r>
      <w:r w:rsidRPr="00780ED8">
        <w:t xml:space="preserve"> is more suitably classified to the construction sector.</w:t>
      </w:r>
      <w:r>
        <w:t xml:space="preserve"> It stated this was </w:t>
      </w:r>
      <w:r w:rsidRPr="00780ED8">
        <w:t xml:space="preserve">particularly the case in major terminal station rebuilds which often involve significant general labour, project management and civil engineering resources, drawing upon labour from the construction market. </w:t>
      </w:r>
      <w:r>
        <w:t>It therefore considered t</w:t>
      </w:r>
      <w:r w:rsidRPr="00780ED8">
        <w:t xml:space="preserve">he </w:t>
      </w:r>
      <w:r>
        <w:t>c</w:t>
      </w:r>
      <w:r w:rsidRPr="00780ED8">
        <w:t xml:space="preserve">onstruction WPI more accurately reflects the </w:t>
      </w:r>
      <w:r>
        <w:t>growth in its external labour prices</w:t>
      </w:r>
      <w:r w:rsidRPr="00780ED8">
        <w:t>.</w:t>
      </w:r>
      <w:r>
        <w:rPr>
          <w:rStyle w:val="FootnoteReference"/>
        </w:rPr>
        <w:footnoteReference w:id="68"/>
      </w:r>
    </w:p>
    <w:p w:rsidR="002C1039" w:rsidRPr="00780ED8" w:rsidRDefault="002C1039" w:rsidP="002C1039">
      <w:r w:rsidRPr="00780ED8">
        <w:t>We note</w:t>
      </w:r>
      <w:r>
        <w:t xml:space="preserve"> that the ABS does state that:</w:t>
      </w:r>
      <w:r>
        <w:rPr>
          <w:rStyle w:val="FootnoteReference"/>
        </w:rPr>
        <w:footnoteReference w:id="69"/>
      </w:r>
    </w:p>
    <w:p w:rsidR="002C1039" w:rsidRPr="00780ED8" w:rsidRDefault="002C1039" w:rsidP="002C1039">
      <w:pPr>
        <w:pStyle w:val="AERquote"/>
      </w:pPr>
      <w:r w:rsidRPr="00780ED8">
        <w:t>Units mainly engaged in the construction of water, gas, sewerage or stormwater drains or mains, electricity or other transmission lines or towers, pipelines, or any other civil engineering projects are included in Division E Construction.</w:t>
      </w:r>
    </w:p>
    <w:p w:rsidR="002C1039" w:rsidRDefault="002C1039" w:rsidP="002C1039">
      <w:r w:rsidRPr="00780ED8">
        <w:t xml:space="preserve">Consequently it is clear that labour engaged in the construction of electricity </w:t>
      </w:r>
      <w:r>
        <w:t>transmission</w:t>
      </w:r>
      <w:r w:rsidRPr="00780ED8">
        <w:t xml:space="preserve"> networks is included in the construction industry by the ABS. However, here we are considering the price measure that best reflects the </w:t>
      </w:r>
      <w:r>
        <w:t xml:space="preserve">price of labour used </w:t>
      </w:r>
      <w:r>
        <w:lastRenderedPageBreak/>
        <w:t xml:space="preserve">by </w:t>
      </w:r>
      <w:r w:rsidRPr="00780ED8">
        <w:t xml:space="preserve">field services </w:t>
      </w:r>
      <w:r>
        <w:t>contractors to assist a</w:t>
      </w:r>
      <w:r w:rsidRPr="00780ED8">
        <w:t xml:space="preserve">n efficient service provider </w:t>
      </w:r>
      <w:r>
        <w:t xml:space="preserve">to operate and maintain its network. The price of labour used to construct the network is not a relevant consideration for opex price growth. Consequently we use the forecast growth in the utilities industry WPI for forecast the growth in the price of labour used by field services contractors. We consider that this measure </w:t>
      </w:r>
      <w:r w:rsidRPr="00780ED8">
        <w:t xml:space="preserve">best reflects the </w:t>
      </w:r>
      <w:r>
        <w:t xml:space="preserve">price of labour used by </w:t>
      </w:r>
      <w:r w:rsidRPr="00780ED8">
        <w:t xml:space="preserve">field services </w:t>
      </w:r>
      <w:r>
        <w:t>contractors undertaking operating and maintenance activities. This is also consistent with how we, and AusNet Services, have defined labour to measure historic productivity growth.</w:t>
      </w:r>
      <w:r w:rsidR="007721AC">
        <w:t xml:space="preserve"> Similarly, the CCP considered forecast WPI growth for the c</w:t>
      </w:r>
      <w:r w:rsidR="007721AC" w:rsidRPr="001F5087">
        <w:t xml:space="preserve">onstruction industry </w:t>
      </w:r>
      <w:r w:rsidR="007721AC">
        <w:t xml:space="preserve">was not </w:t>
      </w:r>
      <w:r w:rsidR="007721AC" w:rsidRPr="001F5087">
        <w:t>appli</w:t>
      </w:r>
      <w:r w:rsidR="007721AC">
        <w:t>cable and that forecast WPI growth for the utilities industry was</w:t>
      </w:r>
      <w:r w:rsidR="007721AC" w:rsidRPr="001F5087">
        <w:t xml:space="preserve"> more appropriat</w:t>
      </w:r>
      <w:r w:rsidR="007721AC">
        <w:t>e.</w:t>
      </w:r>
      <w:r w:rsidR="007721AC">
        <w:rPr>
          <w:rStyle w:val="FootnoteReference"/>
        </w:rPr>
        <w:footnoteReference w:id="70"/>
      </w:r>
    </w:p>
    <w:p w:rsidR="002C1039" w:rsidRPr="00997F43" w:rsidRDefault="002C1039" w:rsidP="002C1039">
      <w:pPr>
        <w:pStyle w:val="HeadingBoldItalic"/>
      </w:pPr>
      <w:bookmarkStart w:id="189" w:name="_Toc452990545"/>
      <w:bookmarkStart w:id="190" w:name="_Toc453061033"/>
      <w:bookmarkStart w:id="191" w:name="_Toc453172529"/>
      <w:bookmarkStart w:id="192" w:name="_Toc456602002"/>
      <w:r w:rsidRPr="00997F43">
        <w:t>Firm specific price weights do not provide an incentive to adopt the most efficient input mix</w:t>
      </w:r>
      <w:bookmarkEnd w:id="189"/>
      <w:bookmarkEnd w:id="190"/>
      <w:bookmarkEnd w:id="191"/>
      <w:bookmarkEnd w:id="192"/>
    </w:p>
    <w:p w:rsidR="002C1039" w:rsidRPr="00451ADD" w:rsidRDefault="002C1039" w:rsidP="002C1039">
      <w:r w:rsidRPr="00451ADD">
        <w:t>We have weighted the forecast price growth to account for the proportion of opex that is labour and the proportion that is non-labour. We have adopted a 62 per cent weighting for labour and 38 per cent for non-labour. These weight</w:t>
      </w:r>
      <w:r>
        <w:t>s are consistent with those used</w:t>
      </w:r>
      <w:r w:rsidRPr="00451ADD">
        <w:t xml:space="preserve"> </w:t>
      </w:r>
      <w:r>
        <w:t>by</w:t>
      </w:r>
      <w:r w:rsidRPr="00451ADD">
        <w:t xml:space="preserve"> Economic Insights' </w:t>
      </w:r>
      <w:r>
        <w:t>to measure the historic productivity growth that we have used to forecast productivity growth</w:t>
      </w:r>
      <w:r w:rsidRPr="00451ADD">
        <w:t>.</w:t>
      </w:r>
    </w:p>
    <w:p w:rsidR="002C1039" w:rsidRDefault="002C1039" w:rsidP="002C1039">
      <w:r w:rsidRPr="00451ADD">
        <w:t xml:space="preserve">We consider that we should base the price weights we use to forecast price growth on a prudent and efficient benchmark network service provider. Using benchmark price weights provides service providers an incentive to make efficiency gains by adopting the most efficient input mix. </w:t>
      </w:r>
      <w:r>
        <w:t>U</w:t>
      </w:r>
      <w:r w:rsidRPr="00997F43">
        <w:t xml:space="preserve">sing a firm's revealed input </w:t>
      </w:r>
      <w:r>
        <w:t>mix</w:t>
      </w:r>
      <w:r w:rsidRPr="00997F43">
        <w:t xml:space="preserve"> diminishes its incentive </w:t>
      </w:r>
      <w:r w:rsidR="00E3766E">
        <w:t xml:space="preserve">to </w:t>
      </w:r>
      <w:r>
        <w:t>adopt the most efficient input mix</w:t>
      </w:r>
      <w:r w:rsidRPr="00997F43">
        <w:t>.</w:t>
      </w:r>
      <w:r>
        <w:t xml:space="preserve"> </w:t>
      </w:r>
      <w:r w:rsidRPr="00451ADD">
        <w:t>Weights of 62 per cent for labour and 38 per cent for non-labour represent the best available estimate available for the benchmark efficient firm</w:t>
      </w:r>
      <w:r>
        <w:t xml:space="preserve">, </w:t>
      </w:r>
      <w:r w:rsidRPr="008678C1">
        <w:t>as</w:t>
      </w:r>
      <w:r>
        <w:t xml:space="preserve"> advised by Economic Insights.</w:t>
      </w:r>
      <w:r>
        <w:rPr>
          <w:rStyle w:val="FootnoteReference"/>
        </w:rPr>
        <w:footnoteReference w:id="71"/>
      </w:r>
      <w:r>
        <w:t xml:space="preserve"> </w:t>
      </w:r>
      <w:r w:rsidRPr="00016454">
        <w:t xml:space="preserve">These weights are </w:t>
      </w:r>
      <w:r>
        <w:t xml:space="preserve">also </w:t>
      </w:r>
      <w:r w:rsidRPr="00016454">
        <w:t>consistent with those used in Economic Insights' benchmarking analysis.</w:t>
      </w:r>
    </w:p>
    <w:p w:rsidR="002C1039" w:rsidRDefault="002C1039" w:rsidP="002C1039">
      <w:r>
        <w:t xml:space="preserve">AusNet Services, however, considered </w:t>
      </w:r>
      <w:r w:rsidR="00E3766E">
        <w:t xml:space="preserve">that </w:t>
      </w:r>
      <w:r>
        <w:t xml:space="preserve">using benchmark input weights </w:t>
      </w:r>
      <w:r w:rsidRPr="00084787">
        <w:t xml:space="preserve">is inconsistent with an opex forecasting approach that relies on </w:t>
      </w:r>
      <w:r>
        <w:t xml:space="preserve">revealed costs. It stated that it has </w:t>
      </w:r>
      <w:r w:rsidRPr="00084787">
        <w:t>respond</w:t>
      </w:r>
      <w:r>
        <w:t>ed</w:t>
      </w:r>
      <w:r w:rsidRPr="00084787">
        <w:t xml:space="preserve"> to the incentives in the regulatory framework </w:t>
      </w:r>
      <w:r>
        <w:t>and</w:t>
      </w:r>
      <w:r w:rsidRPr="00084787">
        <w:t xml:space="preserve"> has sought to </w:t>
      </w:r>
      <w:r>
        <w:t xml:space="preserve">adopt </w:t>
      </w:r>
      <w:r w:rsidRPr="00084787">
        <w:t>a</w:t>
      </w:r>
      <w:r>
        <w:t>n</w:t>
      </w:r>
      <w:r w:rsidRPr="00084787">
        <w:t xml:space="preserve"> </w:t>
      </w:r>
      <w:r>
        <w:t xml:space="preserve">input </w:t>
      </w:r>
      <w:r w:rsidRPr="00084787">
        <w:t xml:space="preserve">mix that allows it to meet the opex objectives at the lowest possible cost. </w:t>
      </w:r>
      <w:r>
        <w:t xml:space="preserve">It considered adopting benchmark input weights </w:t>
      </w:r>
      <w:r w:rsidRPr="00084787">
        <w:t>implicitly assumes that these regulatory incentives are not effective.</w:t>
      </w:r>
      <w:r>
        <w:t xml:space="preserve"> It also considered adopting firm specific revealed weights</w:t>
      </w:r>
      <w:r w:rsidRPr="00084787">
        <w:t xml:space="preserve"> ensures internal consistency with </w:t>
      </w:r>
      <w:r>
        <w:t>our</w:t>
      </w:r>
      <w:r w:rsidRPr="00084787">
        <w:t xml:space="preserve"> revealed costs</w:t>
      </w:r>
      <w:r w:rsidR="007C086B">
        <w:t xml:space="preserve"> based</w:t>
      </w:r>
      <w:r w:rsidR="007C086B">
        <w:noBreakHyphen/>
        <w:t>step</w:t>
      </w:r>
      <w:r w:rsidR="007C086B">
        <w:noBreakHyphen/>
      </w:r>
      <w:r>
        <w:t>trend forecasting approach</w:t>
      </w:r>
      <w:r w:rsidRPr="00084787">
        <w:t>.</w:t>
      </w:r>
      <w:r>
        <w:t xml:space="preserve"> </w:t>
      </w:r>
    </w:p>
    <w:p w:rsidR="002C1039" w:rsidRDefault="002C1039" w:rsidP="002C1039">
      <w:r>
        <w:t xml:space="preserve">We disagree with AusNet Services. </w:t>
      </w:r>
      <w:r w:rsidR="00E3766E">
        <w:t>As we explain below, a</w:t>
      </w:r>
      <w:r>
        <w:t xml:space="preserve">dopting benchmark input weights does not </w:t>
      </w:r>
      <w:r w:rsidRPr="00084787">
        <w:t xml:space="preserve">assume that the regulatory incentives are </w:t>
      </w:r>
      <w:r>
        <w:t>in</w:t>
      </w:r>
      <w:r w:rsidRPr="00084787">
        <w:t>effective</w:t>
      </w:r>
      <w:r>
        <w:t>. Further, adopting firm specific revealed weights</w:t>
      </w:r>
      <w:r w:rsidRPr="00084787">
        <w:t xml:space="preserve"> </w:t>
      </w:r>
      <w:r>
        <w:t>is not</w:t>
      </w:r>
      <w:r w:rsidRPr="00084787">
        <w:t xml:space="preserve"> consisten</w:t>
      </w:r>
      <w:r>
        <w:t>t</w:t>
      </w:r>
      <w:r w:rsidRPr="00084787">
        <w:t xml:space="preserve"> with </w:t>
      </w:r>
      <w:r>
        <w:t>our</w:t>
      </w:r>
      <w:r w:rsidRPr="00084787">
        <w:t xml:space="preserve"> revealed costs</w:t>
      </w:r>
      <w:r w:rsidR="007C086B">
        <w:t xml:space="preserve"> base</w:t>
      </w:r>
      <w:r w:rsidR="007C086B">
        <w:noBreakHyphen/>
      </w:r>
      <w:r>
        <w:t>step-trend forecasting approach</w:t>
      </w:r>
      <w:r w:rsidRPr="00084787">
        <w:t>.</w:t>
      </w:r>
    </w:p>
    <w:p w:rsidR="002C1039" w:rsidRDefault="002C1039" w:rsidP="002C1039">
      <w:proofErr w:type="gramStart"/>
      <w:r w:rsidRPr="00997F43">
        <w:lastRenderedPageBreak/>
        <w:t xml:space="preserve">The ex-ante opex allowance, our revealed cost forecasting approach and the EBSS work together to provide </w:t>
      </w:r>
      <w:r>
        <w:t>firms</w:t>
      </w:r>
      <w:r w:rsidRPr="00997F43">
        <w:t xml:space="preserve"> a continuous incentive to minimise opex.</w:t>
      </w:r>
      <w:proofErr w:type="gramEnd"/>
      <w:r w:rsidRPr="00997F43">
        <w:t xml:space="preserve"> However, if a </w:t>
      </w:r>
      <w:r>
        <w:t>firm</w:t>
      </w:r>
      <w:r w:rsidRPr="00997F43">
        <w:t xml:space="preserve"> knew we would use its revealed input mix to forecast the rate of change then it would have an incentive to increase its use in the base year of the input that will increase in price more rapidly. As noted by Economic Insights, using the best estimate available of the appropriate weights of labour and non–labour components of opex and applying these to all </w:t>
      </w:r>
      <w:r>
        <w:t>firms</w:t>
      </w:r>
      <w:r w:rsidRPr="00997F43">
        <w:t>, removes the incentive to skew either actual, or reported, opex composition towards components with faster gro</w:t>
      </w:r>
      <w:r>
        <w:t>wing prices.</w:t>
      </w:r>
      <w:r>
        <w:rPr>
          <w:rStyle w:val="FootnoteReference"/>
        </w:rPr>
        <w:footnoteReference w:id="72"/>
      </w:r>
      <w:r w:rsidRPr="00997F43">
        <w:t xml:space="preserve"> </w:t>
      </w:r>
    </w:p>
    <w:p w:rsidR="002C1039" w:rsidRPr="005C6EA2" w:rsidRDefault="002C1039" w:rsidP="002C1039">
      <w:r>
        <w:t>Furthermore, a</w:t>
      </w:r>
      <w:r w:rsidRPr="005C6EA2">
        <w:t xml:space="preserve">nalysis previously undertaken by </w:t>
      </w:r>
      <w:r>
        <w:t xml:space="preserve">Mr </w:t>
      </w:r>
      <w:r w:rsidRPr="005C6EA2">
        <w:t xml:space="preserve">Jeff </w:t>
      </w:r>
      <w:proofErr w:type="spellStart"/>
      <w:r w:rsidRPr="005C6EA2">
        <w:t>Balchin</w:t>
      </w:r>
      <w:proofErr w:type="spellEnd"/>
      <w:r w:rsidRPr="005C6EA2">
        <w:t>, and submitted to the</w:t>
      </w:r>
      <w:r>
        <w:t xml:space="preserve"> AER by </w:t>
      </w:r>
      <w:proofErr w:type="spellStart"/>
      <w:r>
        <w:t>Electranet</w:t>
      </w:r>
      <w:proofErr w:type="spellEnd"/>
      <w:r>
        <w:t>, shows that:</w:t>
      </w:r>
      <w:r>
        <w:rPr>
          <w:rStyle w:val="FootnoteReference"/>
        </w:rPr>
        <w:footnoteReference w:id="73"/>
      </w:r>
    </w:p>
    <w:p w:rsidR="002C1039" w:rsidRPr="005C6EA2" w:rsidRDefault="002C1039" w:rsidP="002C1039">
      <w:pPr>
        <w:pStyle w:val="AERquote"/>
      </w:pPr>
      <w:r w:rsidRPr="005C6EA2">
        <w:t>…it is inappropriate and inconsistent with the incentive framework for the assumed trend or trajectory after the base year to be based upon the observed performance in the preceding regulatory period.</w:t>
      </w:r>
    </w:p>
    <w:p w:rsidR="002C1039" w:rsidRPr="00997F43" w:rsidRDefault="002C1039" w:rsidP="002C1039">
      <w:r>
        <w:t xml:space="preserve">Mr </w:t>
      </w:r>
      <w:proofErr w:type="spellStart"/>
      <w:r>
        <w:t>Balchin's</w:t>
      </w:r>
      <w:proofErr w:type="spellEnd"/>
      <w:r>
        <w:t xml:space="preserve"> analysis shows that </w:t>
      </w:r>
      <w:r w:rsidRPr="005C6EA2">
        <w:t>using a firm's revealed input mix provide</w:t>
      </w:r>
      <w:r>
        <w:t>s</w:t>
      </w:r>
      <w:r w:rsidRPr="005C6EA2">
        <w:t xml:space="preserve"> a disincentive to use less of an input that is increasing more rapidly in price because it would reduce the forecast rate of change.</w:t>
      </w:r>
      <w:r>
        <w:t xml:space="preserve"> Consequently using a firm's revealed input mix </w:t>
      </w:r>
      <w:r w:rsidRPr="00C54DFB">
        <w:t>is inconsistent with providing effective incentives in order to promote economic efficie</w:t>
      </w:r>
      <w:r>
        <w:t>ncy.</w:t>
      </w:r>
      <w:r>
        <w:rPr>
          <w:rStyle w:val="FootnoteReference"/>
        </w:rPr>
        <w:footnoteReference w:id="74"/>
      </w:r>
    </w:p>
    <w:p w:rsidR="002C1039" w:rsidRDefault="002C1039" w:rsidP="002C1039">
      <w:r>
        <w:t xml:space="preserve">Using benchmark input weights does not necessarily infer or assume that AusNet Services' revealed input mix is inefficient. Again it is important to consider the interaction between price growth and productivity. Two firms could adopt different opex input mixes with one firm utilising more labour than the other. This firm could face higher input price growth due to, for example, the price of labour increasing more rapidly than the price of services. This firm could achieve higher productivity growth because the labour it was directly employing was driving productivity growth. The other firm </w:t>
      </w:r>
      <w:r w:rsidR="00E3766E">
        <w:t xml:space="preserve">could face </w:t>
      </w:r>
      <w:r>
        <w:t>lower price growth because the same productivity growth was reflected in the price it paid for services because it did not directly employ the labour. This highlights the importance of using consistent opex weights in the price growth forecast and the productivity growth</w:t>
      </w:r>
      <w:r w:rsidRPr="002F2314">
        <w:t xml:space="preserve"> </w:t>
      </w:r>
      <w:r>
        <w:t xml:space="preserve">forecast. AusNet Services proposal is not consistent in this regard. It uses benchmark opex weights to measure productivity growth but uses firm specific weights to forecast price change. Because it applies a higher weight to the input increasing in price more rapidly when forecasting price change this results in its rate of change overstating the </w:t>
      </w:r>
      <w:r w:rsidRPr="00AB5A30">
        <w:t xml:space="preserve">efficient costs of achieving the </w:t>
      </w:r>
      <w:r>
        <w:t>opex</w:t>
      </w:r>
      <w:r w:rsidRPr="00AB5A30">
        <w:t xml:space="preserve"> objectives</w:t>
      </w:r>
      <w:r>
        <w:t>.</w:t>
      </w:r>
      <w:r>
        <w:rPr>
          <w:rStyle w:val="FootnoteReference"/>
        </w:rPr>
        <w:footnoteReference w:id="75"/>
      </w:r>
    </w:p>
    <w:p w:rsidR="002C1039" w:rsidRDefault="002C1039" w:rsidP="002C1039">
      <w:pPr>
        <w:pStyle w:val="HeadingBoldItalic"/>
      </w:pPr>
      <w:bookmarkStart w:id="193" w:name="_Toc452990546"/>
      <w:bookmarkStart w:id="194" w:name="_Toc453061034"/>
      <w:bookmarkStart w:id="195" w:name="_Toc453172530"/>
      <w:bookmarkStart w:id="196" w:name="_Toc456602003"/>
      <w:r>
        <w:t>Forecast labour price growth</w:t>
      </w:r>
      <w:bookmarkEnd w:id="193"/>
      <w:bookmarkEnd w:id="194"/>
      <w:bookmarkEnd w:id="195"/>
      <w:bookmarkEnd w:id="196"/>
    </w:p>
    <w:p w:rsidR="002C1039" w:rsidRPr="001A3B3B" w:rsidRDefault="002C1039" w:rsidP="002C1039">
      <w:r>
        <w:lastRenderedPageBreak/>
        <w:t>W</w:t>
      </w:r>
      <w:r w:rsidRPr="001A3B3B">
        <w:t xml:space="preserve">e </w:t>
      </w:r>
      <w:r>
        <w:t xml:space="preserve">have </w:t>
      </w:r>
      <w:r w:rsidRPr="001A3B3B">
        <w:t xml:space="preserve">used forecast </w:t>
      </w:r>
      <w:r>
        <w:t>growth of the Victorian utilities</w:t>
      </w:r>
      <w:r w:rsidRPr="001A3B3B">
        <w:t xml:space="preserve"> WPI to forecast labour price growth. We consider the average of the utilities WPI growth forecasts from DAE and </w:t>
      </w:r>
      <w:r>
        <w:t>CIE</w:t>
      </w:r>
      <w:r w:rsidRPr="001A3B3B">
        <w:t xml:space="preserve"> represents a realistic expectation of the cost inputs required to achieve the opex objectives.</w:t>
      </w:r>
      <w:r>
        <w:t xml:space="preserve"> AusNet Services </w:t>
      </w:r>
      <w:r w:rsidR="00E3766E">
        <w:t xml:space="preserve">has adopted this approach in its </w:t>
      </w:r>
      <w:r>
        <w:t>proposal</w:t>
      </w:r>
      <w:r w:rsidR="00E3766E">
        <w:t>, the only difference being that we</w:t>
      </w:r>
      <w:r>
        <w:t xml:space="preserve"> have used the latest available forecasts from DAE and CIE rather than the now outdated forecasts used by AusNet Services.</w:t>
      </w:r>
    </w:p>
    <w:p w:rsidR="002C1039" w:rsidRDefault="002C1039" w:rsidP="002C1039">
      <w:r w:rsidRPr="001A3B3B">
        <w:t>AusNet Services engaged CIE to develop forecasts of growth in the WPI for the utilities and construction industries.</w:t>
      </w:r>
      <w:r>
        <w:t xml:space="preserve"> To forecast labour price growth AusNet Services averaged CIE's June 2015 forecasts with DAE's February 2015 forecasts. Both of these forecasters have produced more up-to-date forecasts since. We compare these forecasts with the updated forecasts in </w:t>
      </w:r>
      <w:r>
        <w:fldChar w:fldCharType="begin"/>
      </w:r>
      <w:r>
        <w:instrText xml:space="preserve"> REF _Ref452641332 \h </w:instrText>
      </w:r>
      <w:r>
        <w:fldChar w:fldCharType="separate"/>
      </w:r>
      <w:r w:rsidR="00740726">
        <w:t xml:space="preserve">Table </w:t>
      </w:r>
      <w:r w:rsidR="00740726">
        <w:rPr>
          <w:noProof/>
        </w:rPr>
        <w:t>B</w:t>
      </w:r>
      <w:r w:rsidR="00740726">
        <w:t>.</w:t>
      </w:r>
      <w:r w:rsidR="00740726">
        <w:rPr>
          <w:noProof/>
        </w:rPr>
        <w:t>1</w:t>
      </w:r>
      <w:r>
        <w:fldChar w:fldCharType="end"/>
      </w:r>
      <w:r>
        <w:t>.</w:t>
      </w:r>
    </w:p>
    <w:p w:rsidR="002C1039" w:rsidRDefault="002C1039" w:rsidP="002C1039">
      <w:pPr>
        <w:pStyle w:val="Caption"/>
      </w:pPr>
      <w:r>
        <w:t xml:space="preserve">Table </w:t>
      </w:r>
      <w:r w:rsidR="00F64824">
        <w:fldChar w:fldCharType="begin"/>
      </w:r>
      <w:r w:rsidR="00F64824">
        <w:instrText xml:space="preserve"> STYLEREF 7 \s </w:instrText>
      </w:r>
      <w:r w:rsidR="00F64824">
        <w:fldChar w:fldCharType="separate"/>
      </w:r>
      <w:r w:rsidR="00740726">
        <w:rPr>
          <w:noProof/>
        </w:rPr>
        <w:t>B</w:t>
      </w:r>
      <w:r w:rsidR="00F64824">
        <w:rPr>
          <w:noProof/>
        </w:rPr>
        <w:fldChar w:fldCharType="end"/>
      </w:r>
      <w:r w:rsidR="00D84CCC">
        <w:t>.</w:t>
      </w:r>
      <w:r w:rsidR="00F64824">
        <w:fldChar w:fldCharType="begin"/>
      </w:r>
      <w:r w:rsidR="00F64824">
        <w:instrText xml:space="preserve"> SEQ Atable \* ARABIC \s 7 </w:instrText>
      </w:r>
      <w:r w:rsidR="00F64824">
        <w:fldChar w:fldCharType="separate"/>
      </w:r>
      <w:r w:rsidR="00740726">
        <w:rPr>
          <w:noProof/>
        </w:rPr>
        <w:t>8</w:t>
      </w:r>
      <w:r w:rsidR="00F64824">
        <w:rPr>
          <w:noProof/>
        </w:rPr>
        <w:fldChar w:fldCharType="end"/>
      </w:r>
      <w:r>
        <w:tab/>
      </w:r>
      <w:r w:rsidRPr="001A3B3B">
        <w:t>Forecast annual WPI growth, Victoria, EGWWS (per cent</w:t>
      </w:r>
      <w:r>
        <w:t>, real</w:t>
      </w:r>
      <w:r w:rsidRPr="001A3B3B">
        <w:t>)</w:t>
      </w:r>
    </w:p>
    <w:tbl>
      <w:tblPr>
        <w:tblStyle w:val="AERtable-numbers"/>
        <w:tblW w:w="5000" w:type="pct"/>
        <w:tblLook w:val="04A0" w:firstRow="1" w:lastRow="0" w:firstColumn="1" w:lastColumn="0" w:noHBand="0" w:noVBand="1"/>
      </w:tblPr>
      <w:tblGrid>
        <w:gridCol w:w="1809"/>
        <w:gridCol w:w="1376"/>
        <w:gridCol w:w="1377"/>
        <w:gridCol w:w="1377"/>
        <w:gridCol w:w="1377"/>
        <w:gridCol w:w="1377"/>
      </w:tblGrid>
      <w:tr w:rsidR="002C1039" w:rsidTr="0062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2C1039" w:rsidRDefault="002C1039" w:rsidP="002C1039"/>
        </w:tc>
        <w:tc>
          <w:tcPr>
            <w:tcW w:w="791"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2017–18</w:t>
            </w:r>
          </w:p>
        </w:tc>
        <w:tc>
          <w:tcPr>
            <w:tcW w:w="792"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2018–19</w:t>
            </w:r>
          </w:p>
        </w:tc>
        <w:tc>
          <w:tcPr>
            <w:tcW w:w="792"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2019–20</w:t>
            </w:r>
          </w:p>
        </w:tc>
        <w:tc>
          <w:tcPr>
            <w:tcW w:w="792"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2020–21</w:t>
            </w:r>
          </w:p>
        </w:tc>
        <w:tc>
          <w:tcPr>
            <w:tcW w:w="792" w:type="pct"/>
          </w:tcPr>
          <w:p w:rsidR="002C1039" w:rsidRPr="002C1039" w:rsidRDefault="002C1039" w:rsidP="002C1039">
            <w:pPr>
              <w:cnfStyle w:val="100000000000" w:firstRow="1" w:lastRow="0" w:firstColumn="0" w:lastColumn="0" w:oddVBand="0" w:evenVBand="0" w:oddHBand="0" w:evenHBand="0" w:firstRowFirstColumn="0" w:firstRowLastColumn="0" w:lastRowFirstColumn="0" w:lastRowLastColumn="0"/>
            </w:pPr>
            <w:r>
              <w:t>2021–22</w:t>
            </w:r>
          </w:p>
        </w:tc>
      </w:tr>
      <w:tr w:rsidR="002C1039" w:rsidTr="006256FE">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r w:rsidRPr="002924A5">
              <w:t>DAE, February 2016</w:t>
            </w:r>
          </w:p>
        </w:tc>
        <w:tc>
          <w:tcPr>
            <w:tcW w:w="79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–0.03</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0.61</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0.94</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1.07</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1.08</w:t>
            </w:r>
          </w:p>
        </w:tc>
      </w:tr>
      <w:tr w:rsidR="002C1039" w:rsidRPr="0054100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r w:rsidRPr="002924A5">
              <w:t>CIE, November 2015</w:t>
            </w:r>
          </w:p>
        </w:tc>
        <w:tc>
          <w:tcPr>
            <w:tcW w:w="79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0.98</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1.04</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1.01</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0.96</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0.95</w:t>
            </w:r>
          </w:p>
        </w:tc>
      </w:tr>
      <w:tr w:rsidR="002C1039" w:rsidRPr="00541009" w:rsidTr="006256FE">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pPr>
              <w:rPr>
                <w:rStyle w:val="Strong"/>
              </w:rPr>
            </w:pPr>
            <w:r w:rsidRPr="008C17F7">
              <w:rPr>
                <w:rStyle w:val="Strong"/>
              </w:rPr>
              <w:t>Average</w:t>
            </w:r>
            <w:r w:rsidRPr="008C17F7">
              <w:rPr>
                <w:rStyle w:val="Strong"/>
              </w:rPr>
              <w:tab/>
            </w:r>
            <w:r w:rsidRPr="008C17F7">
              <w:rPr>
                <w:rStyle w:val="Strong"/>
              </w:rPr>
              <w:tab/>
            </w:r>
          </w:p>
        </w:tc>
        <w:tc>
          <w:tcPr>
            <w:tcW w:w="79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8C17F7">
              <w:rPr>
                <w:rStyle w:val="Strong"/>
              </w:rPr>
              <w:t>0.47</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8C17F7">
              <w:rPr>
                <w:rStyle w:val="Strong"/>
              </w:rPr>
              <w:t>0.83</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8C17F7">
              <w:rPr>
                <w:rStyle w:val="Strong"/>
              </w:rPr>
              <w:t>0.97</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8C17F7">
              <w:rPr>
                <w:rStyle w:val="Strong"/>
              </w:rPr>
              <w:t>1.02</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rPr>
                <w:rStyle w:val="Strong"/>
              </w:rPr>
            </w:pPr>
            <w:r w:rsidRPr="008C17F7">
              <w:rPr>
                <w:rStyle w:val="Strong"/>
              </w:rPr>
              <w:t>1.01</w:t>
            </w:r>
          </w:p>
        </w:tc>
      </w:tr>
      <w:tr w:rsidR="002C1039" w:rsidRPr="00541009"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r w:rsidRPr="002924A5">
              <w:t>CIE, June 2015</w:t>
            </w:r>
          </w:p>
        </w:tc>
        <w:tc>
          <w:tcPr>
            <w:tcW w:w="79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1.16</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1.12</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1.08</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1.19</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pPr>
            <w:r w:rsidRPr="002924A5">
              <w:t>1.22</w:t>
            </w:r>
          </w:p>
        </w:tc>
      </w:tr>
      <w:tr w:rsidR="002C1039" w:rsidRPr="00541009" w:rsidTr="006256FE">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r w:rsidRPr="002924A5">
              <w:t>DAE, February 2015</w:t>
            </w:r>
          </w:p>
        </w:tc>
        <w:tc>
          <w:tcPr>
            <w:tcW w:w="791"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0.45</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0.50</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0.58</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0.60</w:t>
            </w:r>
          </w:p>
        </w:tc>
        <w:tc>
          <w:tcPr>
            <w:tcW w:w="792" w:type="pct"/>
            <w:vAlign w:val="top"/>
          </w:tcPr>
          <w:p w:rsidR="002C1039" w:rsidRPr="002C1039" w:rsidRDefault="002C1039" w:rsidP="002C1039">
            <w:pPr>
              <w:cnfStyle w:val="000000000000" w:firstRow="0" w:lastRow="0" w:firstColumn="0" w:lastColumn="0" w:oddVBand="0" w:evenVBand="0" w:oddHBand="0" w:evenHBand="0" w:firstRowFirstColumn="0" w:firstRowLastColumn="0" w:lastRowFirstColumn="0" w:lastRowLastColumn="0"/>
            </w:pPr>
            <w:r w:rsidRPr="002924A5">
              <w:t>0.60</w:t>
            </w:r>
          </w:p>
        </w:tc>
      </w:tr>
      <w:tr w:rsidR="002C1039" w:rsidRPr="00D422D0" w:rsidTr="006256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Align w:val="top"/>
          </w:tcPr>
          <w:p w:rsidR="002C1039" w:rsidRPr="002C1039" w:rsidRDefault="002C1039" w:rsidP="002C1039">
            <w:pPr>
              <w:rPr>
                <w:rStyle w:val="Strong"/>
              </w:rPr>
            </w:pPr>
            <w:r w:rsidRPr="002924A5">
              <w:rPr>
                <w:rStyle w:val="Strong"/>
              </w:rPr>
              <w:t>Average</w:t>
            </w:r>
          </w:p>
        </w:tc>
        <w:tc>
          <w:tcPr>
            <w:tcW w:w="791"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2924A5">
              <w:rPr>
                <w:rStyle w:val="Strong"/>
              </w:rPr>
              <w:t>0.81</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2924A5">
              <w:rPr>
                <w:rStyle w:val="Strong"/>
              </w:rPr>
              <w:t>0.81</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2924A5">
              <w:rPr>
                <w:rStyle w:val="Strong"/>
              </w:rPr>
              <w:t>0.83</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2924A5">
              <w:rPr>
                <w:rStyle w:val="Strong"/>
              </w:rPr>
              <w:t>0.90</w:t>
            </w:r>
          </w:p>
        </w:tc>
        <w:tc>
          <w:tcPr>
            <w:tcW w:w="792" w:type="pct"/>
            <w:vAlign w:val="top"/>
          </w:tcPr>
          <w:p w:rsidR="002C1039" w:rsidRPr="002C1039" w:rsidRDefault="002C1039" w:rsidP="002C1039">
            <w:pPr>
              <w:cnfStyle w:val="000000010000" w:firstRow="0" w:lastRow="0" w:firstColumn="0" w:lastColumn="0" w:oddVBand="0" w:evenVBand="0" w:oddHBand="0" w:evenHBand="1" w:firstRowFirstColumn="0" w:firstRowLastColumn="0" w:lastRowFirstColumn="0" w:lastRowLastColumn="0"/>
              <w:rPr>
                <w:rStyle w:val="Strong"/>
              </w:rPr>
            </w:pPr>
            <w:r w:rsidRPr="002924A5">
              <w:rPr>
                <w:rStyle w:val="Strong"/>
              </w:rPr>
              <w:t>0.91</w:t>
            </w:r>
          </w:p>
        </w:tc>
      </w:tr>
    </w:tbl>
    <w:p w:rsidR="002C1039" w:rsidRDefault="002C1039" w:rsidP="002C1039">
      <w:pPr>
        <w:pStyle w:val="AERtablesource"/>
      </w:pPr>
      <w:r>
        <w:t>Note:</w:t>
      </w:r>
      <w:r>
        <w:tab/>
      </w:r>
      <w:r w:rsidRPr="00CE702E">
        <w:t xml:space="preserve">DAE’s </w:t>
      </w:r>
      <w:r>
        <w:t>February 2015 forecasts did not include forecast for Victoria. AusNet Services used DAE's F</w:t>
      </w:r>
      <w:r w:rsidRPr="002924A5">
        <w:t>ebruary 2015</w:t>
      </w:r>
      <w:r>
        <w:t xml:space="preserve"> n</w:t>
      </w:r>
      <w:r w:rsidRPr="00CE702E">
        <w:t xml:space="preserve">ational WPI forecasts. </w:t>
      </w:r>
      <w:r>
        <w:t>Where the forecast series does not extend far enough we have assumed that growth in all years after the last forecast year is the same as the last forecast year.</w:t>
      </w:r>
    </w:p>
    <w:p w:rsidR="002C1039" w:rsidRDefault="002C1039" w:rsidP="002C1039">
      <w:pPr>
        <w:pStyle w:val="AERtablesource"/>
      </w:pPr>
      <w:r>
        <w:t>Source:</w:t>
      </w:r>
      <w:r>
        <w:tab/>
      </w:r>
      <w:r w:rsidR="002634EA">
        <w:t xml:space="preserve">AER analysis; </w:t>
      </w:r>
      <w:r w:rsidR="00361E69">
        <w:t xml:space="preserve">CIE, </w:t>
      </w:r>
      <w:r w:rsidR="00361E69" w:rsidRPr="002634EA">
        <w:rPr>
          <w:rStyle w:val="AERtextitalic"/>
        </w:rPr>
        <w:t>Labour price forecasts</w:t>
      </w:r>
      <w:r w:rsidR="00361E69">
        <w:t xml:space="preserve">, </w:t>
      </w:r>
      <w:r w:rsidR="00361E69" w:rsidRPr="00361E69">
        <w:t>29 June 2015</w:t>
      </w:r>
      <w:r w:rsidR="002634EA">
        <w:t xml:space="preserve">, p. 3; DAE, </w:t>
      </w:r>
      <w:r w:rsidR="002634EA" w:rsidRPr="002634EA">
        <w:rPr>
          <w:rStyle w:val="AERtextitalic"/>
        </w:rPr>
        <w:t>Forecast growth in labour costs in NEM regions of Australia</w:t>
      </w:r>
      <w:r w:rsidR="002634EA">
        <w:t xml:space="preserve">, </w:t>
      </w:r>
      <w:r w:rsidR="002634EA" w:rsidRPr="002634EA">
        <w:t>23 February 2015</w:t>
      </w:r>
      <w:r w:rsidR="002634EA">
        <w:t xml:space="preserve">, p. 9; CIE, </w:t>
      </w:r>
      <w:r w:rsidR="002634EA" w:rsidRPr="002634EA">
        <w:rPr>
          <w:rStyle w:val="AERtextitalic"/>
        </w:rPr>
        <w:t>Labour price forecasts</w:t>
      </w:r>
      <w:r w:rsidR="002634EA">
        <w:t xml:space="preserve">, </w:t>
      </w:r>
      <w:r w:rsidR="002634EA" w:rsidRPr="002634EA">
        <w:t>23 November 2015</w:t>
      </w:r>
      <w:r w:rsidR="002634EA">
        <w:t xml:space="preserve">, p. 7; DAE, </w:t>
      </w:r>
      <w:r w:rsidR="002634EA" w:rsidRPr="002634EA">
        <w:rPr>
          <w:rStyle w:val="AERtextitalic"/>
        </w:rPr>
        <w:t>Forecast growth in labour costs in NEM regions of Australia</w:t>
      </w:r>
      <w:r w:rsidR="002634EA">
        <w:t xml:space="preserve">, </w:t>
      </w:r>
      <w:r w:rsidR="002634EA" w:rsidRPr="002634EA">
        <w:t>22 February 2016</w:t>
      </w:r>
      <w:r w:rsidR="002634EA">
        <w:t xml:space="preserve">, p. 5; </w:t>
      </w:r>
    </w:p>
    <w:p w:rsidR="002C1039" w:rsidRDefault="002C1039" w:rsidP="002C1039">
      <w:r>
        <w:t xml:space="preserve">We note that AusNet Services stated in its regulatory proposal for its distribution network: </w:t>
      </w:r>
    </w:p>
    <w:p w:rsidR="002C1039" w:rsidRDefault="002C1039" w:rsidP="002C1039">
      <w:pPr>
        <w:pStyle w:val="AERquote"/>
      </w:pPr>
      <w:r w:rsidRPr="008C36B5">
        <w:t>In recognition that economic data is subject to change between now and the commencement of the regulatory control period, and that the best forecast of labour costs will be based on the most up to date data set available, AusNet Services will provide an updated labour cost forecast in its Revised Proposal that incorporates the most recently available economic data.</w:t>
      </w:r>
      <w:r>
        <w:t xml:space="preserve"> (</w:t>
      </w:r>
      <w:proofErr w:type="gramStart"/>
      <w:r>
        <w:t>page</w:t>
      </w:r>
      <w:proofErr w:type="gramEnd"/>
      <w:r>
        <w:t xml:space="preserve"> 187 of distribution proposal)</w:t>
      </w:r>
    </w:p>
    <w:p w:rsidR="002C1039" w:rsidRDefault="002C1039" w:rsidP="002C1039">
      <w:r>
        <w:t>We agree that</w:t>
      </w:r>
      <w:r w:rsidR="00E3766E">
        <w:t xml:space="preserve"> the</w:t>
      </w:r>
      <w:r>
        <w:t xml:space="preserve"> </w:t>
      </w:r>
      <w:r w:rsidRPr="008C36B5">
        <w:t xml:space="preserve">best forecast of labour </w:t>
      </w:r>
      <w:r>
        <w:t xml:space="preserve">price growth </w:t>
      </w:r>
      <w:r w:rsidR="00E3766E">
        <w:t>should</w:t>
      </w:r>
      <w:r w:rsidR="00E3766E" w:rsidRPr="008C36B5">
        <w:t xml:space="preserve"> </w:t>
      </w:r>
      <w:r w:rsidRPr="008C36B5">
        <w:t>be based on the most up to date data set available</w:t>
      </w:r>
      <w:r>
        <w:t xml:space="preserve">. For this reason we have used the forecasts from DAE's and CIE's most recent forecasts. We also intend to update these forecasts for our final decision. </w:t>
      </w:r>
    </w:p>
    <w:p w:rsidR="00740726" w:rsidRDefault="00740726" w:rsidP="002C1039"/>
    <w:p w:rsidR="002C1039" w:rsidRPr="00C844EE" w:rsidRDefault="002C1039" w:rsidP="002C1039">
      <w:pPr>
        <w:pStyle w:val="Heading9"/>
      </w:pPr>
      <w:bookmarkStart w:id="197" w:name="_Ref451937295"/>
      <w:bookmarkStart w:id="198" w:name="_Toc453061035"/>
      <w:bookmarkStart w:id="199" w:name="_Toc456602004"/>
      <w:r w:rsidRPr="00C844EE">
        <w:lastRenderedPageBreak/>
        <w:t>Forecast output growth</w:t>
      </w:r>
      <w:bookmarkEnd w:id="197"/>
      <w:bookmarkEnd w:id="198"/>
      <w:bookmarkEnd w:id="199"/>
    </w:p>
    <w:p w:rsidR="002C1039" w:rsidRDefault="002C1039" w:rsidP="002C1039">
      <w:r>
        <w:t xml:space="preserve">We are not satisfied that AusNet Services proposed output growth reasonably reflects the increase in efficient opex a prudent service provider requires to meet the opex objectives. This is because AusNet Services is not required to fund the operation and maintenance of new augmentation and connection assets, </w:t>
      </w:r>
      <w:r w:rsidR="005E66A7">
        <w:t xml:space="preserve">including </w:t>
      </w:r>
      <w:r>
        <w:t xml:space="preserve">group 3 assets, from its opex allowance. </w:t>
      </w:r>
    </w:p>
    <w:p w:rsidR="002C1039" w:rsidRPr="00F86127" w:rsidRDefault="002C1039" w:rsidP="002C1039">
      <w:pPr>
        <w:pStyle w:val="HeadingBoldItalic"/>
      </w:pPr>
      <w:bookmarkStart w:id="200" w:name="_Toc452990548"/>
      <w:bookmarkStart w:id="201" w:name="_Toc453061036"/>
      <w:bookmarkStart w:id="202" w:name="_Toc453172532"/>
      <w:bookmarkStart w:id="203" w:name="_Toc456602005"/>
      <w:r w:rsidRPr="00F86127">
        <w:t xml:space="preserve">Our </w:t>
      </w:r>
      <w:r>
        <w:t xml:space="preserve">standard </w:t>
      </w:r>
      <w:r w:rsidRPr="00F86127">
        <w:t>approach to forecasting output growth</w:t>
      </w:r>
      <w:bookmarkEnd w:id="200"/>
      <w:bookmarkEnd w:id="201"/>
      <w:bookmarkEnd w:id="202"/>
      <w:bookmarkEnd w:id="203"/>
    </w:p>
    <w:p w:rsidR="002C1039" w:rsidRPr="001E4821" w:rsidRDefault="002C1039" w:rsidP="002C1039">
      <w:r>
        <w:t xml:space="preserve">Our standard approach to forecasting output growth for electricity transmission networks uses the output specification developed by Economic Insights. Economic Insights </w:t>
      </w:r>
      <w:r w:rsidRPr="001E4821">
        <w:t>use</w:t>
      </w:r>
      <w:r>
        <w:t>d</w:t>
      </w:r>
      <w:r w:rsidRPr="001E4821">
        <w:t xml:space="preserve"> an index based number approach to estimat</w:t>
      </w:r>
      <w:r>
        <w:t>e</w:t>
      </w:r>
      <w:r w:rsidRPr="001E4821">
        <w:t xml:space="preserve"> the rate of change for opex. As noted by Economic Insights, this approach is simple and robust, is readily reproducible and has a rigorous grounding in economic theory.</w:t>
      </w:r>
      <w:r>
        <w:rPr>
          <w:rStyle w:val="FootnoteReference"/>
        </w:rPr>
        <w:footnoteReference w:id="76"/>
      </w:r>
    </w:p>
    <w:p w:rsidR="002C1039" w:rsidRPr="001E4821" w:rsidRDefault="002C1039" w:rsidP="002C1039">
      <w:r w:rsidRPr="001E4821">
        <w:t>Economic Insights measure</w:t>
      </w:r>
      <w:r>
        <w:t>d</w:t>
      </w:r>
      <w:r w:rsidRPr="001E4821">
        <w:t xml:space="preserve"> the cost elasticities of </w:t>
      </w:r>
      <w:r>
        <w:t xml:space="preserve">each the outputs, which we then use to weight each of the output measures and forecast total output growth. </w:t>
      </w:r>
      <w:r w:rsidRPr="001E4821">
        <w:t xml:space="preserve">The outputs and </w:t>
      </w:r>
      <w:r>
        <w:t>weights</w:t>
      </w:r>
      <w:r w:rsidRPr="001E4821">
        <w:t xml:space="preserve"> are as follows:</w:t>
      </w:r>
      <w:r>
        <w:rPr>
          <w:rStyle w:val="FootnoteReference"/>
        </w:rPr>
        <w:footnoteReference w:id="77"/>
      </w:r>
    </w:p>
    <w:p w:rsidR="002C1039" w:rsidRPr="001E4821" w:rsidRDefault="002C1039" w:rsidP="002C1039">
      <w:pPr>
        <w:pStyle w:val="AERbulletlistfirststyle"/>
      </w:pPr>
      <w:r>
        <w:t>e</w:t>
      </w:r>
      <w:r w:rsidRPr="001E4821">
        <w:t>nergy delivered</w:t>
      </w:r>
      <w:r>
        <w:t xml:space="preserve"> (</w:t>
      </w:r>
      <w:r w:rsidRPr="001E4821">
        <w:t>21.4 per cent</w:t>
      </w:r>
      <w:r>
        <w:t>)</w:t>
      </w:r>
    </w:p>
    <w:p w:rsidR="002C1039" w:rsidRPr="001E4821" w:rsidRDefault="002C1039" w:rsidP="002C1039">
      <w:pPr>
        <w:pStyle w:val="AERbulletlistfirststyle"/>
      </w:pPr>
      <w:r>
        <w:t>r</w:t>
      </w:r>
      <w:r w:rsidRPr="001E4821">
        <w:t>atcheted maximum demand</w:t>
      </w:r>
      <w:r>
        <w:t xml:space="preserve"> (</w:t>
      </w:r>
      <w:r w:rsidRPr="001E4821">
        <w:t>22.1 per cent</w:t>
      </w:r>
      <w:r>
        <w:t>)</w:t>
      </w:r>
    </w:p>
    <w:p w:rsidR="002C1039" w:rsidRPr="001E4821" w:rsidRDefault="002C1039" w:rsidP="002C1039">
      <w:pPr>
        <w:pStyle w:val="AERbulletlistfirststyle"/>
      </w:pPr>
      <w:r>
        <w:t>voltage w</w:t>
      </w:r>
      <w:r w:rsidRPr="001E4821">
        <w:t>eighted entry and exit connection points</w:t>
      </w:r>
      <w:r>
        <w:t xml:space="preserve"> (</w:t>
      </w:r>
      <w:r w:rsidRPr="001E4821">
        <w:t>27.8 per cent</w:t>
      </w:r>
      <w:r>
        <w:t>)</w:t>
      </w:r>
    </w:p>
    <w:p w:rsidR="002C1039" w:rsidRPr="001E4821" w:rsidRDefault="002C1039" w:rsidP="002C1039">
      <w:pPr>
        <w:pStyle w:val="AERbulletlistfirststyle"/>
      </w:pPr>
      <w:proofErr w:type="gramStart"/>
      <w:r>
        <w:t>c</w:t>
      </w:r>
      <w:r w:rsidRPr="001E4821">
        <w:t>ircuit</w:t>
      </w:r>
      <w:proofErr w:type="gramEnd"/>
      <w:r w:rsidRPr="001E4821">
        <w:t xml:space="preserve"> length</w:t>
      </w:r>
      <w:r>
        <w:t xml:space="preserve"> (</w:t>
      </w:r>
      <w:r w:rsidRPr="001E4821">
        <w:t>28.7 per cent</w:t>
      </w:r>
      <w:r>
        <w:t>).</w:t>
      </w:r>
    </w:p>
    <w:p w:rsidR="002C1039" w:rsidRPr="001E4821" w:rsidRDefault="002C1039" w:rsidP="002C1039">
      <w:r w:rsidRPr="001E4821">
        <w:t xml:space="preserve">Economic Insights </w:t>
      </w:r>
      <w:r>
        <w:t xml:space="preserve">chose these outputs </w:t>
      </w:r>
      <w:r w:rsidRPr="001E4821">
        <w:t xml:space="preserve">based </w:t>
      </w:r>
      <w:r>
        <w:t xml:space="preserve">on </w:t>
      </w:r>
      <w:r w:rsidRPr="001E4821">
        <w:t xml:space="preserve">the three selection criteria that we set out in our explanatory statement to the </w:t>
      </w:r>
      <w:r w:rsidR="00812F95">
        <w:t>G</w:t>
      </w:r>
      <w:r w:rsidRPr="001E4821">
        <w:t>uideline.</w:t>
      </w:r>
      <w:r>
        <w:rPr>
          <w:rStyle w:val="FootnoteReference"/>
        </w:rPr>
        <w:footnoteReference w:id="78"/>
      </w:r>
      <w:r w:rsidRPr="001E4821">
        <w:t xml:space="preserve"> As such, the outputs align with the NEL and NER objectives, reflect services provided to customers and are significant.</w:t>
      </w:r>
      <w:r>
        <w:rPr>
          <w:rStyle w:val="FootnoteReference"/>
        </w:rPr>
        <w:footnoteReference w:id="79"/>
      </w:r>
    </w:p>
    <w:p w:rsidR="002C1039" w:rsidRDefault="002C1039" w:rsidP="002C1039">
      <w:r w:rsidRPr="00F86127">
        <w:t xml:space="preserve">AusNet Services adopted </w:t>
      </w:r>
      <w:r>
        <w:t xml:space="preserve">this output specification </w:t>
      </w:r>
      <w:r w:rsidRPr="00F86127">
        <w:t xml:space="preserve">to forecast output growth in its </w:t>
      </w:r>
      <w:r>
        <w:t>revenue proposal</w:t>
      </w:r>
      <w:r w:rsidRPr="00F86127">
        <w:t>.</w:t>
      </w:r>
      <w:r>
        <w:t xml:space="preserve"> Consequently AusNet Services assumed that it would incur all the costs associated with output growth. We discuss </w:t>
      </w:r>
      <w:r w:rsidR="00E3766E">
        <w:t xml:space="preserve">below </w:t>
      </w:r>
      <w:r>
        <w:t>whether this is a reasonable assumption.</w:t>
      </w:r>
    </w:p>
    <w:p w:rsidR="002C1039" w:rsidRDefault="002C1039" w:rsidP="002C1039">
      <w:pPr>
        <w:pStyle w:val="HeadingBoldItalic"/>
      </w:pPr>
      <w:bookmarkStart w:id="204" w:name="_Toc452990549"/>
      <w:bookmarkStart w:id="205" w:name="_Toc453061037"/>
      <w:bookmarkStart w:id="206" w:name="_Toc453172533"/>
      <w:bookmarkStart w:id="207" w:name="_Toc456602006"/>
      <w:r>
        <w:t xml:space="preserve">AusNet Services will not incur opex related to new </w:t>
      </w:r>
      <w:bookmarkEnd w:id="204"/>
      <w:bookmarkEnd w:id="205"/>
      <w:bookmarkEnd w:id="206"/>
      <w:r w:rsidR="005E66A7">
        <w:t>augmentation or connection assets</w:t>
      </w:r>
      <w:bookmarkEnd w:id="207"/>
    </w:p>
    <w:p w:rsidR="002C1039" w:rsidRPr="00C911F8" w:rsidRDefault="002C1039" w:rsidP="002C1039">
      <w:r w:rsidRPr="00C911F8">
        <w:t xml:space="preserve">During any regulatory control period, AEMO or a distribution business may request AusNet Services to augment the transmission network or distribution connection </w:t>
      </w:r>
      <w:r w:rsidRPr="00C911F8">
        <w:lastRenderedPageBreak/>
        <w:t xml:space="preserve">services. </w:t>
      </w:r>
      <w:r>
        <w:t>We do not roll t</w:t>
      </w:r>
      <w:r w:rsidRPr="00C911F8">
        <w:t xml:space="preserve">hese assets </w:t>
      </w:r>
      <w:r>
        <w:t xml:space="preserve">into the regulated asset base </w:t>
      </w:r>
      <w:r w:rsidRPr="00C911F8">
        <w:t>until the subsequent revenue determination. AusNet Services refer to the</w:t>
      </w:r>
      <w:r>
        <w:t>se</w:t>
      </w:r>
      <w:r w:rsidRPr="00C911F8">
        <w:t xml:space="preserve"> assets as ‘Group 3 assets’.</w:t>
      </w:r>
    </w:p>
    <w:p w:rsidR="002C1039" w:rsidRDefault="002C1039" w:rsidP="002C1039">
      <w:r>
        <w:rPr>
          <w:rStyle w:val="AERbody"/>
        </w:rPr>
        <w:t>T</w:t>
      </w:r>
      <w:r w:rsidRPr="009E64BC">
        <w:rPr>
          <w:rStyle w:val="AERbody"/>
        </w:rPr>
        <w:t>he opex associated with the</w:t>
      </w:r>
      <w:r>
        <w:rPr>
          <w:rStyle w:val="AERbody"/>
        </w:rPr>
        <w:t>se</w:t>
      </w:r>
      <w:r w:rsidRPr="009E64BC">
        <w:rPr>
          <w:rStyle w:val="AERbody"/>
        </w:rPr>
        <w:t xml:space="preserve"> group 3 assets is currently charged to customers outside the revenue cap</w:t>
      </w:r>
      <w:r w:rsidR="00FD4C84">
        <w:rPr>
          <w:rStyle w:val="AERbody"/>
        </w:rPr>
        <w:t xml:space="preserve"> </w:t>
      </w:r>
      <w:r>
        <w:rPr>
          <w:rStyle w:val="AERbody"/>
        </w:rPr>
        <w:t xml:space="preserve">and is not reflected in </w:t>
      </w:r>
      <w:r w:rsidR="002634EA">
        <w:rPr>
          <w:rStyle w:val="AERbody"/>
        </w:rPr>
        <w:t xml:space="preserve">AusNet Services' </w:t>
      </w:r>
      <w:r>
        <w:rPr>
          <w:rStyle w:val="AERbody"/>
        </w:rPr>
        <w:t>base opex. We discuss in appendix </w:t>
      </w:r>
      <w:r>
        <w:rPr>
          <w:rStyle w:val="AERbody"/>
        </w:rPr>
        <w:fldChar w:fldCharType="begin"/>
      </w:r>
      <w:r>
        <w:rPr>
          <w:rStyle w:val="AERbody"/>
        </w:rPr>
        <w:instrText xml:space="preserve"> REF _Ref452735124 \r \h </w:instrText>
      </w:r>
      <w:r>
        <w:rPr>
          <w:rStyle w:val="AERbody"/>
        </w:rPr>
      </w:r>
      <w:r>
        <w:rPr>
          <w:rStyle w:val="AERbody"/>
        </w:rPr>
        <w:fldChar w:fldCharType="separate"/>
      </w:r>
      <w:proofErr w:type="gramStart"/>
      <w:r w:rsidR="00740726">
        <w:rPr>
          <w:rStyle w:val="AERbody"/>
        </w:rPr>
        <w:t>A</w:t>
      </w:r>
      <w:proofErr w:type="gramEnd"/>
      <w:r>
        <w:rPr>
          <w:rStyle w:val="AERbody"/>
        </w:rPr>
        <w:fldChar w:fldCharType="end"/>
      </w:r>
      <w:r>
        <w:rPr>
          <w:rStyle w:val="AERbody"/>
        </w:rPr>
        <w:t xml:space="preserve"> how we account for the additional opex associated with the operation and maintenance of the group 3 assets that we roll into the RAB.</w:t>
      </w:r>
    </w:p>
    <w:p w:rsidR="007721AC" w:rsidRPr="0008364C" w:rsidRDefault="007721AC" w:rsidP="007721AC">
      <w:r w:rsidRPr="0008364C">
        <w:t>The EUCV consider</w:t>
      </w:r>
      <w:r>
        <w:t>ed</w:t>
      </w:r>
      <w:r w:rsidRPr="0008364C">
        <w:t xml:space="preserve"> that </w:t>
      </w:r>
      <w:r>
        <w:t xml:space="preserve">the output growth proposed by AusNet Services </w:t>
      </w:r>
      <w:r w:rsidRPr="0008364C">
        <w:t xml:space="preserve">is not </w:t>
      </w:r>
      <w:r w:rsidR="007C086B">
        <w:t xml:space="preserve">appropriate </w:t>
      </w:r>
      <w:r>
        <w:t>because</w:t>
      </w:r>
      <w:r w:rsidRPr="0008364C">
        <w:t xml:space="preserve"> AusNet is not responsible </w:t>
      </w:r>
      <w:r>
        <w:t>for augmentation of the network</w:t>
      </w:r>
      <w:r w:rsidRPr="0008364C">
        <w:t>.</w:t>
      </w:r>
      <w:r>
        <w:t xml:space="preserve"> The EUCV noted</w:t>
      </w:r>
      <w:r w:rsidRPr="0008364C">
        <w:t xml:space="preserve"> that AusNet </w:t>
      </w:r>
      <w:r>
        <w:t>Services</w:t>
      </w:r>
      <w:r w:rsidR="004035C9">
        <w:t>'</w:t>
      </w:r>
      <w:r>
        <w:t xml:space="preserve"> propos</w:t>
      </w:r>
      <w:r w:rsidR="004035C9">
        <w:t>al</w:t>
      </w:r>
      <w:r w:rsidRPr="0008364C">
        <w:t xml:space="preserve"> </w:t>
      </w:r>
      <w:r w:rsidR="004035C9">
        <w:t>to</w:t>
      </w:r>
      <w:r w:rsidRPr="0008364C">
        <w:t xml:space="preserve"> increase opex for the inclusion of </w:t>
      </w:r>
      <w:r>
        <w:t>g</w:t>
      </w:r>
      <w:r w:rsidRPr="0008364C">
        <w:t>rou</w:t>
      </w:r>
      <w:r w:rsidR="004035C9">
        <w:t>p </w:t>
      </w:r>
      <w:r w:rsidRPr="0008364C">
        <w:t xml:space="preserve">3 assets and to </w:t>
      </w:r>
      <w:r>
        <w:t xml:space="preserve">also </w:t>
      </w:r>
      <w:r w:rsidRPr="0008364C">
        <w:t xml:space="preserve">include output growth </w:t>
      </w:r>
      <w:r>
        <w:t>wa</w:t>
      </w:r>
      <w:r w:rsidRPr="0008364C">
        <w:t>s effectively double counting.</w:t>
      </w:r>
      <w:r>
        <w:t xml:space="preserve"> Overall the EUCV considered that, </w:t>
      </w:r>
      <w:r w:rsidRPr="0008364C">
        <w:t xml:space="preserve">due to the unique circumstances of the way the Victorian transmission network is operated, </w:t>
      </w:r>
      <w:r>
        <w:t>we should not</w:t>
      </w:r>
      <w:r w:rsidRPr="0008364C">
        <w:t xml:space="preserve"> adjust opex for </w:t>
      </w:r>
      <w:r>
        <w:t xml:space="preserve">output </w:t>
      </w:r>
      <w:r w:rsidRPr="0008364C">
        <w:t xml:space="preserve">growth </w:t>
      </w:r>
      <w:r>
        <w:t>other than</w:t>
      </w:r>
      <w:r w:rsidRPr="0008364C">
        <w:t xml:space="preserve"> </w:t>
      </w:r>
      <w:r>
        <w:t>to</w:t>
      </w:r>
      <w:r w:rsidRPr="0008364C">
        <w:t xml:space="preserve"> inclu</w:t>
      </w:r>
      <w:r>
        <w:t>de</w:t>
      </w:r>
      <w:r w:rsidRPr="0008364C">
        <w:t xml:space="preserve"> opex directly associated with the transfer of </w:t>
      </w:r>
      <w:r>
        <w:t>augmentation</w:t>
      </w:r>
      <w:r w:rsidRPr="0008364C">
        <w:t xml:space="preserve"> assets into AusNet </w:t>
      </w:r>
      <w:r>
        <w:t xml:space="preserve">Services' </w:t>
      </w:r>
      <w:r w:rsidRPr="0008364C">
        <w:t>asset base (such as the Group 3 assets).</w:t>
      </w:r>
      <w:r>
        <w:rPr>
          <w:rStyle w:val="FootnoteReference"/>
        </w:rPr>
        <w:footnoteReference w:id="80"/>
      </w:r>
    </w:p>
    <w:p w:rsidR="002C1039" w:rsidRDefault="004035C9" w:rsidP="007721AC">
      <w:r>
        <w:t xml:space="preserve">We agree with the EUCV. </w:t>
      </w:r>
      <w:r w:rsidR="002C1039">
        <w:t xml:space="preserve">AusNet Services will not require additional opex to </w:t>
      </w:r>
      <w:r w:rsidR="002C1039" w:rsidRPr="00C911F8">
        <w:t xml:space="preserve">inspect, </w:t>
      </w:r>
      <w:r w:rsidR="002C1039">
        <w:t xml:space="preserve">assess the </w:t>
      </w:r>
      <w:r w:rsidR="002C1039" w:rsidRPr="00C911F8">
        <w:t xml:space="preserve">condition </w:t>
      </w:r>
      <w:r w:rsidR="002C1039">
        <w:t>of</w:t>
      </w:r>
      <w:r w:rsidR="002C1039" w:rsidRPr="00C911F8">
        <w:t xml:space="preserve"> and maintain</w:t>
      </w:r>
      <w:r w:rsidR="002C1039">
        <w:t xml:space="preserve"> new assets install</w:t>
      </w:r>
      <w:r w:rsidR="00F62236">
        <w:t>ed</w:t>
      </w:r>
      <w:r w:rsidR="002C1039">
        <w:t xml:space="preserve"> in the 2017–22 regulatory control period. Therefore our standard approach to forecasting output growth, as proposed by AusNet Services, will overstate any increase in opex due to output growth during the 2017–22 regulatory control </w:t>
      </w:r>
      <w:proofErr w:type="gramStart"/>
      <w:r w:rsidR="002C1039">
        <w:t>period</w:t>
      </w:r>
      <w:proofErr w:type="gramEnd"/>
      <w:r w:rsidR="002C1039">
        <w:t xml:space="preserve">. </w:t>
      </w:r>
    </w:p>
    <w:p w:rsidR="002C1039" w:rsidRDefault="002C1039" w:rsidP="002C1039">
      <w:r>
        <w:t xml:space="preserve">In its revenue proposal for the 2014–17 regulatory control period AusNet Services proposed no additional opex for any increase in output growth during the 2014–17 regulatory control period. It only proposed output growth due to the roll in of group 3 assets. Based on AusNet Services' proposal we also did not include additional opex for output growth during the 2014–17 regulatory control </w:t>
      </w:r>
      <w:proofErr w:type="gramStart"/>
      <w:r>
        <w:t>period</w:t>
      </w:r>
      <w:proofErr w:type="gramEnd"/>
      <w:r>
        <w:t xml:space="preserve">. </w:t>
      </w:r>
    </w:p>
    <w:p w:rsidR="002C1039" w:rsidRDefault="002C1039" w:rsidP="002C1039">
      <w:r>
        <w:t>We remain satisfied that forecast opex does not require additional opex for output growth for it to reasonably reflect the opex criteria. This is because AusNet Services does not need to fund the operation and maintenance of new augmentation and connection assets through their opex allowance.</w:t>
      </w:r>
    </w:p>
    <w:p w:rsidR="002C1039" w:rsidRDefault="002C1039" w:rsidP="002C1039">
      <w:r>
        <w:t xml:space="preserve">We also note that we are not satisfied that AusNet Services' forecasts of the individual output measures reasonably reflect the expected growth in these measures, notwithstanding that the growth in these measures does not influence our opex forecast. </w:t>
      </w:r>
    </w:p>
    <w:p w:rsidR="002C1039" w:rsidRDefault="002C1039" w:rsidP="002C1039">
      <w:r w:rsidRPr="00890B2F">
        <w:t>AusNet Services</w:t>
      </w:r>
      <w:r w:rsidR="004035C9">
        <w:t>'</w:t>
      </w:r>
      <w:r w:rsidRPr="00890B2F">
        <w:t xml:space="preserve"> forecast</w:t>
      </w:r>
      <w:r w:rsidR="004035C9">
        <w:t>s of</w:t>
      </w:r>
      <w:r w:rsidRPr="00890B2F">
        <w:t xml:space="preserve"> growth in energy delivered, ratcheted maximum demand</w:t>
      </w:r>
      <w:r w:rsidR="004035C9">
        <w:t xml:space="preserve"> and</w:t>
      </w:r>
      <w:r w:rsidRPr="00890B2F">
        <w:t xml:space="preserve"> voltage-weighted entry and exit connection points</w:t>
      </w:r>
      <w:r>
        <w:t xml:space="preserve"> do not reconcile with:</w:t>
      </w:r>
    </w:p>
    <w:p w:rsidR="002C1039" w:rsidRPr="002C1039" w:rsidRDefault="002C1039" w:rsidP="002C1039">
      <w:pPr>
        <w:pStyle w:val="AERbulletlistfirststyle"/>
        <w:rPr>
          <w:rStyle w:val="AERtextitalic"/>
        </w:rPr>
      </w:pPr>
      <w:r>
        <w:t xml:space="preserve">AEMO's forecasts </w:t>
      </w:r>
      <w:r w:rsidRPr="002C1039">
        <w:t xml:space="preserve">of energy delivered in its 2015 </w:t>
      </w:r>
      <w:r w:rsidRPr="002C1039">
        <w:rPr>
          <w:rStyle w:val="AERtextitalic"/>
        </w:rPr>
        <w:t>National electricity forecasting report</w:t>
      </w:r>
    </w:p>
    <w:p w:rsidR="002C1039" w:rsidRPr="002C1039" w:rsidRDefault="002C1039" w:rsidP="002C1039">
      <w:pPr>
        <w:pStyle w:val="AERbulletlistfirststyle"/>
      </w:pPr>
      <w:r w:rsidRPr="002C1039">
        <w:lastRenderedPageBreak/>
        <w:t>AEMO's forecast growth in non-coincident summer demand with a probability of exceedance of 50 per cent, in its connection point forecasts</w:t>
      </w:r>
    </w:p>
    <w:p w:rsidR="002C1039" w:rsidRPr="002C1039" w:rsidRDefault="002060C7" w:rsidP="002C1039">
      <w:pPr>
        <w:pStyle w:val="AERbulletlistfirststyle"/>
      </w:pPr>
      <w:proofErr w:type="gramStart"/>
      <w:r>
        <w:t>t</w:t>
      </w:r>
      <w:r w:rsidR="00E3766E">
        <w:t>he</w:t>
      </w:r>
      <w:proofErr w:type="gramEnd"/>
      <w:r w:rsidR="00E3766E">
        <w:t xml:space="preserve"> </w:t>
      </w:r>
      <w:r w:rsidR="002C1039">
        <w:t>fact there</w:t>
      </w:r>
      <w:r w:rsidR="002C1039" w:rsidRPr="002C1039">
        <w:t xml:space="preserve"> are only a relatively small number of connection points on AusNet Services' transmission network and there are significant lead times to add new connection points or upgrade the voltage of existing connection points. AusNet Services did not identify any specific projects that would drive its forecast growth in voltage weighted entry and exit connection points. We have reviewed AEMO's 2015 </w:t>
      </w:r>
      <w:r w:rsidR="002C1039" w:rsidRPr="002C1039">
        <w:rPr>
          <w:rStyle w:val="AERtextitalic"/>
        </w:rPr>
        <w:t>Victorian annual planning report</w:t>
      </w:r>
      <w:r w:rsidR="002C1039" w:rsidRPr="002C1039">
        <w:t xml:space="preserve"> and consider it </w:t>
      </w:r>
      <w:r w:rsidR="00E3766E">
        <w:t>does not support</w:t>
      </w:r>
      <w:r w:rsidR="00E3766E" w:rsidRPr="002C1039">
        <w:t xml:space="preserve"> </w:t>
      </w:r>
      <w:r w:rsidR="002C1039" w:rsidRPr="002C1039">
        <w:t>forecast growth consistent with a</w:t>
      </w:r>
      <w:r w:rsidR="004035C9">
        <w:t>n</w:t>
      </w:r>
      <w:r w:rsidR="002C1039" w:rsidRPr="002C1039">
        <w:t xml:space="preserve"> historic average. Further, the voltage weighted number of entry and exit connection points, based on the connection points published in AEMO's annual </w:t>
      </w:r>
      <w:r w:rsidR="002C1039" w:rsidRPr="002C1039">
        <w:rPr>
          <w:rStyle w:val="AERtextitalic"/>
        </w:rPr>
        <w:t>Regional boundaries and marginal loss factors</w:t>
      </w:r>
      <w:r w:rsidR="002C1039" w:rsidRPr="002C1039">
        <w:t xml:space="preserve"> reports, has not grown since 2012–13.</w:t>
      </w:r>
    </w:p>
    <w:p w:rsidR="002C1039" w:rsidRDefault="002C1039" w:rsidP="002C1039">
      <w:pPr>
        <w:pStyle w:val="Heading9"/>
      </w:pPr>
      <w:bookmarkStart w:id="208" w:name="_Ref451937306"/>
      <w:bookmarkStart w:id="209" w:name="_Toc453061038"/>
      <w:bookmarkStart w:id="210" w:name="_Toc456602007"/>
      <w:r w:rsidRPr="00C844EE">
        <w:t>Forecast productivity growth</w:t>
      </w:r>
      <w:bookmarkEnd w:id="208"/>
      <w:bookmarkEnd w:id="209"/>
      <w:bookmarkEnd w:id="210"/>
    </w:p>
    <w:p w:rsidR="002C1039" w:rsidRPr="006A49D0" w:rsidRDefault="002C1039" w:rsidP="002C1039">
      <w:r w:rsidRPr="006A49D0">
        <w:t xml:space="preserve">In </w:t>
      </w:r>
      <w:r w:rsidR="00812F95">
        <w:t>the</w:t>
      </w:r>
      <w:r w:rsidR="00E3766E">
        <w:t xml:space="preserve"> Guideline</w:t>
      </w:r>
      <w:r w:rsidRPr="006A49D0">
        <w:t xml:space="preserve"> we </w:t>
      </w:r>
      <w:r w:rsidR="00E3766E">
        <w:t>stated</w:t>
      </w:r>
      <w:r w:rsidR="00E3766E" w:rsidRPr="006A49D0">
        <w:t xml:space="preserve"> </w:t>
      </w:r>
      <w:r w:rsidRPr="006A49D0">
        <w:t>that we would apply a rate of change to estimated final year opex (taking into account an efficiency adjustment, if required), to account for the shift in the productivity frontier.</w:t>
      </w:r>
      <w:r>
        <w:rPr>
          <w:rStyle w:val="FootnoteReference"/>
        </w:rPr>
        <w:footnoteReference w:id="81"/>
      </w:r>
      <w:r>
        <w:t xml:space="preserve"> Consistent with this we have used</w:t>
      </w:r>
      <w:r w:rsidRPr="006A49D0">
        <w:t xml:space="preserve"> the electricity transmission industry average opex partial productivity growth rate from 2006</w:t>
      </w:r>
      <w:r>
        <w:t xml:space="preserve"> to 2015</w:t>
      </w:r>
      <w:r w:rsidRPr="006A49D0">
        <w:t xml:space="preserve"> of 0.</w:t>
      </w:r>
      <w:r>
        <w:t>2</w:t>
      </w:r>
      <w:r w:rsidRPr="006A49D0">
        <w:t xml:space="preserve"> per cent to forecast </w:t>
      </w:r>
      <w:r>
        <w:t>AusNet Services'</w:t>
      </w:r>
      <w:r w:rsidRPr="006A49D0">
        <w:t xml:space="preserve"> opex productivity</w:t>
      </w:r>
      <w:r>
        <w:t xml:space="preserve"> growth.</w:t>
      </w:r>
      <w:r w:rsidR="002F7491">
        <w:t xml:space="preserve"> </w:t>
      </w:r>
      <w:r w:rsidR="00762484">
        <w:t>We based t</w:t>
      </w:r>
      <w:r w:rsidR="002F7491">
        <w:t>his figure on analysis undertaken by our consultant, Economic Insights.</w:t>
      </w:r>
    </w:p>
    <w:p w:rsidR="002C1039" w:rsidRDefault="002C1039" w:rsidP="002C1039">
      <w:r>
        <w:t xml:space="preserve">We base our </w:t>
      </w:r>
      <w:r w:rsidRPr="006A49D0">
        <w:t xml:space="preserve">productivity </w:t>
      </w:r>
      <w:r>
        <w:t xml:space="preserve">growth forecast </w:t>
      </w:r>
      <w:r w:rsidRPr="006A49D0">
        <w:t>on a business as usual scenario. This assumes there will be no significant structural change in the electricity transmission industry for the 201</w:t>
      </w:r>
      <w:r>
        <w:t>7</w:t>
      </w:r>
      <w:r w:rsidRPr="006A49D0">
        <w:t>–</w:t>
      </w:r>
      <w:r>
        <w:t>22</w:t>
      </w:r>
      <w:r w:rsidRPr="006A49D0">
        <w:t xml:space="preserve"> </w:t>
      </w:r>
      <w:proofErr w:type="gramStart"/>
      <w:r w:rsidRPr="006A49D0">
        <w:t>period</w:t>
      </w:r>
      <w:proofErr w:type="gramEnd"/>
      <w:r w:rsidRPr="006A49D0">
        <w:t xml:space="preserve"> relative to </w:t>
      </w:r>
      <w:r>
        <w:t xml:space="preserve">the </w:t>
      </w:r>
      <w:r w:rsidRPr="006A49D0">
        <w:t>2006–1</w:t>
      </w:r>
      <w:r>
        <w:t>5 time period used to measure historic productivity growth</w:t>
      </w:r>
      <w:r w:rsidRPr="006A49D0">
        <w:t>.</w:t>
      </w:r>
      <w:r>
        <w:t xml:space="preserve"> Previously </w:t>
      </w:r>
      <w:r w:rsidRPr="006A49D0">
        <w:t>Economic Insights considered the extrapolation of the electricity transmission industry opex partial productivity growth rate to be reasonable in a 'business as usual' scenario.</w:t>
      </w:r>
      <w:r>
        <w:t xml:space="preserve"> </w:t>
      </w:r>
    </w:p>
    <w:p w:rsidR="002C1039" w:rsidRPr="002B255A" w:rsidRDefault="002C1039" w:rsidP="002C1039">
      <w:r>
        <w:t xml:space="preserve">Consistent with our approach, </w:t>
      </w:r>
      <w:r w:rsidRPr="002B255A">
        <w:t>AusNet Services</w:t>
      </w:r>
      <w:r>
        <w:t xml:space="preserve"> stated that it </w:t>
      </w:r>
      <w:r w:rsidRPr="002B255A">
        <w:t xml:space="preserve">considers that </w:t>
      </w:r>
      <w:r>
        <w:t>'</w:t>
      </w:r>
      <w:r w:rsidRPr="002B255A">
        <w:t>a historical average of industry-wide productivity gains represents a reasonable proxy for the future productivity improvements an efficient TNSP would be expected to achieve in the future.</w:t>
      </w:r>
      <w:r>
        <w:t>'</w:t>
      </w:r>
      <w:r>
        <w:rPr>
          <w:rStyle w:val="FootnoteReference"/>
        </w:rPr>
        <w:footnoteReference w:id="82"/>
      </w:r>
      <w:r>
        <w:t xml:space="preserve"> </w:t>
      </w:r>
      <w:r w:rsidRPr="002B255A">
        <w:t xml:space="preserve">AusNet Services engaged </w:t>
      </w:r>
      <w:proofErr w:type="spellStart"/>
      <w:r w:rsidRPr="002B255A">
        <w:t>Huegin</w:t>
      </w:r>
      <w:proofErr w:type="spellEnd"/>
      <w:r w:rsidRPr="002B255A">
        <w:t xml:space="preserve"> Consulting to </w:t>
      </w:r>
      <w:r>
        <w:t xml:space="preserve">measure industry average </w:t>
      </w:r>
      <w:r w:rsidRPr="002B255A">
        <w:t xml:space="preserve">productivity </w:t>
      </w:r>
      <w:r>
        <w:t xml:space="preserve">growth </w:t>
      </w:r>
      <w:r w:rsidRPr="002B255A">
        <w:t>using the most up to date information available</w:t>
      </w:r>
      <w:r>
        <w:t xml:space="preserve"> to it, using data </w:t>
      </w:r>
      <w:r w:rsidR="00DB7DE6">
        <w:t xml:space="preserve">that </w:t>
      </w:r>
      <w:r>
        <w:t>we have collected and published</w:t>
      </w:r>
      <w:r w:rsidRPr="002B255A">
        <w:t>.</w:t>
      </w:r>
      <w:r>
        <w:rPr>
          <w:rStyle w:val="FootnoteReference"/>
        </w:rPr>
        <w:footnoteReference w:id="83"/>
      </w:r>
      <w:r>
        <w:t xml:space="preserve"> Based on </w:t>
      </w:r>
      <w:proofErr w:type="spellStart"/>
      <w:r>
        <w:t>Huegin</w:t>
      </w:r>
      <w:proofErr w:type="spellEnd"/>
      <w:r>
        <w:t xml:space="preserve"> Consulting's analysis, AusNet Services forecast productivity growth of 0.28 per cent each year.</w:t>
      </w:r>
      <w:r>
        <w:rPr>
          <w:rStyle w:val="FootnoteReference"/>
        </w:rPr>
        <w:footnoteReference w:id="84"/>
      </w:r>
    </w:p>
    <w:p w:rsidR="002C1039" w:rsidRDefault="002C1039" w:rsidP="002C1039">
      <w:r>
        <w:t>AusNet Services'</w:t>
      </w:r>
      <w:r w:rsidRPr="007F7F5C">
        <w:t xml:space="preserve"> productivity </w:t>
      </w:r>
      <w:r>
        <w:t>growth forecast of</w:t>
      </w:r>
      <w:r w:rsidRPr="007F7F5C">
        <w:t xml:space="preserve"> </w:t>
      </w:r>
      <w:r>
        <w:t>0.28</w:t>
      </w:r>
      <w:r w:rsidRPr="007F7F5C">
        <w:t xml:space="preserve"> per cent is </w:t>
      </w:r>
      <w:r>
        <w:t>similar to our own forecast of 0.20</w:t>
      </w:r>
      <w:r w:rsidRPr="007F7F5C">
        <w:t xml:space="preserve"> per cent.</w:t>
      </w:r>
      <w:r>
        <w:t xml:space="preserve"> There are three drivers of the small differences between these forecasts:</w:t>
      </w:r>
      <w:r>
        <w:rPr>
          <w:rStyle w:val="FootnoteReference"/>
        </w:rPr>
        <w:footnoteReference w:id="85"/>
      </w:r>
    </w:p>
    <w:p w:rsidR="002C1039" w:rsidRPr="002C1039" w:rsidRDefault="002C1039" w:rsidP="002C1039">
      <w:pPr>
        <w:pStyle w:val="ListNumber"/>
        <w:numPr>
          <w:ilvl w:val="0"/>
          <w:numId w:val="30"/>
        </w:numPr>
      </w:pPr>
      <w:r>
        <w:lastRenderedPageBreak/>
        <w:t xml:space="preserve">Economics Insights used an additional year of data (2015) in its </w:t>
      </w:r>
      <w:r w:rsidRPr="002C1039">
        <w:t>latest TNSP analysis</w:t>
      </w:r>
    </w:p>
    <w:p w:rsidR="002C1039" w:rsidRPr="002C1039" w:rsidRDefault="002C1039" w:rsidP="002C1039">
      <w:pPr>
        <w:pStyle w:val="ListNumber"/>
      </w:pPr>
      <w:r>
        <w:t xml:space="preserve">we made </w:t>
      </w:r>
      <w:r w:rsidRPr="002C1039">
        <w:t>a small number of revisions to the data used by Economic Insights in its analysis, most of which related to the voltage–weighted entry and exit points output variable and the MVA rating of lines</w:t>
      </w:r>
    </w:p>
    <w:p w:rsidR="002C1039" w:rsidRPr="002C1039" w:rsidRDefault="002C1039" w:rsidP="002C1039">
      <w:pPr>
        <w:pStyle w:val="ListNumber"/>
      </w:pPr>
      <w:r>
        <w:t xml:space="preserve">Economic Insights used the trend growth rate method, rather than the </w:t>
      </w:r>
      <w:r w:rsidRPr="002C1039">
        <w:t>average growth rate method, to measure historic productivity growth.</w:t>
      </w:r>
    </w:p>
    <w:p w:rsidR="002C1039" w:rsidRDefault="002C1039" w:rsidP="002C1039">
      <w:r>
        <w:t xml:space="preserve">We have used the trend growth rate method rather than the average growth rate method to measure historic productivity growth based on advice from Economic Insights. </w:t>
      </w:r>
    </w:p>
    <w:p w:rsidR="002C1039" w:rsidRPr="009677AB" w:rsidRDefault="002C1039" w:rsidP="002C1039">
      <w:r>
        <w:t>T</w:t>
      </w:r>
      <w:r w:rsidRPr="009677AB">
        <w:t xml:space="preserve">he average annual growth rate </w:t>
      </w:r>
      <w:r>
        <w:t xml:space="preserve">method measures the grow rate between </w:t>
      </w:r>
      <w:r w:rsidRPr="009677AB">
        <w:t>the first and last observations</w:t>
      </w:r>
      <w:r>
        <w:t xml:space="preserve">. The </w:t>
      </w:r>
      <w:r w:rsidRPr="009677AB">
        <w:t xml:space="preserve">regression–based trend method </w:t>
      </w:r>
      <w:r>
        <w:t>determines a line of best fit through all the data points. As noted by Economic Insights, b</w:t>
      </w:r>
      <w:r w:rsidRPr="009677AB">
        <w:t xml:space="preserve">oth methods have advantages and disadvantages. The average growth rate method has the advantage of tracking movement in the index exactly between the two endpoints of the series. However, </w:t>
      </w:r>
      <w:r>
        <w:t xml:space="preserve">outlier </w:t>
      </w:r>
      <w:r w:rsidRPr="009677AB">
        <w:t xml:space="preserve">observations lying at either the start or the end of the </w:t>
      </w:r>
      <w:r>
        <w:t>data series will influence the measured growth rate</w:t>
      </w:r>
      <w:r w:rsidRPr="009677AB">
        <w:t xml:space="preserve">. If changes in opex driving these outlier observations are one–off </w:t>
      </w:r>
      <w:r>
        <w:t xml:space="preserve">events </w:t>
      </w:r>
      <w:r w:rsidRPr="009677AB">
        <w:t>then these observations may produce an average growth rate that is not reflective of the underlying trend change over the time period.</w:t>
      </w:r>
      <w:r>
        <w:rPr>
          <w:rStyle w:val="FootnoteReference"/>
        </w:rPr>
        <w:footnoteReference w:id="86"/>
      </w:r>
    </w:p>
    <w:p w:rsidR="002C1039" w:rsidRDefault="002C1039" w:rsidP="002C1039">
      <w:r w:rsidRPr="009677AB">
        <w:t xml:space="preserve">The trend growth rate method, on the other hand, </w:t>
      </w:r>
      <w:r>
        <w:t xml:space="preserve">will </w:t>
      </w:r>
      <w:r w:rsidRPr="009677AB">
        <w:t xml:space="preserve">more closely reflect the underlying trend rate of growth over the </w:t>
      </w:r>
      <w:r>
        <w:t xml:space="preserve">entire </w:t>
      </w:r>
      <w:r w:rsidRPr="009677AB">
        <w:t>period</w:t>
      </w:r>
      <w:r>
        <w:t>. I</w:t>
      </w:r>
      <w:r w:rsidRPr="009677AB">
        <w:t>t will not track the series from endpoint to endpoint exactly</w:t>
      </w:r>
      <w:r>
        <w:t>, however</w:t>
      </w:r>
      <w:r w:rsidRPr="009677AB">
        <w:t xml:space="preserve">. </w:t>
      </w:r>
      <w:r>
        <w:t xml:space="preserve">An advantage of the </w:t>
      </w:r>
      <w:r w:rsidRPr="009677AB">
        <w:t xml:space="preserve">trend method </w:t>
      </w:r>
      <w:r>
        <w:t xml:space="preserve">is that it </w:t>
      </w:r>
      <w:r w:rsidRPr="009677AB">
        <w:t>moderat</w:t>
      </w:r>
      <w:r>
        <w:t>es</w:t>
      </w:r>
      <w:r w:rsidRPr="009677AB">
        <w:t xml:space="preserve"> the impact of sudden changes in opex levels.</w:t>
      </w:r>
      <w:r>
        <w:rPr>
          <w:rStyle w:val="FootnoteReference"/>
        </w:rPr>
        <w:footnoteReference w:id="87"/>
      </w:r>
    </w:p>
    <w:p w:rsidR="002C1039" w:rsidRDefault="002C1039" w:rsidP="002C1039">
      <w:r>
        <w:t xml:space="preserve">As noted by Economic Insights, </w:t>
      </w:r>
      <w:r w:rsidRPr="00976F6F">
        <w:t xml:space="preserve">opex partial productivity trended up from 2006 to 2013 before falling in 2014 and </w:t>
      </w:r>
      <w:r>
        <w:t xml:space="preserve">2015. There is some evidence that at least part of these recent falls reflect one-off events. We note that Powerlink was a significant contributor to the fall in opex productivity in 2015, with its productivity falling 10 per cent. </w:t>
      </w:r>
      <w:r w:rsidRPr="00976F6F">
        <w:t xml:space="preserve">In its </w:t>
      </w:r>
      <w:r>
        <w:t xml:space="preserve">revenue proposal, Powerlink </w:t>
      </w:r>
      <w:r w:rsidRPr="00976F6F">
        <w:t xml:space="preserve">reduced its reported opex in 2015 by 12.6 per cent to allow for non–recurrent factors as part of the process of forming its base year opex </w:t>
      </w:r>
      <w:proofErr w:type="gramStart"/>
      <w:r>
        <w:t>to forecast</w:t>
      </w:r>
      <w:proofErr w:type="gramEnd"/>
      <w:r>
        <w:t xml:space="preserve"> opex.</w:t>
      </w:r>
      <w:r>
        <w:rPr>
          <w:rStyle w:val="FootnoteReference"/>
        </w:rPr>
        <w:footnoteReference w:id="88"/>
      </w:r>
    </w:p>
    <w:p w:rsidR="002C1039" w:rsidRDefault="002C1039" w:rsidP="002C1039">
      <w:r>
        <w:t>Consequently Economic Insights considered the trend method</w:t>
      </w:r>
      <w:r w:rsidRPr="00976F6F">
        <w:t xml:space="preserve"> is more appropriate </w:t>
      </w:r>
      <w:r>
        <w:t>for measuring</w:t>
      </w:r>
      <w:r w:rsidRPr="00976F6F">
        <w:t xml:space="preserve"> opex productivity growth </w:t>
      </w:r>
      <w:r>
        <w:t>because it</w:t>
      </w:r>
      <w:r w:rsidRPr="00976F6F">
        <w:t xml:space="preserve"> more closely </w:t>
      </w:r>
      <w:r>
        <w:t>reflects</w:t>
      </w:r>
      <w:r w:rsidRPr="00976F6F">
        <w:t xml:space="preserve"> the underlying trend movement in TNSP opex productivity over the historic period</w:t>
      </w:r>
      <w:r>
        <w:t xml:space="preserve">. Economic Insights considered that, as a result, it will </w:t>
      </w:r>
      <w:r w:rsidRPr="00976F6F">
        <w:t xml:space="preserve">provide a better forecast </w:t>
      </w:r>
      <w:r>
        <w:t xml:space="preserve">of opex productivity growth </w:t>
      </w:r>
      <w:r w:rsidRPr="00976F6F">
        <w:t>o</w:t>
      </w:r>
      <w:r>
        <w:t>ver the next regulatory period.</w:t>
      </w:r>
      <w:r>
        <w:rPr>
          <w:rStyle w:val="FootnoteReference"/>
        </w:rPr>
        <w:footnoteReference w:id="89"/>
      </w:r>
      <w:r>
        <w:t xml:space="preserve"> We agree with Economic Insights that we should use </w:t>
      </w:r>
      <w:r>
        <w:lastRenderedPageBreak/>
        <w:t>the trend method to measure productivity growth because it is less sensitive to outlier values in the first or last years of the data series.</w:t>
      </w:r>
    </w:p>
    <w:p w:rsidR="00304D66" w:rsidRDefault="00304D66" w:rsidP="00304D66"/>
    <w:p w:rsidR="00D549F0" w:rsidRDefault="00D549F0" w:rsidP="00D549F0">
      <w:pPr>
        <w:pStyle w:val="Heading7"/>
      </w:pPr>
      <w:bookmarkStart w:id="211" w:name="_Toc456602008"/>
      <w:r>
        <w:lastRenderedPageBreak/>
        <w:t>Step changes</w:t>
      </w:r>
      <w:bookmarkEnd w:id="211"/>
    </w:p>
    <w:p w:rsidR="00D549F0" w:rsidRPr="00E24A84" w:rsidRDefault="00D549F0" w:rsidP="00D549F0">
      <w:pPr>
        <w:rPr>
          <w:rStyle w:val="AERbody"/>
        </w:rPr>
      </w:pPr>
      <w:r w:rsidRPr="00E24A84">
        <w:rPr>
          <w:rStyle w:val="AERbody"/>
        </w:rPr>
        <w:t xml:space="preserve">In assessing the service provider’s opex forecast we recognise that there may be changed circumstances in the forecast period that may impact the expenditure requirement of a service provider. We consider those changed circumstances as potential 'step changes'. </w:t>
      </w:r>
    </w:p>
    <w:p w:rsidR="00D549F0" w:rsidRDefault="00D549F0" w:rsidP="00D549F0">
      <w:pPr>
        <w:numPr>
          <w:ilvl w:val="0"/>
          <w:numId w:val="24"/>
        </w:numPr>
        <w:rPr>
          <w:rStyle w:val="AERbody"/>
        </w:rPr>
      </w:pPr>
      <w:r w:rsidRPr="00E24A84">
        <w:rPr>
          <w:rStyle w:val="AERbody"/>
        </w:rPr>
        <w:t xml:space="preserve">We typically allow step changes for changes to ongoing costs associated with new regulatory obligations and for efficient capex/opex trade-offs.  Step changes may be positive or negative. </w:t>
      </w:r>
    </w:p>
    <w:p w:rsidR="00D549F0" w:rsidRPr="00B11E9B" w:rsidRDefault="00D549F0" w:rsidP="00D549F0">
      <w:pPr>
        <w:rPr>
          <w:rStyle w:val="AERbody"/>
        </w:rPr>
      </w:pPr>
      <w:r w:rsidRPr="00B11E9B">
        <w:rPr>
          <w:rStyle w:val="AERbody"/>
        </w:rPr>
        <w:t xml:space="preserve">This appendix sets out our consideration of step changes in determining our opex forecast for </w:t>
      </w:r>
      <w:r>
        <w:rPr>
          <w:rStyle w:val="AERbody"/>
        </w:rPr>
        <w:t>AusNet Services</w:t>
      </w:r>
      <w:r w:rsidRPr="00B11E9B">
        <w:rPr>
          <w:rStyle w:val="AERbody"/>
        </w:rPr>
        <w:t xml:space="preserve"> for the 201</w:t>
      </w:r>
      <w:r>
        <w:rPr>
          <w:rStyle w:val="AERbody"/>
        </w:rPr>
        <w:t>7</w:t>
      </w:r>
      <w:r w:rsidRPr="00B11E9B">
        <w:rPr>
          <w:rStyle w:val="AERbody"/>
        </w:rPr>
        <w:t>–</w:t>
      </w:r>
      <w:r>
        <w:rPr>
          <w:rStyle w:val="AERbody"/>
        </w:rPr>
        <w:t>22</w:t>
      </w:r>
      <w:r w:rsidRPr="00B11E9B">
        <w:rPr>
          <w:rStyle w:val="AERbody"/>
        </w:rPr>
        <w:t xml:space="preserve"> </w:t>
      </w:r>
      <w:r>
        <w:rPr>
          <w:rStyle w:val="AERbody"/>
        </w:rPr>
        <w:t xml:space="preserve">regulatory control </w:t>
      </w:r>
      <w:r w:rsidRPr="00B11E9B">
        <w:rPr>
          <w:rStyle w:val="AERbody"/>
        </w:rPr>
        <w:t>period.</w:t>
      </w:r>
      <w:r>
        <w:rPr>
          <w:rStyle w:val="AERbody"/>
        </w:rPr>
        <w:t xml:space="preserve"> </w:t>
      </w:r>
    </w:p>
    <w:p w:rsidR="00D549F0" w:rsidRPr="001B5B77" w:rsidRDefault="00D549F0" w:rsidP="00F62236">
      <w:pPr>
        <w:pStyle w:val="Heading8"/>
        <w:numPr>
          <w:ilvl w:val="1"/>
          <w:numId w:val="31"/>
        </w:numPr>
      </w:pPr>
      <w:bookmarkStart w:id="212" w:name="_Toc417052694"/>
      <w:bookmarkStart w:id="213" w:name="_Toc456602009"/>
      <w:r>
        <w:t>Position</w:t>
      </w:r>
      <w:bookmarkEnd w:id="212"/>
      <w:bookmarkEnd w:id="213"/>
    </w:p>
    <w:p w:rsidR="00D549F0" w:rsidRDefault="00D549F0" w:rsidP="00D549F0">
      <w:r w:rsidRPr="00E24A84">
        <w:t xml:space="preserve">We have </w:t>
      </w:r>
      <w:r>
        <w:t xml:space="preserve">not </w:t>
      </w:r>
      <w:r w:rsidRPr="00BC4B4C">
        <w:t>included any step</w:t>
      </w:r>
      <w:r w:rsidRPr="00E24A84">
        <w:t xml:space="preserve"> change</w:t>
      </w:r>
      <w:r>
        <w:t>s</w:t>
      </w:r>
      <w:r w:rsidRPr="00E24A84">
        <w:t xml:space="preserve"> in our opex forecast. </w:t>
      </w:r>
      <w:r w:rsidRPr="008D2BF5">
        <w:t xml:space="preserve">We are not satisfied that cost </w:t>
      </w:r>
      <w:r>
        <w:t>increases</w:t>
      </w:r>
      <w:r w:rsidRPr="008D2BF5">
        <w:t xml:space="preserve"> </w:t>
      </w:r>
      <w:r>
        <w:t>AusNet Services</w:t>
      </w:r>
      <w:r w:rsidRPr="008D2BF5">
        <w:t xml:space="preserve"> identified </w:t>
      </w:r>
      <w:r>
        <w:t xml:space="preserve">are </w:t>
      </w:r>
      <w:r w:rsidRPr="008D2BF5">
        <w:t>require</w:t>
      </w:r>
      <w:r>
        <w:t xml:space="preserve">d in order to </w:t>
      </w:r>
      <w:r w:rsidR="002F7491">
        <w:t xml:space="preserve">arrive at </w:t>
      </w:r>
      <w:r>
        <w:t xml:space="preserve">a forecast of total opex that </w:t>
      </w:r>
      <w:r w:rsidRPr="00E24A84">
        <w:rPr>
          <w:rStyle w:val="AERbody"/>
        </w:rPr>
        <w:t>reasonably reflect</w:t>
      </w:r>
      <w:r>
        <w:rPr>
          <w:rStyle w:val="AERbody"/>
        </w:rPr>
        <w:t>s</w:t>
      </w:r>
      <w:r w:rsidRPr="00E24A84">
        <w:rPr>
          <w:rStyle w:val="AERbody"/>
        </w:rPr>
        <w:t xml:space="preserve"> the opex criteria</w:t>
      </w:r>
      <w:r w:rsidRPr="008D2BF5">
        <w:t xml:space="preserve">. </w:t>
      </w:r>
      <w:r w:rsidR="00923C65">
        <w:t>We outline a</w:t>
      </w:r>
      <w:r w:rsidRPr="008D2BF5">
        <w:t xml:space="preserve"> summary of the revenue impact </w:t>
      </w:r>
      <w:r>
        <w:t>of</w:t>
      </w:r>
      <w:r w:rsidRPr="008D2BF5">
        <w:t xml:space="preserve"> </w:t>
      </w:r>
      <w:r>
        <w:t>AusNet Services' proposed step changes</w:t>
      </w:r>
      <w:r w:rsidRPr="008D2BF5">
        <w:t xml:space="preserve"> </w:t>
      </w:r>
      <w:r w:rsidRPr="00E24A84">
        <w:t xml:space="preserve">in </w:t>
      </w:r>
      <w:r>
        <w:fldChar w:fldCharType="begin"/>
      </w:r>
      <w:r>
        <w:instrText xml:space="preserve"> REF _Ref438545183 \h </w:instrText>
      </w:r>
      <w:r>
        <w:fldChar w:fldCharType="separate"/>
      </w:r>
      <w:r w:rsidR="00740726">
        <w:t xml:space="preserve">Table </w:t>
      </w:r>
      <w:r w:rsidR="00740726">
        <w:rPr>
          <w:noProof/>
        </w:rPr>
        <w:t>C</w:t>
      </w:r>
      <w:r w:rsidR="00740726">
        <w:t>.</w:t>
      </w:r>
      <w:r w:rsidR="00740726">
        <w:rPr>
          <w:noProof/>
        </w:rPr>
        <w:t>1</w:t>
      </w:r>
      <w:r>
        <w:fldChar w:fldCharType="end"/>
      </w:r>
      <w:r>
        <w:t>.</w:t>
      </w:r>
    </w:p>
    <w:p w:rsidR="00D549F0" w:rsidRDefault="00D549F0" w:rsidP="00D549F0">
      <w:pPr>
        <w:pStyle w:val="Caption"/>
      </w:pPr>
      <w:bookmarkStart w:id="214" w:name="_Ref438545183"/>
      <w:r>
        <w:t xml:space="preserve">Table </w:t>
      </w:r>
      <w:r w:rsidR="00F64824">
        <w:fldChar w:fldCharType="begin"/>
      </w:r>
      <w:r w:rsidR="00F64824">
        <w:instrText xml:space="preserve"> STYLEREF 7 \s </w:instrText>
      </w:r>
      <w:r w:rsidR="00F64824">
        <w:fldChar w:fldCharType="separate"/>
      </w:r>
      <w:r w:rsidR="00740726">
        <w:rPr>
          <w:noProof/>
        </w:rPr>
        <w:t>C</w:t>
      </w:r>
      <w:r w:rsidR="00F64824">
        <w:rPr>
          <w:noProof/>
        </w:rPr>
        <w:fldChar w:fldCharType="end"/>
      </w:r>
      <w:r>
        <w:t>.</w:t>
      </w:r>
      <w:r w:rsidR="00F64824">
        <w:fldChar w:fldCharType="begin"/>
      </w:r>
      <w:r w:rsidR="00F64824">
        <w:instrText xml:space="preserve"> SEQ Table \* ARABIC \s 7 </w:instrText>
      </w:r>
      <w:r w:rsidR="00F64824">
        <w:fldChar w:fldCharType="separate"/>
      </w:r>
      <w:r w:rsidR="00740726">
        <w:rPr>
          <w:noProof/>
        </w:rPr>
        <w:t>1</w:t>
      </w:r>
      <w:r w:rsidR="00F64824">
        <w:rPr>
          <w:noProof/>
        </w:rPr>
        <w:fldChar w:fldCharType="end"/>
      </w:r>
      <w:bookmarkEnd w:id="214"/>
      <w:r>
        <w:tab/>
        <w:t>Draft</w:t>
      </w:r>
      <w:r w:rsidRPr="008E2AC0">
        <w:t xml:space="preserve"> position </w:t>
      </w:r>
      <w:r>
        <w:t>on step changes ($ million, 2016–17</w:t>
      </w:r>
      <w:r w:rsidRPr="008E2AC0">
        <w:t>)</w:t>
      </w:r>
    </w:p>
    <w:tbl>
      <w:tblPr>
        <w:tblStyle w:val="AERtable-numbers"/>
        <w:tblW w:w="0" w:type="auto"/>
        <w:tblLook w:val="04A0" w:firstRow="1" w:lastRow="0" w:firstColumn="1" w:lastColumn="0" w:noHBand="0" w:noVBand="1"/>
      </w:tblPr>
      <w:tblGrid>
        <w:gridCol w:w="4219"/>
        <w:gridCol w:w="2237"/>
        <w:gridCol w:w="2237"/>
      </w:tblGrid>
      <w:tr w:rsidR="00D549F0" w:rsidTr="00C7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549F0" w:rsidRDefault="00D549F0" w:rsidP="00D549F0"/>
        </w:tc>
        <w:tc>
          <w:tcPr>
            <w:tcW w:w="2237" w:type="dxa"/>
          </w:tcPr>
          <w:p w:rsidR="00D549F0" w:rsidRPr="00D549F0" w:rsidRDefault="00D549F0" w:rsidP="00D549F0">
            <w:pPr>
              <w:cnfStyle w:val="100000000000" w:firstRow="1" w:lastRow="0" w:firstColumn="0" w:lastColumn="0" w:oddVBand="0" w:evenVBand="0" w:oddHBand="0" w:evenHBand="0" w:firstRowFirstColumn="0" w:firstRowLastColumn="0" w:lastRowFirstColumn="0" w:lastRowLastColumn="0"/>
            </w:pPr>
            <w:r>
              <w:t>AusNet Services proposal</w:t>
            </w:r>
          </w:p>
        </w:tc>
        <w:tc>
          <w:tcPr>
            <w:tcW w:w="2237" w:type="dxa"/>
          </w:tcPr>
          <w:p w:rsidR="00D549F0" w:rsidRPr="00D549F0" w:rsidRDefault="00D549F0" w:rsidP="00D549F0">
            <w:pPr>
              <w:cnfStyle w:val="100000000000" w:firstRow="1" w:lastRow="0" w:firstColumn="0" w:lastColumn="0" w:oddVBand="0" w:evenVBand="0" w:oddHBand="0" w:evenHBand="0" w:firstRowFirstColumn="0" w:firstRowLastColumn="0" w:lastRowFirstColumn="0" w:lastRowLastColumn="0"/>
            </w:pPr>
            <w:r>
              <w:t>AER draft decision</w:t>
            </w:r>
          </w:p>
        </w:tc>
      </w:tr>
      <w:tr w:rsidR="00D549F0" w:rsidTr="00C711DC">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r w:rsidRPr="00887866">
              <w:t>Establishment of IT security team</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3.3</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0.0</w:t>
            </w:r>
          </w:p>
        </w:tc>
      </w:tr>
      <w:tr w:rsidR="00D549F0" w:rsidTr="00C71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r w:rsidRPr="00887866">
              <w:t>New emergency response arrangements</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1.0</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0</w:t>
            </w:r>
            <w:r w:rsidRPr="00D549F0">
              <w:t>.0</w:t>
            </w:r>
          </w:p>
        </w:tc>
      </w:tr>
      <w:tr w:rsidR="00D549F0" w:rsidTr="00C711DC">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r w:rsidRPr="00887866">
              <w:t xml:space="preserve">Smart Aerial Image Processing (SAIP) </w:t>
            </w:r>
            <w:r w:rsidRPr="00D549F0">
              <w:t>roll out</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0.9</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0.0</w:t>
            </w:r>
          </w:p>
        </w:tc>
      </w:tr>
      <w:tr w:rsidR="00D549F0" w:rsidTr="00C71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r w:rsidRPr="00887866">
              <w:t>WMTS mobile switchboard</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2.0</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0.0</w:t>
            </w:r>
          </w:p>
        </w:tc>
      </w:tr>
      <w:tr w:rsidR="00D549F0" w:rsidTr="00C711DC">
        <w:tc>
          <w:tcPr>
            <w:cnfStyle w:val="001000000000" w:firstRow="0" w:lastRow="0" w:firstColumn="1" w:lastColumn="0" w:oddVBand="0" w:evenVBand="0" w:oddHBand="0" w:evenHBand="0" w:firstRowFirstColumn="0" w:firstRowLastColumn="0" w:lastRowFirstColumn="0" w:lastRowLastColumn="0"/>
            <w:tcW w:w="4219" w:type="dxa"/>
            <w:vAlign w:val="top"/>
          </w:tcPr>
          <w:p w:rsidR="00D549F0" w:rsidRPr="00D549F0" w:rsidRDefault="00D549F0" w:rsidP="00D549F0">
            <w:r w:rsidRPr="00887866">
              <w:t>Synchronous condensers</w:t>
            </w:r>
          </w:p>
        </w:tc>
        <w:tc>
          <w:tcPr>
            <w:tcW w:w="2237" w:type="dxa"/>
            <w:vAlign w:val="top"/>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4.3</w:t>
            </w:r>
          </w:p>
        </w:tc>
        <w:tc>
          <w:tcPr>
            <w:tcW w:w="2237" w:type="dxa"/>
            <w:vAlign w:val="top"/>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pPr>
            <w:r>
              <w:t>0.0</w:t>
            </w:r>
          </w:p>
        </w:tc>
      </w:tr>
      <w:tr w:rsidR="00D549F0" w:rsidTr="00C711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r w:rsidRPr="00887866">
              <w:t>Morwell Power Station assets</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1.9</w:t>
            </w:r>
          </w:p>
        </w:tc>
        <w:tc>
          <w:tcPr>
            <w:tcW w:w="2237" w:type="dxa"/>
          </w:tcPr>
          <w:p w:rsidR="00D549F0" w:rsidRPr="00D549F0" w:rsidRDefault="00D549F0" w:rsidP="00D549F0">
            <w:pPr>
              <w:cnfStyle w:val="000000010000" w:firstRow="0" w:lastRow="0" w:firstColumn="0" w:lastColumn="0" w:oddVBand="0" w:evenVBand="0" w:oddHBand="0" w:evenHBand="1" w:firstRowFirstColumn="0" w:firstRowLastColumn="0" w:lastRowFirstColumn="0" w:lastRowLastColumn="0"/>
            </w:pPr>
            <w:r>
              <w:t>0.0</w:t>
            </w:r>
          </w:p>
        </w:tc>
      </w:tr>
      <w:tr w:rsidR="00D549F0" w:rsidRPr="00887866" w:rsidTr="00C711DC">
        <w:tc>
          <w:tcPr>
            <w:cnfStyle w:val="001000000000" w:firstRow="0" w:lastRow="0" w:firstColumn="1" w:lastColumn="0" w:oddVBand="0" w:evenVBand="0" w:oddHBand="0" w:evenHBand="0" w:firstRowFirstColumn="0" w:firstRowLastColumn="0" w:lastRowFirstColumn="0" w:lastRowLastColumn="0"/>
            <w:tcW w:w="4219" w:type="dxa"/>
          </w:tcPr>
          <w:p w:rsidR="00D549F0" w:rsidRPr="00D549F0" w:rsidRDefault="00D549F0" w:rsidP="00D549F0">
            <w:pPr>
              <w:rPr>
                <w:rStyle w:val="Bold"/>
              </w:rPr>
            </w:pPr>
            <w:r w:rsidRPr="00887866">
              <w:rPr>
                <w:rStyle w:val="Bold"/>
              </w:rPr>
              <w:t>Total</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rPr>
                <w:rStyle w:val="Bold"/>
              </w:rPr>
            </w:pPr>
            <w:r>
              <w:rPr>
                <w:rStyle w:val="Bold"/>
              </w:rPr>
              <w:t>13.5</w:t>
            </w:r>
          </w:p>
        </w:tc>
        <w:tc>
          <w:tcPr>
            <w:tcW w:w="2237" w:type="dxa"/>
          </w:tcPr>
          <w:p w:rsidR="00D549F0" w:rsidRPr="00D549F0" w:rsidRDefault="00D549F0" w:rsidP="00D549F0">
            <w:pPr>
              <w:cnfStyle w:val="000000000000" w:firstRow="0" w:lastRow="0" w:firstColumn="0" w:lastColumn="0" w:oddVBand="0" w:evenVBand="0" w:oddHBand="0" w:evenHBand="0" w:firstRowFirstColumn="0" w:firstRowLastColumn="0" w:lastRowFirstColumn="0" w:lastRowLastColumn="0"/>
              <w:rPr>
                <w:rStyle w:val="Bold"/>
              </w:rPr>
            </w:pPr>
            <w:r>
              <w:rPr>
                <w:rStyle w:val="Bold"/>
              </w:rPr>
              <w:t>0.0</w:t>
            </w:r>
          </w:p>
        </w:tc>
      </w:tr>
    </w:tbl>
    <w:p w:rsidR="00D549F0" w:rsidRDefault="00D549F0" w:rsidP="00D549F0">
      <w:pPr>
        <w:pStyle w:val="Source"/>
      </w:pPr>
      <w:r>
        <w:t xml:space="preserve">Source: </w:t>
      </w:r>
      <w:r>
        <w:tab/>
        <w:t>AusNet Services</w:t>
      </w:r>
      <w:r w:rsidRPr="000C1E7C">
        <w:t xml:space="preserve">, </w:t>
      </w:r>
      <w:r w:rsidRPr="004311F8">
        <w:rPr>
          <w:rStyle w:val="AERtextitalic"/>
        </w:rPr>
        <w:t>Revenue proposal 2017–22</w:t>
      </w:r>
      <w:r w:rsidRPr="000C1E7C">
        <w:t xml:space="preserve">, </w:t>
      </w:r>
      <w:r>
        <w:t>October</w:t>
      </w:r>
      <w:r w:rsidRPr="000C1E7C">
        <w:t xml:space="preserve"> 2015; AER analysis.</w:t>
      </w:r>
    </w:p>
    <w:p w:rsidR="00D549F0" w:rsidRPr="00F62236" w:rsidRDefault="00D549F0" w:rsidP="00F62236">
      <w:pPr>
        <w:pStyle w:val="Heading8"/>
        <w:rPr>
          <w:rStyle w:val="AERbody"/>
          <w:color w:val="70635A" w:themeColor="text2"/>
          <w:sz w:val="32"/>
        </w:rPr>
      </w:pPr>
      <w:bookmarkStart w:id="215" w:name="_Toc456602010"/>
      <w:r w:rsidRPr="00F62236">
        <w:rPr>
          <w:rStyle w:val="AERbody"/>
          <w:color w:val="70635A" w:themeColor="text2"/>
          <w:sz w:val="32"/>
        </w:rPr>
        <w:t>AusNet Services' proposal</w:t>
      </w:r>
      <w:bookmarkEnd w:id="215"/>
    </w:p>
    <w:p w:rsidR="00D549F0" w:rsidRPr="009621EA" w:rsidRDefault="00D549F0" w:rsidP="00D549F0">
      <w:r>
        <w:t>AusNet Services</w:t>
      </w:r>
      <w:r w:rsidRPr="004311F8">
        <w:t xml:space="preserve"> proposed </w:t>
      </w:r>
      <w:r>
        <w:t>six</w:t>
      </w:r>
      <w:r w:rsidRPr="004311F8">
        <w:t xml:space="preserve"> step changes to its base level of opex</w:t>
      </w:r>
      <w:r>
        <w:t>, totalling $13.5 million ($2016–17) or 2.7 per cent of its total opex forecast (excluding easement land tax)</w:t>
      </w:r>
      <w:r w:rsidRPr="004311F8">
        <w:t>.</w:t>
      </w:r>
      <w:r>
        <w:rPr>
          <w:rStyle w:val="FootnoteReference"/>
        </w:rPr>
        <w:footnoteReference w:id="90"/>
      </w:r>
      <w:r w:rsidRPr="004311F8">
        <w:t xml:space="preserve"> </w:t>
      </w:r>
      <w:r>
        <w:t>The</w:t>
      </w:r>
      <w:r w:rsidRPr="009621EA">
        <w:t xml:space="preserve"> </w:t>
      </w:r>
      <w:r>
        <w:t xml:space="preserve">proposed </w:t>
      </w:r>
      <w:r w:rsidRPr="009621EA">
        <w:t>step change</w:t>
      </w:r>
      <w:r>
        <w:t>s are</w:t>
      </w:r>
      <w:r w:rsidRPr="009621EA">
        <w:t xml:space="preserve"> </w:t>
      </w:r>
      <w:r>
        <w:t>to</w:t>
      </w:r>
      <w:r w:rsidRPr="009621EA">
        <w:t>:</w:t>
      </w:r>
    </w:p>
    <w:p w:rsidR="00D549F0" w:rsidRPr="009621EA" w:rsidRDefault="00D549F0" w:rsidP="00D549F0">
      <w:pPr>
        <w:pStyle w:val="AERbulletlistfirststyle"/>
      </w:pPr>
      <w:r>
        <w:t>e</w:t>
      </w:r>
      <w:r w:rsidRPr="009621EA">
        <w:t>stab</w:t>
      </w:r>
      <w:r>
        <w:t>lish an IT security team</w:t>
      </w:r>
    </w:p>
    <w:p w:rsidR="00D549F0" w:rsidRPr="009621EA" w:rsidRDefault="00D549F0" w:rsidP="00D549F0">
      <w:pPr>
        <w:pStyle w:val="AERbulletlistfirststyle"/>
      </w:pPr>
      <w:r>
        <w:lastRenderedPageBreak/>
        <w:t>implement n</w:t>
      </w:r>
      <w:r w:rsidRPr="009621EA">
        <w:t xml:space="preserve">ew </w:t>
      </w:r>
      <w:r>
        <w:t>emergency response arrangements</w:t>
      </w:r>
    </w:p>
    <w:p w:rsidR="00D549F0" w:rsidRPr="009621EA" w:rsidRDefault="00D549F0" w:rsidP="00D549F0">
      <w:pPr>
        <w:pStyle w:val="AERbulletlistfirststyle"/>
      </w:pPr>
      <w:r>
        <w:t xml:space="preserve">roll out </w:t>
      </w:r>
      <w:r w:rsidRPr="009621EA">
        <w:t>Smart Aerial Image</w:t>
      </w:r>
      <w:r>
        <w:t xml:space="preserve"> Processing (SAIP) </w:t>
      </w:r>
    </w:p>
    <w:p w:rsidR="00D549F0" w:rsidRDefault="00D549F0" w:rsidP="00D549F0">
      <w:pPr>
        <w:pStyle w:val="AERbulletlistfirststyle"/>
      </w:pPr>
      <w:r>
        <w:t>commission a West Melbourne Terminal Station (</w:t>
      </w:r>
      <w:r w:rsidRPr="009621EA">
        <w:t>WMTS</w:t>
      </w:r>
      <w:r>
        <w:t>) mobile switchboard</w:t>
      </w:r>
    </w:p>
    <w:p w:rsidR="00D549F0" w:rsidRPr="009621EA" w:rsidRDefault="00D549F0" w:rsidP="00D549F0">
      <w:pPr>
        <w:pStyle w:val="AERbulletlistfirststyle"/>
      </w:pPr>
      <w:r>
        <w:t>decommission synchronous condensers</w:t>
      </w:r>
      <w:r w:rsidRPr="009621EA">
        <w:t xml:space="preserve"> at </w:t>
      </w:r>
      <w:r>
        <w:t xml:space="preserve">the </w:t>
      </w:r>
      <w:proofErr w:type="spellStart"/>
      <w:r w:rsidRPr="009621EA">
        <w:t>Fishermans</w:t>
      </w:r>
      <w:proofErr w:type="spellEnd"/>
      <w:r w:rsidRPr="009621EA">
        <w:t xml:space="preserve"> Bend</w:t>
      </w:r>
      <w:r>
        <w:t xml:space="preserve">, Brooklyn </w:t>
      </w:r>
      <w:r w:rsidRPr="009621EA">
        <w:t xml:space="preserve"> and Temples</w:t>
      </w:r>
      <w:r>
        <w:t xml:space="preserve">towe Terminal Stations </w:t>
      </w:r>
    </w:p>
    <w:p w:rsidR="00D549F0" w:rsidRDefault="00D549F0" w:rsidP="00D549F0">
      <w:pPr>
        <w:pStyle w:val="AERbulletlistfirststyle"/>
      </w:pPr>
      <w:proofErr w:type="gramStart"/>
      <w:r>
        <w:t>decommission</w:t>
      </w:r>
      <w:proofErr w:type="gramEnd"/>
      <w:r>
        <w:t xml:space="preserve"> t</w:t>
      </w:r>
      <w:r w:rsidRPr="009621EA">
        <w:t>ransmission assets at Morwell Power Station (MPS).</w:t>
      </w:r>
    </w:p>
    <w:p w:rsidR="00D549F0" w:rsidRDefault="00D549F0" w:rsidP="00D549F0">
      <w:pPr>
        <w:pStyle w:val="Heading8"/>
      </w:pPr>
      <w:bookmarkStart w:id="216" w:name="_Toc456602011"/>
      <w:r w:rsidRPr="004311F8">
        <w:t>Assessment approach</w:t>
      </w:r>
      <w:bookmarkEnd w:id="216"/>
    </w:p>
    <w:p w:rsidR="00D549F0" w:rsidRPr="004311F8" w:rsidRDefault="00D549F0" w:rsidP="00D549F0">
      <w:r w:rsidRPr="004311F8">
        <w:t>Our assessment of proposed step changes must be understood in the context of our overall method of assessing tota</w:t>
      </w:r>
      <w:r>
        <w:t xml:space="preserve">l required opex using the </w:t>
      </w:r>
      <w:r w:rsidR="00923C65">
        <w:t>'</w:t>
      </w:r>
      <w:r>
        <w:t>base-step-</w:t>
      </w:r>
      <w:r w:rsidRPr="004311F8">
        <w:t>trend</w:t>
      </w:r>
      <w:r w:rsidR="00923C65">
        <w:t>'</w:t>
      </w:r>
      <w:r w:rsidRPr="004311F8">
        <w:t xml:space="preserve"> approach. When assessing a service provider's proposed step changes, we consider whether they are needed for the total opex forecast to reasonably reflect the opex criteria. </w:t>
      </w:r>
      <w:r w:rsidR="001C2206">
        <w:t>We specified o</w:t>
      </w:r>
      <w:r w:rsidRPr="004311F8">
        <w:t xml:space="preserve">ur assessment approach in the </w:t>
      </w:r>
      <w:r w:rsidR="00812F95">
        <w:t>Guideline</w:t>
      </w:r>
      <w:r>
        <w:t xml:space="preserve"> </w:t>
      </w:r>
      <w:r w:rsidRPr="004311F8">
        <w:t>and more fully describe</w:t>
      </w:r>
      <w:r w:rsidR="001C2206">
        <w:t xml:space="preserve"> it</w:t>
      </w:r>
      <w:r w:rsidRPr="004311F8">
        <w:t xml:space="preserve"> </w:t>
      </w:r>
      <w:r w:rsidR="004A18C0">
        <w:t>in section 7.3</w:t>
      </w:r>
      <w:r w:rsidRPr="004311F8">
        <w:t xml:space="preserve"> of this attachment.</w:t>
      </w:r>
    </w:p>
    <w:p w:rsidR="00D549F0" w:rsidRPr="004311F8" w:rsidRDefault="00D549F0" w:rsidP="00D549F0">
      <w:r w:rsidRPr="004311F8">
        <w:t xml:space="preserve">As a starting point, we consider whether the proposed step changes in opex are already compensated through other elements of our opex forecast, such as base opex or the 'rate of change' component. Step changes should not double count costs included in other elements of the opex forecast. </w:t>
      </w:r>
    </w:p>
    <w:p w:rsidR="00D549F0" w:rsidRPr="004311F8" w:rsidRDefault="00D549F0" w:rsidP="00D549F0">
      <w:r w:rsidRPr="004311F8">
        <w:t>We generally consider an efficient base level of opex (rolled forward each year with an appropriate rate of change) 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D549F0" w:rsidRPr="004311F8" w:rsidRDefault="00D549F0" w:rsidP="00D549F0">
      <w:r w:rsidRPr="004311F8">
        <w:t>We forecast opex by applying an annual 'rate of change' to the base year for each year of the forecast regulatory control period. The annual rate of change accounts for efficient changes in opex over time. 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D549F0" w:rsidRPr="004311F8" w:rsidRDefault="00D549F0" w:rsidP="00D549F0">
      <w:r w:rsidRPr="004311F8">
        <w:t xml:space="preserve">For example, a step change should not double count the costs of increased volume or scale compensated through the forecast </w:t>
      </w:r>
      <w:r w:rsidR="001C2206">
        <w:t>growth</w:t>
      </w:r>
      <w:r w:rsidRPr="004311F8">
        <w:t xml:space="preserve"> in output. We account for output growth by applying a forecast output growth factor to the opex base year. If the output growth measure used captures all changes in output then step changes that relate to forecast changes in output will not be required. To give another example, a step change is not required for the maintenance costs of new office space required due to the service provider's expanding network. The opex forecast has already been increased (from the base year which includes office maintenance) to account for forecast </w:t>
      </w:r>
      <w:r w:rsidR="001C2206">
        <w:t>output</w:t>
      </w:r>
      <w:r w:rsidRPr="004311F8">
        <w:t xml:space="preserve"> growth.  </w:t>
      </w:r>
    </w:p>
    <w:p w:rsidR="00D549F0" w:rsidRPr="004311F8" w:rsidRDefault="00D549F0" w:rsidP="00D549F0">
      <w:r w:rsidRPr="004311F8">
        <w:lastRenderedPageBreak/>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A good example is insurance premiums. A step change is not required if insurance premiums are forecast to increase faster than CPI because within total opex there will be other </w:t>
      </w:r>
      <w:r w:rsidR="002F7491">
        <w:t xml:space="preserve">opex </w:t>
      </w:r>
      <w:r w:rsidRPr="004311F8">
        <w:t xml:space="preserve">items </w:t>
      </w:r>
      <w:r w:rsidR="000A2678">
        <w:t>for which</w:t>
      </w:r>
      <w:r w:rsidR="000A2678" w:rsidRPr="004311F8">
        <w:t xml:space="preserve"> </w:t>
      </w:r>
      <w:r w:rsidRPr="004311F8">
        <w:t xml:space="preserve">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D549F0" w:rsidRPr="004311F8" w:rsidRDefault="00D549F0" w:rsidP="00D549F0">
      <w:r w:rsidRPr="004311F8">
        <w:t xml:space="preserve">Further, to assess whether step changes are captured in other elements of our opex forecast, we will assess the reasons for, and the efficient level of, the incremental costs (relative to that funded by base opex and the rate of change) that the service provider has proposed. In particular, we have </w:t>
      </w:r>
      <w:proofErr w:type="gramStart"/>
      <w:r w:rsidRPr="004311F8">
        <w:t>regard</w:t>
      </w:r>
      <w:proofErr w:type="gramEnd"/>
      <w:r w:rsidRPr="004311F8">
        <w:t xml:space="preserve"> to: </w:t>
      </w:r>
    </w:p>
    <w:p w:rsidR="00D549F0" w:rsidRPr="004311F8" w:rsidRDefault="00D549F0" w:rsidP="00A364FB">
      <w:pPr>
        <w:pStyle w:val="AERbulletlistfirststyle"/>
      </w:pPr>
      <w:r w:rsidRPr="004311F8">
        <w:t>whether there is a change in circumstances that affects the level of expenditure a prudent service provider requires to meet the opex objectives efficiently</w:t>
      </w:r>
    </w:p>
    <w:p w:rsidR="00D549F0" w:rsidRPr="004311F8" w:rsidRDefault="00D549F0" w:rsidP="00A364FB">
      <w:pPr>
        <w:pStyle w:val="AERbulletlistfirststyle"/>
      </w:pPr>
      <w:r w:rsidRPr="004311F8">
        <w:t xml:space="preserve">what options were considered to respond to the change in circumstances </w:t>
      </w:r>
    </w:p>
    <w:p w:rsidR="00D549F0" w:rsidRPr="004311F8" w:rsidRDefault="00D549F0" w:rsidP="00A364FB">
      <w:pPr>
        <w:pStyle w:val="AERbulletlistfirststyle"/>
      </w:pPr>
      <w:r w:rsidRPr="004311F8">
        <w:t xml:space="preserve">whether the option selected was the most efficient option––that is, whether the service provider took appropriate steps to minimise its expected cost of compliance </w:t>
      </w:r>
    </w:p>
    <w:p w:rsidR="00D549F0" w:rsidRPr="004311F8" w:rsidRDefault="00D549F0" w:rsidP="00A364FB">
      <w:pPr>
        <w:pStyle w:val="AERbulletlistfirststyle"/>
      </w:pPr>
      <w:r w:rsidRPr="004311F8">
        <w:t>the efficient costs associated with the step change and whether the proposal appropriately quantified all costs savings and benefits</w:t>
      </w:r>
    </w:p>
    <w:p w:rsidR="00D549F0" w:rsidRPr="004311F8" w:rsidRDefault="00D549F0" w:rsidP="00A364FB">
      <w:pPr>
        <w:pStyle w:val="AERbulletlistfirststyle"/>
      </w:pPr>
      <w:r w:rsidRPr="004311F8">
        <w:t xml:space="preserve">when this change event occurs and when it is efficient to incur expenditure, including whether it can be completed over the regulatory control period </w:t>
      </w:r>
    </w:p>
    <w:p w:rsidR="00D549F0" w:rsidRPr="004311F8" w:rsidRDefault="00D549F0" w:rsidP="00A364FB">
      <w:pPr>
        <w:pStyle w:val="AERbulletlistfirststyle"/>
      </w:pPr>
      <w:proofErr w:type="gramStart"/>
      <w:r w:rsidRPr="004311F8">
        <w:t>whether</w:t>
      </w:r>
      <w:proofErr w:type="gramEnd"/>
      <w:r w:rsidRPr="004311F8">
        <w:t xml:space="preserve"> the costs can be met from existing regulatory allowances or from other elements of the expenditure forecasts.</w:t>
      </w:r>
    </w:p>
    <w:p w:rsidR="00D549F0" w:rsidRPr="004311F8" w:rsidRDefault="00D549F0" w:rsidP="00D549F0">
      <w:r w:rsidRPr="004311F8">
        <w:t>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D549F0" w:rsidRPr="004311F8" w:rsidRDefault="00D549F0" w:rsidP="00D549F0">
      <w:r w:rsidRPr="004311F8">
        <w:t xml:space="preserve">Usually increases in costs are not required for discretionary changes in inputs.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 since the outlay should be at least offset by a reduction in other costs if it is efficient. This means we will not allow step changes for any short-term cost to a service provider of implementing efficiency improvements. We expect the service provider to bear such </w:t>
      </w:r>
      <w:r w:rsidRPr="004311F8">
        <w:lastRenderedPageBreak/>
        <w:t xml:space="preserve">costs and thereby make efficient trade-offs between bearing these costs and achieving future efficiencies. </w:t>
      </w:r>
    </w:p>
    <w:p w:rsidR="00D549F0" w:rsidRPr="004311F8" w:rsidRDefault="00D549F0" w:rsidP="00D549F0">
      <w:r w:rsidRPr="004311F8">
        <w:t>One situation where a step change to total opex may be required is when a service provider chooses an operating solution to replace a capital one.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p>
    <w:p w:rsidR="00D549F0" w:rsidRDefault="00D549F0" w:rsidP="00D549F0">
      <w:pPr>
        <w:pStyle w:val="Heading8"/>
      </w:pPr>
      <w:bookmarkStart w:id="217" w:name="_Toc456602012"/>
      <w:r w:rsidRPr="004311F8">
        <w:t>Reasons for preliminary decision</w:t>
      </w:r>
      <w:bookmarkEnd w:id="217"/>
    </w:p>
    <w:p w:rsidR="00D549F0" w:rsidRPr="00F62236" w:rsidRDefault="00D549F0" w:rsidP="00F62236">
      <w:pPr>
        <w:pStyle w:val="Heading9"/>
        <w:rPr>
          <w:rStyle w:val="Bold"/>
          <w:b/>
          <w:bCs/>
        </w:rPr>
      </w:pPr>
      <w:bookmarkStart w:id="218" w:name="_Toc453061044"/>
      <w:bookmarkStart w:id="219" w:name="_Toc453172540"/>
      <w:bookmarkStart w:id="220" w:name="_Toc456602013"/>
      <w:r w:rsidRPr="00F62236">
        <w:rPr>
          <w:rStyle w:val="Bold"/>
          <w:b/>
          <w:bCs/>
        </w:rPr>
        <w:t>Establishment of IT security team</w:t>
      </w:r>
      <w:bookmarkEnd w:id="218"/>
      <w:bookmarkEnd w:id="219"/>
      <w:bookmarkEnd w:id="220"/>
    </w:p>
    <w:p w:rsidR="00D549F0" w:rsidRPr="00EC5313" w:rsidRDefault="00D549F0" w:rsidP="00D549F0">
      <w:r w:rsidRPr="00EC5313">
        <w:t xml:space="preserve">We have not included an increase in opex </w:t>
      </w:r>
      <w:r>
        <w:t>to establish an IT security team</w:t>
      </w:r>
      <w:r w:rsidRPr="00EC5313">
        <w:t xml:space="preserve"> in our alternative opex forecast.</w:t>
      </w:r>
      <w:r>
        <w:t xml:space="preserve"> </w:t>
      </w:r>
    </w:p>
    <w:p w:rsidR="00D549F0" w:rsidRDefault="00D549F0" w:rsidP="00D549F0">
      <w:r>
        <w:t>AusNet Services forecast an increase in opex of $3.3 million ($2016–17) to establish an IT security team against cyber-attack.</w:t>
      </w:r>
      <w:r>
        <w:rPr>
          <w:rStyle w:val="FootnoteReference"/>
        </w:rPr>
        <w:footnoteReference w:id="91"/>
      </w:r>
      <w:r>
        <w:t xml:space="preserve"> It stated the step change was to comply with a new or changed regulatory obligation. The step change is </w:t>
      </w:r>
      <w:r w:rsidRPr="007F587D">
        <w:t xml:space="preserve">to align its IT security program with </w:t>
      </w:r>
      <w:r>
        <w:t>the Australian Securities and Investments Commission's (ASIC's)</w:t>
      </w:r>
      <w:r w:rsidRPr="007F587D">
        <w:t xml:space="preserve"> view o</w:t>
      </w:r>
      <w:r>
        <w:t xml:space="preserve">f global industry best practice. </w:t>
      </w:r>
    </w:p>
    <w:p w:rsidR="00D549F0" w:rsidRDefault="00D549F0" w:rsidP="00D549F0">
      <w:r>
        <w:t xml:space="preserve">We do not consider this step change is driven by a new or changed regulatory obligation. </w:t>
      </w:r>
    </w:p>
    <w:p w:rsidR="00D549F0" w:rsidRDefault="00D549F0" w:rsidP="00D549F0">
      <w:r w:rsidRPr="007F587D">
        <w:t xml:space="preserve">In March 2015, </w:t>
      </w:r>
      <w:r>
        <w:t>ASIC</w:t>
      </w:r>
      <w:r w:rsidRPr="007F587D">
        <w:t xml:space="preserve"> published its Cyber resilience: Health Check report, recommending a cyber-security framework for ASX-listed organisations.</w:t>
      </w:r>
      <w:r>
        <w:rPr>
          <w:rStyle w:val="FootnoteReference"/>
        </w:rPr>
        <w:footnoteReference w:id="92"/>
      </w:r>
      <w:r w:rsidRPr="007F587D">
        <w:t xml:space="preserve"> This framework is the U.S. National Institute of Standards and Technology Cyber Security Framework for Critical Infrastructure (NIST-CSFCI). AusNet Services </w:t>
      </w:r>
      <w:r>
        <w:t>proposed</w:t>
      </w:r>
      <w:r w:rsidRPr="007F587D">
        <w:t xml:space="preserve"> expenditure to establish a dedicated security monitoring and response team to align its IT security program with NIST-CSFCI.</w:t>
      </w:r>
      <w:r>
        <w:t xml:space="preserve"> AusNet Services stated:</w:t>
      </w:r>
    </w:p>
    <w:p w:rsidR="00D549F0" w:rsidRDefault="00D549F0" w:rsidP="00D549F0">
      <w:pPr>
        <w:pStyle w:val="AERquote"/>
      </w:pPr>
      <w:r>
        <w:t>W</w:t>
      </w:r>
      <w:r w:rsidRPr="00091FAB">
        <w:t>hile not a regulatory obligation per se, adopting NIST would align AusNet Services’ IT security program with global industry best practice.</w:t>
      </w:r>
      <w:r>
        <w:rPr>
          <w:rStyle w:val="FootnoteReference"/>
        </w:rPr>
        <w:footnoteReference w:id="93"/>
      </w:r>
    </w:p>
    <w:p w:rsidR="00D549F0" w:rsidRDefault="00D549F0" w:rsidP="00D549F0">
      <w:r w:rsidRPr="007F587D">
        <w:t xml:space="preserve">AusNet Services </w:t>
      </w:r>
      <w:r>
        <w:t xml:space="preserve">also </w:t>
      </w:r>
      <w:r w:rsidRPr="007F587D">
        <w:t xml:space="preserve">considers the forecast expenditure </w:t>
      </w:r>
      <w:r>
        <w:t>complies with</w:t>
      </w:r>
      <w:r w:rsidRPr="007F587D">
        <w:t xml:space="preserve"> </w:t>
      </w:r>
      <w:r>
        <w:t xml:space="preserve">the </w:t>
      </w:r>
      <w:r w:rsidRPr="007F587D">
        <w:t>NER</w:t>
      </w:r>
      <w:r>
        <w:t>,</w:t>
      </w:r>
      <w:r w:rsidRPr="00091FAB">
        <w:t xml:space="preserve"> </w:t>
      </w:r>
      <w:r>
        <w:t>g</w:t>
      </w:r>
      <w:r w:rsidRPr="007F587D">
        <w:t>iven the potenti</w:t>
      </w:r>
      <w:r>
        <w:t>al impact of a successful cyber</w:t>
      </w:r>
      <w:r w:rsidRPr="007F587D">
        <w:t>-attack on the reliability and security of the</w:t>
      </w:r>
      <w:r>
        <w:t xml:space="preserve"> Victorian transmission network.</w:t>
      </w:r>
      <w:r>
        <w:rPr>
          <w:rStyle w:val="FootnoteReference"/>
        </w:rPr>
        <w:footnoteReference w:id="94"/>
      </w:r>
    </w:p>
    <w:p w:rsidR="00D549F0" w:rsidRDefault="00D549F0" w:rsidP="00D549F0">
      <w:r>
        <w:lastRenderedPageBreak/>
        <w:t>Absent any explicit regulatory obligation, we consider any increase in</w:t>
      </w:r>
      <w:r w:rsidRPr="00D36E08">
        <w:t xml:space="preserve"> IT security </w:t>
      </w:r>
      <w:r>
        <w:t>AusNet Services</w:t>
      </w:r>
      <w:r w:rsidRPr="00D36E08">
        <w:t xml:space="preserve"> undertakes is a discretionary business decision</w:t>
      </w:r>
      <w:r>
        <w:t xml:space="preserve"> that can be funded through its base level of opex</w:t>
      </w:r>
      <w:r w:rsidRPr="00D36E08">
        <w:t>. We consider a service provider should be able to fund relatively small increases in discretionary opex without forecasting an increase in total opex.</w:t>
      </w:r>
      <w:r>
        <w:t xml:space="preserve"> </w:t>
      </w:r>
    </w:p>
    <w:p w:rsidR="00D549F0" w:rsidRDefault="00D549F0" w:rsidP="00D549F0">
      <w:r w:rsidRPr="00D36E08">
        <w:t xml:space="preserve">As with many types of expenditure, </w:t>
      </w:r>
      <w:r>
        <w:t>AusNet Services</w:t>
      </w:r>
      <w:r w:rsidRPr="00D36E08">
        <w:t xml:space="preserve"> has flexibility as to what</w:t>
      </w:r>
      <w:r>
        <w:t xml:space="preserve"> form and scope of</w:t>
      </w:r>
      <w:r w:rsidRPr="00D36E08">
        <w:t xml:space="preserve"> </w:t>
      </w:r>
      <w:r>
        <w:t>IT security</w:t>
      </w:r>
      <w:r w:rsidRPr="00D36E08">
        <w:t xml:space="preserve"> </w:t>
      </w:r>
      <w:r>
        <w:t>it</w:t>
      </w:r>
      <w:r w:rsidRPr="00D36E08">
        <w:t xml:space="preserve"> undertakes and how much it spends on this area of opex.</w:t>
      </w:r>
      <w:r>
        <w:t xml:space="preserve"> While total opex is broadly recurrent over time, some categories of opex will increase, while others will decrease. We would expect an efficient and prudent provider to respond and reallocate its opex in priority areas as its business circumstances change. </w:t>
      </w:r>
      <w:r w:rsidR="001C2206">
        <w:t>IT </w:t>
      </w:r>
      <w:r w:rsidRPr="00D36E08">
        <w:t>security may be one such area where a service provider wants to devote incr</w:t>
      </w:r>
      <w:r>
        <w:t>eased resources. However, at 0.6</w:t>
      </w:r>
      <w:r w:rsidRPr="00D36E08">
        <w:t xml:space="preserve"> per cent of its </w:t>
      </w:r>
      <w:r>
        <w:t>proposed</w:t>
      </w:r>
      <w:r w:rsidRPr="00D36E08">
        <w:t xml:space="preserve"> opex</w:t>
      </w:r>
      <w:r>
        <w:rPr>
          <w:rStyle w:val="FootnoteReference"/>
        </w:rPr>
        <w:footnoteReference w:id="95"/>
      </w:r>
      <w:r w:rsidRPr="00D36E08">
        <w:t xml:space="preserve">, this is a relatively small increase in the cost of one component of </w:t>
      </w:r>
      <w:r>
        <w:t>AusNet Services'</w:t>
      </w:r>
      <w:r w:rsidRPr="00D36E08">
        <w:t xml:space="preserve"> expenditure. </w:t>
      </w:r>
      <w:r>
        <w:t>AusNet Services</w:t>
      </w:r>
      <w:r w:rsidRPr="00D36E08">
        <w:t xml:space="preserve"> has not demonstrated to us why this program could not be funded through other reductions in discretionary expenditure.  </w:t>
      </w:r>
    </w:p>
    <w:p w:rsidR="00A839A3" w:rsidRDefault="00A839A3" w:rsidP="00D549F0">
      <w:r>
        <w:t xml:space="preserve">The CCP submitted that </w:t>
      </w:r>
      <w:r w:rsidRPr="00A839A3">
        <w:t>t</w:t>
      </w:r>
      <w:r>
        <w:t>he</w:t>
      </w:r>
      <w:r w:rsidRPr="00A839A3">
        <w:t xml:space="preserve"> establishment of an IT security team </w:t>
      </w:r>
      <w:r>
        <w:t>is</w:t>
      </w:r>
      <w:r w:rsidRPr="00A839A3">
        <w:t xml:space="preserve"> an ongoing operating expenditure of any business and </w:t>
      </w:r>
      <w:r>
        <w:t>did not consider it should be included</w:t>
      </w:r>
      <w:r w:rsidRPr="00A839A3">
        <w:t xml:space="preserve"> as </w:t>
      </w:r>
      <w:r>
        <w:t xml:space="preserve">a </w:t>
      </w:r>
      <w:r w:rsidRPr="00A839A3">
        <w:t>step ch</w:t>
      </w:r>
      <w:r>
        <w:t>ange</w:t>
      </w:r>
      <w:r w:rsidRPr="00A839A3">
        <w:t>.</w:t>
      </w:r>
      <w:r>
        <w:rPr>
          <w:rStyle w:val="FootnoteReference"/>
        </w:rPr>
        <w:footnoteReference w:id="96"/>
      </w:r>
    </w:p>
    <w:p w:rsidR="00D549F0" w:rsidRPr="00F62236" w:rsidRDefault="00D549F0" w:rsidP="00F62236">
      <w:pPr>
        <w:pStyle w:val="Heading9"/>
        <w:rPr>
          <w:rStyle w:val="Bold"/>
          <w:b/>
          <w:bCs/>
        </w:rPr>
      </w:pPr>
      <w:bookmarkStart w:id="221" w:name="_Toc453061045"/>
      <w:bookmarkStart w:id="222" w:name="_Toc456602014"/>
      <w:r w:rsidRPr="00F62236">
        <w:rPr>
          <w:rStyle w:val="Bold"/>
          <w:b/>
          <w:bCs/>
        </w:rPr>
        <w:t>New emergency response arrangements</w:t>
      </w:r>
      <w:bookmarkEnd w:id="221"/>
      <w:bookmarkEnd w:id="222"/>
    </w:p>
    <w:p w:rsidR="00D549F0" w:rsidRDefault="00D549F0" w:rsidP="00D549F0">
      <w:r w:rsidRPr="00EC5313">
        <w:t xml:space="preserve">We have </w:t>
      </w:r>
      <w:r>
        <w:t xml:space="preserve">not </w:t>
      </w:r>
      <w:r w:rsidRPr="00EC5313">
        <w:t xml:space="preserve">included an increase in opex for </w:t>
      </w:r>
      <w:r>
        <w:t>new emergency response arrangements</w:t>
      </w:r>
      <w:r w:rsidRPr="00EC5313">
        <w:t xml:space="preserve"> in our alternative opex forecast.</w:t>
      </w:r>
      <w:r>
        <w:t xml:space="preserve"> </w:t>
      </w:r>
    </w:p>
    <w:p w:rsidR="00D549F0" w:rsidRDefault="00D549F0" w:rsidP="00D549F0">
      <w:r>
        <w:t>AusNet Services forecast an increase in opex of $1.0 million ($2016–17) for new emergency response arrangements.</w:t>
      </w:r>
      <w:r>
        <w:rPr>
          <w:rStyle w:val="FootnoteReference"/>
        </w:rPr>
        <w:footnoteReference w:id="97"/>
      </w:r>
      <w:r>
        <w:t xml:space="preserve"> It stated the step change is to comply with the greater emergency management and response capacity required of it as a result of the recently established Emergency Management Victoria (EMV) and the Office of the Inspector General of Emergency Management.</w:t>
      </w:r>
      <w:r>
        <w:rPr>
          <w:rStyle w:val="FootnoteReference"/>
        </w:rPr>
        <w:footnoteReference w:id="98"/>
      </w:r>
    </w:p>
    <w:p w:rsidR="00D549F0" w:rsidRPr="006C488E" w:rsidRDefault="00D549F0" w:rsidP="00D549F0">
      <w:pPr>
        <w:rPr>
          <w:rStyle w:val="AERbody"/>
        </w:rPr>
      </w:pPr>
      <w:r w:rsidRPr="006C488E">
        <w:rPr>
          <w:rStyle w:val="AERbody"/>
        </w:rPr>
        <w:t>To assess this step change we assessed the new legislative requirements placed on AusNet Services.</w:t>
      </w:r>
    </w:p>
    <w:p w:rsidR="00D549F0" w:rsidRPr="006C488E" w:rsidRDefault="00D549F0" w:rsidP="00D549F0">
      <w:pPr>
        <w:rPr>
          <w:rStyle w:val="Strong"/>
        </w:rPr>
      </w:pPr>
      <w:r w:rsidRPr="006C488E">
        <w:rPr>
          <w:rStyle w:val="Strong"/>
        </w:rPr>
        <w:t xml:space="preserve">Deployment of staff to the State Control Centre </w:t>
      </w:r>
    </w:p>
    <w:p w:rsidR="00D549F0" w:rsidRDefault="00D549F0" w:rsidP="00D549F0">
      <w:r w:rsidRPr="00150934">
        <w:t xml:space="preserve">AusNet Services </w:t>
      </w:r>
      <w:r>
        <w:t>stated it will be</w:t>
      </w:r>
      <w:r w:rsidRPr="00150934">
        <w:t xml:space="preserve"> required to deploy Emergency Management Liaison Officers (EMLOs) to the </w:t>
      </w:r>
      <w:r>
        <w:t>State Control Centre (SCC)</w:t>
      </w:r>
      <w:r w:rsidRPr="00150934">
        <w:t xml:space="preserve"> </w:t>
      </w:r>
      <w:r>
        <w:t>on</w:t>
      </w:r>
      <w:r w:rsidRPr="00150934">
        <w:t xml:space="preserve"> a 24/7 year round </w:t>
      </w:r>
      <w:proofErr w:type="gramStart"/>
      <w:r w:rsidRPr="00150934">
        <w:t>roster</w:t>
      </w:r>
      <w:proofErr w:type="gramEnd"/>
      <w:r w:rsidRPr="00150934">
        <w:t xml:space="preserve"> to </w:t>
      </w:r>
      <w:r w:rsidRPr="00150934">
        <w:lastRenderedPageBreak/>
        <w:t>respond to emergencies.</w:t>
      </w:r>
      <w:r>
        <w:rPr>
          <w:rStyle w:val="FootnoteReference"/>
        </w:rPr>
        <w:footnoteReference w:id="99"/>
      </w:r>
      <w:r>
        <w:t xml:space="preserve"> The SCC is Victoria's primary control centre for the management of emergencies. AusNet Services </w:t>
      </w:r>
      <w:r w:rsidRPr="00150934">
        <w:t xml:space="preserve">forecast that to </w:t>
      </w:r>
      <w:r>
        <w:t>deploy staff to the SCC will cost $730</w:t>
      </w:r>
      <w:r w:rsidR="001C2206">
        <w:t> </w:t>
      </w:r>
      <w:r>
        <w:t>000.</w:t>
      </w:r>
      <w:r w:rsidRPr="00150934">
        <w:t xml:space="preserve"> </w:t>
      </w:r>
    </w:p>
    <w:p w:rsidR="00D549F0" w:rsidRPr="003D7FA1" w:rsidRDefault="00D549F0" w:rsidP="00D549F0">
      <w:r>
        <w:t>We consider AusNet Services' proposal</w:t>
      </w:r>
      <w:r w:rsidRPr="003D7FA1">
        <w:t xml:space="preserve"> did not:</w:t>
      </w:r>
    </w:p>
    <w:p w:rsidR="00D549F0" w:rsidRPr="003D7FA1" w:rsidRDefault="00D549F0" w:rsidP="00D549F0">
      <w:pPr>
        <w:pStyle w:val="AERbulletlistfirststyle"/>
      </w:pPr>
      <w:r w:rsidRPr="003D7FA1">
        <w:t xml:space="preserve">provide specific references </w:t>
      </w:r>
      <w:r>
        <w:t>to</w:t>
      </w:r>
      <w:r w:rsidRPr="003D7FA1">
        <w:t xml:space="preserve"> </w:t>
      </w:r>
      <w:r>
        <w:t>the deployment requirements</w:t>
      </w:r>
    </w:p>
    <w:p w:rsidR="00D549F0" w:rsidRDefault="00D549F0" w:rsidP="00D549F0">
      <w:pPr>
        <w:pStyle w:val="AERbulletlistfirststyle"/>
      </w:pPr>
      <w:proofErr w:type="gramStart"/>
      <w:r w:rsidRPr="003D7FA1">
        <w:t>explain</w:t>
      </w:r>
      <w:proofErr w:type="gramEnd"/>
      <w:r w:rsidRPr="003D7FA1">
        <w:t xml:space="preserve"> why changes in these requirements were expected to represent a greater burden to </w:t>
      </w:r>
      <w:r>
        <w:t>AusNet Services</w:t>
      </w:r>
      <w:r w:rsidRPr="003D7FA1">
        <w:t>.</w:t>
      </w:r>
    </w:p>
    <w:p w:rsidR="00D549F0" w:rsidRDefault="00D549F0" w:rsidP="00D549F0">
      <w:r>
        <w:t>AusNet Services' proposal</w:t>
      </w:r>
      <w:r w:rsidRPr="003D7FA1">
        <w:t xml:space="preserve"> referred to compliance requirements that were not clearly identified</w:t>
      </w:r>
      <w:r>
        <w:t>. For example, while AusNet Services referred to the Emergency Management Act 2013, the requirement to deploy staff to the SCC is not a legislated requirement under the Emergency Management Act 2013</w:t>
      </w:r>
      <w:r w:rsidR="000A2678">
        <w:t xml:space="preserve"> n</w:t>
      </w:r>
      <w:r>
        <w:t xml:space="preserve">or is it legislated in the associated regulations or Ministerial Guidelines. </w:t>
      </w:r>
    </w:p>
    <w:p w:rsidR="00D549F0" w:rsidRPr="00150934" w:rsidRDefault="00D549F0" w:rsidP="00D549F0">
      <w:r>
        <w:t>Moreover, we consider an efficient and prudent service provider would already incur costs to undertake the activities identified by AusNet Services. This includes:</w:t>
      </w:r>
    </w:p>
    <w:p w:rsidR="00D549F0" w:rsidRPr="00150934" w:rsidRDefault="00D549F0" w:rsidP="00D549F0">
      <w:pPr>
        <w:pStyle w:val="AERbulletlistfirststyle"/>
      </w:pPr>
      <w:r>
        <w:t>train</w:t>
      </w:r>
      <w:r w:rsidRPr="00150934">
        <w:t xml:space="preserve"> </w:t>
      </w:r>
      <w:r>
        <w:t>staff to respond to emergencies</w:t>
      </w:r>
    </w:p>
    <w:p w:rsidR="00D549F0" w:rsidRDefault="00D549F0" w:rsidP="00D549F0">
      <w:pPr>
        <w:pStyle w:val="AERbulletlistfirststyle"/>
      </w:pPr>
      <w:r>
        <w:t xml:space="preserve">pay </w:t>
      </w:r>
      <w:r w:rsidRPr="00150934">
        <w:t xml:space="preserve">on-call allowances and overtime to </w:t>
      </w:r>
      <w:r>
        <w:t>staff rostered to respond to emergencies</w:t>
      </w:r>
    </w:p>
    <w:p w:rsidR="00D549F0" w:rsidRDefault="00D549F0" w:rsidP="00D549F0">
      <w:pPr>
        <w:pStyle w:val="AERbulletlistfirststyle"/>
      </w:pPr>
      <w:proofErr w:type="gramStart"/>
      <w:r>
        <w:t>provide</w:t>
      </w:r>
      <w:proofErr w:type="gramEnd"/>
      <w:r>
        <w:t xml:space="preserve"> staff to cooperate with the relevant state emergency management authority in an emergency.</w:t>
      </w:r>
    </w:p>
    <w:p w:rsidR="00D549F0" w:rsidRPr="00E00F5C" w:rsidRDefault="00D549F0" w:rsidP="00D549F0">
      <w:pPr>
        <w:rPr>
          <w:rStyle w:val="AERbody"/>
        </w:rPr>
      </w:pPr>
      <w:r>
        <w:rPr>
          <w:rStyle w:val="AERbody"/>
        </w:rPr>
        <w:t>Therefore, we do not consider AusNet Services has demonstrated that being required to undertake these activities would represent a greater burden than business as usual.</w:t>
      </w:r>
    </w:p>
    <w:p w:rsidR="00D549F0" w:rsidRDefault="00D549F0" w:rsidP="00D549F0">
      <w:pPr>
        <w:rPr>
          <w:rStyle w:val="AERbody"/>
        </w:rPr>
      </w:pPr>
      <w:r>
        <w:rPr>
          <w:rStyle w:val="AERbody"/>
        </w:rPr>
        <w:t>For these reasons, we have not included an increase in opex for this component of the proposed step change in our total opex forecast.</w:t>
      </w:r>
    </w:p>
    <w:p w:rsidR="00D549F0" w:rsidRDefault="00D549F0" w:rsidP="00D549F0">
      <w:pPr>
        <w:rPr>
          <w:rStyle w:val="Strong"/>
        </w:rPr>
      </w:pPr>
      <w:r w:rsidRPr="00E058FE">
        <w:rPr>
          <w:rStyle w:val="Strong"/>
        </w:rPr>
        <w:t>Emergency exercise and audit</w:t>
      </w:r>
    </w:p>
    <w:p w:rsidR="00D549F0" w:rsidRDefault="00D549F0" w:rsidP="00D549F0">
      <w:pPr>
        <w:rPr>
          <w:rStyle w:val="AERbody"/>
        </w:rPr>
      </w:pPr>
      <w:r>
        <w:rPr>
          <w:rStyle w:val="AERbody"/>
        </w:rPr>
        <w:t xml:space="preserve">We </w:t>
      </w:r>
      <w:r w:rsidR="000A2678">
        <w:rPr>
          <w:rStyle w:val="AERbody"/>
        </w:rPr>
        <w:t xml:space="preserve">accept </w:t>
      </w:r>
      <w:r>
        <w:rPr>
          <w:rStyle w:val="AERbody"/>
        </w:rPr>
        <w:t xml:space="preserve">that AusNet Services is required to </w:t>
      </w:r>
      <w:r w:rsidRPr="00495070">
        <w:rPr>
          <w:rStyle w:val="AERbody"/>
        </w:rPr>
        <w:t>conduct</w:t>
      </w:r>
      <w:r>
        <w:rPr>
          <w:rStyle w:val="AERbody"/>
        </w:rPr>
        <w:t xml:space="preserve"> </w:t>
      </w:r>
      <w:r w:rsidRPr="00495070">
        <w:rPr>
          <w:rStyle w:val="AERbody"/>
        </w:rPr>
        <w:t>and ev</w:t>
      </w:r>
      <w:r>
        <w:rPr>
          <w:rStyle w:val="AERbody"/>
        </w:rPr>
        <w:t>aluate an annual exercise to test its preparedness</w:t>
      </w:r>
      <w:r w:rsidRPr="00495070">
        <w:rPr>
          <w:rStyle w:val="AERbody"/>
        </w:rPr>
        <w:t xml:space="preserve"> in respect of an</w:t>
      </w:r>
      <w:r>
        <w:rPr>
          <w:rStyle w:val="AERbody"/>
        </w:rPr>
        <w:t xml:space="preserve"> </w:t>
      </w:r>
      <w:r w:rsidRPr="00495070">
        <w:rPr>
          <w:rStyle w:val="AERbody"/>
        </w:rPr>
        <w:t>emergency.</w:t>
      </w:r>
      <w:r>
        <w:rPr>
          <w:rStyle w:val="FootnoteReference"/>
        </w:rPr>
        <w:footnoteReference w:id="100"/>
      </w:r>
      <w:r>
        <w:rPr>
          <w:rStyle w:val="AERbody"/>
        </w:rPr>
        <w:t xml:space="preserve"> However, we are not satisfied the changed legislation imposes a more onerous requirement on AusNet Services than existed previously. </w:t>
      </w:r>
    </w:p>
    <w:p w:rsidR="00D549F0" w:rsidRDefault="00D549F0" w:rsidP="00D549F0">
      <w:pPr>
        <w:rPr>
          <w:rStyle w:val="AERbody"/>
        </w:rPr>
      </w:pPr>
      <w:r>
        <w:rPr>
          <w:rStyle w:val="AERbody"/>
        </w:rPr>
        <w:t>Effective 1 July 2015, the Emergency Management Act 2013 was amended to include Critical Infrastructure Resilience.</w:t>
      </w:r>
      <w:r>
        <w:rPr>
          <w:rStyle w:val="FootnoteReference"/>
        </w:rPr>
        <w:footnoteReference w:id="101"/>
      </w:r>
      <w:r w:rsidRPr="005839AF">
        <w:rPr>
          <w:rStyle w:val="AERbody"/>
        </w:rPr>
        <w:t xml:space="preserve"> </w:t>
      </w:r>
      <w:r w:rsidRPr="003E0902">
        <w:rPr>
          <w:rStyle w:val="AERbody"/>
        </w:rPr>
        <w:t>Owners and operators of critica</w:t>
      </w:r>
      <w:r>
        <w:rPr>
          <w:rStyle w:val="AERbody"/>
        </w:rPr>
        <w:t xml:space="preserve">l infrastructure, such as transmission networks, </w:t>
      </w:r>
      <w:r w:rsidRPr="003E0902">
        <w:rPr>
          <w:rStyle w:val="AERbody"/>
        </w:rPr>
        <w:t>are required to co</w:t>
      </w:r>
      <w:r>
        <w:rPr>
          <w:rStyle w:val="AERbody"/>
        </w:rPr>
        <w:t>mply with the r</w:t>
      </w:r>
      <w:r w:rsidRPr="003E0902">
        <w:rPr>
          <w:rStyle w:val="AERbody"/>
        </w:rPr>
        <w:t xml:space="preserve">egulations </w:t>
      </w:r>
      <w:r>
        <w:rPr>
          <w:rStyle w:val="AERbody"/>
        </w:rPr>
        <w:t xml:space="preserve">which </w:t>
      </w:r>
      <w:r w:rsidRPr="003E0902">
        <w:rPr>
          <w:rStyle w:val="AERbody"/>
        </w:rPr>
        <w:t>prescribe a minimum set of standards for</w:t>
      </w:r>
      <w:r>
        <w:rPr>
          <w:rStyle w:val="AERbody"/>
        </w:rPr>
        <w:t>:</w:t>
      </w:r>
    </w:p>
    <w:p w:rsidR="00D549F0" w:rsidRDefault="00D549F0" w:rsidP="00D549F0">
      <w:pPr>
        <w:pStyle w:val="AERbulletlistfirststyle"/>
        <w:rPr>
          <w:rStyle w:val="AERbody"/>
        </w:rPr>
      </w:pPr>
      <w:r w:rsidRPr="003E0902">
        <w:rPr>
          <w:rStyle w:val="AERbody"/>
        </w:rPr>
        <w:lastRenderedPageBreak/>
        <w:t>emer</w:t>
      </w:r>
      <w:r>
        <w:rPr>
          <w:rStyle w:val="AERbody"/>
        </w:rPr>
        <w:t>gency risk management planning</w:t>
      </w:r>
    </w:p>
    <w:p w:rsidR="00D549F0" w:rsidRDefault="004A18C0" w:rsidP="00D549F0">
      <w:pPr>
        <w:pStyle w:val="AERbulletlistfirststyle"/>
        <w:rPr>
          <w:rStyle w:val="AERbody"/>
        </w:rPr>
      </w:pPr>
      <w:r>
        <w:rPr>
          <w:rStyle w:val="AERbody"/>
        </w:rPr>
        <w:t xml:space="preserve">the emergency </w:t>
      </w:r>
      <w:r w:rsidR="00D549F0" w:rsidRPr="003E0902">
        <w:rPr>
          <w:rStyle w:val="AERbody"/>
        </w:rPr>
        <w:t xml:space="preserve">exercise </w:t>
      </w:r>
    </w:p>
    <w:p w:rsidR="00D549F0" w:rsidRDefault="00D549F0" w:rsidP="00D549F0">
      <w:pPr>
        <w:pStyle w:val="AERbulletlistfirststyle"/>
        <w:rPr>
          <w:rStyle w:val="AERbody"/>
        </w:rPr>
      </w:pPr>
      <w:proofErr w:type="gramStart"/>
      <w:r w:rsidRPr="003E0902">
        <w:rPr>
          <w:rStyle w:val="AERbody"/>
        </w:rPr>
        <w:t>audit</w:t>
      </w:r>
      <w:proofErr w:type="gramEnd"/>
      <w:r w:rsidRPr="003E0902">
        <w:rPr>
          <w:rStyle w:val="AERbody"/>
        </w:rPr>
        <w:t xml:space="preserve"> processes.</w:t>
      </w:r>
      <w:r>
        <w:rPr>
          <w:rStyle w:val="AERbody"/>
        </w:rPr>
        <w:t xml:space="preserve"> </w:t>
      </w:r>
    </w:p>
    <w:p w:rsidR="00D549F0" w:rsidRDefault="00D549F0" w:rsidP="00D549F0">
      <w:pPr>
        <w:rPr>
          <w:rStyle w:val="AERbody"/>
        </w:rPr>
      </w:pPr>
      <w:r>
        <w:rPr>
          <w:rStyle w:val="AERbody"/>
        </w:rPr>
        <w:t xml:space="preserve">AusNet Services has forecast an increase in costs to undertake the annual emergency exercise </w:t>
      </w:r>
      <w:r w:rsidRPr="001315F4">
        <w:rPr>
          <w:rStyle w:val="AERbody"/>
        </w:rPr>
        <w:t>that has been uplifted from a terrorism event to a</w:t>
      </w:r>
      <w:r>
        <w:rPr>
          <w:rStyle w:val="AERbody"/>
        </w:rPr>
        <w:t>n</w:t>
      </w:r>
      <w:r w:rsidRPr="001315F4">
        <w:rPr>
          <w:rStyle w:val="AERbody"/>
        </w:rPr>
        <w:t xml:space="preserve"> </w:t>
      </w:r>
      <w:r w:rsidR="001342BA">
        <w:rPr>
          <w:rStyle w:val="AERbody"/>
        </w:rPr>
        <w:t>'</w:t>
      </w:r>
      <w:r>
        <w:rPr>
          <w:rStyle w:val="AERbody"/>
        </w:rPr>
        <w:t>all hazards</w:t>
      </w:r>
      <w:r w:rsidR="001342BA">
        <w:rPr>
          <w:rStyle w:val="AERbody"/>
        </w:rPr>
        <w:t>'</w:t>
      </w:r>
      <w:r>
        <w:rPr>
          <w:rStyle w:val="AERbody"/>
        </w:rPr>
        <w:t xml:space="preserve"> type event ($220</w:t>
      </w:r>
      <w:r w:rsidR="001342BA">
        <w:rPr>
          <w:rStyle w:val="AERbody"/>
        </w:rPr>
        <w:t> </w:t>
      </w:r>
      <w:r>
        <w:rPr>
          <w:rStyle w:val="AERbody"/>
        </w:rPr>
        <w:t>000) and to audit its risk management plan ($60</w:t>
      </w:r>
      <w:r w:rsidR="001342BA">
        <w:rPr>
          <w:rStyle w:val="AERbody"/>
        </w:rPr>
        <w:t> </w:t>
      </w:r>
      <w:r>
        <w:rPr>
          <w:rStyle w:val="AERbody"/>
        </w:rPr>
        <w:t>000).</w:t>
      </w:r>
      <w:r>
        <w:rPr>
          <w:rStyle w:val="FootnoteReference"/>
        </w:rPr>
        <w:footnoteReference w:id="102"/>
      </w:r>
    </w:p>
    <w:p w:rsidR="00D549F0" w:rsidRDefault="00D549F0" w:rsidP="00D549F0">
      <w:pPr>
        <w:rPr>
          <w:rStyle w:val="AERbody"/>
        </w:rPr>
      </w:pPr>
      <w:r>
        <w:rPr>
          <w:rStyle w:val="AERbody"/>
        </w:rPr>
        <w:t>AusNet Services has been required to prepare and test a risk management plan to</w:t>
      </w:r>
      <w:r w:rsidRPr="00A02C10">
        <w:rPr>
          <w:rStyle w:val="AERbody"/>
        </w:rPr>
        <w:t xml:space="preserve"> address the risk of a terrorist incident</w:t>
      </w:r>
      <w:r>
        <w:rPr>
          <w:rStyle w:val="AERbody"/>
        </w:rPr>
        <w:t xml:space="preserve"> since 2003. </w:t>
      </w:r>
      <w:r>
        <w:t>T</w:t>
      </w:r>
      <w:r w:rsidRPr="0040141B">
        <w:t>he Terrorism (Community Protection) Act 2003</w:t>
      </w:r>
      <w:r>
        <w:t xml:space="preserve"> </w:t>
      </w:r>
      <w:r w:rsidRPr="0040141B">
        <w:t>requires the operator of a declared e</w:t>
      </w:r>
      <w:r>
        <w:t xml:space="preserve">ssential service to prepare and </w:t>
      </w:r>
      <w:r w:rsidRPr="0040141B">
        <w:t xml:space="preserve">participate in a training exercise at least once each year to test the operation of </w:t>
      </w:r>
      <w:r>
        <w:t>its</w:t>
      </w:r>
      <w:r w:rsidRPr="0040141B">
        <w:t xml:space="preserve"> risk</w:t>
      </w:r>
      <w:r>
        <w:t xml:space="preserve"> </w:t>
      </w:r>
      <w:r w:rsidRPr="0040141B">
        <w:t>management plan.</w:t>
      </w:r>
      <w:r>
        <w:rPr>
          <w:rStyle w:val="FootnoteReference"/>
        </w:rPr>
        <w:footnoteReference w:id="103"/>
      </w:r>
      <w:r>
        <w:t xml:space="preserve"> </w:t>
      </w:r>
    </w:p>
    <w:p w:rsidR="00D549F0" w:rsidRDefault="00D549F0" w:rsidP="00D549F0">
      <w:pPr>
        <w:rPr>
          <w:rStyle w:val="AERbody"/>
        </w:rPr>
      </w:pPr>
      <w:r>
        <w:rPr>
          <w:rStyle w:val="AERbody"/>
        </w:rPr>
        <w:t xml:space="preserve">We acknowledge the amendment to the Emergency Management Act 2013 has broadened the nature of the emergency exercise to include all hazards rather than just terrorism. However, we are not satisfied AusNet Services has demonstrated </w:t>
      </w:r>
      <w:r w:rsidR="005D0F7D">
        <w:rPr>
          <w:rStyle w:val="AERbody"/>
        </w:rPr>
        <w:t xml:space="preserve">undertaking an all hazards exercise </w:t>
      </w:r>
      <w:r>
        <w:rPr>
          <w:rStyle w:val="AERbody"/>
        </w:rPr>
        <w:t xml:space="preserve">will place a materially heavier burden on it than </w:t>
      </w:r>
      <w:r w:rsidR="005D0F7D">
        <w:rPr>
          <w:rStyle w:val="AERbody"/>
        </w:rPr>
        <w:t>undertaking a terrorism exercise</w:t>
      </w:r>
      <w:r>
        <w:rPr>
          <w:rStyle w:val="AERbody"/>
        </w:rPr>
        <w:t>. We expect that generally the same agencies</w:t>
      </w:r>
      <w:r w:rsidR="002B3126">
        <w:rPr>
          <w:rStyle w:val="FootnoteReference"/>
        </w:rPr>
        <w:footnoteReference w:id="104"/>
      </w:r>
      <w:r>
        <w:rPr>
          <w:rStyle w:val="AERbody"/>
        </w:rPr>
        <w:t xml:space="preserve"> and </w:t>
      </w:r>
      <w:r w:rsidRPr="00C62E83">
        <w:rPr>
          <w:rStyle w:val="AERbody"/>
        </w:rPr>
        <w:t>arrangements used to respond to terrorism incidents</w:t>
      </w:r>
      <w:r>
        <w:rPr>
          <w:rStyle w:val="AERbody"/>
        </w:rPr>
        <w:t xml:space="preserve"> </w:t>
      </w:r>
      <w:r w:rsidRPr="00C62E83">
        <w:rPr>
          <w:rStyle w:val="AERbody"/>
        </w:rPr>
        <w:t>are also used to</w:t>
      </w:r>
      <w:r>
        <w:rPr>
          <w:rStyle w:val="AERbody"/>
        </w:rPr>
        <w:t xml:space="preserve"> </w:t>
      </w:r>
      <w:r w:rsidRPr="00C62E83">
        <w:rPr>
          <w:rStyle w:val="AERbody"/>
        </w:rPr>
        <w:t xml:space="preserve">respond </w:t>
      </w:r>
      <w:r>
        <w:rPr>
          <w:rStyle w:val="AERbody"/>
        </w:rPr>
        <w:t xml:space="preserve">to all hazard </w:t>
      </w:r>
      <w:r w:rsidRPr="00C62E83">
        <w:rPr>
          <w:rStyle w:val="AERbody"/>
        </w:rPr>
        <w:t>emergencies.</w:t>
      </w:r>
      <w:r>
        <w:rPr>
          <w:rStyle w:val="FootnoteReference"/>
        </w:rPr>
        <w:footnoteReference w:id="105"/>
      </w:r>
    </w:p>
    <w:p w:rsidR="00A25639" w:rsidRDefault="00A25639" w:rsidP="00D549F0">
      <w:pPr>
        <w:rPr>
          <w:rStyle w:val="AERbody"/>
        </w:rPr>
      </w:pPr>
      <w:r>
        <w:rPr>
          <w:rStyle w:val="AERbody"/>
        </w:rPr>
        <w:t>The CCP submitted that</w:t>
      </w:r>
      <w:r w:rsidR="006914F6">
        <w:rPr>
          <w:rStyle w:val="AERbody"/>
        </w:rPr>
        <w:t>, like IT security,</w:t>
      </w:r>
      <w:r w:rsidRPr="00A25639">
        <w:rPr>
          <w:rStyle w:val="AERbody"/>
        </w:rPr>
        <w:t xml:space="preserve"> emergency response arrangements are an ongoing operating expenditure </w:t>
      </w:r>
      <w:r w:rsidR="006914F6">
        <w:rPr>
          <w:rStyle w:val="AERbody"/>
        </w:rPr>
        <w:t>that</w:t>
      </w:r>
      <w:r w:rsidRPr="00A25639">
        <w:rPr>
          <w:rStyle w:val="AERbody"/>
        </w:rPr>
        <w:t xml:space="preserve"> </w:t>
      </w:r>
      <w:r>
        <w:rPr>
          <w:rStyle w:val="AERbody"/>
        </w:rPr>
        <w:t>should not be included</w:t>
      </w:r>
      <w:r w:rsidRPr="00A25639">
        <w:rPr>
          <w:rStyle w:val="AERbody"/>
        </w:rPr>
        <w:t xml:space="preserve"> as </w:t>
      </w:r>
      <w:r>
        <w:rPr>
          <w:rStyle w:val="AERbody"/>
        </w:rPr>
        <w:t>a step change</w:t>
      </w:r>
      <w:r w:rsidRPr="00A25639">
        <w:rPr>
          <w:rStyle w:val="AERbody"/>
        </w:rPr>
        <w:t>.</w:t>
      </w:r>
      <w:r>
        <w:rPr>
          <w:rStyle w:val="FootnoteReference"/>
        </w:rPr>
        <w:footnoteReference w:id="106"/>
      </w:r>
    </w:p>
    <w:p w:rsidR="00D549F0" w:rsidRPr="00F62236" w:rsidRDefault="00D549F0" w:rsidP="00F62236">
      <w:pPr>
        <w:pStyle w:val="Heading9"/>
        <w:rPr>
          <w:rStyle w:val="Bold"/>
          <w:b/>
          <w:bCs/>
        </w:rPr>
      </w:pPr>
      <w:bookmarkStart w:id="223" w:name="_Toc453061046"/>
      <w:bookmarkStart w:id="224" w:name="_Toc456602015"/>
      <w:r w:rsidRPr="00F62236">
        <w:rPr>
          <w:rStyle w:val="Bold"/>
          <w:b/>
          <w:bCs/>
        </w:rPr>
        <w:t>Smart Aerial Image Processing (SAIP) roll out</w:t>
      </w:r>
      <w:bookmarkEnd w:id="223"/>
      <w:bookmarkEnd w:id="224"/>
    </w:p>
    <w:p w:rsidR="00D549F0" w:rsidRPr="00EC5313" w:rsidRDefault="00D549F0" w:rsidP="00D549F0">
      <w:r w:rsidRPr="00EC5313">
        <w:t xml:space="preserve">We have not included an increase in opex </w:t>
      </w:r>
      <w:r>
        <w:t>to implement</w:t>
      </w:r>
      <w:r w:rsidRPr="00EC5313">
        <w:t xml:space="preserve"> </w:t>
      </w:r>
      <w:r>
        <w:t xml:space="preserve">new condition monitoring techniques for conductors using smart aerial image processing (SAIP) </w:t>
      </w:r>
      <w:r w:rsidRPr="00EC5313">
        <w:t>in our alternative opex forecast.</w:t>
      </w:r>
      <w:r>
        <w:t xml:space="preserve"> </w:t>
      </w:r>
    </w:p>
    <w:p w:rsidR="00D549F0" w:rsidRDefault="00D549F0" w:rsidP="00D549F0">
      <w:r>
        <w:t xml:space="preserve">AusNet Services forecast an increase in opex of $0.9 million ($2016–17) </w:t>
      </w:r>
      <w:r w:rsidR="00C37AFB">
        <w:t xml:space="preserve">above the costs already in the base year </w:t>
      </w:r>
      <w:r>
        <w:t>to implement SAIP.</w:t>
      </w:r>
      <w:r>
        <w:rPr>
          <w:rStyle w:val="FootnoteReference"/>
        </w:rPr>
        <w:footnoteReference w:id="107"/>
      </w:r>
      <w:r w:rsidRPr="004239FD">
        <w:t xml:space="preserve"> </w:t>
      </w:r>
      <w:r w:rsidRPr="005265EA">
        <w:t>SAIP is an enhanced condition assessment technique that uses helicopter-mounted high resolution video cameras to capture a continuous stream of digital images of overhead conductors</w:t>
      </w:r>
      <w:r>
        <w:t>. This technique is used</w:t>
      </w:r>
      <w:r w:rsidRPr="005265EA">
        <w:t xml:space="preserve"> to detect defects.</w:t>
      </w:r>
      <w:r>
        <w:t xml:space="preserve"> </w:t>
      </w:r>
    </w:p>
    <w:p w:rsidR="00D549F0" w:rsidRDefault="00D549F0" w:rsidP="00D549F0">
      <w:r>
        <w:lastRenderedPageBreak/>
        <w:t>AusNet Services stated</w:t>
      </w:r>
      <w:r w:rsidRPr="005265EA">
        <w:t xml:space="preserve"> </w:t>
      </w:r>
      <w:r>
        <w:t>due to its</w:t>
      </w:r>
      <w:r w:rsidRPr="005265EA">
        <w:t xml:space="preserve"> ageing transmission network, its older assets </w:t>
      </w:r>
      <w:r>
        <w:t>are more likely to fail</w:t>
      </w:r>
      <w:r w:rsidRPr="005265EA">
        <w:t xml:space="preserve"> due to </w:t>
      </w:r>
      <w:r>
        <w:t xml:space="preserve">their </w:t>
      </w:r>
      <w:r w:rsidRPr="005265EA">
        <w:t>deteriorating condition.</w:t>
      </w:r>
      <w:r>
        <w:rPr>
          <w:rStyle w:val="FootnoteReference"/>
        </w:rPr>
        <w:footnoteReference w:id="108"/>
      </w:r>
      <w:r>
        <w:t xml:space="preserve"> It stated that the d</w:t>
      </w:r>
      <w:r w:rsidRPr="005265EA">
        <w:t xml:space="preserve">eployment of SAIP would allow </w:t>
      </w:r>
      <w:r>
        <w:t>it</w:t>
      </w:r>
      <w:r w:rsidRPr="005265EA">
        <w:t xml:space="preserve"> to better predict the optimal timing of conductor replacements, and avoid </w:t>
      </w:r>
      <w:r>
        <w:t>undertaking</w:t>
      </w:r>
      <w:r w:rsidRPr="005265EA">
        <w:t xml:space="preserve"> replacement works before they are necessary. </w:t>
      </w:r>
      <w:r>
        <w:t>It also stated</w:t>
      </w:r>
      <w:r w:rsidRPr="005265EA">
        <w:t xml:space="preserve"> delaying replacement too long </w:t>
      </w:r>
      <w:r>
        <w:t>poses a potential safety and liability risk. Consequently, AusNet Services proposed the SAIP roll out step change as a capex/opex trade-off.</w:t>
      </w:r>
      <w:r>
        <w:rPr>
          <w:rStyle w:val="FootnoteReference"/>
        </w:rPr>
        <w:footnoteReference w:id="109"/>
      </w:r>
    </w:p>
    <w:p w:rsidR="006914F6" w:rsidRDefault="006914F6" w:rsidP="002363CB">
      <w:r>
        <w:t>The CCP submitted that t</w:t>
      </w:r>
      <w:r w:rsidRPr="006914F6">
        <w:t xml:space="preserve">he </w:t>
      </w:r>
      <w:r>
        <w:t>SAIP rollout</w:t>
      </w:r>
      <w:r w:rsidRPr="006914F6">
        <w:t xml:space="preserve"> </w:t>
      </w:r>
      <w:r>
        <w:t>should be included as a step change because it is</w:t>
      </w:r>
      <w:r w:rsidRPr="006914F6">
        <w:t xml:space="preserve"> a new expenditure </w:t>
      </w:r>
      <w:r>
        <w:t>that will reduce</w:t>
      </w:r>
      <w:r w:rsidRPr="006914F6">
        <w:t xml:space="preserve"> capital costs through more efficiently applying asset replacement capex dollars.</w:t>
      </w:r>
      <w:r>
        <w:rPr>
          <w:rStyle w:val="FootnoteReference"/>
        </w:rPr>
        <w:footnoteReference w:id="110"/>
      </w:r>
      <w:r>
        <w:t xml:space="preserve"> </w:t>
      </w:r>
    </w:p>
    <w:p w:rsidR="00F6589E" w:rsidRPr="0030327E" w:rsidRDefault="00F6589E" w:rsidP="00F6589E">
      <w:r>
        <w:t xml:space="preserve">The </w:t>
      </w:r>
      <w:r w:rsidR="001F001C">
        <w:t>EUCV</w:t>
      </w:r>
      <w:r>
        <w:t xml:space="preserve"> also submitted that at a high level, the SAIP project might be beneficial to consumers. However, it stated, </w:t>
      </w:r>
      <w:r w:rsidRPr="0061613A">
        <w:t>there is no evidence there is a return for undertaking this activity.</w:t>
      </w:r>
      <w:r>
        <w:rPr>
          <w:rStyle w:val="FootnoteReference"/>
        </w:rPr>
        <w:footnoteReference w:id="111"/>
      </w:r>
      <w:r w:rsidRPr="0061613A">
        <w:t xml:space="preserve"> </w:t>
      </w:r>
    </w:p>
    <w:p w:rsidR="00F3302D" w:rsidRDefault="00081DB8" w:rsidP="002363CB">
      <w:r>
        <w:t>Having</w:t>
      </w:r>
      <w:r w:rsidR="009F0E7A">
        <w:t xml:space="preserve"> </w:t>
      </w:r>
      <w:r w:rsidR="005D0F7D">
        <w:t xml:space="preserve">assessed AusNet Services' proposed </w:t>
      </w:r>
      <w:r w:rsidR="005D0F7D" w:rsidRPr="0030327E">
        <w:t xml:space="preserve">SAIP </w:t>
      </w:r>
      <w:r w:rsidR="005D0F7D">
        <w:t>roll out, we do not consider it has sufficiently identified or quantified the capex savings that will accrue as a result of the increase in opex it has proposed.</w:t>
      </w:r>
    </w:p>
    <w:p w:rsidR="00423298" w:rsidRDefault="00F3302D" w:rsidP="00F3302D">
      <w:r>
        <w:t xml:space="preserve">AusNet Services </w:t>
      </w:r>
      <w:r w:rsidR="006F72BA">
        <w:t xml:space="preserve">submitted </w:t>
      </w:r>
      <w:r>
        <w:t>that s</w:t>
      </w:r>
      <w:r w:rsidRPr="005265EA">
        <w:t xml:space="preserve">ince 2009, </w:t>
      </w:r>
      <w:r>
        <w:t xml:space="preserve">it has </w:t>
      </w:r>
      <w:r w:rsidRPr="005265EA">
        <w:t xml:space="preserve">completed a number of SAIP trials on different parts of its transmission network. </w:t>
      </w:r>
      <w:r>
        <w:t>It</w:t>
      </w:r>
      <w:r w:rsidRPr="0030327E">
        <w:t xml:space="preserve"> </w:t>
      </w:r>
      <w:r>
        <w:t>has</w:t>
      </w:r>
      <w:r w:rsidRPr="0030327E">
        <w:t xml:space="preserve"> applied SAIP to approximately 1500km of </w:t>
      </w:r>
      <w:r>
        <w:t>its</w:t>
      </w:r>
      <w:r w:rsidRPr="0030327E">
        <w:t xml:space="preserve"> overhead transmission network (out of a total of about </w:t>
      </w:r>
      <w:r w:rsidR="00C37AFB">
        <w:t>6000km or 25</w:t>
      </w:r>
      <w:r w:rsidR="00A672FB">
        <w:t> per cent</w:t>
      </w:r>
      <w:r w:rsidR="00C37AFB">
        <w:t xml:space="preserve"> of their network)</w:t>
      </w:r>
      <w:r w:rsidR="00C37AFB" w:rsidRPr="00C37AFB" w:rsidDel="009F0E7A">
        <w:t>.</w:t>
      </w:r>
      <w:r w:rsidR="006B27D8">
        <w:rPr>
          <w:rStyle w:val="FootnoteReference"/>
        </w:rPr>
        <w:footnoteReference w:id="112"/>
      </w:r>
    </w:p>
    <w:p w:rsidR="00423298" w:rsidRDefault="00423298" w:rsidP="00F3302D">
      <w:r w:rsidRPr="00423298">
        <w:t xml:space="preserve">AusNet Services stated that the new condition monitoring techniques for conductors using SAIP has not impacted capex over the 2017–22 regulatory </w:t>
      </w:r>
      <w:proofErr w:type="gramStart"/>
      <w:r w:rsidRPr="00423298">
        <w:t>period</w:t>
      </w:r>
      <w:proofErr w:type="gramEnd"/>
      <w:r w:rsidRPr="00423298">
        <w:t>, but is expected to affect capex requirements in future periods. AusNet Services determined that deferring the replacement of 30km of 500kV conductor (with an estimated project cost of $30m) by two years in five years’ time would economically justify the proposed opex. We do not consider this estimate represents a sufficiently rigorous cost benefit analysis of the project.</w:t>
      </w:r>
    </w:p>
    <w:p w:rsidR="00F3302D" w:rsidRDefault="00081DB8" w:rsidP="00F3302D">
      <w:r w:rsidRPr="00081DB8">
        <w:t>We accept that SAIP generally is an effective technique for monitoring the condition of a network but note that AusNet Services has not provided any evidence from the assessments conducted to date that there is a particular need to focus on the replacement (or deferral) of conductors that would warrant this step change</w:t>
      </w:r>
      <w:r>
        <w:t>.</w:t>
      </w:r>
      <w:r w:rsidR="00F3302D" w:rsidRPr="0030327E">
        <w:t xml:space="preserve"> </w:t>
      </w:r>
    </w:p>
    <w:p w:rsidR="000E339B" w:rsidRPr="0030327E" w:rsidRDefault="000E339B" w:rsidP="000C135E">
      <w:r>
        <w:lastRenderedPageBreak/>
        <w:t>Given the lack of robust evidence to support the benefits of any capex savings</w:t>
      </w:r>
      <w:r w:rsidR="00DD1F3B">
        <w:t xml:space="preserve">, we consider a step change </w:t>
      </w:r>
      <w:r w:rsidR="006F72BA">
        <w:t xml:space="preserve">in </w:t>
      </w:r>
      <w:r w:rsidR="00DD1F3B">
        <w:t xml:space="preserve">opex is not required in order for our forecast of total opex to meet the opex criteria. </w:t>
      </w:r>
      <w:r>
        <w:t xml:space="preserve"> </w:t>
      </w:r>
    </w:p>
    <w:p w:rsidR="00D549F0" w:rsidRPr="00F62236" w:rsidRDefault="00D549F0" w:rsidP="00F62236">
      <w:pPr>
        <w:pStyle w:val="Heading9"/>
        <w:rPr>
          <w:rStyle w:val="Bold"/>
          <w:b/>
          <w:bCs/>
        </w:rPr>
      </w:pPr>
      <w:bookmarkStart w:id="225" w:name="_Toc453061047"/>
      <w:bookmarkStart w:id="226" w:name="_Toc456602016"/>
      <w:r w:rsidRPr="00F62236">
        <w:rPr>
          <w:rStyle w:val="Bold"/>
          <w:b/>
          <w:bCs/>
        </w:rPr>
        <w:t>Step changes for non-recurrent expenditure</w:t>
      </w:r>
      <w:bookmarkEnd w:id="225"/>
      <w:bookmarkEnd w:id="226"/>
    </w:p>
    <w:p w:rsidR="00D549F0" w:rsidRDefault="00D549F0" w:rsidP="00D549F0">
      <w:r>
        <w:t>In addition to the step changes</w:t>
      </w:r>
      <w:r w:rsidRPr="009439DD">
        <w:t xml:space="preserve"> </w:t>
      </w:r>
      <w:r>
        <w:t>above, AusNet Services proposed three additional step changes for non-recurrent expenditure to:</w:t>
      </w:r>
    </w:p>
    <w:p w:rsidR="00D549F0" w:rsidRDefault="00D549F0" w:rsidP="00D549F0">
      <w:pPr>
        <w:pStyle w:val="AERbulletlistfirststyle"/>
      </w:pPr>
      <w:r>
        <w:t xml:space="preserve">lease a mobile switchboard at </w:t>
      </w:r>
      <w:r w:rsidRPr="009439DD">
        <w:t xml:space="preserve">WMTS </w:t>
      </w:r>
    </w:p>
    <w:p w:rsidR="00D549F0" w:rsidRDefault="00D549F0" w:rsidP="00D549F0">
      <w:pPr>
        <w:pStyle w:val="AERbulletlistfirststyle"/>
      </w:pPr>
      <w:r>
        <w:t xml:space="preserve">decommission three </w:t>
      </w:r>
      <w:r w:rsidRPr="009439DD">
        <w:t>Synchro</w:t>
      </w:r>
      <w:r>
        <w:t xml:space="preserve">nous condensers </w:t>
      </w:r>
    </w:p>
    <w:p w:rsidR="00D549F0" w:rsidRPr="009439DD" w:rsidRDefault="00D549F0" w:rsidP="00D549F0">
      <w:pPr>
        <w:pStyle w:val="AERbulletlistfirststyle"/>
      </w:pPr>
      <w:proofErr w:type="gramStart"/>
      <w:r>
        <w:t>decommission</w:t>
      </w:r>
      <w:proofErr w:type="gramEnd"/>
      <w:r>
        <w:t xml:space="preserve"> assets at </w:t>
      </w:r>
      <w:r w:rsidRPr="009439DD">
        <w:t>Morwell Power Station</w:t>
      </w:r>
      <w:r>
        <w:t>.</w:t>
      </w:r>
      <w:r w:rsidRPr="009439DD">
        <w:t xml:space="preserve"> </w:t>
      </w:r>
    </w:p>
    <w:p w:rsidR="00D549F0" w:rsidRDefault="00D549F0" w:rsidP="00D549F0">
      <w:r w:rsidRPr="00EC5313">
        <w:t xml:space="preserve">We have not included an increase in opex </w:t>
      </w:r>
      <w:r>
        <w:t>for any of these non-recurrent costs in</w:t>
      </w:r>
      <w:r w:rsidRPr="00EC5313">
        <w:t xml:space="preserve"> our alternative opex forecast.</w:t>
      </w:r>
      <w:r>
        <w:t xml:space="preserve"> We consider </w:t>
      </w:r>
      <w:r w:rsidRPr="000234C1">
        <w:t xml:space="preserve">the opex </w:t>
      </w:r>
      <w:r>
        <w:t xml:space="preserve">for these projects </w:t>
      </w:r>
      <w:r w:rsidRPr="000234C1">
        <w:t>is already provided in our base opex forecast.</w:t>
      </w:r>
    </w:p>
    <w:p w:rsidR="00D549F0" w:rsidRDefault="00D549F0" w:rsidP="00D549F0">
      <w:pPr>
        <w:pStyle w:val="HeadingOrange"/>
      </w:pPr>
      <w:bookmarkStart w:id="227" w:name="_Toc453061048"/>
      <w:bookmarkStart w:id="228" w:name="_Toc453172544"/>
      <w:bookmarkStart w:id="229" w:name="_Toc456602017"/>
      <w:r>
        <w:t>WMTS mobile switchboard</w:t>
      </w:r>
      <w:bookmarkEnd w:id="227"/>
      <w:bookmarkEnd w:id="228"/>
      <w:bookmarkEnd w:id="229"/>
    </w:p>
    <w:p w:rsidR="00D549F0" w:rsidRDefault="00D549F0" w:rsidP="00D549F0">
      <w:r>
        <w:t>AusNet Services forecast an increase in opex of $2 million ($2016–17) to lease a WMTS mobile switchboard.</w:t>
      </w:r>
      <w:r>
        <w:rPr>
          <w:rStyle w:val="FootnoteReference"/>
        </w:rPr>
        <w:footnoteReference w:id="113"/>
      </w:r>
      <w:r>
        <w:t xml:space="preserve"> </w:t>
      </w:r>
    </w:p>
    <w:p w:rsidR="00D549F0" w:rsidRDefault="00D549F0" w:rsidP="00D549F0">
      <w:r>
        <w:t xml:space="preserve">This step change is related to AusNet Services' proposal to rebuild the WMTS in the 2017–22 regulatory control </w:t>
      </w:r>
      <w:proofErr w:type="gramStart"/>
      <w:r>
        <w:t>period</w:t>
      </w:r>
      <w:proofErr w:type="gramEnd"/>
      <w:r>
        <w:t>. As part of the rebuild, AusNet Services is planning to retire the 22kv switchroom at the site,</w:t>
      </w:r>
      <w:r w:rsidRPr="0008080D">
        <w:t xml:space="preserve"> </w:t>
      </w:r>
      <w:r>
        <w:t>however, it is concerned the 22kv switchboard may fail before it is taken out of service. To address this risk, it proposed l</w:t>
      </w:r>
      <w:r w:rsidRPr="0008080D">
        <w:t xml:space="preserve">easing a mobile switchboard to </w:t>
      </w:r>
      <w:r>
        <w:t>maintain</w:t>
      </w:r>
      <w:r w:rsidRPr="0008080D">
        <w:t xml:space="preserve"> the switchroom assets until they are taken out of service.</w:t>
      </w:r>
      <w:r>
        <w:rPr>
          <w:rStyle w:val="FootnoteReference"/>
        </w:rPr>
        <w:footnoteReference w:id="114"/>
      </w:r>
      <w:r w:rsidRPr="0008080D">
        <w:t xml:space="preserve"> </w:t>
      </w:r>
    </w:p>
    <w:p w:rsidR="00D549F0" w:rsidRDefault="00D549F0" w:rsidP="00D549F0">
      <w:pPr>
        <w:pStyle w:val="HeadingOrange"/>
      </w:pPr>
      <w:bookmarkStart w:id="230" w:name="_Toc453061049"/>
      <w:bookmarkStart w:id="231" w:name="_Toc453172545"/>
      <w:bookmarkStart w:id="232" w:name="_Toc456602018"/>
      <w:r>
        <w:t>Decommissioning of three synchronous condensers</w:t>
      </w:r>
      <w:bookmarkEnd w:id="230"/>
      <w:bookmarkEnd w:id="231"/>
      <w:bookmarkEnd w:id="232"/>
    </w:p>
    <w:p w:rsidR="00D549F0" w:rsidRDefault="00D549F0" w:rsidP="00D549F0">
      <w:r>
        <w:t>AusNet Services</w:t>
      </w:r>
      <w:r w:rsidRPr="0093119D">
        <w:t xml:space="preserve"> </w:t>
      </w:r>
      <w:r>
        <w:t>proposed</w:t>
      </w:r>
      <w:r w:rsidRPr="0093119D">
        <w:t xml:space="preserve"> </w:t>
      </w:r>
      <w:r>
        <w:t>a step change</w:t>
      </w:r>
      <w:r w:rsidRPr="0093119D">
        <w:t xml:space="preserve"> </w:t>
      </w:r>
      <w:r>
        <w:t>of $4.3 million ($2016–17) to</w:t>
      </w:r>
      <w:r w:rsidRPr="0093119D">
        <w:t xml:space="preserve"> </w:t>
      </w:r>
      <w:r>
        <w:t>decommission three synchronous condensers it is retiring.</w:t>
      </w:r>
      <w:r>
        <w:rPr>
          <w:rStyle w:val="FootnoteReference"/>
        </w:rPr>
        <w:footnoteReference w:id="115"/>
      </w:r>
      <w:r>
        <w:t xml:space="preserve"> </w:t>
      </w:r>
    </w:p>
    <w:p w:rsidR="00D549F0" w:rsidRDefault="00D549F0" w:rsidP="00D549F0">
      <w:r w:rsidRPr="005F331E">
        <w:t xml:space="preserve">Synchronous condensers provide benefits by regulating the voltage of the network. There are three synchronous condensers on AusNet Services’ transmission network. These were installed in the 1960’s and 1970’s and are located at </w:t>
      </w:r>
      <w:proofErr w:type="spellStart"/>
      <w:r w:rsidRPr="005F331E">
        <w:t>Fishermans</w:t>
      </w:r>
      <w:proofErr w:type="spellEnd"/>
      <w:r w:rsidRPr="005F331E">
        <w:t xml:space="preserve"> Bend, Templestowe and Brooklyn Terminal Stations. These assets have reached the end of their economic lives and </w:t>
      </w:r>
      <w:r>
        <w:t xml:space="preserve">AusNet Services </w:t>
      </w:r>
      <w:r w:rsidRPr="005F331E">
        <w:t xml:space="preserve">proposed to decommission these </w:t>
      </w:r>
      <w:r w:rsidRPr="005F331E">
        <w:lastRenderedPageBreak/>
        <w:t>synchronous condenser</w:t>
      </w:r>
      <w:r>
        <w:t>s in 2017–</w:t>
      </w:r>
      <w:r w:rsidRPr="005F331E">
        <w:t>18.</w:t>
      </w:r>
      <w:r>
        <w:rPr>
          <w:rStyle w:val="FootnoteReference"/>
        </w:rPr>
        <w:footnoteReference w:id="116"/>
      </w:r>
      <w:r>
        <w:t xml:space="preserve"> It stated as it does not routinely decommission assets, these costs are not represented in the base year.</w:t>
      </w:r>
      <w:r>
        <w:rPr>
          <w:rStyle w:val="FootnoteReference"/>
        </w:rPr>
        <w:footnoteReference w:id="117"/>
      </w:r>
    </w:p>
    <w:p w:rsidR="00D549F0" w:rsidRDefault="00D549F0" w:rsidP="00D549F0">
      <w:r>
        <w:t xml:space="preserve">AEMO confirmed </w:t>
      </w:r>
      <w:r w:rsidRPr="001402E1">
        <w:t xml:space="preserve">the </w:t>
      </w:r>
      <w:r>
        <w:t>synchronous condensers</w:t>
      </w:r>
      <w:r w:rsidRPr="001402E1">
        <w:t xml:space="preserve"> are no longer justified by market benefits and will not need to be replaced</w:t>
      </w:r>
      <w:r>
        <w:t>.</w:t>
      </w:r>
      <w:r>
        <w:rPr>
          <w:rStyle w:val="FootnoteReference"/>
        </w:rPr>
        <w:footnoteReference w:id="118"/>
      </w:r>
    </w:p>
    <w:p w:rsidR="00D549F0" w:rsidRDefault="00D549F0" w:rsidP="00D549F0">
      <w:pPr>
        <w:pStyle w:val="HeadingOrange"/>
      </w:pPr>
      <w:bookmarkStart w:id="233" w:name="_Toc453061050"/>
      <w:bookmarkStart w:id="234" w:name="_Toc453172546"/>
      <w:bookmarkStart w:id="235" w:name="_Toc456602019"/>
      <w:r>
        <w:t>Decommissioning of assets at Morwell Power Station</w:t>
      </w:r>
      <w:bookmarkEnd w:id="233"/>
      <w:bookmarkEnd w:id="234"/>
      <w:bookmarkEnd w:id="235"/>
    </w:p>
    <w:p w:rsidR="00D549F0" w:rsidRDefault="00D549F0" w:rsidP="00D549F0">
      <w:r>
        <w:t>AusNet Services</w:t>
      </w:r>
      <w:r w:rsidRPr="0093119D">
        <w:t xml:space="preserve"> forecast </w:t>
      </w:r>
      <w:r>
        <w:t>a step change</w:t>
      </w:r>
      <w:r w:rsidRPr="0093119D">
        <w:t xml:space="preserve"> </w:t>
      </w:r>
      <w:r>
        <w:t xml:space="preserve">of $1.9 million ($2016–17) to decommission and remove assets at Morwell Power Station </w:t>
      </w:r>
      <w:r w:rsidR="00C57522">
        <w:t xml:space="preserve">(MPS) </w:t>
      </w:r>
      <w:r>
        <w:t>which has closed.</w:t>
      </w:r>
      <w:r>
        <w:rPr>
          <w:rStyle w:val="FootnoteReference"/>
        </w:rPr>
        <w:footnoteReference w:id="119"/>
      </w:r>
      <w:r>
        <w:t xml:space="preserve"> </w:t>
      </w:r>
    </w:p>
    <w:p w:rsidR="00D549F0" w:rsidRDefault="00D549F0" w:rsidP="00D549F0">
      <w:r w:rsidRPr="004839A0">
        <w:t>The Energy Brix Power Station was a brown coal–fired thermal power station located at Morwell. The power station was used to supply electricity for the retail market, as well as the production of briquettes in the adjacent Energy Brix briquette works. It was shut down in August 2014.</w:t>
      </w:r>
    </w:p>
    <w:p w:rsidR="00D549F0" w:rsidRDefault="00D549F0" w:rsidP="00D549F0">
      <w:r w:rsidRPr="001F4958">
        <w:t>Ene</w:t>
      </w:r>
      <w:r>
        <w:t>rgy Brix Australia Corporations</w:t>
      </w:r>
      <w:r w:rsidRPr="001F4958">
        <w:t xml:space="preserve"> (EBAC) </w:t>
      </w:r>
      <w:r>
        <w:t xml:space="preserve">advised AusNet Services that it will demolish the MPS at the end of 2017. </w:t>
      </w:r>
      <w:r w:rsidRPr="001F4958">
        <w:t xml:space="preserve">AusNet Services’ electricity distribution and transmission assets located at MPS will no longer be required. </w:t>
      </w:r>
    </w:p>
    <w:p w:rsidR="00D549F0" w:rsidRPr="001F4958" w:rsidRDefault="00D549F0" w:rsidP="00D549F0">
      <w:r>
        <w:t>AusNet Services stated that t</w:t>
      </w:r>
      <w:r w:rsidRPr="001F4958">
        <w:t xml:space="preserve">o ensure the redundant assets do not pose a safety </w:t>
      </w:r>
      <w:proofErr w:type="gramStart"/>
      <w:r w:rsidRPr="001F4958">
        <w:t>threat</w:t>
      </w:r>
      <w:r>
        <w:t>,</w:t>
      </w:r>
      <w:proofErr w:type="gramEnd"/>
      <w:r w:rsidRPr="001F4958">
        <w:t xml:space="preserve"> </w:t>
      </w:r>
      <w:r>
        <w:t>it</w:t>
      </w:r>
      <w:r w:rsidRPr="001F4958">
        <w:t xml:space="preserve"> is required to decommission and make these assets</w:t>
      </w:r>
      <w:r>
        <w:t xml:space="preserve"> safe</w:t>
      </w:r>
      <w:r w:rsidRPr="001F4958">
        <w:t>. This involves identifying all live equipment in the yard and electrically isolating and disconnecting the equipment from the network in such a way that it cannot be made live by normal switching means, as well as draining and disposing of oil from transformers.</w:t>
      </w:r>
      <w:r>
        <w:rPr>
          <w:rStyle w:val="FootnoteReference"/>
        </w:rPr>
        <w:footnoteReference w:id="120"/>
      </w:r>
    </w:p>
    <w:p w:rsidR="00D549F0" w:rsidRDefault="00D549F0" w:rsidP="00D549F0">
      <w:r>
        <w:t xml:space="preserve">AusNet Services stated </w:t>
      </w:r>
      <w:r w:rsidRPr="000134E4">
        <w:t xml:space="preserve">there is no agreement in place for </w:t>
      </w:r>
      <w:r>
        <w:t>its</w:t>
      </w:r>
      <w:r w:rsidRPr="000134E4">
        <w:t xml:space="preserve"> decommissioned asse</w:t>
      </w:r>
      <w:r>
        <w:t>ts to be located on EBAC’s land.</w:t>
      </w:r>
      <w:r>
        <w:rPr>
          <w:rStyle w:val="FootnoteReference"/>
        </w:rPr>
        <w:footnoteReference w:id="121"/>
      </w:r>
      <w:r>
        <w:t xml:space="preserve"> Therefore,</w:t>
      </w:r>
      <w:r w:rsidRPr="000134E4">
        <w:t xml:space="preserve"> </w:t>
      </w:r>
      <w:r>
        <w:t>it</w:t>
      </w:r>
      <w:r w:rsidRPr="000134E4">
        <w:t xml:space="preserve"> is proposing a step change for the costs of decommissioning its transmission assets, removing these assets from EBAC’s land and restoring the site. </w:t>
      </w:r>
      <w:r>
        <w:t>It considered t</w:t>
      </w:r>
      <w:r w:rsidRPr="000134E4">
        <w:t>his approach is the most prudent option of mitigating the risk of the ‘</w:t>
      </w:r>
      <w:proofErr w:type="gramStart"/>
      <w:r w:rsidRPr="000134E4">
        <w:t>do</w:t>
      </w:r>
      <w:proofErr w:type="gramEnd"/>
      <w:r w:rsidRPr="000134E4">
        <w:t xml:space="preserve"> nothing’ option, which include</w:t>
      </w:r>
      <w:r w:rsidR="00C57522">
        <w:t>s</w:t>
      </w:r>
      <w:r w:rsidRPr="000134E4">
        <w:t xml:space="preserve"> exposing AusNet Services to liability if its assets are not made safe and removed from EBAC’s land.</w:t>
      </w:r>
    </w:p>
    <w:p w:rsidR="00D549F0" w:rsidRDefault="00D549F0" w:rsidP="00D549F0">
      <w:pPr>
        <w:pStyle w:val="HeadingOrange"/>
      </w:pPr>
      <w:bookmarkStart w:id="236" w:name="_Toc453061051"/>
      <w:bookmarkStart w:id="237" w:name="_Toc453172547"/>
      <w:bookmarkStart w:id="238" w:name="_Toc456602020"/>
      <w:r>
        <w:t>Assessment</w:t>
      </w:r>
      <w:bookmarkEnd w:id="236"/>
      <w:bookmarkEnd w:id="237"/>
      <w:bookmarkEnd w:id="238"/>
    </w:p>
    <w:p w:rsidR="00D549F0" w:rsidRPr="00D549F0" w:rsidRDefault="00D549F0" w:rsidP="00D549F0">
      <w:r w:rsidRPr="000234C1">
        <w:t>We agree with AusNet Services that the proposed opex solution</w:t>
      </w:r>
      <w:r>
        <w:t>s</w:t>
      </w:r>
      <w:r w:rsidRPr="000234C1">
        <w:t xml:space="preserve"> </w:t>
      </w:r>
      <w:r>
        <w:t>are</w:t>
      </w:r>
      <w:r w:rsidRPr="000234C1">
        <w:t xml:space="preserve"> </w:t>
      </w:r>
      <w:r>
        <w:t xml:space="preserve">prudent and </w:t>
      </w:r>
      <w:r w:rsidRPr="000234C1">
        <w:t xml:space="preserve">efficient. However, we consider the opex is already provided for in our base opex forecast. </w:t>
      </w:r>
    </w:p>
    <w:p w:rsidR="00D549F0" w:rsidRPr="007043FA" w:rsidRDefault="00D549F0" w:rsidP="00D549F0">
      <w:pPr>
        <w:rPr>
          <w:rStyle w:val="AERbody"/>
        </w:rPr>
      </w:pPr>
      <w:r>
        <w:lastRenderedPageBreak/>
        <w:t xml:space="preserve">AusNet Services identified a number of specific drivers for its proposed opex step changes.  We consider asset management, whether it is to prolong the life of an asset (refurbishment) or to end the life of an asset is business as usual for a network service provider. </w:t>
      </w:r>
      <w:r w:rsidRPr="007043FA">
        <w:rPr>
          <w:rStyle w:val="AERbody"/>
        </w:rPr>
        <w:t xml:space="preserve">Generally, an efficient base level of opex (rolled forward each year with an appropriate rate of change) is sufficient for a prudent and efficient service provider </w:t>
      </w:r>
      <w:r>
        <w:t>to manage its assets</w:t>
      </w:r>
      <w:r w:rsidR="00C57522">
        <w:rPr>
          <w:rStyle w:val="AERbody"/>
        </w:rPr>
        <w:t xml:space="preserve"> </w:t>
      </w:r>
      <w:r w:rsidR="0054580D">
        <w:rPr>
          <w:rStyle w:val="AERbody"/>
        </w:rPr>
        <w:t>and in doing so</w:t>
      </w:r>
      <w:r w:rsidR="00C57522">
        <w:rPr>
          <w:rStyle w:val="AERbody"/>
        </w:rPr>
        <w:t xml:space="preserve"> maintain</w:t>
      </w:r>
      <w:r w:rsidRPr="007043FA">
        <w:rPr>
          <w:rStyle w:val="AERbody"/>
        </w:rPr>
        <w:t xml:space="preserve"> the quality, safety, reliability and security of supply of its network.</w:t>
      </w:r>
    </w:p>
    <w:p w:rsidR="00D549F0" w:rsidRDefault="00D549F0" w:rsidP="00D549F0">
      <w:pPr>
        <w:rPr>
          <w:rStyle w:val="AERbody"/>
        </w:rPr>
      </w:pPr>
      <w:r w:rsidRPr="00034966">
        <w:t>We make our assessment about the total forecast opex</w:t>
      </w:r>
      <w:r>
        <w:t xml:space="preserve"> amount</w:t>
      </w:r>
      <w:r w:rsidRPr="00034966">
        <w:t xml:space="preserve"> and not about particular categories or projects in the opex forecast.</w:t>
      </w:r>
      <w:r w:rsidRPr="00034966">
        <w:rPr>
          <w:rStyle w:val="AERbody"/>
        </w:rPr>
        <w:t xml:space="preserve"> </w:t>
      </w:r>
      <w:r>
        <w:t>The opex on projects and programs will always change in the forecast period relative to the base year.</w:t>
      </w:r>
      <w:r>
        <w:rPr>
          <w:rStyle w:val="AERbody"/>
        </w:rPr>
        <w:t xml:space="preserve"> However, v</w:t>
      </w:r>
      <w:r w:rsidRPr="00034966">
        <w:rPr>
          <w:rStyle w:val="AERbody"/>
        </w:rPr>
        <w:t xml:space="preserve">ariations </w:t>
      </w:r>
      <w:r>
        <w:rPr>
          <w:rStyle w:val="AERbody"/>
        </w:rPr>
        <w:t xml:space="preserve">in non-recurrent opex </w:t>
      </w:r>
      <w:r w:rsidRPr="00034966">
        <w:rPr>
          <w:rStyle w:val="AERbody"/>
        </w:rPr>
        <w:t>tend to offset each other so that total opex is relatively stable.</w:t>
      </w:r>
    </w:p>
    <w:p w:rsidR="00D549F0" w:rsidRDefault="00D549F0" w:rsidP="00D549F0">
      <w:pPr>
        <w:rPr>
          <w:rStyle w:val="AERbody"/>
        </w:rPr>
      </w:pPr>
      <w:r>
        <w:rPr>
          <w:rStyle w:val="AERbody"/>
        </w:rPr>
        <w:t>W</w:t>
      </w:r>
      <w:r w:rsidRPr="00631A19">
        <w:rPr>
          <w:rStyle w:val="AERbody"/>
        </w:rPr>
        <w:t xml:space="preserve">e accept that there are activities that were not undertaken in the base year but may be required in other years. However, there are similarly activities that were undertaken in the base year that will not be required in subsequent years. </w:t>
      </w:r>
      <w:r>
        <w:rPr>
          <w:rStyle w:val="AERbody"/>
        </w:rPr>
        <w:t xml:space="preserve">If these are not taken into account it </w:t>
      </w:r>
      <w:r w:rsidRPr="00631A19">
        <w:t xml:space="preserve">can produce </w:t>
      </w:r>
      <w:r>
        <w:t>a biased opex forecast</w:t>
      </w:r>
      <w:r w:rsidRPr="00631A19">
        <w:t xml:space="preserve"> inconsistent with the opex criteria. </w:t>
      </w:r>
      <w:r w:rsidRPr="00631A19">
        <w:rPr>
          <w:rStyle w:val="AERbody"/>
        </w:rPr>
        <w:t>It is for this reason we take a holistic top down approach</w:t>
      </w:r>
      <w:r w:rsidR="00C57522">
        <w:rPr>
          <w:rStyle w:val="AERbody"/>
        </w:rPr>
        <w:t xml:space="preserve"> and do not</w:t>
      </w:r>
      <w:r w:rsidRPr="00631A19">
        <w:rPr>
          <w:rStyle w:val="AERbody"/>
        </w:rPr>
        <w:t xml:space="preserve"> analyse all opex activities individually.</w:t>
      </w:r>
      <w:r w:rsidRPr="0091461A">
        <w:rPr>
          <w:rStyle w:val="AERbody"/>
        </w:rPr>
        <w:t xml:space="preserve"> </w:t>
      </w:r>
    </w:p>
    <w:p w:rsidR="00D549F0" w:rsidRDefault="00D549F0" w:rsidP="00D549F0">
      <w:pPr>
        <w:rPr>
          <w:rStyle w:val="AERbody"/>
        </w:rPr>
      </w:pPr>
      <w:r>
        <w:rPr>
          <w:rStyle w:val="AERbody"/>
        </w:rPr>
        <w:t>AusNet Services adopted our base-step-trend forecasting approach in its opex proposal. It stated</w:t>
      </w:r>
    </w:p>
    <w:p w:rsidR="00D549F0" w:rsidRDefault="00D549F0" w:rsidP="00D549F0">
      <w:pPr>
        <w:pStyle w:val="AERquote"/>
        <w:rPr>
          <w:rStyle w:val="AERbody"/>
        </w:rPr>
      </w:pPr>
      <w:r>
        <w:rPr>
          <w:rStyle w:val="AERbody"/>
        </w:rPr>
        <w:t>Consistent with the 2014–</w:t>
      </w:r>
      <w:r w:rsidRPr="00BD282F">
        <w:rPr>
          <w:rStyle w:val="AERbody"/>
        </w:rPr>
        <w:t>17 determination where ‘asset works’ opex was deemed by the AER to be recurrent in nature and subject to a base-step-trend approach, AusNet Services has retained asset works in base year expenditure and forecast it using the base-step-trend approach for the forthcoming period. This approach assumes that individual items of non-recurrent expenditure will rise and fall across the forthcoming regulatory period such that total non-recurrent opex is broadly consistent from year-to-year.</w:t>
      </w:r>
      <w:r>
        <w:rPr>
          <w:rStyle w:val="FootnoteReference"/>
        </w:rPr>
        <w:footnoteReference w:id="122"/>
      </w:r>
    </w:p>
    <w:p w:rsidR="00B55564" w:rsidRDefault="00303DC4" w:rsidP="00B55564">
      <w:r>
        <w:fldChar w:fldCharType="begin"/>
      </w:r>
      <w:r>
        <w:instrText xml:space="preserve"> REF _Ref453075457 \h </w:instrText>
      </w:r>
      <w:r>
        <w:fldChar w:fldCharType="separate"/>
      </w:r>
      <w:r w:rsidR="00740726">
        <w:t xml:space="preserve">Figure </w:t>
      </w:r>
      <w:r w:rsidR="00740726">
        <w:rPr>
          <w:noProof/>
        </w:rPr>
        <w:t>C</w:t>
      </w:r>
      <w:r w:rsidR="00740726">
        <w:t>.</w:t>
      </w:r>
      <w:r w:rsidR="00740726">
        <w:rPr>
          <w:noProof/>
        </w:rPr>
        <w:t>1</w:t>
      </w:r>
      <w:r>
        <w:fldChar w:fldCharType="end"/>
      </w:r>
      <w:r>
        <w:t xml:space="preserve"> below </w:t>
      </w:r>
      <w:r w:rsidR="00B55564">
        <w:t xml:space="preserve">illustrates that AusNet Services total opex (excluding land tax and provisions) has been stable since 2010–11. </w:t>
      </w:r>
    </w:p>
    <w:p w:rsidR="00B64898" w:rsidRDefault="00B64898" w:rsidP="00B64898">
      <w:r>
        <w:t xml:space="preserve">We would generally expect that to keep opex relatively recurrent a service provider can reallocate resources between different projects and programs and between different categories. For instance, </w:t>
      </w:r>
      <w:r w:rsidR="003811CA">
        <w:t>b</w:t>
      </w:r>
      <w:r>
        <w:t>etween 2013–14 and 2014–15, network overheads allocated to opex increased by $2.8 million between 2013 and 2014.</w:t>
      </w:r>
      <w:r>
        <w:rPr>
          <w:rStyle w:val="FootnoteReference"/>
        </w:rPr>
        <w:footnoteReference w:id="123"/>
      </w:r>
      <w:r w:rsidRPr="00B64898">
        <w:t xml:space="preserve"> </w:t>
      </w:r>
      <w:r>
        <w:t>However AusNet Services' opex only increased by $1.6 million.</w:t>
      </w:r>
      <w:r w:rsidRPr="00B64898">
        <w:t xml:space="preserve"> </w:t>
      </w:r>
      <w:r>
        <w:t>AusNet Services was able to limit the reduction in network overheads by reducing its maintenance expenditure by $1.9 million.</w:t>
      </w:r>
    </w:p>
    <w:p w:rsidR="00B55564" w:rsidRDefault="00B55564" w:rsidP="00B55564">
      <w:pPr>
        <w:pStyle w:val="Caption"/>
        <w:rPr>
          <w:rStyle w:val="AERbody"/>
        </w:rPr>
      </w:pPr>
      <w:bookmarkStart w:id="239" w:name="_Ref453075457"/>
      <w:r>
        <w:lastRenderedPageBreak/>
        <w:t xml:space="preserve">Figure </w:t>
      </w:r>
      <w:r w:rsidRPr="00B55564">
        <w:fldChar w:fldCharType="begin"/>
      </w:r>
      <w:r>
        <w:instrText xml:space="preserve"> STYLEREF 7 \s </w:instrText>
      </w:r>
      <w:r w:rsidRPr="00B55564">
        <w:fldChar w:fldCharType="separate"/>
      </w:r>
      <w:r w:rsidR="00740726">
        <w:rPr>
          <w:noProof/>
        </w:rPr>
        <w:t>C</w:t>
      </w:r>
      <w:r w:rsidRPr="00B55564">
        <w:fldChar w:fldCharType="end"/>
      </w:r>
      <w:r>
        <w:t>.</w:t>
      </w:r>
      <w:r w:rsidRPr="00B55564">
        <w:fldChar w:fldCharType="begin"/>
      </w:r>
      <w:r>
        <w:instrText xml:space="preserve"> SEQ Figure \* ARABIC \s 7 </w:instrText>
      </w:r>
      <w:r w:rsidRPr="00B55564">
        <w:fldChar w:fldCharType="separate"/>
      </w:r>
      <w:r w:rsidR="00740726">
        <w:rPr>
          <w:noProof/>
        </w:rPr>
        <w:t>1</w:t>
      </w:r>
      <w:r w:rsidRPr="00B55564">
        <w:fldChar w:fldCharType="end"/>
      </w:r>
      <w:bookmarkEnd w:id="239"/>
      <w:r>
        <w:t xml:space="preserve"> </w:t>
      </w:r>
      <w:r>
        <w:tab/>
      </w:r>
      <w:r w:rsidRPr="00002D47">
        <w:t>AusNet Services' actual opex ($ million, 2016–17)</w:t>
      </w:r>
    </w:p>
    <w:p w:rsidR="00B55564" w:rsidRPr="007043FA" w:rsidRDefault="00B55564" w:rsidP="00B55564">
      <w:pPr>
        <w:rPr>
          <w:rStyle w:val="AERbody"/>
        </w:rPr>
      </w:pPr>
      <w:r w:rsidRPr="00B55564">
        <w:rPr>
          <w:noProof/>
          <w:lang w:eastAsia="en-AU"/>
        </w:rPr>
        <w:drawing>
          <wp:inline distT="0" distB="0" distL="0" distR="0" wp14:anchorId="206F0673" wp14:editId="5E571E4D">
            <wp:extent cx="4572635"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B55564" w:rsidRDefault="00B55564" w:rsidP="00B55564">
      <w:pPr>
        <w:pStyle w:val="AERtablesource"/>
      </w:pPr>
      <w:r w:rsidRPr="00E201C3">
        <w:t>Source</w:t>
      </w:r>
      <w:r>
        <w:t>:</w:t>
      </w:r>
      <w:r>
        <w:tab/>
        <w:t xml:space="preserve">AusNet Services, Opex Model, October 2015, </w:t>
      </w:r>
    </w:p>
    <w:p w:rsidR="00B55564" w:rsidRPr="00BB35BD" w:rsidRDefault="00B55564" w:rsidP="00B55564">
      <w:pPr>
        <w:pStyle w:val="AERtablesource"/>
      </w:pPr>
      <w:r>
        <w:t xml:space="preserve">Note: </w:t>
      </w:r>
      <w:r>
        <w:tab/>
        <w:t>Opex minus easement land tax and provisions.</w:t>
      </w:r>
    </w:p>
    <w:p w:rsidR="00B55564" w:rsidRDefault="00D549F0" w:rsidP="00B55564">
      <w:r>
        <w:rPr>
          <w:rStyle w:val="AERbody"/>
        </w:rPr>
        <w:t xml:space="preserve">We agree with AusNet Services' assumption that individual items of non-recurrent expenditure will rise and fall such that total opex is broadly consistent from year to year. </w:t>
      </w:r>
      <w:r w:rsidR="00C57522">
        <w:rPr>
          <w:rStyle w:val="AERbody"/>
        </w:rPr>
        <w:t>Based on the information in AusNet Services' proposal, w</w:t>
      </w:r>
      <w:r w:rsidR="00B55564">
        <w:rPr>
          <w:rStyle w:val="AERbody"/>
        </w:rPr>
        <w:t xml:space="preserve">e consider the three proposed step changes are such non-recurrent items. </w:t>
      </w:r>
      <w:r w:rsidR="00B55564">
        <w:t>Therefore, we consider a step change for these programs is not required.</w:t>
      </w:r>
    </w:p>
    <w:p w:rsidR="006914F6" w:rsidRPr="000849A6" w:rsidRDefault="006914F6" w:rsidP="006914F6">
      <w:r>
        <w:t xml:space="preserve">The CCP submitted that </w:t>
      </w:r>
      <w:r w:rsidR="00995E9B">
        <w:t>the WMTS mobile switchboard, the decommissioning of the synchronised condensers and the decommissioning of assets at Morwell power station</w:t>
      </w:r>
      <w:r w:rsidR="0098032C">
        <w:t xml:space="preserve"> should not be included as step changes.</w:t>
      </w:r>
      <w:r w:rsidR="00995E9B">
        <w:rPr>
          <w:rStyle w:val="FootnoteReference"/>
        </w:rPr>
        <w:footnoteReference w:id="124"/>
      </w:r>
      <w:r w:rsidR="0098032C">
        <w:t xml:space="preserve"> </w:t>
      </w:r>
      <w:r w:rsidR="00995E9B">
        <w:t xml:space="preserve">It stated </w:t>
      </w:r>
      <w:r w:rsidRPr="006914F6">
        <w:t xml:space="preserve">the costs of a new WMTS mobile switchboard is </w:t>
      </w:r>
      <w:r>
        <w:t xml:space="preserve">a </w:t>
      </w:r>
      <w:r w:rsidRPr="006914F6">
        <w:t xml:space="preserve">replacement of </w:t>
      </w:r>
      <w:r w:rsidR="00995E9B">
        <w:t>the current switch room</w:t>
      </w:r>
      <w:r w:rsidRPr="006914F6">
        <w:t xml:space="preserve"> </w:t>
      </w:r>
      <w:r w:rsidR="00995E9B">
        <w:t>and</w:t>
      </w:r>
      <w:r w:rsidRPr="006914F6">
        <w:t xml:space="preserve"> is part of standard operating costs.</w:t>
      </w:r>
      <w:r w:rsidR="00995E9B">
        <w:t xml:space="preserve"> While it</w:t>
      </w:r>
      <w:r w:rsidRPr="006914F6">
        <w:t xml:space="preserve"> recognise</w:t>
      </w:r>
      <w:r w:rsidR="00995E9B">
        <w:t>d</w:t>
      </w:r>
      <w:r w:rsidRPr="006914F6">
        <w:t xml:space="preserve"> that the shutdown of Morwell power station is a large event, </w:t>
      </w:r>
      <w:r w:rsidR="00995E9B">
        <w:t>it</w:t>
      </w:r>
      <w:r w:rsidRPr="006914F6">
        <w:t xml:space="preserve"> </w:t>
      </w:r>
      <w:r w:rsidR="00995E9B">
        <w:t xml:space="preserve">stated </w:t>
      </w:r>
      <w:r w:rsidRPr="006914F6">
        <w:t>large event</w:t>
      </w:r>
      <w:r w:rsidR="00995E9B">
        <w:t>s</w:t>
      </w:r>
      <w:r w:rsidRPr="006914F6">
        <w:t xml:space="preserve"> </w:t>
      </w:r>
      <w:r w:rsidR="00995E9B">
        <w:t>are</w:t>
      </w:r>
      <w:r w:rsidRPr="006914F6">
        <w:t xml:space="preserve"> </w:t>
      </w:r>
      <w:r w:rsidR="00995E9B">
        <w:t xml:space="preserve">also </w:t>
      </w:r>
      <w:r w:rsidR="001F001C">
        <w:t>a part of normal operations</w:t>
      </w:r>
      <w:r w:rsidRPr="006914F6">
        <w:t xml:space="preserve"> for a transmission business. </w:t>
      </w:r>
    </w:p>
    <w:p w:rsidR="008A4863" w:rsidRDefault="00995E9B" w:rsidP="00D549F0">
      <w:pPr>
        <w:rPr>
          <w:rStyle w:val="AERbody"/>
        </w:rPr>
      </w:pPr>
      <w:r>
        <w:t>While we did not agree with all of the CCP's reasons, we agree that these costs are a part of normal operations.</w:t>
      </w:r>
    </w:p>
    <w:sectPr w:rsidR="008A48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92" w:rsidRPr="00290C63" w:rsidRDefault="000F7E92" w:rsidP="00290C63">
      <w:r>
        <w:separator/>
      </w:r>
    </w:p>
    <w:p w:rsidR="000F7E92" w:rsidRDefault="000F7E92"/>
  </w:endnote>
  <w:endnote w:type="continuationSeparator" w:id="0">
    <w:p w:rsidR="000F7E92" w:rsidRPr="00290C63" w:rsidRDefault="000F7E92" w:rsidP="00290C63">
      <w:r>
        <w:continuationSeparator/>
      </w:r>
    </w:p>
    <w:p w:rsidR="000F7E92" w:rsidRDefault="000F7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92" w:rsidRPr="00290C63" w:rsidRDefault="000F7E9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F7E92" w:rsidRDefault="000F7E92"/>
  <w:p w:rsidR="000F7E92" w:rsidRDefault="000F7E92"/>
  <w:p w:rsidR="000F7E92" w:rsidRDefault="000F7E92"/>
  <w:p w:rsidR="000F7E92" w:rsidRDefault="000F7E92"/>
  <w:p w:rsidR="000F7E92" w:rsidRDefault="000F7E92"/>
  <w:p w:rsidR="000F7E92" w:rsidRDefault="000F7E92"/>
  <w:p w:rsidR="000F7E92" w:rsidRDefault="000F7E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0F7E92" w:rsidRDefault="000F7E92">
        <w:pPr>
          <w:pStyle w:val="Footer"/>
        </w:pPr>
        <w:r>
          <w:fldChar w:fldCharType="begin"/>
        </w:r>
        <w:r>
          <w:instrText xml:space="preserve"> PAGE   \* MERGEFORMAT </w:instrText>
        </w:r>
        <w:r>
          <w:fldChar w:fldCharType="separate"/>
        </w:r>
        <w:r w:rsidR="00F64824">
          <w:rPr>
            <w:noProof/>
          </w:rPr>
          <w:t>7-38</w:t>
        </w:r>
        <w:r>
          <w:rPr>
            <w:noProof/>
          </w:rPr>
          <w:fldChar w:fldCharType="end"/>
        </w:r>
        <w:r>
          <w:rPr>
            <w:noProof/>
          </w:rPr>
          <w:t xml:space="preserve">          </w:t>
        </w:r>
        <w:r>
          <w:rPr>
            <w:noProof/>
            <w:sz w:val="16"/>
            <w:szCs w:val="16"/>
          </w:rPr>
          <w:t>Attachment 7</w:t>
        </w:r>
        <w:r w:rsidRPr="00FD5E78">
          <w:rPr>
            <w:noProof/>
            <w:sz w:val="16"/>
            <w:szCs w:val="16"/>
          </w:rPr>
          <w:t xml:space="preserve"> </w:t>
        </w:r>
        <w:r w:rsidRPr="00FD5E78">
          <w:rPr>
            <w:rFonts w:cs="Gautami"/>
            <w:noProof/>
            <w:sz w:val="16"/>
            <w:szCs w:val="16"/>
          </w:rPr>
          <w:t xml:space="preserve">– </w:t>
        </w:r>
        <w:r>
          <w:rPr>
            <w:sz w:val="16"/>
            <w:szCs w:val="16"/>
          </w:rPr>
          <w:t>Operating expenditure</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0F7E92" w:rsidRDefault="000F7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92" w:rsidRPr="00290C63" w:rsidRDefault="000F7E9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F7E92" w:rsidRDefault="000F7E92">
    <w:pPr>
      <w:pStyle w:val="Footer"/>
    </w:pPr>
  </w:p>
  <w:p w:rsidR="000F7E92" w:rsidRDefault="000F7E92"/>
  <w:p w:rsidR="000F7E92" w:rsidRDefault="000F7E92"/>
  <w:p w:rsidR="000F7E92" w:rsidRDefault="000F7E92"/>
  <w:p w:rsidR="000F7E92" w:rsidRDefault="000F7E92"/>
  <w:p w:rsidR="000F7E92" w:rsidRDefault="000F7E92"/>
  <w:p w:rsidR="000F7E92" w:rsidRDefault="000F7E92"/>
  <w:p w:rsidR="000F7E92" w:rsidRDefault="000F7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92" w:rsidRPr="00290C63" w:rsidRDefault="000F7E92" w:rsidP="00290C63">
      <w:r>
        <w:separator/>
      </w:r>
    </w:p>
    <w:p w:rsidR="000F7E92" w:rsidRDefault="000F7E92"/>
  </w:footnote>
  <w:footnote w:type="continuationSeparator" w:id="0">
    <w:p w:rsidR="000F7E92" w:rsidRPr="00290C63" w:rsidRDefault="000F7E92" w:rsidP="00290C63">
      <w:r>
        <w:continuationSeparator/>
      </w:r>
    </w:p>
    <w:p w:rsidR="000F7E92" w:rsidRDefault="000F7E92"/>
  </w:footnote>
  <w:footnote w:id="1">
    <w:p w:rsidR="000F7E92" w:rsidRDefault="000F7E92" w:rsidP="00865DDD">
      <w:pPr>
        <w:pStyle w:val="FootnoteText"/>
      </w:pPr>
      <w:r>
        <w:rPr>
          <w:rStyle w:val="FootnoteReference"/>
        </w:rPr>
        <w:footnoteRef/>
      </w:r>
      <w:r>
        <w:t xml:space="preserve"> </w:t>
      </w:r>
      <w:r>
        <w:tab/>
      </w:r>
      <w:proofErr w:type="gramStart"/>
      <w:r>
        <w:t>NER, cl. 6A.6.6(c).</w:t>
      </w:r>
      <w:proofErr w:type="gramEnd"/>
      <w:r>
        <w:t xml:space="preserve"> </w:t>
      </w:r>
    </w:p>
  </w:footnote>
  <w:footnote w:id="2">
    <w:p w:rsidR="000F7E92" w:rsidRDefault="000F7E92" w:rsidP="00865DDD">
      <w:pPr>
        <w:pStyle w:val="FootnoteText"/>
      </w:pPr>
      <w:r>
        <w:rPr>
          <w:rStyle w:val="FootnoteReference"/>
        </w:rPr>
        <w:footnoteRef/>
      </w:r>
      <w:r>
        <w:t xml:space="preserve"> </w:t>
      </w:r>
      <w:r>
        <w:tab/>
        <w:t xml:space="preserve">NER, cl. </w:t>
      </w:r>
      <w:proofErr w:type="gramStart"/>
      <w:r>
        <w:t>6A</w:t>
      </w:r>
      <w:r w:rsidRPr="00AC4977">
        <w:t>.6.6(</w:t>
      </w:r>
      <w:proofErr w:type="gramEnd"/>
      <w:r w:rsidRPr="00AC4977">
        <w:t>d</w:t>
      </w:r>
      <w:r>
        <w:t>).</w:t>
      </w:r>
    </w:p>
  </w:footnote>
  <w:footnote w:id="3">
    <w:p w:rsidR="000F7E92" w:rsidRDefault="000F7E92" w:rsidP="00A56339">
      <w:pPr>
        <w:pStyle w:val="FootnoteText"/>
      </w:pPr>
      <w:r>
        <w:rPr>
          <w:rStyle w:val="FootnoteReference"/>
        </w:rPr>
        <w:footnoteRef/>
      </w:r>
      <w:r>
        <w:t xml:space="preserve"> </w:t>
      </w:r>
      <w:r>
        <w:tab/>
      </w:r>
      <w:r w:rsidRPr="009858AC">
        <w:t xml:space="preserve">Victoria's land tax regime extends to easements held by AusNet Services. Where the forecast we include in our opex forecast differs (higher or lower) from the actual tax paid, AusNet Services </w:t>
      </w:r>
      <w:r>
        <w:t>can</w:t>
      </w:r>
      <w:r w:rsidRPr="009858AC">
        <w:t xml:space="preserve"> apply for a cost pass through. </w:t>
      </w:r>
    </w:p>
  </w:footnote>
  <w:footnote w:id="4">
    <w:p w:rsidR="000F7E92" w:rsidRDefault="000F7E92" w:rsidP="002D3946">
      <w:pPr>
        <w:pStyle w:val="FootnoteText"/>
      </w:pPr>
      <w:r>
        <w:rPr>
          <w:rStyle w:val="FootnoteReference"/>
        </w:rPr>
        <w:footnoteRef/>
      </w:r>
      <w:r>
        <w:t xml:space="preserve"> </w:t>
      </w:r>
      <w:r>
        <w:tab/>
        <w:t xml:space="preserve">Actual opex is only available for 2014–15. Opex for 2015–16 and 2016–17 is estimated. Annual opex is averaged over the regulatory control period. </w:t>
      </w:r>
    </w:p>
  </w:footnote>
  <w:footnote w:id="5">
    <w:p w:rsidR="000F7E92" w:rsidRDefault="000F7E92">
      <w:pPr>
        <w:pStyle w:val="FootnoteText"/>
      </w:pPr>
      <w:r>
        <w:rPr>
          <w:rStyle w:val="FootnoteReference"/>
        </w:rPr>
        <w:footnoteRef/>
      </w:r>
      <w:r>
        <w:t xml:space="preserve"> </w:t>
      </w:r>
      <w:r>
        <w:tab/>
        <w:t xml:space="preserve">Group 3 asset roll in: </w:t>
      </w:r>
      <w:r w:rsidRPr="009858AC">
        <w:t>During any regulatory control period, AEMO or a distribution business may request AusNet Services to augment the transmission network or distribution connection services. We do not roll these assets into the regulated asset base until the subsequent revenue determination. AusNet Services refer to these assets as ‘group 3 assets’.</w:t>
      </w:r>
    </w:p>
  </w:footnote>
  <w:footnote w:id="6">
    <w:p w:rsidR="000F7E92" w:rsidRDefault="000F7E92">
      <w:pPr>
        <w:pStyle w:val="FootnoteText"/>
      </w:pPr>
      <w:r>
        <w:rPr>
          <w:rStyle w:val="FootnoteReference"/>
        </w:rPr>
        <w:footnoteRef/>
      </w:r>
      <w:r>
        <w:t xml:space="preserve"> </w:t>
      </w:r>
      <w:r>
        <w:tab/>
      </w:r>
      <w:r w:rsidRPr="004F7F97">
        <w:t xml:space="preserve">CCP (subpanel 5), </w:t>
      </w:r>
      <w:r w:rsidRPr="004F7F97">
        <w:rPr>
          <w:rStyle w:val="AERtextitalic"/>
        </w:rPr>
        <w:t xml:space="preserve">Submission </w:t>
      </w:r>
      <w:r>
        <w:rPr>
          <w:rStyle w:val="AERtextitalic"/>
        </w:rPr>
        <w:t>in response to</w:t>
      </w:r>
      <w:r w:rsidRPr="004F7F97">
        <w:rPr>
          <w:rStyle w:val="AERtextitalic"/>
        </w:rPr>
        <w:t xml:space="preserve"> AusNet Services' 2017–22 transmission determination proposal</w:t>
      </w:r>
      <w:r w:rsidRPr="004F7F97">
        <w:t>, February 2016, p. 29</w:t>
      </w:r>
      <w:r>
        <w:t xml:space="preserve">; </w:t>
      </w:r>
    </w:p>
    <w:p w:rsidR="000F7E92" w:rsidRDefault="000F7E92">
      <w:pPr>
        <w:pStyle w:val="FootnoteText"/>
      </w:pPr>
      <w:r>
        <w:tab/>
        <w:t>EUCV</w:t>
      </w:r>
      <w:r w:rsidRPr="004F7F97">
        <w:t xml:space="preserve">, </w:t>
      </w:r>
      <w:r w:rsidRPr="004F7F97">
        <w:rPr>
          <w:rStyle w:val="AERtextitalic"/>
        </w:rPr>
        <w:t xml:space="preserve">Submission in response to AusNet Services' 2017–22 transmission determination </w:t>
      </w:r>
      <w:proofErr w:type="gramStart"/>
      <w:r w:rsidRPr="004F7F97">
        <w:rPr>
          <w:rStyle w:val="AERtextitalic"/>
        </w:rPr>
        <w:t>proposal</w:t>
      </w:r>
      <w:proofErr w:type="gramEnd"/>
      <w:r>
        <w:t>, February 2016, pp. 27–29</w:t>
      </w:r>
      <w:r w:rsidRPr="004F7F97">
        <w:t>.</w:t>
      </w:r>
    </w:p>
  </w:footnote>
  <w:footnote w:id="7">
    <w:p w:rsidR="000F7E92" w:rsidRDefault="000F7E92" w:rsidP="004E3AE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6A.6.6(c) and </w:t>
      </w:r>
      <w:proofErr w:type="gramStart"/>
      <w:r>
        <w:t>6A.14.1(</w:t>
      </w:r>
      <w:proofErr w:type="gramEnd"/>
      <w:r>
        <w:t xml:space="preserve">3). </w:t>
      </w:r>
    </w:p>
  </w:footnote>
  <w:footnote w:id="8">
    <w:p w:rsidR="000F7E92" w:rsidRDefault="000F7E92" w:rsidP="004E3AE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6A.6.6(c</w:t>
      </w:r>
      <w:r w:rsidRPr="00AC4977">
        <w:t>)</w:t>
      </w:r>
      <w:r>
        <w:t xml:space="preserve"> and </w:t>
      </w:r>
      <w:proofErr w:type="gramStart"/>
      <w:r>
        <w:t>6A.14.1(</w:t>
      </w:r>
      <w:proofErr w:type="gramEnd"/>
      <w:r>
        <w:t>3)(</w:t>
      </w:r>
      <w:proofErr w:type="spellStart"/>
      <w:r>
        <w:t>i</w:t>
      </w:r>
      <w:proofErr w:type="spellEnd"/>
      <w:r>
        <w:t>).</w:t>
      </w:r>
    </w:p>
  </w:footnote>
  <w:footnote w:id="9">
    <w:p w:rsidR="000F7E92" w:rsidRDefault="000F7E92" w:rsidP="004E3AE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rsidRPr="00AC4977">
        <w:t>6A.6.6(</w:t>
      </w:r>
      <w:proofErr w:type="gramEnd"/>
      <w:r w:rsidRPr="00AC4977">
        <w:t>d</w:t>
      </w:r>
      <w:r>
        <w:t>) and 6A.13.2(b)(3).</w:t>
      </w:r>
    </w:p>
  </w:footnote>
  <w:footnote w:id="10">
    <w:p w:rsidR="000F7E92" w:rsidRDefault="000F7E92" w:rsidP="004E3AE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11">
    <w:p w:rsidR="000F7E92" w:rsidRDefault="000F7E92" w:rsidP="004E3AE1">
      <w:pPr>
        <w:pStyle w:val="FootnoteText"/>
      </w:pPr>
      <w:r>
        <w:rPr>
          <w:rStyle w:val="FootnoteReference"/>
        </w:rPr>
        <w:footnoteRef/>
      </w:r>
      <w:r>
        <w:t xml:space="preserve"> </w:t>
      </w:r>
      <w:r>
        <w:tab/>
      </w:r>
      <w:proofErr w:type="gramStart"/>
      <w:r>
        <w:t>NER, cl. 6A.6.6(c).</w:t>
      </w:r>
      <w:proofErr w:type="gramEnd"/>
    </w:p>
  </w:footnote>
  <w:footnote w:id="12">
    <w:p w:rsidR="000F7E92" w:rsidRDefault="000F7E92" w:rsidP="004E3AE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3">
    <w:p w:rsidR="000F7E92" w:rsidRDefault="000F7E92" w:rsidP="004E3AE1">
      <w:pPr>
        <w:pStyle w:val="FootnoteText"/>
      </w:pPr>
      <w:r>
        <w:rPr>
          <w:rStyle w:val="FootnoteReference"/>
        </w:rPr>
        <w:footnoteRef/>
      </w:r>
      <w:r>
        <w:t xml:space="preserve"> </w:t>
      </w:r>
      <w:r>
        <w:tab/>
        <w:t xml:space="preserve">NER, cl. </w:t>
      </w:r>
      <w:proofErr w:type="gramStart"/>
      <w:r>
        <w:t>6A.6.6(</w:t>
      </w:r>
      <w:proofErr w:type="gramEnd"/>
      <w:r>
        <w:t>a).</w:t>
      </w:r>
    </w:p>
  </w:footnote>
  <w:footnote w:id="14">
    <w:p w:rsidR="000F7E92" w:rsidRDefault="000F7E92" w:rsidP="004E3AE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rsidRPr="0072145B">
        <w:t>6A.6.6(</w:t>
      </w:r>
      <w:proofErr w:type="gramEnd"/>
      <w:r w:rsidRPr="0072145B">
        <w:t>e), 6A.14.1(3)(ii).</w:t>
      </w:r>
    </w:p>
  </w:footnote>
  <w:footnote w:id="15">
    <w:p w:rsidR="000F7E92" w:rsidRDefault="000F7E92" w:rsidP="004E3AE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6">
    <w:p w:rsidR="000F7E92" w:rsidRDefault="000F7E92" w:rsidP="004E3AE1">
      <w:pPr>
        <w:pStyle w:val="FootnoteText"/>
      </w:pPr>
      <w:r>
        <w:rPr>
          <w:rStyle w:val="FootnoteReference"/>
        </w:rPr>
        <w:footnoteRef/>
      </w:r>
      <w:r>
        <w:t xml:space="preserve"> </w:t>
      </w:r>
      <w:r>
        <w:tab/>
      </w:r>
      <w:proofErr w:type="gramStart"/>
      <w:r>
        <w:t>NEL, ss. 7A and 16(2).</w:t>
      </w:r>
      <w:proofErr w:type="gramEnd"/>
    </w:p>
  </w:footnote>
  <w:footnote w:id="17">
    <w:p w:rsidR="000F7E92" w:rsidRDefault="000F7E92" w:rsidP="004E3AE1">
      <w:pPr>
        <w:pStyle w:val="FootnoteText"/>
      </w:pPr>
      <w:r>
        <w:rPr>
          <w:rStyle w:val="FootnoteReference"/>
        </w:rPr>
        <w:footnoteRef/>
      </w:r>
      <w:r>
        <w:t xml:space="preserve"> </w:t>
      </w:r>
      <w:r>
        <w:tab/>
        <w:t xml:space="preserve">NEL, s. </w:t>
      </w:r>
      <w:proofErr w:type="gramStart"/>
      <w:r>
        <w:t>7A(</w:t>
      </w:r>
      <w:proofErr w:type="gramEnd"/>
      <w:r>
        <w:t>2).</w:t>
      </w:r>
    </w:p>
  </w:footnote>
  <w:footnote w:id="18">
    <w:p w:rsidR="000F7E92" w:rsidRDefault="000F7E92" w:rsidP="004E3AE1">
      <w:pPr>
        <w:pStyle w:val="FootnoteText"/>
      </w:pPr>
      <w:r>
        <w:rPr>
          <w:rStyle w:val="FootnoteReference"/>
        </w:rPr>
        <w:footnoteRef/>
      </w:r>
      <w:r>
        <w:t xml:space="preserve"> </w:t>
      </w:r>
      <w:r>
        <w:tab/>
        <w:t xml:space="preserve">That is, the trade-offs that may arise having considered the substitution possibilities between opex and capex, and the relative prices of operating and capital inputs: NER, </w:t>
      </w:r>
      <w:proofErr w:type="spellStart"/>
      <w:r>
        <w:t>cll</w:t>
      </w:r>
      <w:proofErr w:type="spellEnd"/>
      <w:r>
        <w:t xml:space="preserve">. </w:t>
      </w:r>
      <w:proofErr w:type="gramStart"/>
      <w:r>
        <w:t>6A.6.6(</w:t>
      </w:r>
      <w:proofErr w:type="gramEnd"/>
      <w:r>
        <w:t>e)(6) and 6A.6.6(e)(7); NEL, ss. 7A(3), 7A(6) and 7A(7).</w:t>
      </w:r>
    </w:p>
  </w:footnote>
  <w:footnote w:id="19">
    <w:p w:rsidR="000F7E92" w:rsidRDefault="000F7E92" w:rsidP="004E3AE1">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20">
    <w:p w:rsidR="000F7E92" w:rsidRDefault="000F7E92" w:rsidP="004E3AE1">
      <w:pPr>
        <w:pStyle w:val="FootnoteText"/>
      </w:pPr>
      <w:r>
        <w:rPr>
          <w:rStyle w:val="FootnoteReference"/>
        </w:rPr>
        <w:footnoteRef/>
      </w:r>
      <w:r>
        <w:t xml:space="preserve"> </w:t>
      </w:r>
      <w:r>
        <w:tab/>
      </w:r>
      <w:proofErr w:type="gramStart"/>
      <w:r>
        <w:t>NER, cl. 6A.6.6.</w:t>
      </w:r>
      <w:proofErr w:type="gramEnd"/>
    </w:p>
  </w:footnote>
  <w:footnote w:id="21">
    <w:p w:rsidR="000F7E92" w:rsidRDefault="000F7E92" w:rsidP="004E3AE1">
      <w:pPr>
        <w:pStyle w:val="FootnoteText"/>
      </w:pPr>
      <w:r>
        <w:rPr>
          <w:rStyle w:val="FootnoteReference"/>
        </w:rPr>
        <w:footnoteRef/>
      </w:r>
      <w:r>
        <w:t xml:space="preserve"> </w:t>
      </w:r>
      <w:r>
        <w:tab/>
      </w:r>
      <w:proofErr w:type="gramStart"/>
      <w:r>
        <w:t>NER, cl. 6A.2.3(c).</w:t>
      </w:r>
      <w:proofErr w:type="gramEnd"/>
    </w:p>
  </w:footnote>
  <w:footnote w:id="22">
    <w:p w:rsidR="000F7E92" w:rsidRDefault="000F7E92" w:rsidP="004E3AE1">
      <w:pPr>
        <w:pStyle w:val="FootnoteText"/>
      </w:pPr>
      <w:r>
        <w:rPr>
          <w:rStyle w:val="FootnoteReference"/>
        </w:rPr>
        <w:footnoteRef/>
      </w:r>
      <w:r>
        <w:t xml:space="preserve"> </w:t>
      </w:r>
      <w:r>
        <w:tab/>
        <w:t xml:space="preserve">We did not apply the DEA benchmarking technique. We outline the reasons why we did not apply this technique in Appendix A of our all NSW distribution determinations for the 2015–20 regulatory control </w:t>
      </w:r>
      <w:proofErr w:type="gramStart"/>
      <w:r>
        <w:t>period</w:t>
      </w:r>
      <w:proofErr w:type="gramEnd"/>
      <w:r>
        <w:t xml:space="preserve">. </w:t>
      </w:r>
    </w:p>
  </w:footnote>
  <w:footnote w:id="23">
    <w:p w:rsidR="000F7E92" w:rsidRDefault="000F7E92" w:rsidP="004E3AE1">
      <w:pPr>
        <w:pStyle w:val="FootnoteText"/>
      </w:pPr>
      <w:r>
        <w:rPr>
          <w:rStyle w:val="FootnoteReference"/>
        </w:rPr>
        <w:footnoteRef/>
      </w:r>
      <w:r>
        <w:t xml:space="preserve"> </w:t>
      </w:r>
      <w:r>
        <w:tab/>
      </w:r>
      <w:proofErr w:type="gramStart"/>
      <w:r>
        <w:t xml:space="preserve">AER, </w:t>
      </w:r>
      <w:r>
        <w:rPr>
          <w:rStyle w:val="AERtextitalic"/>
        </w:rPr>
        <w:t xml:space="preserve">Final </w:t>
      </w:r>
      <w:r w:rsidRPr="00D118A0">
        <w:rPr>
          <w:rStyle w:val="AERtextitalic"/>
        </w:rPr>
        <w:t xml:space="preserve">Framework and approach </w:t>
      </w:r>
      <w:r>
        <w:rPr>
          <w:rStyle w:val="AERtextitalic"/>
        </w:rPr>
        <w:t>for</w:t>
      </w:r>
      <w:r w:rsidRPr="00D118A0">
        <w:rPr>
          <w:rStyle w:val="AERtextitalic"/>
        </w:rPr>
        <w:t xml:space="preserve"> </w:t>
      </w:r>
      <w:r>
        <w:rPr>
          <w:rStyle w:val="AERtextitalic"/>
        </w:rPr>
        <w:t>AusNet Services</w:t>
      </w:r>
      <w:r>
        <w:t>, April 2015, p. 25.</w:t>
      </w:r>
      <w:proofErr w:type="gramEnd"/>
    </w:p>
  </w:footnote>
  <w:footnote w:id="24">
    <w:p w:rsidR="000F7E92" w:rsidRDefault="000F7E92" w:rsidP="004E3AE1">
      <w:pPr>
        <w:pStyle w:val="FootnoteText"/>
      </w:pPr>
      <w:r>
        <w:rPr>
          <w:rStyle w:val="FootnoteReference"/>
        </w:rPr>
        <w:footnoteRef/>
      </w:r>
      <w:r>
        <w:t xml:space="preserve"> </w:t>
      </w:r>
      <w:r>
        <w:tab/>
        <w:t xml:space="preserve">AER, </w:t>
      </w:r>
      <w:r>
        <w:rPr>
          <w:rStyle w:val="AERtextitalic"/>
        </w:rPr>
        <w:t>Expenditure forecast assessment guideline for electricity transmission</w:t>
      </w:r>
      <w:r>
        <w:t>, November 2013, p. 7.</w:t>
      </w:r>
    </w:p>
  </w:footnote>
  <w:footnote w:id="25">
    <w:p w:rsidR="000F7E92" w:rsidRDefault="000F7E92" w:rsidP="004E3AE1">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6">
    <w:p w:rsidR="000F7E92" w:rsidRDefault="000F7E92" w:rsidP="004E3AE1">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7">
    <w:p w:rsidR="000F7E92" w:rsidRDefault="000F7E92" w:rsidP="004E3AE1">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8">
    <w:p w:rsidR="000F7E92" w:rsidRDefault="000F7E92" w:rsidP="004E3AE1">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29">
    <w:p w:rsidR="000F7E92" w:rsidRDefault="000F7E92">
      <w:pPr>
        <w:pStyle w:val="FootnoteText"/>
      </w:pPr>
      <w:r>
        <w:rPr>
          <w:rStyle w:val="FootnoteReference"/>
        </w:rPr>
        <w:footnoteRef/>
      </w:r>
      <w:r>
        <w:t xml:space="preserve"> </w:t>
      </w:r>
      <w:r>
        <w:tab/>
      </w:r>
      <w:proofErr w:type="gramStart"/>
      <w:r>
        <w:t>Excludes debt raising costs.</w:t>
      </w:r>
      <w:proofErr w:type="gramEnd"/>
    </w:p>
  </w:footnote>
  <w:footnote w:id="30">
    <w:p w:rsidR="000F7E92" w:rsidRDefault="000F7E92" w:rsidP="002E576E">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t xml:space="preserve"> </w:t>
      </w:r>
      <w:r>
        <w:rPr>
          <w:rStyle w:val="AERtextitalic"/>
        </w:rPr>
        <w:t>s</w:t>
      </w:r>
      <w:r w:rsidRPr="00DA22BD">
        <w:rPr>
          <w:rStyle w:val="AERtextitalic"/>
        </w:rPr>
        <w:t>ection 5.10</w:t>
      </w:r>
      <w:r>
        <w:rPr>
          <w:rStyle w:val="AERtextitalic"/>
        </w:rPr>
        <w:t xml:space="preserve">, </w:t>
      </w:r>
      <w:r w:rsidRPr="00BA750C">
        <w:t>October 2015</w:t>
      </w:r>
      <w:r>
        <w:t xml:space="preserve">, p. 135, and, </w:t>
      </w:r>
      <w:r>
        <w:rPr>
          <w:rStyle w:val="AERtextitalic"/>
        </w:rPr>
        <w:t>Attachment</w:t>
      </w:r>
      <w:r w:rsidRPr="00DA22BD">
        <w:rPr>
          <w:rStyle w:val="AERtextitalic"/>
        </w:rPr>
        <w:t xml:space="preserve"> 5D: Proposed operating and maintenance expenditure step changes</w:t>
      </w:r>
      <w:r w:rsidRPr="00BA750C">
        <w:t>, October 2015</w:t>
      </w:r>
      <w:r>
        <w:t>, p. 5</w:t>
      </w:r>
      <w:r w:rsidRPr="00DA22BD">
        <w:rPr>
          <w:rStyle w:val="AERtextitalic"/>
        </w:rPr>
        <w:t>.</w:t>
      </w:r>
    </w:p>
  </w:footnote>
  <w:footnote w:id="31">
    <w:p w:rsidR="000F7E92" w:rsidRDefault="000F7E92">
      <w:pPr>
        <w:pStyle w:val="FootnoteText"/>
      </w:pPr>
      <w:r>
        <w:rPr>
          <w:rStyle w:val="FootnoteReference"/>
        </w:rPr>
        <w:footnoteRef/>
      </w:r>
      <w:r>
        <w:t xml:space="preserve"> </w:t>
      </w:r>
      <w:r>
        <w:tab/>
      </w:r>
      <w:proofErr w:type="gramStart"/>
      <w:r>
        <w:t>NER, cl. 6A.6.6.</w:t>
      </w:r>
      <w:proofErr w:type="gramEnd"/>
    </w:p>
  </w:footnote>
  <w:footnote w:id="32">
    <w:p w:rsidR="000F7E92" w:rsidRDefault="000F7E92" w:rsidP="00FD72A5">
      <w:pPr>
        <w:pStyle w:val="FootnoteText"/>
      </w:pPr>
      <w:r>
        <w:rPr>
          <w:rStyle w:val="FootnoteReference"/>
        </w:rPr>
        <w:footnoteRef/>
      </w:r>
      <w:r>
        <w:t xml:space="preserve"> </w:t>
      </w:r>
      <w:r>
        <w:tab/>
        <w:t xml:space="preserve">NER, cl. </w:t>
      </w:r>
      <w:proofErr w:type="gramStart"/>
      <w:r>
        <w:t>6A.6.6(</w:t>
      </w:r>
      <w:proofErr w:type="gramEnd"/>
      <w:r>
        <w:t>e).</w:t>
      </w:r>
    </w:p>
  </w:footnote>
  <w:footnote w:id="33">
    <w:p w:rsidR="000F7E92" w:rsidRDefault="000F7E92" w:rsidP="00FD72A5">
      <w:pPr>
        <w:pStyle w:val="FootnoteText"/>
      </w:pPr>
      <w:r>
        <w:rPr>
          <w:rStyle w:val="FootnoteReference"/>
        </w:rPr>
        <w:footnoteRef/>
      </w:r>
      <w:r>
        <w:t xml:space="preserve"> </w:t>
      </w:r>
      <w:r>
        <w:tab/>
      </w:r>
      <w:proofErr w:type="gramStart"/>
      <w:r>
        <w:t xml:space="preserve">AEMC, </w:t>
      </w:r>
      <w:r w:rsidRPr="003A12CC">
        <w:rPr>
          <w:rStyle w:val="AERtextitalic"/>
        </w:rPr>
        <w:t>Rule Determination</w:t>
      </w:r>
      <w:r>
        <w:t>, 29 November 2012, pp. 101, 115.</w:t>
      </w:r>
      <w:proofErr w:type="gramEnd"/>
    </w:p>
  </w:footnote>
  <w:footnote w:id="34">
    <w:p w:rsidR="000F7E92" w:rsidRDefault="000F7E92">
      <w:pPr>
        <w:pStyle w:val="FootnoteText"/>
      </w:pPr>
      <w:r>
        <w:rPr>
          <w:rStyle w:val="FootnoteReference"/>
        </w:rPr>
        <w:footnoteRef/>
      </w:r>
      <w:r>
        <w:t xml:space="preserve"> </w:t>
      </w:r>
      <w:r>
        <w:tab/>
      </w:r>
      <w:proofErr w:type="gramStart"/>
      <w:r>
        <w:t xml:space="preserve">CCP (subpanel 5), </w:t>
      </w:r>
      <w:r>
        <w:rPr>
          <w:rStyle w:val="AERtextitalic"/>
        </w:rPr>
        <w:t>Submission in response to</w:t>
      </w:r>
      <w:r w:rsidRPr="008325A1">
        <w:rPr>
          <w:rStyle w:val="AERtextitalic"/>
        </w:rPr>
        <w:t xml:space="preserve"> AusNet Services' proposal to its 2017–22 transmission determination</w:t>
      </w:r>
      <w:r>
        <w:t>, February 2016, p. 22.</w:t>
      </w:r>
      <w:proofErr w:type="gramEnd"/>
    </w:p>
  </w:footnote>
  <w:footnote w:id="35">
    <w:p w:rsidR="000F7E92" w:rsidRDefault="000F7E92">
      <w:pPr>
        <w:pStyle w:val="FootnoteText"/>
      </w:pPr>
      <w:r>
        <w:rPr>
          <w:rStyle w:val="FootnoteReference"/>
        </w:rPr>
        <w:footnoteRef/>
      </w:r>
      <w:r>
        <w:t xml:space="preserve"> </w:t>
      </w:r>
      <w:r>
        <w:tab/>
      </w:r>
      <w:proofErr w:type="gramStart"/>
      <w:r>
        <w:t xml:space="preserve">CCP (subpanel 5), </w:t>
      </w:r>
      <w:r w:rsidRPr="008325A1">
        <w:rPr>
          <w:rStyle w:val="AERtextitalic"/>
        </w:rPr>
        <w:t>Submission in response to AusNet Services' proposal to its 2017–22 transmission determination</w:t>
      </w:r>
      <w:r>
        <w:t>, February 2016, p. 23.</w:t>
      </w:r>
      <w:proofErr w:type="gramEnd"/>
    </w:p>
  </w:footnote>
  <w:footnote w:id="36">
    <w:p w:rsidR="000F7E92" w:rsidRDefault="000F7E92" w:rsidP="006256FE">
      <w:pPr>
        <w:pStyle w:val="FootnoteText"/>
      </w:pPr>
      <w:r>
        <w:rPr>
          <w:rStyle w:val="FootnoteReference"/>
        </w:rPr>
        <w:footnoteRef/>
      </w:r>
      <w:r>
        <w:t xml:space="preserve"> </w:t>
      </w:r>
      <w:r>
        <w:tab/>
        <w:t xml:space="preserve">AusNet Services, </w:t>
      </w:r>
      <w:r>
        <w:rPr>
          <w:rStyle w:val="AERtextitalic"/>
        </w:rPr>
        <w:t>Revenue</w:t>
      </w:r>
      <w:r w:rsidRPr="003C3983">
        <w:rPr>
          <w:rStyle w:val="AERtextitalic"/>
        </w:rPr>
        <w:t xml:space="preserve"> proposal</w:t>
      </w:r>
      <w:r>
        <w:t>, October 2015, opex model.</w:t>
      </w:r>
    </w:p>
  </w:footnote>
  <w:footnote w:id="37">
    <w:p w:rsidR="000F7E92" w:rsidRDefault="000F7E92" w:rsidP="006256FE">
      <w:pPr>
        <w:pStyle w:val="FootnoteText"/>
      </w:pPr>
      <w:r>
        <w:rPr>
          <w:rStyle w:val="FootnoteReference"/>
        </w:rPr>
        <w:footnoteRef/>
      </w:r>
      <w:r>
        <w:t xml:space="preserve"> </w:t>
      </w:r>
      <w:r>
        <w:tab/>
      </w:r>
      <w:r w:rsidRPr="00966248">
        <w:t xml:space="preserve">Valuation of Land Tax Act 1960 (Vic), s 5B: valuations of transmission easements by the </w:t>
      </w:r>
      <w:proofErr w:type="spellStart"/>
      <w:r w:rsidRPr="00966248">
        <w:t>Valuer</w:t>
      </w:r>
      <w:proofErr w:type="spellEnd"/>
      <w:r w:rsidRPr="00966248">
        <w:t>–General occur every two years in even numbered years.</w:t>
      </w:r>
    </w:p>
  </w:footnote>
  <w:footnote w:id="38">
    <w:p w:rsidR="000F7E92" w:rsidRDefault="000F7E92">
      <w:pPr>
        <w:pStyle w:val="FootnoteText"/>
      </w:pPr>
      <w:r>
        <w:rPr>
          <w:rStyle w:val="FootnoteReference"/>
        </w:rPr>
        <w:footnoteRef/>
      </w:r>
      <w:r>
        <w:t xml:space="preserve"> </w:t>
      </w:r>
      <w:r>
        <w:tab/>
        <w:t xml:space="preserve">EUCV, </w:t>
      </w:r>
      <w:r w:rsidRPr="008325A1">
        <w:rPr>
          <w:rStyle w:val="AERtextitalic"/>
        </w:rPr>
        <w:t xml:space="preserve">Submission in response to AusNet Services' 2017–22 transmission determination </w:t>
      </w:r>
      <w:proofErr w:type="gramStart"/>
      <w:r w:rsidRPr="008325A1">
        <w:rPr>
          <w:rStyle w:val="AERtextitalic"/>
        </w:rPr>
        <w:t>proposal</w:t>
      </w:r>
      <w:proofErr w:type="gramEnd"/>
      <w:r w:rsidRPr="006B2CB1">
        <w:t>, February 2016, p. 29.</w:t>
      </w:r>
    </w:p>
  </w:footnote>
  <w:footnote w:id="39">
    <w:p w:rsidR="000F7E92" w:rsidRDefault="000F7E92" w:rsidP="006256FE">
      <w:pPr>
        <w:pStyle w:val="FootnoteText"/>
      </w:pPr>
      <w:r>
        <w:rPr>
          <w:rStyle w:val="FootnoteReference"/>
        </w:rPr>
        <w:footnoteRef/>
      </w:r>
      <w:r>
        <w:t xml:space="preserve"> </w:t>
      </w:r>
      <w:r>
        <w:tab/>
        <w:t xml:space="preserve">AusNet Services, </w:t>
      </w:r>
      <w:r>
        <w:rPr>
          <w:rStyle w:val="AERtextitalic"/>
        </w:rPr>
        <w:t>Revenue</w:t>
      </w:r>
      <w:r w:rsidRPr="003C3983">
        <w:rPr>
          <w:rStyle w:val="AERtextitalic"/>
        </w:rPr>
        <w:t xml:space="preserve"> proposal</w:t>
      </w:r>
      <w:r>
        <w:t>, October 2015, opex model.</w:t>
      </w:r>
    </w:p>
  </w:footnote>
  <w:footnote w:id="40">
    <w:p w:rsidR="000F7E92" w:rsidRDefault="000F7E92" w:rsidP="006256FE">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115.</w:t>
      </w:r>
    </w:p>
  </w:footnote>
  <w:footnote w:id="41">
    <w:p w:rsidR="000F7E92" w:rsidRDefault="000F7E92" w:rsidP="006256FE">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133.</w:t>
      </w:r>
    </w:p>
  </w:footnote>
  <w:footnote w:id="42">
    <w:p w:rsidR="000F7E92" w:rsidRDefault="000F7E92" w:rsidP="006256FE">
      <w:pPr>
        <w:pStyle w:val="FootnoteText"/>
      </w:pPr>
      <w:r>
        <w:rPr>
          <w:rStyle w:val="FootnoteReference"/>
        </w:rPr>
        <w:footnoteRef/>
      </w:r>
      <w:r>
        <w:t xml:space="preserve"> </w:t>
      </w:r>
      <w:r>
        <w:tab/>
      </w:r>
      <w:proofErr w:type="gramStart"/>
      <w:r>
        <w:t>All other things being held equal.</w:t>
      </w:r>
      <w:proofErr w:type="gramEnd"/>
    </w:p>
  </w:footnote>
  <w:footnote w:id="43">
    <w:p w:rsidR="000F7E92" w:rsidRDefault="000F7E92" w:rsidP="006256FE">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133.</w:t>
      </w:r>
    </w:p>
  </w:footnote>
  <w:footnote w:id="44">
    <w:p w:rsidR="000F7E92" w:rsidRDefault="000F7E92" w:rsidP="006256FE">
      <w:pPr>
        <w:pStyle w:val="FootnoteText"/>
      </w:pPr>
      <w:r>
        <w:rPr>
          <w:rStyle w:val="FootnoteReference"/>
        </w:rPr>
        <w:footnoteRef/>
      </w:r>
      <w:r>
        <w:t xml:space="preserve"> </w:t>
      </w:r>
      <w:r>
        <w:tab/>
      </w:r>
      <w:proofErr w:type="gramStart"/>
      <w:r w:rsidRPr="00A75416">
        <w:t xml:space="preserve">Frontier Economics, </w:t>
      </w:r>
      <w:r w:rsidRPr="00A75416">
        <w:rPr>
          <w:rStyle w:val="AERtextitalic"/>
        </w:rPr>
        <w:t>Opex forecasting and EBSS advice for the SP AusNet final decision</w:t>
      </w:r>
      <w:r w:rsidRPr="00A75416">
        <w:t>, January 2014, p 17.</w:t>
      </w:r>
      <w:proofErr w:type="gramEnd"/>
    </w:p>
  </w:footnote>
  <w:footnote w:id="45">
    <w:p w:rsidR="000F7E92" w:rsidRDefault="000F7E92">
      <w:pPr>
        <w:pStyle w:val="FootnoteText"/>
      </w:pPr>
      <w:r>
        <w:rPr>
          <w:rStyle w:val="FootnoteReference"/>
        </w:rPr>
        <w:footnoteRef/>
      </w:r>
      <w:r>
        <w:t xml:space="preserve"> </w:t>
      </w:r>
      <w:r>
        <w:tab/>
        <w:t xml:space="preserve">CCP (subpanel 5), </w:t>
      </w:r>
      <w:r w:rsidRPr="008325A1">
        <w:rPr>
          <w:rStyle w:val="AERtextitalic"/>
        </w:rPr>
        <w:t xml:space="preserve">Submission in response to AusNet Services' 2017–22 transmission determination </w:t>
      </w:r>
      <w:proofErr w:type="gramStart"/>
      <w:r w:rsidRPr="008325A1">
        <w:rPr>
          <w:rStyle w:val="AERtextitalic"/>
        </w:rPr>
        <w:t>proposal</w:t>
      </w:r>
      <w:proofErr w:type="gramEnd"/>
      <w:r>
        <w:t>, February 2016, p. 29.</w:t>
      </w:r>
    </w:p>
  </w:footnote>
  <w:footnote w:id="46">
    <w:p w:rsidR="000F7E92" w:rsidRDefault="000F7E92" w:rsidP="006256FE">
      <w:pPr>
        <w:pStyle w:val="FootnoteText"/>
      </w:pPr>
      <w:r>
        <w:rPr>
          <w:rStyle w:val="FootnoteReference"/>
        </w:rPr>
        <w:footnoteRef/>
      </w:r>
      <w:r>
        <w:t xml:space="preserve"> </w:t>
      </w:r>
      <w:r>
        <w:tab/>
        <w:t xml:space="preserve">AusNet </w:t>
      </w:r>
      <w:proofErr w:type="gramStart"/>
      <w:r>
        <w:t>Services</w:t>
      </w:r>
      <w:r w:rsidRPr="00F404A0">
        <w:rPr>
          <w:rStyle w:val="AERtextitalic"/>
        </w:rPr>
        <w:t>,</w:t>
      </w:r>
      <w:proofErr w:type="gramEnd"/>
      <w:r w:rsidRPr="00F404A0">
        <w:rPr>
          <w:rStyle w:val="AERtextitalic"/>
        </w:rPr>
        <w:t xml:space="preserve"> </w:t>
      </w:r>
      <w:r>
        <w:rPr>
          <w:rStyle w:val="AERtextitalic"/>
        </w:rPr>
        <w:t>Revised regulatory proposal 2016–20</w:t>
      </w:r>
      <w:r>
        <w:t xml:space="preserve">, January, 2016, p. 4-3. </w:t>
      </w:r>
    </w:p>
  </w:footnote>
  <w:footnote w:id="47">
    <w:p w:rsidR="000F7E92" w:rsidRDefault="000F7E92" w:rsidP="006256FE">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146.</w:t>
      </w:r>
    </w:p>
  </w:footnote>
  <w:footnote w:id="48">
    <w:p w:rsidR="000F7E92" w:rsidRDefault="000F7E92" w:rsidP="006256FE">
      <w:pPr>
        <w:pStyle w:val="FootnoteText"/>
      </w:pPr>
      <w:r>
        <w:rPr>
          <w:rStyle w:val="FootnoteReference"/>
        </w:rPr>
        <w:footnoteRef/>
      </w:r>
      <w:r>
        <w:t xml:space="preserve"> </w:t>
      </w:r>
      <w:r>
        <w:tab/>
      </w:r>
      <w:proofErr w:type="gramStart"/>
      <w:r w:rsidRPr="00F35A60">
        <w:t>NER, clause 6.5.6(c).</w:t>
      </w:r>
      <w:proofErr w:type="gramEnd"/>
    </w:p>
  </w:footnote>
  <w:footnote w:id="49">
    <w:p w:rsidR="000F7E92" w:rsidRDefault="000F7E92" w:rsidP="006256FE">
      <w:pPr>
        <w:pStyle w:val="FootnoteText"/>
      </w:pPr>
      <w:r>
        <w:rPr>
          <w:rStyle w:val="FootnoteReference"/>
        </w:rPr>
        <w:footnoteRef/>
      </w:r>
      <w:r>
        <w:t xml:space="preserve"> </w:t>
      </w:r>
      <w:r>
        <w:tab/>
      </w:r>
      <w:proofErr w:type="gramStart"/>
      <w:r w:rsidRPr="00F35A60">
        <w:t>AER, Explanatory statement, EBSS for electricity network service providers, November 2013, p. 19.</w:t>
      </w:r>
      <w:proofErr w:type="gramEnd"/>
    </w:p>
  </w:footnote>
  <w:footnote w:id="50">
    <w:p w:rsidR="000F7E92" w:rsidRDefault="000F7E92" w:rsidP="006256FE">
      <w:pPr>
        <w:pStyle w:val="FootnoteText"/>
      </w:pPr>
      <w:r>
        <w:rPr>
          <w:rStyle w:val="FootnoteReference"/>
        </w:rPr>
        <w:footnoteRef/>
      </w:r>
      <w:r>
        <w:t xml:space="preserve"> </w:t>
      </w:r>
      <w:r>
        <w:tab/>
        <w:t>In accordance with NER, cl. 11.6.21(c)</w:t>
      </w:r>
      <w:proofErr w:type="gramStart"/>
      <w:r>
        <w:t xml:space="preserve">;  </w:t>
      </w:r>
      <w:r w:rsidRPr="00BA750C">
        <w:t>AusNet</w:t>
      </w:r>
      <w:proofErr w:type="gramEnd"/>
      <w:r w:rsidRPr="00BA750C">
        <w:t xml:space="preserve"> Services, </w:t>
      </w:r>
      <w:r w:rsidRPr="00BA750C">
        <w:rPr>
          <w:rStyle w:val="AERtextitalic"/>
        </w:rPr>
        <w:t>Revenue proposal 2017–22</w:t>
      </w:r>
      <w:r>
        <w:rPr>
          <w:rStyle w:val="AERtextitalic"/>
        </w:rPr>
        <w:t>, October 2015, p. 134.</w:t>
      </w:r>
    </w:p>
  </w:footnote>
  <w:footnote w:id="51">
    <w:p w:rsidR="000F7E92" w:rsidRPr="008C4C30" w:rsidRDefault="000F7E92" w:rsidP="004D7797">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pp. 133-134.</w:t>
      </w:r>
      <w:r>
        <w:rPr>
          <w:rStyle w:val="AERtextitalic"/>
        </w:rPr>
        <w:tab/>
      </w:r>
      <w:r>
        <w:rPr>
          <w:rStyle w:val="AERtextitalic"/>
        </w:rPr>
        <w:br/>
      </w:r>
      <w:r w:rsidRPr="008C4C30">
        <w:t>Includes projects completed and in service before December 2014. AusNet Services stated it may update the project list for more recent projects in a supplementary submission at the time of the Draft Decision.</w:t>
      </w:r>
    </w:p>
  </w:footnote>
  <w:footnote w:id="52">
    <w:p w:rsidR="000F7E92" w:rsidRDefault="000F7E92" w:rsidP="006256FE">
      <w:pPr>
        <w:pStyle w:val="FootnoteText"/>
      </w:pPr>
      <w:r>
        <w:rPr>
          <w:rStyle w:val="FootnoteReference"/>
        </w:rPr>
        <w:footnoteRef/>
      </w:r>
      <w:r>
        <w:t xml:space="preserve"> </w:t>
      </w:r>
      <w:r>
        <w:tab/>
      </w:r>
      <w:r w:rsidRPr="00C27D50">
        <w:t xml:space="preserve">AER, </w:t>
      </w:r>
      <w:r w:rsidRPr="00C27D50">
        <w:rPr>
          <w:rStyle w:val="AERtextitalic"/>
        </w:rPr>
        <w:t>Expenditure Forecast Assessment Guideline for Electricity Transmission</w:t>
      </w:r>
      <w:r w:rsidRPr="00C27D50">
        <w:t>, November 2013, pp. 22</w:t>
      </w:r>
      <w:r>
        <w:t>–</w:t>
      </w:r>
      <w:r w:rsidRPr="00C27D50">
        <w:t>23.</w:t>
      </w:r>
    </w:p>
  </w:footnote>
  <w:footnote w:id="53">
    <w:p w:rsidR="000F7E92" w:rsidRDefault="000F7E92" w:rsidP="006256FE">
      <w:pPr>
        <w:pStyle w:val="FootnoteText"/>
      </w:pPr>
      <w:r>
        <w:rPr>
          <w:rStyle w:val="FootnoteReference"/>
        </w:rPr>
        <w:footnoteRef/>
      </w:r>
      <w:r>
        <w:t xml:space="preserve"> </w:t>
      </w:r>
      <w:r>
        <w:tab/>
      </w:r>
      <w:r w:rsidRPr="00C27D50">
        <w:t xml:space="preserve">AER, </w:t>
      </w:r>
      <w:r w:rsidRPr="00C27D50">
        <w:rPr>
          <w:rStyle w:val="AERtextitalic"/>
        </w:rPr>
        <w:t>Expenditure Forecast Assessment Guideline for Electricity Transmission</w:t>
      </w:r>
      <w:r w:rsidRPr="00C27D50">
        <w:t>, November 2013, p</w:t>
      </w:r>
      <w:r>
        <w:t>. 23.</w:t>
      </w:r>
    </w:p>
  </w:footnote>
  <w:footnote w:id="54">
    <w:p w:rsidR="000F7E92" w:rsidRDefault="000F7E92" w:rsidP="006256FE">
      <w:pPr>
        <w:pStyle w:val="FootnoteText"/>
      </w:pPr>
      <w:r>
        <w:rPr>
          <w:rStyle w:val="FootnoteReference"/>
        </w:rPr>
        <w:footnoteRef/>
      </w:r>
      <w:r>
        <w:t xml:space="preserve"> </w:t>
      </w:r>
      <w:r>
        <w:tab/>
      </w:r>
      <w:r w:rsidRPr="00020681">
        <w:t>Version one of the EBSS for transmission businesses does not allow for the non-recurrent efficiency gain adjustment to base year expenditure (version two, which will apply in the 2017–22 regulatory control period does).</w:t>
      </w:r>
      <w:r>
        <w:t xml:space="preserve"> </w:t>
      </w:r>
      <w:r w:rsidRPr="00020681">
        <w:t xml:space="preserve">Consequently we </w:t>
      </w:r>
      <w:r>
        <w:t>did</w:t>
      </w:r>
      <w:r w:rsidRPr="00020681">
        <w:t xml:space="preserve"> not adjus</w:t>
      </w:r>
      <w:r>
        <w:t>t</w:t>
      </w:r>
      <w:r w:rsidRPr="00020681">
        <w:t xml:space="preserve"> base year expenditure for any</w:t>
      </w:r>
      <w:r>
        <w:t xml:space="preserve"> non-recurrent efficiency gains when we forecast opex for the 2017–22 regulatory control </w:t>
      </w:r>
      <w:proofErr w:type="gramStart"/>
      <w:r>
        <w:t>period</w:t>
      </w:r>
      <w:proofErr w:type="gramEnd"/>
      <w:r>
        <w:t xml:space="preserve"> and when we calculated EBSS carryovers.</w:t>
      </w:r>
    </w:p>
  </w:footnote>
  <w:footnote w:id="55">
    <w:p w:rsidR="000F7E92" w:rsidRDefault="000F7E92" w:rsidP="006256FE">
      <w:pPr>
        <w:pStyle w:val="FootnoteText"/>
      </w:pPr>
      <w:r>
        <w:rPr>
          <w:rStyle w:val="FootnoteReference"/>
        </w:rPr>
        <w:footnoteRef/>
      </w:r>
      <w:r>
        <w:t xml:space="preserve"> </w:t>
      </w:r>
      <w:r>
        <w:tab/>
        <w:t xml:space="preserve">NER, </w:t>
      </w:r>
      <w:proofErr w:type="gramStart"/>
      <w:r>
        <w:t>cl.6A.6.6(</w:t>
      </w:r>
      <w:proofErr w:type="gramEnd"/>
      <w:r>
        <w:t>e)(8).</w:t>
      </w:r>
    </w:p>
  </w:footnote>
  <w:footnote w:id="56">
    <w:p w:rsidR="000F7E92" w:rsidRDefault="000F7E92" w:rsidP="002C1039">
      <w:pPr>
        <w:pStyle w:val="FootnoteText"/>
      </w:pPr>
      <w:r>
        <w:rPr>
          <w:rStyle w:val="FootnoteReference"/>
        </w:rPr>
        <w:footnoteRef/>
      </w:r>
      <w:r>
        <w:t xml:space="preserve"> </w:t>
      </w:r>
      <w:r>
        <w:tab/>
      </w:r>
      <w:proofErr w:type="gramStart"/>
      <w:r w:rsidRPr="00DD5B8F">
        <w:t>AER.</w:t>
      </w:r>
      <w:proofErr w:type="gramEnd"/>
      <w:r w:rsidRPr="00DD5B8F">
        <w:t xml:space="preserve"> </w:t>
      </w:r>
      <w:r w:rsidRPr="00DD5B8F">
        <w:rPr>
          <w:rStyle w:val="AERtextitalic"/>
        </w:rPr>
        <w:t>Better Regulation explanatory statement expenditure forecast assessment guideline</w:t>
      </w:r>
      <w:r w:rsidRPr="00DD5B8F">
        <w:t>, November 2013, p. 61.</w:t>
      </w:r>
    </w:p>
  </w:footnote>
  <w:footnote w:id="57">
    <w:p w:rsidR="000F7E92" w:rsidRDefault="000F7E92" w:rsidP="002C1039">
      <w:pPr>
        <w:pStyle w:val="FootnoteText"/>
      </w:pPr>
      <w:r>
        <w:rPr>
          <w:rStyle w:val="FootnoteReference"/>
        </w:rPr>
        <w:footnoteRef/>
      </w:r>
      <w:r>
        <w:t xml:space="preserve"> </w:t>
      </w:r>
      <w:r>
        <w:tab/>
      </w:r>
      <w:proofErr w:type="gramStart"/>
      <w:r>
        <w:t xml:space="preserve">NER, cl. </w:t>
      </w:r>
      <w:r w:rsidRPr="00E905FC">
        <w:t>6</w:t>
      </w:r>
      <w:r>
        <w:t>A</w:t>
      </w:r>
      <w:r w:rsidRPr="00E905FC">
        <w:t>.</w:t>
      </w:r>
      <w:r>
        <w:t>6</w:t>
      </w:r>
      <w:r w:rsidRPr="00E905FC">
        <w:t>.6(c)</w:t>
      </w:r>
      <w:r>
        <w:t>.</w:t>
      </w:r>
      <w:proofErr w:type="gramEnd"/>
    </w:p>
  </w:footnote>
  <w:footnote w:id="58">
    <w:p w:rsidR="000F7E92" w:rsidRDefault="000F7E92" w:rsidP="002C1039">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6A.6.6(</w:t>
      </w:r>
      <w:proofErr w:type="gramEnd"/>
      <w:r>
        <w:t xml:space="preserve">d), </w:t>
      </w:r>
      <w:r w:rsidRPr="005931C1">
        <w:t>6A.14.1(3)(ii)</w:t>
      </w:r>
      <w:r>
        <w:t>.</w:t>
      </w:r>
    </w:p>
  </w:footnote>
  <w:footnote w:id="59">
    <w:p w:rsidR="000F7E92" w:rsidRDefault="000F7E92" w:rsidP="002C1039">
      <w:pPr>
        <w:pStyle w:val="FootnoteText"/>
      </w:pPr>
      <w:r>
        <w:rPr>
          <w:rStyle w:val="FootnoteReference"/>
        </w:rPr>
        <w:footnoteRef/>
      </w:r>
      <w:r>
        <w:t xml:space="preserve"> </w:t>
      </w:r>
      <w:r>
        <w:tab/>
      </w:r>
      <w:proofErr w:type="gramStart"/>
      <w:r>
        <w:t xml:space="preserve">Economic Insights, </w:t>
      </w:r>
      <w:r w:rsidRPr="00247B03">
        <w:t>Memorandum</w:t>
      </w:r>
      <w:r>
        <w:t xml:space="preserve">, </w:t>
      </w:r>
      <w:r w:rsidRPr="00247B03">
        <w:t xml:space="preserve">TNSP MTFP </w:t>
      </w:r>
      <w:r>
        <w:t>r</w:t>
      </w:r>
      <w:r w:rsidRPr="00247B03">
        <w:t>esults</w:t>
      </w:r>
      <w:r>
        <w:t xml:space="preserve">, </w:t>
      </w:r>
      <w:r w:rsidRPr="00247B03">
        <w:t>29 April 2016</w:t>
      </w:r>
      <w:r>
        <w:t>, p. 5.</w:t>
      </w:r>
      <w:proofErr w:type="gramEnd"/>
    </w:p>
  </w:footnote>
  <w:footnote w:id="60">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pp. 127–129.</w:t>
      </w:r>
    </w:p>
  </w:footnote>
  <w:footnote w:id="61">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125.</w:t>
      </w:r>
    </w:p>
  </w:footnote>
  <w:footnote w:id="62">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130.</w:t>
      </w:r>
    </w:p>
  </w:footnote>
  <w:footnote w:id="63">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pp. 130–131.</w:t>
      </w:r>
    </w:p>
  </w:footnote>
  <w:footnote w:id="64">
    <w:p w:rsidR="000F7E92" w:rsidRDefault="000F7E92" w:rsidP="002C1039">
      <w:pPr>
        <w:pStyle w:val="FootnoteText"/>
      </w:pPr>
      <w:r>
        <w:rPr>
          <w:rStyle w:val="FootnoteReference"/>
        </w:rPr>
        <w:footnoteRef/>
      </w:r>
      <w:r>
        <w:t xml:space="preserve"> </w:t>
      </w:r>
      <w:r>
        <w:tab/>
      </w:r>
      <w:r w:rsidRPr="00FA5DE3">
        <w:t xml:space="preserve">AER, </w:t>
      </w:r>
      <w:r w:rsidRPr="00FA5DE3">
        <w:rPr>
          <w:rStyle w:val="AERtextitalic"/>
        </w:rPr>
        <w:t>Better regulation explanatory statement expenditure forecast assessment guideline</w:t>
      </w:r>
      <w:r w:rsidRPr="00FA5DE3">
        <w:t>, November 2013, p. 65.</w:t>
      </w:r>
    </w:p>
  </w:footnote>
  <w:footnote w:id="65">
    <w:p w:rsidR="000F7E92" w:rsidRDefault="000F7E92" w:rsidP="002C1039">
      <w:pPr>
        <w:pStyle w:val="FootnoteText"/>
      </w:pPr>
      <w:r>
        <w:rPr>
          <w:rStyle w:val="FootnoteReference"/>
        </w:rPr>
        <w:footnoteRef/>
      </w:r>
      <w:r>
        <w:t xml:space="preserve"> </w:t>
      </w:r>
      <w:r>
        <w:tab/>
      </w:r>
      <w:r w:rsidRPr="00FA5DE3">
        <w:t xml:space="preserve">AER, </w:t>
      </w:r>
      <w:r w:rsidRPr="00FA5DE3">
        <w:rPr>
          <w:rStyle w:val="AERtextitalic"/>
        </w:rPr>
        <w:t>Better regulation explanatory statement expenditure forecast assessment guideline</w:t>
      </w:r>
      <w:r w:rsidRPr="00FA5DE3">
        <w:t>, November 2013, p. 66.</w:t>
      </w:r>
    </w:p>
  </w:footnote>
  <w:footnote w:id="66">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pp. 127–129.</w:t>
      </w:r>
    </w:p>
  </w:footnote>
  <w:footnote w:id="67">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127.</w:t>
      </w:r>
    </w:p>
  </w:footnote>
  <w:footnote w:id="68">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129.</w:t>
      </w:r>
    </w:p>
  </w:footnote>
  <w:footnote w:id="69">
    <w:p w:rsidR="000F7E92" w:rsidRDefault="000F7E92" w:rsidP="002C1039">
      <w:pPr>
        <w:pStyle w:val="FootnoteText"/>
      </w:pPr>
      <w:r>
        <w:rPr>
          <w:rStyle w:val="FootnoteReference"/>
        </w:rPr>
        <w:footnoteRef/>
      </w:r>
      <w:r>
        <w:t xml:space="preserve"> </w:t>
      </w:r>
      <w:r>
        <w:tab/>
      </w:r>
      <w:r w:rsidRPr="00780ED8">
        <w:t xml:space="preserve">http://www.abs.gov.au/ausstats/abs@.nsf/Product+Lookup/73F4863F0CDC7D4CCA257B9500133B80? </w:t>
      </w:r>
      <w:proofErr w:type="spellStart"/>
      <w:r w:rsidRPr="00780ED8">
        <w:t>opendocument</w:t>
      </w:r>
      <w:proofErr w:type="spellEnd"/>
    </w:p>
  </w:footnote>
  <w:footnote w:id="70">
    <w:p w:rsidR="000F7E92" w:rsidRDefault="000F7E92" w:rsidP="007721AC">
      <w:pPr>
        <w:pStyle w:val="FootnoteText"/>
      </w:pPr>
      <w:r>
        <w:rPr>
          <w:rStyle w:val="FootnoteReference"/>
        </w:rPr>
        <w:footnoteRef/>
      </w:r>
      <w:r>
        <w:t xml:space="preserve"> </w:t>
      </w:r>
      <w:r>
        <w:tab/>
        <w:t xml:space="preserve">CCP, </w:t>
      </w:r>
      <w:r w:rsidRPr="001F5087">
        <w:rPr>
          <w:rStyle w:val="AERtextitalic"/>
        </w:rPr>
        <w:t>Submission</w:t>
      </w:r>
      <w:r>
        <w:rPr>
          <w:rStyle w:val="AERtextitalic"/>
        </w:rPr>
        <w:t xml:space="preserve"> in response to AusNet Services' 2017–22 transmission determination </w:t>
      </w:r>
      <w:proofErr w:type="gramStart"/>
      <w:r>
        <w:rPr>
          <w:rStyle w:val="AERtextitalic"/>
        </w:rPr>
        <w:t>proposal</w:t>
      </w:r>
      <w:proofErr w:type="gramEnd"/>
      <w:r>
        <w:t xml:space="preserve">, </w:t>
      </w:r>
      <w:r w:rsidRPr="001F5087">
        <w:t>February 2016</w:t>
      </w:r>
      <w:r>
        <w:t>, p. 29.</w:t>
      </w:r>
    </w:p>
  </w:footnote>
  <w:footnote w:id="71">
    <w:p w:rsidR="000F7E92" w:rsidRDefault="000F7E92" w:rsidP="002C1039">
      <w:pPr>
        <w:pStyle w:val="FootnoteText"/>
      </w:pPr>
      <w:r>
        <w:rPr>
          <w:rStyle w:val="FootnoteReference"/>
        </w:rPr>
        <w:footnoteRef/>
      </w:r>
      <w:r>
        <w:t xml:space="preserve"> </w:t>
      </w:r>
      <w:r>
        <w:tab/>
      </w:r>
      <w:r w:rsidRPr="008678C1">
        <w:t xml:space="preserve">Economic Insights, </w:t>
      </w:r>
      <w:r w:rsidRPr="008678C1">
        <w:rPr>
          <w:rStyle w:val="AERtextitalic"/>
        </w:rPr>
        <w:t>Memorandum, Opex input price index weights</w:t>
      </w:r>
      <w:r w:rsidRPr="008678C1">
        <w:t>, 19 February 2016.</w:t>
      </w:r>
    </w:p>
  </w:footnote>
  <w:footnote w:id="72">
    <w:p w:rsidR="000F7E92" w:rsidRDefault="000F7E92" w:rsidP="002C1039">
      <w:pPr>
        <w:pStyle w:val="FootnoteText"/>
      </w:pPr>
      <w:r>
        <w:rPr>
          <w:rStyle w:val="FootnoteReference"/>
        </w:rPr>
        <w:footnoteRef/>
      </w:r>
      <w:r>
        <w:t xml:space="preserve"> </w:t>
      </w:r>
      <w:r>
        <w:tab/>
      </w:r>
      <w:r w:rsidRPr="00997F43">
        <w:t xml:space="preserve">Economic Insights, </w:t>
      </w:r>
      <w:r w:rsidRPr="00997F43">
        <w:rPr>
          <w:rStyle w:val="AERtextitalic"/>
        </w:rPr>
        <w:t>Memorandum to AER, Opex input price index weights</w:t>
      </w:r>
      <w:r w:rsidRPr="00997F43">
        <w:t>, 19 February 2016, p. 8.</w:t>
      </w:r>
    </w:p>
  </w:footnote>
  <w:footnote w:id="73">
    <w:p w:rsidR="000F7E92" w:rsidRDefault="000F7E92" w:rsidP="002C1039">
      <w:pPr>
        <w:pStyle w:val="FootnoteText"/>
      </w:pPr>
      <w:r>
        <w:rPr>
          <w:rStyle w:val="FootnoteReference"/>
        </w:rPr>
        <w:footnoteRef/>
      </w:r>
      <w:r>
        <w:t xml:space="preserve"> </w:t>
      </w:r>
      <w:r>
        <w:tab/>
      </w:r>
      <w:r w:rsidRPr="005C6EA2">
        <w:t xml:space="preserve">PWC, </w:t>
      </w:r>
      <w:r w:rsidRPr="005C6EA2">
        <w:rPr>
          <w:rStyle w:val="AERtextitalic"/>
        </w:rPr>
        <w:t>Operating expenditure efficiency assumption and the efficiency benefit sharing scheme</w:t>
      </w:r>
      <w:r>
        <w:t>, 16 January 2013, p. </w:t>
      </w:r>
      <w:r w:rsidRPr="005C6EA2">
        <w:t>6.</w:t>
      </w:r>
    </w:p>
  </w:footnote>
  <w:footnote w:id="74">
    <w:p w:rsidR="000F7E92" w:rsidRDefault="000F7E92" w:rsidP="002C1039">
      <w:pPr>
        <w:pStyle w:val="FootnoteText"/>
      </w:pPr>
      <w:r>
        <w:rPr>
          <w:rStyle w:val="FootnoteReference"/>
        </w:rPr>
        <w:footnoteRef/>
      </w:r>
      <w:r>
        <w:t xml:space="preserve"> </w:t>
      </w:r>
      <w:r>
        <w:tab/>
      </w:r>
      <w:r w:rsidRPr="005931C1">
        <w:t xml:space="preserve">NEL, s. </w:t>
      </w:r>
      <w:proofErr w:type="gramStart"/>
      <w:r w:rsidRPr="005931C1">
        <w:t>7A(</w:t>
      </w:r>
      <w:proofErr w:type="gramEnd"/>
      <w:r w:rsidRPr="005931C1">
        <w:t>3).</w:t>
      </w:r>
    </w:p>
  </w:footnote>
  <w:footnote w:id="75">
    <w:p w:rsidR="000F7E92" w:rsidRDefault="000F7E92" w:rsidP="002C1039">
      <w:pPr>
        <w:pStyle w:val="FootnoteText"/>
      </w:pPr>
      <w:r>
        <w:rPr>
          <w:rStyle w:val="FootnoteReference"/>
        </w:rPr>
        <w:footnoteRef/>
      </w:r>
      <w:r>
        <w:t xml:space="preserve"> </w:t>
      </w:r>
      <w:r>
        <w:tab/>
        <w:t xml:space="preserve">NER, cl. </w:t>
      </w:r>
      <w:r w:rsidRPr="00E905FC">
        <w:t>6</w:t>
      </w:r>
      <w:r>
        <w:t>A</w:t>
      </w:r>
      <w:r w:rsidRPr="00E905FC">
        <w:t>.</w:t>
      </w:r>
      <w:r>
        <w:t>6.6(c</w:t>
      </w:r>
      <w:proofErr w:type="gramStart"/>
      <w:r>
        <w:t>)(</w:t>
      </w:r>
      <w:proofErr w:type="gramEnd"/>
      <w:r>
        <w:t>1</w:t>
      </w:r>
      <w:r w:rsidRPr="00E905FC">
        <w:t>)</w:t>
      </w:r>
      <w:r>
        <w:t>.</w:t>
      </w:r>
    </w:p>
  </w:footnote>
  <w:footnote w:id="76">
    <w:p w:rsidR="000F7E92" w:rsidRDefault="000F7E92" w:rsidP="002C1039">
      <w:pPr>
        <w:pStyle w:val="FootnoteText"/>
      </w:pPr>
      <w:r>
        <w:rPr>
          <w:rStyle w:val="FootnoteReference"/>
        </w:rPr>
        <w:footnoteRef/>
      </w:r>
      <w:r>
        <w:t xml:space="preserve"> </w:t>
      </w:r>
      <w:r>
        <w:tab/>
      </w:r>
      <w:proofErr w:type="gramStart"/>
      <w:r w:rsidRPr="001E4821">
        <w:t xml:space="preserve">Economic Insights, </w:t>
      </w:r>
      <w:r w:rsidRPr="001E4821">
        <w:rPr>
          <w:rStyle w:val="AERtextitalic"/>
        </w:rPr>
        <w:t>Economic benchmarking assessment of operating expenditure for NSW and Tasmanian electricity TNSPs</w:t>
      </w:r>
      <w:r w:rsidRPr="001E4821">
        <w:t>, 6 November 2014, pp. 4–6.</w:t>
      </w:r>
      <w:proofErr w:type="gramEnd"/>
    </w:p>
  </w:footnote>
  <w:footnote w:id="77">
    <w:p w:rsidR="000F7E92" w:rsidRDefault="000F7E92" w:rsidP="002C1039">
      <w:pPr>
        <w:pStyle w:val="FootnoteText"/>
      </w:pPr>
      <w:r>
        <w:rPr>
          <w:rStyle w:val="FootnoteReference"/>
        </w:rPr>
        <w:footnoteRef/>
      </w:r>
      <w:r>
        <w:t xml:space="preserve"> </w:t>
      </w:r>
      <w:r>
        <w:tab/>
      </w:r>
      <w:r w:rsidRPr="001E4821">
        <w:t xml:space="preserve">Since </w:t>
      </w:r>
      <w:r>
        <w:t xml:space="preserve">we do not forecast </w:t>
      </w:r>
      <w:r w:rsidRPr="001E4821">
        <w:t xml:space="preserve">reliability to change </w:t>
      </w:r>
      <w:r>
        <w:t xml:space="preserve">we apply a </w:t>
      </w:r>
      <w:r w:rsidRPr="001E4821">
        <w:t>weighting of zero for the forecast period.</w:t>
      </w:r>
    </w:p>
  </w:footnote>
  <w:footnote w:id="78">
    <w:p w:rsidR="000F7E92" w:rsidRDefault="000F7E92" w:rsidP="002C1039">
      <w:pPr>
        <w:pStyle w:val="FootnoteText"/>
      </w:pPr>
      <w:r>
        <w:rPr>
          <w:rStyle w:val="FootnoteReference"/>
        </w:rPr>
        <w:footnoteRef/>
      </w:r>
      <w:r>
        <w:t xml:space="preserve"> </w:t>
      </w:r>
      <w:r>
        <w:tab/>
      </w:r>
      <w:proofErr w:type="gramStart"/>
      <w:r w:rsidRPr="001E4821">
        <w:t xml:space="preserve">Economic Insights, </w:t>
      </w:r>
      <w:r w:rsidRPr="001E4821">
        <w:rPr>
          <w:rStyle w:val="AERtextitalic"/>
        </w:rPr>
        <w:t>Economic Benchmarking Assessment of Operating Expenditure for NSW and Tasmanian Electricity TNSPs</w:t>
      </w:r>
      <w:r w:rsidRPr="001E4821">
        <w:t>, 6 November 2014, p. 7.</w:t>
      </w:r>
      <w:proofErr w:type="gramEnd"/>
    </w:p>
  </w:footnote>
  <w:footnote w:id="79">
    <w:p w:rsidR="000F7E92" w:rsidRDefault="000F7E92" w:rsidP="002C1039">
      <w:pPr>
        <w:pStyle w:val="FootnoteText"/>
      </w:pPr>
      <w:r>
        <w:rPr>
          <w:rStyle w:val="FootnoteReference"/>
        </w:rPr>
        <w:footnoteRef/>
      </w:r>
      <w:r>
        <w:t xml:space="preserve"> </w:t>
      </w:r>
      <w:r>
        <w:tab/>
      </w:r>
      <w:r w:rsidRPr="001E4821">
        <w:t xml:space="preserve">AER, </w:t>
      </w:r>
      <w:r w:rsidRPr="001E4821">
        <w:rPr>
          <w:rStyle w:val="AERtextitalic"/>
        </w:rPr>
        <w:t xml:space="preserve">Expenditure </w:t>
      </w:r>
      <w:r>
        <w:rPr>
          <w:rStyle w:val="AERtextitalic"/>
        </w:rPr>
        <w:t>f</w:t>
      </w:r>
      <w:r w:rsidRPr="001E4821">
        <w:rPr>
          <w:rStyle w:val="AERtextitalic"/>
        </w:rPr>
        <w:t>orecast</w:t>
      </w:r>
      <w:r>
        <w:rPr>
          <w:rStyle w:val="AERtextitalic"/>
        </w:rPr>
        <w:t xml:space="preserve"> a</w:t>
      </w:r>
      <w:r w:rsidRPr="001E4821">
        <w:rPr>
          <w:rStyle w:val="AERtextitalic"/>
        </w:rPr>
        <w:t xml:space="preserve">ssessment </w:t>
      </w:r>
      <w:r>
        <w:rPr>
          <w:rStyle w:val="AERtextitalic"/>
        </w:rPr>
        <w:t>g</w:t>
      </w:r>
      <w:r w:rsidRPr="001E4821">
        <w:rPr>
          <w:rStyle w:val="AERtextitalic"/>
        </w:rPr>
        <w:t>uideline</w:t>
      </w:r>
      <w:r>
        <w:rPr>
          <w:rStyle w:val="AERtextitalic"/>
        </w:rPr>
        <w:t>: Explanatory statement</w:t>
      </w:r>
      <w:r w:rsidRPr="001E4821">
        <w:t>, November 2013, p. 145.</w:t>
      </w:r>
    </w:p>
  </w:footnote>
  <w:footnote w:id="80">
    <w:p w:rsidR="000F7E92" w:rsidRDefault="000F7E92">
      <w:pPr>
        <w:pStyle w:val="FootnoteText"/>
      </w:pPr>
      <w:r>
        <w:rPr>
          <w:rStyle w:val="FootnoteReference"/>
        </w:rPr>
        <w:footnoteRef/>
      </w:r>
      <w:r>
        <w:t xml:space="preserve"> </w:t>
      </w:r>
      <w:r>
        <w:tab/>
        <w:t xml:space="preserve">EUCV, </w:t>
      </w:r>
      <w:r w:rsidRPr="007721AC">
        <w:rPr>
          <w:rStyle w:val="AERtextitalic"/>
        </w:rPr>
        <w:t>Submission</w:t>
      </w:r>
      <w:r>
        <w:rPr>
          <w:rStyle w:val="AERtextitalic"/>
        </w:rPr>
        <w:t xml:space="preserve"> in response to AusNet Services' 2017–22 transmission determination </w:t>
      </w:r>
      <w:proofErr w:type="gramStart"/>
      <w:r>
        <w:rPr>
          <w:rStyle w:val="AERtextitalic"/>
        </w:rPr>
        <w:t>proposal</w:t>
      </w:r>
      <w:proofErr w:type="gramEnd"/>
      <w:r>
        <w:t>, February 2016, p. 32.</w:t>
      </w:r>
    </w:p>
  </w:footnote>
  <w:footnote w:id="81">
    <w:p w:rsidR="000F7E92" w:rsidRDefault="000F7E92" w:rsidP="002C1039">
      <w:pPr>
        <w:pStyle w:val="FootnoteText"/>
      </w:pPr>
      <w:r>
        <w:rPr>
          <w:rStyle w:val="FootnoteReference"/>
        </w:rPr>
        <w:footnoteRef/>
      </w:r>
      <w:r>
        <w:t xml:space="preserve"> </w:t>
      </w:r>
      <w:r>
        <w:tab/>
      </w:r>
      <w:r w:rsidRPr="006A49D0">
        <w:t xml:space="preserve">AER, </w:t>
      </w:r>
      <w:r w:rsidRPr="001F4CA4">
        <w:rPr>
          <w:rStyle w:val="AERtextitalic"/>
        </w:rPr>
        <w:t>Explanatory statement: Expenditure forecast assessment guideline</w:t>
      </w:r>
      <w:r w:rsidRPr="006A49D0">
        <w:t>, November 2013, p. 65.</w:t>
      </w:r>
    </w:p>
  </w:footnote>
  <w:footnote w:id="82">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130.</w:t>
      </w:r>
    </w:p>
  </w:footnote>
  <w:footnote w:id="83">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pp. 125, 130.</w:t>
      </w:r>
    </w:p>
  </w:footnote>
  <w:footnote w:id="84">
    <w:p w:rsidR="000F7E92" w:rsidRDefault="000F7E92" w:rsidP="002C1039">
      <w:pPr>
        <w:pStyle w:val="FootnoteText"/>
      </w:pPr>
      <w:r>
        <w:rPr>
          <w:rStyle w:val="FootnoteReference"/>
        </w:rPr>
        <w:footnoteRef/>
      </w:r>
      <w:r>
        <w:t xml:space="preserve"> </w:t>
      </w:r>
      <w:r>
        <w:tab/>
        <w:t xml:space="preserve">AusNet Services, </w:t>
      </w:r>
      <w:r w:rsidRPr="00B86496">
        <w:rPr>
          <w:rStyle w:val="AERtextitalic"/>
        </w:rPr>
        <w:t>Regulatory proposal</w:t>
      </w:r>
      <w:r>
        <w:t>, 30 October 2015, p. 130.</w:t>
      </w:r>
    </w:p>
  </w:footnote>
  <w:footnote w:id="85">
    <w:p w:rsidR="000F7E92" w:rsidRDefault="000F7E92" w:rsidP="002C1039">
      <w:pPr>
        <w:pStyle w:val="FootnoteText"/>
      </w:pPr>
      <w:r>
        <w:rPr>
          <w:rStyle w:val="FootnoteReference"/>
        </w:rPr>
        <w:footnoteRef/>
      </w:r>
      <w:r>
        <w:t xml:space="preserve"> </w:t>
      </w:r>
      <w:r>
        <w:tab/>
        <w:t xml:space="preserve">Economic Insights, </w:t>
      </w:r>
      <w:r w:rsidRPr="00754655">
        <w:rPr>
          <w:rStyle w:val="AERtextitalic"/>
        </w:rPr>
        <w:t>Memorandum: TNSP MTFP Results</w:t>
      </w:r>
      <w:r w:rsidRPr="00754655">
        <w:t>,</w:t>
      </w:r>
      <w:r>
        <w:t xml:space="preserve"> </w:t>
      </w:r>
      <w:r w:rsidRPr="00754655">
        <w:t>29 April 2016</w:t>
      </w:r>
      <w:r>
        <w:t>,</w:t>
      </w:r>
      <w:r w:rsidRPr="00754655">
        <w:t xml:space="preserve"> </w:t>
      </w:r>
      <w:r>
        <w:t>pp. 1–2.</w:t>
      </w:r>
    </w:p>
  </w:footnote>
  <w:footnote w:id="86">
    <w:p w:rsidR="000F7E92" w:rsidRDefault="000F7E92" w:rsidP="002C1039">
      <w:pPr>
        <w:pStyle w:val="FootnoteText"/>
      </w:pPr>
      <w:r>
        <w:rPr>
          <w:rStyle w:val="FootnoteReference"/>
        </w:rPr>
        <w:footnoteRef/>
      </w:r>
      <w:r>
        <w:t xml:space="preserve"> </w:t>
      </w:r>
      <w:r>
        <w:tab/>
        <w:t xml:space="preserve">Economic Insights, </w:t>
      </w:r>
      <w:r w:rsidRPr="00754655">
        <w:rPr>
          <w:rStyle w:val="AERtextitalic"/>
        </w:rPr>
        <w:t>Memorandum: TNSP MTFP Results</w:t>
      </w:r>
      <w:r w:rsidRPr="00754655">
        <w:t>,</w:t>
      </w:r>
      <w:r>
        <w:t xml:space="preserve"> </w:t>
      </w:r>
      <w:r w:rsidRPr="00754655">
        <w:t>29 April 2016</w:t>
      </w:r>
      <w:r>
        <w:t>,</w:t>
      </w:r>
      <w:r w:rsidRPr="00754655">
        <w:t xml:space="preserve"> </w:t>
      </w:r>
      <w:r>
        <w:t>p. 5.</w:t>
      </w:r>
    </w:p>
  </w:footnote>
  <w:footnote w:id="87">
    <w:p w:rsidR="000F7E92" w:rsidRDefault="000F7E92" w:rsidP="002C1039">
      <w:pPr>
        <w:pStyle w:val="FootnoteText"/>
      </w:pPr>
      <w:r>
        <w:rPr>
          <w:rStyle w:val="FootnoteReference"/>
        </w:rPr>
        <w:footnoteRef/>
      </w:r>
      <w:r>
        <w:t xml:space="preserve"> </w:t>
      </w:r>
      <w:r>
        <w:tab/>
        <w:t xml:space="preserve">Economic Insights, </w:t>
      </w:r>
      <w:r w:rsidRPr="00754655">
        <w:rPr>
          <w:rStyle w:val="AERtextitalic"/>
        </w:rPr>
        <w:t>Memorandum: TNSP MTFP Results</w:t>
      </w:r>
      <w:r w:rsidRPr="00754655">
        <w:t>,</w:t>
      </w:r>
      <w:r>
        <w:t xml:space="preserve"> </w:t>
      </w:r>
      <w:r w:rsidRPr="00754655">
        <w:t>29 April 2016</w:t>
      </w:r>
      <w:r>
        <w:t>,</w:t>
      </w:r>
      <w:r w:rsidRPr="00754655">
        <w:t xml:space="preserve"> </w:t>
      </w:r>
      <w:r>
        <w:t>p. 5.</w:t>
      </w:r>
    </w:p>
  </w:footnote>
  <w:footnote w:id="88">
    <w:p w:rsidR="000F7E92" w:rsidRDefault="000F7E92" w:rsidP="002C1039">
      <w:pPr>
        <w:pStyle w:val="FootnoteText"/>
      </w:pPr>
      <w:r>
        <w:rPr>
          <w:rStyle w:val="FootnoteReference"/>
        </w:rPr>
        <w:footnoteRef/>
      </w:r>
      <w:r>
        <w:t xml:space="preserve"> </w:t>
      </w:r>
      <w:r>
        <w:tab/>
        <w:t xml:space="preserve">Economic Insights, </w:t>
      </w:r>
      <w:r w:rsidRPr="00754655">
        <w:rPr>
          <w:rStyle w:val="AERtextitalic"/>
        </w:rPr>
        <w:t>Memorandum: TNSP MTFP Results</w:t>
      </w:r>
      <w:r w:rsidRPr="00754655">
        <w:t>,</w:t>
      </w:r>
      <w:r>
        <w:t xml:space="preserve"> </w:t>
      </w:r>
      <w:r w:rsidRPr="00754655">
        <w:t>29 April 2016</w:t>
      </w:r>
      <w:r>
        <w:t>,</w:t>
      </w:r>
      <w:r w:rsidRPr="00754655">
        <w:t xml:space="preserve"> </w:t>
      </w:r>
      <w:r>
        <w:t>p. 5.</w:t>
      </w:r>
    </w:p>
  </w:footnote>
  <w:footnote w:id="89">
    <w:p w:rsidR="000F7E92" w:rsidRDefault="000F7E92" w:rsidP="002C1039">
      <w:pPr>
        <w:pStyle w:val="FootnoteText"/>
      </w:pPr>
      <w:r>
        <w:rPr>
          <w:rStyle w:val="FootnoteReference"/>
        </w:rPr>
        <w:footnoteRef/>
      </w:r>
      <w:r>
        <w:t xml:space="preserve"> </w:t>
      </w:r>
      <w:r>
        <w:tab/>
        <w:t xml:space="preserve">Economic Insights, </w:t>
      </w:r>
      <w:r w:rsidRPr="00754655">
        <w:rPr>
          <w:rStyle w:val="AERtextitalic"/>
        </w:rPr>
        <w:t>Memorandum: TNSP MTFP Results</w:t>
      </w:r>
      <w:r w:rsidRPr="00754655">
        <w:t>,</w:t>
      </w:r>
      <w:r>
        <w:t xml:space="preserve"> </w:t>
      </w:r>
      <w:r w:rsidRPr="00754655">
        <w:t>29 April 2016</w:t>
      </w:r>
      <w:r>
        <w:t>,</w:t>
      </w:r>
      <w:r w:rsidRPr="00754655">
        <w:t xml:space="preserve"> </w:t>
      </w:r>
      <w:r>
        <w:t>p. 5.</w:t>
      </w:r>
    </w:p>
  </w:footnote>
  <w:footnote w:id="90">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t xml:space="preserve"> </w:t>
      </w:r>
      <w:r>
        <w:rPr>
          <w:rStyle w:val="AERtextitalic"/>
        </w:rPr>
        <w:t>s</w:t>
      </w:r>
      <w:r w:rsidRPr="00DA22BD">
        <w:rPr>
          <w:rStyle w:val="AERtextitalic"/>
        </w:rPr>
        <w:t>ection 5.10</w:t>
      </w:r>
      <w:r>
        <w:rPr>
          <w:rStyle w:val="AERtextitalic"/>
        </w:rPr>
        <w:t xml:space="preserve">, </w:t>
      </w:r>
      <w:r w:rsidRPr="00BA750C">
        <w:t>October 2015</w:t>
      </w:r>
      <w:r>
        <w:t xml:space="preserve">, p. 135, and, </w:t>
      </w:r>
      <w:r>
        <w:rPr>
          <w:rStyle w:val="AERtextitalic"/>
        </w:rPr>
        <w:t>Attachment</w:t>
      </w:r>
      <w:r w:rsidRPr="00DA22BD">
        <w:rPr>
          <w:rStyle w:val="AERtextitalic"/>
        </w:rPr>
        <w:t xml:space="preserve"> 5D: Proposed operating and maintenance expenditure step changes</w:t>
      </w:r>
      <w:r w:rsidRPr="00BA750C">
        <w:t>, October 2015</w:t>
      </w:r>
      <w:r>
        <w:t>, p. 5</w:t>
      </w:r>
      <w:r w:rsidRPr="00DA22BD">
        <w:rPr>
          <w:rStyle w:val="AERtextitalic"/>
        </w:rPr>
        <w:t>.</w:t>
      </w:r>
    </w:p>
  </w:footnote>
  <w:footnote w:id="91">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pp. 5, 7-9</w:t>
      </w:r>
      <w:r w:rsidRPr="00DA22BD">
        <w:rPr>
          <w:rStyle w:val="AERtextitalic"/>
        </w:rPr>
        <w:t>.</w:t>
      </w:r>
    </w:p>
  </w:footnote>
  <w:footnote w:id="92">
    <w:p w:rsidR="000F7E92" w:rsidRDefault="000F7E92" w:rsidP="00D549F0">
      <w:pPr>
        <w:pStyle w:val="FootnoteText"/>
      </w:pPr>
      <w:r>
        <w:rPr>
          <w:rStyle w:val="FootnoteReference"/>
        </w:rPr>
        <w:footnoteRef/>
      </w:r>
      <w:r>
        <w:t xml:space="preserve"> </w:t>
      </w:r>
      <w:r>
        <w:tab/>
        <w:t xml:space="preserve">ASIC, </w:t>
      </w:r>
      <w:r w:rsidRPr="00091FAB">
        <w:rPr>
          <w:rStyle w:val="AERtextitalic"/>
        </w:rPr>
        <w:t>Cyber resilience: Health Check report</w:t>
      </w:r>
      <w:r>
        <w:t xml:space="preserve">, March 2015; </w:t>
      </w:r>
      <w:hyperlink r:id="rId1" w:history="1">
        <w:r w:rsidRPr="00150934">
          <w:rPr>
            <w:rStyle w:val="Hyperlink"/>
            <w:color w:val="auto"/>
            <w:sz w:val="16"/>
            <w:u w:val="none"/>
          </w:rPr>
          <w:t>http://download.asic.gov.au/media/3062900/rep429-published-19-march-2015-1.pdf</w:t>
        </w:r>
      </w:hyperlink>
      <w:r>
        <w:rPr>
          <w:rStyle w:val="Hyperlink"/>
        </w:rPr>
        <w:t>.</w:t>
      </w:r>
    </w:p>
  </w:footnote>
  <w:footnote w:id="93">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pp. 5, 7-9</w:t>
      </w:r>
      <w:r w:rsidRPr="00DA22BD">
        <w:rPr>
          <w:rStyle w:val="AERtextitalic"/>
        </w:rPr>
        <w:t>.</w:t>
      </w:r>
    </w:p>
  </w:footnote>
  <w:footnote w:id="94">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5</w:t>
      </w:r>
      <w:r w:rsidRPr="00DA22BD">
        <w:rPr>
          <w:rStyle w:val="AERtextitalic"/>
        </w:rPr>
        <w:t>.</w:t>
      </w:r>
    </w:p>
  </w:footnote>
  <w:footnote w:id="95">
    <w:p w:rsidR="000F7E92" w:rsidRDefault="000F7E92" w:rsidP="00D549F0">
      <w:pPr>
        <w:pStyle w:val="FootnoteText"/>
      </w:pPr>
      <w:r>
        <w:rPr>
          <w:rStyle w:val="FootnoteReference"/>
        </w:rPr>
        <w:footnoteRef/>
      </w:r>
      <w:r>
        <w:t xml:space="preserve"> </w:t>
      </w:r>
      <w:r>
        <w:tab/>
        <w:t>Proposed opex excluding easement land tax, 3.3/508.7</w:t>
      </w:r>
      <w:r w:rsidR="001C2206">
        <w:rPr>
          <w:rFonts w:cs="Arial"/>
        </w:rPr>
        <w:t>×</w:t>
      </w:r>
      <w:r>
        <w:t>100 = 0.65%</w:t>
      </w:r>
    </w:p>
  </w:footnote>
  <w:footnote w:id="96">
    <w:p w:rsidR="000F7E92" w:rsidRDefault="000F7E92">
      <w:pPr>
        <w:pStyle w:val="FootnoteText"/>
      </w:pPr>
      <w:r>
        <w:rPr>
          <w:rStyle w:val="FootnoteReference"/>
        </w:rPr>
        <w:footnoteRef/>
      </w:r>
      <w:r>
        <w:t xml:space="preserve"> </w:t>
      </w:r>
      <w:r>
        <w:tab/>
        <w:t xml:space="preserve">CCP (subpanel 5), </w:t>
      </w:r>
      <w:r w:rsidRPr="00A364FB">
        <w:rPr>
          <w:rStyle w:val="AERtextitalic"/>
        </w:rPr>
        <w:t xml:space="preserve">Submission in response to AusNet Services' 2017–22 transmission determination </w:t>
      </w:r>
      <w:proofErr w:type="gramStart"/>
      <w:r w:rsidRPr="00A364FB">
        <w:rPr>
          <w:rStyle w:val="AERtextitalic"/>
        </w:rPr>
        <w:t>proposal</w:t>
      </w:r>
      <w:proofErr w:type="gramEnd"/>
      <w:r>
        <w:t>, February 2016, p. 28.</w:t>
      </w:r>
    </w:p>
  </w:footnote>
  <w:footnote w:id="97">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pp. 8-9.</w:t>
      </w:r>
    </w:p>
  </w:footnote>
  <w:footnote w:id="98">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8.</w:t>
      </w:r>
    </w:p>
  </w:footnote>
  <w:footnote w:id="99">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8.</w:t>
      </w:r>
    </w:p>
  </w:footnote>
  <w:footnote w:id="100">
    <w:p w:rsidR="000F7E92" w:rsidRDefault="000F7E92" w:rsidP="00D549F0">
      <w:pPr>
        <w:pStyle w:val="FootnoteText"/>
      </w:pPr>
      <w:r>
        <w:rPr>
          <w:rStyle w:val="FootnoteReference"/>
        </w:rPr>
        <w:footnoteRef/>
      </w:r>
      <w:r>
        <w:t xml:space="preserve"> </w:t>
      </w:r>
      <w:r>
        <w:tab/>
        <w:t xml:space="preserve">Section </w:t>
      </w:r>
      <w:r w:rsidRPr="0030326B">
        <w:t>74Q</w:t>
      </w:r>
      <w:r>
        <w:t xml:space="preserve"> </w:t>
      </w:r>
      <w:proofErr w:type="gramStart"/>
      <w:r>
        <w:t xml:space="preserve">and </w:t>
      </w:r>
      <w:r w:rsidRPr="0030326B">
        <w:t xml:space="preserve"> </w:t>
      </w:r>
      <w:r w:rsidRPr="006C488E">
        <w:t>74S</w:t>
      </w:r>
      <w:proofErr w:type="gramEnd"/>
      <w:r w:rsidRPr="0030326B">
        <w:t xml:space="preserve"> of the </w:t>
      </w:r>
      <w:r>
        <w:t xml:space="preserve">Emergency Management </w:t>
      </w:r>
      <w:r w:rsidRPr="0030326B">
        <w:t>Act</w:t>
      </w:r>
      <w:r>
        <w:t xml:space="preserve">  2013 </w:t>
      </w:r>
      <w:hyperlink r:id="rId2" w:history="1">
        <w:r w:rsidRPr="00DB70C7">
          <w:rPr>
            <w:rStyle w:val="Hyperlink"/>
            <w:sz w:val="16"/>
          </w:rPr>
          <w:t>http://www.austlii.edu.au/au/legis/vic/bill/emairb2014615/</w:t>
        </w:r>
      </w:hyperlink>
      <w:r>
        <w:rPr>
          <w:rStyle w:val="Hyperlink"/>
        </w:rPr>
        <w:t>.</w:t>
      </w:r>
      <w:r>
        <w:t xml:space="preserve"> </w:t>
      </w:r>
    </w:p>
  </w:footnote>
  <w:footnote w:id="101">
    <w:p w:rsidR="000F7E92" w:rsidRDefault="000F7E92" w:rsidP="00D549F0">
      <w:pPr>
        <w:pStyle w:val="FootnoteText"/>
      </w:pPr>
      <w:r>
        <w:rPr>
          <w:rStyle w:val="FootnoteReference"/>
        </w:rPr>
        <w:footnoteRef/>
      </w:r>
      <w:r>
        <w:t xml:space="preserve"> </w:t>
      </w:r>
      <w:r>
        <w:tab/>
        <w:t>A n</w:t>
      </w:r>
      <w:r w:rsidRPr="005839AF">
        <w:t xml:space="preserve">ew part 7A </w:t>
      </w:r>
      <w:r>
        <w:t xml:space="preserve">was added to </w:t>
      </w:r>
      <w:r w:rsidRPr="005839AF">
        <w:t>the Act</w:t>
      </w:r>
      <w:r>
        <w:t>.</w:t>
      </w:r>
    </w:p>
  </w:footnote>
  <w:footnote w:id="102">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9</w:t>
      </w:r>
      <w:r w:rsidRPr="00DA22BD">
        <w:rPr>
          <w:rStyle w:val="AERtextitalic"/>
        </w:rPr>
        <w:t>.</w:t>
      </w:r>
    </w:p>
  </w:footnote>
  <w:footnote w:id="103">
    <w:p w:rsidR="000F7E92" w:rsidRDefault="000F7E92" w:rsidP="00D549F0">
      <w:pPr>
        <w:pStyle w:val="FootnoteText"/>
      </w:pPr>
      <w:r>
        <w:rPr>
          <w:rStyle w:val="FootnoteReference"/>
        </w:rPr>
        <w:footnoteRef/>
      </w:r>
      <w:r>
        <w:t xml:space="preserve"> </w:t>
      </w:r>
      <w:r>
        <w:tab/>
        <w:t>Terrorism (Community Protection) Act 2003</w:t>
      </w:r>
      <w:proofErr w:type="gramStart"/>
      <w:r>
        <w:t>,Victoria</w:t>
      </w:r>
      <w:proofErr w:type="gramEnd"/>
      <w:r>
        <w:t xml:space="preserve">, Section 33, </w:t>
      </w:r>
      <w:r w:rsidRPr="0040141B">
        <w:t>Duty to participate in training exercises</w:t>
      </w:r>
      <w:r>
        <w:t>.</w:t>
      </w:r>
    </w:p>
  </w:footnote>
  <w:footnote w:id="104">
    <w:p w:rsidR="000F7E92" w:rsidRDefault="000F7E92">
      <w:pPr>
        <w:pStyle w:val="FootnoteText"/>
      </w:pPr>
      <w:r>
        <w:rPr>
          <w:rStyle w:val="FootnoteReference"/>
        </w:rPr>
        <w:footnoteRef/>
      </w:r>
      <w:r>
        <w:t xml:space="preserve"> </w:t>
      </w:r>
      <w:r>
        <w:tab/>
      </w:r>
      <w:proofErr w:type="gramStart"/>
      <w:r>
        <w:t>For example, emergency, police and fire</w:t>
      </w:r>
      <w:r w:rsidRPr="002B3126">
        <w:t xml:space="preserve"> services</w:t>
      </w:r>
      <w:r>
        <w:t>.</w:t>
      </w:r>
      <w:proofErr w:type="gramEnd"/>
    </w:p>
  </w:footnote>
  <w:footnote w:id="105">
    <w:p w:rsidR="000F7E92" w:rsidRDefault="000F7E92" w:rsidP="00D549F0">
      <w:pPr>
        <w:pStyle w:val="FootnoteText"/>
      </w:pPr>
      <w:r>
        <w:rPr>
          <w:rStyle w:val="FootnoteReference"/>
        </w:rPr>
        <w:footnoteRef/>
      </w:r>
      <w:r>
        <w:t xml:space="preserve"> </w:t>
      </w:r>
      <w:r>
        <w:tab/>
        <w:t xml:space="preserve">Victorian Auditor-General's </w:t>
      </w:r>
      <w:r w:rsidRPr="005B0D88">
        <w:t>Report on</w:t>
      </w:r>
      <w:r>
        <w:t xml:space="preserve">, </w:t>
      </w:r>
      <w:r w:rsidRPr="005B0D88">
        <w:rPr>
          <w:rStyle w:val="AERtextitalic"/>
        </w:rPr>
        <w:t>The</w:t>
      </w:r>
      <w:r>
        <w:t xml:space="preserve"> </w:t>
      </w:r>
      <w:r w:rsidRPr="005B0D88">
        <w:rPr>
          <w:rStyle w:val="AERtextitalic"/>
        </w:rPr>
        <w:t>Preparedness to Respond to Terrorism Incidents: Essential services and critical infrastructure</w:t>
      </w:r>
      <w:r>
        <w:t>, Executive summary, January 2009, p. 2.</w:t>
      </w:r>
    </w:p>
  </w:footnote>
  <w:footnote w:id="106">
    <w:p w:rsidR="000F7E92" w:rsidRDefault="000F7E92">
      <w:pPr>
        <w:pStyle w:val="FootnoteText"/>
      </w:pPr>
      <w:r>
        <w:rPr>
          <w:rStyle w:val="FootnoteReference"/>
        </w:rPr>
        <w:footnoteRef/>
      </w:r>
      <w:r>
        <w:t xml:space="preserve"> </w:t>
      </w:r>
      <w:r>
        <w:tab/>
      </w:r>
      <w:r w:rsidRPr="00A25639">
        <w:t xml:space="preserve">CCP (subpanel 5), </w:t>
      </w:r>
      <w:r w:rsidRPr="00A364FB">
        <w:rPr>
          <w:rStyle w:val="AERtextitalic"/>
        </w:rPr>
        <w:t xml:space="preserve">Submission </w:t>
      </w:r>
      <w:r>
        <w:rPr>
          <w:rStyle w:val="AERtextitalic"/>
        </w:rPr>
        <w:t>in response to</w:t>
      </w:r>
      <w:r w:rsidRPr="00A364FB">
        <w:rPr>
          <w:rStyle w:val="AERtextitalic"/>
        </w:rPr>
        <w:t xml:space="preserve"> AusNet Services' 2017–22 transmission determination </w:t>
      </w:r>
      <w:proofErr w:type="gramStart"/>
      <w:r w:rsidRPr="00A364FB">
        <w:rPr>
          <w:rStyle w:val="AERtextitalic"/>
        </w:rPr>
        <w:t>proposal</w:t>
      </w:r>
      <w:proofErr w:type="gramEnd"/>
      <w:r w:rsidRPr="00A25639">
        <w:t>, February 2016, p. 29.</w:t>
      </w:r>
    </w:p>
  </w:footnote>
  <w:footnote w:id="107">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pp. 5, 9</w:t>
      </w:r>
      <w:r w:rsidR="001342BA">
        <w:t>–</w:t>
      </w:r>
      <w:r>
        <w:t>11</w:t>
      </w:r>
      <w:r w:rsidRPr="00DA22BD">
        <w:rPr>
          <w:rStyle w:val="AERtextitalic"/>
        </w:rPr>
        <w:t>.</w:t>
      </w:r>
    </w:p>
  </w:footnote>
  <w:footnote w:id="108">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9</w:t>
      </w:r>
      <w:r w:rsidRPr="00DA22BD">
        <w:rPr>
          <w:rStyle w:val="AERtextitalic"/>
        </w:rPr>
        <w:t>.</w:t>
      </w:r>
    </w:p>
  </w:footnote>
  <w:footnote w:id="109">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11.</w:t>
      </w:r>
    </w:p>
  </w:footnote>
  <w:footnote w:id="110">
    <w:p w:rsidR="000F7E92" w:rsidRDefault="000F7E92">
      <w:pPr>
        <w:pStyle w:val="FootnoteText"/>
      </w:pPr>
      <w:r>
        <w:rPr>
          <w:rStyle w:val="FootnoteReference"/>
        </w:rPr>
        <w:footnoteRef/>
      </w:r>
      <w:r>
        <w:t xml:space="preserve"> </w:t>
      </w:r>
      <w:r>
        <w:tab/>
      </w:r>
      <w:r w:rsidRPr="006914F6">
        <w:t xml:space="preserve">CCP (subpanel 5), </w:t>
      </w:r>
      <w:r w:rsidRPr="00A364FB">
        <w:rPr>
          <w:rStyle w:val="AERtextitalic"/>
        </w:rPr>
        <w:t xml:space="preserve">Submission in response to AusNet Services' 2017–22 transmission determination </w:t>
      </w:r>
      <w:proofErr w:type="gramStart"/>
      <w:r w:rsidRPr="00A364FB">
        <w:rPr>
          <w:rStyle w:val="AERtextitalic"/>
        </w:rPr>
        <w:t>proposal</w:t>
      </w:r>
      <w:proofErr w:type="gramEnd"/>
      <w:r>
        <w:t>, February 2016, p. 28</w:t>
      </w:r>
      <w:r w:rsidRPr="006914F6">
        <w:t>.</w:t>
      </w:r>
    </w:p>
  </w:footnote>
  <w:footnote w:id="111">
    <w:p w:rsidR="000F7E92" w:rsidRDefault="000F7E92" w:rsidP="00F6589E">
      <w:pPr>
        <w:pStyle w:val="FootnoteText"/>
      </w:pPr>
      <w:r>
        <w:rPr>
          <w:rStyle w:val="FootnoteReference"/>
        </w:rPr>
        <w:footnoteRef/>
      </w:r>
      <w:r>
        <w:t xml:space="preserve"> </w:t>
      </w:r>
      <w:r>
        <w:tab/>
        <w:t>EUCV</w:t>
      </w:r>
      <w:r w:rsidRPr="0061613A">
        <w:t xml:space="preserve">, </w:t>
      </w:r>
      <w:r>
        <w:rPr>
          <w:rStyle w:val="AERtextitalic"/>
        </w:rPr>
        <w:t>Submission in response to AusNet Services</w:t>
      </w:r>
      <w:r w:rsidRPr="0061613A">
        <w:rPr>
          <w:rStyle w:val="AERtextitalic"/>
        </w:rPr>
        <w:t xml:space="preserve"> 2017–22 transmission determination proposal</w:t>
      </w:r>
      <w:r>
        <w:t>, February 2016, p. 33</w:t>
      </w:r>
      <w:r w:rsidRPr="0061613A">
        <w:t>.</w:t>
      </w:r>
    </w:p>
  </w:footnote>
  <w:footnote w:id="112">
    <w:p w:rsidR="000F7E92" w:rsidRDefault="000F7E92">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11</w:t>
      </w:r>
    </w:p>
  </w:footnote>
  <w:footnote w:id="113">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w:t>
      </w:r>
      <w:r>
        <w:rPr>
          <w:rStyle w:val="AERtextitalic"/>
        </w:rPr>
        <w:t xml:space="preserve">diture                                                               </w:t>
      </w:r>
      <w:r w:rsidRPr="00DA22BD">
        <w:rPr>
          <w:rStyle w:val="AERtextitalic"/>
        </w:rPr>
        <w:t>step changes</w:t>
      </w:r>
      <w:r w:rsidRPr="00BA750C">
        <w:t>, October 2015</w:t>
      </w:r>
      <w:r>
        <w:t>, pp. 12-14</w:t>
      </w:r>
      <w:r w:rsidRPr="00DA22BD">
        <w:rPr>
          <w:rStyle w:val="AERtextitalic"/>
        </w:rPr>
        <w:t>.</w:t>
      </w:r>
    </w:p>
  </w:footnote>
  <w:footnote w:id="114">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76.</w:t>
      </w:r>
    </w:p>
  </w:footnote>
  <w:footnote w:id="115">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pp. 14-15</w:t>
      </w:r>
      <w:r w:rsidRPr="00DA22BD">
        <w:rPr>
          <w:rStyle w:val="AERtextitalic"/>
        </w:rPr>
        <w:t>.</w:t>
      </w:r>
    </w:p>
  </w:footnote>
  <w:footnote w:id="116">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14.</w:t>
      </w:r>
    </w:p>
  </w:footnote>
  <w:footnote w:id="117">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142.</w:t>
      </w:r>
    </w:p>
  </w:footnote>
  <w:footnote w:id="118">
    <w:p w:rsidR="000F7E92" w:rsidRDefault="000F7E92" w:rsidP="00D549F0">
      <w:pPr>
        <w:pStyle w:val="FootnoteText"/>
      </w:pPr>
      <w:r>
        <w:rPr>
          <w:rStyle w:val="FootnoteReference"/>
        </w:rPr>
        <w:footnoteRef/>
      </w:r>
      <w:r>
        <w:t xml:space="preserve"> </w:t>
      </w:r>
      <w:r>
        <w:tab/>
        <w:t>AEMO</w:t>
      </w:r>
      <w:r w:rsidRPr="00572290">
        <w:rPr>
          <w:rStyle w:val="AERtextitalic"/>
        </w:rPr>
        <w:t>, Letter to AusNet Services</w:t>
      </w:r>
      <w:r>
        <w:t>, 1 April 2016, published as a submission on our web site.</w:t>
      </w:r>
    </w:p>
  </w:footnote>
  <w:footnote w:id="119">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sidRPr="00DA22BD">
        <w:rPr>
          <w:rStyle w:val="AERtextitalic"/>
        </w:rPr>
        <w:t>,</w:t>
      </w:r>
      <w:r>
        <w:rPr>
          <w:rStyle w:val="AERtextitalic"/>
        </w:rPr>
        <w:t xml:space="preserve"> Appendix</w:t>
      </w:r>
      <w:r w:rsidRPr="00DA22BD">
        <w:rPr>
          <w:rStyle w:val="AERtextitalic"/>
        </w:rPr>
        <w:t xml:space="preserve"> 5D: Proposed operating and maintenance expenditure step changes</w:t>
      </w:r>
      <w:r w:rsidRPr="00BA750C">
        <w:t>, October 2015</w:t>
      </w:r>
      <w:r>
        <w:t>, p. 15</w:t>
      </w:r>
      <w:r w:rsidRPr="00DA22BD">
        <w:rPr>
          <w:rStyle w:val="AERtextitalic"/>
        </w:rPr>
        <w:t>.</w:t>
      </w:r>
    </w:p>
  </w:footnote>
  <w:footnote w:id="120">
    <w:p w:rsidR="000F7E92" w:rsidRDefault="000F7E92" w:rsidP="00D549F0">
      <w:pPr>
        <w:pStyle w:val="FootnoteText"/>
      </w:pPr>
      <w:r>
        <w:rPr>
          <w:rStyle w:val="FootnoteReference"/>
        </w:rPr>
        <w:footnoteRef/>
      </w:r>
      <w:r>
        <w:t xml:space="preserve"> </w:t>
      </w:r>
      <w:r>
        <w:tab/>
      </w:r>
      <w:r w:rsidRPr="00105EC2">
        <w:t xml:space="preserve">AusNet Services, </w:t>
      </w:r>
      <w:r w:rsidRPr="00105EC2">
        <w:rPr>
          <w:rStyle w:val="AERtextitalic"/>
        </w:rPr>
        <w:t>Revenue proposal 2017–22, Appendix 5D: Proposed operating and maintenance expenditure step changes</w:t>
      </w:r>
      <w:r w:rsidRPr="00105EC2">
        <w:t>, October 2015, p. 15</w:t>
      </w:r>
      <w:r>
        <w:t>.</w:t>
      </w:r>
    </w:p>
  </w:footnote>
  <w:footnote w:id="121">
    <w:p w:rsidR="000F7E92" w:rsidRDefault="000F7E92" w:rsidP="00D549F0">
      <w:pPr>
        <w:pStyle w:val="FootnoteText"/>
      </w:pPr>
      <w:r>
        <w:rPr>
          <w:rStyle w:val="FootnoteReference"/>
        </w:rPr>
        <w:footnoteRef/>
      </w:r>
      <w:r>
        <w:t xml:space="preserve"> </w:t>
      </w:r>
      <w:r>
        <w:tab/>
      </w:r>
      <w:r w:rsidRPr="00105EC2">
        <w:t xml:space="preserve">AusNet Services, </w:t>
      </w:r>
      <w:r w:rsidRPr="00105EC2">
        <w:rPr>
          <w:rStyle w:val="AERtextitalic"/>
        </w:rPr>
        <w:t>Revenue proposal 2017–22, Appendix 5D: Proposed operating and maintenance expenditure step changes</w:t>
      </w:r>
      <w:r w:rsidRPr="00105EC2">
        <w:t>, October 2015, p. 15</w:t>
      </w:r>
      <w:r>
        <w:t>.</w:t>
      </w:r>
    </w:p>
  </w:footnote>
  <w:footnote w:id="122">
    <w:p w:rsidR="000F7E92" w:rsidRDefault="000F7E92" w:rsidP="00D549F0">
      <w:pPr>
        <w:pStyle w:val="FootnoteText"/>
      </w:pPr>
      <w:r>
        <w:rPr>
          <w:rStyle w:val="FootnoteReference"/>
        </w:rPr>
        <w:footnoteRef/>
      </w:r>
      <w:r>
        <w:t xml:space="preserve"> </w:t>
      </w:r>
      <w:r>
        <w:tab/>
      </w:r>
      <w:r w:rsidRPr="00BA750C">
        <w:t xml:space="preserve">AusNet Services, </w:t>
      </w:r>
      <w:r w:rsidRPr="00BA750C">
        <w:rPr>
          <w:rStyle w:val="AERtextitalic"/>
        </w:rPr>
        <w:t>Revenue proposal 2017–22</w:t>
      </w:r>
      <w:r>
        <w:rPr>
          <w:rStyle w:val="AERtextitalic"/>
        </w:rPr>
        <w:t>, October 2015, p. 111.</w:t>
      </w:r>
    </w:p>
  </w:footnote>
  <w:footnote w:id="123">
    <w:p w:rsidR="000F7E92" w:rsidRDefault="000F7E92">
      <w:pPr>
        <w:pStyle w:val="FootnoteText"/>
      </w:pPr>
      <w:r>
        <w:rPr>
          <w:rStyle w:val="FootnoteReference"/>
        </w:rPr>
        <w:footnoteRef/>
      </w:r>
      <w:r>
        <w:t xml:space="preserve"> </w:t>
      </w:r>
      <w:r>
        <w:tab/>
        <w:t xml:space="preserve">AusNet Services, </w:t>
      </w:r>
      <w:r w:rsidRPr="005B57E3">
        <w:rPr>
          <w:rStyle w:val="AERtextitalic"/>
        </w:rPr>
        <w:t>Category analysis RIN response 2013–14 and 2014–15</w:t>
      </w:r>
      <w:r>
        <w:t>, table 2.1.2.</w:t>
      </w:r>
    </w:p>
  </w:footnote>
  <w:footnote w:id="124">
    <w:p w:rsidR="000F7E92" w:rsidRDefault="000F7E92">
      <w:pPr>
        <w:pStyle w:val="FootnoteText"/>
      </w:pPr>
      <w:r>
        <w:rPr>
          <w:rStyle w:val="FootnoteReference"/>
        </w:rPr>
        <w:footnoteRef/>
      </w:r>
      <w:r>
        <w:t xml:space="preserve"> </w:t>
      </w:r>
      <w:r>
        <w:tab/>
      </w:r>
      <w:r w:rsidRPr="006914F6">
        <w:t xml:space="preserve">CCP (subpanel 5), </w:t>
      </w:r>
      <w:r w:rsidRPr="00A364FB">
        <w:rPr>
          <w:rStyle w:val="AERtextitalic"/>
        </w:rPr>
        <w:t xml:space="preserve">Submission in response to AusNet Services' 2017–22 transmission determination </w:t>
      </w:r>
      <w:proofErr w:type="gramStart"/>
      <w:r w:rsidRPr="00A364FB">
        <w:rPr>
          <w:rStyle w:val="AERtextitalic"/>
        </w:rPr>
        <w:t>proposal</w:t>
      </w:r>
      <w:proofErr w:type="gramEnd"/>
      <w:r>
        <w:t>, February 2016, p.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58" w:rsidRDefault="007F4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58" w:rsidRDefault="007F4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58" w:rsidRDefault="007F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328FD20"/>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WSO82vzNtIjhEojI6B5sYEQzFk1OBjHfWKb/s5DcdQ=" w:saltValue="NSyLOpTZf98Z4mLNTzujVA=="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7 - operating expenditure (AER2015-004429).docx"/>
  </w:docVars>
  <w:rsids>
    <w:rsidRoot w:val="00961A4A"/>
    <w:rsid w:val="000035FC"/>
    <w:rsid w:val="00005540"/>
    <w:rsid w:val="00021202"/>
    <w:rsid w:val="00021C2B"/>
    <w:rsid w:val="0002517F"/>
    <w:rsid w:val="00032330"/>
    <w:rsid w:val="0003578C"/>
    <w:rsid w:val="00053202"/>
    <w:rsid w:val="00063247"/>
    <w:rsid w:val="00070F9F"/>
    <w:rsid w:val="0007137B"/>
    <w:rsid w:val="00077389"/>
    <w:rsid w:val="00077695"/>
    <w:rsid w:val="00081DB8"/>
    <w:rsid w:val="000851EA"/>
    <w:rsid w:val="00085663"/>
    <w:rsid w:val="00085EBF"/>
    <w:rsid w:val="00086871"/>
    <w:rsid w:val="000A2678"/>
    <w:rsid w:val="000A3020"/>
    <w:rsid w:val="000A6C7B"/>
    <w:rsid w:val="000B321F"/>
    <w:rsid w:val="000C135E"/>
    <w:rsid w:val="000C1F07"/>
    <w:rsid w:val="000C2B40"/>
    <w:rsid w:val="000C3B29"/>
    <w:rsid w:val="000D122C"/>
    <w:rsid w:val="000D5108"/>
    <w:rsid w:val="000E1819"/>
    <w:rsid w:val="000E339B"/>
    <w:rsid w:val="000E4821"/>
    <w:rsid w:val="000E6C72"/>
    <w:rsid w:val="000F59B3"/>
    <w:rsid w:val="000F7E92"/>
    <w:rsid w:val="00107D1C"/>
    <w:rsid w:val="00113367"/>
    <w:rsid w:val="0011631A"/>
    <w:rsid w:val="00116EB2"/>
    <w:rsid w:val="001203C4"/>
    <w:rsid w:val="00122FD8"/>
    <w:rsid w:val="00124609"/>
    <w:rsid w:val="00124B33"/>
    <w:rsid w:val="00126A4C"/>
    <w:rsid w:val="001342BA"/>
    <w:rsid w:val="00142192"/>
    <w:rsid w:val="0014573B"/>
    <w:rsid w:val="001573E4"/>
    <w:rsid w:val="00160756"/>
    <w:rsid w:val="00162AB7"/>
    <w:rsid w:val="0017232E"/>
    <w:rsid w:val="00174102"/>
    <w:rsid w:val="001754EE"/>
    <w:rsid w:val="00180157"/>
    <w:rsid w:val="00182440"/>
    <w:rsid w:val="00185C55"/>
    <w:rsid w:val="00185CB9"/>
    <w:rsid w:val="00186F77"/>
    <w:rsid w:val="001921F2"/>
    <w:rsid w:val="001926A4"/>
    <w:rsid w:val="00192AD5"/>
    <w:rsid w:val="001B34D8"/>
    <w:rsid w:val="001B45A0"/>
    <w:rsid w:val="001C2206"/>
    <w:rsid w:val="001C6C3C"/>
    <w:rsid w:val="001D055E"/>
    <w:rsid w:val="001F001C"/>
    <w:rsid w:val="001F492E"/>
    <w:rsid w:val="001F6DA3"/>
    <w:rsid w:val="002010BC"/>
    <w:rsid w:val="002016E7"/>
    <w:rsid w:val="00202E03"/>
    <w:rsid w:val="0020492C"/>
    <w:rsid w:val="002060C7"/>
    <w:rsid w:val="00207D6A"/>
    <w:rsid w:val="00224DB9"/>
    <w:rsid w:val="00233775"/>
    <w:rsid w:val="002363CB"/>
    <w:rsid w:val="00251745"/>
    <w:rsid w:val="002518D3"/>
    <w:rsid w:val="0025226E"/>
    <w:rsid w:val="0025330C"/>
    <w:rsid w:val="00262F7B"/>
    <w:rsid w:val="002634EA"/>
    <w:rsid w:val="00263AC0"/>
    <w:rsid w:val="00264264"/>
    <w:rsid w:val="0026772D"/>
    <w:rsid w:val="002713A5"/>
    <w:rsid w:val="00286874"/>
    <w:rsid w:val="002876B3"/>
    <w:rsid w:val="00290C63"/>
    <w:rsid w:val="00293243"/>
    <w:rsid w:val="00296B65"/>
    <w:rsid w:val="00297C2E"/>
    <w:rsid w:val="002A0C23"/>
    <w:rsid w:val="002A7DEF"/>
    <w:rsid w:val="002B3126"/>
    <w:rsid w:val="002C1039"/>
    <w:rsid w:val="002C233C"/>
    <w:rsid w:val="002D3946"/>
    <w:rsid w:val="002D50F8"/>
    <w:rsid w:val="002D72E8"/>
    <w:rsid w:val="002E576E"/>
    <w:rsid w:val="002E7B22"/>
    <w:rsid w:val="002E7D15"/>
    <w:rsid w:val="002F6DC6"/>
    <w:rsid w:val="002F7491"/>
    <w:rsid w:val="002F7986"/>
    <w:rsid w:val="00301B40"/>
    <w:rsid w:val="003029EE"/>
    <w:rsid w:val="00303DC4"/>
    <w:rsid w:val="00304D66"/>
    <w:rsid w:val="00305CC8"/>
    <w:rsid w:val="00307F6D"/>
    <w:rsid w:val="00315B86"/>
    <w:rsid w:val="003177A2"/>
    <w:rsid w:val="0032014F"/>
    <w:rsid w:val="003271B5"/>
    <w:rsid w:val="00327A1E"/>
    <w:rsid w:val="00331264"/>
    <w:rsid w:val="00334312"/>
    <w:rsid w:val="00334C8D"/>
    <w:rsid w:val="00343479"/>
    <w:rsid w:val="00343A18"/>
    <w:rsid w:val="003518B3"/>
    <w:rsid w:val="00354E88"/>
    <w:rsid w:val="00361A28"/>
    <w:rsid w:val="00361E69"/>
    <w:rsid w:val="003811CA"/>
    <w:rsid w:val="003837DB"/>
    <w:rsid w:val="003846F1"/>
    <w:rsid w:val="003903F6"/>
    <w:rsid w:val="00390585"/>
    <w:rsid w:val="003B1767"/>
    <w:rsid w:val="003B484F"/>
    <w:rsid w:val="003B7FBA"/>
    <w:rsid w:val="003C303F"/>
    <w:rsid w:val="003C3A9C"/>
    <w:rsid w:val="003C5ABC"/>
    <w:rsid w:val="003E6F56"/>
    <w:rsid w:val="003F174D"/>
    <w:rsid w:val="003F2367"/>
    <w:rsid w:val="003F4B0B"/>
    <w:rsid w:val="00400514"/>
    <w:rsid w:val="004035C9"/>
    <w:rsid w:val="00415F31"/>
    <w:rsid w:val="00423298"/>
    <w:rsid w:val="00423A77"/>
    <w:rsid w:val="00432FAA"/>
    <w:rsid w:val="00444564"/>
    <w:rsid w:val="0045194F"/>
    <w:rsid w:val="0045777E"/>
    <w:rsid w:val="00460E89"/>
    <w:rsid w:val="00464DEB"/>
    <w:rsid w:val="00480B4B"/>
    <w:rsid w:val="00485DC4"/>
    <w:rsid w:val="00491349"/>
    <w:rsid w:val="00492389"/>
    <w:rsid w:val="00496EE6"/>
    <w:rsid w:val="004A1508"/>
    <w:rsid w:val="004A18C0"/>
    <w:rsid w:val="004A43D1"/>
    <w:rsid w:val="004A62A9"/>
    <w:rsid w:val="004B4412"/>
    <w:rsid w:val="004C348C"/>
    <w:rsid w:val="004D4888"/>
    <w:rsid w:val="004D55BA"/>
    <w:rsid w:val="004D685C"/>
    <w:rsid w:val="004D7797"/>
    <w:rsid w:val="004E22EC"/>
    <w:rsid w:val="004E3AE1"/>
    <w:rsid w:val="004F6A0E"/>
    <w:rsid w:val="004F7F97"/>
    <w:rsid w:val="00500366"/>
    <w:rsid w:val="0051081A"/>
    <w:rsid w:val="0051212D"/>
    <w:rsid w:val="005237AF"/>
    <w:rsid w:val="00530128"/>
    <w:rsid w:val="00532467"/>
    <w:rsid w:val="00536769"/>
    <w:rsid w:val="00540418"/>
    <w:rsid w:val="00544C12"/>
    <w:rsid w:val="0054580D"/>
    <w:rsid w:val="005518C2"/>
    <w:rsid w:val="00553342"/>
    <w:rsid w:val="00564A4D"/>
    <w:rsid w:val="00567BA5"/>
    <w:rsid w:val="00571B35"/>
    <w:rsid w:val="00571D57"/>
    <w:rsid w:val="00577A09"/>
    <w:rsid w:val="00577A56"/>
    <w:rsid w:val="005829C2"/>
    <w:rsid w:val="00584D8F"/>
    <w:rsid w:val="005A0A09"/>
    <w:rsid w:val="005A404D"/>
    <w:rsid w:val="005B1E3C"/>
    <w:rsid w:val="005B3340"/>
    <w:rsid w:val="005B57E3"/>
    <w:rsid w:val="005B5C77"/>
    <w:rsid w:val="005B704A"/>
    <w:rsid w:val="005C26CC"/>
    <w:rsid w:val="005C49AF"/>
    <w:rsid w:val="005D0F7D"/>
    <w:rsid w:val="005D7BA2"/>
    <w:rsid w:val="005E1C36"/>
    <w:rsid w:val="005E36C2"/>
    <w:rsid w:val="005E66A7"/>
    <w:rsid w:val="005F3CA6"/>
    <w:rsid w:val="00612F4F"/>
    <w:rsid w:val="00615C6B"/>
    <w:rsid w:val="0061613A"/>
    <w:rsid w:val="00621DCE"/>
    <w:rsid w:val="006256FE"/>
    <w:rsid w:val="00625FE8"/>
    <w:rsid w:val="00632D6D"/>
    <w:rsid w:val="00642C3E"/>
    <w:rsid w:val="006537AA"/>
    <w:rsid w:val="0066104A"/>
    <w:rsid w:val="00663DAD"/>
    <w:rsid w:val="00675850"/>
    <w:rsid w:val="00675E20"/>
    <w:rsid w:val="00676679"/>
    <w:rsid w:val="00683C89"/>
    <w:rsid w:val="006914F6"/>
    <w:rsid w:val="0069275F"/>
    <w:rsid w:val="006A08A8"/>
    <w:rsid w:val="006A1CA3"/>
    <w:rsid w:val="006A6035"/>
    <w:rsid w:val="006B2395"/>
    <w:rsid w:val="006B27D8"/>
    <w:rsid w:val="006B2CB1"/>
    <w:rsid w:val="006B4CF9"/>
    <w:rsid w:val="006B7AC8"/>
    <w:rsid w:val="006C1736"/>
    <w:rsid w:val="006C6199"/>
    <w:rsid w:val="006D1232"/>
    <w:rsid w:val="006D5008"/>
    <w:rsid w:val="006D550F"/>
    <w:rsid w:val="006F72BA"/>
    <w:rsid w:val="00701CAB"/>
    <w:rsid w:val="00707563"/>
    <w:rsid w:val="00713956"/>
    <w:rsid w:val="00714518"/>
    <w:rsid w:val="00716DE7"/>
    <w:rsid w:val="0072145B"/>
    <w:rsid w:val="0072348C"/>
    <w:rsid w:val="00724A37"/>
    <w:rsid w:val="007303C3"/>
    <w:rsid w:val="00731756"/>
    <w:rsid w:val="00740726"/>
    <w:rsid w:val="007429BE"/>
    <w:rsid w:val="00743223"/>
    <w:rsid w:val="007432F1"/>
    <w:rsid w:val="00746513"/>
    <w:rsid w:val="00746E01"/>
    <w:rsid w:val="00756CD9"/>
    <w:rsid w:val="00757364"/>
    <w:rsid w:val="00757BDF"/>
    <w:rsid w:val="007609D0"/>
    <w:rsid w:val="00762484"/>
    <w:rsid w:val="00763E5D"/>
    <w:rsid w:val="00765126"/>
    <w:rsid w:val="00767740"/>
    <w:rsid w:val="007721AC"/>
    <w:rsid w:val="00777EE6"/>
    <w:rsid w:val="00782EEA"/>
    <w:rsid w:val="00796270"/>
    <w:rsid w:val="007B186E"/>
    <w:rsid w:val="007B2C72"/>
    <w:rsid w:val="007B4D87"/>
    <w:rsid w:val="007C086B"/>
    <w:rsid w:val="007C1C53"/>
    <w:rsid w:val="007C74BB"/>
    <w:rsid w:val="007C7A20"/>
    <w:rsid w:val="007D456E"/>
    <w:rsid w:val="007E2965"/>
    <w:rsid w:val="007E4904"/>
    <w:rsid w:val="007E4CB5"/>
    <w:rsid w:val="007F066B"/>
    <w:rsid w:val="007F4D58"/>
    <w:rsid w:val="00800A30"/>
    <w:rsid w:val="008033C4"/>
    <w:rsid w:val="00806C88"/>
    <w:rsid w:val="00807C95"/>
    <w:rsid w:val="0081034E"/>
    <w:rsid w:val="00812F95"/>
    <w:rsid w:val="0081406F"/>
    <w:rsid w:val="0081697B"/>
    <w:rsid w:val="008325A1"/>
    <w:rsid w:val="008344F6"/>
    <w:rsid w:val="0083510F"/>
    <w:rsid w:val="00841CAE"/>
    <w:rsid w:val="00842AFA"/>
    <w:rsid w:val="0084660A"/>
    <w:rsid w:val="00851209"/>
    <w:rsid w:val="00865DDD"/>
    <w:rsid w:val="00876992"/>
    <w:rsid w:val="008837AC"/>
    <w:rsid w:val="00884452"/>
    <w:rsid w:val="008A16EB"/>
    <w:rsid w:val="008A4863"/>
    <w:rsid w:val="008A587D"/>
    <w:rsid w:val="008B35CD"/>
    <w:rsid w:val="008B5FCC"/>
    <w:rsid w:val="008C5486"/>
    <w:rsid w:val="008D0193"/>
    <w:rsid w:val="008D1661"/>
    <w:rsid w:val="008D482C"/>
    <w:rsid w:val="008D4903"/>
    <w:rsid w:val="008E298F"/>
    <w:rsid w:val="008E7031"/>
    <w:rsid w:val="008E77DE"/>
    <w:rsid w:val="008F07A3"/>
    <w:rsid w:val="009001B6"/>
    <w:rsid w:val="00900E1B"/>
    <w:rsid w:val="00903AE1"/>
    <w:rsid w:val="009042DB"/>
    <w:rsid w:val="0090431C"/>
    <w:rsid w:val="009233EE"/>
    <w:rsid w:val="00923C65"/>
    <w:rsid w:val="0094456F"/>
    <w:rsid w:val="009460AA"/>
    <w:rsid w:val="00946EDA"/>
    <w:rsid w:val="00951978"/>
    <w:rsid w:val="00956945"/>
    <w:rsid w:val="00961A4A"/>
    <w:rsid w:val="0096615C"/>
    <w:rsid w:val="009661DE"/>
    <w:rsid w:val="00974351"/>
    <w:rsid w:val="0098032C"/>
    <w:rsid w:val="00983C25"/>
    <w:rsid w:val="009856B7"/>
    <w:rsid w:val="009858AC"/>
    <w:rsid w:val="00985C1F"/>
    <w:rsid w:val="00985C86"/>
    <w:rsid w:val="00995E9B"/>
    <w:rsid w:val="00996349"/>
    <w:rsid w:val="00996A8E"/>
    <w:rsid w:val="009978B1"/>
    <w:rsid w:val="009A229B"/>
    <w:rsid w:val="009A25C2"/>
    <w:rsid w:val="009A5841"/>
    <w:rsid w:val="009A5FC3"/>
    <w:rsid w:val="009A6D2C"/>
    <w:rsid w:val="009A7D9D"/>
    <w:rsid w:val="009B090B"/>
    <w:rsid w:val="009B74B0"/>
    <w:rsid w:val="009C0D47"/>
    <w:rsid w:val="009D0067"/>
    <w:rsid w:val="009D33B1"/>
    <w:rsid w:val="009D3906"/>
    <w:rsid w:val="009D6B46"/>
    <w:rsid w:val="009E64BC"/>
    <w:rsid w:val="009F0E7A"/>
    <w:rsid w:val="009F4940"/>
    <w:rsid w:val="009F5BA1"/>
    <w:rsid w:val="009F708A"/>
    <w:rsid w:val="00A02A88"/>
    <w:rsid w:val="00A050A0"/>
    <w:rsid w:val="00A0562E"/>
    <w:rsid w:val="00A05717"/>
    <w:rsid w:val="00A0726D"/>
    <w:rsid w:val="00A20AEB"/>
    <w:rsid w:val="00A25639"/>
    <w:rsid w:val="00A30CB8"/>
    <w:rsid w:val="00A30EB0"/>
    <w:rsid w:val="00A32FBB"/>
    <w:rsid w:val="00A344D3"/>
    <w:rsid w:val="00A364FB"/>
    <w:rsid w:val="00A428EE"/>
    <w:rsid w:val="00A4478A"/>
    <w:rsid w:val="00A44852"/>
    <w:rsid w:val="00A56339"/>
    <w:rsid w:val="00A57D04"/>
    <w:rsid w:val="00A606BF"/>
    <w:rsid w:val="00A60A26"/>
    <w:rsid w:val="00A61598"/>
    <w:rsid w:val="00A63EDD"/>
    <w:rsid w:val="00A64F2B"/>
    <w:rsid w:val="00A672FB"/>
    <w:rsid w:val="00A704B2"/>
    <w:rsid w:val="00A839A3"/>
    <w:rsid w:val="00A84A99"/>
    <w:rsid w:val="00A84F46"/>
    <w:rsid w:val="00A871F4"/>
    <w:rsid w:val="00AA3B8E"/>
    <w:rsid w:val="00AB0BC1"/>
    <w:rsid w:val="00AB4D90"/>
    <w:rsid w:val="00AC0C43"/>
    <w:rsid w:val="00AC1B2C"/>
    <w:rsid w:val="00AC3264"/>
    <w:rsid w:val="00AC4546"/>
    <w:rsid w:val="00AD14DC"/>
    <w:rsid w:val="00AE1BF1"/>
    <w:rsid w:val="00AE4E27"/>
    <w:rsid w:val="00AE66C0"/>
    <w:rsid w:val="00AF0DD2"/>
    <w:rsid w:val="00B06C2F"/>
    <w:rsid w:val="00B13048"/>
    <w:rsid w:val="00B1716D"/>
    <w:rsid w:val="00B17A1D"/>
    <w:rsid w:val="00B20228"/>
    <w:rsid w:val="00B207A0"/>
    <w:rsid w:val="00B217BD"/>
    <w:rsid w:val="00B2303F"/>
    <w:rsid w:val="00B26FB0"/>
    <w:rsid w:val="00B46C0B"/>
    <w:rsid w:val="00B47326"/>
    <w:rsid w:val="00B514DD"/>
    <w:rsid w:val="00B52AF0"/>
    <w:rsid w:val="00B55564"/>
    <w:rsid w:val="00B561BD"/>
    <w:rsid w:val="00B56E03"/>
    <w:rsid w:val="00B64898"/>
    <w:rsid w:val="00B8080B"/>
    <w:rsid w:val="00B81A80"/>
    <w:rsid w:val="00B82223"/>
    <w:rsid w:val="00B84D93"/>
    <w:rsid w:val="00B86230"/>
    <w:rsid w:val="00B87BA5"/>
    <w:rsid w:val="00B87C39"/>
    <w:rsid w:val="00B94FD5"/>
    <w:rsid w:val="00B9562D"/>
    <w:rsid w:val="00B96236"/>
    <w:rsid w:val="00B9733D"/>
    <w:rsid w:val="00B97CEF"/>
    <w:rsid w:val="00BA4665"/>
    <w:rsid w:val="00BB2FB2"/>
    <w:rsid w:val="00BB3304"/>
    <w:rsid w:val="00BC7C28"/>
    <w:rsid w:val="00BD3446"/>
    <w:rsid w:val="00BD5D87"/>
    <w:rsid w:val="00BE1F1B"/>
    <w:rsid w:val="00BE47B5"/>
    <w:rsid w:val="00BF7160"/>
    <w:rsid w:val="00C019F9"/>
    <w:rsid w:val="00C25FA6"/>
    <w:rsid w:val="00C26737"/>
    <w:rsid w:val="00C37AFB"/>
    <w:rsid w:val="00C420BC"/>
    <w:rsid w:val="00C521D1"/>
    <w:rsid w:val="00C5369C"/>
    <w:rsid w:val="00C538A9"/>
    <w:rsid w:val="00C53B5A"/>
    <w:rsid w:val="00C54F5A"/>
    <w:rsid w:val="00C569B4"/>
    <w:rsid w:val="00C57522"/>
    <w:rsid w:val="00C67A92"/>
    <w:rsid w:val="00C711DC"/>
    <w:rsid w:val="00C81758"/>
    <w:rsid w:val="00C84560"/>
    <w:rsid w:val="00C86679"/>
    <w:rsid w:val="00C8739E"/>
    <w:rsid w:val="00C93BAE"/>
    <w:rsid w:val="00C95108"/>
    <w:rsid w:val="00CA3B97"/>
    <w:rsid w:val="00CA489E"/>
    <w:rsid w:val="00CA67ED"/>
    <w:rsid w:val="00CB011B"/>
    <w:rsid w:val="00CB0279"/>
    <w:rsid w:val="00CB666B"/>
    <w:rsid w:val="00CB7B66"/>
    <w:rsid w:val="00CC7F1D"/>
    <w:rsid w:val="00CE1DDC"/>
    <w:rsid w:val="00CE484B"/>
    <w:rsid w:val="00CF6177"/>
    <w:rsid w:val="00D006AE"/>
    <w:rsid w:val="00D01CF0"/>
    <w:rsid w:val="00D0442A"/>
    <w:rsid w:val="00D1563D"/>
    <w:rsid w:val="00D17061"/>
    <w:rsid w:val="00D218B3"/>
    <w:rsid w:val="00D27530"/>
    <w:rsid w:val="00D325B8"/>
    <w:rsid w:val="00D33D2A"/>
    <w:rsid w:val="00D37DE2"/>
    <w:rsid w:val="00D537EB"/>
    <w:rsid w:val="00D549F0"/>
    <w:rsid w:val="00D54BCC"/>
    <w:rsid w:val="00D61388"/>
    <w:rsid w:val="00D61A54"/>
    <w:rsid w:val="00D63BEB"/>
    <w:rsid w:val="00D64DEA"/>
    <w:rsid w:val="00D7168E"/>
    <w:rsid w:val="00D71E57"/>
    <w:rsid w:val="00D80893"/>
    <w:rsid w:val="00D84854"/>
    <w:rsid w:val="00D84CCC"/>
    <w:rsid w:val="00D92CF1"/>
    <w:rsid w:val="00D92D38"/>
    <w:rsid w:val="00D950F5"/>
    <w:rsid w:val="00DA3009"/>
    <w:rsid w:val="00DA4752"/>
    <w:rsid w:val="00DA61F3"/>
    <w:rsid w:val="00DA67AB"/>
    <w:rsid w:val="00DA6A65"/>
    <w:rsid w:val="00DB0F93"/>
    <w:rsid w:val="00DB1A67"/>
    <w:rsid w:val="00DB48C6"/>
    <w:rsid w:val="00DB5074"/>
    <w:rsid w:val="00DB7DE6"/>
    <w:rsid w:val="00DC17D7"/>
    <w:rsid w:val="00DC5D3C"/>
    <w:rsid w:val="00DC6B84"/>
    <w:rsid w:val="00DC7981"/>
    <w:rsid w:val="00DD1F3B"/>
    <w:rsid w:val="00DD4D33"/>
    <w:rsid w:val="00DE0AC9"/>
    <w:rsid w:val="00DE1093"/>
    <w:rsid w:val="00DE3695"/>
    <w:rsid w:val="00DE4EFA"/>
    <w:rsid w:val="00DE5520"/>
    <w:rsid w:val="00DE563D"/>
    <w:rsid w:val="00DE7F00"/>
    <w:rsid w:val="00E0331D"/>
    <w:rsid w:val="00E04818"/>
    <w:rsid w:val="00E06442"/>
    <w:rsid w:val="00E16A90"/>
    <w:rsid w:val="00E1719E"/>
    <w:rsid w:val="00E23993"/>
    <w:rsid w:val="00E2581B"/>
    <w:rsid w:val="00E25B8C"/>
    <w:rsid w:val="00E27C9B"/>
    <w:rsid w:val="00E36B6C"/>
    <w:rsid w:val="00E3766E"/>
    <w:rsid w:val="00E43C30"/>
    <w:rsid w:val="00E55582"/>
    <w:rsid w:val="00E65C85"/>
    <w:rsid w:val="00E66199"/>
    <w:rsid w:val="00E71EB1"/>
    <w:rsid w:val="00E755EC"/>
    <w:rsid w:val="00E7624D"/>
    <w:rsid w:val="00E97452"/>
    <w:rsid w:val="00EA3D42"/>
    <w:rsid w:val="00EA6B1B"/>
    <w:rsid w:val="00EA7522"/>
    <w:rsid w:val="00EC04F1"/>
    <w:rsid w:val="00ED2A57"/>
    <w:rsid w:val="00ED7323"/>
    <w:rsid w:val="00EE28F3"/>
    <w:rsid w:val="00EE50D1"/>
    <w:rsid w:val="00EF1C16"/>
    <w:rsid w:val="00EF5110"/>
    <w:rsid w:val="00EF6D51"/>
    <w:rsid w:val="00F039ED"/>
    <w:rsid w:val="00F0689C"/>
    <w:rsid w:val="00F10411"/>
    <w:rsid w:val="00F15882"/>
    <w:rsid w:val="00F171E0"/>
    <w:rsid w:val="00F20BD3"/>
    <w:rsid w:val="00F271FD"/>
    <w:rsid w:val="00F3302D"/>
    <w:rsid w:val="00F337A3"/>
    <w:rsid w:val="00F33D1C"/>
    <w:rsid w:val="00F373A5"/>
    <w:rsid w:val="00F47559"/>
    <w:rsid w:val="00F606C0"/>
    <w:rsid w:val="00F61B30"/>
    <w:rsid w:val="00F62236"/>
    <w:rsid w:val="00F646E5"/>
    <w:rsid w:val="00F64824"/>
    <w:rsid w:val="00F64C7B"/>
    <w:rsid w:val="00F6589E"/>
    <w:rsid w:val="00F6711A"/>
    <w:rsid w:val="00F676DD"/>
    <w:rsid w:val="00F73143"/>
    <w:rsid w:val="00F75A26"/>
    <w:rsid w:val="00F76706"/>
    <w:rsid w:val="00F83FAD"/>
    <w:rsid w:val="00F952A0"/>
    <w:rsid w:val="00FA2665"/>
    <w:rsid w:val="00FA3C7F"/>
    <w:rsid w:val="00FB60FE"/>
    <w:rsid w:val="00FB70EF"/>
    <w:rsid w:val="00FB74E2"/>
    <w:rsid w:val="00FB7F8F"/>
    <w:rsid w:val="00FD0F3A"/>
    <w:rsid w:val="00FD4C84"/>
    <w:rsid w:val="00FD5614"/>
    <w:rsid w:val="00FD5E78"/>
    <w:rsid w:val="00FD72A5"/>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9535">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8185510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microsoft.com/office/2007/relationships/diagramDrawing" Target="diagrams/drawing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image" Target="media/image7.png"/><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image" Target="media/image6.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ustlii.edu.au/au/legis/vic/bill/emairb2014615/" TargetMode="External"/><Relationship Id="rId1" Type="http://schemas.openxmlformats.org/officeDocument/2006/relationships/hyperlink" Target="http://download.asic.gov.au/media/3062900/rep429-published-19-march-2015-1.pdf"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4682BAF1-FDEC-40C2-B247-7103AF5AEE21}" type="presOf" srcId="{C46829A4-CBEA-434B-AFFA-A763D4F31F9F}" destId="{5454B07C-516E-4134-9667-2DD9F64A5A54}" srcOrd="0" destOrd="0" presId="urn:microsoft.com/office/officeart/2005/8/layout/process4"/>
    <dgm:cxn modelId="{9E049C38-11C6-4C21-935B-6673DC446529}" srcId="{0CD3B7BF-2FEE-4CCC-B56C-756F5811693B}" destId="{9C47A6F4-2D2D-401E-8E8C-257F4F60A451}" srcOrd="0" destOrd="0" parTransId="{FE7AE3C6-CE1F-44D6-B9C8-9CCC9162FA7B}" sibTransId="{184D268C-C8A6-4CB8-8996-1382A65562B7}"/>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63BFE016-DF0A-4CC4-BBB8-19AB877D1BFD}" type="presOf" srcId="{AD28C4B6-4B44-4864-9589-03EDCF6F1FFE}" destId="{A7D909A5-61D3-4FAC-9E1B-94BAFFE149C8}"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322F2083-EDE0-4C2D-BBA9-167EB83BD4AA}" type="presOf" srcId="{0CD3B7BF-2FEE-4CCC-B56C-756F5811693B}" destId="{BB4B5562-5C0F-4F0A-8534-0727E9C644AA}" srcOrd="0" destOrd="0" presId="urn:microsoft.com/office/officeart/2005/8/layout/process4"/>
    <dgm:cxn modelId="{4BB2E7D2-02CA-4134-9D07-ECDF5EE16B7B}" type="presOf" srcId="{9C47A6F4-2D2D-401E-8E8C-257F4F60A451}" destId="{B4C9A1EC-3D30-4803-9C07-A599DAFC6514}"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CD0D9069-2D44-4501-9A27-A050E4BF3F81}" type="presOf" srcId="{1F9AEA4B-1889-4916-A8C4-02A7B409F8FD}" destId="{D15D1D6F-7DCD-4AE5-B149-7785CC2469B6}" srcOrd="0" destOrd="0" presId="urn:microsoft.com/office/officeart/2005/8/layout/process4"/>
    <dgm:cxn modelId="{39208B81-3926-45EE-A21E-D057F941D6DE}" type="presOf" srcId="{AC473FD4-F2AF-45C9-A4B1-550F9CB6BB91}" destId="{02266745-C7A2-4A75-B615-37EF6AD1DF72}" srcOrd="0" destOrd="0" presId="urn:microsoft.com/office/officeart/2005/8/layout/process4"/>
    <dgm:cxn modelId="{47D690A8-970E-487B-8E88-F5EFEA763CA1}" type="presOf" srcId="{0E807F0E-DCCE-4C5B-A50E-80BE0EADF331}" destId="{7706543F-BD42-48EB-9BC6-91648880A2B7}"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18207A08-8841-4577-9411-99D264A7D6DD}" type="presParOf" srcId="{BB4B5562-5C0F-4F0A-8534-0727E9C644AA}" destId="{DD5D9977-7E4F-472F-8460-168066ABE07B}" srcOrd="0" destOrd="0" presId="urn:microsoft.com/office/officeart/2005/8/layout/process4"/>
    <dgm:cxn modelId="{AB6F6860-BF4D-4078-9596-E8BD5EC1EB76}" type="presParOf" srcId="{DD5D9977-7E4F-472F-8460-168066ABE07B}" destId="{A7D909A5-61D3-4FAC-9E1B-94BAFFE149C8}" srcOrd="0" destOrd="0" presId="urn:microsoft.com/office/officeart/2005/8/layout/process4"/>
    <dgm:cxn modelId="{7784711F-4EC7-4A44-A8E1-A00239BB31FE}" type="presParOf" srcId="{BB4B5562-5C0F-4F0A-8534-0727E9C644AA}" destId="{A07F0B10-1172-4DA6-A189-AE7F32936E8F}" srcOrd="1" destOrd="0" presId="urn:microsoft.com/office/officeart/2005/8/layout/process4"/>
    <dgm:cxn modelId="{70E2C791-9920-4652-AFE8-F208C708A827}" type="presParOf" srcId="{BB4B5562-5C0F-4F0A-8534-0727E9C644AA}" destId="{0F1513B9-D83C-4927-9E52-35C8C3516930}" srcOrd="2" destOrd="0" presId="urn:microsoft.com/office/officeart/2005/8/layout/process4"/>
    <dgm:cxn modelId="{8B277489-3345-421F-927D-42EF6BA1FF77}" type="presParOf" srcId="{0F1513B9-D83C-4927-9E52-35C8C3516930}" destId="{5454B07C-516E-4134-9667-2DD9F64A5A54}" srcOrd="0" destOrd="0" presId="urn:microsoft.com/office/officeart/2005/8/layout/process4"/>
    <dgm:cxn modelId="{DE09D7FA-E821-41BA-8CD5-0290FFA00267}" type="presParOf" srcId="{BB4B5562-5C0F-4F0A-8534-0727E9C644AA}" destId="{B3D0E7D6-AE40-4251-92C1-275854055565}" srcOrd="3" destOrd="0" presId="urn:microsoft.com/office/officeart/2005/8/layout/process4"/>
    <dgm:cxn modelId="{00EF56E5-38F7-4ED9-83C8-2CB3BA134B8B}" type="presParOf" srcId="{BB4B5562-5C0F-4F0A-8534-0727E9C644AA}" destId="{714C5785-9474-49A7-A73F-807127D89BCA}" srcOrd="4" destOrd="0" presId="urn:microsoft.com/office/officeart/2005/8/layout/process4"/>
    <dgm:cxn modelId="{4C8F50F8-D15B-451F-960E-92C20C9A93B8}" type="presParOf" srcId="{714C5785-9474-49A7-A73F-807127D89BCA}" destId="{D15D1D6F-7DCD-4AE5-B149-7785CC2469B6}" srcOrd="0" destOrd="0" presId="urn:microsoft.com/office/officeart/2005/8/layout/process4"/>
    <dgm:cxn modelId="{EE2F7E80-9B55-4E20-A493-76EEC57A629A}" type="presParOf" srcId="{BB4B5562-5C0F-4F0A-8534-0727E9C644AA}" destId="{8A400F16-7CF3-4994-BFA9-EFC77DA1DC2A}" srcOrd="5" destOrd="0" presId="urn:microsoft.com/office/officeart/2005/8/layout/process4"/>
    <dgm:cxn modelId="{C8F7C27A-89A2-4FE3-ABDC-41BBDB2C23DB}" type="presParOf" srcId="{BB4B5562-5C0F-4F0A-8534-0727E9C644AA}" destId="{6B3250BC-549E-434B-8809-7435ACEF18C0}" srcOrd="6" destOrd="0" presId="urn:microsoft.com/office/officeart/2005/8/layout/process4"/>
    <dgm:cxn modelId="{0DC5BF92-5167-48E1-B561-74C79F7C07CF}" type="presParOf" srcId="{6B3250BC-549E-434B-8809-7435ACEF18C0}" destId="{7706543F-BD42-48EB-9BC6-91648880A2B7}" srcOrd="0" destOrd="0" presId="urn:microsoft.com/office/officeart/2005/8/layout/process4"/>
    <dgm:cxn modelId="{57C1B1AB-5DD5-4ABA-8FF6-776B3074CAAC}" type="presParOf" srcId="{BB4B5562-5C0F-4F0A-8534-0727E9C644AA}" destId="{8CFCB65B-3915-4013-A96F-429D6794E64C}" srcOrd="7" destOrd="0" presId="urn:microsoft.com/office/officeart/2005/8/layout/process4"/>
    <dgm:cxn modelId="{62D7B113-B698-4AEF-BBE8-E1B0FBE99427}" type="presParOf" srcId="{BB4B5562-5C0F-4F0A-8534-0727E9C644AA}" destId="{6C011B82-E905-4451-9B10-D18306875232}" srcOrd="8" destOrd="0" presId="urn:microsoft.com/office/officeart/2005/8/layout/process4"/>
    <dgm:cxn modelId="{5BFD821C-D9BB-49EA-97D8-8D45D336708A}" type="presParOf" srcId="{6C011B82-E905-4451-9B10-D18306875232}" destId="{02266745-C7A2-4A75-B615-37EF6AD1DF72}" srcOrd="0" destOrd="0" presId="urn:microsoft.com/office/officeart/2005/8/layout/process4"/>
    <dgm:cxn modelId="{8CEDCB14-A7A4-4077-8769-9864C590C9E8}" type="presParOf" srcId="{BB4B5562-5C0F-4F0A-8534-0727E9C644AA}" destId="{739FF07F-9438-4C1C-ABA5-1BBDD1414B3F}" srcOrd="9" destOrd="0" presId="urn:microsoft.com/office/officeart/2005/8/layout/process4"/>
    <dgm:cxn modelId="{49D0D7F2-CE61-48BF-94EC-4B99AEFCF207}" type="presParOf" srcId="{BB4B5562-5C0F-4F0A-8534-0727E9C644AA}" destId="{B50945C0-8D1A-4679-A5CE-B82540D7EBEC}" srcOrd="10" destOrd="0" presId="urn:microsoft.com/office/officeart/2005/8/layout/process4"/>
    <dgm:cxn modelId="{9A2193AF-93F2-459D-A27E-8716133733C2}"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BCE17E-219D-4F11-83B8-6537920B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25870576</Template>
  <TotalTime>0</TotalTime>
  <Pages>71</Pages>
  <Words>21632</Words>
  <Characters>123309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AusNet Services 2017-22 - Draft decision - Attachment 7 - Operating expenditure</vt:lpstr>
    </vt:vector>
  </TitlesOfParts>
  <LinksUpToDate>false</LinksUpToDate>
  <CharactersWithSpaces>144652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7 - Operating expenditure</dc:title>
  <dc:creator/>
  <cp:lastModifiedBy/>
  <cp:revision>1</cp:revision>
  <dcterms:created xsi:type="dcterms:W3CDTF">2016-07-18T00:45:00Z</dcterms:created>
  <dcterms:modified xsi:type="dcterms:W3CDTF">2016-07-19T04:31:00Z</dcterms:modified>
</cp:coreProperties>
</file>