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D0470" w:rsidP="00290C63">
          <w:r w:rsidRPr="00DD0470">
            <w:rPr>
              <w:noProof/>
              <w:lang w:eastAsia="en-AU"/>
            </w:rPr>
            <w:drawing>
              <wp:anchor distT="0" distB="0" distL="114300" distR="114300" simplePos="0" relativeHeight="251659264" behindDoc="1" locked="0" layoutInCell="1" allowOverlap="1" wp14:anchorId="0FE24B93" wp14:editId="777A1333">
                <wp:simplePos x="0" y="0"/>
                <wp:positionH relativeFrom="column">
                  <wp:posOffset>-1101344</wp:posOffset>
                </wp:positionH>
                <wp:positionV relativeFrom="paragraph">
                  <wp:posOffset>-913130</wp:posOffset>
                </wp:positionV>
                <wp:extent cx="7572375" cy="10703560"/>
                <wp:effectExtent l="0" t="0" r="9525"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72375" cy="107035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B9733D">
            <w:t>DRAFT</w:t>
          </w:r>
          <w:r w:rsidR="00DA4752">
            <w:t xml:space="preserve"> DECISION</w:t>
          </w:r>
        </w:p>
        <w:p w:rsidR="00415F31" w:rsidRDefault="00B9733D" w:rsidP="008F07A3">
          <w:pPr>
            <w:pStyle w:val="ReportSubtitle"/>
          </w:pPr>
          <w:r>
            <w:t>AusNet Services</w:t>
          </w:r>
          <w:r w:rsidR="00415F31">
            <w:t xml:space="preserve"> transmission </w:t>
          </w:r>
          <w:r w:rsidR="00DA4752">
            <w:t>determination</w:t>
          </w:r>
        </w:p>
        <w:p w:rsidR="00C0551A" w:rsidRDefault="00C0551A" w:rsidP="008F07A3">
          <w:pPr>
            <w:pStyle w:val="ReportSubtitle"/>
          </w:pPr>
          <w:r>
            <w:t>2017–18 to 2021–22</w:t>
          </w:r>
        </w:p>
        <w:p w:rsidR="008F07A3" w:rsidRPr="000A6C7B" w:rsidRDefault="00DA4752" w:rsidP="00C0551A">
          <w:r>
            <w:t xml:space="preserve"> </w:t>
          </w:r>
        </w:p>
        <w:p w:rsidR="000A6C7B" w:rsidRPr="000A6C7B" w:rsidRDefault="00DA4752" w:rsidP="008F07A3">
          <w:pPr>
            <w:pStyle w:val="ReportSubtitle"/>
          </w:pPr>
          <w:r>
            <w:t xml:space="preserve">Attachment </w:t>
          </w:r>
          <w:r w:rsidR="00964D55">
            <w:t>9</w:t>
          </w:r>
          <w:r>
            <w:t xml:space="preserve"> </w:t>
          </w:r>
          <w:r w:rsidR="00415F31">
            <w:rPr>
              <w:rFonts w:cs="Arial"/>
            </w:rPr>
            <w:t>–</w:t>
          </w:r>
          <w:r>
            <w:t xml:space="preserve"> </w:t>
          </w:r>
          <w:r w:rsidR="00964D55">
            <w:t>Efficiency benefit sharing scheme</w:t>
          </w:r>
        </w:p>
        <w:p w:rsidR="00B9733D" w:rsidRDefault="00B9733D" w:rsidP="00327A1E">
          <w:pPr>
            <w:pStyle w:val="ReportDate"/>
          </w:pPr>
        </w:p>
        <w:p w:rsidR="000A6C7B" w:rsidRPr="00327A1E" w:rsidRDefault="005D3C82" w:rsidP="00327A1E">
          <w:pPr>
            <w:pStyle w:val="ReportDate"/>
          </w:pPr>
          <w:r>
            <w:t xml:space="preserve">July </w:t>
          </w:r>
          <w:r w:rsidR="00DA4752">
            <w:t>201</w:t>
          </w:r>
          <w:r w:rsidR="00B9733D">
            <w:t>6</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B9562D" w:rsidRDefault="000A6C7B" w:rsidP="00B9562D">
      <w:pPr>
        <w:pStyle w:val="Copyright"/>
      </w:pPr>
      <w:r>
        <w:t xml:space="preserve">Tel: </w:t>
      </w:r>
      <w:r w:rsidR="004E15EB">
        <w:t>1300 585 165</w:t>
      </w:r>
      <w:r w:rsidR="00951978">
        <w:br/>
      </w:r>
      <w:r>
        <w:t xml:space="preserve">Email: </w:t>
      </w:r>
      <w:hyperlink r:id="rId11" w:history="1">
        <w:r w:rsidRPr="00D64888">
          <w:rPr>
            <w:rStyle w:val="Hyperlink"/>
          </w:rPr>
          <w:t>AERInquiry@aer.gov.au</w:t>
        </w:r>
      </w:hyperlink>
      <w:r w:rsidR="00951978">
        <w:rPr>
          <w:rStyle w:val="Hyperlink"/>
        </w:rPr>
        <w:br/>
      </w:r>
    </w:p>
    <w:p w:rsidR="008F07A3" w:rsidRPr="009D3906" w:rsidRDefault="00415F31" w:rsidP="00B9562D">
      <w:pPr>
        <w:pStyle w:val="Copyright"/>
      </w:pPr>
      <w:r w:rsidRPr="009D3906">
        <w:t>AER reference:</w:t>
      </w:r>
      <w:r w:rsidRPr="009D3906">
        <w:tab/>
        <w:t>53444</w:t>
      </w:r>
    </w:p>
    <w:p w:rsidR="009001B6" w:rsidRDefault="009001B6">
      <w:pPr>
        <w:spacing w:line="240" w:lineRule="auto"/>
      </w:pPr>
      <w:bookmarkStart w:id="1" w:name="_Toc404354899"/>
      <w:bookmarkStart w:id="2" w:name="_Toc404353070"/>
      <w:bookmarkStart w:id="3" w:name="_Toc404684201"/>
      <w:bookmarkStart w:id="4" w:name="_Toc404700923"/>
      <w:r>
        <w:br w:type="page"/>
      </w:r>
    </w:p>
    <w:p w:rsidR="008F07A3" w:rsidRDefault="00DA61F3" w:rsidP="008F07A3">
      <w:pPr>
        <w:pStyle w:val="UnnumberedHeading"/>
        <w:numPr>
          <w:ilvl w:val="0"/>
          <w:numId w:val="24"/>
        </w:numPr>
      </w:pPr>
      <w:bookmarkStart w:id="5" w:name="_Toc456602448"/>
      <w:r>
        <w:lastRenderedPageBreak/>
        <w:t>N</w:t>
      </w:r>
      <w:r w:rsidR="008F07A3">
        <w:t>ote</w:t>
      </w:r>
      <w:bookmarkEnd w:id="1"/>
      <w:bookmarkEnd w:id="2"/>
      <w:bookmarkEnd w:id="3"/>
      <w:bookmarkEnd w:id="4"/>
      <w:bookmarkEnd w:id="5"/>
    </w:p>
    <w:p w:rsidR="00415F31" w:rsidRDefault="00415F31" w:rsidP="00415F31">
      <w:pPr>
        <w:numPr>
          <w:ilvl w:val="0"/>
          <w:numId w:val="25"/>
        </w:numPr>
        <w:spacing w:before="0" w:after="240" w:line="288" w:lineRule="auto"/>
        <w:jc w:val="both"/>
      </w:pPr>
    </w:p>
    <w:p w:rsidR="00415F31" w:rsidRDefault="008F07A3" w:rsidP="00415F31">
      <w:pPr>
        <w:numPr>
          <w:ilvl w:val="0"/>
          <w:numId w:val="25"/>
        </w:numPr>
        <w:spacing w:before="0" w:after="240" w:line="288" w:lineRule="auto"/>
        <w:jc w:val="both"/>
      </w:pPr>
      <w:r>
        <w:t xml:space="preserve">This </w:t>
      </w:r>
      <w:r w:rsidR="00415F31">
        <w:t xml:space="preserve">attachment forms part of the AER's </w:t>
      </w:r>
      <w:r w:rsidR="000B321F">
        <w:t>draft</w:t>
      </w:r>
      <w:r w:rsidR="00415F31">
        <w:t xml:space="preserve"> decision on </w:t>
      </w:r>
      <w:r w:rsidR="000B321F">
        <w:t>AusNet Services’</w:t>
      </w:r>
      <w:r w:rsidR="00415F31">
        <w:t xml:space="preserve"> revenue proposal 201</w:t>
      </w:r>
      <w:r w:rsidR="000B321F">
        <w:t>7</w:t>
      </w:r>
      <w:r w:rsidR="00415F31" w:rsidRPr="00D904FA">
        <w:t>–</w:t>
      </w:r>
      <w:r w:rsidR="000B321F">
        <w:t>22</w:t>
      </w:r>
      <w:r w:rsidR="00415F31">
        <w:t xml:space="preserve">. It should be read with other parts of the </w:t>
      </w:r>
      <w:r w:rsidR="000B321F">
        <w:t>draft</w:t>
      </w:r>
      <w:r w:rsidR="00415F31">
        <w:t xml:space="preserve"> decision.</w:t>
      </w:r>
    </w:p>
    <w:p w:rsidR="00415F31" w:rsidRDefault="00415F31" w:rsidP="00415F31">
      <w:pPr>
        <w:numPr>
          <w:ilvl w:val="0"/>
          <w:numId w:val="25"/>
        </w:numPr>
        <w:spacing w:before="0" w:after="240" w:line="288" w:lineRule="auto"/>
        <w:jc w:val="both"/>
      </w:pPr>
      <w:r>
        <w:t xml:space="preserve">The </w:t>
      </w:r>
      <w:r w:rsidR="000B321F">
        <w:t>draft</w:t>
      </w:r>
      <w:r>
        <w:t xml:space="preserve"> decision includes the following documents:</w:t>
      </w:r>
    </w:p>
    <w:p w:rsidR="00415F31" w:rsidRDefault="00415F31" w:rsidP="00415F31">
      <w:pPr>
        <w:numPr>
          <w:ilvl w:val="0"/>
          <w:numId w:val="25"/>
        </w:numPr>
        <w:spacing w:before="0" w:after="240" w:line="288" w:lineRule="auto"/>
        <w:jc w:val="both"/>
      </w:pPr>
      <w:r>
        <w:t>Overview</w:t>
      </w:r>
    </w:p>
    <w:p w:rsidR="00415F31" w:rsidRDefault="00415F31" w:rsidP="00415F31">
      <w:pPr>
        <w:numPr>
          <w:ilvl w:val="0"/>
          <w:numId w:val="25"/>
        </w:numPr>
        <w:spacing w:before="0" w:after="240" w:line="288" w:lineRule="auto"/>
        <w:jc w:val="both"/>
      </w:pPr>
      <w:r>
        <w:t>Attachment 1 – maximum allowed revenue</w:t>
      </w:r>
    </w:p>
    <w:p w:rsidR="00415F31" w:rsidRDefault="00415F31" w:rsidP="00415F31">
      <w:pPr>
        <w:numPr>
          <w:ilvl w:val="0"/>
          <w:numId w:val="25"/>
        </w:numPr>
        <w:spacing w:before="0" w:after="240" w:line="288" w:lineRule="auto"/>
        <w:jc w:val="both"/>
      </w:pPr>
      <w:r>
        <w:t>Attachment 2 – regulatory asset base</w:t>
      </w:r>
    </w:p>
    <w:p w:rsidR="00415F31" w:rsidRDefault="00415F31" w:rsidP="00415F31">
      <w:pPr>
        <w:numPr>
          <w:ilvl w:val="0"/>
          <w:numId w:val="25"/>
        </w:numPr>
        <w:spacing w:before="0" w:after="240" w:line="288" w:lineRule="auto"/>
        <w:jc w:val="both"/>
      </w:pPr>
      <w:r>
        <w:t>Attachment 3 – rate of return</w:t>
      </w:r>
    </w:p>
    <w:p w:rsidR="00415F31" w:rsidRDefault="00415F31" w:rsidP="00415F31">
      <w:pPr>
        <w:numPr>
          <w:ilvl w:val="0"/>
          <w:numId w:val="25"/>
        </w:numPr>
        <w:spacing w:before="0" w:after="240" w:line="288" w:lineRule="auto"/>
        <w:jc w:val="both"/>
      </w:pPr>
      <w:r>
        <w:t>Attachment 4 – value of imputation credits</w:t>
      </w:r>
    </w:p>
    <w:p w:rsidR="00415F31" w:rsidRDefault="00415F31" w:rsidP="00415F31">
      <w:pPr>
        <w:numPr>
          <w:ilvl w:val="0"/>
          <w:numId w:val="25"/>
        </w:numPr>
        <w:spacing w:before="0" w:after="240" w:line="288" w:lineRule="auto"/>
        <w:jc w:val="both"/>
      </w:pPr>
      <w:r>
        <w:t>Attachment 5 – regulatory depreciation</w:t>
      </w:r>
    </w:p>
    <w:p w:rsidR="00415F31" w:rsidRDefault="00415F31" w:rsidP="00415F31">
      <w:pPr>
        <w:numPr>
          <w:ilvl w:val="0"/>
          <w:numId w:val="25"/>
        </w:numPr>
        <w:spacing w:before="0" w:after="240" w:line="288" w:lineRule="auto"/>
        <w:jc w:val="both"/>
      </w:pPr>
      <w:r>
        <w:t xml:space="preserve">Attachment 6 – capital expenditure </w:t>
      </w:r>
    </w:p>
    <w:p w:rsidR="00415F31" w:rsidRDefault="00415F31" w:rsidP="00415F31">
      <w:pPr>
        <w:numPr>
          <w:ilvl w:val="0"/>
          <w:numId w:val="25"/>
        </w:numPr>
        <w:spacing w:before="0" w:after="240" w:line="288" w:lineRule="auto"/>
        <w:jc w:val="both"/>
      </w:pPr>
      <w:r>
        <w:t>Attachment 7 – operating expenditure</w:t>
      </w:r>
    </w:p>
    <w:p w:rsidR="00415F31" w:rsidRDefault="00415F31" w:rsidP="00415F31">
      <w:pPr>
        <w:numPr>
          <w:ilvl w:val="0"/>
          <w:numId w:val="25"/>
        </w:numPr>
        <w:spacing w:before="0" w:after="240" w:line="288" w:lineRule="auto"/>
        <w:jc w:val="both"/>
      </w:pPr>
      <w:r>
        <w:t>Attachment 8 – corporate income tax</w:t>
      </w:r>
    </w:p>
    <w:p w:rsidR="00415F31" w:rsidRDefault="00415F31" w:rsidP="00415F31">
      <w:pPr>
        <w:numPr>
          <w:ilvl w:val="0"/>
          <w:numId w:val="25"/>
        </w:numPr>
        <w:spacing w:before="0" w:after="240" w:line="288" w:lineRule="auto"/>
        <w:jc w:val="both"/>
      </w:pPr>
      <w:r>
        <w:t>Attachment 9 – efficiency benefit sharing scheme</w:t>
      </w:r>
    </w:p>
    <w:p w:rsidR="00415F31" w:rsidRDefault="00415F31" w:rsidP="00415F31">
      <w:pPr>
        <w:numPr>
          <w:ilvl w:val="0"/>
          <w:numId w:val="25"/>
        </w:numPr>
        <w:spacing w:before="0" w:after="240" w:line="288" w:lineRule="auto"/>
        <w:jc w:val="both"/>
      </w:pPr>
      <w:r>
        <w:t>Attachment 10 – capital expenditure sharing scheme</w:t>
      </w:r>
    </w:p>
    <w:p w:rsidR="00415F31" w:rsidRDefault="00415F31" w:rsidP="00415F31">
      <w:pPr>
        <w:numPr>
          <w:ilvl w:val="0"/>
          <w:numId w:val="25"/>
        </w:numPr>
        <w:spacing w:before="0" w:after="240" w:line="288" w:lineRule="auto"/>
        <w:jc w:val="both"/>
      </w:pPr>
      <w:r>
        <w:t>Attachment 11 – service target performance incentive scheme</w:t>
      </w:r>
    </w:p>
    <w:p w:rsidR="00415F31" w:rsidRPr="00D904FA" w:rsidRDefault="00415F31" w:rsidP="00415F31">
      <w:pPr>
        <w:numPr>
          <w:ilvl w:val="0"/>
          <w:numId w:val="25"/>
        </w:numPr>
        <w:spacing w:before="0" w:after="240" w:line="288" w:lineRule="auto"/>
        <w:jc w:val="both"/>
      </w:pPr>
      <w:r>
        <w:t xml:space="preserve">Attachment 12 – </w:t>
      </w:r>
      <w:r w:rsidRPr="00D904FA">
        <w:t>pricing methodology</w:t>
      </w:r>
    </w:p>
    <w:p w:rsidR="00415F31" w:rsidRPr="00D904FA" w:rsidRDefault="00415F31" w:rsidP="00415F31">
      <w:pPr>
        <w:numPr>
          <w:ilvl w:val="0"/>
          <w:numId w:val="25"/>
        </w:numPr>
        <w:spacing w:before="0" w:after="240" w:line="288" w:lineRule="auto"/>
        <w:jc w:val="both"/>
      </w:pPr>
      <w:r>
        <w:t xml:space="preserve">Attachment 13 </w:t>
      </w:r>
      <w:r w:rsidRPr="00D904FA">
        <w:t>– pass through events</w:t>
      </w:r>
    </w:p>
    <w:p w:rsidR="00415F31" w:rsidRDefault="00415F31" w:rsidP="00415F31">
      <w:r w:rsidRPr="00D904FA">
        <w:t>Attachment 14 – negotiated services</w:t>
      </w:r>
    </w:p>
    <w:p w:rsidR="008F07A3" w:rsidRPr="008F07A3" w:rsidRDefault="008F07A3" w:rsidP="00415F31">
      <w:pPr>
        <w:numPr>
          <w:ilvl w:val="0"/>
          <w:numId w:val="25"/>
        </w:numPr>
        <w:sectPr w:rsidR="008F07A3" w:rsidRPr="008F07A3" w:rsidSect="001754EE">
          <w:headerReference w:type="even" r:id="rId12"/>
          <w:headerReference w:type="default" r:id="rId13"/>
          <w:footerReference w:type="even" r:id="rId14"/>
          <w:footerReference w:type="default" r:id="rId15"/>
          <w:headerReference w:type="first" r:id="rId16"/>
          <w:footerReference w:type="first" r:id="rId17"/>
          <w:pgSz w:w="11906" w:h="16838" w:code="9"/>
          <w:pgMar w:top="1440" w:right="1700" w:bottom="1582" w:left="1729" w:header="720" w:footer="0" w:gutter="0"/>
          <w:pgNumType w:start="0" w:chapStyle="1"/>
          <w:cols w:space="720"/>
          <w:docGrid w:linePitch="326"/>
        </w:sectPr>
      </w:pPr>
    </w:p>
    <w:p w:rsidR="00DE563D" w:rsidRPr="00A72B34" w:rsidRDefault="00DE563D" w:rsidP="00DE563D">
      <w:pPr>
        <w:pStyle w:val="UnnumberedHeading"/>
        <w:numPr>
          <w:ilvl w:val="0"/>
          <w:numId w:val="24"/>
        </w:numPr>
      </w:pPr>
      <w:bookmarkStart w:id="6" w:name="_Toc403144133"/>
      <w:bookmarkStart w:id="7" w:name="_Toc456602449"/>
      <w:r>
        <w:lastRenderedPageBreak/>
        <w:t>Contents</w:t>
      </w:r>
      <w:bookmarkEnd w:id="6"/>
      <w:bookmarkEnd w:id="7"/>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sdtContent>
        <w:p w:rsidR="00B02157" w:rsidRDefault="00DE563D">
          <w:pPr>
            <w:pStyle w:val="TOC1"/>
            <w:rPr>
              <w:rFonts w:asciiTheme="minorHAnsi" w:eastAsiaTheme="minorEastAsia" w:hAnsiTheme="minorHAnsi"/>
              <w:b w:val="0"/>
              <w:color w:val="auto"/>
              <w:sz w:val="22"/>
              <w:lang w:val="en-AU" w:eastAsia="en-AU"/>
            </w:rPr>
          </w:pPr>
          <w:r>
            <w:rPr>
              <w:color w:val="auto"/>
              <w:sz w:val="22"/>
            </w:rPr>
            <w:fldChar w:fldCharType="begin"/>
          </w:r>
          <w:r>
            <w:instrText xml:space="preserve"> TOC \o \h \z \u </w:instrText>
          </w:r>
          <w:r>
            <w:rPr>
              <w:color w:val="auto"/>
              <w:sz w:val="22"/>
            </w:rPr>
            <w:fldChar w:fldCharType="separate"/>
          </w:r>
          <w:hyperlink w:anchor="_Toc456602448" w:history="1">
            <w:r w:rsidR="00B02157" w:rsidRPr="00C30971">
              <w:rPr>
                <w:rStyle w:val="Hyperlink"/>
              </w:rPr>
              <w:t>Note</w:t>
            </w:r>
            <w:r w:rsidR="00B02157">
              <w:rPr>
                <w:webHidden/>
              </w:rPr>
              <w:tab/>
            </w:r>
            <w:r w:rsidR="00B02157">
              <w:rPr>
                <w:webHidden/>
              </w:rPr>
              <w:fldChar w:fldCharType="begin"/>
            </w:r>
            <w:r w:rsidR="00B02157">
              <w:rPr>
                <w:webHidden/>
              </w:rPr>
              <w:instrText xml:space="preserve"> PAGEREF _Toc456602448 \h </w:instrText>
            </w:r>
            <w:r w:rsidR="00B02157">
              <w:rPr>
                <w:webHidden/>
              </w:rPr>
            </w:r>
            <w:r w:rsidR="00B02157">
              <w:rPr>
                <w:webHidden/>
              </w:rPr>
              <w:fldChar w:fldCharType="separate"/>
            </w:r>
            <w:r w:rsidR="00B02157">
              <w:rPr>
                <w:webHidden/>
              </w:rPr>
              <w:t>9-2</w:t>
            </w:r>
            <w:r w:rsidR="00B02157">
              <w:rPr>
                <w:webHidden/>
              </w:rPr>
              <w:fldChar w:fldCharType="end"/>
            </w:r>
          </w:hyperlink>
        </w:p>
        <w:p w:rsidR="00B02157" w:rsidRDefault="00927C6C">
          <w:pPr>
            <w:pStyle w:val="TOC1"/>
            <w:rPr>
              <w:rFonts w:asciiTheme="minorHAnsi" w:eastAsiaTheme="minorEastAsia" w:hAnsiTheme="minorHAnsi"/>
              <w:b w:val="0"/>
              <w:color w:val="auto"/>
              <w:sz w:val="22"/>
              <w:lang w:val="en-AU" w:eastAsia="en-AU"/>
            </w:rPr>
          </w:pPr>
          <w:hyperlink w:anchor="_Toc456602449" w:history="1">
            <w:r w:rsidR="00B02157" w:rsidRPr="00C30971">
              <w:rPr>
                <w:rStyle w:val="Hyperlink"/>
              </w:rPr>
              <w:t>Contents</w:t>
            </w:r>
            <w:r w:rsidR="00B02157">
              <w:rPr>
                <w:webHidden/>
              </w:rPr>
              <w:tab/>
            </w:r>
            <w:r w:rsidR="00B02157">
              <w:rPr>
                <w:webHidden/>
              </w:rPr>
              <w:fldChar w:fldCharType="begin"/>
            </w:r>
            <w:r w:rsidR="00B02157">
              <w:rPr>
                <w:webHidden/>
              </w:rPr>
              <w:instrText xml:space="preserve"> PAGEREF _Toc456602449 \h </w:instrText>
            </w:r>
            <w:r w:rsidR="00B02157">
              <w:rPr>
                <w:webHidden/>
              </w:rPr>
            </w:r>
            <w:r w:rsidR="00B02157">
              <w:rPr>
                <w:webHidden/>
              </w:rPr>
              <w:fldChar w:fldCharType="separate"/>
            </w:r>
            <w:r w:rsidR="00B02157">
              <w:rPr>
                <w:webHidden/>
              </w:rPr>
              <w:t>9-3</w:t>
            </w:r>
            <w:r w:rsidR="00B02157">
              <w:rPr>
                <w:webHidden/>
              </w:rPr>
              <w:fldChar w:fldCharType="end"/>
            </w:r>
          </w:hyperlink>
        </w:p>
        <w:p w:rsidR="00B02157" w:rsidRDefault="00927C6C">
          <w:pPr>
            <w:pStyle w:val="TOC1"/>
            <w:rPr>
              <w:rFonts w:asciiTheme="minorHAnsi" w:eastAsiaTheme="minorEastAsia" w:hAnsiTheme="minorHAnsi"/>
              <w:b w:val="0"/>
              <w:color w:val="auto"/>
              <w:sz w:val="22"/>
              <w:lang w:val="en-AU" w:eastAsia="en-AU"/>
            </w:rPr>
          </w:pPr>
          <w:hyperlink w:anchor="_Toc456602450" w:history="1">
            <w:r w:rsidR="00B02157" w:rsidRPr="00C30971">
              <w:rPr>
                <w:rStyle w:val="Hyperlink"/>
              </w:rPr>
              <w:t>Shortened forms</w:t>
            </w:r>
            <w:r w:rsidR="00B02157">
              <w:rPr>
                <w:webHidden/>
              </w:rPr>
              <w:tab/>
            </w:r>
            <w:r w:rsidR="00B02157">
              <w:rPr>
                <w:webHidden/>
              </w:rPr>
              <w:fldChar w:fldCharType="begin"/>
            </w:r>
            <w:r w:rsidR="00B02157">
              <w:rPr>
                <w:webHidden/>
              </w:rPr>
              <w:instrText xml:space="preserve"> PAGEREF _Toc456602450 \h </w:instrText>
            </w:r>
            <w:r w:rsidR="00B02157">
              <w:rPr>
                <w:webHidden/>
              </w:rPr>
            </w:r>
            <w:r w:rsidR="00B02157">
              <w:rPr>
                <w:webHidden/>
              </w:rPr>
              <w:fldChar w:fldCharType="separate"/>
            </w:r>
            <w:r w:rsidR="00B02157">
              <w:rPr>
                <w:webHidden/>
              </w:rPr>
              <w:t>9-4</w:t>
            </w:r>
            <w:r w:rsidR="00B02157">
              <w:rPr>
                <w:webHidden/>
              </w:rPr>
              <w:fldChar w:fldCharType="end"/>
            </w:r>
          </w:hyperlink>
        </w:p>
        <w:p w:rsidR="00B02157" w:rsidRDefault="00927C6C">
          <w:pPr>
            <w:pStyle w:val="TOC1"/>
            <w:rPr>
              <w:rFonts w:asciiTheme="minorHAnsi" w:eastAsiaTheme="minorEastAsia" w:hAnsiTheme="minorHAnsi"/>
              <w:b w:val="0"/>
              <w:color w:val="auto"/>
              <w:sz w:val="22"/>
              <w:lang w:val="en-AU" w:eastAsia="en-AU"/>
            </w:rPr>
          </w:pPr>
          <w:hyperlink w:anchor="_Toc456602451" w:history="1">
            <w:r w:rsidR="00B02157" w:rsidRPr="00C30971">
              <w:rPr>
                <w:rStyle w:val="Hyperlink"/>
              </w:rPr>
              <w:t>9</w:t>
            </w:r>
            <w:r w:rsidR="00B02157">
              <w:rPr>
                <w:rFonts w:asciiTheme="minorHAnsi" w:eastAsiaTheme="minorEastAsia" w:hAnsiTheme="minorHAnsi"/>
                <w:b w:val="0"/>
                <w:color w:val="auto"/>
                <w:sz w:val="22"/>
                <w:lang w:val="en-AU" w:eastAsia="en-AU"/>
              </w:rPr>
              <w:tab/>
            </w:r>
            <w:r w:rsidR="00B02157" w:rsidRPr="00C30971">
              <w:rPr>
                <w:rStyle w:val="Hyperlink"/>
              </w:rPr>
              <w:t>Efficiency benefit sharing scheme</w:t>
            </w:r>
            <w:r w:rsidR="00B02157">
              <w:rPr>
                <w:webHidden/>
              </w:rPr>
              <w:tab/>
            </w:r>
            <w:r w:rsidR="00B02157">
              <w:rPr>
                <w:webHidden/>
              </w:rPr>
              <w:fldChar w:fldCharType="begin"/>
            </w:r>
            <w:r w:rsidR="00B02157">
              <w:rPr>
                <w:webHidden/>
              </w:rPr>
              <w:instrText xml:space="preserve"> PAGEREF _Toc456602451 \h </w:instrText>
            </w:r>
            <w:r w:rsidR="00B02157">
              <w:rPr>
                <w:webHidden/>
              </w:rPr>
            </w:r>
            <w:r w:rsidR="00B02157">
              <w:rPr>
                <w:webHidden/>
              </w:rPr>
              <w:fldChar w:fldCharType="separate"/>
            </w:r>
            <w:r w:rsidR="00B02157">
              <w:rPr>
                <w:webHidden/>
              </w:rPr>
              <w:t>9-6</w:t>
            </w:r>
            <w:r w:rsidR="00B02157">
              <w:rPr>
                <w:webHidden/>
              </w:rPr>
              <w:fldChar w:fldCharType="end"/>
            </w:r>
          </w:hyperlink>
        </w:p>
        <w:p w:rsidR="00B02157" w:rsidRDefault="00927C6C">
          <w:pPr>
            <w:pStyle w:val="TOC2"/>
            <w:rPr>
              <w:rFonts w:asciiTheme="minorHAnsi" w:eastAsiaTheme="minorEastAsia" w:hAnsiTheme="minorHAnsi"/>
              <w:b w:val="0"/>
              <w:color w:val="auto"/>
              <w:sz w:val="22"/>
              <w:lang w:eastAsia="en-AU"/>
            </w:rPr>
          </w:pPr>
          <w:hyperlink w:anchor="_Toc456602452" w:history="1">
            <w:r w:rsidR="00B02157" w:rsidRPr="00C30971">
              <w:rPr>
                <w:rStyle w:val="Hyperlink"/>
              </w:rPr>
              <w:t>9.1</w:t>
            </w:r>
            <w:r w:rsidR="00B02157">
              <w:rPr>
                <w:rFonts w:asciiTheme="minorHAnsi" w:eastAsiaTheme="minorEastAsia" w:hAnsiTheme="minorHAnsi"/>
                <w:b w:val="0"/>
                <w:color w:val="auto"/>
                <w:sz w:val="22"/>
                <w:lang w:eastAsia="en-AU"/>
              </w:rPr>
              <w:tab/>
            </w:r>
            <w:r w:rsidR="00B02157" w:rsidRPr="00C30971">
              <w:rPr>
                <w:rStyle w:val="Hyperlink"/>
              </w:rPr>
              <w:t>Draft decision</w:t>
            </w:r>
            <w:r w:rsidR="00B02157">
              <w:rPr>
                <w:webHidden/>
              </w:rPr>
              <w:tab/>
            </w:r>
            <w:r w:rsidR="00B02157">
              <w:rPr>
                <w:webHidden/>
              </w:rPr>
              <w:fldChar w:fldCharType="begin"/>
            </w:r>
            <w:r w:rsidR="00B02157">
              <w:rPr>
                <w:webHidden/>
              </w:rPr>
              <w:instrText xml:space="preserve"> PAGEREF _Toc456602452 \h </w:instrText>
            </w:r>
            <w:r w:rsidR="00B02157">
              <w:rPr>
                <w:webHidden/>
              </w:rPr>
            </w:r>
            <w:r w:rsidR="00B02157">
              <w:rPr>
                <w:webHidden/>
              </w:rPr>
              <w:fldChar w:fldCharType="separate"/>
            </w:r>
            <w:r w:rsidR="00B02157">
              <w:rPr>
                <w:webHidden/>
              </w:rPr>
              <w:t>9-6</w:t>
            </w:r>
            <w:r w:rsidR="00B02157">
              <w:rPr>
                <w:webHidden/>
              </w:rPr>
              <w:fldChar w:fldCharType="end"/>
            </w:r>
          </w:hyperlink>
        </w:p>
        <w:p w:rsidR="00B02157" w:rsidRDefault="00927C6C">
          <w:pPr>
            <w:pStyle w:val="TOC2"/>
            <w:rPr>
              <w:rFonts w:asciiTheme="minorHAnsi" w:eastAsiaTheme="minorEastAsia" w:hAnsiTheme="minorHAnsi"/>
              <w:b w:val="0"/>
              <w:color w:val="auto"/>
              <w:sz w:val="22"/>
              <w:lang w:eastAsia="en-AU"/>
            </w:rPr>
          </w:pPr>
          <w:hyperlink w:anchor="_Toc456602453" w:history="1">
            <w:r w:rsidR="00B02157" w:rsidRPr="00C30971">
              <w:rPr>
                <w:rStyle w:val="Hyperlink"/>
              </w:rPr>
              <w:t>9.2</w:t>
            </w:r>
            <w:r w:rsidR="00B02157">
              <w:rPr>
                <w:rFonts w:asciiTheme="minorHAnsi" w:eastAsiaTheme="minorEastAsia" w:hAnsiTheme="minorHAnsi"/>
                <w:b w:val="0"/>
                <w:color w:val="auto"/>
                <w:sz w:val="22"/>
                <w:lang w:eastAsia="en-AU"/>
              </w:rPr>
              <w:tab/>
            </w:r>
            <w:r w:rsidR="00B02157" w:rsidRPr="00C30971">
              <w:rPr>
                <w:rStyle w:val="Hyperlink"/>
              </w:rPr>
              <w:t>AusNet Services' proposal</w:t>
            </w:r>
            <w:r w:rsidR="00B02157">
              <w:rPr>
                <w:webHidden/>
              </w:rPr>
              <w:tab/>
            </w:r>
            <w:r w:rsidR="00B02157">
              <w:rPr>
                <w:webHidden/>
              </w:rPr>
              <w:fldChar w:fldCharType="begin"/>
            </w:r>
            <w:r w:rsidR="00B02157">
              <w:rPr>
                <w:webHidden/>
              </w:rPr>
              <w:instrText xml:space="preserve"> PAGEREF _Toc456602453 \h </w:instrText>
            </w:r>
            <w:r w:rsidR="00B02157">
              <w:rPr>
                <w:webHidden/>
              </w:rPr>
            </w:r>
            <w:r w:rsidR="00B02157">
              <w:rPr>
                <w:webHidden/>
              </w:rPr>
              <w:fldChar w:fldCharType="separate"/>
            </w:r>
            <w:r w:rsidR="00B02157">
              <w:rPr>
                <w:webHidden/>
              </w:rPr>
              <w:t>9-7</w:t>
            </w:r>
            <w:r w:rsidR="00B02157">
              <w:rPr>
                <w:webHidden/>
              </w:rPr>
              <w:fldChar w:fldCharType="end"/>
            </w:r>
          </w:hyperlink>
        </w:p>
        <w:p w:rsidR="00B02157" w:rsidRDefault="00927C6C">
          <w:pPr>
            <w:pStyle w:val="TOC3"/>
            <w:rPr>
              <w:rFonts w:asciiTheme="minorHAnsi" w:eastAsiaTheme="minorEastAsia" w:hAnsiTheme="minorHAnsi"/>
              <w:lang w:eastAsia="en-AU"/>
            </w:rPr>
          </w:pPr>
          <w:hyperlink w:anchor="_Toc456602454" w:history="1">
            <w:r w:rsidR="00B02157" w:rsidRPr="00C30971">
              <w:rPr>
                <w:rStyle w:val="Hyperlink"/>
              </w:rPr>
              <w:t>9.2.1</w:t>
            </w:r>
            <w:r w:rsidR="00B02157">
              <w:rPr>
                <w:rFonts w:asciiTheme="minorHAnsi" w:eastAsiaTheme="minorEastAsia" w:hAnsiTheme="minorHAnsi"/>
                <w:lang w:eastAsia="en-AU"/>
              </w:rPr>
              <w:tab/>
            </w:r>
            <w:r w:rsidR="00B02157" w:rsidRPr="00C30971">
              <w:rPr>
                <w:rStyle w:val="Hyperlink"/>
              </w:rPr>
              <w:t>Carryover amounts from the 2014–17 regulatory control period</w:t>
            </w:r>
            <w:r w:rsidR="00B02157">
              <w:rPr>
                <w:webHidden/>
              </w:rPr>
              <w:tab/>
            </w:r>
            <w:r w:rsidR="00B02157">
              <w:rPr>
                <w:webHidden/>
              </w:rPr>
              <w:fldChar w:fldCharType="begin"/>
            </w:r>
            <w:r w:rsidR="00B02157">
              <w:rPr>
                <w:webHidden/>
              </w:rPr>
              <w:instrText xml:space="preserve"> PAGEREF _Toc456602454 \h </w:instrText>
            </w:r>
            <w:r w:rsidR="00B02157">
              <w:rPr>
                <w:webHidden/>
              </w:rPr>
            </w:r>
            <w:r w:rsidR="00B02157">
              <w:rPr>
                <w:webHidden/>
              </w:rPr>
              <w:fldChar w:fldCharType="separate"/>
            </w:r>
            <w:r w:rsidR="00B02157">
              <w:rPr>
                <w:webHidden/>
              </w:rPr>
              <w:t>9-7</w:t>
            </w:r>
            <w:r w:rsidR="00B02157">
              <w:rPr>
                <w:webHidden/>
              </w:rPr>
              <w:fldChar w:fldCharType="end"/>
            </w:r>
          </w:hyperlink>
        </w:p>
        <w:p w:rsidR="00B02157" w:rsidRDefault="00927C6C">
          <w:pPr>
            <w:pStyle w:val="TOC3"/>
            <w:rPr>
              <w:rFonts w:asciiTheme="minorHAnsi" w:eastAsiaTheme="minorEastAsia" w:hAnsiTheme="minorHAnsi"/>
              <w:lang w:eastAsia="en-AU"/>
            </w:rPr>
          </w:pPr>
          <w:hyperlink w:anchor="_Toc456602455" w:history="1">
            <w:r w:rsidR="00B02157" w:rsidRPr="00C30971">
              <w:rPr>
                <w:rStyle w:val="Hyperlink"/>
              </w:rPr>
              <w:t>9.2.2</w:t>
            </w:r>
            <w:r w:rsidR="00B02157">
              <w:rPr>
                <w:rFonts w:asciiTheme="minorHAnsi" w:eastAsiaTheme="minorEastAsia" w:hAnsiTheme="minorHAnsi"/>
                <w:lang w:eastAsia="en-AU"/>
              </w:rPr>
              <w:tab/>
            </w:r>
            <w:r w:rsidR="00B02157" w:rsidRPr="00C30971">
              <w:rPr>
                <w:rStyle w:val="Hyperlink"/>
              </w:rPr>
              <w:t>Application of the EBSS in the 2017–22 regulatory control period</w:t>
            </w:r>
            <w:r w:rsidR="00B02157">
              <w:rPr>
                <w:webHidden/>
              </w:rPr>
              <w:tab/>
            </w:r>
            <w:r w:rsidR="00B02157">
              <w:rPr>
                <w:webHidden/>
              </w:rPr>
              <w:fldChar w:fldCharType="begin"/>
            </w:r>
            <w:r w:rsidR="00B02157">
              <w:rPr>
                <w:webHidden/>
              </w:rPr>
              <w:instrText xml:space="preserve"> PAGEREF _Toc456602455 \h </w:instrText>
            </w:r>
            <w:r w:rsidR="00B02157">
              <w:rPr>
                <w:webHidden/>
              </w:rPr>
            </w:r>
            <w:r w:rsidR="00B02157">
              <w:rPr>
                <w:webHidden/>
              </w:rPr>
              <w:fldChar w:fldCharType="separate"/>
            </w:r>
            <w:r w:rsidR="00B02157">
              <w:rPr>
                <w:webHidden/>
              </w:rPr>
              <w:t>9-8</w:t>
            </w:r>
            <w:r w:rsidR="00B02157">
              <w:rPr>
                <w:webHidden/>
              </w:rPr>
              <w:fldChar w:fldCharType="end"/>
            </w:r>
          </w:hyperlink>
        </w:p>
        <w:p w:rsidR="00B02157" w:rsidRDefault="00927C6C">
          <w:pPr>
            <w:pStyle w:val="TOC2"/>
            <w:rPr>
              <w:rFonts w:asciiTheme="minorHAnsi" w:eastAsiaTheme="minorEastAsia" w:hAnsiTheme="minorHAnsi"/>
              <w:b w:val="0"/>
              <w:color w:val="auto"/>
              <w:sz w:val="22"/>
              <w:lang w:eastAsia="en-AU"/>
            </w:rPr>
          </w:pPr>
          <w:hyperlink w:anchor="_Toc456602456" w:history="1">
            <w:r w:rsidR="00B02157" w:rsidRPr="00C30971">
              <w:rPr>
                <w:rStyle w:val="Hyperlink"/>
              </w:rPr>
              <w:t>9.3</w:t>
            </w:r>
            <w:r w:rsidR="00B02157">
              <w:rPr>
                <w:rFonts w:asciiTheme="minorHAnsi" w:eastAsiaTheme="minorEastAsia" w:hAnsiTheme="minorHAnsi"/>
                <w:b w:val="0"/>
                <w:color w:val="auto"/>
                <w:sz w:val="22"/>
                <w:lang w:eastAsia="en-AU"/>
              </w:rPr>
              <w:tab/>
            </w:r>
            <w:r w:rsidR="00B02157" w:rsidRPr="00C30971">
              <w:rPr>
                <w:rStyle w:val="Hyperlink"/>
              </w:rPr>
              <w:t>Assessment approach</w:t>
            </w:r>
            <w:r w:rsidR="00B02157">
              <w:rPr>
                <w:webHidden/>
              </w:rPr>
              <w:tab/>
            </w:r>
            <w:r w:rsidR="00B02157">
              <w:rPr>
                <w:webHidden/>
              </w:rPr>
              <w:fldChar w:fldCharType="begin"/>
            </w:r>
            <w:r w:rsidR="00B02157">
              <w:rPr>
                <w:webHidden/>
              </w:rPr>
              <w:instrText xml:space="preserve"> PAGEREF _Toc456602456 \h </w:instrText>
            </w:r>
            <w:r w:rsidR="00B02157">
              <w:rPr>
                <w:webHidden/>
              </w:rPr>
            </w:r>
            <w:r w:rsidR="00B02157">
              <w:rPr>
                <w:webHidden/>
              </w:rPr>
              <w:fldChar w:fldCharType="separate"/>
            </w:r>
            <w:r w:rsidR="00B02157">
              <w:rPr>
                <w:webHidden/>
              </w:rPr>
              <w:t>9-8</w:t>
            </w:r>
            <w:r w:rsidR="00B02157">
              <w:rPr>
                <w:webHidden/>
              </w:rPr>
              <w:fldChar w:fldCharType="end"/>
            </w:r>
          </w:hyperlink>
        </w:p>
        <w:p w:rsidR="00B02157" w:rsidRDefault="00927C6C">
          <w:pPr>
            <w:pStyle w:val="TOC3"/>
            <w:rPr>
              <w:rFonts w:asciiTheme="minorHAnsi" w:eastAsiaTheme="minorEastAsia" w:hAnsiTheme="minorHAnsi"/>
              <w:lang w:eastAsia="en-AU"/>
            </w:rPr>
          </w:pPr>
          <w:hyperlink w:anchor="_Toc456602457" w:history="1">
            <w:r w:rsidR="00B02157" w:rsidRPr="00C30971">
              <w:rPr>
                <w:rStyle w:val="Hyperlink"/>
              </w:rPr>
              <w:t>9.3.1</w:t>
            </w:r>
            <w:r w:rsidR="00B02157">
              <w:rPr>
                <w:rFonts w:asciiTheme="minorHAnsi" w:eastAsiaTheme="minorEastAsia" w:hAnsiTheme="minorHAnsi"/>
                <w:lang w:eastAsia="en-AU"/>
              </w:rPr>
              <w:tab/>
            </w:r>
            <w:r w:rsidR="00B02157" w:rsidRPr="00C30971">
              <w:rPr>
                <w:rStyle w:val="Hyperlink"/>
              </w:rPr>
              <w:t>Interrelationships</w:t>
            </w:r>
            <w:r w:rsidR="00B02157">
              <w:rPr>
                <w:webHidden/>
              </w:rPr>
              <w:tab/>
            </w:r>
            <w:r w:rsidR="00B02157">
              <w:rPr>
                <w:webHidden/>
              </w:rPr>
              <w:fldChar w:fldCharType="begin"/>
            </w:r>
            <w:r w:rsidR="00B02157">
              <w:rPr>
                <w:webHidden/>
              </w:rPr>
              <w:instrText xml:space="preserve"> PAGEREF _Toc456602457 \h </w:instrText>
            </w:r>
            <w:r w:rsidR="00B02157">
              <w:rPr>
                <w:webHidden/>
              </w:rPr>
            </w:r>
            <w:r w:rsidR="00B02157">
              <w:rPr>
                <w:webHidden/>
              </w:rPr>
              <w:fldChar w:fldCharType="separate"/>
            </w:r>
            <w:r w:rsidR="00B02157">
              <w:rPr>
                <w:webHidden/>
              </w:rPr>
              <w:t>9-9</w:t>
            </w:r>
            <w:r w:rsidR="00B02157">
              <w:rPr>
                <w:webHidden/>
              </w:rPr>
              <w:fldChar w:fldCharType="end"/>
            </w:r>
          </w:hyperlink>
        </w:p>
        <w:p w:rsidR="00B02157" w:rsidRDefault="00927C6C">
          <w:pPr>
            <w:pStyle w:val="TOC2"/>
            <w:rPr>
              <w:rFonts w:asciiTheme="minorHAnsi" w:eastAsiaTheme="minorEastAsia" w:hAnsiTheme="minorHAnsi"/>
              <w:b w:val="0"/>
              <w:color w:val="auto"/>
              <w:sz w:val="22"/>
              <w:lang w:eastAsia="en-AU"/>
            </w:rPr>
          </w:pPr>
          <w:hyperlink w:anchor="_Toc456602458" w:history="1">
            <w:r w:rsidR="00B02157" w:rsidRPr="00C30971">
              <w:rPr>
                <w:rStyle w:val="Hyperlink"/>
              </w:rPr>
              <w:t>9.4</w:t>
            </w:r>
            <w:r w:rsidR="00B02157">
              <w:rPr>
                <w:rFonts w:asciiTheme="minorHAnsi" w:eastAsiaTheme="minorEastAsia" w:hAnsiTheme="minorHAnsi"/>
                <w:b w:val="0"/>
                <w:color w:val="auto"/>
                <w:sz w:val="22"/>
                <w:lang w:eastAsia="en-AU"/>
              </w:rPr>
              <w:tab/>
            </w:r>
            <w:r w:rsidR="00B02157" w:rsidRPr="00C30971">
              <w:rPr>
                <w:rStyle w:val="Hyperlink"/>
              </w:rPr>
              <w:t>Reasons for draft decision</w:t>
            </w:r>
            <w:r w:rsidR="00B02157">
              <w:rPr>
                <w:webHidden/>
              </w:rPr>
              <w:tab/>
            </w:r>
            <w:r w:rsidR="00B02157">
              <w:rPr>
                <w:webHidden/>
              </w:rPr>
              <w:fldChar w:fldCharType="begin"/>
            </w:r>
            <w:r w:rsidR="00B02157">
              <w:rPr>
                <w:webHidden/>
              </w:rPr>
              <w:instrText xml:space="preserve"> PAGEREF _Toc456602458 \h </w:instrText>
            </w:r>
            <w:r w:rsidR="00B02157">
              <w:rPr>
                <w:webHidden/>
              </w:rPr>
            </w:r>
            <w:r w:rsidR="00B02157">
              <w:rPr>
                <w:webHidden/>
              </w:rPr>
              <w:fldChar w:fldCharType="separate"/>
            </w:r>
            <w:r w:rsidR="00B02157">
              <w:rPr>
                <w:webHidden/>
              </w:rPr>
              <w:t>9-9</w:t>
            </w:r>
            <w:r w:rsidR="00B02157">
              <w:rPr>
                <w:webHidden/>
              </w:rPr>
              <w:fldChar w:fldCharType="end"/>
            </w:r>
          </w:hyperlink>
        </w:p>
        <w:p w:rsidR="00B02157" w:rsidRDefault="00927C6C">
          <w:pPr>
            <w:pStyle w:val="TOC3"/>
            <w:rPr>
              <w:rFonts w:asciiTheme="minorHAnsi" w:eastAsiaTheme="minorEastAsia" w:hAnsiTheme="minorHAnsi"/>
              <w:lang w:eastAsia="en-AU"/>
            </w:rPr>
          </w:pPr>
          <w:hyperlink w:anchor="_Toc456602459" w:history="1">
            <w:r w:rsidR="00B02157" w:rsidRPr="00C30971">
              <w:rPr>
                <w:rStyle w:val="Hyperlink"/>
              </w:rPr>
              <w:t>9.4.1</w:t>
            </w:r>
            <w:r w:rsidR="00B02157">
              <w:rPr>
                <w:rFonts w:asciiTheme="minorHAnsi" w:eastAsiaTheme="minorEastAsia" w:hAnsiTheme="minorHAnsi"/>
                <w:lang w:eastAsia="en-AU"/>
              </w:rPr>
              <w:tab/>
            </w:r>
            <w:r w:rsidR="00B02157" w:rsidRPr="00C30971">
              <w:rPr>
                <w:rStyle w:val="Hyperlink"/>
              </w:rPr>
              <w:t>Carryover amounts from the 2014–17 regulatory control period</w:t>
            </w:r>
            <w:r w:rsidR="00B02157">
              <w:rPr>
                <w:webHidden/>
              </w:rPr>
              <w:tab/>
            </w:r>
            <w:r w:rsidR="00B02157">
              <w:rPr>
                <w:webHidden/>
              </w:rPr>
              <w:fldChar w:fldCharType="begin"/>
            </w:r>
            <w:r w:rsidR="00B02157">
              <w:rPr>
                <w:webHidden/>
              </w:rPr>
              <w:instrText xml:space="preserve"> PAGEREF _Toc456602459 \h </w:instrText>
            </w:r>
            <w:r w:rsidR="00B02157">
              <w:rPr>
                <w:webHidden/>
              </w:rPr>
            </w:r>
            <w:r w:rsidR="00B02157">
              <w:rPr>
                <w:webHidden/>
              </w:rPr>
              <w:fldChar w:fldCharType="separate"/>
            </w:r>
            <w:r w:rsidR="00B02157">
              <w:rPr>
                <w:webHidden/>
              </w:rPr>
              <w:t>9-9</w:t>
            </w:r>
            <w:r w:rsidR="00B02157">
              <w:rPr>
                <w:webHidden/>
              </w:rPr>
              <w:fldChar w:fldCharType="end"/>
            </w:r>
          </w:hyperlink>
        </w:p>
        <w:p w:rsidR="00B02157" w:rsidRDefault="00927C6C">
          <w:pPr>
            <w:pStyle w:val="TOC5"/>
            <w:rPr>
              <w:rFonts w:asciiTheme="minorHAnsi" w:eastAsiaTheme="minorEastAsia" w:hAnsiTheme="minorHAnsi"/>
              <w:lang w:eastAsia="en-AU"/>
            </w:rPr>
          </w:pPr>
          <w:hyperlink w:anchor="_Toc456602460" w:history="1">
            <w:r w:rsidR="00B02157" w:rsidRPr="00C30971">
              <w:rPr>
                <w:rStyle w:val="Hyperlink"/>
              </w:rPr>
              <w:t>CPI adjustment</w:t>
            </w:r>
            <w:r w:rsidR="00B02157">
              <w:rPr>
                <w:webHidden/>
              </w:rPr>
              <w:tab/>
            </w:r>
            <w:r w:rsidR="00B02157">
              <w:rPr>
                <w:webHidden/>
              </w:rPr>
              <w:fldChar w:fldCharType="begin"/>
            </w:r>
            <w:r w:rsidR="00B02157">
              <w:rPr>
                <w:webHidden/>
              </w:rPr>
              <w:instrText xml:space="preserve"> PAGEREF _Toc456602460 \h </w:instrText>
            </w:r>
            <w:r w:rsidR="00B02157">
              <w:rPr>
                <w:webHidden/>
              </w:rPr>
            </w:r>
            <w:r w:rsidR="00B02157">
              <w:rPr>
                <w:webHidden/>
              </w:rPr>
              <w:fldChar w:fldCharType="separate"/>
            </w:r>
            <w:r w:rsidR="00B02157">
              <w:rPr>
                <w:webHidden/>
              </w:rPr>
              <w:t>9-10</w:t>
            </w:r>
            <w:r w:rsidR="00B02157">
              <w:rPr>
                <w:webHidden/>
              </w:rPr>
              <w:fldChar w:fldCharType="end"/>
            </w:r>
          </w:hyperlink>
        </w:p>
        <w:p w:rsidR="00B02157" w:rsidRDefault="00927C6C">
          <w:pPr>
            <w:pStyle w:val="TOC5"/>
            <w:rPr>
              <w:rFonts w:asciiTheme="minorHAnsi" w:eastAsiaTheme="minorEastAsia" w:hAnsiTheme="minorHAnsi"/>
              <w:lang w:eastAsia="en-AU"/>
            </w:rPr>
          </w:pPr>
          <w:hyperlink w:anchor="_Toc456602461" w:history="1">
            <w:r w:rsidR="00B02157" w:rsidRPr="00C30971">
              <w:rPr>
                <w:rStyle w:val="Hyperlink"/>
              </w:rPr>
              <w:t>Estimated incremental efficiency gain in 2016–17</w:t>
            </w:r>
            <w:r w:rsidR="00B02157">
              <w:rPr>
                <w:webHidden/>
              </w:rPr>
              <w:tab/>
            </w:r>
            <w:r w:rsidR="00B02157">
              <w:rPr>
                <w:webHidden/>
              </w:rPr>
              <w:fldChar w:fldCharType="begin"/>
            </w:r>
            <w:r w:rsidR="00B02157">
              <w:rPr>
                <w:webHidden/>
              </w:rPr>
              <w:instrText xml:space="preserve"> PAGEREF _Toc456602461 \h </w:instrText>
            </w:r>
            <w:r w:rsidR="00B02157">
              <w:rPr>
                <w:webHidden/>
              </w:rPr>
            </w:r>
            <w:r w:rsidR="00B02157">
              <w:rPr>
                <w:webHidden/>
              </w:rPr>
              <w:fldChar w:fldCharType="separate"/>
            </w:r>
            <w:r w:rsidR="00B02157">
              <w:rPr>
                <w:webHidden/>
              </w:rPr>
              <w:t>9-11</w:t>
            </w:r>
            <w:r w:rsidR="00B02157">
              <w:rPr>
                <w:webHidden/>
              </w:rPr>
              <w:fldChar w:fldCharType="end"/>
            </w:r>
          </w:hyperlink>
        </w:p>
        <w:p w:rsidR="00B02157" w:rsidRDefault="00927C6C">
          <w:pPr>
            <w:pStyle w:val="TOC3"/>
            <w:rPr>
              <w:rFonts w:asciiTheme="minorHAnsi" w:eastAsiaTheme="minorEastAsia" w:hAnsiTheme="minorHAnsi"/>
              <w:lang w:eastAsia="en-AU"/>
            </w:rPr>
          </w:pPr>
          <w:hyperlink w:anchor="_Toc456602462" w:history="1">
            <w:r w:rsidR="00B02157" w:rsidRPr="00C30971">
              <w:rPr>
                <w:rStyle w:val="Hyperlink"/>
              </w:rPr>
              <w:t>9.4.2</w:t>
            </w:r>
            <w:r w:rsidR="00B02157">
              <w:rPr>
                <w:rFonts w:asciiTheme="minorHAnsi" w:eastAsiaTheme="minorEastAsia" w:hAnsiTheme="minorHAnsi"/>
                <w:lang w:eastAsia="en-AU"/>
              </w:rPr>
              <w:tab/>
            </w:r>
            <w:r w:rsidR="00B02157" w:rsidRPr="00C30971">
              <w:rPr>
                <w:rStyle w:val="Hyperlink"/>
              </w:rPr>
              <w:t>Application of the EBSS in the 2017–22 regulatory control period</w:t>
            </w:r>
            <w:r w:rsidR="00B02157">
              <w:rPr>
                <w:webHidden/>
              </w:rPr>
              <w:tab/>
            </w:r>
            <w:r w:rsidR="00B02157">
              <w:rPr>
                <w:webHidden/>
              </w:rPr>
              <w:fldChar w:fldCharType="begin"/>
            </w:r>
            <w:r w:rsidR="00B02157">
              <w:rPr>
                <w:webHidden/>
              </w:rPr>
              <w:instrText xml:space="preserve"> PAGEREF _Toc456602462 \h </w:instrText>
            </w:r>
            <w:r w:rsidR="00B02157">
              <w:rPr>
                <w:webHidden/>
              </w:rPr>
            </w:r>
            <w:r w:rsidR="00B02157">
              <w:rPr>
                <w:webHidden/>
              </w:rPr>
              <w:fldChar w:fldCharType="separate"/>
            </w:r>
            <w:r w:rsidR="00B02157">
              <w:rPr>
                <w:webHidden/>
              </w:rPr>
              <w:t>9-12</w:t>
            </w:r>
            <w:r w:rsidR="00B02157">
              <w:rPr>
                <w:webHidden/>
              </w:rPr>
              <w:fldChar w:fldCharType="end"/>
            </w:r>
          </w:hyperlink>
        </w:p>
        <w:p w:rsidR="00B02157" w:rsidRDefault="00927C6C">
          <w:pPr>
            <w:pStyle w:val="TOC5"/>
            <w:rPr>
              <w:rFonts w:asciiTheme="minorHAnsi" w:eastAsiaTheme="minorEastAsia" w:hAnsiTheme="minorHAnsi"/>
              <w:lang w:eastAsia="en-AU"/>
            </w:rPr>
          </w:pPr>
          <w:hyperlink w:anchor="_Toc456602463" w:history="1">
            <w:r w:rsidR="00B02157" w:rsidRPr="00C30971">
              <w:rPr>
                <w:rStyle w:val="Hyperlink"/>
              </w:rPr>
              <w:t>Length of carryover period</w:t>
            </w:r>
            <w:r w:rsidR="00B02157">
              <w:rPr>
                <w:webHidden/>
              </w:rPr>
              <w:tab/>
            </w:r>
            <w:r w:rsidR="00B02157">
              <w:rPr>
                <w:webHidden/>
              </w:rPr>
              <w:fldChar w:fldCharType="begin"/>
            </w:r>
            <w:r w:rsidR="00B02157">
              <w:rPr>
                <w:webHidden/>
              </w:rPr>
              <w:instrText xml:space="preserve"> PAGEREF _Toc456602463 \h </w:instrText>
            </w:r>
            <w:r w:rsidR="00B02157">
              <w:rPr>
                <w:webHidden/>
              </w:rPr>
            </w:r>
            <w:r w:rsidR="00B02157">
              <w:rPr>
                <w:webHidden/>
              </w:rPr>
              <w:fldChar w:fldCharType="separate"/>
            </w:r>
            <w:r w:rsidR="00B02157">
              <w:rPr>
                <w:webHidden/>
              </w:rPr>
              <w:t>9-13</w:t>
            </w:r>
            <w:r w:rsidR="00B02157">
              <w:rPr>
                <w:webHidden/>
              </w:rPr>
              <w:fldChar w:fldCharType="end"/>
            </w:r>
          </w:hyperlink>
        </w:p>
        <w:p w:rsidR="00B02157" w:rsidRDefault="00927C6C">
          <w:pPr>
            <w:pStyle w:val="TOC5"/>
            <w:rPr>
              <w:rFonts w:asciiTheme="minorHAnsi" w:eastAsiaTheme="minorEastAsia" w:hAnsiTheme="minorHAnsi"/>
              <w:lang w:eastAsia="en-AU"/>
            </w:rPr>
          </w:pPr>
          <w:hyperlink w:anchor="_Toc456602464" w:history="1">
            <w:r w:rsidR="00B02157" w:rsidRPr="00C30971">
              <w:rPr>
                <w:rStyle w:val="Hyperlink"/>
              </w:rPr>
              <w:t>Incremental efficiency gains</w:t>
            </w:r>
            <w:r w:rsidR="00B02157">
              <w:rPr>
                <w:webHidden/>
              </w:rPr>
              <w:tab/>
            </w:r>
            <w:r w:rsidR="00B02157">
              <w:rPr>
                <w:webHidden/>
              </w:rPr>
              <w:fldChar w:fldCharType="begin"/>
            </w:r>
            <w:r w:rsidR="00B02157">
              <w:rPr>
                <w:webHidden/>
              </w:rPr>
              <w:instrText xml:space="preserve"> PAGEREF _Toc456602464 \h </w:instrText>
            </w:r>
            <w:r w:rsidR="00B02157">
              <w:rPr>
                <w:webHidden/>
              </w:rPr>
            </w:r>
            <w:r w:rsidR="00B02157">
              <w:rPr>
                <w:webHidden/>
              </w:rPr>
              <w:fldChar w:fldCharType="separate"/>
            </w:r>
            <w:r w:rsidR="00B02157">
              <w:rPr>
                <w:webHidden/>
              </w:rPr>
              <w:t>9-13</w:t>
            </w:r>
            <w:r w:rsidR="00B02157">
              <w:rPr>
                <w:webHidden/>
              </w:rPr>
              <w:fldChar w:fldCharType="end"/>
            </w:r>
          </w:hyperlink>
        </w:p>
        <w:p w:rsidR="00B02157" w:rsidRDefault="00927C6C">
          <w:pPr>
            <w:pStyle w:val="TOC5"/>
            <w:rPr>
              <w:rFonts w:asciiTheme="minorHAnsi" w:eastAsiaTheme="minorEastAsia" w:hAnsiTheme="minorHAnsi"/>
              <w:lang w:eastAsia="en-AU"/>
            </w:rPr>
          </w:pPr>
          <w:hyperlink w:anchor="_Toc456602465" w:history="1">
            <w:r w:rsidR="00B02157" w:rsidRPr="00C30971">
              <w:rPr>
                <w:rStyle w:val="Hyperlink"/>
              </w:rPr>
              <w:t>Adjustments to forecast or actual opex when calculating carryover amounts</w:t>
            </w:r>
            <w:r w:rsidR="00B02157">
              <w:rPr>
                <w:webHidden/>
              </w:rPr>
              <w:tab/>
            </w:r>
            <w:r w:rsidR="00B02157">
              <w:rPr>
                <w:webHidden/>
              </w:rPr>
              <w:fldChar w:fldCharType="begin"/>
            </w:r>
            <w:r w:rsidR="00B02157">
              <w:rPr>
                <w:webHidden/>
              </w:rPr>
              <w:instrText xml:space="preserve"> PAGEREF _Toc456602465 \h </w:instrText>
            </w:r>
            <w:r w:rsidR="00B02157">
              <w:rPr>
                <w:webHidden/>
              </w:rPr>
            </w:r>
            <w:r w:rsidR="00B02157">
              <w:rPr>
                <w:webHidden/>
              </w:rPr>
              <w:fldChar w:fldCharType="separate"/>
            </w:r>
            <w:r w:rsidR="00B02157">
              <w:rPr>
                <w:webHidden/>
              </w:rPr>
              <w:t>9-13</w:t>
            </w:r>
            <w:r w:rsidR="00B02157">
              <w:rPr>
                <w:webHidden/>
              </w:rPr>
              <w:fldChar w:fldCharType="end"/>
            </w:r>
          </w:hyperlink>
        </w:p>
        <w:p w:rsidR="00DE563D" w:rsidRDefault="00DE563D">
          <w:pPr>
            <w:spacing w:line="240" w:lineRule="auto"/>
          </w:pPr>
          <w:r>
            <w:fldChar w:fldCharType="end"/>
          </w:r>
        </w:p>
      </w:sdtContent>
    </w:sdt>
    <w:p w:rsidR="00DE563D" w:rsidRDefault="00C84560">
      <w:pPr>
        <w:spacing w:line="240" w:lineRule="auto"/>
      </w:pPr>
      <w:r>
        <w:t xml:space="preserve"> </w:t>
      </w:r>
    </w:p>
    <w:p w:rsidR="00DE563D" w:rsidRDefault="00DE563D" w:rsidP="00DE563D">
      <w:pPr>
        <w:pStyle w:val="UnnumberedHeading"/>
        <w:numPr>
          <w:ilvl w:val="0"/>
          <w:numId w:val="24"/>
        </w:numPr>
      </w:pPr>
      <w:bookmarkStart w:id="8" w:name="_Toc404700925"/>
      <w:bookmarkStart w:id="9" w:name="_Toc456602450"/>
      <w:r>
        <w:lastRenderedPageBreak/>
        <w:t>Shortened forms</w:t>
      </w:r>
      <w:bookmarkEnd w:id="8"/>
      <w:bookmarkEnd w:id="9"/>
    </w:p>
    <w:p w:rsidR="00DE563D" w:rsidRDefault="00DE563D" w:rsidP="00415F31"/>
    <w:tbl>
      <w:tblPr>
        <w:tblStyle w:val="AERtable-numbers"/>
        <w:tblW w:w="0" w:type="auto"/>
        <w:tblLook w:val="04A0" w:firstRow="1" w:lastRow="0" w:firstColumn="1" w:lastColumn="0" w:noHBand="0" w:noVBand="1"/>
      </w:tblPr>
      <w:tblGrid>
        <w:gridCol w:w="4340"/>
        <w:gridCol w:w="4353"/>
      </w:tblGrid>
      <w:tr w:rsidR="00415F31" w:rsidTr="00BD5D8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Shortened form</w:t>
            </w:r>
          </w:p>
        </w:tc>
        <w:tc>
          <w:tcPr>
            <w:tcW w:w="4621" w:type="dxa"/>
          </w:tcPr>
          <w:p w:rsidR="00415F31" w:rsidRDefault="00415F31" w:rsidP="00415F31">
            <w:pPr>
              <w:numPr>
                <w:ilvl w:val="0"/>
                <w:numId w:val="25"/>
              </w:numPr>
              <w:spacing w:after="240" w:line="288" w:lineRule="auto"/>
              <w:jc w:val="both"/>
              <w:cnfStyle w:val="100000000000" w:firstRow="1" w:lastRow="0" w:firstColumn="0" w:lastColumn="0" w:oddVBand="0" w:evenVBand="0" w:oddHBand="0" w:evenHBand="0" w:firstRowFirstColumn="0" w:firstRowLastColumn="0" w:lastRowFirstColumn="0" w:lastRowLastColumn="0"/>
            </w:pPr>
            <w:r>
              <w:t>Extended form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AARR</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AEMC</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AEMO</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Australian Energy Market Operator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AER</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Regulator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ASRR</w:t>
            </w:r>
          </w:p>
        </w:tc>
        <w:tc>
          <w:tcPr>
            <w:tcW w:w="4621" w:type="dxa"/>
          </w:tcPr>
          <w:p w:rsidR="00415F31" w:rsidRDefault="009D3906"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annual</w:t>
            </w:r>
            <w:r w:rsidR="00415F31">
              <w:t xml:space="preserve"> service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augex</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augmentation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capex</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CCP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Challenge Panel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CESS</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 sharing scheme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CPI</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price index</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DRP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debt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EBSS</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efficiency benefit sharing scheme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ERP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equity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MAR</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maximum allowed revenue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MRP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market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NEL</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law</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NEM</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market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NEO</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objective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NER</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rules</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NSP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network service provider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lastRenderedPageBreak/>
              <w:t>NTSC</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negotiated transmission service criteria</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opex</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operating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PPI</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partial performance indicators</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PTRM</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post-tax revenue model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RAB</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regulatory asset base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RBA</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Reserve Bank of Australia</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repex</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replacement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RFM</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roll forward model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RIN</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regulatory information notice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RPP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 xml:space="preserve">revenue </w:t>
            </w:r>
            <w:r w:rsidR="002D72E8">
              <w:t xml:space="preserve">and </w:t>
            </w:r>
            <w:r>
              <w:t>pricing principles</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SLCAPM</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Sharpe-Lintner capital asset pricing model</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STPIS</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service target performance incentive scheme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TNSP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transmission network service provider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TUoS</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transmission use of system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WACC</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weighted average cost of capital</w:t>
            </w:r>
          </w:p>
        </w:tc>
      </w:tr>
    </w:tbl>
    <w:p w:rsidR="00415F31" w:rsidRPr="00271F7C" w:rsidRDefault="00415F31" w:rsidP="00415F31"/>
    <w:p w:rsidR="00DE563D" w:rsidRPr="00436A39" w:rsidRDefault="00DE563D" w:rsidP="00DE563D">
      <w:pPr>
        <w:numPr>
          <w:ilvl w:val="0"/>
          <w:numId w:val="25"/>
        </w:numPr>
      </w:pPr>
    </w:p>
    <w:p w:rsidR="00DE563D" w:rsidRDefault="00DE563D" w:rsidP="00DE563D"/>
    <w:p w:rsidR="00686EF3" w:rsidRDefault="00686EF3" w:rsidP="00686EF3">
      <w:pPr>
        <w:pStyle w:val="Heading1"/>
      </w:pPr>
      <w:bookmarkStart w:id="10" w:name="_Toc436389917"/>
      <w:bookmarkStart w:id="11" w:name="_Toc456602451"/>
      <w:r>
        <w:lastRenderedPageBreak/>
        <w:t>Efficiency benefit sharing scheme</w:t>
      </w:r>
      <w:bookmarkEnd w:id="10"/>
      <w:bookmarkEnd w:id="11"/>
    </w:p>
    <w:p w:rsidR="00686EF3" w:rsidRPr="0060237E" w:rsidRDefault="00686EF3" w:rsidP="00686EF3">
      <w:pPr>
        <w:rPr>
          <w:rStyle w:val="AERbody"/>
        </w:rPr>
      </w:pPr>
      <w:r w:rsidRPr="0060237E">
        <w:rPr>
          <w:rStyle w:val="AERbody"/>
        </w:rPr>
        <w:t>The efficiency benefit sharing scheme (EBSS) provides an additional incentive for service providers to pursue efficiency improvements in opex.</w:t>
      </w:r>
    </w:p>
    <w:p w:rsidR="00686EF3" w:rsidRPr="0060237E" w:rsidRDefault="00686EF3" w:rsidP="00686EF3">
      <w:pPr>
        <w:rPr>
          <w:rStyle w:val="AERbody"/>
        </w:rPr>
      </w:pPr>
      <w:r w:rsidRPr="0060237E">
        <w:rPr>
          <w:rStyle w:val="AERbody"/>
        </w:rPr>
        <w:t>To encourage a service provider to become more efficient, it is allowed to keep any difference between its approved forecast and its actual opex during a regulatory control period. This is supplemented by the EBSS which provides the service provider with an additional reward for reductions in opex it makes, and additional penalties for increases in opex. In total, these rewards and penalties work together to provide a continuous incentive for a service provider to pursue efficiency gains over the regulatory control period. The EBSS also discourages a service provider from incurring opex in the expected base year in order to receive a higher opex allowance in the following regulatory control period.</w:t>
      </w:r>
    </w:p>
    <w:p w:rsidR="00686EF3" w:rsidRDefault="00686EF3" w:rsidP="00686EF3">
      <w:pPr>
        <w:rPr>
          <w:rStyle w:val="AERbody"/>
        </w:rPr>
      </w:pPr>
      <w:r>
        <w:rPr>
          <w:rStyle w:val="AERbody"/>
        </w:rPr>
        <w:t>During the 2014–17</w:t>
      </w:r>
      <w:r w:rsidRPr="0060237E">
        <w:rPr>
          <w:rStyle w:val="AERbody"/>
        </w:rPr>
        <w:t xml:space="preserve"> regulatory control period</w:t>
      </w:r>
      <w:r>
        <w:rPr>
          <w:rStyle w:val="AERbody"/>
        </w:rPr>
        <w:t>,</w:t>
      </w:r>
      <w:r w:rsidRPr="0060237E">
        <w:rPr>
          <w:rStyle w:val="AERbody"/>
        </w:rPr>
        <w:t xml:space="preserve"> </w:t>
      </w:r>
      <w:r>
        <w:rPr>
          <w:rStyle w:val="AERbody"/>
        </w:rPr>
        <w:t>AusNet Services</w:t>
      </w:r>
      <w:r w:rsidRPr="0060237E">
        <w:rPr>
          <w:rStyle w:val="AERbody"/>
        </w:rPr>
        <w:t xml:space="preserve"> operated under </w:t>
      </w:r>
      <w:r w:rsidR="00C163E2">
        <w:rPr>
          <w:rStyle w:val="AERbody"/>
        </w:rPr>
        <w:t xml:space="preserve">version one of </w:t>
      </w:r>
      <w:r w:rsidRPr="0060237E">
        <w:rPr>
          <w:rStyle w:val="AERbody"/>
        </w:rPr>
        <w:t xml:space="preserve">the Electricity </w:t>
      </w:r>
      <w:r>
        <w:rPr>
          <w:rStyle w:val="AERbody"/>
        </w:rPr>
        <w:t>transmission</w:t>
      </w:r>
      <w:r w:rsidRPr="0060237E">
        <w:rPr>
          <w:rStyle w:val="AERbody"/>
        </w:rPr>
        <w:t xml:space="preserve"> network service providers' EBSS</w:t>
      </w:r>
      <w:r>
        <w:rPr>
          <w:rStyle w:val="AERbody"/>
        </w:rPr>
        <w:t>,</w:t>
      </w:r>
      <w:r w:rsidRPr="0060237E">
        <w:rPr>
          <w:rStyle w:val="AERbody"/>
        </w:rPr>
        <w:t xml:space="preserve"> released in </w:t>
      </w:r>
      <w:r>
        <w:rPr>
          <w:rStyle w:val="AERbody"/>
        </w:rPr>
        <w:t>September</w:t>
      </w:r>
      <w:r w:rsidRPr="0060237E">
        <w:rPr>
          <w:rStyle w:val="AERbody"/>
        </w:rPr>
        <w:t xml:space="preserve"> 200</w:t>
      </w:r>
      <w:r>
        <w:rPr>
          <w:rStyle w:val="AERbody"/>
        </w:rPr>
        <w:t>7</w:t>
      </w:r>
      <w:r w:rsidRPr="0060237E">
        <w:rPr>
          <w:rStyle w:val="AERbody"/>
        </w:rPr>
        <w:t>.</w:t>
      </w:r>
      <w:r>
        <w:rPr>
          <w:rStyle w:val="FootnoteReference"/>
        </w:rPr>
        <w:footnoteReference w:id="1"/>
      </w:r>
      <w:r w:rsidRPr="0060237E">
        <w:rPr>
          <w:rStyle w:val="AERbody"/>
        </w:rPr>
        <w:t xml:space="preserve"> </w:t>
      </w:r>
    </w:p>
    <w:p w:rsidR="00686EF3" w:rsidRDefault="00686EF3" w:rsidP="00686EF3">
      <w:pPr>
        <w:pStyle w:val="Heading2"/>
      </w:pPr>
      <w:bookmarkStart w:id="12" w:name="_Toc436389918"/>
      <w:bookmarkStart w:id="13" w:name="_Toc456602452"/>
      <w:r>
        <w:t>Draft decision</w:t>
      </w:r>
      <w:bookmarkEnd w:id="12"/>
      <w:bookmarkEnd w:id="13"/>
    </w:p>
    <w:p w:rsidR="00ED0CDD" w:rsidRDefault="00ED0CDD" w:rsidP="00726A45">
      <w:pPr>
        <w:rPr>
          <w:rStyle w:val="AERbody"/>
        </w:rPr>
      </w:pPr>
      <w:r>
        <w:rPr>
          <w:rStyle w:val="AERbody"/>
        </w:rPr>
        <w:t xml:space="preserve">Our draft decision is to </w:t>
      </w:r>
      <w:r w:rsidR="00686EF3" w:rsidRPr="0060237E">
        <w:rPr>
          <w:rStyle w:val="AERbody"/>
        </w:rPr>
        <w:t>appro</w:t>
      </w:r>
      <w:r w:rsidR="00686EF3">
        <w:rPr>
          <w:rStyle w:val="AERbody"/>
        </w:rPr>
        <w:t>ve a</w:t>
      </w:r>
      <w:r w:rsidR="00726A45">
        <w:rPr>
          <w:rStyle w:val="AERbody"/>
        </w:rPr>
        <w:t xml:space="preserve"> positive</w:t>
      </w:r>
      <w:r w:rsidR="00686EF3">
        <w:rPr>
          <w:rStyle w:val="AERbody"/>
        </w:rPr>
        <w:t xml:space="preserve"> EBSS carryover amount of </w:t>
      </w:r>
      <w:r w:rsidR="00686EF3" w:rsidRPr="0060237E">
        <w:rPr>
          <w:rStyle w:val="AERbody"/>
        </w:rPr>
        <w:t>$</w:t>
      </w:r>
      <w:r w:rsidR="001F660E" w:rsidRPr="00726A45">
        <w:t>5</w:t>
      </w:r>
      <w:r w:rsidR="008A5B87" w:rsidRPr="00726A45">
        <w:t>.1</w:t>
      </w:r>
      <w:r w:rsidR="00686EF3">
        <w:rPr>
          <w:rStyle w:val="AERbody"/>
        </w:rPr>
        <w:t xml:space="preserve"> million ($2016–17</w:t>
      </w:r>
      <w:r w:rsidR="00686EF3" w:rsidRPr="0060237E">
        <w:rPr>
          <w:rStyle w:val="AERbody"/>
        </w:rPr>
        <w:t>) from the app</w:t>
      </w:r>
      <w:r w:rsidR="00686EF3">
        <w:rPr>
          <w:rStyle w:val="AERbody"/>
        </w:rPr>
        <w:t>lication of the EBSS in the 2014–17</w:t>
      </w:r>
      <w:r w:rsidR="00686EF3" w:rsidRPr="0060237E">
        <w:rPr>
          <w:rStyle w:val="AERbody"/>
        </w:rPr>
        <w:t xml:space="preserve"> regulatory control period.</w:t>
      </w:r>
      <w:r w:rsidR="00686EF3">
        <w:rPr>
          <w:rStyle w:val="FootnoteReference"/>
        </w:rPr>
        <w:footnoteReference w:id="2"/>
      </w:r>
      <w:r w:rsidR="00686EF3" w:rsidRPr="0060237E">
        <w:rPr>
          <w:rStyle w:val="AERbody"/>
        </w:rPr>
        <w:t xml:space="preserve">  </w:t>
      </w:r>
      <w:r>
        <w:rPr>
          <w:rStyle w:val="AERbody"/>
        </w:rPr>
        <w:t>However, we will update our calculation using AusNet Services' actual expenditure for 2015–16 in our final decision.</w:t>
      </w:r>
    </w:p>
    <w:p w:rsidR="00686EF3" w:rsidRPr="0060237E" w:rsidRDefault="00686EF3" w:rsidP="00686EF3">
      <w:pPr>
        <w:rPr>
          <w:rStyle w:val="AERbody"/>
        </w:rPr>
      </w:pPr>
      <w:r w:rsidRPr="0060237E">
        <w:rPr>
          <w:rStyle w:val="AERbody"/>
        </w:rPr>
        <w:t xml:space="preserve">The difference between our calculations and </w:t>
      </w:r>
      <w:r>
        <w:rPr>
          <w:rStyle w:val="AERbody"/>
        </w:rPr>
        <w:t>AusNet Services'</w:t>
      </w:r>
      <w:r w:rsidRPr="0060237E">
        <w:rPr>
          <w:rStyle w:val="AERbody"/>
        </w:rPr>
        <w:t xml:space="preserve"> proposal is </w:t>
      </w:r>
      <w:r w:rsidR="00ED0CDD">
        <w:rPr>
          <w:rStyle w:val="AERbody"/>
        </w:rPr>
        <w:t>due</w:t>
      </w:r>
      <w:r w:rsidRPr="0060237E">
        <w:rPr>
          <w:rStyle w:val="AERbody"/>
        </w:rPr>
        <w:t xml:space="preserve"> to a different </w:t>
      </w:r>
      <w:r>
        <w:rPr>
          <w:rStyle w:val="AERbody"/>
        </w:rPr>
        <w:t xml:space="preserve">CPI adjustment and a different </w:t>
      </w:r>
      <w:r w:rsidRPr="0060237E">
        <w:rPr>
          <w:rStyle w:val="AERbody"/>
        </w:rPr>
        <w:t xml:space="preserve">formula to calculate </w:t>
      </w:r>
      <w:r w:rsidR="00910FD1">
        <w:rPr>
          <w:rStyle w:val="AERbody"/>
        </w:rPr>
        <w:t>the EBSS carryover amount</w:t>
      </w:r>
      <w:r w:rsidRPr="0060237E">
        <w:rPr>
          <w:rStyle w:val="AERbody"/>
        </w:rPr>
        <w:t xml:space="preserve"> for </w:t>
      </w:r>
      <w:r>
        <w:rPr>
          <w:rStyle w:val="AERbody"/>
        </w:rPr>
        <w:t>2016–17</w:t>
      </w:r>
      <w:r w:rsidRPr="0060237E">
        <w:rPr>
          <w:rStyle w:val="AERbody"/>
        </w:rPr>
        <w:t xml:space="preserve">. Our </w:t>
      </w:r>
      <w:r>
        <w:rPr>
          <w:rStyle w:val="AERbody"/>
        </w:rPr>
        <w:t>draft</w:t>
      </w:r>
      <w:r w:rsidRPr="0060237E">
        <w:rPr>
          <w:rStyle w:val="AERbody"/>
        </w:rPr>
        <w:t xml:space="preserve"> decision for the EBSS carryover amounts from t</w:t>
      </w:r>
      <w:r>
        <w:rPr>
          <w:rStyle w:val="AERbody"/>
        </w:rPr>
        <w:t>he 2014–17</w:t>
      </w:r>
      <w:r w:rsidRPr="0060237E">
        <w:rPr>
          <w:rStyle w:val="AERbody"/>
        </w:rPr>
        <w:t xml:space="preserve"> regulatory control period is outlined in</w:t>
      </w:r>
      <w:r>
        <w:rPr>
          <w:rStyle w:val="AERbody"/>
        </w:rPr>
        <w:t xml:space="preserve"> </w:t>
      </w:r>
      <w:r>
        <w:rPr>
          <w:rStyle w:val="AERbody"/>
        </w:rPr>
        <w:fldChar w:fldCharType="begin"/>
      </w:r>
      <w:r>
        <w:rPr>
          <w:rStyle w:val="AERbody"/>
        </w:rPr>
        <w:instrText xml:space="preserve"> REF _Ref436207458 \h </w:instrText>
      </w:r>
      <w:r>
        <w:rPr>
          <w:rStyle w:val="AERbody"/>
        </w:rPr>
      </w:r>
      <w:r>
        <w:rPr>
          <w:rStyle w:val="AERbody"/>
        </w:rPr>
        <w:fldChar w:fldCharType="separate"/>
      </w:r>
      <w:r w:rsidR="004E15EB">
        <w:t xml:space="preserve">Table </w:t>
      </w:r>
      <w:r w:rsidR="004E15EB">
        <w:rPr>
          <w:noProof/>
        </w:rPr>
        <w:t>9</w:t>
      </w:r>
      <w:r w:rsidR="004E15EB">
        <w:t>.</w:t>
      </w:r>
      <w:r w:rsidR="004E15EB">
        <w:rPr>
          <w:noProof/>
        </w:rPr>
        <w:t>1</w:t>
      </w:r>
      <w:r>
        <w:rPr>
          <w:rStyle w:val="AERbody"/>
        </w:rPr>
        <w:fldChar w:fldCharType="end"/>
      </w:r>
      <w:r w:rsidRPr="0060237E">
        <w:rPr>
          <w:rStyle w:val="AERbody"/>
        </w:rPr>
        <w:t>.</w:t>
      </w:r>
      <w:r w:rsidR="005D3C82">
        <w:rPr>
          <w:rStyle w:val="AERbody"/>
        </w:rPr>
        <w:t xml:space="preserve"> Both AusNet Services' and our calculations assume 2014–15 has been used as the base year to forecast opex for the 2017–22 regulatory control period.</w:t>
      </w:r>
      <w:r w:rsidR="005D3C82">
        <w:rPr>
          <w:rStyle w:val="FootnoteReference"/>
        </w:rPr>
        <w:footnoteReference w:id="3"/>
      </w:r>
    </w:p>
    <w:p w:rsidR="00686EF3" w:rsidRDefault="00686EF3" w:rsidP="00686EF3">
      <w:pPr>
        <w:pStyle w:val="Caption"/>
      </w:pPr>
      <w:bookmarkStart w:id="14" w:name="_Ref436207458"/>
      <w:r>
        <w:t xml:space="preserve">Table </w:t>
      </w:r>
      <w:fldSimple w:instr=" STYLEREF 1 \s ">
        <w:r w:rsidR="004E15EB">
          <w:rPr>
            <w:noProof/>
          </w:rPr>
          <w:t>9</w:t>
        </w:r>
      </w:fldSimple>
      <w:r w:rsidR="002144B5">
        <w:t>.</w:t>
      </w:r>
      <w:fldSimple w:instr=" SEQ Table \* ARABIC \s 1 ">
        <w:r w:rsidR="004E15EB">
          <w:rPr>
            <w:noProof/>
          </w:rPr>
          <w:t>1</w:t>
        </w:r>
      </w:fldSimple>
      <w:bookmarkEnd w:id="14"/>
      <w:r>
        <w:tab/>
      </w:r>
      <w:r w:rsidRPr="0060237E">
        <w:t xml:space="preserve">AER’s </w:t>
      </w:r>
      <w:r>
        <w:t>draft</w:t>
      </w:r>
      <w:r w:rsidRPr="0060237E">
        <w:t xml:space="preserve"> decision on </w:t>
      </w:r>
      <w:r>
        <w:t>AusNet Services</w:t>
      </w:r>
      <w:r w:rsidRPr="0060237E">
        <w:t xml:space="preserve"> EBSS ca</w:t>
      </w:r>
      <w:r>
        <w:t>rryover amounts ($ million, 2016–17</w:t>
      </w:r>
      <w:r w:rsidRPr="0060237E">
        <w:t>)</w:t>
      </w:r>
    </w:p>
    <w:tbl>
      <w:tblPr>
        <w:tblStyle w:val="AERtable-numbers"/>
        <w:tblW w:w="0" w:type="auto"/>
        <w:tblLook w:val="04A0" w:firstRow="1" w:lastRow="0" w:firstColumn="1" w:lastColumn="0" w:noHBand="0" w:noVBand="1"/>
      </w:tblPr>
      <w:tblGrid>
        <w:gridCol w:w="2943"/>
        <w:gridCol w:w="958"/>
        <w:gridCol w:w="958"/>
        <w:gridCol w:w="959"/>
        <w:gridCol w:w="958"/>
        <w:gridCol w:w="958"/>
        <w:gridCol w:w="959"/>
      </w:tblGrid>
      <w:tr w:rsidR="00686EF3" w:rsidTr="00686EF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686EF3" w:rsidRDefault="00686EF3" w:rsidP="00686EF3"/>
        </w:tc>
        <w:tc>
          <w:tcPr>
            <w:tcW w:w="958"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2017-18</w:t>
            </w:r>
          </w:p>
        </w:tc>
        <w:tc>
          <w:tcPr>
            <w:tcW w:w="958"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2018-19</w:t>
            </w:r>
          </w:p>
        </w:tc>
        <w:tc>
          <w:tcPr>
            <w:tcW w:w="959"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2019-20</w:t>
            </w:r>
          </w:p>
        </w:tc>
        <w:tc>
          <w:tcPr>
            <w:tcW w:w="958"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2020-21</w:t>
            </w:r>
          </w:p>
        </w:tc>
        <w:tc>
          <w:tcPr>
            <w:tcW w:w="958"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2021-22</w:t>
            </w:r>
          </w:p>
        </w:tc>
        <w:tc>
          <w:tcPr>
            <w:tcW w:w="959"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Total</w:t>
            </w:r>
          </w:p>
        </w:tc>
      </w:tr>
      <w:tr w:rsidR="00686EF3" w:rsidTr="00686EF3">
        <w:tc>
          <w:tcPr>
            <w:cnfStyle w:val="001000000000" w:firstRow="0" w:lastRow="0" w:firstColumn="1" w:lastColumn="0" w:oddVBand="0" w:evenVBand="0" w:oddHBand="0" w:evenHBand="0" w:firstRowFirstColumn="0" w:firstRowLastColumn="0" w:lastRowFirstColumn="0" w:lastRowLastColumn="0"/>
            <w:tcW w:w="2943" w:type="dxa"/>
          </w:tcPr>
          <w:p w:rsidR="00686EF3" w:rsidRPr="00686EF3" w:rsidRDefault="00686EF3" w:rsidP="00686EF3">
            <w:r>
              <w:t>AusNet Services'</w:t>
            </w:r>
            <w:r w:rsidRPr="00686EF3">
              <w:t xml:space="preserve"> proposed carryover</w:t>
            </w:r>
          </w:p>
        </w:tc>
        <w:tc>
          <w:tcPr>
            <w:tcW w:w="958"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1.7</w:t>
            </w:r>
          </w:p>
        </w:tc>
        <w:tc>
          <w:tcPr>
            <w:tcW w:w="958"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1.7</w:t>
            </w:r>
          </w:p>
        </w:tc>
        <w:tc>
          <w:tcPr>
            <w:tcW w:w="959"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1.7</w:t>
            </w:r>
          </w:p>
        </w:tc>
        <w:tc>
          <w:tcPr>
            <w:tcW w:w="958"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0.5</w:t>
            </w:r>
          </w:p>
        </w:tc>
        <w:tc>
          <w:tcPr>
            <w:tcW w:w="958"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w:t>
            </w:r>
          </w:p>
        </w:tc>
        <w:tc>
          <w:tcPr>
            <w:tcW w:w="959" w:type="dxa"/>
          </w:tcPr>
          <w:p w:rsidR="00686EF3" w:rsidRPr="00686EF3" w:rsidRDefault="00686EF3" w:rsidP="00686EF3">
            <w:pPr>
              <w:cnfStyle w:val="000000000000" w:firstRow="0" w:lastRow="0" w:firstColumn="0" w:lastColumn="0" w:oddVBand="0" w:evenVBand="0" w:oddHBand="0" w:evenHBand="0" w:firstRowFirstColumn="0" w:firstRowLastColumn="0" w:lastRowFirstColumn="0" w:lastRowLastColumn="0"/>
            </w:pPr>
            <w:r>
              <w:t>5.6</w:t>
            </w:r>
          </w:p>
        </w:tc>
      </w:tr>
      <w:tr w:rsidR="001F660E" w:rsidTr="001401C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1F660E" w:rsidRPr="001F660E" w:rsidRDefault="001F660E" w:rsidP="001F660E">
            <w:r w:rsidRPr="001F660E">
              <w:t>Draft decision</w:t>
            </w:r>
          </w:p>
        </w:tc>
        <w:tc>
          <w:tcPr>
            <w:tcW w:w="958"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1.3 </w:t>
            </w:r>
          </w:p>
        </w:tc>
        <w:tc>
          <w:tcPr>
            <w:tcW w:w="958"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1.3 </w:t>
            </w:r>
          </w:p>
        </w:tc>
        <w:tc>
          <w:tcPr>
            <w:tcW w:w="959"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1.3 </w:t>
            </w:r>
          </w:p>
        </w:tc>
        <w:tc>
          <w:tcPr>
            <w:tcW w:w="958"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0.0 </w:t>
            </w:r>
          </w:p>
        </w:tc>
        <w:tc>
          <w:tcPr>
            <w:tcW w:w="958"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1.1 </w:t>
            </w:r>
          </w:p>
        </w:tc>
        <w:tc>
          <w:tcPr>
            <w:tcW w:w="959" w:type="dxa"/>
            <w:vAlign w:val="top"/>
          </w:tcPr>
          <w:p w:rsidR="001F660E" w:rsidRPr="001F660E" w:rsidRDefault="001F660E" w:rsidP="001F660E">
            <w:pPr>
              <w:cnfStyle w:val="000000010000" w:firstRow="0" w:lastRow="0" w:firstColumn="0" w:lastColumn="0" w:oddVBand="0" w:evenVBand="0" w:oddHBand="0" w:evenHBand="1" w:firstRowFirstColumn="0" w:firstRowLastColumn="0" w:lastRowFirstColumn="0" w:lastRowLastColumn="0"/>
            </w:pPr>
            <w:r w:rsidRPr="001F660E">
              <w:t xml:space="preserve">5.1 </w:t>
            </w:r>
          </w:p>
        </w:tc>
      </w:tr>
    </w:tbl>
    <w:p w:rsidR="00686EF3" w:rsidRDefault="00686EF3" w:rsidP="00686EF3">
      <w:pPr>
        <w:pStyle w:val="Source"/>
      </w:pPr>
      <w:r w:rsidRPr="0060237E">
        <w:lastRenderedPageBreak/>
        <w:t>Source:</w:t>
      </w:r>
      <w:r>
        <w:tab/>
        <w:t>AusNet Services</w:t>
      </w:r>
      <w:r w:rsidRPr="0060237E">
        <w:t xml:space="preserve">, Regulatory proposal, </w:t>
      </w:r>
      <w:r>
        <w:t>October</w:t>
      </w:r>
      <w:r w:rsidRPr="0060237E">
        <w:t xml:space="preserve"> 2015, p. </w:t>
      </w:r>
      <w:r>
        <w:t>169;</w:t>
      </w:r>
      <w:r w:rsidRPr="0060237E">
        <w:t xml:space="preserve"> AER analysis</w:t>
      </w:r>
      <w:r>
        <w:t>.</w:t>
      </w:r>
    </w:p>
    <w:p w:rsidR="00801E1F" w:rsidRDefault="00686EF3" w:rsidP="00686EF3">
      <w:pPr>
        <w:rPr>
          <w:rStyle w:val="AERbody"/>
        </w:rPr>
      </w:pPr>
      <w:r w:rsidRPr="0060237E">
        <w:rPr>
          <w:rStyle w:val="AERbody"/>
        </w:rPr>
        <w:t xml:space="preserve">Our </w:t>
      </w:r>
      <w:r>
        <w:rPr>
          <w:rStyle w:val="AERbody"/>
        </w:rPr>
        <w:t>draft</w:t>
      </w:r>
      <w:r w:rsidRPr="0060237E">
        <w:rPr>
          <w:rStyle w:val="AERbody"/>
        </w:rPr>
        <w:t xml:space="preserve"> decision is to apply version two of the EBSS to </w:t>
      </w:r>
      <w:r>
        <w:rPr>
          <w:rStyle w:val="AERbody"/>
        </w:rPr>
        <w:t xml:space="preserve">AusNet Services in the </w:t>
      </w:r>
      <w:r>
        <w:rPr>
          <w:rStyle w:val="AERbody"/>
        </w:rPr>
        <w:br/>
        <w:t>2017–22</w:t>
      </w:r>
      <w:r w:rsidRPr="0060237E">
        <w:rPr>
          <w:rStyle w:val="AERbody"/>
        </w:rPr>
        <w:t xml:space="preserve"> regulatory control period.</w:t>
      </w:r>
      <w:r>
        <w:rPr>
          <w:rStyle w:val="FootnoteReference"/>
        </w:rPr>
        <w:footnoteReference w:id="4"/>
      </w:r>
      <w:r w:rsidRPr="0060237E">
        <w:rPr>
          <w:rStyle w:val="AERbody"/>
        </w:rPr>
        <w:t xml:space="preserve">  </w:t>
      </w:r>
      <w:r w:rsidR="00801E1F">
        <w:rPr>
          <w:rStyle w:val="AERbody"/>
        </w:rPr>
        <w:t>This is consistent with</w:t>
      </w:r>
      <w:r w:rsidR="004D3183">
        <w:rPr>
          <w:rStyle w:val="AERbody"/>
        </w:rPr>
        <w:t xml:space="preserve"> our Final </w:t>
      </w:r>
      <w:r w:rsidR="007E7843">
        <w:rPr>
          <w:rStyle w:val="AERbody"/>
        </w:rPr>
        <w:t>f</w:t>
      </w:r>
      <w:r w:rsidR="004D3183">
        <w:rPr>
          <w:rStyle w:val="AERbody"/>
        </w:rPr>
        <w:t xml:space="preserve">ramework and </w:t>
      </w:r>
      <w:r w:rsidR="007E7843">
        <w:rPr>
          <w:rStyle w:val="AERbody"/>
        </w:rPr>
        <w:t>a</w:t>
      </w:r>
      <w:r w:rsidR="004D3183">
        <w:rPr>
          <w:rStyle w:val="AERbody"/>
        </w:rPr>
        <w:t xml:space="preserve">pproach </w:t>
      </w:r>
      <w:r w:rsidR="007E7843">
        <w:rPr>
          <w:rStyle w:val="AERbody"/>
        </w:rPr>
        <w:t>p</w:t>
      </w:r>
      <w:r w:rsidR="004D3183">
        <w:rPr>
          <w:rStyle w:val="AERbody"/>
        </w:rPr>
        <w:t>aper</w:t>
      </w:r>
      <w:r w:rsidR="007E7843">
        <w:rPr>
          <w:rStyle w:val="FootnoteReference"/>
        </w:rPr>
        <w:footnoteReference w:id="5"/>
      </w:r>
      <w:r w:rsidR="004D3183">
        <w:rPr>
          <w:rStyle w:val="AERbody"/>
        </w:rPr>
        <w:t xml:space="preserve"> and</w:t>
      </w:r>
      <w:r w:rsidR="00801E1F">
        <w:rPr>
          <w:rStyle w:val="AERbody"/>
        </w:rPr>
        <w:t xml:space="preserve"> AusNet</w:t>
      </w:r>
      <w:r w:rsidR="007E7843">
        <w:rPr>
          <w:rStyle w:val="AERbody"/>
        </w:rPr>
        <w:t xml:space="preserve"> Services</w:t>
      </w:r>
      <w:r w:rsidR="00801E1F">
        <w:rPr>
          <w:rStyle w:val="AERbody"/>
        </w:rPr>
        <w:t xml:space="preserve">' proposal. </w:t>
      </w:r>
      <w:r w:rsidRPr="0060237E">
        <w:rPr>
          <w:rStyle w:val="AERbody"/>
        </w:rPr>
        <w:t xml:space="preserve">When we apply version two of the EBSS, we will exclude the cost categories listed in section 9.4.2 from forecast and actual opex </w:t>
      </w:r>
      <w:r>
        <w:rPr>
          <w:rStyle w:val="AERbody"/>
        </w:rPr>
        <w:t>used to calculate</w:t>
      </w:r>
      <w:r w:rsidRPr="0060237E">
        <w:rPr>
          <w:rStyle w:val="AERbody"/>
        </w:rPr>
        <w:t xml:space="preserve"> EBSS carryover amounts.</w:t>
      </w:r>
      <w:r w:rsidR="00726A45">
        <w:rPr>
          <w:rStyle w:val="FootnoteReference"/>
        </w:rPr>
        <w:footnoteReference w:id="6"/>
      </w:r>
      <w:r w:rsidRPr="0060237E">
        <w:rPr>
          <w:rStyle w:val="AERbody"/>
        </w:rPr>
        <w:t xml:space="preserve"> </w:t>
      </w:r>
    </w:p>
    <w:p w:rsidR="00686EF3" w:rsidRDefault="00686EF3" w:rsidP="00686EF3">
      <w:pPr>
        <w:rPr>
          <w:rStyle w:val="AERbody"/>
        </w:rPr>
      </w:pPr>
      <w:r w:rsidRPr="0060237E">
        <w:rPr>
          <w:rStyle w:val="AERbody"/>
        </w:rPr>
        <w:t xml:space="preserve">Table 9.2 sets out our </w:t>
      </w:r>
      <w:r>
        <w:rPr>
          <w:rStyle w:val="AERbody"/>
        </w:rPr>
        <w:t>draft</w:t>
      </w:r>
      <w:r w:rsidRPr="0060237E">
        <w:rPr>
          <w:rStyle w:val="AERbody"/>
        </w:rPr>
        <w:t xml:space="preserve"> decision on </w:t>
      </w:r>
      <w:r>
        <w:rPr>
          <w:rStyle w:val="AERbody"/>
        </w:rPr>
        <w:t>AusNet Services'</w:t>
      </w:r>
      <w:r w:rsidRPr="0060237E">
        <w:rPr>
          <w:rStyle w:val="AERbody"/>
        </w:rPr>
        <w:t xml:space="preserve"> target opex for the EBSS (total opex less</w:t>
      </w:r>
      <w:r>
        <w:rPr>
          <w:rStyle w:val="AERbody"/>
        </w:rPr>
        <w:t xml:space="preserve"> excluded categories</w:t>
      </w:r>
      <w:r>
        <w:rPr>
          <w:rStyle w:val="FootnoteReference"/>
        </w:rPr>
        <w:footnoteReference w:id="7"/>
      </w:r>
      <w:r w:rsidRPr="0060237E">
        <w:rPr>
          <w:rStyle w:val="AERbody"/>
        </w:rPr>
        <w:t>), against which we will calcul</w:t>
      </w:r>
      <w:r>
        <w:rPr>
          <w:rStyle w:val="AERbody"/>
        </w:rPr>
        <w:t>ate efficiency gains in the 2017–22</w:t>
      </w:r>
      <w:r w:rsidRPr="0060237E">
        <w:rPr>
          <w:rStyle w:val="AERbody"/>
        </w:rPr>
        <w:t xml:space="preserve"> regulatory control period. </w:t>
      </w:r>
    </w:p>
    <w:p w:rsidR="00686EF3" w:rsidRPr="0060237E" w:rsidRDefault="00686EF3" w:rsidP="00686EF3">
      <w:pPr>
        <w:pStyle w:val="Caption"/>
        <w:rPr>
          <w:rStyle w:val="AERbody"/>
        </w:rPr>
      </w:pPr>
      <w:r>
        <w:t xml:space="preserve">Table </w:t>
      </w:r>
      <w:fldSimple w:instr=" STYLEREF 1 \s ">
        <w:r w:rsidR="004E15EB">
          <w:rPr>
            <w:noProof/>
          </w:rPr>
          <w:t>9</w:t>
        </w:r>
      </w:fldSimple>
      <w:r w:rsidR="002144B5">
        <w:t>.</w:t>
      </w:r>
      <w:fldSimple w:instr=" SEQ Table \* ARABIC \s 1 ">
        <w:r w:rsidR="004E15EB">
          <w:rPr>
            <w:noProof/>
          </w:rPr>
          <w:t>2</w:t>
        </w:r>
      </w:fldSimple>
      <w:r>
        <w:tab/>
      </w:r>
      <w:r w:rsidRPr="001213BA">
        <w:t xml:space="preserve">AER's </w:t>
      </w:r>
      <w:r>
        <w:t>draft</w:t>
      </w:r>
      <w:r w:rsidRPr="001213BA">
        <w:t xml:space="preserve"> decision on </w:t>
      </w:r>
      <w:r>
        <w:t>AusNet Services</w:t>
      </w:r>
      <w:r w:rsidRPr="001213BA">
        <w:t xml:space="preserve"> forecast op</w:t>
      </w:r>
      <w:r>
        <w:t>ex for the EBSS ($ million, 2016–17</w:t>
      </w:r>
      <w:r w:rsidRPr="001213BA">
        <w:t>)</w:t>
      </w:r>
    </w:p>
    <w:tbl>
      <w:tblPr>
        <w:tblStyle w:val="AERtable-numbers"/>
        <w:tblW w:w="0" w:type="auto"/>
        <w:tblLook w:val="04A0" w:firstRow="1" w:lastRow="0" w:firstColumn="1" w:lastColumn="0" w:noHBand="0" w:noVBand="1"/>
      </w:tblPr>
      <w:tblGrid>
        <w:gridCol w:w="2235"/>
        <w:gridCol w:w="1291"/>
        <w:gridCol w:w="1292"/>
        <w:gridCol w:w="1291"/>
        <w:gridCol w:w="1292"/>
        <w:gridCol w:w="1292"/>
      </w:tblGrid>
      <w:tr w:rsidR="00686EF3" w:rsidTr="00686EF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686EF3" w:rsidRDefault="00686EF3" w:rsidP="00686EF3"/>
        </w:tc>
        <w:tc>
          <w:tcPr>
            <w:tcW w:w="1291"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2017-18</w:t>
            </w:r>
          </w:p>
        </w:tc>
        <w:tc>
          <w:tcPr>
            <w:tcW w:w="1292"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2018-19</w:t>
            </w:r>
          </w:p>
        </w:tc>
        <w:tc>
          <w:tcPr>
            <w:tcW w:w="1291"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2019-20</w:t>
            </w:r>
          </w:p>
        </w:tc>
        <w:tc>
          <w:tcPr>
            <w:tcW w:w="1292"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2020-21</w:t>
            </w:r>
          </w:p>
        </w:tc>
        <w:tc>
          <w:tcPr>
            <w:tcW w:w="1292" w:type="dxa"/>
          </w:tcPr>
          <w:p w:rsidR="00686EF3" w:rsidRPr="00686EF3" w:rsidRDefault="00686EF3" w:rsidP="00686EF3">
            <w:pPr>
              <w:cnfStyle w:val="100000000000" w:firstRow="1" w:lastRow="0" w:firstColumn="0" w:lastColumn="0" w:oddVBand="0" w:evenVBand="0" w:oddHBand="0" w:evenHBand="0" w:firstRowFirstColumn="0" w:firstRowLastColumn="0" w:lastRowFirstColumn="0" w:lastRowLastColumn="0"/>
            </w:pPr>
            <w:r>
              <w:t>2021-22</w:t>
            </w:r>
          </w:p>
        </w:tc>
      </w:tr>
      <w:tr w:rsidR="0060655C" w:rsidTr="005E6888">
        <w:tc>
          <w:tcPr>
            <w:cnfStyle w:val="001000000000" w:firstRow="0" w:lastRow="0" w:firstColumn="1" w:lastColumn="0" w:oddVBand="0" w:evenVBand="0" w:oddHBand="0" w:evenHBand="0" w:firstRowFirstColumn="0" w:firstRowLastColumn="0" w:lastRowFirstColumn="0" w:lastRowLastColumn="0"/>
            <w:tcW w:w="2235" w:type="dxa"/>
          </w:tcPr>
          <w:p w:rsidR="0060655C" w:rsidRPr="0060655C" w:rsidRDefault="0060655C" w:rsidP="0060655C">
            <w:r w:rsidRPr="0060655C">
              <w:t xml:space="preserve">Forecast opex </w:t>
            </w:r>
          </w:p>
        </w:tc>
        <w:tc>
          <w:tcPr>
            <w:tcW w:w="1291"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205.8</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206.0</w:t>
            </w:r>
          </w:p>
        </w:tc>
        <w:tc>
          <w:tcPr>
            <w:tcW w:w="1291"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206.4</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206.7</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207.1</w:t>
            </w:r>
          </w:p>
        </w:tc>
      </w:tr>
      <w:tr w:rsidR="0060655C" w:rsidTr="005E688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60655C" w:rsidRPr="0060655C" w:rsidRDefault="0060655C" w:rsidP="0060655C">
            <w:r w:rsidRPr="0060655C">
              <w:t xml:space="preserve">     Less debt raising costs</w:t>
            </w:r>
          </w:p>
        </w:tc>
        <w:tc>
          <w:tcPr>
            <w:tcW w:w="1291"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–1.6</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–1.6</w:t>
            </w:r>
          </w:p>
        </w:tc>
        <w:tc>
          <w:tcPr>
            <w:tcW w:w="1291"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–1.6</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–1.5</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–1.5</w:t>
            </w:r>
          </w:p>
        </w:tc>
      </w:tr>
      <w:tr w:rsidR="0060655C" w:rsidTr="005E6888">
        <w:tc>
          <w:tcPr>
            <w:cnfStyle w:val="001000000000" w:firstRow="0" w:lastRow="0" w:firstColumn="1" w:lastColumn="0" w:oddVBand="0" w:evenVBand="0" w:oddHBand="0" w:evenHBand="0" w:firstRowFirstColumn="0" w:firstRowLastColumn="0" w:lastRowFirstColumn="0" w:lastRowLastColumn="0"/>
            <w:tcW w:w="2235" w:type="dxa"/>
          </w:tcPr>
          <w:p w:rsidR="0060655C" w:rsidRPr="0060655C" w:rsidRDefault="0060655C" w:rsidP="0060655C">
            <w:r w:rsidRPr="0060655C">
              <w:t xml:space="preserve">     Less easement land tax </w:t>
            </w:r>
          </w:p>
        </w:tc>
        <w:tc>
          <w:tcPr>
            <w:tcW w:w="1291"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–114.3</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–114.3</w:t>
            </w:r>
          </w:p>
        </w:tc>
        <w:tc>
          <w:tcPr>
            <w:tcW w:w="1291"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–114.3</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–114.3</w:t>
            </w:r>
          </w:p>
        </w:tc>
        <w:tc>
          <w:tcPr>
            <w:tcW w:w="1292" w:type="dxa"/>
            <w:vAlign w:val="top"/>
          </w:tcPr>
          <w:p w:rsidR="0060655C" w:rsidRPr="0060655C" w:rsidRDefault="0060655C" w:rsidP="009F2E2D">
            <w:pPr>
              <w:cnfStyle w:val="000000000000" w:firstRow="0" w:lastRow="0" w:firstColumn="0" w:lastColumn="0" w:oddVBand="0" w:evenVBand="0" w:oddHBand="0" w:evenHBand="0" w:firstRowFirstColumn="0" w:firstRowLastColumn="0" w:lastRowFirstColumn="0" w:lastRowLastColumn="0"/>
            </w:pPr>
            <w:r w:rsidRPr="0060655C">
              <w:t>–114.3</w:t>
            </w:r>
          </w:p>
        </w:tc>
      </w:tr>
      <w:tr w:rsidR="0060655C" w:rsidTr="00B75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Pr>
          <w:p w:rsidR="0060655C" w:rsidRPr="0060655C" w:rsidRDefault="0060655C" w:rsidP="0060655C">
            <w:r>
              <w:t>Target</w:t>
            </w:r>
            <w:r w:rsidRPr="0060655C">
              <w:t xml:space="preserve"> opex for the EBSS</w:t>
            </w:r>
          </w:p>
        </w:tc>
        <w:tc>
          <w:tcPr>
            <w:tcW w:w="1291"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89.8</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90.1</w:t>
            </w:r>
          </w:p>
        </w:tc>
        <w:tc>
          <w:tcPr>
            <w:tcW w:w="1291"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90.5</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90.9</w:t>
            </w:r>
          </w:p>
        </w:tc>
        <w:tc>
          <w:tcPr>
            <w:tcW w:w="1292" w:type="dxa"/>
            <w:vAlign w:val="top"/>
          </w:tcPr>
          <w:p w:rsidR="0060655C" w:rsidRPr="0060655C" w:rsidRDefault="0060655C" w:rsidP="009F2E2D">
            <w:pPr>
              <w:cnfStyle w:val="000000010000" w:firstRow="0" w:lastRow="0" w:firstColumn="0" w:lastColumn="0" w:oddVBand="0" w:evenVBand="0" w:oddHBand="0" w:evenHBand="1" w:firstRowFirstColumn="0" w:firstRowLastColumn="0" w:lastRowFirstColumn="0" w:lastRowLastColumn="0"/>
            </w:pPr>
            <w:r w:rsidRPr="0060655C">
              <w:t>91.2</w:t>
            </w:r>
          </w:p>
        </w:tc>
      </w:tr>
    </w:tbl>
    <w:p w:rsidR="00686EF3" w:rsidRDefault="00686EF3" w:rsidP="00686EF3">
      <w:pPr>
        <w:pStyle w:val="Source"/>
      </w:pPr>
      <w:r w:rsidRPr="001213BA">
        <w:t xml:space="preserve">Source: </w:t>
      </w:r>
      <w:r w:rsidRPr="001213BA">
        <w:tab/>
        <w:t xml:space="preserve">AER analysis. </w:t>
      </w:r>
    </w:p>
    <w:p w:rsidR="00686EF3" w:rsidRPr="001213BA" w:rsidRDefault="00686EF3" w:rsidP="00686EF3">
      <w:pPr>
        <w:pStyle w:val="Source"/>
      </w:pPr>
      <w:r w:rsidRPr="001213BA">
        <w:t xml:space="preserve">Note: </w:t>
      </w:r>
      <w:r w:rsidRPr="001213BA">
        <w:tab/>
        <w:t xml:space="preserve">Total forecast opex less forecast opex on </w:t>
      </w:r>
      <w:r w:rsidRPr="00FA45F7">
        <w:t>easement land tax</w:t>
      </w:r>
      <w:r>
        <w:t xml:space="preserve"> and </w:t>
      </w:r>
      <w:r w:rsidRPr="001213BA">
        <w:t>debt raising costs</w:t>
      </w:r>
      <w:r>
        <w:t>. Forecast opex does not include AIS rebates or</w:t>
      </w:r>
      <w:r w:rsidRPr="001213BA">
        <w:t xml:space="preserve"> </w:t>
      </w:r>
      <w:r>
        <w:t>priority projects under the STPIS network capability function.</w:t>
      </w:r>
    </w:p>
    <w:p w:rsidR="00686EF3" w:rsidRDefault="00686EF3" w:rsidP="00686EF3">
      <w:pPr>
        <w:pStyle w:val="Heading2"/>
      </w:pPr>
      <w:bookmarkStart w:id="15" w:name="_Toc436389919"/>
      <w:bookmarkStart w:id="16" w:name="_Toc456602453"/>
      <w:r>
        <w:t>AusNet Services' proposal</w:t>
      </w:r>
      <w:bookmarkEnd w:id="15"/>
      <w:bookmarkEnd w:id="16"/>
    </w:p>
    <w:p w:rsidR="00686EF3" w:rsidRPr="00686EF3" w:rsidRDefault="00686EF3" w:rsidP="00686EF3">
      <w:pPr>
        <w:pStyle w:val="Heading3"/>
      </w:pPr>
      <w:bookmarkStart w:id="17" w:name="_Toc436389920"/>
      <w:bookmarkStart w:id="18" w:name="_Toc456602454"/>
      <w:r w:rsidRPr="00365D75">
        <w:t>Carryover</w:t>
      </w:r>
      <w:r w:rsidRPr="00686EF3">
        <w:t xml:space="preserve"> amounts from the 2014–17 regulatory control period</w:t>
      </w:r>
      <w:bookmarkEnd w:id="17"/>
      <w:bookmarkEnd w:id="18"/>
    </w:p>
    <w:p w:rsidR="00686EF3" w:rsidRPr="00365D75" w:rsidRDefault="00686EF3" w:rsidP="00686EF3">
      <w:r>
        <w:t>AusNet Services proposed a $5.6 million ($2016–17</w:t>
      </w:r>
      <w:r w:rsidRPr="00365D75">
        <w:t xml:space="preserve">) </w:t>
      </w:r>
      <w:r>
        <w:t xml:space="preserve">carryover </w:t>
      </w:r>
      <w:r w:rsidRPr="00365D75">
        <w:t xml:space="preserve">be </w:t>
      </w:r>
      <w:r>
        <w:t>added</w:t>
      </w:r>
      <w:r w:rsidRPr="00365D75">
        <w:t xml:space="preserve"> </w:t>
      </w:r>
      <w:r>
        <w:t>to</w:t>
      </w:r>
      <w:r w:rsidRPr="00365D75">
        <w:t xml:space="preserve"> i</w:t>
      </w:r>
      <w:r>
        <w:t>ts regulated revenue in the 2017–22</w:t>
      </w:r>
      <w:r w:rsidRPr="00365D75">
        <w:t xml:space="preserve"> regulatory control period.</w:t>
      </w:r>
      <w:r>
        <w:rPr>
          <w:rStyle w:val="FootnoteReference"/>
        </w:rPr>
        <w:footnoteReference w:id="8"/>
      </w:r>
    </w:p>
    <w:p w:rsidR="00686EF3" w:rsidRPr="00365D75" w:rsidRDefault="00686EF3" w:rsidP="00686EF3">
      <w:r w:rsidRPr="00365D75">
        <w:t xml:space="preserve">In estimating its proposed EBSS carryover amounts, </w:t>
      </w:r>
      <w:r>
        <w:t>AusNet Services</w:t>
      </w:r>
      <w:r w:rsidRPr="00365D75">
        <w:t xml:space="preserve"> adjusted its actual opex for the following costs</w:t>
      </w:r>
      <w:r>
        <w:t>:</w:t>
      </w:r>
    </w:p>
    <w:p w:rsidR="00686EF3" w:rsidRPr="00A90041" w:rsidRDefault="00686EF3" w:rsidP="00686EF3">
      <w:pPr>
        <w:pStyle w:val="AERbulletlistfirststyle"/>
      </w:pPr>
      <w:r>
        <w:t>self-insurance</w:t>
      </w:r>
    </w:p>
    <w:p w:rsidR="00686EF3" w:rsidRPr="00A90041" w:rsidRDefault="00686EF3" w:rsidP="00686EF3">
      <w:pPr>
        <w:pStyle w:val="AERbulletlistfirststyle"/>
      </w:pPr>
      <w:r>
        <w:t>easement land tax</w:t>
      </w:r>
    </w:p>
    <w:p w:rsidR="00686EF3" w:rsidRPr="00A90041" w:rsidRDefault="00686EF3" w:rsidP="00686EF3">
      <w:pPr>
        <w:pStyle w:val="AERbulletlistfirststyle"/>
      </w:pPr>
      <w:r>
        <w:t>r</w:t>
      </w:r>
      <w:r w:rsidRPr="00A90041">
        <w:t>ebates under the Avail</w:t>
      </w:r>
      <w:r>
        <w:t>ability Incentive Scheme (AIS)</w:t>
      </w:r>
    </w:p>
    <w:p w:rsidR="00686EF3" w:rsidRPr="00A90041" w:rsidRDefault="00686EF3" w:rsidP="00686EF3">
      <w:pPr>
        <w:pStyle w:val="AERbulletlistfirststyle"/>
      </w:pPr>
      <w:r>
        <w:lastRenderedPageBreak/>
        <w:t>debt raising costs</w:t>
      </w:r>
    </w:p>
    <w:p w:rsidR="00686EF3" w:rsidRPr="00A90041" w:rsidRDefault="00686EF3" w:rsidP="00686EF3">
      <w:pPr>
        <w:pStyle w:val="AERbulletlistfirststyle"/>
      </w:pPr>
      <w:r>
        <w:t>t</w:t>
      </w:r>
      <w:r w:rsidRPr="00A90041">
        <w:t>he costs of priority projects approved under the network ca</w:t>
      </w:r>
      <w:r>
        <w:t>pability component of STPIS</w:t>
      </w:r>
    </w:p>
    <w:p w:rsidR="00686EF3" w:rsidRPr="00365D75" w:rsidRDefault="00686EF3" w:rsidP="00686EF3">
      <w:pPr>
        <w:pStyle w:val="AERbulletlistfirststyle"/>
      </w:pPr>
      <w:r>
        <w:t>m</w:t>
      </w:r>
      <w:r w:rsidRPr="00A90041">
        <w:t xml:space="preserve">ovements </w:t>
      </w:r>
      <w:r>
        <w:t>in provisions allocated to opex</w:t>
      </w:r>
      <w:r w:rsidRPr="00365D75">
        <w:t>.</w:t>
      </w:r>
      <w:r>
        <w:rPr>
          <w:rStyle w:val="FootnoteReference"/>
        </w:rPr>
        <w:footnoteReference w:id="9"/>
      </w:r>
    </w:p>
    <w:p w:rsidR="00F86C89" w:rsidRDefault="00686EF3" w:rsidP="00686EF3">
      <w:r>
        <w:t>It forecast</w:t>
      </w:r>
      <w:r w:rsidRPr="00400EA2">
        <w:t xml:space="preserve"> opex for </w:t>
      </w:r>
      <w:r>
        <w:t>2015–</w:t>
      </w:r>
      <w:r w:rsidRPr="00400EA2">
        <w:t xml:space="preserve">16 by applying </w:t>
      </w:r>
      <w:r>
        <w:t>its</w:t>
      </w:r>
      <w:r w:rsidRPr="00400EA2">
        <w:t xml:space="preserve"> opex forecasting methodology. </w:t>
      </w:r>
      <w:r>
        <w:t>It stated it</w:t>
      </w:r>
      <w:r w:rsidRPr="00400EA2">
        <w:t xml:space="preserve"> will replace</w:t>
      </w:r>
      <w:r>
        <w:t xml:space="preserve"> this forecast with actual 2015–</w:t>
      </w:r>
      <w:r w:rsidRPr="00400EA2">
        <w:t xml:space="preserve">16 opex in its </w:t>
      </w:r>
      <w:r w:rsidR="00ED0CDD">
        <w:t>r</w:t>
      </w:r>
      <w:r w:rsidRPr="00400EA2">
        <w:t xml:space="preserve">evised </w:t>
      </w:r>
      <w:r w:rsidR="00ED0CDD">
        <w:t>r</w:t>
      </w:r>
      <w:r w:rsidRPr="00400EA2">
        <w:t xml:space="preserve">evenue </w:t>
      </w:r>
      <w:r w:rsidR="00ED0CDD">
        <w:t>p</w:t>
      </w:r>
      <w:r w:rsidRPr="00400EA2">
        <w:t>roposal.</w:t>
      </w:r>
      <w:r w:rsidR="00F86C89" w:rsidRPr="00F86C89">
        <w:rPr>
          <w:rStyle w:val="FootnoteReference"/>
        </w:rPr>
        <w:footnoteReference w:id="10"/>
      </w:r>
    </w:p>
    <w:p w:rsidR="00F86C89" w:rsidRPr="00F86C89" w:rsidRDefault="00F86C89" w:rsidP="00F86C89">
      <w:r w:rsidRPr="00F86C89">
        <w:t xml:space="preserve">AusNet Services </w:t>
      </w:r>
      <w:r>
        <w:t>noted that</w:t>
      </w:r>
      <w:r w:rsidRPr="00F86C89">
        <w:t xml:space="preserve"> the formula to calculate the carryover amounts from </w:t>
      </w:r>
      <w:r>
        <w:br/>
      </w:r>
      <w:r w:rsidRPr="00F86C89">
        <w:t xml:space="preserve">2014-15 should be: </w:t>
      </w:r>
    </w:p>
    <w:p w:rsidR="00686EF3" w:rsidRPr="00400EA2" w:rsidRDefault="00F86C89" w:rsidP="00F86C89">
      <w:r w:rsidRPr="00F86C89">
        <w:t xml:space="preserve">        E</w:t>
      </w:r>
      <w:r w:rsidRPr="00F86C89">
        <w:rPr>
          <w:rStyle w:val="AERsubscript"/>
        </w:rPr>
        <w:t xml:space="preserve">2014-15 </w:t>
      </w:r>
      <w:r w:rsidRPr="00F86C89">
        <w:t>= (F</w:t>
      </w:r>
      <w:r w:rsidRPr="00F86C89">
        <w:rPr>
          <w:rStyle w:val="AERsubscript"/>
        </w:rPr>
        <w:t xml:space="preserve">2014-15 </w:t>
      </w:r>
      <w:r w:rsidRPr="00F86C89">
        <w:t>– A</w:t>
      </w:r>
      <w:r w:rsidRPr="00F86C89">
        <w:rPr>
          <w:rStyle w:val="AERsubscript"/>
        </w:rPr>
        <w:t>2014-15</w:t>
      </w:r>
      <w:r w:rsidRPr="00F86C89">
        <w:t>) – (F</w:t>
      </w:r>
      <w:r w:rsidRPr="00F86C89">
        <w:rPr>
          <w:rStyle w:val="AERsubscript"/>
        </w:rPr>
        <w:t xml:space="preserve">2013-14 </w:t>
      </w:r>
      <w:r w:rsidRPr="00F86C89">
        <w:t>– A</w:t>
      </w:r>
      <w:r w:rsidRPr="00F86C89">
        <w:rPr>
          <w:rStyle w:val="AERsubscript"/>
        </w:rPr>
        <w:t>2013-14</w:t>
      </w:r>
      <w:r w:rsidRPr="00F86C89">
        <w:t>) + (F</w:t>
      </w:r>
      <w:r w:rsidRPr="00F86C89">
        <w:rPr>
          <w:rStyle w:val="AERsubscript"/>
        </w:rPr>
        <w:t xml:space="preserve">2011-12 </w:t>
      </w:r>
      <w:r w:rsidRPr="00F86C89">
        <w:t>– A</w:t>
      </w:r>
      <w:r w:rsidRPr="00F86C89">
        <w:rPr>
          <w:rStyle w:val="AERsubscript"/>
        </w:rPr>
        <w:t>2011-12</w:t>
      </w:r>
      <w:r w:rsidRPr="00F86C89">
        <w:t xml:space="preserve">). </w:t>
      </w:r>
    </w:p>
    <w:p w:rsidR="00686EF3" w:rsidRPr="00686EF3" w:rsidRDefault="00686EF3" w:rsidP="00686EF3">
      <w:pPr>
        <w:pStyle w:val="Heading3"/>
      </w:pPr>
      <w:bookmarkStart w:id="19" w:name="_Toc436389921"/>
      <w:bookmarkStart w:id="20" w:name="_Toc456602455"/>
      <w:r w:rsidRPr="00365D75">
        <w:t>Application of the EBSS in the 2017–22 regulatory control period</w:t>
      </w:r>
      <w:bookmarkEnd w:id="19"/>
      <w:bookmarkEnd w:id="20"/>
    </w:p>
    <w:p w:rsidR="00686EF3" w:rsidRPr="00365D75" w:rsidRDefault="00686EF3" w:rsidP="00686EF3">
      <w:r>
        <w:rPr>
          <w:rStyle w:val="AERbody"/>
        </w:rPr>
        <w:t>AusNet Services</w:t>
      </w:r>
      <w:r w:rsidRPr="00365D75">
        <w:rPr>
          <w:rStyle w:val="AERbody"/>
        </w:rPr>
        <w:t xml:space="preserve"> proposed version two of the scheme would apply to it in the </w:t>
      </w:r>
      <w:r>
        <w:t>2017–22</w:t>
      </w:r>
      <w:r w:rsidRPr="00365D75">
        <w:t xml:space="preserve"> regulatory control period subject to specific exclusions. It proposed we exclude the following cost categories from the scheme:</w:t>
      </w:r>
    </w:p>
    <w:p w:rsidR="00686EF3" w:rsidRPr="00217E71" w:rsidRDefault="00686EF3" w:rsidP="00686EF3">
      <w:pPr>
        <w:pStyle w:val="AERbulletlistfirststyle"/>
      </w:pPr>
      <w:r w:rsidRPr="00217E71">
        <w:t>self-insurance</w:t>
      </w:r>
    </w:p>
    <w:p w:rsidR="00686EF3" w:rsidRDefault="00686EF3" w:rsidP="00686EF3">
      <w:pPr>
        <w:pStyle w:val="AERbulletlistfirststyle"/>
      </w:pPr>
      <w:r>
        <w:t>easement land tax</w:t>
      </w:r>
    </w:p>
    <w:p w:rsidR="00686EF3" w:rsidRDefault="00686EF3" w:rsidP="00686EF3">
      <w:pPr>
        <w:pStyle w:val="AERbulletlistfirststyle"/>
      </w:pPr>
      <w:r>
        <w:t>t</w:t>
      </w:r>
      <w:r w:rsidRPr="00217E71">
        <w:t>he cost of priority projects approved under the network capability component of the STPIS</w:t>
      </w:r>
    </w:p>
    <w:p w:rsidR="00686EF3" w:rsidRDefault="00686EF3" w:rsidP="00686EF3">
      <w:pPr>
        <w:pStyle w:val="AERbulletlistfirststyle"/>
      </w:pPr>
      <w:r>
        <w:t>debt raising costs, only if we</w:t>
      </w:r>
      <w:r w:rsidRPr="00217E71">
        <w:t xml:space="preserve"> set debt raising costs using </w:t>
      </w:r>
      <w:r>
        <w:t>our</w:t>
      </w:r>
      <w:r w:rsidRPr="00217E71">
        <w:t xml:space="preserve"> current benchmark methodology</w:t>
      </w:r>
      <w:r w:rsidRPr="00365D75">
        <w:t>.</w:t>
      </w:r>
      <w:r>
        <w:rPr>
          <w:rStyle w:val="FootnoteReference"/>
        </w:rPr>
        <w:footnoteReference w:id="11"/>
      </w:r>
    </w:p>
    <w:p w:rsidR="00686EF3" w:rsidRDefault="00686EF3" w:rsidP="00686EF3">
      <w:pPr>
        <w:pStyle w:val="Heading2"/>
      </w:pPr>
      <w:bookmarkStart w:id="21" w:name="_Toc436389922"/>
      <w:bookmarkStart w:id="22" w:name="_Toc456602456"/>
      <w:r>
        <w:t>Assessment approach</w:t>
      </w:r>
      <w:bookmarkEnd w:id="21"/>
      <w:bookmarkEnd w:id="22"/>
    </w:p>
    <w:p w:rsidR="00686EF3" w:rsidRPr="0060237E" w:rsidRDefault="00686EF3" w:rsidP="00686EF3">
      <w:r w:rsidRPr="0060237E">
        <w:t xml:space="preserve">Under the National Electricity Rules (NER) we must decide: </w:t>
      </w:r>
    </w:p>
    <w:p w:rsidR="00686EF3" w:rsidRPr="0060237E" w:rsidRDefault="0060655C" w:rsidP="004D063D">
      <w:pPr>
        <w:pStyle w:val="ListNumber"/>
      </w:pPr>
      <w:r>
        <w:t>t</w:t>
      </w:r>
      <w:r w:rsidR="00686EF3" w:rsidRPr="0060237E">
        <w:t>he revenue increments or decrements (i</w:t>
      </w:r>
      <w:r w:rsidR="00686EF3">
        <w:t>f any) for each year of the 2017–22</w:t>
      </w:r>
      <w:r w:rsidR="00686EF3" w:rsidRPr="0060237E">
        <w:t xml:space="preserve"> regulatory control period arising from the appl</w:t>
      </w:r>
      <w:r w:rsidR="00686EF3">
        <w:t xml:space="preserve">ication of the EBSS during the </w:t>
      </w:r>
      <w:r>
        <w:t xml:space="preserve"> </w:t>
      </w:r>
      <w:r>
        <w:br/>
      </w:r>
      <w:r w:rsidR="00686EF3">
        <w:t>2014–17</w:t>
      </w:r>
      <w:r w:rsidR="00686EF3" w:rsidRPr="0060237E">
        <w:t xml:space="preserve"> regulatory control period</w:t>
      </w:r>
      <w:r w:rsidR="00686EF3">
        <w:rPr>
          <w:rStyle w:val="FootnoteReference"/>
        </w:rPr>
        <w:footnoteReference w:id="12"/>
      </w:r>
      <w:r w:rsidR="00686EF3" w:rsidRPr="0060237E">
        <w:t xml:space="preserve">  </w:t>
      </w:r>
    </w:p>
    <w:p w:rsidR="00686EF3" w:rsidRPr="0060237E" w:rsidRDefault="00686EF3" w:rsidP="004D063D">
      <w:pPr>
        <w:pStyle w:val="ListNumber"/>
      </w:pPr>
      <w:r w:rsidRPr="0060237E">
        <w:t>how the EBSS wil</w:t>
      </w:r>
      <w:r>
        <w:t>l apply to AusNet Services in the 2017–22</w:t>
      </w:r>
      <w:r w:rsidRPr="0060237E">
        <w:t xml:space="preserve"> regulatory control period.</w:t>
      </w:r>
      <w:r>
        <w:rPr>
          <w:rStyle w:val="FootnoteReference"/>
        </w:rPr>
        <w:footnoteReference w:id="13"/>
      </w:r>
      <w:r w:rsidRPr="0060237E">
        <w:t xml:space="preserve"> </w:t>
      </w:r>
    </w:p>
    <w:p w:rsidR="00686EF3" w:rsidRPr="0060237E" w:rsidRDefault="00686EF3" w:rsidP="00686EF3">
      <w:r w:rsidRPr="0060237E">
        <w:t>The EBSS must provide for a fair sharing between service providers and network users of opex efficiency gains and efficiency losses.</w:t>
      </w:r>
      <w:r>
        <w:rPr>
          <w:rStyle w:val="FootnoteReference"/>
        </w:rPr>
        <w:footnoteReference w:id="14"/>
      </w:r>
      <w:r w:rsidRPr="0060237E">
        <w:t xml:space="preserve">  We must also have regard to the following factors when implementing the EBSS:</w:t>
      </w:r>
      <w:r>
        <w:rPr>
          <w:rStyle w:val="FootnoteReference"/>
        </w:rPr>
        <w:footnoteReference w:id="15"/>
      </w:r>
      <w:r w:rsidRPr="0060237E">
        <w:t xml:space="preserve"> </w:t>
      </w:r>
    </w:p>
    <w:p w:rsidR="00686EF3" w:rsidRPr="0060237E" w:rsidRDefault="00686EF3" w:rsidP="004D063D">
      <w:pPr>
        <w:pStyle w:val="AERbulletlistfirststyle"/>
      </w:pPr>
      <w:r w:rsidRPr="0060237E">
        <w:lastRenderedPageBreak/>
        <w:t>the need to ensure that benefits to electricity consumers likely to result from the scheme are sufficient to warrant any reward or penalty under the scheme</w:t>
      </w:r>
    </w:p>
    <w:p w:rsidR="00686EF3" w:rsidRPr="004D063D" w:rsidRDefault="00686EF3" w:rsidP="004D063D">
      <w:pPr>
        <w:pStyle w:val="AERbulletlistfirststyle"/>
      </w:pPr>
      <w:r w:rsidRPr="004D063D">
        <w:t xml:space="preserve">the need to provide the network service provider with continuous incentives to reduce opex </w:t>
      </w:r>
    </w:p>
    <w:p w:rsidR="00686EF3" w:rsidRPr="004D063D" w:rsidRDefault="00686EF3" w:rsidP="004D063D">
      <w:pPr>
        <w:pStyle w:val="AERbulletlistfirststyle"/>
      </w:pPr>
      <w:r w:rsidRPr="004D063D">
        <w:t xml:space="preserve">the desirability of both rewarding the service providers for efficiency gains and penalising them for efficiency losses </w:t>
      </w:r>
    </w:p>
    <w:p w:rsidR="00686EF3" w:rsidRPr="004D063D" w:rsidRDefault="00686EF3" w:rsidP="004D063D">
      <w:pPr>
        <w:pStyle w:val="AERbulletlistfirststyle"/>
      </w:pPr>
      <w:r w:rsidRPr="004D063D">
        <w:t>any incentives that service providers may have to capitalise expenditure</w:t>
      </w:r>
    </w:p>
    <w:p w:rsidR="00686EF3" w:rsidRPr="004D063D" w:rsidRDefault="00686EF3" w:rsidP="004D063D">
      <w:pPr>
        <w:pStyle w:val="AERbulletlistfirststyle"/>
      </w:pPr>
      <w:r w:rsidRPr="004D063D">
        <w:t>the possible effects of the scheme on incentives for the implementation of non–network alternatives.</w:t>
      </w:r>
    </w:p>
    <w:p w:rsidR="00686EF3" w:rsidRPr="00686EF3" w:rsidRDefault="00686EF3" w:rsidP="00686EF3">
      <w:pPr>
        <w:pStyle w:val="Heading3"/>
      </w:pPr>
      <w:bookmarkStart w:id="23" w:name="_Toc436389923"/>
      <w:bookmarkStart w:id="24" w:name="_Toc456602457"/>
      <w:r>
        <w:t>Interrelationships</w:t>
      </w:r>
      <w:bookmarkEnd w:id="23"/>
      <w:bookmarkEnd w:id="24"/>
    </w:p>
    <w:p w:rsidR="00686EF3" w:rsidRPr="0060237E" w:rsidRDefault="00686EF3" w:rsidP="00686EF3">
      <w:r w:rsidRPr="0060237E">
        <w:t>The EBSS is intrinsically linked to our opex revealed cost forecasting approach. Under this opex forecasting approach, the EBSS has two specific functions:</w:t>
      </w:r>
    </w:p>
    <w:p w:rsidR="00686EF3" w:rsidRPr="0060237E" w:rsidRDefault="00686EF3" w:rsidP="004D063D">
      <w:pPr>
        <w:pStyle w:val="AERbulletlistfirststyle"/>
      </w:pPr>
      <w:r w:rsidRPr="0060237E">
        <w:t>to mitigate the incentive for a service provider to increase opex in the expected 'base year' to increase its forecast opex allowance for the following regulatory control period</w:t>
      </w:r>
    </w:p>
    <w:p w:rsidR="00686EF3" w:rsidRPr="0060237E" w:rsidRDefault="00686EF3" w:rsidP="004D063D">
      <w:pPr>
        <w:pStyle w:val="AERbulletlistfirststyle"/>
      </w:pPr>
      <w:r w:rsidRPr="0060237E">
        <w:t>to provide a continuous incentive for a service provider to make efficiency gains - service providers receive the same reward for an underspend and the same penalty for an overspend in each year of the regulatory control period.</w:t>
      </w:r>
    </w:p>
    <w:p w:rsidR="00686EF3" w:rsidRPr="0060237E" w:rsidRDefault="00686EF3" w:rsidP="00686EF3">
      <w:r w:rsidRPr="0060237E">
        <w:t>Where we do not propose to rely on the revealed costs of a service provider in forecasting opex, this has consequences for the service provider's incentives to make productivity improvements and consequently our decision on how we apply the EBSS.</w:t>
      </w:r>
    </w:p>
    <w:p w:rsidR="00686EF3" w:rsidRDefault="00686EF3" w:rsidP="00686EF3">
      <w:pPr>
        <w:pStyle w:val="Heading2"/>
      </w:pPr>
      <w:bookmarkStart w:id="25" w:name="_Toc436389924"/>
      <w:bookmarkStart w:id="26" w:name="_Toc456602458"/>
      <w:r>
        <w:t>Reasons for draft decision</w:t>
      </w:r>
      <w:bookmarkEnd w:id="25"/>
      <w:bookmarkEnd w:id="26"/>
    </w:p>
    <w:p w:rsidR="00686EF3" w:rsidRPr="00686EF3" w:rsidRDefault="00686EF3" w:rsidP="00686EF3">
      <w:pPr>
        <w:pStyle w:val="Heading3"/>
      </w:pPr>
      <w:bookmarkStart w:id="27" w:name="_Toc436389925"/>
      <w:bookmarkStart w:id="28" w:name="_Toc456602459"/>
      <w:r>
        <w:t>Carryover amounts from the 2014–17</w:t>
      </w:r>
      <w:r w:rsidRPr="00686EF3">
        <w:t xml:space="preserve"> regulatory control period</w:t>
      </w:r>
      <w:bookmarkEnd w:id="27"/>
      <w:bookmarkEnd w:id="28"/>
    </w:p>
    <w:p w:rsidR="00686EF3" w:rsidRPr="0060237E" w:rsidRDefault="00686EF3" w:rsidP="00775C32">
      <w:r w:rsidRPr="0060237E">
        <w:t xml:space="preserve">We consider </w:t>
      </w:r>
      <w:r>
        <w:t>AusNet Services</w:t>
      </w:r>
      <w:r w:rsidRPr="0060237E">
        <w:t xml:space="preserve"> should rec</w:t>
      </w:r>
      <w:r>
        <w:t xml:space="preserve">eive </w:t>
      </w:r>
      <w:r w:rsidR="00775C32">
        <w:t>a positive EBSS carryover amount</w:t>
      </w:r>
      <w:r>
        <w:t xml:space="preserve"> of $</w:t>
      </w:r>
      <w:r w:rsidR="001F660E" w:rsidRPr="00775C32">
        <w:t>5</w:t>
      </w:r>
      <w:r w:rsidR="00073498" w:rsidRPr="00775C32">
        <w:t>.1</w:t>
      </w:r>
      <w:r w:rsidR="00775C32">
        <w:t xml:space="preserve"> </w:t>
      </w:r>
      <w:r>
        <w:t>million ($2016–17</w:t>
      </w:r>
      <w:r w:rsidRPr="0060237E">
        <w:t>) from the application of</w:t>
      </w:r>
      <w:r>
        <w:t xml:space="preserve"> </w:t>
      </w:r>
      <w:r w:rsidR="00C163E2">
        <w:t xml:space="preserve">version one of </w:t>
      </w:r>
      <w:r>
        <w:t>the EBSS during the 2014–17</w:t>
      </w:r>
      <w:r w:rsidRPr="0060237E">
        <w:t xml:space="preserve"> regulatory control period. </w:t>
      </w:r>
      <w:r w:rsidR="00ED0CDD">
        <w:t xml:space="preserve">However, we will update our calculation </w:t>
      </w:r>
      <w:r w:rsidR="005B6F05">
        <w:t xml:space="preserve">in our final decision </w:t>
      </w:r>
      <w:r w:rsidR="00ED0CDD">
        <w:t xml:space="preserve">when actual 2015–16 opex is available. </w:t>
      </w:r>
      <w:r w:rsidRPr="0060237E">
        <w:t>Our calculation i</w:t>
      </w:r>
      <w:r>
        <w:t>s in accordance with section 2.4</w:t>
      </w:r>
      <w:r w:rsidRPr="0060237E">
        <w:t xml:space="preserve"> of </w:t>
      </w:r>
      <w:r w:rsidR="00C163E2">
        <w:t xml:space="preserve">version one of </w:t>
      </w:r>
      <w:r w:rsidRPr="0060237E">
        <w:t xml:space="preserve">the Electricity </w:t>
      </w:r>
      <w:r>
        <w:t>transmission</w:t>
      </w:r>
      <w:r w:rsidRPr="0060237E">
        <w:t xml:space="preserve"> network service providers</w:t>
      </w:r>
      <w:r>
        <w:t>'</w:t>
      </w:r>
      <w:r w:rsidRPr="0060237E">
        <w:t xml:space="preserve"> EBSS.</w:t>
      </w:r>
      <w:r>
        <w:rPr>
          <w:rStyle w:val="FootnoteReference"/>
        </w:rPr>
        <w:footnoteReference w:id="16"/>
      </w:r>
      <w:r w:rsidRPr="0060237E">
        <w:t xml:space="preserve"> </w:t>
      </w:r>
    </w:p>
    <w:p w:rsidR="00686EF3" w:rsidRPr="0060237E" w:rsidRDefault="00686EF3" w:rsidP="00686EF3">
      <w:r>
        <w:lastRenderedPageBreak/>
        <w:t>In the 2014–17</w:t>
      </w:r>
      <w:r w:rsidRPr="0060237E">
        <w:t xml:space="preserve"> regulatory control period, </w:t>
      </w:r>
      <w:r>
        <w:t>AusNet Services</w:t>
      </w:r>
      <w:r w:rsidRPr="0060237E">
        <w:t xml:space="preserve"> was subject to </w:t>
      </w:r>
      <w:r w:rsidR="00C163E2">
        <w:t xml:space="preserve">version one </w:t>
      </w:r>
      <w:r w:rsidRPr="0060237E">
        <w:t xml:space="preserve">the Electricity </w:t>
      </w:r>
      <w:r>
        <w:t>transmission</w:t>
      </w:r>
      <w:r w:rsidRPr="0060237E">
        <w:t xml:space="preserve"> network service providers</w:t>
      </w:r>
      <w:r>
        <w:t>'</w:t>
      </w:r>
      <w:r w:rsidRPr="0060237E">
        <w:t xml:space="preserve"> EBSS.</w:t>
      </w:r>
      <w:r>
        <w:rPr>
          <w:rStyle w:val="FootnoteReference"/>
        </w:rPr>
        <w:footnoteReference w:id="17"/>
      </w:r>
      <w:r w:rsidRPr="0060237E">
        <w:t xml:space="preserve">  Under this scheme the EBSS carryover amounts are to be based on the difference between:</w:t>
      </w:r>
    </w:p>
    <w:p w:rsidR="00686EF3" w:rsidRPr="0060237E" w:rsidRDefault="00686EF3" w:rsidP="004D063D">
      <w:pPr>
        <w:pStyle w:val="AERbulletlistfirststyle"/>
      </w:pPr>
      <w:r w:rsidRPr="0060237E">
        <w:t xml:space="preserve">approved forecast opex which is set out in our determination for </w:t>
      </w:r>
      <w:r>
        <w:t>AusNet Services for the 2014–17</w:t>
      </w:r>
      <w:r w:rsidRPr="0060237E">
        <w:t xml:space="preserve"> regulatory control period</w:t>
      </w:r>
    </w:p>
    <w:p w:rsidR="00686EF3" w:rsidRPr="0060237E" w:rsidRDefault="00686EF3" w:rsidP="004D063D">
      <w:pPr>
        <w:pStyle w:val="AERbulletlistfirststyle"/>
      </w:pPr>
      <w:r w:rsidRPr="0060237E">
        <w:t>actual opex for</w:t>
      </w:r>
      <w:r>
        <w:t xml:space="preserve"> the  regulatory years from 2014–15 to 2015–16</w:t>
      </w:r>
      <w:r w:rsidR="0060655C">
        <w:t>,</w:t>
      </w:r>
      <w:r w:rsidRPr="0060237E">
        <w:t xml:space="preserve"> less excluded cost categories.</w:t>
      </w:r>
      <w:r>
        <w:rPr>
          <w:rStyle w:val="FootnoteReference"/>
        </w:rPr>
        <w:footnoteReference w:id="18"/>
      </w:r>
    </w:p>
    <w:p w:rsidR="00686EF3" w:rsidRPr="0060237E" w:rsidRDefault="00686EF3" w:rsidP="00686EF3">
      <w:r w:rsidRPr="0060237E">
        <w:t>The formulas for calculating the carryover amounts are set out in this scheme.</w:t>
      </w:r>
      <w:r>
        <w:rPr>
          <w:rStyle w:val="FootnoteReference"/>
        </w:rPr>
        <w:footnoteReference w:id="19"/>
      </w:r>
      <w:r w:rsidRPr="0060237E">
        <w:t xml:space="preserve"> </w:t>
      </w:r>
    </w:p>
    <w:p w:rsidR="00686EF3" w:rsidRPr="0060237E" w:rsidRDefault="00686EF3" w:rsidP="00775C32">
      <w:r w:rsidRPr="00775C32">
        <w:t>The EBSS carryover we calculated ($</w:t>
      </w:r>
      <w:r w:rsidR="001F660E" w:rsidRPr="00775C32">
        <w:t>5</w:t>
      </w:r>
      <w:r w:rsidR="00073498" w:rsidRPr="00775C32">
        <w:t>.1</w:t>
      </w:r>
      <w:r w:rsidRPr="00775C32">
        <w:t xml:space="preserve"> million) is different to the carryover AusNet</w:t>
      </w:r>
      <w:r>
        <w:t xml:space="preserve"> Services proposed ($5.6</w:t>
      </w:r>
      <w:r w:rsidRPr="0060237E">
        <w:t xml:space="preserve"> million) mainly because we used a different </w:t>
      </w:r>
      <w:r>
        <w:t xml:space="preserve">CPI adjustment and because we used </w:t>
      </w:r>
      <w:r w:rsidRPr="00D8267E">
        <w:rPr>
          <w:rStyle w:val="AERbody"/>
        </w:rPr>
        <w:t>a different formula to calculate</w:t>
      </w:r>
      <w:r>
        <w:rPr>
          <w:rStyle w:val="AERbody"/>
        </w:rPr>
        <w:t xml:space="preserve"> the</w:t>
      </w:r>
      <w:r w:rsidRPr="00D8267E">
        <w:rPr>
          <w:rStyle w:val="AERbody"/>
        </w:rPr>
        <w:t xml:space="preserve"> EBSS carryover amounts for 2016–17</w:t>
      </w:r>
      <w:r w:rsidRPr="0060237E">
        <w:t>.</w:t>
      </w:r>
      <w:r>
        <w:t xml:space="preserve"> We note that the carryover amounts will change when AusNet Services replace</w:t>
      </w:r>
      <w:r w:rsidR="00073498">
        <w:t>s</w:t>
      </w:r>
      <w:r>
        <w:t xml:space="preserve"> estimated data with actual data for 2015–16 reported opex.</w:t>
      </w:r>
      <w:r>
        <w:rPr>
          <w:rStyle w:val="FootnoteReference"/>
        </w:rPr>
        <w:footnoteReference w:id="20"/>
      </w:r>
    </w:p>
    <w:p w:rsidR="004D063D" w:rsidRDefault="004D063D" w:rsidP="004D063D">
      <w:pPr>
        <w:pStyle w:val="HeadingOrange"/>
      </w:pPr>
      <w:bookmarkStart w:id="29" w:name="_Toc456602460"/>
      <w:r>
        <w:t>CPI adjustment</w:t>
      </w:r>
      <w:bookmarkEnd w:id="29"/>
    </w:p>
    <w:p w:rsidR="00686EF3" w:rsidRDefault="00686EF3" w:rsidP="00686EF3">
      <w:r w:rsidRPr="0060237E">
        <w:t xml:space="preserve">In its </w:t>
      </w:r>
      <w:r>
        <w:t>proposed EBSS model</w:t>
      </w:r>
      <w:r w:rsidRPr="0060237E">
        <w:t xml:space="preserve">, </w:t>
      </w:r>
      <w:r>
        <w:t xml:space="preserve">AusNet Services converted nominal values to real </w:t>
      </w:r>
      <w:r w:rsidR="00FE3C16">
        <w:br/>
      </w:r>
      <w:r>
        <w:t>2016–</w:t>
      </w:r>
      <w:r w:rsidRPr="008243DF">
        <w:t xml:space="preserve">17 dollars using </w:t>
      </w:r>
      <w:r>
        <w:t>a lagged</w:t>
      </w:r>
      <w:r w:rsidR="00FE3C16">
        <w:t xml:space="preserve"> CPI index (</w:t>
      </w:r>
      <w:r w:rsidRPr="008243DF">
        <w:t>September quarter CPI)</w:t>
      </w:r>
      <w:r>
        <w:t>.</w:t>
      </w:r>
      <w:r>
        <w:rPr>
          <w:rStyle w:val="FootnoteReference"/>
        </w:rPr>
        <w:footnoteReference w:id="21"/>
      </w:r>
      <w:r w:rsidRPr="008243DF">
        <w:t xml:space="preserve"> This contrasts with </w:t>
      </w:r>
      <w:r>
        <w:t xml:space="preserve">our approach which uses an unlagged </w:t>
      </w:r>
      <w:r w:rsidR="00B65EDA">
        <w:t>March</w:t>
      </w:r>
      <w:r>
        <w:t xml:space="preserve"> quarter CPI.</w:t>
      </w:r>
      <w:r w:rsidRPr="008243DF">
        <w:t xml:space="preserve"> </w:t>
      </w:r>
      <w:r>
        <w:t>We have adopted our approach to be consistent with our opex model.</w:t>
      </w:r>
    </w:p>
    <w:p w:rsidR="00B65EDA" w:rsidRPr="00B65EDA" w:rsidRDefault="00B65EDA" w:rsidP="00B65EDA">
      <w:pPr>
        <w:rPr>
          <w:rStyle w:val="AERtextblue"/>
        </w:rPr>
      </w:pPr>
      <w:r w:rsidRPr="00B65EDA">
        <w:rPr>
          <w:rStyle w:val="AERtextblue"/>
        </w:rPr>
        <w:t xml:space="preserve">Consistency between the EBSS carryover accrued in 2014–17 and the opex forecast for 2017–22 </w:t>
      </w:r>
    </w:p>
    <w:p w:rsidR="00B65EDA" w:rsidRPr="00B65EDA" w:rsidRDefault="00B65EDA" w:rsidP="00B65EDA">
      <w:r w:rsidRPr="00B65EDA">
        <w:t>Because of the interaction between the c</w:t>
      </w:r>
      <w:r>
        <w:t>arryover amounts accrued in 2014</w:t>
      </w:r>
      <w:r w:rsidRPr="00B65EDA">
        <w:t>–</w:t>
      </w:r>
      <w:r>
        <w:t>17</w:t>
      </w:r>
      <w:r w:rsidRPr="00B65EDA">
        <w:t xml:space="preserve"> and the starting poin</w:t>
      </w:r>
      <w:r>
        <w:t>t for the opex forecast for 2017–22</w:t>
      </w:r>
      <w:r w:rsidRPr="00B65EDA">
        <w:t xml:space="preserve">, it is important we use the same CPI adjustments for both. </w:t>
      </w:r>
    </w:p>
    <w:p w:rsidR="00B65EDA" w:rsidRPr="00B65EDA" w:rsidRDefault="00B65EDA" w:rsidP="00B65EDA">
      <w:r w:rsidRPr="00B65EDA">
        <w:t>When we set the opex forecast from the 2014</w:t>
      </w:r>
      <w:r>
        <w:t>–15</w:t>
      </w:r>
      <w:r w:rsidRPr="00B65EDA">
        <w:t xml:space="preserve"> base year, the reward (penalty) AusNet </w:t>
      </w:r>
      <w:r>
        <w:t xml:space="preserve">Services </w:t>
      </w:r>
      <w:r w:rsidRPr="00B65EDA">
        <w:t xml:space="preserve">is paid for any underspend (overspend) in the base year needs to be consistent with the impact that underspend (overspend) has on the opex forecast. For example, if AusNet Services delivers lower opex in the base year it will: </w:t>
      </w:r>
    </w:p>
    <w:p w:rsidR="00B65EDA" w:rsidRPr="00B65EDA" w:rsidRDefault="00B65EDA" w:rsidP="00B65EDA">
      <w:pPr>
        <w:pStyle w:val="AERbulletlistfirststyle"/>
      </w:pPr>
      <w:r w:rsidRPr="00B65EDA">
        <w:t xml:space="preserve">generate an increased EBSS carryover (marginal reduction in opex times the length of the carryover period) </w:t>
      </w:r>
    </w:p>
    <w:p w:rsidR="00B65EDA" w:rsidRPr="00B65EDA" w:rsidRDefault="00B65EDA" w:rsidP="00B65EDA">
      <w:pPr>
        <w:pStyle w:val="AERbulletlistfirststyle"/>
      </w:pPr>
      <w:r w:rsidRPr="00B65EDA">
        <w:lastRenderedPageBreak/>
        <w:t xml:space="preserve">reduce the starting point for the opex forecast, reducing the total opex forecast for 2016–20 (marginal reduction in opex times the length of the regulatory control period). </w:t>
      </w:r>
    </w:p>
    <w:p w:rsidR="00B65EDA" w:rsidRPr="0061618A" w:rsidRDefault="00B65EDA" w:rsidP="00B65EDA">
      <w:r w:rsidRPr="00B65EDA">
        <w:t>The size of the EBSS reward should correspond to the size of the reduced opex forecast. However, if the CPI used to calculate the efficiency gains is not the same as the CPI used to establish the starting point for the opex forecast, this will not be the case and AusNet Services may get a windfall gain or loss as a result. For instance, if we inflated AusNet Services' actual opex by less in estimating the EBSS than in forecasting its opex, consumers would pay for an EBSS carryover amount attributable to lower inflation but they would not receive the benefits of a lower opex forecast. In implementing the EBSS we must ensure that benefits to consumers likely to result from the scheme are sufficient to warrant any reward or penalty distributors earn under the scheme. If consumers do not receive the benefits of lower inflation through the opex forecast, we consider we should not use this modelling assumption in estimating the EBSS carryovers.</w:t>
      </w:r>
    </w:p>
    <w:p w:rsidR="004D063D" w:rsidRDefault="009000E6" w:rsidP="004D063D">
      <w:pPr>
        <w:pStyle w:val="HeadingOrange"/>
      </w:pPr>
      <w:bookmarkStart w:id="30" w:name="_Toc456602461"/>
      <w:r>
        <w:t>Estimated incremental efficiency gain in 2016–17</w:t>
      </w:r>
      <w:bookmarkEnd w:id="30"/>
    </w:p>
    <w:p w:rsidR="001401C7" w:rsidRDefault="001401C7" w:rsidP="00686EF3">
      <w:r>
        <w:t>W</w:t>
      </w:r>
      <w:r w:rsidRPr="001401C7">
        <w:t>e consider AusNet Services used the incorrect formula to estimat</w:t>
      </w:r>
      <w:r w:rsidR="009000E6">
        <w:t>e its 'actual' opex for 2016–17.</w:t>
      </w:r>
    </w:p>
    <w:p w:rsidR="009000E6" w:rsidRDefault="009000E6" w:rsidP="00686EF3">
      <w:r>
        <w:t>At the time of a regulatory determination we typically do not know actual opex in the final regulatory year. Therefore, for the purposes of calculating the estimated incremental efficiency gain in that year, we must estimate final year opex. This estimate should be consistent with the estimate made when forecasting opex for the following period.</w:t>
      </w:r>
    </w:p>
    <w:p w:rsidR="00686EF3" w:rsidRDefault="00686EF3" w:rsidP="00686EF3">
      <w:r>
        <w:t xml:space="preserve">As this revenue determination is being made prior to the completion of the 2014–17 regulatory control period, we need to estimate the actual opex required to calculate gains or losses for 2016–17. </w:t>
      </w:r>
      <w:r w:rsidR="00C163E2">
        <w:t>Version one of t</w:t>
      </w:r>
      <w:r>
        <w:t>he electricity transmission network service providers EBSS specifies that 'actual' opex for the final year of the current period, 2016–17 should be calculated using the formula:</w:t>
      </w:r>
    </w:p>
    <w:p w:rsidR="00686EF3" w:rsidRDefault="00686EF3" w:rsidP="00686EF3">
      <w:r>
        <w:t>A</w:t>
      </w:r>
      <w:r>
        <w:rPr>
          <w:rStyle w:val="AERsubscript"/>
        </w:rPr>
        <w:t>2016-17</w:t>
      </w:r>
      <w:r w:rsidRPr="00357370">
        <w:rPr>
          <w:rStyle w:val="AERsubscript"/>
        </w:rPr>
        <w:t xml:space="preserve"> </w:t>
      </w:r>
      <w:r>
        <w:t xml:space="preserve">= </w:t>
      </w:r>
      <w:r w:rsidRPr="00357370">
        <w:t>F</w:t>
      </w:r>
      <w:r>
        <w:rPr>
          <w:rStyle w:val="AERsubscript"/>
        </w:rPr>
        <w:t>2016</w:t>
      </w:r>
      <w:r w:rsidRPr="00357370">
        <w:rPr>
          <w:rStyle w:val="AERsubscript"/>
        </w:rPr>
        <w:t>-1</w:t>
      </w:r>
      <w:r>
        <w:rPr>
          <w:rStyle w:val="AERsubscript"/>
        </w:rPr>
        <w:t>7</w:t>
      </w:r>
      <w:r w:rsidRPr="00357370">
        <w:t xml:space="preserve">  – (F</w:t>
      </w:r>
      <w:r>
        <w:rPr>
          <w:rStyle w:val="AERsubscript"/>
        </w:rPr>
        <w:t>2015-16</w:t>
      </w:r>
      <w:r w:rsidRPr="00357370">
        <w:rPr>
          <w:rStyle w:val="AERsubscript"/>
        </w:rPr>
        <w:t xml:space="preserve"> </w:t>
      </w:r>
      <w:r w:rsidRPr="00357370">
        <w:t>– A</w:t>
      </w:r>
      <w:r>
        <w:rPr>
          <w:rStyle w:val="AERsubscript"/>
        </w:rPr>
        <w:t>2015</w:t>
      </w:r>
      <w:r w:rsidRPr="00357370">
        <w:rPr>
          <w:rStyle w:val="AERsubscript"/>
        </w:rPr>
        <w:t>-1</w:t>
      </w:r>
      <w:r>
        <w:rPr>
          <w:rStyle w:val="AERsubscript"/>
        </w:rPr>
        <w:t>6</w:t>
      </w:r>
      <w:r w:rsidRPr="00357370">
        <w:t>)</w:t>
      </w:r>
      <w:r>
        <w:t>.</w:t>
      </w:r>
    </w:p>
    <w:p w:rsidR="00686EF3" w:rsidRDefault="00686EF3" w:rsidP="00686EF3">
      <w:r>
        <w:t xml:space="preserve">This formula references 2015–16 because </w:t>
      </w:r>
      <w:r w:rsidR="00C163E2">
        <w:t xml:space="preserve">version one of </w:t>
      </w:r>
      <w:r>
        <w:t>the transmission EBSS assumes the base year used to forecast opex in the following period will be the second last year of the current period. The formula also assumes the service provider makes no incremental efficiency gains after the base year. Where differences arise between this estimate and the actual expenditure amount of 2016–17 it will be accounted for in the next determination.</w:t>
      </w:r>
    </w:p>
    <w:p w:rsidR="001401C7" w:rsidRDefault="00686EF3" w:rsidP="00686EF3">
      <w:r w:rsidRPr="00357370">
        <w:t>In its proposal,</w:t>
      </w:r>
      <w:r w:rsidR="008A5B87">
        <w:t xml:space="preserve"> </w:t>
      </w:r>
      <w:r w:rsidR="008A5B87" w:rsidRPr="008A5B87">
        <w:t xml:space="preserve">AusNet Services </w:t>
      </w:r>
      <w:r w:rsidR="008A5B87">
        <w:t xml:space="preserve">estimated its </w:t>
      </w:r>
      <w:r w:rsidR="00C163E2">
        <w:t>'</w:t>
      </w:r>
      <w:r w:rsidR="008A5B87">
        <w:t>actual</w:t>
      </w:r>
      <w:r w:rsidR="00C163E2">
        <w:t>'</w:t>
      </w:r>
      <w:r w:rsidR="008A5B87">
        <w:t xml:space="preserve"> </w:t>
      </w:r>
      <w:r w:rsidR="008A5B87" w:rsidRPr="008A5B87">
        <w:t xml:space="preserve">opex for 2016–17 </w:t>
      </w:r>
      <w:r w:rsidR="008A5B87">
        <w:t>using</w:t>
      </w:r>
      <w:r w:rsidR="008A5B87" w:rsidRPr="008A5B87">
        <w:t xml:space="preserve"> </w:t>
      </w:r>
      <w:r w:rsidR="00C163E2">
        <w:t>the formula specified in version one of the EBSS. However, as noted above, this</w:t>
      </w:r>
      <w:r w:rsidR="008A5B87" w:rsidRPr="008A5B87">
        <w:t xml:space="preserve"> </w:t>
      </w:r>
      <w:r w:rsidR="00C163E2">
        <w:t>formula</w:t>
      </w:r>
      <w:r w:rsidR="008A5B87" w:rsidRPr="008A5B87">
        <w:t xml:space="preserve"> </w:t>
      </w:r>
      <w:r w:rsidR="00C163E2">
        <w:t xml:space="preserve">assumes AusNet Services used </w:t>
      </w:r>
      <w:r w:rsidR="008A5B87" w:rsidRPr="008A5B87">
        <w:t xml:space="preserve">2015–16 </w:t>
      </w:r>
      <w:r w:rsidR="008A5B87">
        <w:t xml:space="preserve">as the </w:t>
      </w:r>
      <w:r w:rsidR="008A5B87" w:rsidRPr="008A5B87">
        <w:t>base year</w:t>
      </w:r>
      <w:r w:rsidR="008A5B87">
        <w:t xml:space="preserve"> to forecast opex</w:t>
      </w:r>
      <w:r w:rsidR="00C163E2">
        <w:t xml:space="preserve"> for the </w:t>
      </w:r>
      <w:r w:rsidR="00C163E2">
        <w:lastRenderedPageBreak/>
        <w:t>following period</w:t>
      </w:r>
      <w:r w:rsidR="001401C7">
        <w:t>,</w:t>
      </w:r>
      <w:r w:rsidR="00C163E2">
        <w:t xml:space="preserve"> which is not the case</w:t>
      </w:r>
      <w:r w:rsidR="008A5B87" w:rsidRPr="008A5B87">
        <w:t>.</w:t>
      </w:r>
      <w:r>
        <w:rPr>
          <w:rStyle w:val="FootnoteReference"/>
        </w:rPr>
        <w:footnoteReference w:id="22"/>
      </w:r>
      <w:r>
        <w:t xml:space="preserve"> AusNet Services </w:t>
      </w:r>
      <w:r w:rsidR="008A5B87" w:rsidRPr="008A5B87">
        <w:t>used 2014–15</w:t>
      </w:r>
      <w:r>
        <w:t xml:space="preserve"> as the base year</w:t>
      </w:r>
      <w:r w:rsidR="008A5B87">
        <w:t>.</w:t>
      </w:r>
      <w:r w:rsidRPr="002C6FDE">
        <w:t xml:space="preserve"> </w:t>
      </w:r>
      <w:r w:rsidR="00C163E2">
        <w:t xml:space="preserve">The formula </w:t>
      </w:r>
      <w:r w:rsidR="001401C7">
        <w:t xml:space="preserve">consistent with using 2014–15 as the base year </w:t>
      </w:r>
      <w:r w:rsidR="00C163E2">
        <w:t>should reference 2014–15</w:t>
      </w:r>
      <w:r w:rsidR="001401C7">
        <w:t xml:space="preserve"> not 2015–16:</w:t>
      </w:r>
    </w:p>
    <w:p w:rsidR="001401C7" w:rsidRPr="001401C7" w:rsidRDefault="001401C7" w:rsidP="001401C7">
      <w:r w:rsidRPr="001401C7">
        <w:t>A</w:t>
      </w:r>
      <w:r w:rsidRPr="001401C7">
        <w:rPr>
          <w:rStyle w:val="AERsubscript"/>
        </w:rPr>
        <w:t xml:space="preserve">2016-17 </w:t>
      </w:r>
      <w:r w:rsidRPr="001401C7">
        <w:t>= F</w:t>
      </w:r>
      <w:r w:rsidRPr="001401C7">
        <w:rPr>
          <w:rStyle w:val="AERsubscript"/>
        </w:rPr>
        <w:t>2016-17</w:t>
      </w:r>
      <w:r w:rsidRPr="001401C7">
        <w:t xml:space="preserve">  – (F</w:t>
      </w:r>
      <w:r w:rsidRPr="001401C7">
        <w:rPr>
          <w:rStyle w:val="AERsubscript"/>
        </w:rPr>
        <w:t xml:space="preserve">2014-15 </w:t>
      </w:r>
      <w:r w:rsidRPr="001401C7">
        <w:t>– A</w:t>
      </w:r>
      <w:r w:rsidRPr="001401C7">
        <w:rPr>
          <w:rStyle w:val="AERsubscript"/>
        </w:rPr>
        <w:t>2014-15</w:t>
      </w:r>
      <w:r w:rsidRPr="001401C7">
        <w:t>).</w:t>
      </w:r>
      <w:r w:rsidRPr="001401C7">
        <w:rPr>
          <w:rStyle w:val="FootnoteReference"/>
        </w:rPr>
        <w:footnoteReference w:id="23"/>
      </w:r>
    </w:p>
    <w:p w:rsidR="00E05014" w:rsidRDefault="00686EF3" w:rsidP="00C163E2">
      <w:r>
        <w:t xml:space="preserve">As we have </w:t>
      </w:r>
      <w:r w:rsidR="00C163E2">
        <w:t xml:space="preserve">also </w:t>
      </w:r>
      <w:r>
        <w:t xml:space="preserve">adopted 2014–15 as the base year to forecast opex, we have used </w:t>
      </w:r>
      <w:r w:rsidR="001401C7">
        <w:t>this</w:t>
      </w:r>
      <w:r>
        <w:t xml:space="preserve"> formula to est</w:t>
      </w:r>
      <w:r w:rsidR="001401C7">
        <w:t xml:space="preserve">imate 'actual' opex for 2016–17. </w:t>
      </w:r>
    </w:p>
    <w:p w:rsidR="00686EF3" w:rsidRDefault="00E05014" w:rsidP="00686EF3">
      <w:r>
        <w:fldChar w:fldCharType="begin"/>
      </w:r>
      <w:r>
        <w:instrText xml:space="preserve"> REF _Ref452110643 \h </w:instrText>
      </w:r>
      <w:r>
        <w:fldChar w:fldCharType="separate"/>
      </w:r>
      <w:r w:rsidR="004E15EB">
        <w:t xml:space="preserve">Table </w:t>
      </w:r>
      <w:r w:rsidR="004E15EB">
        <w:rPr>
          <w:noProof/>
        </w:rPr>
        <w:t>9</w:t>
      </w:r>
      <w:r w:rsidR="004E15EB">
        <w:t>.</w:t>
      </w:r>
      <w:r w:rsidR="004E15EB">
        <w:rPr>
          <w:noProof/>
        </w:rPr>
        <w:t>3</w:t>
      </w:r>
      <w:r>
        <w:fldChar w:fldCharType="end"/>
      </w:r>
      <w:r>
        <w:t xml:space="preserve"> sets out the correct formula to est</w:t>
      </w:r>
      <w:r w:rsidR="009000E6">
        <w:t>i</w:t>
      </w:r>
      <w:r>
        <w:t>mate 2016–17 'actual opex' depending on the choice of base year used to forecast opex. T</w:t>
      </w:r>
      <w:r w:rsidR="002144B5">
        <w:t xml:space="preserve">o achieve continuous incentives </w:t>
      </w:r>
      <w:r w:rsidR="00C163E2" w:rsidRPr="00C163E2">
        <w:rPr>
          <w:rStyle w:val="AERbody"/>
        </w:rPr>
        <w:t>using</w:t>
      </w:r>
      <w:r w:rsidR="002144B5" w:rsidRPr="00C163E2">
        <w:rPr>
          <w:rStyle w:val="AERbody"/>
        </w:rPr>
        <w:t xml:space="preserve"> </w:t>
      </w:r>
      <w:r w:rsidR="002144B5">
        <w:t xml:space="preserve">the formula </w:t>
      </w:r>
      <w:r w:rsidR="00C163E2">
        <w:t xml:space="preserve">specified in version one of the EBSS, </w:t>
      </w:r>
      <w:r w:rsidR="002144B5">
        <w:t xml:space="preserve">we would need to adopt 2015–16 </w:t>
      </w:r>
      <w:r w:rsidR="00C163E2">
        <w:t xml:space="preserve">as the </w:t>
      </w:r>
      <w:r w:rsidR="002144B5">
        <w:t xml:space="preserve">base year. </w:t>
      </w:r>
      <w:r>
        <w:t xml:space="preserve">Similarly, if in the final decision we change the base year </w:t>
      </w:r>
      <w:r w:rsidR="00D77D4F">
        <w:t>for our opex forecast,</w:t>
      </w:r>
      <w:r>
        <w:t xml:space="preserve"> we will need to </w:t>
      </w:r>
      <w:r w:rsidR="00686EF3">
        <w:t>change the formula we use to calculate 'actu</w:t>
      </w:r>
      <w:r w:rsidR="002144B5">
        <w:t>al' opex for 2016–17</w:t>
      </w:r>
      <w:r w:rsidR="00686EF3">
        <w:t>.</w:t>
      </w:r>
    </w:p>
    <w:p w:rsidR="00D55F9C" w:rsidRDefault="002144B5" w:rsidP="002144B5">
      <w:pPr>
        <w:pStyle w:val="Caption"/>
      </w:pPr>
      <w:bookmarkStart w:id="31" w:name="_Ref452110643"/>
      <w:r>
        <w:t xml:space="preserve">Table </w:t>
      </w:r>
      <w:fldSimple w:instr=" STYLEREF 1 \s ">
        <w:r w:rsidR="004E15EB">
          <w:rPr>
            <w:noProof/>
          </w:rPr>
          <w:t>9</w:t>
        </w:r>
      </w:fldSimple>
      <w:r>
        <w:t>.</w:t>
      </w:r>
      <w:fldSimple w:instr=" SEQ Table \* ARABIC \s 1 ">
        <w:r w:rsidR="004E15EB">
          <w:rPr>
            <w:noProof/>
          </w:rPr>
          <w:t>3</w:t>
        </w:r>
      </w:fldSimple>
      <w:bookmarkEnd w:id="31"/>
      <w:r>
        <w:tab/>
        <w:t>Formula to calculate 2016–17 actual opex</w:t>
      </w:r>
    </w:p>
    <w:tbl>
      <w:tblPr>
        <w:tblStyle w:val="AERtable-text0"/>
        <w:tblW w:w="0" w:type="auto"/>
        <w:tblLook w:val="04A0" w:firstRow="1" w:lastRow="0" w:firstColumn="1" w:lastColumn="0" w:noHBand="0" w:noVBand="1"/>
      </w:tblPr>
      <w:tblGrid>
        <w:gridCol w:w="3510"/>
        <w:gridCol w:w="5183"/>
      </w:tblGrid>
      <w:tr w:rsidR="00E7429F" w:rsidTr="00E7429F">
        <w:trPr>
          <w:cnfStyle w:val="100000000000" w:firstRow="1" w:lastRow="0" w:firstColumn="0" w:lastColumn="0" w:oddVBand="0" w:evenVBand="0" w:oddHBand="0" w:evenHBand="0" w:firstRowFirstColumn="0" w:firstRowLastColumn="0" w:lastRowFirstColumn="0" w:lastRowLastColumn="0"/>
        </w:trPr>
        <w:tc>
          <w:tcPr>
            <w:tcW w:w="3510" w:type="dxa"/>
          </w:tcPr>
          <w:p w:rsidR="00E7429F" w:rsidRDefault="009000E6" w:rsidP="00E7429F">
            <w:pPr>
              <w:pStyle w:val="Tabletext-centred"/>
            </w:pPr>
            <w:r>
              <w:t>Choice of b</w:t>
            </w:r>
            <w:r w:rsidR="00E7429F">
              <w:t>ase year</w:t>
            </w:r>
          </w:p>
        </w:tc>
        <w:tc>
          <w:tcPr>
            <w:tcW w:w="5183" w:type="dxa"/>
          </w:tcPr>
          <w:p w:rsidR="00E7429F" w:rsidRDefault="00E7429F" w:rsidP="00E7429F">
            <w:pPr>
              <w:pStyle w:val="Tabletext-centred"/>
            </w:pPr>
            <w:r>
              <w:t>Formula for 2016–17 opex</w:t>
            </w:r>
          </w:p>
        </w:tc>
      </w:tr>
      <w:tr w:rsidR="00E7429F" w:rsidTr="00E7429F">
        <w:tc>
          <w:tcPr>
            <w:tcW w:w="3510" w:type="dxa"/>
          </w:tcPr>
          <w:p w:rsidR="00E7429F" w:rsidRDefault="00E7429F" w:rsidP="00E7429F">
            <w:pPr>
              <w:pStyle w:val="Tabletext-centred"/>
            </w:pPr>
            <w:r>
              <w:t>2014–15</w:t>
            </w:r>
          </w:p>
        </w:tc>
        <w:tc>
          <w:tcPr>
            <w:tcW w:w="5183" w:type="dxa"/>
          </w:tcPr>
          <w:p w:rsidR="00E7429F" w:rsidRDefault="00E7429F" w:rsidP="00E7429F">
            <w:pPr>
              <w:pStyle w:val="Tabletext-centred"/>
            </w:pPr>
            <w:r>
              <w:t>A</w:t>
            </w:r>
            <w:r w:rsidRPr="00E7429F">
              <w:rPr>
                <w:rStyle w:val="AERsubscript"/>
              </w:rPr>
              <w:t xml:space="preserve">2016-17 </w:t>
            </w:r>
            <w:r w:rsidRPr="00E7429F">
              <w:t>= F</w:t>
            </w:r>
            <w:r w:rsidRPr="00E7429F">
              <w:rPr>
                <w:rStyle w:val="AERsubscript"/>
              </w:rPr>
              <w:t>2016-17</w:t>
            </w:r>
            <w:r w:rsidRPr="00E7429F">
              <w:t xml:space="preserve">  – (F</w:t>
            </w:r>
            <w:r w:rsidRPr="00E7429F">
              <w:rPr>
                <w:rStyle w:val="AERsubscript"/>
              </w:rPr>
              <w:t xml:space="preserve">2014-15 </w:t>
            </w:r>
            <w:r w:rsidRPr="00E7429F">
              <w:t>– A</w:t>
            </w:r>
            <w:r w:rsidRPr="00E7429F">
              <w:rPr>
                <w:rStyle w:val="AERsubscript"/>
              </w:rPr>
              <w:t>2014-15</w:t>
            </w:r>
            <w:r w:rsidRPr="00E7429F">
              <w:t>)</w:t>
            </w:r>
          </w:p>
        </w:tc>
      </w:tr>
      <w:tr w:rsidR="00E7429F" w:rsidTr="00E7429F">
        <w:trPr>
          <w:cnfStyle w:val="000000010000" w:firstRow="0" w:lastRow="0" w:firstColumn="0" w:lastColumn="0" w:oddVBand="0" w:evenVBand="0" w:oddHBand="0" w:evenHBand="1" w:firstRowFirstColumn="0" w:firstRowLastColumn="0" w:lastRowFirstColumn="0" w:lastRowLastColumn="0"/>
        </w:trPr>
        <w:tc>
          <w:tcPr>
            <w:tcW w:w="3510" w:type="dxa"/>
          </w:tcPr>
          <w:p w:rsidR="00E7429F" w:rsidRDefault="00E7429F" w:rsidP="00E7429F">
            <w:pPr>
              <w:pStyle w:val="Tabletext-centred"/>
            </w:pPr>
            <w:r>
              <w:t>2015–16</w:t>
            </w:r>
          </w:p>
        </w:tc>
        <w:tc>
          <w:tcPr>
            <w:tcW w:w="5183" w:type="dxa"/>
          </w:tcPr>
          <w:p w:rsidR="00E7429F" w:rsidRDefault="00E7429F" w:rsidP="00E7429F">
            <w:pPr>
              <w:pStyle w:val="Tabletext-centred"/>
            </w:pPr>
            <w:r>
              <w:t>A</w:t>
            </w:r>
            <w:r>
              <w:rPr>
                <w:rStyle w:val="AERsubscript"/>
              </w:rPr>
              <w:t>2016-17</w:t>
            </w:r>
            <w:r w:rsidRPr="00357370">
              <w:rPr>
                <w:rStyle w:val="AERsubscript"/>
              </w:rPr>
              <w:t xml:space="preserve"> </w:t>
            </w:r>
            <w:r>
              <w:t xml:space="preserve">= </w:t>
            </w:r>
            <w:r w:rsidRPr="00357370">
              <w:t>F</w:t>
            </w:r>
            <w:r>
              <w:rPr>
                <w:rStyle w:val="AERsubscript"/>
              </w:rPr>
              <w:t>2016</w:t>
            </w:r>
            <w:r w:rsidRPr="00357370">
              <w:rPr>
                <w:rStyle w:val="AERsubscript"/>
              </w:rPr>
              <w:t>-1</w:t>
            </w:r>
            <w:r>
              <w:rPr>
                <w:rStyle w:val="AERsubscript"/>
              </w:rPr>
              <w:t>7</w:t>
            </w:r>
            <w:r w:rsidRPr="00357370">
              <w:t xml:space="preserve">  – (F</w:t>
            </w:r>
            <w:r>
              <w:rPr>
                <w:rStyle w:val="AERsubscript"/>
              </w:rPr>
              <w:t>2015-16</w:t>
            </w:r>
            <w:r w:rsidRPr="00357370">
              <w:rPr>
                <w:rStyle w:val="AERsubscript"/>
              </w:rPr>
              <w:t xml:space="preserve"> </w:t>
            </w:r>
            <w:r w:rsidRPr="00357370">
              <w:t>– A</w:t>
            </w:r>
            <w:r>
              <w:rPr>
                <w:rStyle w:val="AERsubscript"/>
              </w:rPr>
              <w:t>2015</w:t>
            </w:r>
            <w:r w:rsidRPr="00357370">
              <w:rPr>
                <w:rStyle w:val="AERsubscript"/>
              </w:rPr>
              <w:t>-1</w:t>
            </w:r>
            <w:r>
              <w:rPr>
                <w:rStyle w:val="AERsubscript"/>
              </w:rPr>
              <w:t>6</w:t>
            </w:r>
            <w:r w:rsidRPr="00357370">
              <w:t>)</w:t>
            </w:r>
          </w:p>
        </w:tc>
      </w:tr>
    </w:tbl>
    <w:p w:rsidR="00D55F9C" w:rsidRDefault="00E7429F" w:rsidP="00E7429F">
      <w:pPr>
        <w:pStyle w:val="Source"/>
      </w:pPr>
      <w:r>
        <w:t>Source: AER analysis.</w:t>
      </w:r>
    </w:p>
    <w:p w:rsidR="00686EF3" w:rsidRPr="00686EF3" w:rsidRDefault="00686EF3" w:rsidP="00686EF3">
      <w:pPr>
        <w:pStyle w:val="Heading3"/>
      </w:pPr>
      <w:bookmarkStart w:id="32" w:name="_Toc436389926"/>
      <w:bookmarkStart w:id="33" w:name="_Toc456602462"/>
      <w:r>
        <w:t>Application of the EBSS</w:t>
      </w:r>
      <w:r w:rsidRPr="00686EF3">
        <w:t xml:space="preserve"> in the 2017–22 regulatory control period</w:t>
      </w:r>
      <w:bookmarkEnd w:id="32"/>
      <w:bookmarkEnd w:id="33"/>
    </w:p>
    <w:p w:rsidR="00686EF3" w:rsidRPr="0060237E" w:rsidRDefault="00686EF3" w:rsidP="00686EF3">
      <w:r w:rsidRPr="0060237E">
        <w:t xml:space="preserve">We will apply version two of the EBSS to </w:t>
      </w:r>
      <w:r>
        <w:t>AusNet Services</w:t>
      </w:r>
      <w:r w:rsidR="008C0A39">
        <w:t xml:space="preserve"> in the 2017–22 regulatory control period</w:t>
      </w:r>
      <w:r w:rsidRPr="0060237E">
        <w:t>.</w:t>
      </w:r>
      <w:r>
        <w:rPr>
          <w:rStyle w:val="FootnoteReference"/>
        </w:rPr>
        <w:footnoteReference w:id="24"/>
      </w:r>
      <w:r w:rsidRPr="0060237E">
        <w:t xml:space="preserve">  We consider the EBSS is needed to provide </w:t>
      </w:r>
      <w:r>
        <w:t>AusNet Services</w:t>
      </w:r>
      <w:r w:rsidRPr="0060237E">
        <w:t xml:space="preserve"> with a continuous incentive to pursue </w:t>
      </w:r>
      <w:r>
        <w:t>efficiency gains</w:t>
      </w:r>
      <w:r w:rsidRPr="0060237E">
        <w:t xml:space="preserve">. As we typically rely on a single year revealed cost approach to forecasting opex, we consider the EBSS is also needed to provide </w:t>
      </w:r>
      <w:r>
        <w:t>AusNet Services</w:t>
      </w:r>
      <w:r w:rsidRPr="0060237E">
        <w:t xml:space="preserve"> with an incentive not to increase its opex in the expected base year.</w:t>
      </w:r>
    </w:p>
    <w:p w:rsidR="00686EF3" w:rsidRDefault="00686EF3" w:rsidP="00686EF3">
      <w:r w:rsidRPr="0060237E">
        <w:t>Version two of the EBSS specifies our approach to determining the length of the carryover period, calculating the incremental efficiency gains, and adjusting forecast or actual opex when calculating carryover amounts. These are detailed below.</w:t>
      </w:r>
    </w:p>
    <w:p w:rsidR="009C0C9B" w:rsidRDefault="009C0C9B" w:rsidP="00686EF3">
      <w:pPr>
        <w:pStyle w:val="HeadingOrange"/>
      </w:pPr>
    </w:p>
    <w:p w:rsidR="009C0C9B" w:rsidRDefault="009C0C9B" w:rsidP="00686EF3">
      <w:pPr>
        <w:pStyle w:val="HeadingOrange"/>
      </w:pPr>
    </w:p>
    <w:p w:rsidR="00686EF3" w:rsidRPr="0060237E" w:rsidRDefault="00686EF3" w:rsidP="00686EF3">
      <w:pPr>
        <w:pStyle w:val="HeadingOrange"/>
      </w:pPr>
      <w:bookmarkStart w:id="34" w:name="_Toc456602463"/>
      <w:r w:rsidRPr="0060237E">
        <w:lastRenderedPageBreak/>
        <w:t>Length of carryover period</w:t>
      </w:r>
      <w:bookmarkEnd w:id="34"/>
    </w:p>
    <w:p w:rsidR="00686EF3" w:rsidRPr="0060237E" w:rsidRDefault="00686EF3" w:rsidP="00686EF3">
      <w:r w:rsidRPr="0060237E">
        <w:t>The length of t</w:t>
      </w:r>
      <w:r>
        <w:t>he carryover period for the 2017–22</w:t>
      </w:r>
      <w:r w:rsidRPr="0060237E">
        <w:t xml:space="preserve"> regulatory control period will be five years</w:t>
      </w:r>
      <w:r w:rsidR="007E66A7">
        <w:t>. However,</w:t>
      </w:r>
      <w:r>
        <w:t xml:space="preserve"> </w:t>
      </w:r>
      <w:r w:rsidR="007E66A7">
        <w:t xml:space="preserve">if </w:t>
      </w:r>
      <w:r>
        <w:t>the</w:t>
      </w:r>
      <w:r w:rsidRPr="0060237E">
        <w:t xml:space="preserve"> length of </w:t>
      </w:r>
      <w:r>
        <w:t>AusNet Services’</w:t>
      </w:r>
      <w:r w:rsidRPr="0060237E">
        <w:t xml:space="preserve"> regulatory control period</w:t>
      </w:r>
      <w:r>
        <w:t xml:space="preserve"> starting in 2022 is not five years, we may determine a different carryover period length.</w:t>
      </w:r>
      <w:r>
        <w:rPr>
          <w:rStyle w:val="FootnoteReference"/>
        </w:rPr>
        <w:footnoteReference w:id="25"/>
      </w:r>
    </w:p>
    <w:p w:rsidR="00686EF3" w:rsidRPr="0060237E" w:rsidRDefault="00686EF3" w:rsidP="00686EF3">
      <w:pPr>
        <w:pStyle w:val="HeadingOrange"/>
      </w:pPr>
      <w:bookmarkStart w:id="35" w:name="_Toc456602464"/>
      <w:r w:rsidRPr="0060237E">
        <w:t>Incremental efficiency gains</w:t>
      </w:r>
      <w:bookmarkEnd w:id="35"/>
    </w:p>
    <w:p w:rsidR="00686EF3" w:rsidRPr="0060237E" w:rsidRDefault="00686EF3" w:rsidP="00686EF3">
      <w:r w:rsidRPr="0060237E">
        <w:t>We will calculate incremental efficiency gains differently depending on whether they are in:</w:t>
      </w:r>
    </w:p>
    <w:p w:rsidR="00686EF3" w:rsidRPr="0060237E" w:rsidRDefault="00686EF3" w:rsidP="004D063D">
      <w:pPr>
        <w:pStyle w:val="AERbulletlistfirststyle"/>
      </w:pPr>
      <w:r w:rsidRPr="0060237E">
        <w:t>the first regulatory year</w:t>
      </w:r>
    </w:p>
    <w:p w:rsidR="00686EF3" w:rsidRPr="0060237E" w:rsidRDefault="00686EF3" w:rsidP="004D063D">
      <w:pPr>
        <w:pStyle w:val="AERbulletlistfirststyle"/>
      </w:pPr>
      <w:r w:rsidRPr="0060237E">
        <w:t>the second regulatory year to the penultimate regulatory year</w:t>
      </w:r>
    </w:p>
    <w:p w:rsidR="00686EF3" w:rsidRPr="0060237E" w:rsidRDefault="00686EF3" w:rsidP="004D063D">
      <w:pPr>
        <w:pStyle w:val="AERbulletlistfirststyle"/>
      </w:pPr>
      <w:r w:rsidRPr="0060237E">
        <w:t>the final regulatory year.</w:t>
      </w:r>
    </w:p>
    <w:p w:rsidR="00686EF3" w:rsidRPr="0060237E" w:rsidRDefault="00686EF3" w:rsidP="00686EF3">
      <w:r w:rsidRPr="0060237E">
        <w:t>We will do this according to the formulas set out in version two of the EBSS.</w:t>
      </w:r>
      <w:r>
        <w:rPr>
          <w:rStyle w:val="FootnoteReference"/>
        </w:rPr>
        <w:footnoteReference w:id="26"/>
      </w:r>
      <w:r w:rsidRPr="0060237E">
        <w:t xml:space="preserve">  </w:t>
      </w:r>
    </w:p>
    <w:p w:rsidR="00686EF3" w:rsidRPr="0060237E" w:rsidRDefault="00686EF3" w:rsidP="00686EF3">
      <w:r w:rsidRPr="0060237E">
        <w:t xml:space="preserve">When calculating actual opex under the EBSS, we will adjust reported actual opex </w:t>
      </w:r>
      <w:r>
        <w:t>for the 2017–22</w:t>
      </w:r>
      <w:r w:rsidRPr="0060237E">
        <w:t xml:space="preserve"> regulatory control period to reverse any movements in provisions. Consistent with the approach we applied in im</w:t>
      </w:r>
      <w:r>
        <w:t>plementing the EBSS for the 2014–17</w:t>
      </w:r>
      <w:r w:rsidRPr="0060237E">
        <w:t xml:space="preserve"> regulatory control period, for regulatory purposes we consider actual opex net of movement in provisions best reflects the actual opex incurred by the service provider during the regulatory control period.</w:t>
      </w:r>
      <w:r>
        <w:rPr>
          <w:rStyle w:val="FootnoteReference"/>
        </w:rPr>
        <w:footnoteReference w:id="27"/>
      </w:r>
    </w:p>
    <w:p w:rsidR="00686EF3" w:rsidRPr="0060237E" w:rsidRDefault="00686EF3" w:rsidP="00686EF3">
      <w:pPr>
        <w:pStyle w:val="HeadingOrange"/>
      </w:pPr>
      <w:bookmarkStart w:id="36" w:name="_Toc456602465"/>
      <w:r w:rsidRPr="0060237E">
        <w:t>Adjustments to forecast or actual opex when calculating carryover amounts</w:t>
      </w:r>
      <w:bookmarkEnd w:id="36"/>
    </w:p>
    <w:p w:rsidR="00686EF3" w:rsidRPr="0060237E" w:rsidRDefault="00686EF3" w:rsidP="00686EF3">
      <w:r w:rsidRPr="0060237E">
        <w:t>The EBSS also allows for exclusions of categories of costs from the EBSS where we do not forecast them using a single year revealed cost forecasting approach. This is designed to fairly share efficiency gains and losses. For instance, where a service provider achieves efficiency improvements, it receives a benefit through the EBSS and consumers receive a benefit through lower forecast opex in the next period. This is the way consumers and the service provider share in the benefits of an efficiency improvement.</w:t>
      </w:r>
    </w:p>
    <w:p w:rsidR="00686EF3" w:rsidRPr="0060237E" w:rsidRDefault="00686EF3" w:rsidP="00686EF3">
      <w:r w:rsidRPr="0060237E">
        <w:t>If we do not use a single year revealed cost forecasting approach, lower actual opex will not necessarily be passed through to consumers. Consumers should not pay for EBSS benefits where they do not receive the benefits of a lower opex forecast.</w:t>
      </w:r>
    </w:p>
    <w:p w:rsidR="00686EF3" w:rsidRPr="0060237E" w:rsidRDefault="00686EF3" w:rsidP="00686EF3">
      <w:r w:rsidRPr="0060237E">
        <w:t>We propose to exclude the following categories of costs from the EBSS:</w:t>
      </w:r>
    </w:p>
    <w:p w:rsidR="00686EF3" w:rsidRPr="0060237E" w:rsidRDefault="00686EF3" w:rsidP="004D063D">
      <w:pPr>
        <w:pStyle w:val="AERbulletlistfirststyle"/>
      </w:pPr>
      <w:r>
        <w:t>easement land tax</w:t>
      </w:r>
    </w:p>
    <w:p w:rsidR="008624D0" w:rsidRDefault="00686EF3" w:rsidP="004D063D">
      <w:pPr>
        <w:pStyle w:val="AERbulletlistfirststyle"/>
      </w:pPr>
      <w:r>
        <w:t>debt raising costs</w:t>
      </w:r>
    </w:p>
    <w:p w:rsidR="00686EF3" w:rsidRPr="0060237E" w:rsidRDefault="008624D0" w:rsidP="004D063D">
      <w:pPr>
        <w:pStyle w:val="AERbulletlistfirststyle"/>
      </w:pPr>
      <w:r>
        <w:t xml:space="preserve">rebates under the </w:t>
      </w:r>
      <w:r w:rsidR="005A61F1">
        <w:t>availability incentive scheme</w:t>
      </w:r>
      <w:r w:rsidR="00686EF3" w:rsidRPr="0060237E">
        <w:t>.</w:t>
      </w:r>
    </w:p>
    <w:p w:rsidR="00686EF3" w:rsidRDefault="00686EF3" w:rsidP="00686EF3">
      <w:r w:rsidRPr="0060237E">
        <w:lastRenderedPageBreak/>
        <w:t xml:space="preserve">As </w:t>
      </w:r>
      <w:r>
        <w:t xml:space="preserve">we </w:t>
      </w:r>
      <w:r w:rsidR="00F1358C">
        <w:t>do</w:t>
      </w:r>
      <w:r>
        <w:t xml:space="preserve"> not forecast easement land tax and debt raising costs</w:t>
      </w:r>
      <w:r w:rsidRPr="0060237E">
        <w:t xml:space="preserve"> based on revealed expenditure</w:t>
      </w:r>
      <w:r>
        <w:t>,</w:t>
      </w:r>
      <w:r w:rsidRPr="0060237E">
        <w:t xml:space="preserve"> </w:t>
      </w:r>
      <w:r>
        <w:t>both categories</w:t>
      </w:r>
      <w:r w:rsidRPr="0060237E">
        <w:t xml:space="preserve"> should be excluded from the EBSS.</w:t>
      </w:r>
      <w:r w:rsidR="008624D0">
        <w:t xml:space="preserve"> We will also exclude rebates under </w:t>
      </w:r>
      <w:r w:rsidR="005A61F1">
        <w:t>AEMO's availability incentive scheme</w:t>
      </w:r>
      <w:r w:rsidR="008624D0">
        <w:t xml:space="preserve"> because including them in the EBSS would distort the incentives </w:t>
      </w:r>
      <w:r w:rsidR="00F1358C">
        <w:t>provided</w:t>
      </w:r>
      <w:r w:rsidR="008624D0">
        <w:t xml:space="preserve"> under the </w:t>
      </w:r>
      <w:r w:rsidR="005A61F1">
        <w:t>scheme</w:t>
      </w:r>
      <w:r w:rsidR="008624D0">
        <w:t>.</w:t>
      </w:r>
      <w:r w:rsidR="005A61F1">
        <w:rPr>
          <w:rStyle w:val="FootnoteReference"/>
        </w:rPr>
        <w:footnoteReference w:id="28"/>
      </w:r>
    </w:p>
    <w:p w:rsidR="00686EF3" w:rsidRDefault="00686EF3" w:rsidP="00686EF3">
      <w:r w:rsidRPr="008C628E">
        <w:t>AusNet Services proposed a debt raising cost opex allowance which is forecast on a revealed cost basis. Given this, AusNet Services is not seeking to exclude debt raising costs from the EBSS.</w:t>
      </w:r>
      <w:r>
        <w:t xml:space="preserve"> However, AusNet Services stated that s</w:t>
      </w:r>
      <w:r w:rsidRPr="008C628E">
        <w:t xml:space="preserve">hould </w:t>
      </w:r>
      <w:r>
        <w:t>we</w:t>
      </w:r>
      <w:r w:rsidRPr="008C628E">
        <w:t xml:space="preserve"> instead seek to set debt raising costs using </w:t>
      </w:r>
      <w:r>
        <w:t>our</w:t>
      </w:r>
      <w:r w:rsidRPr="008C628E">
        <w:t xml:space="preserve"> current benchmark methodology</w:t>
      </w:r>
      <w:r>
        <w:t>,</w:t>
      </w:r>
      <w:r w:rsidRPr="008C628E">
        <w:t xml:space="preserve"> then debt raising costs must also be excluded from the EBSS calculation. </w:t>
      </w:r>
      <w:r>
        <w:t>Otherwise it would be penalised and</w:t>
      </w:r>
      <w:r w:rsidRPr="008C628E">
        <w:t xml:space="preserve"> differences between actual and benchmark costs would not flow through to future opex allowances, affecting the sharing ratio of the EBSS.</w:t>
      </w:r>
      <w:r>
        <w:t xml:space="preserve"> We agree with this last point. Therefore because we are not forecasting debt raising costs based on revealed expenditure, we have excluded them from the EBSS.</w:t>
      </w:r>
      <w:r w:rsidR="0061618A">
        <w:t xml:space="preserve"> O</w:t>
      </w:r>
      <w:r w:rsidR="0061618A" w:rsidRPr="002F6520">
        <w:t xml:space="preserve">ur </w:t>
      </w:r>
      <w:r w:rsidR="0061618A">
        <w:t xml:space="preserve">standard </w:t>
      </w:r>
      <w:r w:rsidR="0061618A" w:rsidRPr="002F6520">
        <w:t>approach is to forecast debt raising costs based on a benchmarking approach rather than a service provider’s actual costs</w:t>
      </w:r>
      <w:r w:rsidR="0061618A">
        <w:t xml:space="preserve"> in a single year</w:t>
      </w:r>
      <w:r w:rsidR="0061618A" w:rsidRPr="002F6520">
        <w:t>. This is to be consistent with the forecast of the cost of debt in the rate of return building block</w:t>
      </w:r>
      <w:r w:rsidR="0061618A">
        <w:t xml:space="preserve"> and is discussed in the equity and </w:t>
      </w:r>
      <w:r w:rsidR="00FF7CE5">
        <w:t>debt raising costs appendix to A</w:t>
      </w:r>
      <w:r w:rsidR="0061618A">
        <w:t>ttachment 3.</w:t>
      </w:r>
    </w:p>
    <w:p w:rsidR="00686EF3" w:rsidRPr="002023C8" w:rsidRDefault="00686EF3" w:rsidP="00686EF3">
      <w:pPr>
        <w:rPr>
          <w:rStyle w:val="AERbody"/>
        </w:rPr>
      </w:pPr>
      <w:r w:rsidRPr="002023C8">
        <w:rPr>
          <w:rStyle w:val="AERbody"/>
        </w:rPr>
        <w:t>AusNet Services proposed to exclude self-insurance costs and the costs of priority projects approved under the network capability component of STPIS</w:t>
      </w:r>
      <w:r>
        <w:rPr>
          <w:rStyle w:val="AERbody"/>
        </w:rPr>
        <w:t>.</w:t>
      </w:r>
    </w:p>
    <w:p w:rsidR="008A19A3" w:rsidRPr="008A19A3" w:rsidRDefault="00686EF3" w:rsidP="008A19A3">
      <w:r>
        <w:t>AusNet Services</w:t>
      </w:r>
      <w:r w:rsidR="00952A11">
        <w:t xml:space="preserve"> proposed</w:t>
      </w:r>
      <w:r w:rsidRPr="0060237E">
        <w:t xml:space="preserve"> to exclude </w:t>
      </w:r>
      <w:r>
        <w:t>self-insurance</w:t>
      </w:r>
      <w:r w:rsidRPr="0060237E">
        <w:t xml:space="preserve"> costs because it </w:t>
      </w:r>
      <w:r w:rsidR="00952A11">
        <w:t>did not use</w:t>
      </w:r>
      <w:r w:rsidRPr="0060237E">
        <w:t xml:space="preserve"> a revealed cost forecasting approach. We would typically exclude such costs where we do not rely on a revealed cost forecasting approach. However, </w:t>
      </w:r>
      <w:r w:rsidR="00FF7CE5">
        <w:t>as noted in A</w:t>
      </w:r>
      <w:r w:rsidR="00952A11" w:rsidRPr="0060237E">
        <w:t>ttachme</w:t>
      </w:r>
      <w:r w:rsidR="00952A11">
        <w:t>nt</w:t>
      </w:r>
      <w:r w:rsidR="00FF7CE5">
        <w:t> </w:t>
      </w:r>
      <w:r w:rsidR="00952A11">
        <w:t xml:space="preserve">7, </w:t>
      </w:r>
      <w:r w:rsidR="00FF7CE5">
        <w:t>we have</w:t>
      </w:r>
      <w:r w:rsidR="00952A11">
        <w:t xml:space="preserve"> forecast self-insurance based on revealed expenditure in a single year</w:t>
      </w:r>
      <w:r w:rsidRPr="0060237E">
        <w:t xml:space="preserve">. </w:t>
      </w:r>
      <w:r>
        <w:t>Therefore,</w:t>
      </w:r>
      <w:r w:rsidRPr="0060237E">
        <w:t xml:space="preserve"> we have not excluded </w:t>
      </w:r>
      <w:r w:rsidR="00952A11">
        <w:t>self-insurance</w:t>
      </w:r>
      <w:r w:rsidRPr="0060237E">
        <w:t xml:space="preserve"> from the EBSS.</w:t>
      </w:r>
      <w:r w:rsidR="008A19A3">
        <w:t xml:space="preserve"> The Consumer Challenge Panel submitted that self-</w:t>
      </w:r>
      <w:r w:rsidR="008A19A3" w:rsidRPr="008A19A3">
        <w:t>insurance costs should be part of the EBSS</w:t>
      </w:r>
      <w:r w:rsidR="008A19A3">
        <w:t>. It stated</w:t>
      </w:r>
      <w:r w:rsidR="008A19A3" w:rsidRPr="008A19A3">
        <w:t xml:space="preserve"> </w:t>
      </w:r>
      <w:r w:rsidR="008A19A3">
        <w:t>i</w:t>
      </w:r>
      <w:r w:rsidR="008A19A3" w:rsidRPr="008A19A3">
        <w:t>nsurance costs are a standard part of the costs of any business.</w:t>
      </w:r>
      <w:r w:rsidR="008A19A3">
        <w:rPr>
          <w:rStyle w:val="FootnoteReference"/>
        </w:rPr>
        <w:footnoteReference w:id="29"/>
      </w:r>
    </w:p>
    <w:p w:rsidR="00686EF3" w:rsidRPr="0060237E" w:rsidRDefault="004C250E" w:rsidP="00686EF3">
      <w:r>
        <w:t>AusNet Services proposed to exclude the costs of priority projects approved under the network capability component of STPIS to be</w:t>
      </w:r>
      <w:r w:rsidRPr="004C250E">
        <w:t xml:space="preserve"> consistent with </w:t>
      </w:r>
      <w:r>
        <w:t>our</w:t>
      </w:r>
      <w:r w:rsidRPr="004C250E">
        <w:t xml:space="preserve"> treatment of these costs during the current period</w:t>
      </w:r>
      <w:r>
        <w:t>. We agree with AusNet Services that we should exclude these costs from the EBSS. W</w:t>
      </w:r>
      <w:r w:rsidR="00952A11">
        <w:t xml:space="preserve">e do not include these costs in the opex forecast and it is important when comparing actual opex with the opex forecast </w:t>
      </w:r>
      <w:r>
        <w:t xml:space="preserve">that </w:t>
      </w:r>
      <w:r w:rsidR="00952A11">
        <w:t xml:space="preserve">we </w:t>
      </w:r>
      <w:r>
        <w:t>compare</w:t>
      </w:r>
      <w:r w:rsidR="00952A11">
        <w:t xml:space="preserve"> like</w:t>
      </w:r>
      <w:r w:rsidR="00801E1F">
        <w:t>-</w:t>
      </w:r>
      <w:r w:rsidR="00952A11">
        <w:t>with</w:t>
      </w:r>
      <w:r w:rsidR="00801E1F">
        <w:t>-</w:t>
      </w:r>
      <w:r w:rsidR="00952A11">
        <w:t>like</w:t>
      </w:r>
      <w:r w:rsidR="00686EF3">
        <w:t>.</w:t>
      </w:r>
    </w:p>
    <w:p w:rsidR="00686EF3" w:rsidRPr="0060237E" w:rsidRDefault="00686EF3" w:rsidP="00686EF3">
      <w:r w:rsidRPr="0060237E">
        <w:t xml:space="preserve">In addition to the excluded cost categories we will also: </w:t>
      </w:r>
    </w:p>
    <w:p w:rsidR="00686EF3" w:rsidRPr="0060237E" w:rsidRDefault="00686EF3" w:rsidP="004D063D">
      <w:pPr>
        <w:pStyle w:val="AERbulletlistfirststyle"/>
      </w:pPr>
      <w:r w:rsidRPr="0060237E">
        <w:t xml:space="preserve">adjust forecast opex to add (subtract) any approved revenue increments (decrements) made after the </w:t>
      </w:r>
      <w:r w:rsidR="00775C32">
        <w:t>2017–22</w:t>
      </w:r>
      <w:r w:rsidRPr="0060237E">
        <w:t xml:space="preserve"> regulatory determination. This may include approved pass through amounts. </w:t>
      </w:r>
    </w:p>
    <w:p w:rsidR="00686EF3" w:rsidRPr="0060237E" w:rsidRDefault="00686EF3" w:rsidP="004D063D">
      <w:pPr>
        <w:pStyle w:val="AERbulletlistfirststyle"/>
      </w:pPr>
      <w:r w:rsidRPr="0060237E">
        <w:lastRenderedPageBreak/>
        <w:t xml:space="preserve">adjust actual opex to add capitalised opex that has been excluded from the RAB </w:t>
      </w:r>
    </w:p>
    <w:p w:rsidR="000B321F" w:rsidRDefault="00686EF3" w:rsidP="00DE149F">
      <w:pPr>
        <w:pStyle w:val="AERbulletlistfirststyle"/>
        <w:rPr>
          <w:rStyle w:val="AERbody"/>
        </w:rPr>
      </w:pPr>
      <w:r w:rsidRPr="0060237E">
        <w:t xml:space="preserve">exclude categories of opex not forecast using a single year revealed cost approach for the regulatory </w:t>
      </w:r>
      <w:r>
        <w:t>control period beginning in 2022</w:t>
      </w:r>
      <w:r w:rsidRPr="0060237E">
        <w:t xml:space="preserve"> where doing so better achieves the requirements of clause 6</w:t>
      </w:r>
      <w:r>
        <w:t>A.6.5</w:t>
      </w:r>
      <w:r w:rsidRPr="0060237E">
        <w:t xml:space="preserve"> of the NER.</w:t>
      </w:r>
      <w:r w:rsidR="00DE149F">
        <w:rPr>
          <w:rStyle w:val="AERbody"/>
        </w:rPr>
        <w:t xml:space="preserve"> </w:t>
      </w:r>
    </w:p>
    <w:sectPr w:rsidR="000B321F" w:rsidSect="00EE50D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EDA" w:rsidRPr="00290C63" w:rsidRDefault="00B65EDA" w:rsidP="00290C63">
      <w:r>
        <w:separator/>
      </w:r>
    </w:p>
    <w:p w:rsidR="00B65EDA" w:rsidRDefault="00B65EDA"/>
  </w:endnote>
  <w:endnote w:type="continuationSeparator" w:id="0">
    <w:p w:rsidR="00B65EDA" w:rsidRPr="00290C63" w:rsidRDefault="00B65EDA" w:rsidP="00290C63">
      <w:r>
        <w:continuationSeparator/>
      </w:r>
    </w:p>
    <w:p w:rsidR="00B65EDA" w:rsidRDefault="00B65E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autami">
    <w:panose1 w:val="020B0502040204020203"/>
    <w:charset w:val="01"/>
    <w:family w:val="roman"/>
    <w:notTrueType/>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DA" w:rsidRPr="00290C63" w:rsidRDefault="00B65EDA"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B65EDA" w:rsidRDefault="00B65EDA"/>
  <w:p w:rsidR="00B65EDA" w:rsidRDefault="00B65EDA"/>
  <w:p w:rsidR="00B65EDA" w:rsidRDefault="00B65EDA"/>
  <w:p w:rsidR="00B65EDA" w:rsidRDefault="00B65EDA"/>
  <w:p w:rsidR="00B65EDA" w:rsidRDefault="00B65EDA"/>
  <w:p w:rsidR="00B65EDA" w:rsidRDefault="00B65EDA"/>
  <w:p w:rsidR="00B65EDA" w:rsidRDefault="00B65ED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sz w:val="16"/>
        <w:szCs w:val="16"/>
      </w:rPr>
    </w:sdtEndPr>
    <w:sdtContent>
      <w:p w:rsidR="00B65EDA" w:rsidRDefault="00B65EDA">
        <w:pPr>
          <w:pStyle w:val="Footer"/>
        </w:pPr>
        <w:r>
          <w:fldChar w:fldCharType="begin"/>
        </w:r>
        <w:r>
          <w:instrText xml:space="preserve"> PAGE   \* MERGEFORMAT </w:instrText>
        </w:r>
        <w:r>
          <w:fldChar w:fldCharType="separate"/>
        </w:r>
        <w:r w:rsidR="00927C6C">
          <w:rPr>
            <w:noProof/>
          </w:rPr>
          <w:t>9-1</w:t>
        </w:r>
        <w:r>
          <w:rPr>
            <w:noProof/>
          </w:rPr>
          <w:fldChar w:fldCharType="end"/>
        </w:r>
        <w:r>
          <w:rPr>
            <w:noProof/>
          </w:rPr>
          <w:t xml:space="preserve">          </w:t>
        </w:r>
        <w:r w:rsidRPr="00FD5E78">
          <w:rPr>
            <w:noProof/>
            <w:sz w:val="16"/>
            <w:szCs w:val="16"/>
          </w:rPr>
          <w:t xml:space="preserve">Attachment </w:t>
        </w:r>
        <w:r>
          <w:rPr>
            <w:noProof/>
            <w:sz w:val="16"/>
            <w:szCs w:val="16"/>
          </w:rPr>
          <w:t>9</w:t>
        </w:r>
        <w:r w:rsidRPr="00FD5E78">
          <w:rPr>
            <w:noProof/>
            <w:sz w:val="16"/>
            <w:szCs w:val="16"/>
          </w:rPr>
          <w:t xml:space="preserve"> </w:t>
        </w:r>
        <w:r w:rsidRPr="00FD5E78">
          <w:rPr>
            <w:rFonts w:cs="Gautami"/>
            <w:noProof/>
            <w:sz w:val="16"/>
            <w:szCs w:val="16"/>
          </w:rPr>
          <w:t xml:space="preserve">– </w:t>
        </w:r>
        <w:r>
          <w:rPr>
            <w:sz w:val="16"/>
            <w:szCs w:val="16"/>
          </w:rPr>
          <w:t>E</w:t>
        </w:r>
        <w:r w:rsidRPr="00964D55">
          <w:rPr>
            <w:sz w:val="16"/>
            <w:szCs w:val="16"/>
          </w:rPr>
          <w:t>fficiency benefit sharing scheme</w:t>
        </w:r>
        <w:r w:rsidRPr="00FD5E78">
          <w:rPr>
            <w:rFonts w:cs="Gautami"/>
            <w:noProof/>
            <w:sz w:val="16"/>
            <w:szCs w:val="16"/>
          </w:rPr>
          <w:t xml:space="preserve"> | </w:t>
        </w:r>
        <w:r>
          <w:rPr>
            <w:rFonts w:cs="Gautami"/>
            <w:noProof/>
            <w:sz w:val="16"/>
            <w:szCs w:val="16"/>
          </w:rPr>
          <w:t>Draft</w:t>
        </w:r>
        <w:r w:rsidRPr="00FD5E78">
          <w:rPr>
            <w:rFonts w:cs="Gautami"/>
            <w:noProof/>
            <w:sz w:val="16"/>
            <w:szCs w:val="16"/>
          </w:rPr>
          <w:t xml:space="preserve"> decision</w:t>
        </w:r>
        <w:r>
          <w:rPr>
            <w:rFonts w:cs="Gautami"/>
            <w:noProof/>
            <w:sz w:val="16"/>
            <w:szCs w:val="16"/>
          </w:rPr>
          <w:t>:</w:t>
        </w:r>
        <w:r w:rsidRPr="00FD5E78">
          <w:rPr>
            <w:rFonts w:cs="Gautami"/>
            <w:noProof/>
            <w:sz w:val="16"/>
            <w:szCs w:val="16"/>
          </w:rPr>
          <w:t xml:space="preserve"> </w:t>
        </w:r>
        <w:r>
          <w:rPr>
            <w:rFonts w:cs="Gautami"/>
            <w:noProof/>
            <w:sz w:val="16"/>
            <w:szCs w:val="16"/>
          </w:rPr>
          <w:t>AusNet Serices</w:t>
        </w:r>
        <w:r w:rsidRPr="00FD5E78">
          <w:rPr>
            <w:sz w:val="16"/>
            <w:szCs w:val="16"/>
          </w:rPr>
          <w:t xml:space="preserve"> transmission</w:t>
        </w:r>
        <w:r w:rsidRPr="00FD5E78">
          <w:rPr>
            <w:rFonts w:cs="Gautami"/>
            <w:noProof/>
            <w:sz w:val="16"/>
            <w:szCs w:val="16"/>
          </w:rPr>
          <w:t xml:space="preserve"> determination 201</w:t>
        </w:r>
        <w:r>
          <w:rPr>
            <w:rFonts w:cs="Gautami"/>
            <w:noProof/>
            <w:sz w:val="16"/>
            <w:szCs w:val="16"/>
          </w:rPr>
          <w:t>7</w:t>
        </w:r>
        <w:r w:rsidRPr="00FD5E78">
          <w:rPr>
            <w:rFonts w:cs="Gautami"/>
            <w:noProof/>
            <w:sz w:val="16"/>
            <w:szCs w:val="16"/>
          </w:rPr>
          <w:t>–</w:t>
        </w:r>
        <w:r>
          <w:rPr>
            <w:rFonts w:cs="Gautami"/>
            <w:noProof/>
            <w:sz w:val="16"/>
            <w:szCs w:val="16"/>
          </w:rPr>
          <w:t>22</w:t>
        </w:r>
      </w:p>
    </w:sdtContent>
  </w:sdt>
  <w:p w:rsidR="00B65EDA" w:rsidRDefault="00B65ED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DA" w:rsidRPr="00290C63" w:rsidRDefault="00B65EDA"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B65EDA" w:rsidRDefault="00B65EDA">
    <w:pPr>
      <w:pStyle w:val="Footer"/>
    </w:pPr>
  </w:p>
  <w:p w:rsidR="00B65EDA" w:rsidRDefault="00B65EDA"/>
  <w:p w:rsidR="00B65EDA" w:rsidRDefault="00B65EDA"/>
  <w:p w:rsidR="00B65EDA" w:rsidRDefault="00B65EDA"/>
  <w:p w:rsidR="00B65EDA" w:rsidRDefault="00B65EDA"/>
  <w:p w:rsidR="00B65EDA" w:rsidRDefault="00B65EDA"/>
  <w:p w:rsidR="00B65EDA" w:rsidRDefault="00B65EDA"/>
  <w:p w:rsidR="00B65EDA" w:rsidRDefault="00B65ED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EDA" w:rsidRPr="00290C63" w:rsidRDefault="00B65EDA" w:rsidP="00290C63">
      <w:r>
        <w:separator/>
      </w:r>
    </w:p>
    <w:p w:rsidR="00B65EDA" w:rsidRDefault="00B65EDA"/>
  </w:footnote>
  <w:footnote w:type="continuationSeparator" w:id="0">
    <w:p w:rsidR="00B65EDA" w:rsidRPr="00290C63" w:rsidRDefault="00B65EDA" w:rsidP="00290C63">
      <w:r>
        <w:continuationSeparator/>
      </w:r>
    </w:p>
    <w:p w:rsidR="00B65EDA" w:rsidRDefault="00B65EDA"/>
  </w:footnote>
  <w:footnote w:id="1">
    <w:p w:rsidR="00B65EDA" w:rsidRDefault="00B65EDA" w:rsidP="00686EF3">
      <w:pPr>
        <w:pStyle w:val="FootnoteText"/>
      </w:pPr>
      <w:r>
        <w:rPr>
          <w:rStyle w:val="FootnoteReference"/>
        </w:rPr>
        <w:footnoteRef/>
      </w:r>
      <w:r>
        <w:t xml:space="preserve"> </w:t>
      </w:r>
      <w:r>
        <w:tab/>
      </w:r>
      <w:r w:rsidRPr="008376B1">
        <w:t xml:space="preserve">AER, </w:t>
      </w:r>
      <w:r w:rsidRPr="008376B1">
        <w:rPr>
          <w:rStyle w:val="AERtextitalic"/>
        </w:rPr>
        <w:t>Electricity transmission network service providers' - Efficiency benefit sharing scheme</w:t>
      </w:r>
      <w:r w:rsidRPr="008376B1">
        <w:t>, September 2007.</w:t>
      </w:r>
    </w:p>
  </w:footnote>
  <w:footnote w:id="2">
    <w:p w:rsidR="00B65EDA" w:rsidRDefault="00B65EDA" w:rsidP="00686EF3">
      <w:pPr>
        <w:pStyle w:val="FootnoteText"/>
      </w:pPr>
      <w:r>
        <w:rPr>
          <w:rStyle w:val="FootnoteReference"/>
        </w:rPr>
        <w:footnoteRef/>
      </w:r>
      <w:r>
        <w:t xml:space="preserve"> </w:t>
      </w:r>
      <w:r>
        <w:tab/>
      </w:r>
      <w:r w:rsidRPr="008376B1">
        <w:t xml:space="preserve">AER, </w:t>
      </w:r>
      <w:r w:rsidRPr="008376B1">
        <w:rPr>
          <w:rStyle w:val="AERtextitalic"/>
        </w:rPr>
        <w:t>Electricity transmission network service providers' - Efficiency benefit sharing scheme</w:t>
      </w:r>
      <w:r w:rsidRPr="008376B1">
        <w:t>, September 2007.</w:t>
      </w:r>
    </w:p>
  </w:footnote>
  <w:footnote w:id="3">
    <w:p w:rsidR="00B65EDA" w:rsidRDefault="00B65EDA">
      <w:pPr>
        <w:pStyle w:val="FootnoteText"/>
      </w:pPr>
      <w:r>
        <w:rPr>
          <w:rStyle w:val="FootnoteReference"/>
        </w:rPr>
        <w:footnoteRef/>
      </w:r>
      <w:r>
        <w:t xml:space="preserve"> </w:t>
      </w:r>
      <w:r>
        <w:tab/>
        <w:t>If the base year used to forecast opex changes in the revised proposal or final decision, it is likely our calculation of the carryover amount will change.</w:t>
      </w:r>
    </w:p>
  </w:footnote>
  <w:footnote w:id="4">
    <w:p w:rsidR="00B65EDA" w:rsidRDefault="00B65EDA" w:rsidP="00686EF3">
      <w:pPr>
        <w:pStyle w:val="FootnoteText"/>
      </w:pPr>
      <w:r>
        <w:rPr>
          <w:rStyle w:val="FootnoteReference"/>
        </w:rPr>
        <w:footnoteRef/>
      </w:r>
      <w:r>
        <w:t xml:space="preserve"> </w:t>
      </w:r>
      <w:r>
        <w:tab/>
        <w:t xml:space="preserve">AER, </w:t>
      </w:r>
      <w:r w:rsidRPr="00EA74C7">
        <w:rPr>
          <w:rStyle w:val="AERtextitalic"/>
        </w:rPr>
        <w:t>Efficiency benefit sharing scheme for electricity network service providers</w:t>
      </w:r>
      <w:r>
        <w:t>, November 2013.</w:t>
      </w:r>
    </w:p>
  </w:footnote>
  <w:footnote w:id="5">
    <w:p w:rsidR="00B65EDA" w:rsidRDefault="00B65EDA" w:rsidP="007E7843">
      <w:pPr>
        <w:pStyle w:val="FootnoteText"/>
      </w:pPr>
      <w:r>
        <w:rPr>
          <w:rStyle w:val="FootnoteReference"/>
        </w:rPr>
        <w:footnoteRef/>
      </w:r>
      <w:r>
        <w:t xml:space="preserve"> </w:t>
      </w:r>
      <w:r>
        <w:tab/>
        <w:t xml:space="preserve">AER, </w:t>
      </w:r>
      <w:r w:rsidRPr="007E7843">
        <w:rPr>
          <w:rStyle w:val="AERtextitalic"/>
        </w:rPr>
        <w:t>Final Framework and Approach for AusNet Services transmission determination 2017–22</w:t>
      </w:r>
      <w:r>
        <w:t>, April, 2015, p. 16.</w:t>
      </w:r>
    </w:p>
  </w:footnote>
  <w:footnote w:id="6">
    <w:p w:rsidR="00B65EDA" w:rsidRDefault="00B65EDA">
      <w:pPr>
        <w:pStyle w:val="FootnoteText"/>
      </w:pPr>
      <w:r>
        <w:rPr>
          <w:rStyle w:val="FootnoteReference"/>
        </w:rPr>
        <w:footnoteRef/>
      </w:r>
      <w:r>
        <w:t xml:space="preserve"> </w:t>
      </w:r>
      <w:r>
        <w:tab/>
        <w:t xml:space="preserve">AER, </w:t>
      </w:r>
      <w:r w:rsidRPr="00EA74C7">
        <w:rPr>
          <w:rStyle w:val="AERtextitalic"/>
        </w:rPr>
        <w:t>Efficiency benefit sharing scheme for electricity network service providers</w:t>
      </w:r>
      <w:r>
        <w:t>, November 2013, Section 1.4, p. 9.</w:t>
      </w:r>
    </w:p>
  </w:footnote>
  <w:footnote w:id="7">
    <w:p w:rsidR="00B65EDA" w:rsidRDefault="00B65EDA" w:rsidP="00686EF3">
      <w:pPr>
        <w:pStyle w:val="FootnoteText"/>
      </w:pPr>
      <w:r>
        <w:rPr>
          <w:rStyle w:val="FootnoteReference"/>
        </w:rPr>
        <w:footnoteRef/>
      </w:r>
      <w:r>
        <w:t xml:space="preserve"> </w:t>
      </w:r>
      <w:r>
        <w:tab/>
        <w:t>E</w:t>
      </w:r>
      <w:r w:rsidRPr="00FA45F7">
        <w:t xml:space="preserve">asement land tax </w:t>
      </w:r>
      <w:r>
        <w:t xml:space="preserve">and debt raising costs. </w:t>
      </w:r>
    </w:p>
  </w:footnote>
  <w:footnote w:id="8">
    <w:p w:rsidR="00B65EDA" w:rsidRDefault="00B65EDA" w:rsidP="00686EF3">
      <w:pPr>
        <w:pStyle w:val="FootnoteText"/>
      </w:pPr>
      <w:r>
        <w:rPr>
          <w:rStyle w:val="FootnoteReference"/>
        </w:rPr>
        <w:footnoteRef/>
      </w:r>
      <w:r>
        <w:t xml:space="preserve"> </w:t>
      </w:r>
      <w:r>
        <w:tab/>
        <w:t xml:space="preserve">AusNet Services, </w:t>
      </w:r>
      <w:r w:rsidRPr="00FE6880">
        <w:rPr>
          <w:rStyle w:val="AERtextitalic"/>
        </w:rPr>
        <w:t>Re</w:t>
      </w:r>
      <w:r>
        <w:rPr>
          <w:rStyle w:val="AERtextitalic"/>
        </w:rPr>
        <w:t>gulatory</w:t>
      </w:r>
      <w:r w:rsidRPr="00FE6880">
        <w:rPr>
          <w:rStyle w:val="AERtextitalic"/>
        </w:rPr>
        <w:t xml:space="preserve"> proposal</w:t>
      </w:r>
      <w:r>
        <w:t>, October 2015, p. 169.</w:t>
      </w:r>
    </w:p>
  </w:footnote>
  <w:footnote w:id="9">
    <w:p w:rsidR="00B65EDA" w:rsidRDefault="00B65EDA" w:rsidP="00686EF3">
      <w:pPr>
        <w:pStyle w:val="FootnoteText"/>
      </w:pPr>
      <w:r>
        <w:rPr>
          <w:rStyle w:val="FootnoteReference"/>
        </w:rPr>
        <w:footnoteRef/>
      </w:r>
      <w:r>
        <w:t xml:space="preserve"> </w:t>
      </w:r>
      <w:r>
        <w:tab/>
        <w:t xml:space="preserve">AusNet Services, </w:t>
      </w:r>
      <w:r w:rsidRPr="00FE6880">
        <w:rPr>
          <w:rStyle w:val="AERtextitalic"/>
        </w:rPr>
        <w:t>Re</w:t>
      </w:r>
      <w:r>
        <w:rPr>
          <w:rStyle w:val="AERtextitalic"/>
        </w:rPr>
        <w:t>gulatory</w:t>
      </w:r>
      <w:r w:rsidRPr="00FE6880">
        <w:rPr>
          <w:rStyle w:val="AERtextitalic"/>
        </w:rPr>
        <w:t xml:space="preserve"> proposal</w:t>
      </w:r>
      <w:r>
        <w:t>, October 2015, p. 168.</w:t>
      </w:r>
    </w:p>
  </w:footnote>
  <w:footnote w:id="10">
    <w:p w:rsidR="00B65EDA" w:rsidRDefault="00B65EDA" w:rsidP="00F86C89">
      <w:pPr>
        <w:pStyle w:val="FootnoteText"/>
      </w:pPr>
      <w:r>
        <w:rPr>
          <w:rStyle w:val="FootnoteReference"/>
        </w:rPr>
        <w:footnoteRef/>
      </w:r>
      <w:r>
        <w:t xml:space="preserve"> </w:t>
      </w:r>
      <w:r>
        <w:tab/>
        <w:t xml:space="preserve">AusNet Services, </w:t>
      </w:r>
      <w:r w:rsidRPr="00FE6880">
        <w:rPr>
          <w:rStyle w:val="AERtextitalic"/>
        </w:rPr>
        <w:t>Re</w:t>
      </w:r>
      <w:r>
        <w:rPr>
          <w:rStyle w:val="AERtextitalic"/>
        </w:rPr>
        <w:t>gulatory</w:t>
      </w:r>
      <w:r w:rsidRPr="00FE6880">
        <w:rPr>
          <w:rStyle w:val="AERtextitalic"/>
        </w:rPr>
        <w:t xml:space="preserve"> proposal</w:t>
      </w:r>
      <w:r>
        <w:t xml:space="preserve">, October 2015, p. 168.  </w:t>
      </w:r>
    </w:p>
  </w:footnote>
  <w:footnote w:id="11">
    <w:p w:rsidR="00B65EDA" w:rsidRDefault="00B65EDA" w:rsidP="00686EF3">
      <w:pPr>
        <w:pStyle w:val="FootnoteText"/>
      </w:pPr>
      <w:r>
        <w:rPr>
          <w:rStyle w:val="FootnoteReference"/>
        </w:rPr>
        <w:footnoteRef/>
      </w:r>
      <w:r>
        <w:t xml:space="preserve"> </w:t>
      </w:r>
      <w:r>
        <w:tab/>
        <w:t xml:space="preserve">AusNet Services, </w:t>
      </w:r>
      <w:r w:rsidRPr="00FE6880">
        <w:rPr>
          <w:rStyle w:val="AERtextitalic"/>
        </w:rPr>
        <w:t>Re</w:t>
      </w:r>
      <w:r>
        <w:rPr>
          <w:rStyle w:val="AERtextitalic"/>
        </w:rPr>
        <w:t>gulatory</w:t>
      </w:r>
      <w:r w:rsidRPr="00FE6880">
        <w:rPr>
          <w:rStyle w:val="AERtextitalic"/>
        </w:rPr>
        <w:t xml:space="preserve"> proposal</w:t>
      </w:r>
      <w:r>
        <w:t>, October 2015, p. 170.</w:t>
      </w:r>
    </w:p>
  </w:footnote>
  <w:footnote w:id="12">
    <w:p w:rsidR="00B65EDA" w:rsidRDefault="00B65EDA" w:rsidP="00686EF3">
      <w:pPr>
        <w:pStyle w:val="FootnoteText"/>
      </w:pPr>
      <w:r>
        <w:rPr>
          <w:rStyle w:val="FootnoteReference"/>
        </w:rPr>
        <w:footnoteRef/>
      </w:r>
      <w:r>
        <w:t xml:space="preserve"> </w:t>
      </w:r>
      <w:r>
        <w:tab/>
        <w:t>NER, cl. 6A.5.4(a)(5).</w:t>
      </w:r>
    </w:p>
  </w:footnote>
  <w:footnote w:id="13">
    <w:p w:rsidR="00B65EDA" w:rsidRDefault="00B65EDA" w:rsidP="00686EF3">
      <w:pPr>
        <w:pStyle w:val="FootnoteText"/>
      </w:pPr>
      <w:r>
        <w:rPr>
          <w:rStyle w:val="FootnoteReference"/>
        </w:rPr>
        <w:footnoteRef/>
      </w:r>
      <w:r>
        <w:t xml:space="preserve"> </w:t>
      </w:r>
      <w:r>
        <w:tab/>
        <w:t xml:space="preserve">NER, cl. 6A.14.1(1)(iv) and cl. 6A.14.3(d)(2). </w:t>
      </w:r>
    </w:p>
  </w:footnote>
  <w:footnote w:id="14">
    <w:p w:rsidR="00B65EDA" w:rsidRDefault="00B65EDA" w:rsidP="00686EF3">
      <w:pPr>
        <w:pStyle w:val="FootnoteText"/>
      </w:pPr>
      <w:r>
        <w:rPr>
          <w:rStyle w:val="FootnoteReference"/>
        </w:rPr>
        <w:footnoteRef/>
      </w:r>
      <w:r>
        <w:t xml:space="preserve"> </w:t>
      </w:r>
      <w:r>
        <w:tab/>
        <w:t>NER, cl. 6A.6.5(a).</w:t>
      </w:r>
    </w:p>
  </w:footnote>
  <w:footnote w:id="15">
    <w:p w:rsidR="00B65EDA" w:rsidRDefault="00B65EDA" w:rsidP="00686EF3">
      <w:pPr>
        <w:pStyle w:val="FootnoteText"/>
      </w:pPr>
      <w:r>
        <w:rPr>
          <w:rStyle w:val="FootnoteReference"/>
        </w:rPr>
        <w:footnoteRef/>
      </w:r>
      <w:r>
        <w:t xml:space="preserve"> </w:t>
      </w:r>
      <w:r>
        <w:tab/>
        <w:t>NER, cl. 6A.6.5(b).</w:t>
      </w:r>
    </w:p>
  </w:footnote>
  <w:footnote w:id="16">
    <w:p w:rsidR="00B65EDA" w:rsidRDefault="00B65EDA" w:rsidP="00686EF3">
      <w:pPr>
        <w:pStyle w:val="FootnoteText"/>
      </w:pPr>
      <w:r>
        <w:rPr>
          <w:rStyle w:val="FootnoteReference"/>
        </w:rPr>
        <w:footnoteRef/>
      </w:r>
      <w:r>
        <w:t xml:space="preserve"> </w:t>
      </w:r>
      <w:r>
        <w:tab/>
        <w:t xml:space="preserve">AER, </w:t>
      </w:r>
      <w:r w:rsidRPr="006F0324">
        <w:rPr>
          <w:rStyle w:val="AERtextitalic"/>
        </w:rPr>
        <w:t>E</w:t>
      </w:r>
      <w:r>
        <w:rPr>
          <w:rStyle w:val="AERtextitalic"/>
        </w:rPr>
        <w:t>lectricity transmission network service providers E</w:t>
      </w:r>
      <w:r w:rsidRPr="006F0324">
        <w:rPr>
          <w:rStyle w:val="AERtextitalic"/>
        </w:rPr>
        <w:t>fficiency benefit sharing scheme</w:t>
      </w:r>
      <w:r>
        <w:t>, September 2007, pp. 6</w:t>
      </w:r>
      <w:r w:rsidRPr="003E035F">
        <w:t>−</w:t>
      </w:r>
      <w:r>
        <w:t>7.</w:t>
      </w:r>
    </w:p>
  </w:footnote>
  <w:footnote w:id="17">
    <w:p w:rsidR="00B65EDA" w:rsidRDefault="00B65EDA" w:rsidP="00686EF3">
      <w:pPr>
        <w:pStyle w:val="FootnoteText"/>
      </w:pPr>
      <w:r>
        <w:rPr>
          <w:rStyle w:val="FootnoteReference"/>
        </w:rPr>
        <w:footnoteRef/>
      </w:r>
      <w:r>
        <w:t xml:space="preserve"> </w:t>
      </w:r>
      <w:r>
        <w:tab/>
        <w:t xml:space="preserve">AER, </w:t>
      </w:r>
      <w:r w:rsidRPr="006F0324">
        <w:rPr>
          <w:rStyle w:val="AERtextitalic"/>
        </w:rPr>
        <w:t>E</w:t>
      </w:r>
      <w:r>
        <w:rPr>
          <w:rStyle w:val="AERtextitalic"/>
        </w:rPr>
        <w:t>lectricity transmission network service providers E</w:t>
      </w:r>
      <w:r w:rsidRPr="006F0324">
        <w:rPr>
          <w:rStyle w:val="AERtextitalic"/>
        </w:rPr>
        <w:t>fficiency benefit sharing scheme</w:t>
      </w:r>
      <w:r>
        <w:t>, September 2007.</w:t>
      </w:r>
    </w:p>
  </w:footnote>
  <w:footnote w:id="18">
    <w:p w:rsidR="00B65EDA" w:rsidRDefault="00B65EDA" w:rsidP="00686EF3">
      <w:pPr>
        <w:pStyle w:val="FootnoteText"/>
      </w:pPr>
      <w:r>
        <w:rPr>
          <w:rStyle w:val="FootnoteReference"/>
        </w:rPr>
        <w:footnoteRef/>
      </w:r>
      <w:r>
        <w:t xml:space="preserve"> </w:t>
      </w:r>
      <w:r>
        <w:tab/>
        <w:t>An estimate of 2015–16 opex will be used for the draft decision as actual opex for 2015–16 will not be available until after the draft decision.</w:t>
      </w:r>
    </w:p>
  </w:footnote>
  <w:footnote w:id="19">
    <w:p w:rsidR="00B65EDA" w:rsidRDefault="00B65EDA" w:rsidP="00686EF3">
      <w:pPr>
        <w:pStyle w:val="FootnoteText"/>
      </w:pPr>
      <w:r>
        <w:rPr>
          <w:rStyle w:val="FootnoteReference"/>
        </w:rPr>
        <w:footnoteRef/>
      </w:r>
      <w:r>
        <w:t xml:space="preserve"> </w:t>
      </w:r>
      <w:r>
        <w:tab/>
        <w:t xml:space="preserve">AER, </w:t>
      </w:r>
      <w:r w:rsidRPr="006F0324">
        <w:rPr>
          <w:rStyle w:val="AERtextitalic"/>
        </w:rPr>
        <w:t>E</w:t>
      </w:r>
      <w:r>
        <w:rPr>
          <w:rStyle w:val="AERtextitalic"/>
        </w:rPr>
        <w:t>lectricity transmission network service providers E</w:t>
      </w:r>
      <w:r w:rsidRPr="006F0324">
        <w:rPr>
          <w:rStyle w:val="AERtextitalic"/>
        </w:rPr>
        <w:t>fficiency benefit sharing scheme</w:t>
      </w:r>
      <w:r>
        <w:t>, September 2007, pp. 6</w:t>
      </w:r>
      <w:r w:rsidRPr="00640CF3">
        <w:t>−</w:t>
      </w:r>
      <w:r>
        <w:t>7.</w:t>
      </w:r>
    </w:p>
  </w:footnote>
  <w:footnote w:id="20">
    <w:p w:rsidR="00B65EDA" w:rsidRDefault="00B65EDA" w:rsidP="00686EF3">
      <w:pPr>
        <w:pStyle w:val="FootnoteText"/>
      </w:pPr>
      <w:r>
        <w:rPr>
          <w:rStyle w:val="FootnoteReference"/>
        </w:rPr>
        <w:footnoteRef/>
      </w:r>
      <w:r>
        <w:t xml:space="preserve"> </w:t>
      </w:r>
      <w:r>
        <w:tab/>
        <w:t>Actual data for 2015–16 will be available after we publish the draft decision but before we publish the final decision.</w:t>
      </w:r>
    </w:p>
  </w:footnote>
  <w:footnote w:id="21">
    <w:p w:rsidR="00B65EDA" w:rsidRDefault="00B65EDA" w:rsidP="00686EF3">
      <w:pPr>
        <w:pStyle w:val="FootnoteText"/>
      </w:pPr>
      <w:r>
        <w:rPr>
          <w:rStyle w:val="FootnoteReference"/>
        </w:rPr>
        <w:footnoteRef/>
      </w:r>
      <w:r>
        <w:t xml:space="preserve"> </w:t>
      </w:r>
      <w:r>
        <w:tab/>
        <w:t xml:space="preserve">AusNet Services, </w:t>
      </w:r>
      <w:r w:rsidRPr="00357370">
        <w:rPr>
          <w:rStyle w:val="AERtextitalic"/>
        </w:rPr>
        <w:t>Regulatory proposal</w:t>
      </w:r>
      <w:r>
        <w:t>, October 2015, p. 168.</w:t>
      </w:r>
    </w:p>
  </w:footnote>
  <w:footnote w:id="22">
    <w:p w:rsidR="00B65EDA" w:rsidRDefault="00B65EDA" w:rsidP="008A5B87">
      <w:pPr>
        <w:pStyle w:val="FootnoteText"/>
      </w:pPr>
      <w:r>
        <w:rPr>
          <w:rStyle w:val="FootnoteReference"/>
        </w:rPr>
        <w:footnoteRef/>
      </w:r>
      <w:r>
        <w:t xml:space="preserve"> </w:t>
      </w:r>
      <w:r>
        <w:tab/>
      </w:r>
      <w:r w:rsidRPr="008A5B87">
        <w:t>AusNet Services determined 'actu</w:t>
      </w:r>
      <w:r>
        <w:t xml:space="preserve">al' opex for EBSS purposes for </w:t>
      </w:r>
      <w:r w:rsidRPr="008A5B87">
        <w:t xml:space="preserve">2016–17 by adding the efficient benchmark increase we approved to 2015–16 opex </w:t>
      </w:r>
      <w:r>
        <w:t xml:space="preserve"> AusNet Services, </w:t>
      </w:r>
      <w:r w:rsidRPr="00357370">
        <w:rPr>
          <w:rStyle w:val="AERtextitalic"/>
        </w:rPr>
        <w:t>Regulatory proposal</w:t>
      </w:r>
      <w:r>
        <w:t>, October 2015, p. 168.</w:t>
      </w:r>
    </w:p>
  </w:footnote>
  <w:footnote w:id="23">
    <w:p w:rsidR="00B65EDA" w:rsidRDefault="00B65EDA" w:rsidP="001401C7">
      <w:pPr>
        <w:pStyle w:val="FootnoteText"/>
      </w:pPr>
      <w:r>
        <w:rPr>
          <w:rStyle w:val="FootnoteReference"/>
        </w:rPr>
        <w:footnoteRef/>
      </w:r>
      <w:r>
        <w:t xml:space="preserve"> </w:t>
      </w:r>
      <w:r>
        <w:tab/>
        <w:t>We note that this formula is not the same as the formula set out in the EBSS</w:t>
      </w:r>
      <w:r w:rsidR="00FF7CE5">
        <w:t>.</w:t>
      </w:r>
    </w:p>
  </w:footnote>
  <w:footnote w:id="24">
    <w:p w:rsidR="00B65EDA" w:rsidRDefault="00B65EDA" w:rsidP="00686EF3">
      <w:pPr>
        <w:pStyle w:val="FootnoteText"/>
      </w:pPr>
      <w:r>
        <w:rPr>
          <w:rStyle w:val="FootnoteReference"/>
        </w:rPr>
        <w:footnoteRef/>
      </w:r>
      <w:r>
        <w:t xml:space="preserve"> </w:t>
      </w:r>
      <w:r>
        <w:tab/>
        <w:t xml:space="preserve">AER, </w:t>
      </w:r>
      <w:r w:rsidRPr="00EA74C7">
        <w:rPr>
          <w:rStyle w:val="AERtextitalic"/>
        </w:rPr>
        <w:t>Efficiency benefit sharing scheme for electricity network service providers</w:t>
      </w:r>
      <w:r>
        <w:t>, November 2013.</w:t>
      </w:r>
    </w:p>
  </w:footnote>
  <w:footnote w:id="25">
    <w:p w:rsidR="00B65EDA" w:rsidRDefault="00B65EDA" w:rsidP="00686EF3">
      <w:pPr>
        <w:pStyle w:val="FootnoteText"/>
      </w:pPr>
      <w:r>
        <w:rPr>
          <w:rStyle w:val="FootnoteReference"/>
        </w:rPr>
        <w:footnoteRef/>
      </w:r>
      <w:r>
        <w:t xml:space="preserve"> </w:t>
      </w:r>
      <w:r>
        <w:tab/>
        <w:t xml:space="preserve">AER, </w:t>
      </w:r>
      <w:r w:rsidRPr="00EA74C7">
        <w:rPr>
          <w:rStyle w:val="AERtextitalic"/>
        </w:rPr>
        <w:t>Efficiency benefit sharing scheme for electricity network service providers</w:t>
      </w:r>
      <w:r>
        <w:t>, November 2013, p. 7.</w:t>
      </w:r>
    </w:p>
  </w:footnote>
  <w:footnote w:id="26">
    <w:p w:rsidR="00B65EDA" w:rsidRDefault="00B65EDA" w:rsidP="00686EF3">
      <w:pPr>
        <w:pStyle w:val="FootnoteText"/>
      </w:pPr>
      <w:r>
        <w:rPr>
          <w:rStyle w:val="FootnoteReference"/>
        </w:rPr>
        <w:footnoteRef/>
      </w:r>
      <w:r>
        <w:t xml:space="preserve"> </w:t>
      </w:r>
      <w:r>
        <w:tab/>
        <w:t xml:space="preserve">AER, </w:t>
      </w:r>
      <w:r w:rsidRPr="00EA74C7">
        <w:rPr>
          <w:rStyle w:val="AERtextitalic"/>
        </w:rPr>
        <w:t>Efficiency benefit sharing scheme for electricity network service providers</w:t>
      </w:r>
      <w:r>
        <w:t>, November 2013, pp. 7–9.</w:t>
      </w:r>
    </w:p>
  </w:footnote>
  <w:footnote w:id="27">
    <w:p w:rsidR="00B65EDA" w:rsidRDefault="00B65EDA" w:rsidP="00686EF3">
      <w:pPr>
        <w:pStyle w:val="FootnoteText"/>
      </w:pPr>
      <w:r>
        <w:rPr>
          <w:rStyle w:val="FootnoteReference"/>
        </w:rPr>
        <w:footnoteRef/>
      </w:r>
      <w:r>
        <w:t xml:space="preserve"> </w:t>
      </w:r>
      <w:r>
        <w:tab/>
        <w:t xml:space="preserve">AER, </w:t>
      </w:r>
      <w:r w:rsidRPr="00E5626B">
        <w:rPr>
          <w:rStyle w:val="AERtextitalic"/>
        </w:rPr>
        <w:t>SP AusNet Transmission determination 2014-17, final decision</w:t>
      </w:r>
      <w:r>
        <w:t>, 31 January 2014, p. 42.</w:t>
      </w:r>
    </w:p>
  </w:footnote>
  <w:footnote w:id="28">
    <w:p w:rsidR="00B65EDA" w:rsidRDefault="00B65EDA" w:rsidP="005A61F1">
      <w:pPr>
        <w:pStyle w:val="FootnoteText"/>
      </w:pPr>
      <w:r>
        <w:rPr>
          <w:rStyle w:val="FootnoteReference"/>
        </w:rPr>
        <w:footnoteRef/>
      </w:r>
      <w:r>
        <w:t xml:space="preserve"> </w:t>
      </w:r>
      <w:r>
        <w:tab/>
      </w:r>
      <w:r w:rsidRPr="005A61F1">
        <w:t>In Victoria, AEMO manages and operates the Availability Incentive Scheme (AIS</w:t>
      </w:r>
      <w:r>
        <w:t>)</w:t>
      </w:r>
      <w:r w:rsidRPr="005A61F1">
        <w:t xml:space="preserve">. This scheme is designed to </w:t>
      </w:r>
      <w:r>
        <w:t xml:space="preserve">provide a </w:t>
      </w:r>
      <w:r w:rsidRPr="005A61F1">
        <w:t xml:space="preserve">financial incentive </w:t>
      </w:r>
      <w:r>
        <w:t xml:space="preserve">to </w:t>
      </w:r>
      <w:r w:rsidRPr="005A61F1">
        <w:t>owners of critical transmission assets (such as</w:t>
      </w:r>
      <w:r>
        <w:t xml:space="preserve"> </w:t>
      </w:r>
      <w:r w:rsidRPr="005A61F1">
        <w:t>transformers and transmission lines) to schedule outages outside peak periods.</w:t>
      </w:r>
    </w:p>
  </w:footnote>
  <w:footnote w:id="29">
    <w:p w:rsidR="008A19A3" w:rsidRDefault="008A19A3" w:rsidP="008A19A3">
      <w:pPr>
        <w:pStyle w:val="FootnoteText"/>
      </w:pPr>
      <w:r>
        <w:rPr>
          <w:rStyle w:val="FootnoteReference"/>
        </w:rPr>
        <w:footnoteRef/>
      </w:r>
      <w:r>
        <w:t xml:space="preserve"> </w:t>
      </w:r>
      <w:r>
        <w:tab/>
        <w:t xml:space="preserve">CCP (subpanel 5), </w:t>
      </w:r>
      <w:r w:rsidRPr="008A19A3">
        <w:rPr>
          <w:rStyle w:val="AERtextitalic"/>
        </w:rPr>
        <w:t>Submission on AusNet Services</w:t>
      </w:r>
      <w:r>
        <w:rPr>
          <w:rStyle w:val="AERtextitalic"/>
        </w:rPr>
        <w:t>'</w:t>
      </w:r>
      <w:r w:rsidRPr="008A19A3">
        <w:rPr>
          <w:rStyle w:val="AERtextitalic"/>
        </w:rPr>
        <w:t xml:space="preserve"> 2</w:t>
      </w:r>
      <w:r>
        <w:rPr>
          <w:rStyle w:val="AERtextitalic"/>
        </w:rPr>
        <w:t>0</w:t>
      </w:r>
      <w:r w:rsidRPr="008A19A3">
        <w:rPr>
          <w:rStyle w:val="AERtextitalic"/>
        </w:rPr>
        <w:t>17–20 transmission determination proposal</w:t>
      </w:r>
      <w:r>
        <w:t>, February 2016, p. 40.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AE1" w:rsidRDefault="00582AE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AE1" w:rsidRDefault="00582AE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AE1" w:rsidRDefault="00582A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C3F44DE"/>
    <w:multiLevelType w:val="multilevel"/>
    <w:tmpl w:val="950A1C52"/>
    <w:numStyleLink w:val="AERHeadings"/>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592056E"/>
    <w:multiLevelType w:val="multilevel"/>
    <w:tmpl w:val="950A1C52"/>
    <w:numStyleLink w:val="AERHeadings"/>
  </w:abstractNum>
  <w:abstractNum w:abstractNumId="18">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0">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2">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F5F4FFC"/>
    <w:multiLevelType w:val="multilevel"/>
    <w:tmpl w:val="950A1C52"/>
    <w:numStyleLink w:val="AERHeadings"/>
  </w:abstractNum>
  <w:abstractNum w:abstractNumId="26">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nsid w:val="41A80E45"/>
    <w:multiLevelType w:val="multilevel"/>
    <w:tmpl w:val="950A1C52"/>
    <w:numStyleLink w:val="AERHeadings"/>
  </w:abstractNum>
  <w:abstractNum w:abstractNumId="28">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9">
    <w:nsid w:val="487C7731"/>
    <w:multiLevelType w:val="multilevel"/>
    <w:tmpl w:val="950A1C52"/>
    <w:numStyleLink w:val="AERHeadings"/>
  </w:abstractNum>
  <w:abstractNum w:abstractNumId="30">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33">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5">
    <w:nsid w:val="5ECE4384"/>
    <w:multiLevelType w:val="multilevel"/>
    <w:tmpl w:val="320C70FA"/>
    <w:lvl w:ilvl="0">
      <w:start w:val="9"/>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7">
    <w:nsid w:val="6DE36827"/>
    <w:multiLevelType w:val="multilevel"/>
    <w:tmpl w:val="950A1C52"/>
    <w:numStyleLink w:val="AERHeadings"/>
  </w:abstractNum>
  <w:abstractNum w:abstractNumId="3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40"/>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6"/>
  </w:num>
  <w:num w:numId="13">
    <w:abstractNumId w:val="23"/>
  </w:num>
  <w:num w:numId="14">
    <w:abstractNumId w:val="11"/>
  </w:num>
  <w:num w:numId="15">
    <w:abstractNumId w:val="14"/>
  </w:num>
  <w:num w:numId="16">
    <w:abstractNumId w:val="30"/>
  </w:num>
  <w:num w:numId="17">
    <w:abstractNumId w:val="10"/>
  </w:num>
  <w:num w:numId="18">
    <w:abstractNumId w:val="19"/>
  </w:num>
  <w:num w:numId="19">
    <w:abstractNumId w:val="31"/>
  </w:num>
  <w:num w:numId="20">
    <w:abstractNumId w:val="38"/>
  </w:num>
  <w:num w:numId="21">
    <w:abstractNumId w:val="15"/>
  </w:num>
  <w:num w:numId="22">
    <w:abstractNumId w:val="34"/>
  </w:num>
  <w:num w:numId="23">
    <w:abstractNumId w:val="32"/>
  </w:num>
  <w:num w:numId="24">
    <w:abstractNumId w:val="21"/>
  </w:num>
  <w:num w:numId="25">
    <w:abstractNumId w:val="33"/>
  </w:num>
  <w:num w:numId="26">
    <w:abstractNumId w:val="35"/>
  </w:num>
  <w:num w:numId="27">
    <w:abstractNumId w:val="22"/>
  </w:num>
  <w:num w:numId="28">
    <w:abstractNumId w:val="20"/>
  </w:num>
  <w:num w:numId="29">
    <w:abstractNumId w:val="18"/>
  </w:num>
  <w:num w:numId="30">
    <w:abstractNumId w:val="39"/>
  </w:num>
  <w:num w:numId="31">
    <w:abstractNumId w:val="16"/>
  </w:num>
  <w:num w:numId="32">
    <w:abstractNumId w:val="26"/>
  </w:num>
  <w:num w:numId="33">
    <w:abstractNumId w:val="21"/>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21"/>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21"/>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7"/>
  </w:num>
  <w:num w:numId="37">
    <w:abstractNumId w:val="29"/>
  </w:num>
  <w:num w:numId="38">
    <w:abstractNumId w:val="25"/>
  </w:num>
  <w:num w:numId="39">
    <w:abstractNumId w:val="13"/>
  </w:num>
  <w:num w:numId="40">
    <w:abstractNumId w:val="35"/>
  </w:num>
  <w:num w:numId="41">
    <w:abstractNumId w:val="35"/>
  </w:num>
  <w:num w:numId="42">
    <w:abstractNumId w:val="27"/>
  </w:num>
  <w:num w:numId="43">
    <w:abstractNumId w:val="17"/>
  </w:num>
  <w:num w:numId="44">
    <w:abstractNumId w:val="28"/>
  </w:num>
  <w:num w:numId="45">
    <w:abstractNumId w:val="24"/>
  </w:num>
  <w:num w:numId="46">
    <w:abstractNumId w:val="9"/>
  </w:num>
  <w:num w:numId="4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7HHMrzcpz/Rks6B4TC5zcwLbYiaEzjFVoERgl1GNBsY=" w:saltValue="9HfS6wFELFwc+GZwbkHy6w==" w:algorithmName="SHA-256"/>
  <w:defaultTabStop w:val="340"/>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3664\AER15 4431  AusNet Services 2017-22 - Draft decision - Attachment 9 - Efficiency benefit sharing scheme.DOCX"/>
  </w:docVars>
  <w:rsids>
    <w:rsidRoot w:val="00961A4A"/>
    <w:rsid w:val="000035FC"/>
    <w:rsid w:val="0000419B"/>
    <w:rsid w:val="00004219"/>
    <w:rsid w:val="00005540"/>
    <w:rsid w:val="00021202"/>
    <w:rsid w:val="00021C2B"/>
    <w:rsid w:val="0002517F"/>
    <w:rsid w:val="0003578C"/>
    <w:rsid w:val="000463C8"/>
    <w:rsid w:val="00063247"/>
    <w:rsid w:val="00070F9F"/>
    <w:rsid w:val="0007137B"/>
    <w:rsid w:val="00073498"/>
    <w:rsid w:val="00077389"/>
    <w:rsid w:val="00085663"/>
    <w:rsid w:val="00085EBF"/>
    <w:rsid w:val="00086871"/>
    <w:rsid w:val="000A3020"/>
    <w:rsid w:val="000A6C7B"/>
    <w:rsid w:val="000B321F"/>
    <w:rsid w:val="000C2B40"/>
    <w:rsid w:val="000D122C"/>
    <w:rsid w:val="000E1819"/>
    <w:rsid w:val="000E4821"/>
    <w:rsid w:val="000E6C72"/>
    <w:rsid w:val="00116EB2"/>
    <w:rsid w:val="001203C4"/>
    <w:rsid w:val="00124609"/>
    <w:rsid w:val="00126A4C"/>
    <w:rsid w:val="001401C7"/>
    <w:rsid w:val="00141623"/>
    <w:rsid w:val="0014573B"/>
    <w:rsid w:val="001573E4"/>
    <w:rsid w:val="00160756"/>
    <w:rsid w:val="001716FC"/>
    <w:rsid w:val="0017232E"/>
    <w:rsid w:val="00174102"/>
    <w:rsid w:val="001754EE"/>
    <w:rsid w:val="00180157"/>
    <w:rsid w:val="00185C55"/>
    <w:rsid w:val="00185CB9"/>
    <w:rsid w:val="00186F77"/>
    <w:rsid w:val="001921F2"/>
    <w:rsid w:val="001926A4"/>
    <w:rsid w:val="00192AD5"/>
    <w:rsid w:val="001B45A0"/>
    <w:rsid w:val="001D055E"/>
    <w:rsid w:val="001F492E"/>
    <w:rsid w:val="001F660E"/>
    <w:rsid w:val="001F6DA3"/>
    <w:rsid w:val="002010BC"/>
    <w:rsid w:val="002016E7"/>
    <w:rsid w:val="00202E03"/>
    <w:rsid w:val="0020492C"/>
    <w:rsid w:val="002144B5"/>
    <w:rsid w:val="00221F5E"/>
    <w:rsid w:val="00224DB9"/>
    <w:rsid w:val="00233775"/>
    <w:rsid w:val="00251745"/>
    <w:rsid w:val="00263AC0"/>
    <w:rsid w:val="00264264"/>
    <w:rsid w:val="0026772D"/>
    <w:rsid w:val="00277583"/>
    <w:rsid w:val="00286874"/>
    <w:rsid w:val="002876B3"/>
    <w:rsid w:val="00290C63"/>
    <w:rsid w:val="00296B65"/>
    <w:rsid w:val="00297C2E"/>
    <w:rsid w:val="002A0C23"/>
    <w:rsid w:val="002A7DEF"/>
    <w:rsid w:val="002C233C"/>
    <w:rsid w:val="002D72E8"/>
    <w:rsid w:val="002E0BE9"/>
    <w:rsid w:val="002E7B22"/>
    <w:rsid w:val="002F7986"/>
    <w:rsid w:val="00301B40"/>
    <w:rsid w:val="003029EE"/>
    <w:rsid w:val="00305CC8"/>
    <w:rsid w:val="00307F6D"/>
    <w:rsid w:val="003177A2"/>
    <w:rsid w:val="003271B5"/>
    <w:rsid w:val="00327A1E"/>
    <w:rsid w:val="00331264"/>
    <w:rsid w:val="00334C8D"/>
    <w:rsid w:val="00343A18"/>
    <w:rsid w:val="003518B3"/>
    <w:rsid w:val="00367239"/>
    <w:rsid w:val="003846F1"/>
    <w:rsid w:val="003903F6"/>
    <w:rsid w:val="003B484F"/>
    <w:rsid w:val="003B7FBA"/>
    <w:rsid w:val="003C303F"/>
    <w:rsid w:val="003C3A9C"/>
    <w:rsid w:val="003F174D"/>
    <w:rsid w:val="00400514"/>
    <w:rsid w:val="00415F31"/>
    <w:rsid w:val="00423A77"/>
    <w:rsid w:val="004404EC"/>
    <w:rsid w:val="0045645F"/>
    <w:rsid w:val="0045777E"/>
    <w:rsid w:val="00480B4B"/>
    <w:rsid w:val="00485DC4"/>
    <w:rsid w:val="00491349"/>
    <w:rsid w:val="00492389"/>
    <w:rsid w:val="004A43D1"/>
    <w:rsid w:val="004B4412"/>
    <w:rsid w:val="004C250E"/>
    <w:rsid w:val="004C348C"/>
    <w:rsid w:val="004D0219"/>
    <w:rsid w:val="004D063D"/>
    <w:rsid w:val="004D3183"/>
    <w:rsid w:val="004D4888"/>
    <w:rsid w:val="004D55BA"/>
    <w:rsid w:val="004E15EB"/>
    <w:rsid w:val="004E22EC"/>
    <w:rsid w:val="004F5011"/>
    <w:rsid w:val="004F6A0E"/>
    <w:rsid w:val="004F7512"/>
    <w:rsid w:val="00530128"/>
    <w:rsid w:val="00532467"/>
    <w:rsid w:val="00536E81"/>
    <w:rsid w:val="00540418"/>
    <w:rsid w:val="00544C12"/>
    <w:rsid w:val="00553342"/>
    <w:rsid w:val="00564A4D"/>
    <w:rsid w:val="00567BA5"/>
    <w:rsid w:val="00571B35"/>
    <w:rsid w:val="00571D57"/>
    <w:rsid w:val="00577A09"/>
    <w:rsid w:val="005829C2"/>
    <w:rsid w:val="00582AE1"/>
    <w:rsid w:val="00584D8F"/>
    <w:rsid w:val="005A404D"/>
    <w:rsid w:val="005A61F1"/>
    <w:rsid w:val="005B1E3C"/>
    <w:rsid w:val="005B6F05"/>
    <w:rsid w:val="005B704A"/>
    <w:rsid w:val="005C26CC"/>
    <w:rsid w:val="005D3C82"/>
    <w:rsid w:val="005D7BA2"/>
    <w:rsid w:val="005E1C36"/>
    <w:rsid w:val="005E36C2"/>
    <w:rsid w:val="005E5ED6"/>
    <w:rsid w:val="005F3CA6"/>
    <w:rsid w:val="0060655C"/>
    <w:rsid w:val="00612F4F"/>
    <w:rsid w:val="00615C6B"/>
    <w:rsid w:val="0061618A"/>
    <w:rsid w:val="00621DCE"/>
    <w:rsid w:val="00632D6D"/>
    <w:rsid w:val="00642C3E"/>
    <w:rsid w:val="006537AA"/>
    <w:rsid w:val="0066104A"/>
    <w:rsid w:val="00663DAD"/>
    <w:rsid w:val="00675E20"/>
    <w:rsid w:val="00676679"/>
    <w:rsid w:val="00683C89"/>
    <w:rsid w:val="00686EF3"/>
    <w:rsid w:val="006A08A8"/>
    <w:rsid w:val="006B2395"/>
    <w:rsid w:val="006B4CF9"/>
    <w:rsid w:val="006B7AC8"/>
    <w:rsid w:val="006C1736"/>
    <w:rsid w:val="006D5008"/>
    <w:rsid w:val="006D550F"/>
    <w:rsid w:val="00701CAB"/>
    <w:rsid w:val="00707563"/>
    <w:rsid w:val="00713956"/>
    <w:rsid w:val="0072348C"/>
    <w:rsid w:val="00724A37"/>
    <w:rsid w:val="00726A45"/>
    <w:rsid w:val="007303C3"/>
    <w:rsid w:val="00731756"/>
    <w:rsid w:val="007429BE"/>
    <w:rsid w:val="00743223"/>
    <w:rsid w:val="00746513"/>
    <w:rsid w:val="00746E01"/>
    <w:rsid w:val="00757364"/>
    <w:rsid w:val="00757BDF"/>
    <w:rsid w:val="007609D0"/>
    <w:rsid w:val="00763E5D"/>
    <w:rsid w:val="00767740"/>
    <w:rsid w:val="00775C32"/>
    <w:rsid w:val="00777EE6"/>
    <w:rsid w:val="00782EEA"/>
    <w:rsid w:val="00796270"/>
    <w:rsid w:val="007B186E"/>
    <w:rsid w:val="007B2C72"/>
    <w:rsid w:val="007C1C53"/>
    <w:rsid w:val="007C74BB"/>
    <w:rsid w:val="007D456E"/>
    <w:rsid w:val="007E4904"/>
    <w:rsid w:val="007E4CB5"/>
    <w:rsid w:val="007E66A7"/>
    <w:rsid w:val="007E7843"/>
    <w:rsid w:val="007F066B"/>
    <w:rsid w:val="00800A30"/>
    <w:rsid w:val="00801E1F"/>
    <w:rsid w:val="008033C4"/>
    <w:rsid w:val="00806C88"/>
    <w:rsid w:val="0081034E"/>
    <w:rsid w:val="008344F6"/>
    <w:rsid w:val="0083510F"/>
    <w:rsid w:val="00840092"/>
    <w:rsid w:val="00842AFA"/>
    <w:rsid w:val="00851209"/>
    <w:rsid w:val="008624D0"/>
    <w:rsid w:val="008837AC"/>
    <w:rsid w:val="008A19A3"/>
    <w:rsid w:val="008A587D"/>
    <w:rsid w:val="008A5B87"/>
    <w:rsid w:val="008B35CD"/>
    <w:rsid w:val="008B5FCC"/>
    <w:rsid w:val="008C0A39"/>
    <w:rsid w:val="008C5486"/>
    <w:rsid w:val="008D1661"/>
    <w:rsid w:val="008E7031"/>
    <w:rsid w:val="008E77DE"/>
    <w:rsid w:val="008F07A3"/>
    <w:rsid w:val="009000E6"/>
    <w:rsid w:val="009001B6"/>
    <w:rsid w:val="00900E1B"/>
    <w:rsid w:val="0090431C"/>
    <w:rsid w:val="00910FD1"/>
    <w:rsid w:val="009233EE"/>
    <w:rsid w:val="00927C6C"/>
    <w:rsid w:val="009460AA"/>
    <w:rsid w:val="00951978"/>
    <w:rsid w:val="00952A11"/>
    <w:rsid w:val="00961A4A"/>
    <w:rsid w:val="00964D55"/>
    <w:rsid w:val="009661DE"/>
    <w:rsid w:val="009674B2"/>
    <w:rsid w:val="00983C25"/>
    <w:rsid w:val="009856B7"/>
    <w:rsid w:val="00985C86"/>
    <w:rsid w:val="00996349"/>
    <w:rsid w:val="00996A8E"/>
    <w:rsid w:val="009A5FC3"/>
    <w:rsid w:val="009A7D9D"/>
    <w:rsid w:val="009B090B"/>
    <w:rsid w:val="009B74B0"/>
    <w:rsid w:val="009C0C9B"/>
    <w:rsid w:val="009C0D47"/>
    <w:rsid w:val="009D3906"/>
    <w:rsid w:val="009D6B46"/>
    <w:rsid w:val="009E5B91"/>
    <w:rsid w:val="009F4940"/>
    <w:rsid w:val="009F5BA1"/>
    <w:rsid w:val="00A02A88"/>
    <w:rsid w:val="00A0562E"/>
    <w:rsid w:val="00A0726D"/>
    <w:rsid w:val="00A32FBB"/>
    <w:rsid w:val="00A344D3"/>
    <w:rsid w:val="00A428EE"/>
    <w:rsid w:val="00A4478A"/>
    <w:rsid w:val="00A44852"/>
    <w:rsid w:val="00A57D04"/>
    <w:rsid w:val="00A60A26"/>
    <w:rsid w:val="00A61598"/>
    <w:rsid w:val="00A63EDD"/>
    <w:rsid w:val="00A704B2"/>
    <w:rsid w:val="00A84A99"/>
    <w:rsid w:val="00A84F46"/>
    <w:rsid w:val="00A871F4"/>
    <w:rsid w:val="00AA3B8E"/>
    <w:rsid w:val="00AB4D90"/>
    <w:rsid w:val="00AC0C43"/>
    <w:rsid w:val="00AC1B2C"/>
    <w:rsid w:val="00AC3264"/>
    <w:rsid w:val="00AC4546"/>
    <w:rsid w:val="00AE1BF1"/>
    <w:rsid w:val="00AE63A9"/>
    <w:rsid w:val="00AF0DD2"/>
    <w:rsid w:val="00B02157"/>
    <w:rsid w:val="00B06C2F"/>
    <w:rsid w:val="00B13048"/>
    <w:rsid w:val="00B1716D"/>
    <w:rsid w:val="00B17A1D"/>
    <w:rsid w:val="00B207A0"/>
    <w:rsid w:val="00B217BD"/>
    <w:rsid w:val="00B2303F"/>
    <w:rsid w:val="00B514DD"/>
    <w:rsid w:val="00B52AF0"/>
    <w:rsid w:val="00B561BD"/>
    <w:rsid w:val="00B56E03"/>
    <w:rsid w:val="00B60363"/>
    <w:rsid w:val="00B65EDA"/>
    <w:rsid w:val="00B75403"/>
    <w:rsid w:val="00B8080B"/>
    <w:rsid w:val="00B82223"/>
    <w:rsid w:val="00B87BA5"/>
    <w:rsid w:val="00B87C39"/>
    <w:rsid w:val="00B9562D"/>
    <w:rsid w:val="00B9733D"/>
    <w:rsid w:val="00BA4665"/>
    <w:rsid w:val="00BB2FB2"/>
    <w:rsid w:val="00BB3304"/>
    <w:rsid w:val="00BC5B41"/>
    <w:rsid w:val="00BD3446"/>
    <w:rsid w:val="00BD5D87"/>
    <w:rsid w:val="00BE1F1B"/>
    <w:rsid w:val="00BE47B5"/>
    <w:rsid w:val="00C0551A"/>
    <w:rsid w:val="00C163E2"/>
    <w:rsid w:val="00C25FA6"/>
    <w:rsid w:val="00C26737"/>
    <w:rsid w:val="00C420BC"/>
    <w:rsid w:val="00C538A9"/>
    <w:rsid w:val="00C53B5A"/>
    <w:rsid w:val="00C54F5A"/>
    <w:rsid w:val="00C569B4"/>
    <w:rsid w:val="00C67A92"/>
    <w:rsid w:val="00C81758"/>
    <w:rsid w:val="00C84560"/>
    <w:rsid w:val="00C86679"/>
    <w:rsid w:val="00C8739E"/>
    <w:rsid w:val="00CA489E"/>
    <w:rsid w:val="00CA67ED"/>
    <w:rsid w:val="00CB0279"/>
    <w:rsid w:val="00CB666B"/>
    <w:rsid w:val="00CC7F1D"/>
    <w:rsid w:val="00CE484B"/>
    <w:rsid w:val="00CF6177"/>
    <w:rsid w:val="00D006AE"/>
    <w:rsid w:val="00D01CF0"/>
    <w:rsid w:val="00D0442A"/>
    <w:rsid w:val="00D1563D"/>
    <w:rsid w:val="00D17061"/>
    <w:rsid w:val="00D21F4A"/>
    <w:rsid w:val="00D27530"/>
    <w:rsid w:val="00D325B8"/>
    <w:rsid w:val="00D55F9C"/>
    <w:rsid w:val="00D61388"/>
    <w:rsid w:val="00D61A54"/>
    <w:rsid w:val="00D64DEA"/>
    <w:rsid w:val="00D7168E"/>
    <w:rsid w:val="00D71E57"/>
    <w:rsid w:val="00D77D4F"/>
    <w:rsid w:val="00D80893"/>
    <w:rsid w:val="00D84854"/>
    <w:rsid w:val="00D92CF1"/>
    <w:rsid w:val="00D92D38"/>
    <w:rsid w:val="00D950F5"/>
    <w:rsid w:val="00DA051A"/>
    <w:rsid w:val="00DA4752"/>
    <w:rsid w:val="00DA61F3"/>
    <w:rsid w:val="00DA6A65"/>
    <w:rsid w:val="00DB0F93"/>
    <w:rsid w:val="00DB1A67"/>
    <w:rsid w:val="00DB48C6"/>
    <w:rsid w:val="00DB5074"/>
    <w:rsid w:val="00DC5D3C"/>
    <w:rsid w:val="00DC7981"/>
    <w:rsid w:val="00DD0470"/>
    <w:rsid w:val="00DE1093"/>
    <w:rsid w:val="00DE149F"/>
    <w:rsid w:val="00DE3695"/>
    <w:rsid w:val="00DE4EFA"/>
    <w:rsid w:val="00DE5520"/>
    <w:rsid w:val="00DE563D"/>
    <w:rsid w:val="00E04818"/>
    <w:rsid w:val="00E05014"/>
    <w:rsid w:val="00E06442"/>
    <w:rsid w:val="00E23208"/>
    <w:rsid w:val="00E23993"/>
    <w:rsid w:val="00E25B8C"/>
    <w:rsid w:val="00E43C30"/>
    <w:rsid w:val="00E65C85"/>
    <w:rsid w:val="00E66199"/>
    <w:rsid w:val="00E7429F"/>
    <w:rsid w:val="00E755EC"/>
    <w:rsid w:val="00E7624D"/>
    <w:rsid w:val="00E97452"/>
    <w:rsid w:val="00EA0544"/>
    <w:rsid w:val="00EA3D42"/>
    <w:rsid w:val="00EA6B1B"/>
    <w:rsid w:val="00EC04F1"/>
    <w:rsid w:val="00ED0CDD"/>
    <w:rsid w:val="00ED2A57"/>
    <w:rsid w:val="00ED7323"/>
    <w:rsid w:val="00EE28F3"/>
    <w:rsid w:val="00EE50D1"/>
    <w:rsid w:val="00EF5110"/>
    <w:rsid w:val="00EF6D51"/>
    <w:rsid w:val="00F03CF4"/>
    <w:rsid w:val="00F0689C"/>
    <w:rsid w:val="00F10411"/>
    <w:rsid w:val="00F1358C"/>
    <w:rsid w:val="00F15882"/>
    <w:rsid w:val="00F171E0"/>
    <w:rsid w:val="00F20BD3"/>
    <w:rsid w:val="00F33D1C"/>
    <w:rsid w:val="00F373A5"/>
    <w:rsid w:val="00F47559"/>
    <w:rsid w:val="00F64C7B"/>
    <w:rsid w:val="00F676DD"/>
    <w:rsid w:val="00F73143"/>
    <w:rsid w:val="00F75A26"/>
    <w:rsid w:val="00F76706"/>
    <w:rsid w:val="00F83FAD"/>
    <w:rsid w:val="00F86C89"/>
    <w:rsid w:val="00F952A0"/>
    <w:rsid w:val="00FA3C7F"/>
    <w:rsid w:val="00FB60FE"/>
    <w:rsid w:val="00FB74E2"/>
    <w:rsid w:val="00FC15DE"/>
    <w:rsid w:val="00FD5614"/>
    <w:rsid w:val="00FD5E78"/>
    <w:rsid w:val="00FE0BE1"/>
    <w:rsid w:val="00FE1DE9"/>
    <w:rsid w:val="00FE36AF"/>
    <w:rsid w:val="00FE39C2"/>
    <w:rsid w:val="00FE3C16"/>
    <w:rsid w:val="00FE3C32"/>
    <w:rsid w:val="00FE55BF"/>
    <w:rsid w:val="00FE64AE"/>
    <w:rsid w:val="00FF7CE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72075">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20CC716-B38A-4FAD-A910-C622458AFE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280199E4</Template>
  <TotalTime>0</TotalTime>
  <Pages>16</Pages>
  <Words>3617</Words>
  <Characters>20622</Characters>
  <Application>Microsoft Office Word</Application>
  <DocSecurity>4</DocSecurity>
  <Lines>171</Lines>
  <Paragraphs>48</Paragraphs>
  <ScaleCrop>false</ScaleCrop>
  <HeadingPairs>
    <vt:vector size="2" baseType="variant">
      <vt:variant>
        <vt:lpstr>Title</vt:lpstr>
      </vt:variant>
      <vt:variant>
        <vt:i4>1</vt:i4>
      </vt:variant>
    </vt:vector>
  </HeadingPairs>
  <TitlesOfParts>
    <vt:vector size="1" baseType="lpstr">
      <vt:lpstr>AusNet Services 2017-22 - Draft decision - Attachment 9 - Efficiency benefit sharing scheme</vt:lpstr>
    </vt:vector>
  </TitlesOfParts>
  <LinksUpToDate>false</LinksUpToDate>
  <CharactersWithSpaces>24191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AusNet Services 2017-22 - Draft decision - Attachment 9 - Efficiency benefit sharing scheme</dc:title>
  <dc:creator/>
  <cp:lastModifiedBy/>
  <cp:revision>1</cp:revision>
  <dcterms:created xsi:type="dcterms:W3CDTF">2016-07-18T00:53:00Z</dcterms:created>
  <dcterms:modified xsi:type="dcterms:W3CDTF">2016-07-18T00:53:00Z</dcterms:modified>
</cp:coreProperties>
</file>