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3F397B4" wp14:editId="330F753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CF2C05">
            <w:t>DRAFT</w:t>
          </w:r>
          <w:r w:rsidR="00DA4752">
            <w:t xml:space="preserve"> DECISION</w:t>
          </w:r>
        </w:p>
        <w:p w:rsidR="00415F31" w:rsidRDefault="00B40CAA" w:rsidP="008F07A3">
          <w:pPr>
            <w:pStyle w:val="ReportSubtitle"/>
          </w:pPr>
          <w:r>
            <w:t>A</w:t>
          </w:r>
          <w:r w:rsidR="00C275C4">
            <w:t>us</w:t>
          </w:r>
          <w:r w:rsidR="00864907">
            <w:t>tralian</w:t>
          </w:r>
          <w:r>
            <w:t xml:space="preserve"> </w:t>
          </w:r>
          <w:r w:rsidR="00C275C4">
            <w:t>G</w:t>
          </w:r>
          <w:r>
            <w:t>as</w:t>
          </w:r>
          <w:r w:rsidR="00C275C4">
            <w:t xml:space="preserve"> Networks</w:t>
          </w:r>
          <w:r w:rsidR="00A06085">
            <w:t xml:space="preserve"> </w:t>
          </w:r>
          <w:r w:rsidR="00CF2C05">
            <w:br/>
            <w:t>Access Arrangement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06085">
            <w:t>1</w:t>
          </w:r>
          <w:r w:rsidR="00F9004E">
            <w:t>0</w:t>
          </w:r>
          <w:r w:rsidR="00DA4752">
            <w:t xml:space="preserve"> </w:t>
          </w:r>
          <w:r w:rsidR="00415F31">
            <w:rPr>
              <w:rFonts w:cs="Arial"/>
            </w:rPr>
            <w:t>–</w:t>
          </w:r>
          <w:r w:rsidR="00DA4752">
            <w:t xml:space="preserve"> </w:t>
          </w:r>
          <w:r w:rsidR="00303908">
            <w:t xml:space="preserve">Reference tariff </w:t>
          </w:r>
          <w:r w:rsidR="00F9004E">
            <w:t>setting</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6054858"/>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CF2C05">
        <w:t>draft</w:t>
      </w:r>
      <w:r w:rsidR="00415F31">
        <w:t xml:space="preserve"> decision on </w:t>
      </w:r>
      <w:r w:rsidR="00C275C4">
        <w:t>Aus</w:t>
      </w:r>
      <w:r w:rsidR="00864907">
        <w:t>tralian</w:t>
      </w:r>
      <w:r w:rsidR="00C275C4">
        <w:t xml:space="preserve"> Gas Networks’</w:t>
      </w:r>
      <w:r w:rsidR="00415F31">
        <w:t xml:space="preserve"> </w:t>
      </w:r>
      <w:r w:rsidR="00CF2C05">
        <w:t>access</w:t>
      </w:r>
      <w:r w:rsidR="00415F31">
        <w:t xml:space="preserve"> </w:t>
      </w:r>
      <w:r w:rsidR="00CF2C05">
        <w:t>arrangement for</w:t>
      </w:r>
      <w:r w:rsidR="00415F31">
        <w:t xml:space="preserve"> 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CF2C05">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CF2C05">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w:t>
      </w:r>
      <w:r w:rsidR="00DA366C">
        <w:t>-</w:t>
      </w:r>
      <w:r>
        <w:t xml:space="preserve"> </w:t>
      </w:r>
      <w:r w:rsidR="00EE77FA">
        <w:t>Demand</w:t>
      </w:r>
    </w:p>
    <w:p w:rsidR="00864907" w:rsidRDefault="00864907" w:rsidP="0070011E">
      <w:r>
        <w:t xml:space="preserve">Attachment 14 </w:t>
      </w:r>
      <w:r w:rsidR="00DA366C">
        <w:t>-</w:t>
      </w:r>
      <w:r>
        <w:t xml:space="preserve"> Other incentive schemes</w:t>
      </w:r>
    </w:p>
    <w:p w:rsidR="00DE563D" w:rsidRPr="00A72B34" w:rsidRDefault="00DE563D" w:rsidP="00DE772C">
      <w:pPr>
        <w:pStyle w:val="UnnumberedHeading"/>
        <w:numPr>
          <w:ilvl w:val="0"/>
          <w:numId w:val="23"/>
        </w:numPr>
      </w:pPr>
      <w:bookmarkStart w:id="5" w:name="_Toc403144133"/>
      <w:bookmarkStart w:id="6" w:name="_Toc436054859"/>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E214DF" w:rsidRDefault="00E214DF">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36054858" w:history="1">
            <w:r w:rsidRPr="00C020EB">
              <w:rPr>
                <w:rStyle w:val="Hyperlink"/>
              </w:rPr>
              <w:t>Note</w:t>
            </w:r>
            <w:r>
              <w:rPr>
                <w:webHidden/>
              </w:rPr>
              <w:tab/>
            </w:r>
            <w:r>
              <w:rPr>
                <w:webHidden/>
              </w:rPr>
              <w:fldChar w:fldCharType="begin"/>
            </w:r>
            <w:r>
              <w:rPr>
                <w:webHidden/>
              </w:rPr>
              <w:instrText xml:space="preserve"> PAGEREF _Toc436054858 \h </w:instrText>
            </w:r>
            <w:r>
              <w:rPr>
                <w:webHidden/>
              </w:rPr>
            </w:r>
            <w:r>
              <w:rPr>
                <w:webHidden/>
              </w:rPr>
              <w:fldChar w:fldCharType="separate"/>
            </w:r>
            <w:r>
              <w:rPr>
                <w:webHidden/>
              </w:rPr>
              <w:t>10-2</w:t>
            </w:r>
            <w:r>
              <w:rPr>
                <w:webHidden/>
              </w:rPr>
              <w:fldChar w:fldCharType="end"/>
            </w:r>
          </w:hyperlink>
        </w:p>
        <w:p w:rsidR="00E214DF" w:rsidRDefault="00E214DF">
          <w:pPr>
            <w:pStyle w:val="TOC1"/>
            <w:rPr>
              <w:rFonts w:asciiTheme="minorHAnsi" w:eastAsiaTheme="minorEastAsia" w:hAnsiTheme="minorHAnsi"/>
              <w:b w:val="0"/>
              <w:color w:val="auto"/>
              <w:sz w:val="22"/>
              <w:lang w:val="en-AU" w:eastAsia="en-AU"/>
            </w:rPr>
          </w:pPr>
          <w:hyperlink w:anchor="_Toc436054859" w:history="1">
            <w:r w:rsidRPr="00C020EB">
              <w:rPr>
                <w:rStyle w:val="Hyperlink"/>
              </w:rPr>
              <w:t>Contents</w:t>
            </w:r>
            <w:r>
              <w:rPr>
                <w:webHidden/>
              </w:rPr>
              <w:tab/>
            </w:r>
            <w:r>
              <w:rPr>
                <w:webHidden/>
              </w:rPr>
              <w:fldChar w:fldCharType="begin"/>
            </w:r>
            <w:r>
              <w:rPr>
                <w:webHidden/>
              </w:rPr>
              <w:instrText xml:space="preserve"> PAGEREF _Toc436054859 \h </w:instrText>
            </w:r>
            <w:r>
              <w:rPr>
                <w:webHidden/>
              </w:rPr>
            </w:r>
            <w:r>
              <w:rPr>
                <w:webHidden/>
              </w:rPr>
              <w:fldChar w:fldCharType="separate"/>
            </w:r>
            <w:r>
              <w:rPr>
                <w:webHidden/>
              </w:rPr>
              <w:t>10-3</w:t>
            </w:r>
            <w:r>
              <w:rPr>
                <w:webHidden/>
              </w:rPr>
              <w:fldChar w:fldCharType="end"/>
            </w:r>
          </w:hyperlink>
        </w:p>
        <w:p w:rsidR="00E214DF" w:rsidRDefault="00E214DF">
          <w:pPr>
            <w:pStyle w:val="TOC1"/>
            <w:rPr>
              <w:rFonts w:asciiTheme="minorHAnsi" w:eastAsiaTheme="minorEastAsia" w:hAnsiTheme="minorHAnsi"/>
              <w:b w:val="0"/>
              <w:color w:val="auto"/>
              <w:sz w:val="22"/>
              <w:lang w:val="en-AU" w:eastAsia="en-AU"/>
            </w:rPr>
          </w:pPr>
          <w:hyperlink w:anchor="_Toc436054860" w:history="1">
            <w:r w:rsidRPr="00C020EB">
              <w:rPr>
                <w:rStyle w:val="Hyperlink"/>
              </w:rPr>
              <w:t>Shortened forms</w:t>
            </w:r>
            <w:r>
              <w:rPr>
                <w:webHidden/>
              </w:rPr>
              <w:tab/>
            </w:r>
            <w:r>
              <w:rPr>
                <w:webHidden/>
              </w:rPr>
              <w:fldChar w:fldCharType="begin"/>
            </w:r>
            <w:r>
              <w:rPr>
                <w:webHidden/>
              </w:rPr>
              <w:instrText xml:space="preserve"> PAGEREF _Toc436054860 \h </w:instrText>
            </w:r>
            <w:r>
              <w:rPr>
                <w:webHidden/>
              </w:rPr>
            </w:r>
            <w:r>
              <w:rPr>
                <w:webHidden/>
              </w:rPr>
              <w:fldChar w:fldCharType="separate"/>
            </w:r>
            <w:r>
              <w:rPr>
                <w:webHidden/>
              </w:rPr>
              <w:t>10-4</w:t>
            </w:r>
            <w:r>
              <w:rPr>
                <w:webHidden/>
              </w:rPr>
              <w:fldChar w:fldCharType="end"/>
            </w:r>
          </w:hyperlink>
        </w:p>
        <w:p w:rsidR="00E214DF" w:rsidRDefault="00E214DF">
          <w:pPr>
            <w:pStyle w:val="TOC1"/>
            <w:rPr>
              <w:rFonts w:asciiTheme="minorHAnsi" w:eastAsiaTheme="minorEastAsia" w:hAnsiTheme="minorHAnsi"/>
              <w:b w:val="0"/>
              <w:color w:val="auto"/>
              <w:sz w:val="22"/>
              <w:lang w:val="en-AU" w:eastAsia="en-AU"/>
            </w:rPr>
          </w:pPr>
          <w:hyperlink w:anchor="_Toc436054861" w:history="1">
            <w:r w:rsidRPr="00C020EB">
              <w:rPr>
                <w:rStyle w:val="Hyperlink"/>
              </w:rPr>
              <w:t>10</w:t>
            </w:r>
            <w:r>
              <w:rPr>
                <w:rFonts w:asciiTheme="minorHAnsi" w:eastAsiaTheme="minorEastAsia" w:hAnsiTheme="minorHAnsi"/>
                <w:b w:val="0"/>
                <w:color w:val="auto"/>
                <w:sz w:val="22"/>
                <w:lang w:val="en-AU" w:eastAsia="en-AU"/>
              </w:rPr>
              <w:tab/>
            </w:r>
            <w:r w:rsidRPr="00C020EB">
              <w:rPr>
                <w:rStyle w:val="Hyperlink"/>
              </w:rPr>
              <w:t>Reference tariff setting</w:t>
            </w:r>
            <w:r>
              <w:rPr>
                <w:webHidden/>
              </w:rPr>
              <w:tab/>
            </w:r>
            <w:r>
              <w:rPr>
                <w:webHidden/>
              </w:rPr>
              <w:fldChar w:fldCharType="begin"/>
            </w:r>
            <w:r>
              <w:rPr>
                <w:webHidden/>
              </w:rPr>
              <w:instrText xml:space="preserve"> PAGEREF _Toc436054861 \h </w:instrText>
            </w:r>
            <w:r>
              <w:rPr>
                <w:webHidden/>
              </w:rPr>
            </w:r>
            <w:r>
              <w:rPr>
                <w:webHidden/>
              </w:rPr>
              <w:fldChar w:fldCharType="separate"/>
            </w:r>
            <w:r>
              <w:rPr>
                <w:webHidden/>
              </w:rPr>
              <w:t>10-6</w:t>
            </w:r>
            <w:r>
              <w:rPr>
                <w:webHidden/>
              </w:rPr>
              <w:fldChar w:fldCharType="end"/>
            </w:r>
          </w:hyperlink>
        </w:p>
        <w:p w:rsidR="00E214DF" w:rsidRDefault="00E214DF">
          <w:pPr>
            <w:pStyle w:val="TOC2"/>
            <w:tabs>
              <w:tab w:val="left" w:pos="1276"/>
            </w:tabs>
            <w:rPr>
              <w:rFonts w:asciiTheme="minorHAnsi" w:eastAsiaTheme="minorEastAsia" w:hAnsiTheme="minorHAnsi"/>
              <w:b w:val="0"/>
              <w:color w:val="auto"/>
              <w:sz w:val="22"/>
              <w:lang w:eastAsia="en-AU"/>
            </w:rPr>
          </w:pPr>
          <w:hyperlink w:anchor="_Toc436054862" w:history="1">
            <w:r w:rsidRPr="00C020EB">
              <w:rPr>
                <w:rStyle w:val="Hyperlink"/>
              </w:rPr>
              <w:t>10.1</w:t>
            </w:r>
            <w:r>
              <w:rPr>
                <w:rFonts w:asciiTheme="minorHAnsi" w:eastAsiaTheme="minorEastAsia" w:hAnsiTheme="minorHAnsi"/>
                <w:b w:val="0"/>
                <w:color w:val="auto"/>
                <w:sz w:val="22"/>
                <w:lang w:eastAsia="en-AU"/>
              </w:rPr>
              <w:tab/>
            </w:r>
            <w:r w:rsidRPr="00C020EB">
              <w:rPr>
                <w:rStyle w:val="Hyperlink"/>
              </w:rPr>
              <w:t>Draft decision</w:t>
            </w:r>
            <w:r>
              <w:rPr>
                <w:webHidden/>
              </w:rPr>
              <w:tab/>
            </w:r>
            <w:r>
              <w:rPr>
                <w:webHidden/>
              </w:rPr>
              <w:fldChar w:fldCharType="begin"/>
            </w:r>
            <w:r>
              <w:rPr>
                <w:webHidden/>
              </w:rPr>
              <w:instrText xml:space="preserve"> PAGEREF _Toc436054862 \h </w:instrText>
            </w:r>
            <w:r>
              <w:rPr>
                <w:webHidden/>
              </w:rPr>
            </w:r>
            <w:r>
              <w:rPr>
                <w:webHidden/>
              </w:rPr>
              <w:fldChar w:fldCharType="separate"/>
            </w:r>
            <w:r>
              <w:rPr>
                <w:webHidden/>
              </w:rPr>
              <w:t>10-6</w:t>
            </w:r>
            <w:r>
              <w:rPr>
                <w:webHidden/>
              </w:rPr>
              <w:fldChar w:fldCharType="end"/>
            </w:r>
          </w:hyperlink>
        </w:p>
        <w:p w:rsidR="00E214DF" w:rsidRDefault="00E214DF">
          <w:pPr>
            <w:pStyle w:val="TOC2"/>
            <w:tabs>
              <w:tab w:val="left" w:pos="1276"/>
            </w:tabs>
            <w:rPr>
              <w:rFonts w:asciiTheme="minorHAnsi" w:eastAsiaTheme="minorEastAsia" w:hAnsiTheme="minorHAnsi"/>
              <w:b w:val="0"/>
              <w:color w:val="auto"/>
              <w:sz w:val="22"/>
              <w:lang w:eastAsia="en-AU"/>
            </w:rPr>
          </w:pPr>
          <w:hyperlink w:anchor="_Toc436054863" w:history="1">
            <w:r w:rsidRPr="00C020EB">
              <w:rPr>
                <w:rStyle w:val="Hyperlink"/>
              </w:rPr>
              <w:t>10.2</w:t>
            </w:r>
            <w:r>
              <w:rPr>
                <w:rFonts w:asciiTheme="minorHAnsi" w:eastAsiaTheme="minorEastAsia" w:hAnsiTheme="minorHAnsi"/>
                <w:b w:val="0"/>
                <w:color w:val="auto"/>
                <w:sz w:val="22"/>
                <w:lang w:eastAsia="en-AU"/>
              </w:rPr>
              <w:tab/>
            </w:r>
            <w:r w:rsidRPr="00C020EB">
              <w:rPr>
                <w:rStyle w:val="Hyperlink"/>
              </w:rPr>
              <w:t>AGN’s proposal</w:t>
            </w:r>
            <w:r>
              <w:rPr>
                <w:webHidden/>
              </w:rPr>
              <w:tab/>
            </w:r>
            <w:r>
              <w:rPr>
                <w:webHidden/>
              </w:rPr>
              <w:fldChar w:fldCharType="begin"/>
            </w:r>
            <w:r>
              <w:rPr>
                <w:webHidden/>
              </w:rPr>
              <w:instrText xml:space="preserve"> PAGEREF _Toc436054863 \h </w:instrText>
            </w:r>
            <w:r>
              <w:rPr>
                <w:webHidden/>
              </w:rPr>
            </w:r>
            <w:r>
              <w:rPr>
                <w:webHidden/>
              </w:rPr>
              <w:fldChar w:fldCharType="separate"/>
            </w:r>
            <w:r>
              <w:rPr>
                <w:webHidden/>
              </w:rPr>
              <w:t>10-6</w:t>
            </w:r>
            <w:r>
              <w:rPr>
                <w:webHidden/>
              </w:rPr>
              <w:fldChar w:fldCharType="end"/>
            </w:r>
          </w:hyperlink>
        </w:p>
        <w:p w:rsidR="00E214DF" w:rsidRDefault="00E214DF">
          <w:pPr>
            <w:pStyle w:val="TOC2"/>
            <w:tabs>
              <w:tab w:val="left" w:pos="1276"/>
            </w:tabs>
            <w:rPr>
              <w:rFonts w:asciiTheme="minorHAnsi" w:eastAsiaTheme="minorEastAsia" w:hAnsiTheme="minorHAnsi"/>
              <w:b w:val="0"/>
              <w:color w:val="auto"/>
              <w:sz w:val="22"/>
              <w:lang w:eastAsia="en-AU"/>
            </w:rPr>
          </w:pPr>
          <w:hyperlink w:anchor="_Toc436054864" w:history="1">
            <w:r w:rsidRPr="00C020EB">
              <w:rPr>
                <w:rStyle w:val="Hyperlink"/>
              </w:rPr>
              <w:t>10.3</w:t>
            </w:r>
            <w:r>
              <w:rPr>
                <w:rFonts w:asciiTheme="minorHAnsi" w:eastAsiaTheme="minorEastAsia" w:hAnsiTheme="minorHAnsi"/>
                <w:b w:val="0"/>
                <w:color w:val="auto"/>
                <w:sz w:val="22"/>
                <w:lang w:eastAsia="en-AU"/>
              </w:rPr>
              <w:tab/>
            </w:r>
            <w:r w:rsidRPr="00C020EB">
              <w:rPr>
                <w:rStyle w:val="Hyperlink"/>
              </w:rPr>
              <w:t>AER’s assessment approach</w:t>
            </w:r>
            <w:r>
              <w:rPr>
                <w:webHidden/>
              </w:rPr>
              <w:tab/>
            </w:r>
            <w:r>
              <w:rPr>
                <w:webHidden/>
              </w:rPr>
              <w:fldChar w:fldCharType="begin"/>
            </w:r>
            <w:r>
              <w:rPr>
                <w:webHidden/>
              </w:rPr>
              <w:instrText xml:space="preserve"> PAGEREF _Toc436054864 \h </w:instrText>
            </w:r>
            <w:r>
              <w:rPr>
                <w:webHidden/>
              </w:rPr>
            </w:r>
            <w:r>
              <w:rPr>
                <w:webHidden/>
              </w:rPr>
              <w:fldChar w:fldCharType="separate"/>
            </w:r>
            <w:r>
              <w:rPr>
                <w:webHidden/>
              </w:rPr>
              <w:t>10-8</w:t>
            </w:r>
            <w:r>
              <w:rPr>
                <w:webHidden/>
              </w:rPr>
              <w:fldChar w:fldCharType="end"/>
            </w:r>
          </w:hyperlink>
        </w:p>
        <w:p w:rsidR="00E214DF" w:rsidRDefault="00E214DF">
          <w:pPr>
            <w:pStyle w:val="TOC2"/>
            <w:tabs>
              <w:tab w:val="left" w:pos="1276"/>
            </w:tabs>
            <w:rPr>
              <w:rFonts w:asciiTheme="minorHAnsi" w:eastAsiaTheme="minorEastAsia" w:hAnsiTheme="minorHAnsi"/>
              <w:b w:val="0"/>
              <w:color w:val="auto"/>
              <w:sz w:val="22"/>
              <w:lang w:eastAsia="en-AU"/>
            </w:rPr>
          </w:pPr>
          <w:hyperlink w:anchor="_Toc436054865" w:history="1">
            <w:r w:rsidRPr="00C020EB">
              <w:rPr>
                <w:rStyle w:val="Hyperlink"/>
              </w:rPr>
              <w:t>10.4</w:t>
            </w:r>
            <w:r>
              <w:rPr>
                <w:rFonts w:asciiTheme="minorHAnsi" w:eastAsiaTheme="minorEastAsia" w:hAnsiTheme="minorHAnsi"/>
                <w:b w:val="0"/>
                <w:color w:val="auto"/>
                <w:sz w:val="22"/>
                <w:lang w:eastAsia="en-AU"/>
              </w:rPr>
              <w:tab/>
            </w:r>
            <w:r w:rsidRPr="00C020EB">
              <w:rPr>
                <w:rStyle w:val="Hyperlink"/>
              </w:rPr>
              <w:t>Reasons for draft decision</w:t>
            </w:r>
            <w:r>
              <w:rPr>
                <w:webHidden/>
              </w:rPr>
              <w:tab/>
            </w:r>
            <w:r>
              <w:rPr>
                <w:webHidden/>
              </w:rPr>
              <w:fldChar w:fldCharType="begin"/>
            </w:r>
            <w:r>
              <w:rPr>
                <w:webHidden/>
              </w:rPr>
              <w:instrText xml:space="preserve"> PAGEREF _Toc436054865 \h </w:instrText>
            </w:r>
            <w:r>
              <w:rPr>
                <w:webHidden/>
              </w:rPr>
            </w:r>
            <w:r>
              <w:rPr>
                <w:webHidden/>
              </w:rPr>
              <w:fldChar w:fldCharType="separate"/>
            </w:r>
            <w:r>
              <w:rPr>
                <w:webHidden/>
              </w:rPr>
              <w:t>10-10</w:t>
            </w:r>
            <w:r>
              <w:rPr>
                <w:webHidden/>
              </w:rPr>
              <w:fldChar w:fldCharType="end"/>
            </w:r>
          </w:hyperlink>
        </w:p>
        <w:p w:rsidR="00E214DF" w:rsidRDefault="00E214DF">
          <w:pPr>
            <w:pStyle w:val="TOC3"/>
            <w:rPr>
              <w:rFonts w:asciiTheme="minorHAnsi" w:eastAsiaTheme="minorEastAsia" w:hAnsiTheme="minorHAnsi"/>
              <w:lang w:eastAsia="en-AU"/>
            </w:rPr>
          </w:pPr>
          <w:hyperlink w:anchor="_Toc436054866" w:history="1">
            <w:r w:rsidRPr="00C020EB">
              <w:rPr>
                <w:rStyle w:val="Hyperlink"/>
              </w:rPr>
              <w:t>10.4.1</w:t>
            </w:r>
            <w:r>
              <w:rPr>
                <w:rFonts w:asciiTheme="minorHAnsi" w:eastAsiaTheme="minorEastAsia" w:hAnsiTheme="minorHAnsi"/>
                <w:lang w:eastAsia="en-AU"/>
              </w:rPr>
              <w:tab/>
            </w:r>
            <w:r w:rsidRPr="00C020EB">
              <w:rPr>
                <w:rStyle w:val="Hyperlink"/>
              </w:rPr>
              <w:t>Allocation of revenues and costs to reference tariffs</w:t>
            </w:r>
            <w:r>
              <w:rPr>
                <w:webHidden/>
              </w:rPr>
              <w:tab/>
            </w:r>
            <w:r>
              <w:rPr>
                <w:webHidden/>
              </w:rPr>
              <w:fldChar w:fldCharType="begin"/>
            </w:r>
            <w:r>
              <w:rPr>
                <w:webHidden/>
              </w:rPr>
              <w:instrText xml:space="preserve"> PAGEREF _Toc436054866 \h </w:instrText>
            </w:r>
            <w:r>
              <w:rPr>
                <w:webHidden/>
              </w:rPr>
            </w:r>
            <w:r>
              <w:rPr>
                <w:webHidden/>
              </w:rPr>
              <w:fldChar w:fldCharType="separate"/>
            </w:r>
            <w:r>
              <w:rPr>
                <w:webHidden/>
              </w:rPr>
              <w:t>10-11</w:t>
            </w:r>
            <w:r>
              <w:rPr>
                <w:webHidden/>
              </w:rPr>
              <w:fldChar w:fldCharType="end"/>
            </w:r>
          </w:hyperlink>
        </w:p>
        <w:p w:rsidR="00E214DF" w:rsidRDefault="00E214DF">
          <w:pPr>
            <w:pStyle w:val="TOC3"/>
            <w:rPr>
              <w:rFonts w:asciiTheme="minorHAnsi" w:eastAsiaTheme="minorEastAsia" w:hAnsiTheme="minorHAnsi"/>
              <w:lang w:eastAsia="en-AU"/>
            </w:rPr>
          </w:pPr>
          <w:hyperlink w:anchor="_Toc436054867" w:history="1">
            <w:r w:rsidRPr="00C020EB">
              <w:rPr>
                <w:rStyle w:val="Hyperlink"/>
              </w:rPr>
              <w:t>10.4.2</w:t>
            </w:r>
            <w:r>
              <w:rPr>
                <w:rFonts w:asciiTheme="minorHAnsi" w:eastAsiaTheme="minorEastAsia" w:hAnsiTheme="minorHAnsi"/>
                <w:lang w:eastAsia="en-AU"/>
              </w:rPr>
              <w:tab/>
            </w:r>
            <w:r w:rsidRPr="00C020EB">
              <w:rPr>
                <w:rStyle w:val="Hyperlink"/>
              </w:rPr>
              <w:t>Establishment of tariff classes</w:t>
            </w:r>
            <w:r>
              <w:rPr>
                <w:webHidden/>
              </w:rPr>
              <w:tab/>
            </w:r>
            <w:r>
              <w:rPr>
                <w:webHidden/>
              </w:rPr>
              <w:fldChar w:fldCharType="begin"/>
            </w:r>
            <w:r>
              <w:rPr>
                <w:webHidden/>
              </w:rPr>
              <w:instrText xml:space="preserve"> PAGEREF _Toc436054867 \h </w:instrText>
            </w:r>
            <w:r>
              <w:rPr>
                <w:webHidden/>
              </w:rPr>
            </w:r>
            <w:r>
              <w:rPr>
                <w:webHidden/>
              </w:rPr>
              <w:fldChar w:fldCharType="separate"/>
            </w:r>
            <w:r>
              <w:rPr>
                <w:webHidden/>
              </w:rPr>
              <w:t>10-11</w:t>
            </w:r>
            <w:r>
              <w:rPr>
                <w:webHidden/>
              </w:rPr>
              <w:fldChar w:fldCharType="end"/>
            </w:r>
          </w:hyperlink>
        </w:p>
        <w:p w:rsidR="00E214DF" w:rsidRDefault="00E214DF">
          <w:pPr>
            <w:pStyle w:val="TOC3"/>
            <w:rPr>
              <w:rFonts w:asciiTheme="minorHAnsi" w:eastAsiaTheme="minorEastAsia" w:hAnsiTheme="minorHAnsi"/>
              <w:lang w:eastAsia="en-AU"/>
            </w:rPr>
          </w:pPr>
          <w:hyperlink w:anchor="_Toc436054868" w:history="1">
            <w:r w:rsidRPr="00C020EB">
              <w:rPr>
                <w:rStyle w:val="Hyperlink"/>
              </w:rPr>
              <w:t>10.4.3</w:t>
            </w:r>
            <w:r>
              <w:rPr>
                <w:rFonts w:asciiTheme="minorHAnsi" w:eastAsiaTheme="minorEastAsia" w:hAnsiTheme="minorHAnsi"/>
                <w:lang w:eastAsia="en-AU"/>
              </w:rPr>
              <w:tab/>
            </w:r>
            <w:r w:rsidRPr="00C020EB">
              <w:rPr>
                <w:rStyle w:val="Hyperlink"/>
              </w:rPr>
              <w:t>Tariff classes and revenue limits</w:t>
            </w:r>
            <w:r>
              <w:rPr>
                <w:webHidden/>
              </w:rPr>
              <w:tab/>
            </w:r>
            <w:r>
              <w:rPr>
                <w:webHidden/>
              </w:rPr>
              <w:fldChar w:fldCharType="begin"/>
            </w:r>
            <w:r>
              <w:rPr>
                <w:webHidden/>
              </w:rPr>
              <w:instrText xml:space="preserve"> PAGEREF _Toc436054868 \h </w:instrText>
            </w:r>
            <w:r>
              <w:rPr>
                <w:webHidden/>
              </w:rPr>
            </w:r>
            <w:r>
              <w:rPr>
                <w:webHidden/>
              </w:rPr>
              <w:fldChar w:fldCharType="separate"/>
            </w:r>
            <w:r>
              <w:rPr>
                <w:webHidden/>
              </w:rPr>
              <w:t>10-11</w:t>
            </w:r>
            <w:r>
              <w:rPr>
                <w:webHidden/>
              </w:rPr>
              <w:fldChar w:fldCharType="end"/>
            </w:r>
          </w:hyperlink>
        </w:p>
        <w:p w:rsidR="00E214DF" w:rsidRDefault="00E214DF">
          <w:pPr>
            <w:pStyle w:val="TOC3"/>
            <w:rPr>
              <w:rFonts w:asciiTheme="minorHAnsi" w:eastAsiaTheme="minorEastAsia" w:hAnsiTheme="minorHAnsi"/>
              <w:lang w:eastAsia="en-AU"/>
            </w:rPr>
          </w:pPr>
          <w:hyperlink w:anchor="_Toc436054869" w:history="1">
            <w:r w:rsidRPr="00C020EB">
              <w:rPr>
                <w:rStyle w:val="Hyperlink"/>
              </w:rPr>
              <w:t>10.4.4</w:t>
            </w:r>
            <w:r>
              <w:rPr>
                <w:rFonts w:asciiTheme="minorHAnsi" w:eastAsiaTheme="minorEastAsia" w:hAnsiTheme="minorHAnsi"/>
                <w:lang w:eastAsia="en-AU"/>
              </w:rPr>
              <w:tab/>
            </w:r>
            <w:r w:rsidRPr="00C020EB">
              <w:rPr>
                <w:rStyle w:val="Hyperlink"/>
              </w:rPr>
              <w:t>Prudent discounts</w:t>
            </w:r>
            <w:r>
              <w:rPr>
                <w:webHidden/>
              </w:rPr>
              <w:tab/>
            </w:r>
            <w:r>
              <w:rPr>
                <w:webHidden/>
              </w:rPr>
              <w:fldChar w:fldCharType="begin"/>
            </w:r>
            <w:r>
              <w:rPr>
                <w:webHidden/>
              </w:rPr>
              <w:instrText xml:space="preserve"> PAGEREF _Toc436054869 \h </w:instrText>
            </w:r>
            <w:r>
              <w:rPr>
                <w:webHidden/>
              </w:rPr>
            </w:r>
            <w:r>
              <w:rPr>
                <w:webHidden/>
              </w:rPr>
              <w:fldChar w:fldCharType="separate"/>
            </w:r>
            <w:r>
              <w:rPr>
                <w:webHidden/>
              </w:rPr>
              <w:t>10-13</w:t>
            </w:r>
            <w:r>
              <w:rPr>
                <w:webHidden/>
              </w:rPr>
              <w:fldChar w:fldCharType="end"/>
            </w:r>
          </w:hyperlink>
        </w:p>
        <w:p w:rsidR="00DE563D" w:rsidRDefault="00E214DF" w:rsidP="00E214DF">
          <w:pPr>
            <w:pStyle w:val="TOC1"/>
          </w:pPr>
          <w:r>
            <w:rPr>
              <w:color w:val="auto"/>
              <w:sz w:val="22"/>
            </w:rPr>
            <w:fldChar w:fldCharType="end"/>
          </w:r>
        </w:p>
        <w:bookmarkStart w:id="7" w:name="_GoBack" w:displacedByCustomXml="next"/>
        <w:bookmarkEnd w:id="7" w:displacedByCustomXml="next"/>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54860"/>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623EC4" w:rsidTr="007649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Shortened form</w:t>
            </w:r>
          </w:p>
        </w:tc>
        <w:tc>
          <w:tcPr>
            <w:tcW w:w="5041" w:type="dxa"/>
          </w:tcPr>
          <w:p w:rsidR="00623EC4" w:rsidRPr="00623EC4" w:rsidRDefault="00623EC4" w:rsidP="00623EC4">
            <w:pPr>
              <w:numPr>
                <w:ilvl w:val="0"/>
                <w:numId w:val="24"/>
              </w:numPr>
              <w:cnfStyle w:val="100000000000" w:firstRow="1" w:lastRow="0" w:firstColumn="0" w:lastColumn="0" w:oddVBand="0" w:evenVBand="0" w:oddHBand="0" w:evenHBand="0" w:firstRowFirstColumn="0" w:firstRowLastColumn="0" w:lastRowFirstColumn="0" w:lastRowLastColumn="0"/>
            </w:pPr>
            <w:r w:rsidRPr="00623EC4">
              <w:t>Extended form</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AA</w:t>
            </w:r>
          </w:p>
        </w:tc>
        <w:tc>
          <w:tcPr>
            <w:tcW w:w="5041" w:type="dxa"/>
          </w:tcPr>
          <w:p w:rsidR="00623EC4" w:rsidRPr="00623EC4" w:rsidRDefault="00623EC4" w:rsidP="00623EC4">
            <w:pPr>
              <w:cnfStyle w:val="000000000000" w:firstRow="0" w:lastRow="0" w:firstColumn="0" w:lastColumn="0" w:oddVBand="0" w:evenVBand="0" w:oddHBand="0" w:evenHBand="0" w:firstRowFirstColumn="0" w:firstRowLastColumn="0" w:lastRowFirstColumn="0" w:lastRowLastColumn="0"/>
            </w:pPr>
            <w:r w:rsidRPr="00623EC4">
              <w:t>Access Arrangement</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AAI</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Access Arrangement Information</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AER</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Australian Energy Regulator</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ATO</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Australian Tax Office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capex</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capital expenditure</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CAPM</w:t>
            </w:r>
          </w:p>
        </w:tc>
        <w:tc>
          <w:tcPr>
            <w:tcW w:w="5041" w:type="dxa"/>
          </w:tcPr>
          <w:p w:rsidR="00623EC4" w:rsidRPr="00623EC4" w:rsidRDefault="00623EC4" w:rsidP="00623EC4">
            <w:pPr>
              <w:numPr>
                <w:ilvl w:val="0"/>
                <w:numId w:val="24"/>
              </w:numPr>
              <w:cnfStyle w:val="000000010000" w:firstRow="0" w:lastRow="0" w:firstColumn="0" w:lastColumn="0" w:oddVBand="0" w:evenVBand="0" w:oddHBand="0" w:evenHBand="1" w:firstRowFirstColumn="0" w:firstRowLastColumn="0" w:lastRowFirstColumn="0" w:lastRowLastColumn="0"/>
            </w:pPr>
            <w:r w:rsidRPr="00623EC4">
              <w:t>capital asset pricing model</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CCP</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Consumer Challenge Panel</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CESS</w:t>
            </w:r>
          </w:p>
        </w:tc>
        <w:tc>
          <w:tcPr>
            <w:tcW w:w="5041" w:type="dxa"/>
          </w:tcPr>
          <w:p w:rsidR="00623EC4" w:rsidRPr="00623EC4" w:rsidRDefault="00623EC4" w:rsidP="00623EC4">
            <w:pPr>
              <w:numPr>
                <w:ilvl w:val="0"/>
                <w:numId w:val="24"/>
              </w:numPr>
              <w:cnfStyle w:val="000000010000" w:firstRow="0" w:lastRow="0" w:firstColumn="0" w:lastColumn="0" w:oddVBand="0" w:evenVBand="0" w:oddHBand="0" w:evenHBand="1" w:firstRowFirstColumn="0" w:firstRowLastColumn="0" w:lastRowFirstColumn="0" w:lastRowLastColumn="0"/>
            </w:pPr>
            <w:r w:rsidRPr="00623EC4">
              <w:t>Capital Expenditure Sharing Scheme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CPI</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consumer price index</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CSIS</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Customer Service Incentive Scheme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DRP</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debt risk premium</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EBSS</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Efficiency Benefit Sharing Scheme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ERP</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equity risk premium</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Expenditure Guideline</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Expenditure Forecast Assessment Guideline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gamma</w:t>
            </w:r>
          </w:p>
        </w:tc>
        <w:tc>
          <w:tcPr>
            <w:tcW w:w="5041" w:type="dxa"/>
          </w:tcPr>
          <w:p w:rsidR="00623EC4" w:rsidRPr="00623EC4" w:rsidRDefault="00623EC4" w:rsidP="00623EC4">
            <w:pPr>
              <w:cnfStyle w:val="000000000000" w:firstRow="0" w:lastRow="0" w:firstColumn="0" w:lastColumn="0" w:oddVBand="0" w:evenVBand="0" w:oddHBand="0" w:evenHBand="0" w:firstRowFirstColumn="0" w:firstRowLastColumn="0" w:lastRowFirstColumn="0" w:lastRowLastColumn="0"/>
            </w:pPr>
            <w:r w:rsidRPr="00623EC4">
              <w:t>Value of Imputation Credits</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GSL</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Guaranteed Service Level</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MRP</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market risk premium</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NECF</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National Energy Customer Framework</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NERL</w:t>
            </w:r>
          </w:p>
        </w:tc>
        <w:tc>
          <w:tcPr>
            <w:tcW w:w="5041" w:type="dxa"/>
          </w:tcPr>
          <w:p w:rsidR="00623EC4" w:rsidRPr="00623EC4" w:rsidRDefault="00623EC4" w:rsidP="00623EC4">
            <w:pPr>
              <w:cnfStyle w:val="000000000000" w:firstRow="0" w:lastRow="0" w:firstColumn="0" w:lastColumn="0" w:oddVBand="0" w:evenVBand="0" w:oddHBand="0" w:evenHBand="0" w:firstRowFirstColumn="0" w:firstRowLastColumn="0" w:lastRowFirstColumn="0" w:lastRowLastColumn="0"/>
            </w:pPr>
            <w:r w:rsidRPr="00623EC4">
              <w:t>National Energy Retail Law</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NERR</w:t>
            </w:r>
          </w:p>
        </w:tc>
        <w:tc>
          <w:tcPr>
            <w:tcW w:w="5041" w:type="dxa"/>
          </w:tcPr>
          <w:p w:rsidR="00623EC4" w:rsidRPr="00623EC4" w:rsidRDefault="00623EC4" w:rsidP="00623EC4">
            <w:pPr>
              <w:numPr>
                <w:ilvl w:val="0"/>
                <w:numId w:val="24"/>
              </w:numPr>
              <w:cnfStyle w:val="000000010000" w:firstRow="0" w:lastRow="0" w:firstColumn="0" w:lastColumn="0" w:oddVBand="0" w:evenVBand="0" w:oddHBand="0" w:evenHBand="1" w:firstRowFirstColumn="0" w:firstRowLastColumn="0" w:lastRowFirstColumn="0" w:lastRowLastColumn="0"/>
            </w:pPr>
            <w:r w:rsidRPr="00623EC4">
              <w:t>National Energy Retail Rules</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NGL</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national gas law</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NGO</w:t>
            </w:r>
          </w:p>
        </w:tc>
        <w:tc>
          <w:tcPr>
            <w:tcW w:w="5041" w:type="dxa"/>
          </w:tcPr>
          <w:p w:rsidR="00623EC4" w:rsidRPr="00623EC4" w:rsidRDefault="00623EC4" w:rsidP="00623EC4">
            <w:pPr>
              <w:numPr>
                <w:ilvl w:val="0"/>
                <w:numId w:val="24"/>
              </w:numPr>
              <w:cnfStyle w:val="000000010000" w:firstRow="0" w:lastRow="0" w:firstColumn="0" w:lastColumn="0" w:oddVBand="0" w:evenVBand="0" w:oddHBand="0" w:evenHBand="1" w:firstRowFirstColumn="0" w:firstRowLastColumn="0" w:lastRowFirstColumn="0" w:lastRowLastColumn="0"/>
            </w:pPr>
            <w:r w:rsidRPr="00623EC4">
              <w:t>national gas objective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NGR</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national gas rules</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NIS</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Network Incentive Scheme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NPV</w:t>
            </w:r>
          </w:p>
        </w:tc>
        <w:tc>
          <w:tcPr>
            <w:tcW w:w="5041" w:type="dxa"/>
          </w:tcPr>
          <w:p w:rsidR="00623EC4" w:rsidRPr="00623EC4" w:rsidRDefault="00623EC4" w:rsidP="00623EC4">
            <w:pPr>
              <w:cnfStyle w:val="000000000000" w:firstRow="0" w:lastRow="0" w:firstColumn="0" w:lastColumn="0" w:oddVBand="0" w:evenVBand="0" w:oddHBand="0" w:evenHBand="0" w:firstRowFirstColumn="0" w:firstRowLastColumn="0" w:lastRowFirstColumn="0" w:lastRowLastColumn="0"/>
            </w:pPr>
            <w:r w:rsidRPr="00623EC4">
              <w:t>net present value</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opex</w:t>
            </w:r>
          </w:p>
        </w:tc>
        <w:tc>
          <w:tcPr>
            <w:tcW w:w="5041" w:type="dxa"/>
          </w:tcPr>
          <w:p w:rsidR="00623EC4" w:rsidRPr="00623EC4" w:rsidRDefault="00623EC4" w:rsidP="00623EC4">
            <w:pPr>
              <w:numPr>
                <w:ilvl w:val="0"/>
                <w:numId w:val="24"/>
              </w:numPr>
              <w:cnfStyle w:val="000000010000" w:firstRow="0" w:lastRow="0" w:firstColumn="0" w:lastColumn="0" w:oddVBand="0" w:evenVBand="0" w:oddHBand="0" w:evenHBand="1" w:firstRowFirstColumn="0" w:firstRowLastColumn="0" w:lastRowFirstColumn="0" w:lastRowLastColumn="0"/>
            </w:pPr>
            <w:r w:rsidRPr="00623EC4">
              <w:t>operating expenditure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PFP</w:t>
            </w:r>
          </w:p>
        </w:tc>
        <w:tc>
          <w:tcPr>
            <w:tcW w:w="5041" w:type="dxa"/>
          </w:tcPr>
          <w:p w:rsidR="00623EC4" w:rsidRPr="00623EC4" w:rsidRDefault="00623EC4" w:rsidP="00623EC4">
            <w:pPr>
              <w:cnfStyle w:val="000000000000" w:firstRow="0" w:lastRow="0" w:firstColumn="0" w:lastColumn="0" w:oddVBand="0" w:evenVBand="0" w:oddHBand="0" w:evenHBand="0" w:firstRowFirstColumn="0" w:firstRowLastColumn="0" w:lastRowFirstColumn="0" w:lastRowLastColumn="0"/>
            </w:pPr>
            <w:r w:rsidRPr="00623EC4">
              <w:t>partial factor productivity</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PPI</w:t>
            </w:r>
          </w:p>
        </w:tc>
        <w:tc>
          <w:tcPr>
            <w:tcW w:w="5041" w:type="dxa"/>
          </w:tcPr>
          <w:p w:rsidR="00623EC4" w:rsidRPr="00623EC4" w:rsidRDefault="00623EC4" w:rsidP="00623EC4">
            <w:pPr>
              <w:numPr>
                <w:ilvl w:val="0"/>
                <w:numId w:val="24"/>
              </w:numPr>
              <w:cnfStyle w:val="000000010000" w:firstRow="0" w:lastRow="0" w:firstColumn="0" w:lastColumn="0" w:oddVBand="0" w:evenVBand="0" w:oddHBand="0" w:evenHBand="1" w:firstRowFirstColumn="0" w:firstRowLastColumn="0" w:lastRowFirstColumn="0" w:lastRowLastColumn="0"/>
            </w:pPr>
            <w:r w:rsidRPr="00623EC4">
              <w:t>partial performance indicators</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PTRM</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post-tax revenue model</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RBA</w:t>
            </w:r>
          </w:p>
        </w:tc>
        <w:tc>
          <w:tcPr>
            <w:tcW w:w="5041" w:type="dxa"/>
          </w:tcPr>
          <w:p w:rsidR="00623EC4" w:rsidRPr="00623EC4" w:rsidRDefault="00623EC4" w:rsidP="00623EC4">
            <w:pPr>
              <w:numPr>
                <w:ilvl w:val="0"/>
                <w:numId w:val="24"/>
              </w:numPr>
              <w:cnfStyle w:val="000000010000" w:firstRow="0" w:lastRow="0" w:firstColumn="0" w:lastColumn="0" w:oddVBand="0" w:evenVBand="0" w:oddHBand="0" w:evenHBand="1" w:firstRowFirstColumn="0" w:firstRowLastColumn="0" w:lastRowFirstColumn="0" w:lastRowLastColumn="0"/>
            </w:pPr>
            <w:r w:rsidRPr="00623EC4">
              <w:t>Reserve Bank of Australia</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RFM</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roll forward model</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RIN</w:t>
            </w:r>
          </w:p>
        </w:tc>
        <w:tc>
          <w:tcPr>
            <w:tcW w:w="5041" w:type="dxa"/>
          </w:tcPr>
          <w:p w:rsidR="00623EC4" w:rsidRPr="00623EC4" w:rsidRDefault="00623EC4" w:rsidP="00623EC4">
            <w:pPr>
              <w:numPr>
                <w:ilvl w:val="0"/>
                <w:numId w:val="24"/>
              </w:numPr>
              <w:cnfStyle w:val="000000010000" w:firstRow="0" w:lastRow="0" w:firstColumn="0" w:lastColumn="0" w:oddVBand="0" w:evenVBand="0" w:oddHBand="0" w:evenHBand="1" w:firstRowFirstColumn="0" w:firstRowLastColumn="0" w:lastRowFirstColumn="0" w:lastRowLastColumn="0"/>
            </w:pPr>
            <w:r w:rsidRPr="00623EC4">
              <w:t>regulatory information notice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proofErr w:type="spellStart"/>
            <w:r w:rsidRPr="00623EC4">
              <w:t>RoLR</w:t>
            </w:r>
            <w:proofErr w:type="spellEnd"/>
          </w:p>
        </w:tc>
        <w:tc>
          <w:tcPr>
            <w:tcW w:w="5041" w:type="dxa"/>
          </w:tcPr>
          <w:p w:rsidR="00623EC4" w:rsidRPr="00623EC4" w:rsidRDefault="00623EC4" w:rsidP="00623EC4">
            <w:pPr>
              <w:cnfStyle w:val="000000000000" w:firstRow="0" w:lastRow="0" w:firstColumn="0" w:lastColumn="0" w:oddVBand="0" w:evenVBand="0" w:oddHBand="0" w:evenHBand="0" w:firstRowFirstColumn="0" w:firstRowLastColumn="0" w:lastRowFirstColumn="0" w:lastRowLastColumn="0"/>
            </w:pPr>
            <w:r w:rsidRPr="00623EC4">
              <w:t>retailer of last resort</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RPP</w:t>
            </w:r>
          </w:p>
        </w:tc>
        <w:tc>
          <w:tcPr>
            <w:tcW w:w="5041" w:type="dxa"/>
          </w:tcPr>
          <w:p w:rsidR="00623EC4" w:rsidRPr="00623EC4" w:rsidRDefault="00623EC4" w:rsidP="00623EC4">
            <w:pPr>
              <w:numPr>
                <w:ilvl w:val="0"/>
                <w:numId w:val="24"/>
              </w:numPr>
              <w:cnfStyle w:val="000000010000" w:firstRow="0" w:lastRow="0" w:firstColumn="0" w:lastColumn="0" w:oddVBand="0" w:evenVBand="0" w:oddHBand="0" w:evenHBand="1" w:firstRowFirstColumn="0" w:firstRowLastColumn="0" w:lastRowFirstColumn="0" w:lastRowLastColumn="0"/>
            </w:pPr>
            <w:r w:rsidRPr="00623EC4">
              <w:t>revenue and pricing principles</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SLCAPM</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Sharpe-</w:t>
            </w:r>
            <w:proofErr w:type="spellStart"/>
            <w:r w:rsidRPr="00623EC4">
              <w:t>Lintner</w:t>
            </w:r>
            <w:proofErr w:type="spellEnd"/>
            <w:r w:rsidRPr="00623EC4">
              <w:t xml:space="preserve"> capital asset pricing model</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STPIS</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Service Target Performance Incentive Scheme</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TAB</w:t>
            </w:r>
          </w:p>
        </w:tc>
        <w:tc>
          <w:tcPr>
            <w:tcW w:w="5041" w:type="dxa"/>
          </w:tcPr>
          <w:p w:rsidR="00623EC4" w:rsidRPr="00623EC4" w:rsidRDefault="00623EC4" w:rsidP="00623EC4">
            <w:pPr>
              <w:cnfStyle w:val="000000000000" w:firstRow="0" w:lastRow="0" w:firstColumn="0" w:lastColumn="0" w:oddVBand="0" w:evenVBand="0" w:oddHBand="0" w:evenHBand="0" w:firstRowFirstColumn="0" w:firstRowLastColumn="0" w:lastRowFirstColumn="0" w:lastRowLastColumn="0"/>
            </w:pPr>
            <w:r w:rsidRPr="00623EC4">
              <w:t>Tax asset base</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UAFG</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Unaccounted for gas</w:t>
            </w:r>
          </w:p>
        </w:tc>
      </w:tr>
      <w:tr w:rsidR="00623EC4" w:rsidTr="00764955">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WACC</w:t>
            </w:r>
          </w:p>
        </w:tc>
        <w:tc>
          <w:tcPr>
            <w:tcW w:w="5041" w:type="dxa"/>
          </w:tcPr>
          <w:p w:rsidR="00623EC4" w:rsidRPr="00623EC4" w:rsidRDefault="00623EC4" w:rsidP="00623EC4">
            <w:pPr>
              <w:numPr>
                <w:ilvl w:val="0"/>
                <w:numId w:val="24"/>
              </w:numPr>
              <w:cnfStyle w:val="000000000000" w:firstRow="0" w:lastRow="0" w:firstColumn="0" w:lastColumn="0" w:oddVBand="0" w:evenVBand="0" w:oddHBand="0" w:evenHBand="0" w:firstRowFirstColumn="0" w:firstRowLastColumn="0" w:lastRowFirstColumn="0" w:lastRowLastColumn="0"/>
            </w:pPr>
            <w:r w:rsidRPr="00623EC4">
              <w:t>weighted average cost of capital</w:t>
            </w:r>
          </w:p>
        </w:tc>
      </w:tr>
      <w:tr w:rsidR="00623EC4" w:rsidTr="00764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23EC4" w:rsidRPr="00623EC4" w:rsidRDefault="00623EC4" w:rsidP="00623EC4">
            <w:pPr>
              <w:numPr>
                <w:ilvl w:val="0"/>
                <w:numId w:val="24"/>
              </w:numPr>
            </w:pPr>
            <w:r w:rsidRPr="00623EC4">
              <w:t>WPI</w:t>
            </w:r>
          </w:p>
        </w:tc>
        <w:tc>
          <w:tcPr>
            <w:tcW w:w="5041" w:type="dxa"/>
          </w:tcPr>
          <w:p w:rsidR="00623EC4" w:rsidRPr="00623EC4" w:rsidRDefault="00623EC4" w:rsidP="00623EC4">
            <w:pPr>
              <w:cnfStyle w:val="000000010000" w:firstRow="0" w:lastRow="0" w:firstColumn="0" w:lastColumn="0" w:oddVBand="0" w:evenVBand="0" w:oddHBand="0" w:evenHBand="1" w:firstRowFirstColumn="0" w:firstRowLastColumn="0" w:lastRowFirstColumn="0" w:lastRowLastColumn="0"/>
            </w:pPr>
            <w:r w:rsidRPr="00623EC4">
              <w:t>Wage Price Index</w:t>
            </w:r>
          </w:p>
        </w:tc>
      </w:tr>
    </w:tbl>
    <w:p w:rsidR="00565EE1" w:rsidRPr="00565EE1" w:rsidRDefault="00565EE1" w:rsidP="00565EE1"/>
    <w:p w:rsidR="00DE563D" w:rsidRDefault="00303908" w:rsidP="00F9004E">
      <w:pPr>
        <w:pStyle w:val="Heading1"/>
      </w:pPr>
      <w:bookmarkStart w:id="10" w:name="_Toc436054861"/>
      <w:r>
        <w:t xml:space="preserve">Reference tariff </w:t>
      </w:r>
      <w:r w:rsidR="00F9004E">
        <w:t>setting</w:t>
      </w:r>
      <w:bookmarkEnd w:id="10"/>
    </w:p>
    <w:p w:rsidR="00135746" w:rsidRPr="00135746" w:rsidRDefault="00135746" w:rsidP="00135746">
      <w:r>
        <w:t>This attachment outlines our assessment of the reference tariffs proposed by Australian Gas Networks</w:t>
      </w:r>
      <w:r w:rsidR="00E975E7">
        <w:t xml:space="preserve"> (AGN)</w:t>
      </w:r>
      <w:r>
        <w:t xml:space="preserve"> against the requirements of the National Gas Rules. Our assessment focuses on the structure of reference tariffs and takes into account the revenue and pricing principles.</w:t>
      </w:r>
      <w:r>
        <w:rPr>
          <w:rStyle w:val="FootnoteReference"/>
        </w:rPr>
        <w:footnoteReference w:id="1"/>
      </w:r>
    </w:p>
    <w:p w:rsidR="009A5113" w:rsidRDefault="00CF2C05" w:rsidP="009A5113">
      <w:pPr>
        <w:pStyle w:val="Heading2"/>
      </w:pPr>
      <w:bookmarkStart w:id="11" w:name="_Toc408404320"/>
      <w:bookmarkStart w:id="12" w:name="_Toc436054862"/>
      <w:r>
        <w:t>Draft</w:t>
      </w:r>
      <w:r w:rsidR="009A5113" w:rsidRPr="0074565D">
        <w:t xml:space="preserve"> decision</w:t>
      </w:r>
      <w:bookmarkEnd w:id="11"/>
      <w:bookmarkEnd w:id="12"/>
    </w:p>
    <w:p w:rsidR="000F5297" w:rsidRDefault="00135746" w:rsidP="00135746">
      <w:r>
        <w:t xml:space="preserve">We accept </w:t>
      </w:r>
      <w:r w:rsidR="00E975E7">
        <w:t>AGN’s</w:t>
      </w:r>
      <w:r>
        <w:t xml:space="preserve"> proposed structure of reference tariffs for the 2016–21 access arrangement </w:t>
      </w:r>
      <w:proofErr w:type="gramStart"/>
      <w:r>
        <w:t>period</w:t>
      </w:r>
      <w:proofErr w:type="gramEnd"/>
      <w:r>
        <w:t xml:space="preserve">. </w:t>
      </w:r>
      <w:r w:rsidR="00A06FD7">
        <w:t>We are satisfied the proposed structure of the reference tariffs complies with the requirements of the NGR.</w:t>
      </w:r>
      <w:r w:rsidR="00A06FD7">
        <w:rPr>
          <w:rStyle w:val="FootnoteReference"/>
        </w:rPr>
        <w:footnoteReference w:id="2"/>
      </w:r>
    </w:p>
    <w:p w:rsidR="000A4568" w:rsidRDefault="000F5297" w:rsidP="00135746">
      <w:r>
        <w:t>Nevertheless, the quantum of the proposed reference tariffs must be amended to reflect the revised revenue allowance set out in this draft decision.</w:t>
      </w:r>
    </w:p>
    <w:p w:rsidR="00135746" w:rsidRPr="00135746" w:rsidRDefault="000A4568" w:rsidP="00135746">
      <w:r>
        <w:t>We also accept AGN’s proposed prudent discounts.</w:t>
      </w:r>
      <w:r w:rsidR="00465004">
        <w:rPr>
          <w:rStyle w:val="FootnoteReference"/>
        </w:rPr>
        <w:footnoteReference w:id="3"/>
      </w:r>
      <w:r>
        <w:t xml:space="preserve"> We note these are consistent with the prudent discounts we approved for </w:t>
      </w:r>
      <w:r w:rsidR="00DB5C2E">
        <w:t xml:space="preserve">AGN's </w:t>
      </w:r>
      <w:r>
        <w:t>past two access arrangements.</w:t>
      </w:r>
    </w:p>
    <w:p w:rsidR="009A5113" w:rsidRDefault="009E3419" w:rsidP="009A5113">
      <w:pPr>
        <w:pStyle w:val="Heading2"/>
      </w:pPr>
      <w:bookmarkStart w:id="13" w:name="_Toc436054863"/>
      <w:r>
        <w:t>AGN’s</w:t>
      </w:r>
      <w:r w:rsidR="005C0A7F">
        <w:t xml:space="preserve"> proposal</w:t>
      </w:r>
      <w:bookmarkEnd w:id="13"/>
    </w:p>
    <w:p w:rsidR="00A06FD7" w:rsidRDefault="000F5297" w:rsidP="00A06FD7">
      <w:r>
        <w:t xml:space="preserve">Australian Gas Networks </w:t>
      </w:r>
      <w:r w:rsidR="002B643C">
        <w:t xml:space="preserve">proposed reference tariffs for the 2016–21 access arrangement </w:t>
      </w:r>
      <w:proofErr w:type="gramStart"/>
      <w:r w:rsidR="002B643C">
        <w:t>period</w:t>
      </w:r>
      <w:proofErr w:type="gramEnd"/>
      <w:r w:rsidR="000A4568">
        <w:t xml:space="preserve"> are</w:t>
      </w:r>
      <w:r w:rsidR="002B643C">
        <w:t xml:space="preserve"> consistent with those in the current access arrangement. </w:t>
      </w:r>
      <w:r w:rsidR="007548F0">
        <w:t>AGN stated that its stakeholder engagement indicated support for the continuation of the current access arrangement tariff structures but this should be continually reviewed.</w:t>
      </w:r>
      <w:r w:rsidR="007548F0">
        <w:rPr>
          <w:rStyle w:val="FootnoteReference"/>
        </w:rPr>
        <w:footnoteReference w:id="4"/>
      </w:r>
    </w:p>
    <w:p w:rsidR="007548F0" w:rsidRDefault="000F5297" w:rsidP="00A06FD7">
      <w:r>
        <w:t xml:space="preserve">It </w:t>
      </w:r>
      <w:r w:rsidR="008E5637">
        <w:t>proposed a change</w:t>
      </w:r>
      <w:r>
        <w:t>,</w:t>
      </w:r>
      <w:r w:rsidR="008E5637">
        <w:t xml:space="preserve"> to regional tariff D structures to be consistent with the tariff D structures in the Adelaide region.</w:t>
      </w:r>
      <w:r w:rsidR="008E5637">
        <w:rPr>
          <w:rStyle w:val="FootnoteReference"/>
        </w:rPr>
        <w:footnoteReference w:id="5"/>
      </w:r>
      <w:r w:rsidR="008E5637">
        <w:t xml:space="preserve"> </w:t>
      </w:r>
      <w:r w:rsidR="007548F0">
        <w:t>AGN</w:t>
      </w:r>
      <w:r w:rsidR="008E5637">
        <w:t>’s proposal a</w:t>
      </w:r>
      <w:r w:rsidR="007548F0">
        <w:t>lso include</w:t>
      </w:r>
      <w:r w:rsidR="008E5637">
        <w:t>d</w:t>
      </w:r>
      <w:r w:rsidR="007548F0">
        <w:t xml:space="preserve"> three additional ancillary reference services which have been requested by stakeholders through the retailer reference group.</w:t>
      </w:r>
      <w:r w:rsidR="007548F0">
        <w:rPr>
          <w:rStyle w:val="FootnoteReference"/>
        </w:rPr>
        <w:footnoteReference w:id="6"/>
      </w:r>
    </w:p>
    <w:p w:rsidR="000E6C34" w:rsidRDefault="000E6C34" w:rsidP="00A06FD7">
      <w:r>
        <w:t xml:space="preserve">The reference tariffs proposed by AGN are outlined in </w:t>
      </w:r>
      <w:r>
        <w:fldChar w:fldCharType="begin"/>
      </w:r>
      <w:r>
        <w:instrText xml:space="preserve"> REF  _Ref434859301 \* Lower \h </w:instrText>
      </w:r>
      <w:r>
        <w:fldChar w:fldCharType="separate"/>
      </w:r>
      <w:r w:rsidR="00C11B91">
        <w:t xml:space="preserve">table </w:t>
      </w:r>
      <w:r w:rsidR="00C11B91">
        <w:rPr>
          <w:noProof/>
        </w:rPr>
        <w:t>10</w:t>
      </w:r>
      <w:r w:rsidR="00C11B91">
        <w:t>.</w:t>
      </w:r>
      <w:r w:rsidR="00C11B91">
        <w:rPr>
          <w:noProof/>
        </w:rPr>
        <w:t>1</w:t>
      </w:r>
      <w:r>
        <w:fldChar w:fldCharType="end"/>
      </w:r>
      <w:r>
        <w:t xml:space="preserve">. The ancillary reference tariffs proposed by AGN are outlined in </w:t>
      </w:r>
      <w:r w:rsidR="00473DF6">
        <w:fldChar w:fldCharType="begin"/>
      </w:r>
      <w:r w:rsidR="00473DF6">
        <w:instrText xml:space="preserve"> REF  _Ref434860046 \* Lower \h </w:instrText>
      </w:r>
      <w:r w:rsidR="00473DF6">
        <w:fldChar w:fldCharType="separate"/>
      </w:r>
      <w:r w:rsidR="00C11B91">
        <w:t xml:space="preserve">table </w:t>
      </w:r>
      <w:r w:rsidR="00C11B91">
        <w:rPr>
          <w:noProof/>
        </w:rPr>
        <w:t>10</w:t>
      </w:r>
      <w:r w:rsidR="00C11B91">
        <w:t>.</w:t>
      </w:r>
      <w:r w:rsidR="00C11B91">
        <w:rPr>
          <w:noProof/>
        </w:rPr>
        <w:t>2</w:t>
      </w:r>
      <w:r w:rsidR="00473DF6">
        <w:fldChar w:fldCharType="end"/>
      </w:r>
      <w:r w:rsidR="00473DF6">
        <w:t>.</w:t>
      </w:r>
    </w:p>
    <w:p w:rsidR="00DB5C2E" w:rsidRDefault="00DB5C2E">
      <w:pPr>
        <w:spacing w:line="240" w:lineRule="auto"/>
      </w:pPr>
      <w:r>
        <w:br w:type="page"/>
      </w:r>
    </w:p>
    <w:p w:rsidR="000E6C34" w:rsidRDefault="000E6C34" w:rsidP="000E6C34">
      <w:pPr>
        <w:pStyle w:val="Caption"/>
      </w:pPr>
      <w:bookmarkStart w:id="14" w:name="_Ref434859301"/>
      <w:proofErr w:type="gramStart"/>
      <w:r>
        <w:t xml:space="preserve">Table </w:t>
      </w:r>
      <w:proofErr w:type="gramEnd"/>
      <w:r w:rsidR="00623EC4">
        <w:fldChar w:fldCharType="begin"/>
      </w:r>
      <w:r w:rsidR="00623EC4">
        <w:instrText xml:space="preserve"> STYLEREF 1 \s </w:instrText>
      </w:r>
      <w:r w:rsidR="00623EC4">
        <w:fldChar w:fldCharType="separate"/>
      </w:r>
      <w:r w:rsidR="00713FB8">
        <w:rPr>
          <w:noProof/>
        </w:rPr>
        <w:t>10</w:t>
      </w:r>
      <w:r w:rsidR="00623EC4">
        <w:rPr>
          <w:noProof/>
        </w:rPr>
        <w:fldChar w:fldCharType="end"/>
      </w:r>
      <w:proofErr w:type="gramStart"/>
      <w:r w:rsidR="00473DF6">
        <w:t>.</w:t>
      </w:r>
      <w:proofErr w:type="gramEnd"/>
      <w:r w:rsidR="0046166A">
        <w:fldChar w:fldCharType="begin"/>
      </w:r>
      <w:r w:rsidR="0046166A">
        <w:instrText xml:space="preserve"> SEQ Table \* ARABIC \s 1 </w:instrText>
      </w:r>
      <w:r w:rsidR="0046166A">
        <w:fldChar w:fldCharType="separate"/>
      </w:r>
      <w:r w:rsidR="00713FB8">
        <w:rPr>
          <w:noProof/>
        </w:rPr>
        <w:t>1</w:t>
      </w:r>
      <w:r w:rsidR="0046166A">
        <w:rPr>
          <w:noProof/>
        </w:rPr>
        <w:fldChar w:fldCharType="end"/>
      </w:r>
      <w:bookmarkEnd w:id="14"/>
      <w:r>
        <w:t xml:space="preserve"> AGN’s</w:t>
      </w:r>
      <w:r w:rsidR="00473DF6">
        <w:t xml:space="preserve"> proposed</w:t>
      </w:r>
      <w:r>
        <w:t xml:space="preserve"> initial tariff classes and tariff charge components</w:t>
      </w:r>
    </w:p>
    <w:tbl>
      <w:tblPr>
        <w:tblStyle w:val="AERtable-text0"/>
        <w:tblW w:w="0" w:type="auto"/>
        <w:tblLook w:val="04A0" w:firstRow="1" w:lastRow="0" w:firstColumn="1" w:lastColumn="0" w:noHBand="0" w:noVBand="1"/>
      </w:tblPr>
      <w:tblGrid>
        <w:gridCol w:w="1809"/>
        <w:gridCol w:w="2127"/>
        <w:gridCol w:w="1559"/>
        <w:gridCol w:w="3198"/>
      </w:tblGrid>
      <w:tr w:rsidR="000E6C34" w:rsidTr="009944C3">
        <w:trPr>
          <w:cnfStyle w:val="100000000000" w:firstRow="1" w:lastRow="0" w:firstColumn="0" w:lastColumn="0" w:oddVBand="0" w:evenVBand="0" w:oddHBand="0" w:evenHBand="0" w:firstRowFirstColumn="0" w:firstRowLastColumn="0" w:lastRowFirstColumn="0" w:lastRowLastColumn="0"/>
        </w:trPr>
        <w:tc>
          <w:tcPr>
            <w:tcW w:w="1809" w:type="dxa"/>
          </w:tcPr>
          <w:p w:rsidR="000E6C34" w:rsidRDefault="000E6C34" w:rsidP="000E6C34">
            <w:r>
              <w:t>Customer category</w:t>
            </w:r>
          </w:p>
        </w:tc>
        <w:tc>
          <w:tcPr>
            <w:tcW w:w="2127" w:type="dxa"/>
          </w:tcPr>
          <w:p w:rsidR="000E6C34" w:rsidRDefault="000E6C34" w:rsidP="000E6C34">
            <w:r>
              <w:t>Tariff class</w:t>
            </w:r>
          </w:p>
        </w:tc>
        <w:tc>
          <w:tcPr>
            <w:tcW w:w="1559" w:type="dxa"/>
          </w:tcPr>
          <w:p w:rsidR="000E6C34" w:rsidRDefault="000E6C34" w:rsidP="000E6C34">
            <w:r>
              <w:t>Tariff category</w:t>
            </w:r>
          </w:p>
        </w:tc>
        <w:tc>
          <w:tcPr>
            <w:tcW w:w="3198" w:type="dxa"/>
          </w:tcPr>
          <w:p w:rsidR="000E6C34" w:rsidRDefault="000E6C34" w:rsidP="000E6C34">
            <w:r>
              <w:t>Charge components</w:t>
            </w:r>
          </w:p>
        </w:tc>
      </w:tr>
      <w:tr w:rsidR="000E6C34" w:rsidTr="009944C3">
        <w:tc>
          <w:tcPr>
            <w:tcW w:w="1809" w:type="dxa"/>
          </w:tcPr>
          <w:p w:rsidR="000E6C34" w:rsidRPr="009944C3" w:rsidRDefault="000E6C34" w:rsidP="000E6C34">
            <w:pPr>
              <w:rPr>
                <w:rStyle w:val="Strong"/>
              </w:rPr>
            </w:pPr>
            <w:r w:rsidRPr="009944C3">
              <w:rPr>
                <w:rStyle w:val="Strong"/>
              </w:rPr>
              <w:t>Domestic</w:t>
            </w:r>
          </w:p>
        </w:tc>
        <w:tc>
          <w:tcPr>
            <w:tcW w:w="2127" w:type="dxa"/>
          </w:tcPr>
          <w:p w:rsidR="000E6C34" w:rsidRDefault="000E6C34" w:rsidP="000E6C34">
            <w:r>
              <w:t>Tariff R – Residential</w:t>
            </w:r>
          </w:p>
        </w:tc>
        <w:tc>
          <w:tcPr>
            <w:tcW w:w="1559" w:type="dxa"/>
          </w:tcPr>
          <w:p w:rsidR="000E6C34" w:rsidRDefault="000E6C34" w:rsidP="000E6C34">
            <w:r>
              <w:t>Residential (excluding Tanunda)</w:t>
            </w:r>
          </w:p>
        </w:tc>
        <w:tc>
          <w:tcPr>
            <w:tcW w:w="3198" w:type="dxa"/>
          </w:tcPr>
          <w:p w:rsidR="000E6C34" w:rsidRDefault="000E6C34" w:rsidP="000E6C34">
            <w:r>
              <w:t>One fixed charge</w:t>
            </w:r>
          </w:p>
          <w:p w:rsidR="000E6C34" w:rsidRDefault="000E6C34" w:rsidP="000E6C34">
            <w:r>
              <w:t>Three volume throughput block charges</w:t>
            </w:r>
          </w:p>
          <w:p w:rsidR="000E6C34" w:rsidRDefault="000E6C34" w:rsidP="000E6C34">
            <w:r>
              <w:t>Ancillary reference charges</w:t>
            </w:r>
          </w:p>
        </w:tc>
      </w:tr>
      <w:tr w:rsidR="000E6C34" w:rsidTr="009944C3">
        <w:trPr>
          <w:cnfStyle w:val="000000010000" w:firstRow="0" w:lastRow="0" w:firstColumn="0" w:lastColumn="0" w:oddVBand="0" w:evenVBand="0" w:oddHBand="0" w:evenHBand="1" w:firstRowFirstColumn="0" w:firstRowLastColumn="0" w:lastRowFirstColumn="0" w:lastRowLastColumn="0"/>
        </w:trPr>
        <w:tc>
          <w:tcPr>
            <w:tcW w:w="1809" w:type="dxa"/>
          </w:tcPr>
          <w:p w:rsidR="000E6C34" w:rsidRDefault="000E6C34" w:rsidP="000E6C34"/>
        </w:tc>
        <w:tc>
          <w:tcPr>
            <w:tcW w:w="2127" w:type="dxa"/>
          </w:tcPr>
          <w:p w:rsidR="000E6C34" w:rsidRDefault="000E6C34" w:rsidP="000E6C34">
            <w:r>
              <w:t>Tariff R – Residential</w:t>
            </w:r>
          </w:p>
        </w:tc>
        <w:tc>
          <w:tcPr>
            <w:tcW w:w="1559" w:type="dxa"/>
          </w:tcPr>
          <w:p w:rsidR="000E6C34" w:rsidRDefault="000E6C34" w:rsidP="000E6C34">
            <w:r>
              <w:t>Residential – Tanunda</w:t>
            </w:r>
          </w:p>
        </w:tc>
        <w:tc>
          <w:tcPr>
            <w:tcW w:w="3198" w:type="dxa"/>
          </w:tcPr>
          <w:p w:rsidR="000E6C34" w:rsidRDefault="000E6C34" w:rsidP="000E6C34">
            <w:r>
              <w:t>One fixed charge</w:t>
            </w:r>
          </w:p>
          <w:p w:rsidR="000E6C34" w:rsidRDefault="000E6C34" w:rsidP="000E6C34">
            <w:r>
              <w:t>Three volume throughput block charges</w:t>
            </w:r>
          </w:p>
          <w:p w:rsidR="000E6C34" w:rsidRDefault="000E6C34" w:rsidP="000E6C34">
            <w:r>
              <w:t>Ancillary reference charges</w:t>
            </w:r>
          </w:p>
        </w:tc>
      </w:tr>
      <w:tr w:rsidR="000E6C34" w:rsidTr="009944C3">
        <w:tc>
          <w:tcPr>
            <w:tcW w:w="1809" w:type="dxa"/>
          </w:tcPr>
          <w:p w:rsidR="000E6C34" w:rsidRPr="009944C3" w:rsidRDefault="000E6C34" w:rsidP="000E6C34">
            <w:pPr>
              <w:rPr>
                <w:rStyle w:val="Strong"/>
              </w:rPr>
            </w:pPr>
            <w:r w:rsidRPr="009944C3">
              <w:rPr>
                <w:rStyle w:val="Strong"/>
              </w:rPr>
              <w:t>Commercial</w:t>
            </w:r>
          </w:p>
        </w:tc>
        <w:tc>
          <w:tcPr>
            <w:tcW w:w="2127" w:type="dxa"/>
          </w:tcPr>
          <w:p w:rsidR="000E6C34" w:rsidRDefault="000E6C34" w:rsidP="000E6C34">
            <w:r>
              <w:t>Tariff C – Commercial</w:t>
            </w:r>
          </w:p>
        </w:tc>
        <w:tc>
          <w:tcPr>
            <w:tcW w:w="1559" w:type="dxa"/>
          </w:tcPr>
          <w:p w:rsidR="000E6C34" w:rsidRDefault="000E6C34" w:rsidP="000E6C34">
            <w:r>
              <w:t>Commercial (excluding Tanunda)</w:t>
            </w:r>
          </w:p>
        </w:tc>
        <w:tc>
          <w:tcPr>
            <w:tcW w:w="3198" w:type="dxa"/>
          </w:tcPr>
          <w:p w:rsidR="000E6C34" w:rsidRDefault="000E6C34" w:rsidP="000E6C34">
            <w:r>
              <w:t>One fixed charge</w:t>
            </w:r>
          </w:p>
          <w:p w:rsidR="000E6C34" w:rsidRDefault="000E6C34" w:rsidP="000E6C34">
            <w:r>
              <w:t>Four volume throughput block charges</w:t>
            </w:r>
          </w:p>
          <w:p w:rsidR="000E6C34" w:rsidRDefault="000E6C34" w:rsidP="000E6C34">
            <w:r>
              <w:t>Ancillary reference charges</w:t>
            </w:r>
          </w:p>
        </w:tc>
      </w:tr>
      <w:tr w:rsidR="000E6C34" w:rsidTr="009944C3">
        <w:trPr>
          <w:cnfStyle w:val="000000010000" w:firstRow="0" w:lastRow="0" w:firstColumn="0" w:lastColumn="0" w:oddVBand="0" w:evenVBand="0" w:oddHBand="0" w:evenHBand="1" w:firstRowFirstColumn="0" w:firstRowLastColumn="0" w:lastRowFirstColumn="0" w:lastRowLastColumn="0"/>
        </w:trPr>
        <w:tc>
          <w:tcPr>
            <w:tcW w:w="1809" w:type="dxa"/>
          </w:tcPr>
          <w:p w:rsidR="000E6C34" w:rsidRDefault="000E6C34" w:rsidP="000E6C34"/>
        </w:tc>
        <w:tc>
          <w:tcPr>
            <w:tcW w:w="2127" w:type="dxa"/>
          </w:tcPr>
          <w:p w:rsidR="000E6C34" w:rsidRDefault="000E6C34" w:rsidP="000E6C34">
            <w:r>
              <w:t>Tariff C – Commercial</w:t>
            </w:r>
          </w:p>
        </w:tc>
        <w:tc>
          <w:tcPr>
            <w:tcW w:w="1559" w:type="dxa"/>
          </w:tcPr>
          <w:p w:rsidR="000E6C34" w:rsidRDefault="000E6C34" w:rsidP="000E6C34">
            <w:r>
              <w:t>Commercial – Tanunda</w:t>
            </w:r>
          </w:p>
        </w:tc>
        <w:tc>
          <w:tcPr>
            <w:tcW w:w="3198" w:type="dxa"/>
          </w:tcPr>
          <w:p w:rsidR="000E6C34" w:rsidRDefault="000E6C34" w:rsidP="000E6C34">
            <w:r>
              <w:t>One fixed charge</w:t>
            </w:r>
          </w:p>
          <w:p w:rsidR="000E6C34" w:rsidRDefault="000E6C34" w:rsidP="000E6C34">
            <w:r>
              <w:t>Four volume throughput block charges</w:t>
            </w:r>
          </w:p>
          <w:p w:rsidR="000E6C34" w:rsidRDefault="000E6C34" w:rsidP="000E6C34">
            <w:r>
              <w:t>Ancillary reference charges</w:t>
            </w:r>
          </w:p>
        </w:tc>
      </w:tr>
      <w:tr w:rsidR="000E6C34" w:rsidTr="009944C3">
        <w:tc>
          <w:tcPr>
            <w:tcW w:w="1809" w:type="dxa"/>
          </w:tcPr>
          <w:p w:rsidR="000E6C34" w:rsidRPr="009944C3" w:rsidRDefault="000E6C34" w:rsidP="000E6C34">
            <w:pPr>
              <w:rPr>
                <w:rStyle w:val="Strong"/>
              </w:rPr>
            </w:pPr>
            <w:r w:rsidRPr="009944C3">
              <w:rPr>
                <w:rStyle w:val="Strong"/>
              </w:rPr>
              <w:t>Demand</w:t>
            </w:r>
          </w:p>
        </w:tc>
        <w:tc>
          <w:tcPr>
            <w:tcW w:w="2127" w:type="dxa"/>
          </w:tcPr>
          <w:p w:rsidR="000E6C34" w:rsidRDefault="000E6C34" w:rsidP="000E6C34">
            <w:r>
              <w:t xml:space="preserve">Tariff D – </w:t>
            </w:r>
            <w:r w:rsidR="00473DF6">
              <w:t>Northern</w:t>
            </w:r>
          </w:p>
        </w:tc>
        <w:tc>
          <w:tcPr>
            <w:tcW w:w="1559" w:type="dxa"/>
          </w:tcPr>
          <w:p w:rsidR="000E6C34" w:rsidRDefault="00473DF6" w:rsidP="000E6C34">
            <w:r>
              <w:t>Tariff D</w:t>
            </w:r>
          </w:p>
        </w:tc>
        <w:tc>
          <w:tcPr>
            <w:tcW w:w="3198" w:type="dxa"/>
          </w:tcPr>
          <w:p w:rsidR="000E6C34" w:rsidRDefault="00473DF6" w:rsidP="000E6C34">
            <w:r>
              <w:t>Five capacity throughput block charges</w:t>
            </w:r>
          </w:p>
          <w:p w:rsidR="00473DF6" w:rsidRDefault="00473DF6" w:rsidP="00473DF6">
            <w:r>
              <w:t>Ancillary reference charges</w:t>
            </w:r>
          </w:p>
        </w:tc>
      </w:tr>
      <w:tr w:rsidR="00473DF6" w:rsidTr="009944C3">
        <w:trPr>
          <w:cnfStyle w:val="000000010000" w:firstRow="0" w:lastRow="0" w:firstColumn="0" w:lastColumn="0" w:oddVBand="0" w:evenVBand="0" w:oddHBand="0" w:evenHBand="1" w:firstRowFirstColumn="0" w:firstRowLastColumn="0" w:lastRowFirstColumn="0" w:lastRowLastColumn="0"/>
        </w:trPr>
        <w:tc>
          <w:tcPr>
            <w:tcW w:w="1809" w:type="dxa"/>
          </w:tcPr>
          <w:p w:rsidR="00473DF6" w:rsidRDefault="00473DF6" w:rsidP="000E6C34"/>
        </w:tc>
        <w:tc>
          <w:tcPr>
            <w:tcW w:w="2127" w:type="dxa"/>
          </w:tcPr>
          <w:p w:rsidR="00473DF6" w:rsidRDefault="00473DF6" w:rsidP="000E6C34">
            <w:r>
              <w:t>Tariff D – Central</w:t>
            </w:r>
          </w:p>
        </w:tc>
        <w:tc>
          <w:tcPr>
            <w:tcW w:w="1559" w:type="dxa"/>
          </w:tcPr>
          <w:p w:rsidR="00473DF6" w:rsidRDefault="00473DF6" w:rsidP="00473DF6">
            <w:r>
              <w:t>Tariff D</w:t>
            </w:r>
          </w:p>
        </w:tc>
        <w:tc>
          <w:tcPr>
            <w:tcW w:w="3198" w:type="dxa"/>
          </w:tcPr>
          <w:p w:rsidR="00473DF6" w:rsidRDefault="00473DF6" w:rsidP="00473DF6">
            <w:r>
              <w:t>Five capacity throughput block charges</w:t>
            </w:r>
          </w:p>
          <w:p w:rsidR="00473DF6" w:rsidRDefault="00473DF6" w:rsidP="00473DF6">
            <w:r>
              <w:t>Ancillary reference charges</w:t>
            </w:r>
          </w:p>
        </w:tc>
      </w:tr>
      <w:tr w:rsidR="00473DF6" w:rsidTr="009944C3">
        <w:tc>
          <w:tcPr>
            <w:tcW w:w="1809" w:type="dxa"/>
          </w:tcPr>
          <w:p w:rsidR="00473DF6" w:rsidRDefault="00473DF6" w:rsidP="000E6C34"/>
        </w:tc>
        <w:tc>
          <w:tcPr>
            <w:tcW w:w="2127" w:type="dxa"/>
          </w:tcPr>
          <w:p w:rsidR="00473DF6" w:rsidRDefault="00473DF6" w:rsidP="000E6C34">
            <w:r>
              <w:t>Tariff D – Southern</w:t>
            </w:r>
          </w:p>
        </w:tc>
        <w:tc>
          <w:tcPr>
            <w:tcW w:w="1559" w:type="dxa"/>
          </w:tcPr>
          <w:p w:rsidR="00473DF6" w:rsidRDefault="00473DF6" w:rsidP="00473DF6">
            <w:r>
              <w:t>Tariff D</w:t>
            </w:r>
          </w:p>
        </w:tc>
        <w:tc>
          <w:tcPr>
            <w:tcW w:w="3198" w:type="dxa"/>
          </w:tcPr>
          <w:p w:rsidR="00473DF6" w:rsidRDefault="00473DF6" w:rsidP="00473DF6">
            <w:r>
              <w:t>Five capacity throughput block charges</w:t>
            </w:r>
          </w:p>
          <w:p w:rsidR="00473DF6" w:rsidRDefault="00473DF6" w:rsidP="00473DF6">
            <w:r>
              <w:t>Ancillary reference charges</w:t>
            </w:r>
          </w:p>
        </w:tc>
      </w:tr>
      <w:tr w:rsidR="00473DF6" w:rsidTr="009944C3">
        <w:trPr>
          <w:cnfStyle w:val="000000010000" w:firstRow="0" w:lastRow="0" w:firstColumn="0" w:lastColumn="0" w:oddVBand="0" w:evenVBand="0" w:oddHBand="0" w:evenHBand="1" w:firstRowFirstColumn="0" w:firstRowLastColumn="0" w:lastRowFirstColumn="0" w:lastRowLastColumn="0"/>
        </w:trPr>
        <w:tc>
          <w:tcPr>
            <w:tcW w:w="1809" w:type="dxa"/>
          </w:tcPr>
          <w:p w:rsidR="00473DF6" w:rsidRDefault="00473DF6" w:rsidP="000E6C34"/>
        </w:tc>
        <w:tc>
          <w:tcPr>
            <w:tcW w:w="2127" w:type="dxa"/>
          </w:tcPr>
          <w:p w:rsidR="00473DF6" w:rsidRDefault="00473DF6" w:rsidP="000E6C34">
            <w:r>
              <w:t>Tariff D – Peterborough</w:t>
            </w:r>
          </w:p>
        </w:tc>
        <w:tc>
          <w:tcPr>
            <w:tcW w:w="1559" w:type="dxa"/>
          </w:tcPr>
          <w:p w:rsidR="00473DF6" w:rsidRDefault="00473DF6" w:rsidP="00473DF6">
            <w:r>
              <w:t>Tariff D</w:t>
            </w:r>
          </w:p>
        </w:tc>
        <w:tc>
          <w:tcPr>
            <w:tcW w:w="3198" w:type="dxa"/>
          </w:tcPr>
          <w:p w:rsidR="00473DF6" w:rsidRDefault="00473DF6" w:rsidP="00473DF6">
            <w:r>
              <w:t>Five capacity throughput block charges</w:t>
            </w:r>
          </w:p>
          <w:p w:rsidR="00473DF6" w:rsidRDefault="00473DF6" w:rsidP="00473DF6">
            <w:r>
              <w:t>Ancillary reference charges</w:t>
            </w:r>
          </w:p>
        </w:tc>
      </w:tr>
      <w:tr w:rsidR="00473DF6" w:rsidTr="009944C3">
        <w:tc>
          <w:tcPr>
            <w:tcW w:w="1809" w:type="dxa"/>
          </w:tcPr>
          <w:p w:rsidR="00473DF6" w:rsidRDefault="00473DF6" w:rsidP="000E6C34"/>
        </w:tc>
        <w:tc>
          <w:tcPr>
            <w:tcW w:w="2127" w:type="dxa"/>
          </w:tcPr>
          <w:p w:rsidR="00473DF6" w:rsidRDefault="00473DF6" w:rsidP="000E6C34">
            <w:r>
              <w:t>Tariff D – Port Pirie</w:t>
            </w:r>
          </w:p>
        </w:tc>
        <w:tc>
          <w:tcPr>
            <w:tcW w:w="1559" w:type="dxa"/>
          </w:tcPr>
          <w:p w:rsidR="00473DF6" w:rsidRDefault="00473DF6" w:rsidP="00473DF6">
            <w:r>
              <w:t>Tariff D</w:t>
            </w:r>
          </w:p>
        </w:tc>
        <w:tc>
          <w:tcPr>
            <w:tcW w:w="3198" w:type="dxa"/>
          </w:tcPr>
          <w:p w:rsidR="00473DF6" w:rsidRDefault="00473DF6" w:rsidP="00473DF6">
            <w:r>
              <w:t>Five capacity throughput block charges</w:t>
            </w:r>
          </w:p>
          <w:p w:rsidR="00473DF6" w:rsidRDefault="00473DF6" w:rsidP="00473DF6">
            <w:r>
              <w:t>Ancillary reference charges</w:t>
            </w:r>
          </w:p>
        </w:tc>
      </w:tr>
      <w:tr w:rsidR="00473DF6" w:rsidTr="009944C3">
        <w:trPr>
          <w:cnfStyle w:val="000000010000" w:firstRow="0" w:lastRow="0" w:firstColumn="0" w:lastColumn="0" w:oddVBand="0" w:evenVBand="0" w:oddHBand="0" w:evenHBand="1" w:firstRowFirstColumn="0" w:firstRowLastColumn="0" w:lastRowFirstColumn="0" w:lastRowLastColumn="0"/>
        </w:trPr>
        <w:tc>
          <w:tcPr>
            <w:tcW w:w="1809" w:type="dxa"/>
          </w:tcPr>
          <w:p w:rsidR="00473DF6" w:rsidRDefault="00473DF6" w:rsidP="000E6C34"/>
        </w:tc>
        <w:tc>
          <w:tcPr>
            <w:tcW w:w="2127" w:type="dxa"/>
          </w:tcPr>
          <w:p w:rsidR="00473DF6" w:rsidRDefault="00473DF6" w:rsidP="000E6C34">
            <w:r>
              <w:t>Tariff D – Riverland</w:t>
            </w:r>
          </w:p>
        </w:tc>
        <w:tc>
          <w:tcPr>
            <w:tcW w:w="1559" w:type="dxa"/>
          </w:tcPr>
          <w:p w:rsidR="00473DF6" w:rsidRDefault="00473DF6" w:rsidP="00473DF6">
            <w:r>
              <w:t>Tariff D</w:t>
            </w:r>
          </w:p>
        </w:tc>
        <w:tc>
          <w:tcPr>
            <w:tcW w:w="3198" w:type="dxa"/>
          </w:tcPr>
          <w:p w:rsidR="00473DF6" w:rsidRDefault="00473DF6" w:rsidP="00473DF6">
            <w:r>
              <w:t>Five capacity throughput block charges</w:t>
            </w:r>
          </w:p>
          <w:p w:rsidR="00473DF6" w:rsidRDefault="00473DF6" w:rsidP="00473DF6">
            <w:r>
              <w:t>Ancillary reference charges</w:t>
            </w:r>
          </w:p>
        </w:tc>
      </w:tr>
      <w:tr w:rsidR="00473DF6" w:rsidTr="009944C3">
        <w:tc>
          <w:tcPr>
            <w:tcW w:w="1809" w:type="dxa"/>
          </w:tcPr>
          <w:p w:rsidR="00473DF6" w:rsidRDefault="00473DF6" w:rsidP="000E6C34"/>
        </w:tc>
        <w:tc>
          <w:tcPr>
            <w:tcW w:w="2127" w:type="dxa"/>
          </w:tcPr>
          <w:p w:rsidR="00473DF6" w:rsidRDefault="00473DF6" w:rsidP="000E6C34">
            <w:r>
              <w:t>Tariff D – South East</w:t>
            </w:r>
          </w:p>
        </w:tc>
        <w:tc>
          <w:tcPr>
            <w:tcW w:w="1559" w:type="dxa"/>
          </w:tcPr>
          <w:p w:rsidR="00473DF6" w:rsidRDefault="00473DF6" w:rsidP="00473DF6">
            <w:r>
              <w:t>Tariff D</w:t>
            </w:r>
          </w:p>
        </w:tc>
        <w:tc>
          <w:tcPr>
            <w:tcW w:w="3198" w:type="dxa"/>
          </w:tcPr>
          <w:p w:rsidR="00473DF6" w:rsidRDefault="00473DF6" w:rsidP="00473DF6">
            <w:r>
              <w:t>Five capacity throughput block charges</w:t>
            </w:r>
          </w:p>
          <w:p w:rsidR="00473DF6" w:rsidRDefault="00473DF6" w:rsidP="00473DF6">
            <w:r>
              <w:t>Ancillary reference charges</w:t>
            </w:r>
          </w:p>
        </w:tc>
      </w:tr>
      <w:tr w:rsidR="00473DF6" w:rsidTr="009944C3">
        <w:trPr>
          <w:cnfStyle w:val="000000010000" w:firstRow="0" w:lastRow="0" w:firstColumn="0" w:lastColumn="0" w:oddVBand="0" w:evenVBand="0" w:oddHBand="0" w:evenHBand="1" w:firstRowFirstColumn="0" w:firstRowLastColumn="0" w:lastRowFirstColumn="0" w:lastRowLastColumn="0"/>
        </w:trPr>
        <w:tc>
          <w:tcPr>
            <w:tcW w:w="1809" w:type="dxa"/>
          </w:tcPr>
          <w:p w:rsidR="00473DF6" w:rsidRDefault="00473DF6" w:rsidP="000E6C34"/>
        </w:tc>
        <w:tc>
          <w:tcPr>
            <w:tcW w:w="2127" w:type="dxa"/>
          </w:tcPr>
          <w:p w:rsidR="00473DF6" w:rsidRDefault="00473DF6" w:rsidP="000E6C34">
            <w:r>
              <w:t>Tariff D – Whyalla</w:t>
            </w:r>
          </w:p>
        </w:tc>
        <w:tc>
          <w:tcPr>
            <w:tcW w:w="1559" w:type="dxa"/>
          </w:tcPr>
          <w:p w:rsidR="00473DF6" w:rsidRDefault="00473DF6" w:rsidP="00473DF6">
            <w:r>
              <w:t>Tariff D</w:t>
            </w:r>
          </w:p>
        </w:tc>
        <w:tc>
          <w:tcPr>
            <w:tcW w:w="3198" w:type="dxa"/>
          </w:tcPr>
          <w:p w:rsidR="00473DF6" w:rsidRDefault="00473DF6" w:rsidP="00473DF6">
            <w:r>
              <w:t>Five capacity throughput block charges</w:t>
            </w:r>
          </w:p>
          <w:p w:rsidR="00473DF6" w:rsidRDefault="00473DF6" w:rsidP="00473DF6">
            <w:r>
              <w:t>Ancillary reference charges</w:t>
            </w:r>
          </w:p>
        </w:tc>
      </w:tr>
    </w:tbl>
    <w:p w:rsidR="000E6C34" w:rsidRDefault="000E6C34" w:rsidP="000E6C34">
      <w:pPr>
        <w:pStyle w:val="AERtablesource"/>
      </w:pPr>
      <w:r>
        <w:t>Source:</w:t>
      </w:r>
      <w:r>
        <w:tab/>
        <w:t xml:space="preserve">AGN, </w:t>
      </w:r>
      <w:r>
        <w:rPr>
          <w:rStyle w:val="AERtextitalic"/>
        </w:rPr>
        <w:t>Access arrangement i</w:t>
      </w:r>
      <w:r w:rsidRPr="00594109">
        <w:rPr>
          <w:rStyle w:val="AERtextitalic"/>
        </w:rPr>
        <w:t>nformation</w:t>
      </w:r>
      <w:r>
        <w:t>,</w:t>
      </w:r>
      <w:r w:rsidRPr="00594109">
        <w:t xml:space="preserve"> July 2015</w:t>
      </w:r>
      <w:r>
        <w:t>, pp. 24</w:t>
      </w:r>
      <w:r w:rsidR="00473DF6">
        <w:t>7</w:t>
      </w:r>
      <w:r>
        <w:t>–249.</w:t>
      </w:r>
    </w:p>
    <w:p w:rsidR="00DB5C2E" w:rsidRDefault="00DB5C2E">
      <w:pPr>
        <w:spacing w:line="240" w:lineRule="auto"/>
      </w:pPr>
      <w:r>
        <w:br w:type="page"/>
      </w:r>
    </w:p>
    <w:p w:rsidR="00473DF6" w:rsidRPr="00473DF6" w:rsidRDefault="00473DF6" w:rsidP="00473DF6">
      <w:pPr>
        <w:pStyle w:val="Caption"/>
      </w:pPr>
      <w:bookmarkStart w:id="15" w:name="_Ref434860046"/>
      <w:proofErr w:type="gramStart"/>
      <w:r>
        <w:t xml:space="preserve">Table </w:t>
      </w:r>
      <w:proofErr w:type="gramEnd"/>
      <w:r w:rsidR="00623EC4">
        <w:fldChar w:fldCharType="begin"/>
      </w:r>
      <w:r w:rsidR="00623EC4">
        <w:instrText xml:space="preserve"> STYLEREF 1 \s </w:instrText>
      </w:r>
      <w:r w:rsidR="00623EC4">
        <w:fldChar w:fldCharType="separate"/>
      </w:r>
      <w:r w:rsidR="00713FB8">
        <w:rPr>
          <w:noProof/>
        </w:rPr>
        <w:t>10</w:t>
      </w:r>
      <w:r w:rsidR="00623EC4">
        <w:rPr>
          <w:noProof/>
        </w:rPr>
        <w:fldChar w:fldCharType="end"/>
      </w:r>
      <w:proofErr w:type="gramStart"/>
      <w:r>
        <w:t>.</w:t>
      </w:r>
      <w:proofErr w:type="gramEnd"/>
      <w:r w:rsidR="0046166A">
        <w:fldChar w:fldCharType="begin"/>
      </w:r>
      <w:r w:rsidR="0046166A">
        <w:instrText xml:space="preserve"> SEQ Table \* ARABIC \s 1 </w:instrText>
      </w:r>
      <w:r w:rsidR="0046166A">
        <w:fldChar w:fldCharType="separate"/>
      </w:r>
      <w:r w:rsidR="00713FB8">
        <w:rPr>
          <w:noProof/>
        </w:rPr>
        <w:t>2</w:t>
      </w:r>
      <w:r w:rsidR="0046166A">
        <w:rPr>
          <w:noProof/>
        </w:rPr>
        <w:fldChar w:fldCharType="end"/>
      </w:r>
      <w:bookmarkEnd w:id="15"/>
      <w:r>
        <w:tab/>
        <w:t>AGN’s proposed ancillary reference services</w:t>
      </w:r>
    </w:p>
    <w:tbl>
      <w:tblPr>
        <w:tblStyle w:val="AERtable-text0"/>
        <w:tblW w:w="0" w:type="auto"/>
        <w:tblLook w:val="04A0" w:firstRow="1" w:lastRow="0" w:firstColumn="1" w:lastColumn="0" w:noHBand="0" w:noVBand="1"/>
      </w:tblPr>
      <w:tblGrid>
        <w:gridCol w:w="8693"/>
      </w:tblGrid>
      <w:tr w:rsidR="00473DF6" w:rsidTr="00473DF6">
        <w:trPr>
          <w:cnfStyle w:val="100000000000" w:firstRow="1" w:lastRow="0" w:firstColumn="0" w:lastColumn="0" w:oddVBand="0" w:evenVBand="0" w:oddHBand="0" w:evenHBand="0" w:firstRowFirstColumn="0" w:firstRowLastColumn="0" w:lastRowFirstColumn="0" w:lastRowLastColumn="0"/>
        </w:trPr>
        <w:tc>
          <w:tcPr>
            <w:tcW w:w="8693" w:type="dxa"/>
          </w:tcPr>
          <w:p w:rsidR="00473DF6" w:rsidRDefault="00473DF6" w:rsidP="00473DF6">
            <w:r>
              <w:t>Ancillary reference service</w:t>
            </w:r>
          </w:p>
        </w:tc>
      </w:tr>
      <w:tr w:rsidR="00473DF6" w:rsidTr="00473DF6">
        <w:tc>
          <w:tcPr>
            <w:tcW w:w="8693" w:type="dxa"/>
          </w:tcPr>
          <w:p w:rsidR="00473DF6" w:rsidRDefault="00473DF6" w:rsidP="00473DF6">
            <w:r>
              <w:t>Special meter reading</w:t>
            </w:r>
          </w:p>
        </w:tc>
      </w:tr>
      <w:tr w:rsidR="00473DF6" w:rsidTr="00473DF6">
        <w:trPr>
          <w:cnfStyle w:val="000000010000" w:firstRow="0" w:lastRow="0" w:firstColumn="0" w:lastColumn="0" w:oddVBand="0" w:evenVBand="0" w:oddHBand="0" w:evenHBand="1" w:firstRowFirstColumn="0" w:firstRowLastColumn="0" w:lastRowFirstColumn="0" w:lastRowLastColumn="0"/>
        </w:trPr>
        <w:tc>
          <w:tcPr>
            <w:tcW w:w="8693" w:type="dxa"/>
          </w:tcPr>
          <w:p w:rsidR="00473DF6" w:rsidRDefault="00473DF6" w:rsidP="00473DF6">
            <w:r>
              <w:t>Disconnection</w:t>
            </w:r>
          </w:p>
        </w:tc>
      </w:tr>
      <w:tr w:rsidR="00473DF6" w:rsidTr="00473DF6">
        <w:tc>
          <w:tcPr>
            <w:tcW w:w="8693" w:type="dxa"/>
          </w:tcPr>
          <w:p w:rsidR="00473DF6" w:rsidRDefault="00473DF6" w:rsidP="00473DF6">
            <w:r>
              <w:t>Reconnections</w:t>
            </w:r>
          </w:p>
        </w:tc>
      </w:tr>
      <w:tr w:rsidR="00473DF6" w:rsidTr="00473DF6">
        <w:trPr>
          <w:cnfStyle w:val="000000010000" w:firstRow="0" w:lastRow="0" w:firstColumn="0" w:lastColumn="0" w:oddVBand="0" w:evenVBand="0" w:oddHBand="0" w:evenHBand="1" w:firstRowFirstColumn="0" w:firstRowLastColumn="0" w:lastRowFirstColumn="0" w:lastRowLastColumn="0"/>
        </w:trPr>
        <w:tc>
          <w:tcPr>
            <w:tcW w:w="8693" w:type="dxa"/>
          </w:tcPr>
          <w:p w:rsidR="00473DF6" w:rsidRDefault="00473DF6" w:rsidP="00473DF6">
            <w:r>
              <w:t>Meter gas and installation test (new service)</w:t>
            </w:r>
          </w:p>
        </w:tc>
      </w:tr>
      <w:tr w:rsidR="00473DF6" w:rsidTr="00473DF6">
        <w:tc>
          <w:tcPr>
            <w:tcW w:w="8693" w:type="dxa"/>
          </w:tcPr>
          <w:p w:rsidR="00473DF6" w:rsidRDefault="00473DF6" w:rsidP="00473DF6">
            <w:r>
              <w:t>Meter removal (new service)</w:t>
            </w:r>
          </w:p>
        </w:tc>
      </w:tr>
      <w:tr w:rsidR="00473DF6" w:rsidTr="00473DF6">
        <w:trPr>
          <w:cnfStyle w:val="000000010000" w:firstRow="0" w:lastRow="0" w:firstColumn="0" w:lastColumn="0" w:oddVBand="0" w:evenVBand="0" w:oddHBand="0" w:evenHBand="1" w:firstRowFirstColumn="0" w:firstRowLastColumn="0" w:lastRowFirstColumn="0" w:lastRowLastColumn="0"/>
        </w:trPr>
        <w:tc>
          <w:tcPr>
            <w:tcW w:w="8693" w:type="dxa"/>
          </w:tcPr>
          <w:p w:rsidR="00473DF6" w:rsidRDefault="00473DF6" w:rsidP="00473DF6">
            <w:r>
              <w:t>Meter reinstallation (new service)</w:t>
            </w:r>
          </w:p>
        </w:tc>
      </w:tr>
    </w:tbl>
    <w:p w:rsidR="00473DF6" w:rsidRPr="00473DF6" w:rsidRDefault="00473DF6" w:rsidP="00473DF6">
      <w:pPr>
        <w:pStyle w:val="AERtablesource"/>
      </w:pPr>
      <w:r w:rsidRPr="00473DF6">
        <w:t>Source:</w:t>
      </w:r>
      <w:r w:rsidRPr="00473DF6">
        <w:tab/>
        <w:t>AGN</w:t>
      </w:r>
      <w:r w:rsidRPr="00473DF6">
        <w:rPr>
          <w:rStyle w:val="AERtextitalic"/>
        </w:rPr>
        <w:t>, Access arrangement information</w:t>
      </w:r>
      <w:r w:rsidRPr="00473DF6">
        <w:t>, July 2015, p. 249.</w:t>
      </w:r>
    </w:p>
    <w:p w:rsidR="009A5113" w:rsidRDefault="009A5113" w:rsidP="009A5113">
      <w:pPr>
        <w:pStyle w:val="Heading2"/>
      </w:pPr>
      <w:bookmarkStart w:id="16" w:name="_Toc408404322"/>
      <w:bookmarkStart w:id="17" w:name="_Toc436054864"/>
      <w:r w:rsidRPr="0074565D">
        <w:t>AER’s assessment approach</w:t>
      </w:r>
      <w:bookmarkEnd w:id="16"/>
      <w:bookmarkEnd w:id="17"/>
    </w:p>
    <w:p w:rsidR="004A0C42" w:rsidRDefault="004A0C42" w:rsidP="004A0C42">
      <w:r>
        <w:t xml:space="preserve">In a </w:t>
      </w:r>
      <w:r w:rsidR="00DB5C2E">
        <w:t>an</w:t>
      </w:r>
      <w:r>
        <w:t xml:space="preserve"> access arrangement, a service provider is required to specify for each reference service the reference tariff and proposed approach to setting the reference tariffs.</w:t>
      </w:r>
      <w:r>
        <w:rPr>
          <w:rStyle w:val="FootnoteReference"/>
        </w:rPr>
        <w:footnoteReference w:id="7"/>
      </w:r>
      <w:r>
        <w:t xml:space="preserve"> This is done by:</w:t>
      </w:r>
    </w:p>
    <w:p w:rsidR="004A0C42" w:rsidRDefault="004A0C42" w:rsidP="004A0C42">
      <w:pPr>
        <w:pStyle w:val="AERbulletlistfirststyle"/>
      </w:pPr>
      <w:r>
        <w:t>explaining how revenues and costs are allocated, including the relationship between costs and tariffs</w:t>
      </w:r>
      <w:r>
        <w:rPr>
          <w:rStyle w:val="FootnoteReference"/>
        </w:rPr>
        <w:footnoteReference w:id="8"/>
      </w:r>
    </w:p>
    <w:p w:rsidR="00591130" w:rsidRDefault="00591130" w:rsidP="004A0C42">
      <w:pPr>
        <w:pStyle w:val="AERbulletlistfirststyle"/>
      </w:pPr>
      <w:r>
        <w:t>define the tariff classes</w:t>
      </w:r>
      <w:r>
        <w:rPr>
          <w:rStyle w:val="FootnoteReference"/>
        </w:rPr>
        <w:footnoteReference w:id="9"/>
      </w:r>
    </w:p>
    <w:p w:rsidR="00591130" w:rsidRDefault="00591130" w:rsidP="004A0C42">
      <w:pPr>
        <w:pStyle w:val="AERbulletlistfirststyle"/>
      </w:pPr>
      <w:r>
        <w:t>comparing the revenue to be raised by each reference tariff with the cost of providing each individual reference service</w:t>
      </w:r>
      <w:r>
        <w:rPr>
          <w:rStyle w:val="FootnoteReference"/>
        </w:rPr>
        <w:footnoteReference w:id="10"/>
      </w:r>
    </w:p>
    <w:p w:rsidR="00591130" w:rsidRDefault="00591130" w:rsidP="004A0C42">
      <w:pPr>
        <w:pStyle w:val="AERbulletlistfirststyle"/>
      </w:pPr>
      <w:proofErr w:type="gramStart"/>
      <w:r>
        <w:t>explaining</w:t>
      </w:r>
      <w:proofErr w:type="gramEnd"/>
      <w:r>
        <w:t xml:space="preserve"> and describing any pricing principles it employed.</w:t>
      </w:r>
      <w:r>
        <w:rPr>
          <w:rStyle w:val="FootnoteReference"/>
        </w:rPr>
        <w:footnoteReference w:id="11"/>
      </w:r>
    </w:p>
    <w:p w:rsidR="00591130" w:rsidRDefault="00591130" w:rsidP="00591130">
      <w:r>
        <w:t xml:space="preserve">We are required to assess </w:t>
      </w:r>
      <w:r w:rsidR="00E975E7">
        <w:t>AGN’s</w:t>
      </w:r>
      <w:r>
        <w:t xml:space="preserve"> proposed reference tariffs.</w:t>
      </w:r>
      <w:r w:rsidR="00765390">
        <w:rPr>
          <w:rStyle w:val="FootnoteReference"/>
        </w:rPr>
        <w:footnoteReference w:id="12"/>
      </w:r>
      <w:r>
        <w:t xml:space="preserve"> </w:t>
      </w:r>
      <w:r w:rsidR="000F5297">
        <w:t xml:space="preserve">Where we do not accept them, we must determine the </w:t>
      </w:r>
      <w:r w:rsidR="0041066A">
        <w:t xml:space="preserve">initial </w:t>
      </w:r>
      <w:r w:rsidR="00DB5C2E">
        <w:t xml:space="preserve">(i.e. 2016) </w:t>
      </w:r>
      <w:r w:rsidR="000F5297">
        <w:t>reference tariffs</w:t>
      </w:r>
      <w:r w:rsidR="000F5297" w:rsidRPr="004C2D7F">
        <w:t xml:space="preserve"> </w:t>
      </w:r>
      <w:r w:rsidR="000F5297">
        <w:t xml:space="preserve">to </w:t>
      </w:r>
      <w:r w:rsidR="009944C3">
        <w:t>apply for</w:t>
      </w:r>
      <w:r w:rsidR="00473DF6">
        <w:t xml:space="preserve"> </w:t>
      </w:r>
      <w:r w:rsidR="000F5297">
        <w:t>each reference service.</w:t>
      </w:r>
    </w:p>
    <w:p w:rsidR="00591130" w:rsidRDefault="00591130" w:rsidP="00591130">
      <w:r>
        <w:t xml:space="preserve">In our assessment of the proposed reference tariff, we reviewed </w:t>
      </w:r>
      <w:r w:rsidR="00E975E7">
        <w:t>AGN’s</w:t>
      </w:r>
      <w:r>
        <w:t>:</w:t>
      </w:r>
    </w:p>
    <w:p w:rsidR="00591130" w:rsidRDefault="00486F7B" w:rsidP="00591130">
      <w:pPr>
        <w:pStyle w:val="AERbulletlistfirststyle"/>
      </w:pPr>
      <w:r>
        <w:t>access arrangement information</w:t>
      </w:r>
      <w:r>
        <w:rPr>
          <w:rStyle w:val="FootnoteReference"/>
        </w:rPr>
        <w:footnoteReference w:id="13"/>
      </w:r>
    </w:p>
    <w:p w:rsidR="00A77430" w:rsidRDefault="00A77430" w:rsidP="00591130">
      <w:pPr>
        <w:pStyle w:val="AERbulletlistfirststyle"/>
      </w:pPr>
      <w:r>
        <w:t>access arrangement proposal</w:t>
      </w:r>
      <w:r w:rsidR="008833BD">
        <w:rPr>
          <w:rStyle w:val="FootnoteReference"/>
        </w:rPr>
        <w:footnoteReference w:id="14"/>
      </w:r>
    </w:p>
    <w:p w:rsidR="00AB4D7C" w:rsidRDefault="00AB4D7C" w:rsidP="00591130">
      <w:pPr>
        <w:pStyle w:val="AERbulletlistfirststyle"/>
      </w:pPr>
      <w:proofErr w:type="gramStart"/>
      <w:r>
        <w:t>additional</w:t>
      </w:r>
      <w:proofErr w:type="gramEnd"/>
      <w:r>
        <w:t xml:space="preserve"> information provided in response to our information requests.</w:t>
      </w:r>
      <w:r>
        <w:rPr>
          <w:rStyle w:val="FootnoteReference"/>
        </w:rPr>
        <w:footnoteReference w:id="15"/>
      </w:r>
    </w:p>
    <w:p w:rsidR="00B404D1" w:rsidRDefault="00B404D1" w:rsidP="00B404D1">
      <w:r>
        <w:t xml:space="preserve">We also had regard to submissions received in the course of </w:t>
      </w:r>
      <w:r w:rsidR="005F4A41">
        <w:t>our consultation</w:t>
      </w:r>
      <w:r>
        <w:t xml:space="preserve"> on the </w:t>
      </w:r>
      <w:r w:rsidR="005F4A41">
        <w:t xml:space="preserve">proposed </w:t>
      </w:r>
      <w:r>
        <w:t>access arrangement.</w:t>
      </w:r>
      <w:r>
        <w:rPr>
          <w:rStyle w:val="FootnoteReference"/>
        </w:rPr>
        <w:footnoteReference w:id="16"/>
      </w:r>
    </w:p>
    <w:p w:rsidR="00B404D1" w:rsidRDefault="00B404D1" w:rsidP="00B404D1">
      <w:pPr>
        <w:pStyle w:val="HeadingBoldBlue"/>
      </w:pPr>
      <w:r>
        <w:t>Identifying the reference service</w:t>
      </w:r>
    </w:p>
    <w:p w:rsidR="00B404D1" w:rsidRPr="00B404D1" w:rsidRDefault="005F4A41" w:rsidP="00B404D1">
      <w:r>
        <w:t xml:space="preserve">Service providers are </w:t>
      </w:r>
      <w:r w:rsidR="00B404D1">
        <w:t>required by the NGR to specify a reference tariff for each reference service.</w:t>
      </w:r>
      <w:r w:rsidR="00B13AFC">
        <w:rPr>
          <w:rStyle w:val="FootnoteReference"/>
        </w:rPr>
        <w:footnoteReference w:id="17"/>
      </w:r>
      <w:r w:rsidR="00B404D1">
        <w:t xml:space="preserve"> We first consider what is (or are) the reference service(s) for the purpose of the NGR when undertaking our review.</w:t>
      </w:r>
      <w:r w:rsidR="00B404D1">
        <w:rPr>
          <w:rStyle w:val="FootnoteReference"/>
        </w:rPr>
        <w:footnoteReference w:id="18"/>
      </w:r>
      <w:r w:rsidR="00B404D1">
        <w:t xml:space="preserve"> Our decision on what constitutes the reference service is set out in the services attachment</w:t>
      </w:r>
      <w:r>
        <w:t>—</w:t>
      </w:r>
      <w:r w:rsidR="00B404D1">
        <w:t>attachment 1.</w:t>
      </w:r>
    </w:p>
    <w:p w:rsidR="00B404D1" w:rsidRDefault="00B404D1" w:rsidP="00B404D1">
      <w:pPr>
        <w:pStyle w:val="HeadingBoldBlue"/>
      </w:pPr>
      <w:r>
        <w:t>Assessing the tariff setting method for the reference service</w:t>
      </w:r>
    </w:p>
    <w:p w:rsidR="00B404D1" w:rsidRDefault="00B404D1" w:rsidP="00B404D1">
      <w:r>
        <w:t>The reference tariffs for a full access arrangement must be designed to meet the requirements of the NGR. Our discretion on tariff design is limited.</w:t>
      </w:r>
      <w:r>
        <w:rPr>
          <w:rStyle w:val="FootnoteReference"/>
        </w:rPr>
        <w:footnoteReference w:id="19"/>
      </w:r>
    </w:p>
    <w:p w:rsidR="00E975E7" w:rsidRDefault="00E975E7" w:rsidP="00B404D1">
      <w:r>
        <w:t>Consequently, we co</w:t>
      </w:r>
      <w:r w:rsidR="00DB5C2E">
        <w:t>nsider how the service provider</w:t>
      </w:r>
      <w:r>
        <w:t xml:space="preserve"> intends to charge for reference services by:</w:t>
      </w:r>
    </w:p>
    <w:p w:rsidR="00E975E7" w:rsidRDefault="00E975E7" w:rsidP="00E975E7">
      <w:pPr>
        <w:pStyle w:val="ListNumber"/>
      </w:pPr>
      <w:proofErr w:type="gramStart"/>
      <w:r>
        <w:t>assessing</w:t>
      </w:r>
      <w:proofErr w:type="gramEnd"/>
      <w:r>
        <w:t xml:space="preserve"> how AGN intends to allocate costs and revenues between reference services and other services. It must demonstrate that total revenue is allocated between reference and other services in the ratio in which costs are allocated between reference services and other services. Costs must also be allocated to the reference service and other services to which the cost is directly attributable.</w:t>
      </w:r>
      <w:r>
        <w:rPr>
          <w:rStyle w:val="FootnoteReference"/>
        </w:rPr>
        <w:footnoteReference w:id="20"/>
      </w:r>
    </w:p>
    <w:p w:rsidR="00E975E7" w:rsidRDefault="00E975E7" w:rsidP="00E975E7">
      <w:pPr>
        <w:pStyle w:val="ListNumber"/>
      </w:pPr>
      <w:proofErr w:type="gramStart"/>
      <w:r>
        <w:t>assessing</w:t>
      </w:r>
      <w:proofErr w:type="gramEnd"/>
      <w:r>
        <w:t xml:space="preserve"> how AGN grouped its customers into tariff classes. AGN is required to group together customers for reference services on an economically efficient basis and to avoid unnecessary transaction costs.</w:t>
      </w:r>
      <w:r w:rsidR="00A67B06">
        <w:rPr>
          <w:rStyle w:val="FootnoteReference"/>
        </w:rPr>
        <w:footnoteReference w:id="21"/>
      </w:r>
      <w:r>
        <w:t xml:space="preserve"> We consider</w:t>
      </w:r>
      <w:r w:rsidR="006307D5">
        <w:t xml:space="preserve"> the nature of the reference service (e.g.</w:t>
      </w:r>
      <w:r>
        <w:t xml:space="preserve"> volume and demand tariff classes</w:t>
      </w:r>
      <w:r w:rsidR="006307D5">
        <w:t>)</w:t>
      </w:r>
      <w:r>
        <w:t xml:space="preserve"> are consistent with the need to group customers for reference services together on an economically efficiently basis and avoid unnecessary transaction costs.</w:t>
      </w:r>
    </w:p>
    <w:p w:rsidR="00E975E7" w:rsidRDefault="00E975E7" w:rsidP="00E975E7">
      <w:pPr>
        <w:pStyle w:val="ListNumber"/>
      </w:pPr>
      <w:r>
        <w:t>assessing how:</w:t>
      </w:r>
    </w:p>
    <w:p w:rsidR="00E975E7" w:rsidRDefault="00E975E7" w:rsidP="00E975E7">
      <w:pPr>
        <w:pStyle w:val="AERnumberedlistsecondstyle"/>
      </w:pPr>
      <w:r>
        <w:t>the expected average revenue of a tariff class compares with the stand alone cost and avoidable cost of providing the reference service to that tariff class</w:t>
      </w:r>
    </w:p>
    <w:p w:rsidR="00E975E7" w:rsidRDefault="00E975E7" w:rsidP="00E975E7">
      <w:pPr>
        <w:pStyle w:val="AERnumberedlistsecondstyle"/>
      </w:pPr>
      <w:r>
        <w:t xml:space="preserve">whether the tariff takes into account transaction costs associated with </w:t>
      </w:r>
      <w:r w:rsidR="005F4A41">
        <w:t xml:space="preserve">developing and applying </w:t>
      </w:r>
      <w:r>
        <w:t>the tariff</w:t>
      </w:r>
    </w:p>
    <w:p w:rsidR="00E975E7" w:rsidRDefault="00E975E7" w:rsidP="00E975E7">
      <w:pPr>
        <w:pStyle w:val="AERnumberedlistsecondstyle"/>
      </w:pPr>
      <w:r>
        <w:t>whether the tariffs take into account the long run marginal costs of</w:t>
      </w:r>
      <w:r w:rsidR="005F4A41">
        <w:t xml:space="preserve"> providing</w:t>
      </w:r>
      <w:r>
        <w:t xml:space="preserve"> reference services</w:t>
      </w:r>
    </w:p>
    <w:p w:rsidR="00E975E7" w:rsidRDefault="00E975E7" w:rsidP="00E975E7">
      <w:pPr>
        <w:pStyle w:val="AERnumberedlistsecondstyle"/>
      </w:pPr>
      <w:proofErr w:type="gramStart"/>
      <w:r>
        <w:t>whether</w:t>
      </w:r>
      <w:proofErr w:type="gramEnd"/>
      <w:r>
        <w:t xml:space="preserve"> customers belonging to the relevant tariff class are able</w:t>
      </w:r>
      <w:r w:rsidR="00505DCC">
        <w:t>,</w:t>
      </w:r>
      <w:r w:rsidR="00505DCC" w:rsidRPr="00F81630">
        <w:t xml:space="preserve"> or likely</w:t>
      </w:r>
      <w:r w:rsidR="00505DCC">
        <w:t>,</w:t>
      </w:r>
      <w:r w:rsidR="00505DCC" w:rsidRPr="00F81630">
        <w:t xml:space="preserve"> </w:t>
      </w:r>
      <w:r w:rsidR="00505DCC">
        <w:t>to respond</w:t>
      </w:r>
      <w:r>
        <w:t xml:space="preserve"> to price signals.</w:t>
      </w:r>
      <w:r>
        <w:rPr>
          <w:rStyle w:val="FootnoteReference"/>
        </w:rPr>
        <w:footnoteReference w:id="22"/>
      </w:r>
    </w:p>
    <w:p w:rsidR="00E86009" w:rsidRDefault="00E86009" w:rsidP="000A4568">
      <w:pPr>
        <w:pStyle w:val="HeadingBoldBlue"/>
      </w:pPr>
      <w:r>
        <w:t>Prudent discounts</w:t>
      </w:r>
    </w:p>
    <w:p w:rsidR="000A4568" w:rsidRPr="0041066A" w:rsidRDefault="0041066A" w:rsidP="000A4568">
      <w:r>
        <w:t xml:space="preserve">We also </w:t>
      </w:r>
      <w:r w:rsidR="00E86009">
        <w:t xml:space="preserve">assessed whether AGN’s proposed prudent discounts were </w:t>
      </w:r>
      <w:r w:rsidR="000A4568">
        <w:t xml:space="preserve">necessary </w:t>
      </w:r>
      <w:r w:rsidR="00473DF6">
        <w:t>to respond</w:t>
      </w:r>
      <w:r w:rsidR="000A4568">
        <w:t xml:space="preserve"> to competition from other providers of pipeline services or other sources of energy or </w:t>
      </w:r>
      <w:r w:rsidR="00DB5C2E">
        <w:t xml:space="preserve">to </w:t>
      </w:r>
      <w:r w:rsidR="000A4568">
        <w:t>maintain efficient use of the pipeline.</w:t>
      </w:r>
      <w:r w:rsidR="00A67B06">
        <w:rPr>
          <w:rStyle w:val="FootnoteReference"/>
        </w:rPr>
        <w:footnoteReference w:id="23"/>
      </w:r>
      <w:r w:rsidR="000A4568">
        <w:t xml:space="preserve"> </w:t>
      </w:r>
      <w:r w:rsidR="00DC6767">
        <w:t xml:space="preserve">This was provided to us by way of confidential mathematical calculations. </w:t>
      </w:r>
      <w:r w:rsidR="000A4568">
        <w:t xml:space="preserve">And we also assessed whether the provision of the discount is likely to lead to lower reference tariffs than </w:t>
      </w:r>
      <w:r w:rsidR="00DB5C2E">
        <w:t>would otherwise be the case.</w:t>
      </w:r>
      <w:r w:rsidR="00A67B06">
        <w:rPr>
          <w:rStyle w:val="FootnoteReference"/>
        </w:rPr>
        <w:footnoteReference w:id="24"/>
      </w:r>
    </w:p>
    <w:p w:rsidR="009A5113" w:rsidRDefault="009A5113" w:rsidP="009A5113">
      <w:pPr>
        <w:pStyle w:val="Heading2"/>
      </w:pPr>
      <w:bookmarkStart w:id="18" w:name="_Toc408404324"/>
      <w:bookmarkStart w:id="19" w:name="_Toc436054865"/>
      <w:r w:rsidRPr="0074565D">
        <w:t xml:space="preserve">Reasons for </w:t>
      </w:r>
      <w:r w:rsidR="00CF2C05">
        <w:t>draft</w:t>
      </w:r>
      <w:r w:rsidR="00651CB2" w:rsidRPr="0074565D">
        <w:t xml:space="preserve"> </w:t>
      </w:r>
      <w:r w:rsidRPr="0074565D">
        <w:t>decision</w:t>
      </w:r>
      <w:bookmarkEnd w:id="18"/>
      <w:bookmarkEnd w:id="19"/>
    </w:p>
    <w:p w:rsidR="005F4A41" w:rsidRDefault="00E975E7" w:rsidP="00135746">
      <w:r>
        <w:t>We accept AGN’s propose</w:t>
      </w:r>
      <w:r w:rsidR="007E2BE2">
        <w:t>d</w:t>
      </w:r>
      <w:r>
        <w:t xml:space="preserve"> reference tariffs structure </w:t>
      </w:r>
      <w:r w:rsidR="00761A86">
        <w:t>because we are satisfied that it</w:t>
      </w:r>
      <w:r>
        <w:t xml:space="preserve"> complies with the NGR requirements.</w:t>
      </w:r>
      <w:r>
        <w:rPr>
          <w:rStyle w:val="FootnoteReference"/>
        </w:rPr>
        <w:footnoteReference w:id="25"/>
      </w:r>
    </w:p>
    <w:p w:rsidR="00135746" w:rsidRDefault="007E2BE2" w:rsidP="00135746">
      <w:r>
        <w:t xml:space="preserve">The tariff structure is consistent with that applied in the current access arrangement and its continuation has the support of </w:t>
      </w:r>
      <w:r w:rsidR="001E14BF">
        <w:t xml:space="preserve">some </w:t>
      </w:r>
      <w:r>
        <w:t>stakeholders.</w:t>
      </w:r>
      <w:r w:rsidR="001E14BF">
        <w:rPr>
          <w:rStyle w:val="FootnoteReference"/>
        </w:rPr>
        <w:footnoteReference w:id="26"/>
      </w:r>
      <w:r>
        <w:t xml:space="preserve"> </w:t>
      </w:r>
      <w:r w:rsidR="00865FC8" w:rsidRPr="00865FC8">
        <w:t xml:space="preserve">However, we consider the quantum of the proposed </w:t>
      </w:r>
      <w:r w:rsidR="00473DF6">
        <w:t>initial</w:t>
      </w:r>
      <w:r w:rsidR="005F4A41">
        <w:t xml:space="preserve"> </w:t>
      </w:r>
      <w:r w:rsidR="00865FC8" w:rsidRPr="00865FC8">
        <w:t>reference tariffs must be amended to reflect the</w:t>
      </w:r>
      <w:r w:rsidR="00761A86">
        <w:t xml:space="preserve"> draft decision forecast demand and</w:t>
      </w:r>
      <w:r w:rsidR="00865FC8" w:rsidRPr="00865FC8">
        <w:t xml:space="preserve"> revised revenue allowance</w:t>
      </w:r>
      <w:r w:rsidR="00761A86">
        <w:t>.</w:t>
      </w:r>
    </w:p>
    <w:p w:rsidR="00ED214F" w:rsidRDefault="00ED214F" w:rsidP="00135746">
      <w:r>
        <w:t>We</w:t>
      </w:r>
      <w:r w:rsidR="0084685A">
        <w:t xml:space="preserve"> also</w:t>
      </w:r>
      <w:r>
        <w:t xml:space="preserve"> note </w:t>
      </w:r>
      <w:r w:rsidR="00B950DB">
        <w:t xml:space="preserve">the Government of South Australia raised concerns regarding the impact </w:t>
      </w:r>
      <w:r w:rsidR="005F4A41">
        <w:t>that declining</w:t>
      </w:r>
      <w:r w:rsidR="00B950DB">
        <w:t xml:space="preserve"> total consumption may have on tariffs.</w:t>
      </w:r>
      <w:r>
        <w:rPr>
          <w:rStyle w:val="FootnoteReference"/>
        </w:rPr>
        <w:footnoteReference w:id="27"/>
      </w:r>
      <w:r w:rsidR="00B950DB">
        <w:t xml:space="preserve"> It suggested that consideration should be given to a change in tariff structure to potentially provide a way to alleviate issues associated with the declining trend in total gas consumption. </w:t>
      </w:r>
      <w:r w:rsidR="0084685A">
        <w:t xml:space="preserve">However, it did not </w:t>
      </w:r>
      <w:r w:rsidR="005F4A41">
        <w:t>offer</w:t>
      </w:r>
      <w:r w:rsidR="0084685A">
        <w:t xml:space="preserve"> an alternative tariff structure t</w:t>
      </w:r>
      <w:r w:rsidR="00DB5C2E">
        <w:t xml:space="preserve">o address this potential issue. </w:t>
      </w:r>
      <w:r w:rsidR="0084685A">
        <w:t>We note o</w:t>
      </w:r>
      <w:r>
        <w:t>ur discretion on tariff design is limited.</w:t>
      </w:r>
      <w:r>
        <w:rPr>
          <w:rStyle w:val="FootnoteReference"/>
        </w:rPr>
        <w:footnoteReference w:id="28"/>
      </w:r>
      <w:r>
        <w:t xml:space="preserve"> </w:t>
      </w:r>
      <w:r w:rsidR="0084685A">
        <w:t xml:space="preserve">Also we have found no compelling reason to depart from the tariff structure AGN has proposed. </w:t>
      </w:r>
      <w:r w:rsidR="002624DE" w:rsidRPr="002624DE">
        <w:t>Nonetheless, if stakeholders can provide to us compelling reasons</w:t>
      </w:r>
      <w:r w:rsidR="002624DE">
        <w:t xml:space="preserve"> to apply an alternative tariff structure we may review our </w:t>
      </w:r>
      <w:r w:rsidR="002624DE" w:rsidRPr="002624DE">
        <w:t>draft decision position when making the final determination.</w:t>
      </w:r>
    </w:p>
    <w:p w:rsidR="00865FC8" w:rsidRDefault="002624DE" w:rsidP="00135746">
      <w:r>
        <w:t>The remainder of this</w:t>
      </w:r>
      <w:r w:rsidR="00865FC8">
        <w:t xml:space="preserve"> section sets out the reasons for our draft decision</w:t>
      </w:r>
      <w:r>
        <w:t xml:space="preserve"> </w:t>
      </w:r>
      <w:r w:rsidR="00865FC8">
        <w:t>under the following headings:</w:t>
      </w:r>
    </w:p>
    <w:p w:rsidR="00865FC8" w:rsidRPr="00A928A4" w:rsidRDefault="00865FC8" w:rsidP="00A928A4">
      <w:pPr>
        <w:pStyle w:val="AERbulletlistfirststyle"/>
      </w:pPr>
      <w:r w:rsidRPr="00A928A4">
        <w:t>the allocation of revenues and costs to reference tariffs</w:t>
      </w:r>
    </w:p>
    <w:p w:rsidR="00865FC8" w:rsidRPr="00A928A4" w:rsidRDefault="00865FC8" w:rsidP="00A928A4">
      <w:pPr>
        <w:pStyle w:val="AERbulletlistfirststyle"/>
      </w:pPr>
      <w:r w:rsidRPr="00A928A4">
        <w:t>the establishment of tariff classes</w:t>
      </w:r>
    </w:p>
    <w:p w:rsidR="00865FC8" w:rsidRPr="00A928A4" w:rsidRDefault="00865FC8" w:rsidP="00A928A4">
      <w:pPr>
        <w:pStyle w:val="AERbulletlistfirststyle"/>
      </w:pPr>
      <w:proofErr w:type="gramStart"/>
      <w:r w:rsidRPr="00A928A4">
        <w:t>tariff</w:t>
      </w:r>
      <w:proofErr w:type="gramEnd"/>
      <w:r w:rsidRPr="00A928A4">
        <w:t xml:space="preserve"> classes and revenue limits.</w:t>
      </w:r>
    </w:p>
    <w:p w:rsidR="00BC0D9D" w:rsidRDefault="00BC0D9D" w:rsidP="00BC0D9D">
      <w:pPr>
        <w:pStyle w:val="Heading3"/>
      </w:pPr>
      <w:bookmarkStart w:id="20" w:name="_Toc436054866"/>
      <w:r>
        <w:t>Allocation of revenues and costs to reference tariffs</w:t>
      </w:r>
      <w:bookmarkEnd w:id="20"/>
    </w:p>
    <w:p w:rsidR="00AC5E38" w:rsidRDefault="00AC5E38" w:rsidP="00BC0D9D">
      <w:r>
        <w:t>We are satisfied AGN’s approach</w:t>
      </w:r>
      <w:r w:rsidRPr="00AC5E38">
        <w:t xml:space="preserve"> to allocating revenue and </w:t>
      </w:r>
      <w:r w:rsidR="005F4A41" w:rsidRPr="00AC5E38">
        <w:t>costs be</w:t>
      </w:r>
      <w:r w:rsidR="005F4A41">
        <w:t>tween reference services and non</w:t>
      </w:r>
      <w:r w:rsidR="005F4A41">
        <w:noBreakHyphen/>
      </w:r>
      <w:r w:rsidR="005F4A41" w:rsidRPr="00AC5E38">
        <w:t>reference services comply</w:t>
      </w:r>
      <w:r w:rsidRPr="00AC5E38">
        <w:t xml:space="preserve"> with the NGR</w:t>
      </w:r>
      <w:r>
        <w:rPr>
          <w:rStyle w:val="FootnoteReference"/>
        </w:rPr>
        <w:footnoteReference w:id="29"/>
      </w:r>
      <w:r>
        <w:t xml:space="preserve"> for the following reasons:</w:t>
      </w:r>
    </w:p>
    <w:p w:rsidR="00AC5E38" w:rsidRDefault="00AC5E38" w:rsidP="00AC5E38">
      <w:pPr>
        <w:pStyle w:val="AERbulletlistfirststyle"/>
      </w:pPr>
      <w:r>
        <w:t xml:space="preserve">We are satisfied AGN’s proposed costs relating to its reference services do not include costs incurred </w:t>
      </w:r>
      <w:r w:rsidR="005F4A41">
        <w:t>(</w:t>
      </w:r>
      <w:r>
        <w:t>and recovered</w:t>
      </w:r>
      <w:r w:rsidR="005F4A41">
        <w:t>)</w:t>
      </w:r>
      <w:r>
        <w:t xml:space="preserve"> from the provision of its non</w:t>
      </w:r>
      <w:r w:rsidR="00DA366C">
        <w:t>–</w:t>
      </w:r>
      <w:r>
        <w:t>reference services.</w:t>
      </w:r>
    </w:p>
    <w:p w:rsidR="00AC5E38" w:rsidRDefault="00044329" w:rsidP="002C1261">
      <w:pPr>
        <w:pStyle w:val="AERbulletlistfirststyle"/>
      </w:pPr>
      <w:r>
        <w:t>AGN has not allocate</w:t>
      </w:r>
      <w:r w:rsidR="00ED214F">
        <w:t>d</w:t>
      </w:r>
      <w:r>
        <w:t xml:space="preserve"> the non</w:t>
      </w:r>
      <w:r w:rsidR="00DA366C">
        <w:t>–</w:t>
      </w:r>
      <w:r>
        <w:t>reference service</w:t>
      </w:r>
      <w:r w:rsidR="002C1261" w:rsidRPr="002C1261">
        <w:t xml:space="preserve"> revenue to a reference service </w:t>
      </w:r>
      <w:r w:rsidR="00351C3F">
        <w:t>because</w:t>
      </w:r>
      <w:r w:rsidR="00351C3F" w:rsidRPr="002C1261">
        <w:t xml:space="preserve"> </w:t>
      </w:r>
      <w:r w:rsidR="002C1261" w:rsidRPr="002C1261">
        <w:t>the unde</w:t>
      </w:r>
      <w:r w:rsidR="00ED214F">
        <w:t xml:space="preserve">rlying costs </w:t>
      </w:r>
      <w:r w:rsidR="00351C3F">
        <w:t xml:space="preserve">have not been included in </w:t>
      </w:r>
      <w:r w:rsidR="00ED214F">
        <w:t>A</w:t>
      </w:r>
      <w:r w:rsidR="002C1261" w:rsidRPr="002C1261">
        <w:t>GN’s building block revenues.</w:t>
      </w:r>
    </w:p>
    <w:p w:rsidR="00AC5E38" w:rsidRPr="00AC5E38" w:rsidRDefault="00AC5E38" w:rsidP="00AC5E38">
      <w:pPr>
        <w:pStyle w:val="AERbulletlistfirststyle"/>
      </w:pPr>
      <w:r>
        <w:t>A</w:t>
      </w:r>
      <w:r w:rsidRPr="00AC5E38">
        <w:t xml:space="preserve">GN's </w:t>
      </w:r>
      <w:r w:rsidR="00B96B4A">
        <w:t>proposal</w:t>
      </w:r>
      <w:r w:rsidRPr="00AC5E38">
        <w:t xml:space="preserve"> included information outlining its stand</w:t>
      </w:r>
      <w:r w:rsidR="00DA366C">
        <w:t>–</w:t>
      </w:r>
      <w:r w:rsidRPr="00AC5E38">
        <w:t>alone costs, long run marginal costs and incremental costs which we have no objection to.</w:t>
      </w:r>
      <w:r>
        <w:rPr>
          <w:rStyle w:val="FootnoteReference"/>
        </w:rPr>
        <w:footnoteReference w:id="30"/>
      </w:r>
    </w:p>
    <w:p w:rsidR="00BC0D9D" w:rsidRDefault="00BC0D9D" w:rsidP="00BC0D9D">
      <w:pPr>
        <w:pStyle w:val="Heading3"/>
      </w:pPr>
      <w:bookmarkStart w:id="21" w:name="_Toc436054867"/>
      <w:r>
        <w:t>Establishment of tariff classes</w:t>
      </w:r>
      <w:bookmarkEnd w:id="21"/>
    </w:p>
    <w:p w:rsidR="002C1261" w:rsidRDefault="002C1261" w:rsidP="002C1261">
      <w:r>
        <w:t xml:space="preserve">AGN groups its </w:t>
      </w:r>
      <w:r w:rsidR="00E16566">
        <w:t>customers by</w:t>
      </w:r>
      <w:r w:rsidR="006307D5">
        <w:t xml:space="preserve"> the nature of the haulage reference service</w:t>
      </w:r>
      <w:r>
        <w:t xml:space="preserve"> </w:t>
      </w:r>
      <w:r w:rsidR="006307D5">
        <w:t xml:space="preserve">(residential, commercial </w:t>
      </w:r>
      <w:r>
        <w:t>or demand tariff categories</w:t>
      </w:r>
      <w:r w:rsidR="006307D5">
        <w:t>)</w:t>
      </w:r>
      <w:r>
        <w:t xml:space="preserve"> and classifies them by </w:t>
      </w:r>
      <w:r w:rsidR="00351C3F">
        <w:t xml:space="preserve">their </w:t>
      </w:r>
      <w:r>
        <w:t>location</w:t>
      </w:r>
      <w:r w:rsidR="006307D5">
        <w:t xml:space="preserve"> on the distribution network</w:t>
      </w:r>
      <w:r>
        <w:t xml:space="preserve">. We consider that these characteristics are likely to </w:t>
      </w:r>
      <w:r w:rsidR="00351C3F">
        <w:t xml:space="preserve">be the </w:t>
      </w:r>
      <w:r>
        <w:t>drive</w:t>
      </w:r>
      <w:r w:rsidR="00351C3F">
        <w:t>r of</w:t>
      </w:r>
      <w:r>
        <w:t xml:space="preserve"> costs within AGN's gas distribution network. Therefore, using them to group customers into tariff class is appropriate.</w:t>
      </w:r>
      <w:r w:rsidR="007E2BE2">
        <w:t xml:space="preserve"> </w:t>
      </w:r>
      <w:r>
        <w:t>We note AGN’s proposed tariff classes are consistent with the tariff classes in the current access arrangement.</w:t>
      </w:r>
      <w:r w:rsidR="006307D5">
        <w:t xml:space="preserve"> </w:t>
      </w:r>
    </w:p>
    <w:p w:rsidR="00E16566" w:rsidRPr="00E16566" w:rsidRDefault="002C1261" w:rsidP="00E16566">
      <w:r>
        <w:t>Based on the above reason</w:t>
      </w:r>
      <w:r w:rsidR="006307D5">
        <w:t>s</w:t>
      </w:r>
      <w:r>
        <w:t>, we are satisfied that the proposed tariff classes are consistent with the requirements of the NGR.</w:t>
      </w:r>
      <w:r>
        <w:rPr>
          <w:rStyle w:val="FootnoteReference"/>
        </w:rPr>
        <w:footnoteReference w:id="31"/>
      </w:r>
    </w:p>
    <w:p w:rsidR="00BC0D9D" w:rsidRDefault="00BC0D9D" w:rsidP="00BC0D9D">
      <w:pPr>
        <w:pStyle w:val="Heading3"/>
      </w:pPr>
      <w:bookmarkStart w:id="22" w:name="_Toc436054868"/>
      <w:r>
        <w:t>Tariff classes and revenue limits</w:t>
      </w:r>
      <w:bookmarkEnd w:id="22"/>
    </w:p>
    <w:p w:rsidR="002624DE" w:rsidRDefault="00F81B27" w:rsidP="007B16AB">
      <w:r>
        <w:t>We have assessed</w:t>
      </w:r>
      <w:r w:rsidR="008E59A3" w:rsidRPr="008E59A3">
        <w:t xml:space="preserve"> AGN</w:t>
      </w:r>
      <w:r>
        <w:t>’s</w:t>
      </w:r>
      <w:r w:rsidR="008E59A3" w:rsidRPr="008E59A3">
        <w:t xml:space="preserve"> </w:t>
      </w:r>
      <w:r>
        <w:t xml:space="preserve">tariff classes and revenue limits against the following </w:t>
      </w:r>
      <w:r w:rsidR="00351C3F">
        <w:t xml:space="preserve">NGR </w:t>
      </w:r>
      <w:r w:rsidR="009A501B">
        <w:t>considerations:</w:t>
      </w:r>
      <w:r>
        <w:rPr>
          <w:rStyle w:val="FootnoteReference"/>
        </w:rPr>
        <w:footnoteReference w:id="32"/>
      </w:r>
    </w:p>
    <w:p w:rsidR="007B16AB" w:rsidRDefault="007B16AB" w:rsidP="007B16AB">
      <w:r>
        <w:t>(a)</w:t>
      </w:r>
      <w:r>
        <w:tab/>
      </w:r>
      <w:proofErr w:type="gramStart"/>
      <w:r>
        <w:t>the</w:t>
      </w:r>
      <w:proofErr w:type="gramEnd"/>
      <w:r>
        <w:t xml:space="preserve"> expected average revenue of a tarif</w:t>
      </w:r>
      <w:r w:rsidR="008B3875">
        <w:t>f class compares with the stand</w:t>
      </w:r>
      <w:r w:rsidR="00DA366C">
        <w:t>–</w:t>
      </w:r>
      <w:r>
        <w:t>alone cost and avoidable cost of providing the reference service to that tariff class</w:t>
      </w:r>
    </w:p>
    <w:p w:rsidR="007B16AB" w:rsidRDefault="007B16AB" w:rsidP="007B16AB">
      <w:r>
        <w:t>(b)</w:t>
      </w:r>
      <w:r>
        <w:tab/>
      </w:r>
      <w:proofErr w:type="gramStart"/>
      <w:r>
        <w:t>whether</w:t>
      </w:r>
      <w:proofErr w:type="gramEnd"/>
      <w:r>
        <w:t xml:space="preserve"> the tariff takes into account transaction costs associated with </w:t>
      </w:r>
      <w:r w:rsidR="00351C3F">
        <w:t xml:space="preserve">developing and applying </w:t>
      </w:r>
      <w:r>
        <w:t>the tariff</w:t>
      </w:r>
    </w:p>
    <w:p w:rsidR="007B16AB" w:rsidRDefault="007B16AB" w:rsidP="007B16AB">
      <w:r>
        <w:t>(c)</w:t>
      </w:r>
      <w:r>
        <w:tab/>
      </w:r>
      <w:proofErr w:type="gramStart"/>
      <w:r>
        <w:t>whether</w:t>
      </w:r>
      <w:proofErr w:type="gramEnd"/>
      <w:r>
        <w:t xml:space="preserve"> the tariffs take into account the long run marginal costs of reference services</w:t>
      </w:r>
    </w:p>
    <w:p w:rsidR="007E2BE2" w:rsidRPr="007E2BE2" w:rsidRDefault="007B16AB" w:rsidP="007B16AB">
      <w:r>
        <w:t>(d)</w:t>
      </w:r>
      <w:r>
        <w:tab/>
      </w:r>
      <w:proofErr w:type="gramStart"/>
      <w:r>
        <w:t>whether</w:t>
      </w:r>
      <w:proofErr w:type="gramEnd"/>
      <w:r>
        <w:t xml:space="preserve"> customers belonging to the relevant tariff class are </w:t>
      </w:r>
      <w:r w:rsidR="00505DCC" w:rsidRPr="00F81630">
        <w:t>able</w:t>
      </w:r>
      <w:r w:rsidR="00505DCC">
        <w:t>,</w:t>
      </w:r>
      <w:r w:rsidR="00505DCC" w:rsidRPr="00F81630">
        <w:t xml:space="preserve"> or likely</w:t>
      </w:r>
      <w:r w:rsidR="00505DCC">
        <w:t>,</w:t>
      </w:r>
      <w:r w:rsidR="00505DCC" w:rsidRPr="00F81630">
        <w:t xml:space="preserve"> </w:t>
      </w:r>
      <w:r w:rsidR="00505DCC">
        <w:t>to respond</w:t>
      </w:r>
      <w:r>
        <w:t xml:space="preserve"> to price signals</w:t>
      </w:r>
      <w:r w:rsidR="00F81B27">
        <w:t>.</w:t>
      </w:r>
    </w:p>
    <w:p w:rsidR="007E2BE2" w:rsidRDefault="008B3875" w:rsidP="007E2BE2">
      <w:pPr>
        <w:pStyle w:val="HeadingBoldBlue"/>
      </w:pPr>
      <w:r>
        <w:t>Stand</w:t>
      </w:r>
      <w:r w:rsidR="00DA366C">
        <w:t>–</w:t>
      </w:r>
      <w:r>
        <w:t>alone and avoidable costs</w:t>
      </w:r>
    </w:p>
    <w:p w:rsidR="007E2BE2" w:rsidRDefault="007E2BE2" w:rsidP="007E2BE2">
      <w:r>
        <w:t>We are satisfied that AGN's proposed reference tariffs are consistent with the NGR requirements</w:t>
      </w:r>
      <w:r w:rsidR="00CC6DCB">
        <w:rPr>
          <w:rStyle w:val="FootnoteReference"/>
        </w:rPr>
        <w:footnoteReference w:id="33"/>
      </w:r>
      <w:r>
        <w:t xml:space="preserve"> because the expected revenue to be recovered lie on or between:</w:t>
      </w:r>
    </w:p>
    <w:p w:rsidR="007E2BE2" w:rsidRDefault="007E2BE2" w:rsidP="007E2BE2">
      <w:pPr>
        <w:pStyle w:val="AERbulletlistfirststyle"/>
      </w:pPr>
      <w:r>
        <w:t>an upper bound representing the stand</w:t>
      </w:r>
      <w:r w:rsidR="00DA366C">
        <w:t>–</w:t>
      </w:r>
      <w:r>
        <w:t>alone cost of providing the reference service to customers who belong to that tariff class</w:t>
      </w:r>
    </w:p>
    <w:p w:rsidR="007E2BE2" w:rsidRDefault="007E2BE2" w:rsidP="007E2BE2">
      <w:pPr>
        <w:pStyle w:val="AERbulletlistfirststyle"/>
      </w:pPr>
      <w:proofErr w:type="gramStart"/>
      <w:r>
        <w:t>a</w:t>
      </w:r>
      <w:proofErr w:type="gramEnd"/>
      <w:r>
        <w:t xml:space="preserve"> lower bound representing the avoidable cost of not providing the reference service to those customers.</w:t>
      </w:r>
      <w:r>
        <w:rPr>
          <w:rStyle w:val="FootnoteReference"/>
        </w:rPr>
        <w:footnoteReference w:id="34"/>
      </w:r>
    </w:p>
    <w:p w:rsidR="00252416" w:rsidRDefault="00252416" w:rsidP="007E2BE2">
      <w:r>
        <w:t>We had regard to the quantitative material AGN submitted to us which indicated the above criteria were met.</w:t>
      </w:r>
      <w:r>
        <w:rPr>
          <w:rStyle w:val="FootnoteReference"/>
        </w:rPr>
        <w:footnoteReference w:id="35"/>
      </w:r>
      <w:r>
        <w:t xml:space="preserve"> We observe that the methodology for calculating these metrics is identical to that undertaken in the past. </w:t>
      </w:r>
    </w:p>
    <w:p w:rsidR="007E2BE2" w:rsidRPr="002C1261" w:rsidRDefault="00252416" w:rsidP="007E2BE2">
      <w:r>
        <w:t>It follows that w</w:t>
      </w:r>
      <w:r w:rsidR="007E2BE2">
        <w:t xml:space="preserve">e </w:t>
      </w:r>
      <w:r w:rsidR="00351C3F">
        <w:t xml:space="preserve">consider </w:t>
      </w:r>
      <w:r w:rsidR="007E2BE2">
        <w:t>AGN's definitions of avoidable and stand</w:t>
      </w:r>
      <w:r w:rsidR="00DA366C">
        <w:t>–</w:t>
      </w:r>
      <w:r w:rsidR="007E2BE2">
        <w:t xml:space="preserve">alone costs for the tariff classes are acceptable for assessing compliance </w:t>
      </w:r>
      <w:r w:rsidR="008E1EE1">
        <w:t xml:space="preserve">with </w:t>
      </w:r>
      <w:r w:rsidR="007E2BE2">
        <w:t>the NGR.</w:t>
      </w:r>
      <w:r w:rsidR="00465004">
        <w:rPr>
          <w:rStyle w:val="FootnoteReference"/>
        </w:rPr>
        <w:footnoteReference w:id="36"/>
      </w:r>
      <w:r w:rsidR="007E2BE2">
        <w:t xml:space="preserve"> We have also reviewed the methodology applied by AGN to demonstrate that for each tariff, the expected tariff revenue lies on or between the avoidable and standalone costs.</w:t>
      </w:r>
      <w:r w:rsidR="007E2BE2">
        <w:rPr>
          <w:rStyle w:val="FootnoteReference"/>
        </w:rPr>
        <w:footnoteReference w:id="37"/>
      </w:r>
      <w:r w:rsidR="007E2BE2">
        <w:t xml:space="preserve"> </w:t>
      </w:r>
      <w:r w:rsidR="00DC6767">
        <w:t>Again, this</w:t>
      </w:r>
      <w:r w:rsidR="007E2BE2">
        <w:t xml:space="preserve"> is comparable to the analysis we have undertaken for other energy businesses over a number of years, and the outcome is consistent.</w:t>
      </w:r>
    </w:p>
    <w:p w:rsidR="007B16AB" w:rsidRDefault="007B16AB" w:rsidP="007B16AB">
      <w:pPr>
        <w:pStyle w:val="HeadingBoldBlue"/>
      </w:pPr>
      <w:r>
        <w:t>Transaction costs</w:t>
      </w:r>
    </w:p>
    <w:p w:rsidR="008B3875" w:rsidRPr="004C32F4" w:rsidRDefault="004C32F4" w:rsidP="00BF48E8">
      <w:r>
        <w:t xml:space="preserve">We are satisfied that AGN’s </w:t>
      </w:r>
      <w:r w:rsidR="008B3875">
        <w:t>proposed</w:t>
      </w:r>
      <w:r w:rsidR="00484BCE">
        <w:t xml:space="preserve"> reference</w:t>
      </w:r>
      <w:r w:rsidR="008B3875">
        <w:t xml:space="preserve"> tariff</w:t>
      </w:r>
      <w:r w:rsidR="00BF48E8">
        <w:t>s have</w:t>
      </w:r>
      <w:r w:rsidR="008B3875">
        <w:t xml:space="preserve"> </w:t>
      </w:r>
      <w:r w:rsidR="00BF48E8" w:rsidRPr="00BF48E8">
        <w:t>take</w:t>
      </w:r>
      <w:r w:rsidR="00BF48E8">
        <w:t>n</w:t>
      </w:r>
      <w:r w:rsidR="00BF48E8" w:rsidRPr="00BF48E8">
        <w:t xml:space="preserve"> into account transaction costs associated with the tariff</w:t>
      </w:r>
      <w:r w:rsidR="00BF48E8">
        <w:t xml:space="preserve"> and the need to avoid </w:t>
      </w:r>
      <w:r w:rsidR="00351C3F">
        <w:t>them where possible</w:t>
      </w:r>
      <w:r w:rsidR="00BF48E8">
        <w:t>.</w:t>
      </w:r>
      <w:r w:rsidR="00BF48E8">
        <w:rPr>
          <w:rStyle w:val="FootnoteReference"/>
        </w:rPr>
        <w:footnoteReference w:id="38"/>
      </w:r>
      <w:r w:rsidR="00BF48E8">
        <w:t xml:space="preserve"> We consider the continuation</w:t>
      </w:r>
      <w:r w:rsidR="008D3ED1">
        <w:t xml:space="preserve"> of the</w:t>
      </w:r>
      <w:r w:rsidR="00BF48E8">
        <w:t xml:space="preserve"> current access arrangement tariff classes and tariff structures will minimise any additional transaction costs across access arrangement</w:t>
      </w:r>
      <w:r w:rsidR="008D3ED1">
        <w:t xml:space="preserve"> periods and thereby avoiding</w:t>
      </w:r>
      <w:r w:rsidR="00351C3F">
        <w:t xml:space="preserve"> their</w:t>
      </w:r>
      <w:r w:rsidR="008D3ED1">
        <w:t xml:space="preserve"> unnecessary</w:t>
      </w:r>
      <w:r w:rsidR="00351C3F">
        <w:t xml:space="preserve"> imposition.</w:t>
      </w:r>
    </w:p>
    <w:p w:rsidR="00BC0D9D" w:rsidRDefault="007B16AB" w:rsidP="007B16AB">
      <w:pPr>
        <w:pStyle w:val="HeadingBoldBlue"/>
      </w:pPr>
      <w:r>
        <w:t>Long run marginal cost</w:t>
      </w:r>
    </w:p>
    <w:p w:rsidR="00505DCC" w:rsidRDefault="00B96B4A" w:rsidP="00F81630">
      <w:r>
        <w:t xml:space="preserve">AGN noted it used the </w:t>
      </w:r>
      <w:r w:rsidRPr="00B96B4A">
        <w:t>Average Incremental Cost approach to calculate the long run marginal cost (LRMC)</w:t>
      </w:r>
      <w:r w:rsidR="008E59A3">
        <w:t xml:space="preserve"> by tariff class</w:t>
      </w:r>
      <w:r w:rsidRPr="00B96B4A">
        <w:t>.</w:t>
      </w:r>
      <w:r>
        <w:rPr>
          <w:rStyle w:val="FootnoteReference"/>
        </w:rPr>
        <w:footnoteReference w:id="39"/>
      </w:r>
      <w:r>
        <w:t xml:space="preserve"> </w:t>
      </w:r>
      <w:r w:rsidR="008E59A3">
        <w:t>However, AGN considered that given data limitations it is not possible to obtain reasonable LRMC outcomes at the tariff class level, by geographical region or even at a whole–of–network level.</w:t>
      </w:r>
      <w:r w:rsidR="008E59A3">
        <w:rPr>
          <w:rStyle w:val="FootnoteReference"/>
        </w:rPr>
        <w:footnoteReference w:id="40"/>
      </w:r>
    </w:p>
    <w:p w:rsidR="00B96B4A" w:rsidRDefault="008D3ED1" w:rsidP="00F81630">
      <w:r>
        <w:t>We note our discretion</w:t>
      </w:r>
      <w:r w:rsidR="0081599C">
        <w:t xml:space="preserve"> under the NGR</w:t>
      </w:r>
      <w:r>
        <w:t xml:space="preserve"> </w:t>
      </w:r>
      <w:r w:rsidR="0081599C">
        <w:t>on LMRC is limited.</w:t>
      </w:r>
      <w:r w:rsidR="0081599C">
        <w:rPr>
          <w:rStyle w:val="FootnoteReference"/>
        </w:rPr>
        <w:footnoteReference w:id="41"/>
      </w:r>
      <w:r w:rsidR="0081599C">
        <w:t xml:space="preserve"> However, we consider the approach taken by AGN is generally consistent with that applied by other gas distribution networks</w:t>
      </w:r>
      <w:r w:rsidR="00505DCC">
        <w:t xml:space="preserve"> and has historical precedent in past access arra</w:t>
      </w:r>
      <w:r w:rsidR="00306AF0">
        <w:t>n</w:t>
      </w:r>
      <w:r w:rsidR="00505DCC">
        <w:t>g</w:t>
      </w:r>
      <w:r w:rsidR="00306AF0">
        <w:t>e</w:t>
      </w:r>
      <w:r w:rsidR="00505DCC">
        <w:t>ments</w:t>
      </w:r>
      <w:r w:rsidR="0081599C">
        <w:t xml:space="preserve">. </w:t>
      </w:r>
      <w:r w:rsidR="00505DCC">
        <w:t xml:space="preserve">At any rate we observe </w:t>
      </w:r>
      <w:r w:rsidR="0081599C">
        <w:t>that the calculated values of LRMC are sensitive to the assumptions made around a number of different variables. As such, these should only be used as a guide when assessing price levels and structures</w:t>
      </w:r>
      <w:r w:rsidR="00505DCC">
        <w:t>, rather than be considered definitive</w:t>
      </w:r>
      <w:r w:rsidR="00B157C2">
        <w:t>.</w:t>
      </w:r>
    </w:p>
    <w:p w:rsidR="007B16AB" w:rsidRDefault="00484BCE" w:rsidP="007B16AB">
      <w:pPr>
        <w:pStyle w:val="HeadingBoldBlue"/>
      </w:pPr>
      <w:r>
        <w:t>R</w:t>
      </w:r>
      <w:r w:rsidR="007B16AB">
        <w:t>esponse to price signals</w:t>
      </w:r>
    </w:p>
    <w:p w:rsidR="00484BCE" w:rsidRDefault="00484BCE" w:rsidP="00474EC7">
      <w:r>
        <w:t xml:space="preserve">We are satisfied AGN’s proposed reference tariffs have </w:t>
      </w:r>
      <w:r w:rsidR="00F81630" w:rsidRPr="00F81630">
        <w:t>be</w:t>
      </w:r>
      <w:r>
        <w:t>en</w:t>
      </w:r>
      <w:r w:rsidR="00F81630" w:rsidRPr="00F81630">
        <w:t xml:space="preserve"> determined having regard to whether customers are able</w:t>
      </w:r>
      <w:r w:rsidR="00505DCC">
        <w:t>,</w:t>
      </w:r>
      <w:r w:rsidR="00F81630" w:rsidRPr="00F81630">
        <w:t xml:space="preserve"> or likely</w:t>
      </w:r>
      <w:r w:rsidR="00505DCC">
        <w:t>,</w:t>
      </w:r>
      <w:r w:rsidR="00F81630" w:rsidRPr="00F81630">
        <w:t xml:space="preserve"> to respond to price signals.</w:t>
      </w:r>
      <w:r w:rsidR="0081599C">
        <w:rPr>
          <w:rStyle w:val="FootnoteReference"/>
        </w:rPr>
        <w:footnoteReference w:id="42"/>
      </w:r>
      <w:r w:rsidR="00F81630" w:rsidRPr="00F81630">
        <w:t xml:space="preserve"> </w:t>
      </w:r>
      <w:r w:rsidR="0089244F">
        <w:t>We consider the</w:t>
      </w:r>
      <w:r w:rsidR="00505DCC">
        <w:t xml:space="preserve"> existing </w:t>
      </w:r>
      <w:r w:rsidR="0089244F">
        <w:t>structure of tariffs is well known to AGN’s customers and allows them to respond to the price</w:t>
      </w:r>
      <w:r w:rsidR="00505DCC">
        <w:t>s</w:t>
      </w:r>
      <w:r w:rsidR="0089244F">
        <w:t xml:space="preserve"> </w:t>
      </w:r>
      <w:r w:rsidR="00505DCC">
        <w:t xml:space="preserve">within each </w:t>
      </w:r>
      <w:r w:rsidR="0089244F">
        <w:t>block</w:t>
      </w:r>
      <w:r w:rsidR="00505DCC">
        <w:t xml:space="preserve"> (or band)</w:t>
      </w:r>
      <w:r w:rsidR="0089244F">
        <w:t xml:space="preserve"> by adjusting their consumption.</w:t>
      </w:r>
    </w:p>
    <w:p w:rsidR="00484BCE" w:rsidRDefault="0089244F" w:rsidP="00474EC7">
      <w:r>
        <w:t xml:space="preserve">As noted above, the Government of South Australia </w:t>
      </w:r>
      <w:r w:rsidR="00B67D0E">
        <w:t>suggested that consideration should be given to a change in tariff structure to potentially provide a way to alleviate issues associated with the declining trend in total gas consumption.</w:t>
      </w:r>
      <w:r w:rsidR="00F81B27">
        <w:rPr>
          <w:rStyle w:val="FootnoteReference"/>
        </w:rPr>
        <w:footnoteReference w:id="43"/>
      </w:r>
      <w:r w:rsidR="00F81B27">
        <w:t xml:space="preserve"> Although </w:t>
      </w:r>
      <w:r>
        <w:t>we have found no compelling reason to depart from the tariff structure AGN has proposed</w:t>
      </w:r>
      <w:r w:rsidR="00505DCC">
        <w:t>,</w:t>
      </w:r>
      <w:r w:rsidR="00F81B27">
        <w:t xml:space="preserve"> we consider if stak</w:t>
      </w:r>
      <w:r w:rsidRPr="002624DE">
        <w:t>eholders can provide to us compelling reasons</w:t>
      </w:r>
      <w:r>
        <w:t xml:space="preserve"> </w:t>
      </w:r>
      <w:r w:rsidR="00505DCC">
        <w:t xml:space="preserve">for a change </w:t>
      </w:r>
      <w:r>
        <w:t xml:space="preserve">we may review our </w:t>
      </w:r>
      <w:r w:rsidRPr="002624DE">
        <w:t>draft decision position when making the final determination.</w:t>
      </w:r>
    </w:p>
    <w:p w:rsidR="00E86009" w:rsidRDefault="00E86009" w:rsidP="000A4568">
      <w:pPr>
        <w:pStyle w:val="Heading3"/>
      </w:pPr>
      <w:bookmarkStart w:id="23" w:name="_Toc436054869"/>
      <w:r>
        <w:t>Prudent discounts</w:t>
      </w:r>
      <w:bookmarkEnd w:id="23"/>
    </w:p>
    <w:p w:rsidR="00DD4987" w:rsidRDefault="00DD4987" w:rsidP="00E86009">
      <w:r>
        <w:t>We consider that the prudent discount</w:t>
      </w:r>
      <w:r w:rsidR="0022405F">
        <w:t>s</w:t>
      </w:r>
      <w:r>
        <w:rPr>
          <w:rStyle w:val="FootnoteReference"/>
        </w:rPr>
        <w:footnoteReference w:id="44"/>
      </w:r>
      <w:r w:rsidR="0022405F">
        <w:t xml:space="preserve"> AGN proposed to offer is necessary to respond to competition from other providers of pipeline services or alternative energy sources and to ensure the ongoing efficient use of its pipeline. Further, AGN has demonstrated that the negotiated revenue from each prudent discount service exceeds the estimate of the avoidable costs.</w:t>
      </w:r>
      <w:r w:rsidR="0022405F">
        <w:rPr>
          <w:rStyle w:val="FootnoteReference"/>
        </w:rPr>
        <w:footnoteReference w:id="45"/>
      </w:r>
      <w:r w:rsidR="0022405F">
        <w:t xml:space="preserve"> Without a prudent discount a customer may by</w:t>
      </w:r>
      <w:r w:rsidR="00DA366C">
        <w:t>–</w:t>
      </w:r>
      <w:r w:rsidR="0022405F">
        <w:t xml:space="preserve">pass the network with the consequence that tariffs would be higher for all remaining users. We note AGN’s proposal is </w:t>
      </w:r>
      <w:r w:rsidR="00DB5C2E">
        <w:t xml:space="preserve">entirely </w:t>
      </w:r>
      <w:r w:rsidR="0022405F">
        <w:t>consistent with the prudent discounts</w:t>
      </w:r>
      <w:r w:rsidR="00DC6767">
        <w:t>' methodology</w:t>
      </w:r>
      <w:r w:rsidR="0022405F">
        <w:t xml:space="preserve"> we have approved for it previously.</w:t>
      </w:r>
      <w:r w:rsidR="0022405F">
        <w:rPr>
          <w:rStyle w:val="FootnoteReference"/>
        </w:rPr>
        <w:footnoteReference w:id="46"/>
      </w:r>
      <w:r w:rsidR="0022405F">
        <w:t xml:space="preserve"> </w:t>
      </w:r>
    </w:p>
    <w:p w:rsidR="00E86009" w:rsidRPr="00E86009" w:rsidRDefault="0022405F" w:rsidP="009944C3">
      <w:r>
        <w:t xml:space="preserve">The proposed prudent discounts will be offered to the same four demand customers who have received these discounts </w:t>
      </w:r>
      <w:r w:rsidR="00DB5C2E">
        <w:t xml:space="preserve">during the </w:t>
      </w:r>
      <w:r>
        <w:t>past two access arrangements.</w:t>
      </w:r>
      <w:r>
        <w:rPr>
          <w:rStyle w:val="FootnoteReference"/>
        </w:rPr>
        <w:footnoteReference w:id="47"/>
      </w:r>
      <w:r w:rsidR="009944C3">
        <w:t xml:space="preserve"> </w:t>
      </w:r>
      <w:r>
        <w:t>For each current prudent discount</w:t>
      </w:r>
      <w:r w:rsidR="00306AF0">
        <w:t>,</w:t>
      </w:r>
      <w:r>
        <w:t xml:space="preserve"> AGN provided justification</w:t>
      </w:r>
      <w:r w:rsidRPr="0022405F">
        <w:t xml:space="preserve"> </w:t>
      </w:r>
      <w:r>
        <w:t xml:space="preserve">that the </w:t>
      </w:r>
      <w:r w:rsidRPr="004A0DDC">
        <w:t xml:space="preserve">provision of the discount is likely to lead to lower reference tariffs than otherwise </w:t>
      </w:r>
      <w:r w:rsidR="00DB5C2E">
        <w:t xml:space="preserve">would </w:t>
      </w:r>
      <w:r w:rsidRPr="004A0DDC">
        <w:t>have been</w:t>
      </w:r>
      <w:r w:rsidR="00DB5C2E">
        <w:t xml:space="preserve"> the case</w:t>
      </w:r>
      <w:r w:rsidRPr="004A0DDC">
        <w:t>.</w:t>
      </w:r>
      <w:r>
        <w:rPr>
          <w:rStyle w:val="FootnoteReference"/>
        </w:rPr>
        <w:footnoteReference w:id="48"/>
      </w:r>
      <w:r>
        <w:t xml:space="preserve"> </w:t>
      </w:r>
      <w:r w:rsidR="00B906EE">
        <w:t>Therefore we are satisfied that the proposed prudent discounts are consistent with the NGR and are thus approved.</w:t>
      </w:r>
      <w:r w:rsidR="00B906EE">
        <w:rPr>
          <w:rStyle w:val="FootnoteReference"/>
        </w:rPr>
        <w:footnoteReference w:id="49"/>
      </w:r>
    </w:p>
    <w:sectPr w:rsidR="00E86009" w:rsidRPr="00E86009"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04" w:rsidRPr="00290C63" w:rsidRDefault="00465004" w:rsidP="00290C63">
      <w:r>
        <w:separator/>
      </w:r>
    </w:p>
    <w:p w:rsidR="00465004" w:rsidRDefault="00465004"/>
  </w:endnote>
  <w:endnote w:type="continuationSeparator" w:id="0">
    <w:p w:rsidR="00465004" w:rsidRPr="00290C63" w:rsidRDefault="00465004" w:rsidP="00290C63">
      <w:r>
        <w:continuationSeparator/>
      </w:r>
    </w:p>
    <w:p w:rsidR="00465004" w:rsidRDefault="00465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04" w:rsidRDefault="0046500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465004" w:rsidRDefault="00465004">
    <w:pPr>
      <w:pStyle w:val="Footer"/>
    </w:pPr>
  </w:p>
  <w:p w:rsidR="00465004" w:rsidRDefault="00465004">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465004" w:rsidRPr="00CA52A2" w:rsidRDefault="00465004" w:rsidP="00CA52A2">
        <w:pPr>
          <w:pStyle w:val="Footer"/>
        </w:pPr>
        <w:r w:rsidRPr="00CA52A2">
          <w:fldChar w:fldCharType="begin"/>
        </w:r>
        <w:r>
          <w:instrText xml:space="preserve"> PAGE   \* MERGEFORMAT </w:instrText>
        </w:r>
        <w:r w:rsidRPr="00CA52A2">
          <w:fldChar w:fldCharType="separate"/>
        </w:r>
        <w:r w:rsidR="00D6239A">
          <w:rPr>
            <w:noProof/>
          </w:rPr>
          <w:t>10-14</w:t>
        </w:r>
        <w:r w:rsidRPr="00CA52A2">
          <w:fldChar w:fldCharType="end"/>
        </w:r>
        <w:r w:rsidRPr="00CA52A2">
          <w:t xml:space="preserve">          Attachment </w:t>
        </w:r>
        <w:r>
          <w:t xml:space="preserve">10 </w:t>
        </w:r>
        <w:r w:rsidRPr="00CA52A2">
          <w:t xml:space="preserve">– </w:t>
        </w:r>
        <w:r>
          <w:t xml:space="preserve">Reference tariff setting </w:t>
        </w:r>
        <w:r w:rsidRPr="00CA52A2">
          <w:t xml:space="preserve">| </w:t>
        </w:r>
        <w:r>
          <w:t>Draft decision: Australian Gas Networks Access Arrangement 2016</w:t>
        </w:r>
        <w:r w:rsidRPr="00CA52A2">
          <w:t>–</w:t>
        </w:r>
        <w:r>
          <w:t>21</w:t>
        </w:r>
      </w:p>
    </w:sdtContent>
  </w:sdt>
  <w:p w:rsidR="00465004" w:rsidRDefault="00465004">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04" w:rsidRPr="00290C63" w:rsidRDefault="00465004" w:rsidP="00290C63">
      <w:r>
        <w:separator/>
      </w:r>
    </w:p>
    <w:p w:rsidR="00465004" w:rsidRDefault="00465004"/>
  </w:footnote>
  <w:footnote w:type="continuationSeparator" w:id="0">
    <w:p w:rsidR="00465004" w:rsidRPr="00290C63" w:rsidRDefault="00465004" w:rsidP="00290C63">
      <w:r>
        <w:continuationSeparator/>
      </w:r>
    </w:p>
    <w:p w:rsidR="00465004" w:rsidRDefault="00465004"/>
  </w:footnote>
  <w:footnote w:id="1">
    <w:p w:rsidR="00465004" w:rsidRDefault="00465004">
      <w:pPr>
        <w:pStyle w:val="FootnoteText"/>
      </w:pPr>
      <w:r>
        <w:rPr>
          <w:rStyle w:val="FootnoteReference"/>
        </w:rPr>
        <w:footnoteRef/>
      </w:r>
      <w:r>
        <w:t xml:space="preserve"> </w:t>
      </w:r>
      <w:r>
        <w:tab/>
        <w:t>NGL, ss. 24(2</w:t>
      </w:r>
      <w:r w:rsidR="00DA366C">
        <w:t>)–(</w:t>
      </w:r>
      <w:r>
        <w:t>7)</w:t>
      </w:r>
      <w:r w:rsidR="00DA366C">
        <w:t>.</w:t>
      </w:r>
    </w:p>
  </w:footnote>
  <w:footnote w:id="2">
    <w:p w:rsidR="00465004" w:rsidRDefault="00465004">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proofErr w:type="gramStart"/>
      <w:r>
        <w:t>93, 94.</w:t>
      </w:r>
      <w:proofErr w:type="gramEnd"/>
    </w:p>
  </w:footnote>
  <w:footnote w:id="3">
    <w:p w:rsidR="00465004" w:rsidRDefault="00465004">
      <w:pPr>
        <w:pStyle w:val="FootnoteText"/>
      </w:pPr>
      <w:r>
        <w:rPr>
          <w:rStyle w:val="FootnoteReference"/>
        </w:rPr>
        <w:footnoteRef/>
      </w:r>
      <w:r>
        <w:t xml:space="preserve"> </w:t>
      </w:r>
      <w:r>
        <w:tab/>
      </w:r>
      <w:proofErr w:type="gramStart"/>
      <w:r>
        <w:t>NGR, r</w:t>
      </w:r>
      <w:r w:rsidR="00DA366C">
        <w:t>.</w:t>
      </w:r>
      <w:r>
        <w:t xml:space="preserve"> 96.</w:t>
      </w:r>
      <w:proofErr w:type="gramEnd"/>
    </w:p>
  </w:footnote>
  <w:footnote w:id="4">
    <w:p w:rsidR="00465004" w:rsidRDefault="00465004">
      <w:pPr>
        <w:pStyle w:val="FootnoteText"/>
      </w:pPr>
      <w:r>
        <w:rPr>
          <w:rStyle w:val="FootnoteReference"/>
        </w:rPr>
        <w:footnoteRef/>
      </w:r>
      <w:r>
        <w:t xml:space="preserve"> </w:t>
      </w:r>
      <w:r>
        <w:tab/>
      </w:r>
      <w:proofErr w:type="gramStart"/>
      <w:r>
        <w:t xml:space="preserve">AGN, </w:t>
      </w:r>
      <w:r>
        <w:rPr>
          <w:rStyle w:val="AERtextitalic"/>
        </w:rPr>
        <w:t>Access arrangement i</w:t>
      </w:r>
      <w:r w:rsidRPr="00594109">
        <w:rPr>
          <w:rStyle w:val="AERtextitalic"/>
        </w:rPr>
        <w:t>nformation</w:t>
      </w:r>
      <w:r>
        <w:t>,</w:t>
      </w:r>
      <w:r w:rsidRPr="00594109">
        <w:t xml:space="preserve"> July 2015</w:t>
      </w:r>
      <w:r>
        <w:t>, p. 246.</w:t>
      </w:r>
      <w:proofErr w:type="gramEnd"/>
    </w:p>
  </w:footnote>
  <w:footnote w:id="5">
    <w:p w:rsidR="00465004" w:rsidRDefault="00465004">
      <w:pPr>
        <w:pStyle w:val="FootnoteText"/>
      </w:pPr>
      <w:r>
        <w:rPr>
          <w:rStyle w:val="FootnoteReference"/>
        </w:rPr>
        <w:footnoteRef/>
      </w:r>
      <w:r>
        <w:t xml:space="preserve"> </w:t>
      </w:r>
      <w:r>
        <w:tab/>
      </w:r>
      <w:proofErr w:type="gramStart"/>
      <w:r>
        <w:t xml:space="preserve">AGN, </w:t>
      </w:r>
      <w:r>
        <w:rPr>
          <w:rStyle w:val="AERtextitalic"/>
        </w:rPr>
        <w:t>Access arrangement i</w:t>
      </w:r>
      <w:r w:rsidRPr="00594109">
        <w:rPr>
          <w:rStyle w:val="AERtextitalic"/>
        </w:rPr>
        <w:t>nformation</w:t>
      </w:r>
      <w:r>
        <w:t>,</w:t>
      </w:r>
      <w:r w:rsidRPr="00594109">
        <w:t xml:space="preserve"> July 2015</w:t>
      </w:r>
      <w:r>
        <w:t>, pp. 248–249.</w:t>
      </w:r>
      <w:proofErr w:type="gramEnd"/>
    </w:p>
  </w:footnote>
  <w:footnote w:id="6">
    <w:p w:rsidR="00465004" w:rsidRDefault="00465004">
      <w:pPr>
        <w:pStyle w:val="FootnoteText"/>
      </w:pPr>
      <w:r>
        <w:rPr>
          <w:rStyle w:val="FootnoteReference"/>
        </w:rPr>
        <w:footnoteRef/>
      </w:r>
      <w:r>
        <w:t xml:space="preserve"> </w:t>
      </w:r>
      <w:r>
        <w:tab/>
      </w:r>
      <w:proofErr w:type="gramStart"/>
      <w:r>
        <w:t xml:space="preserve">AGN, </w:t>
      </w:r>
      <w:r>
        <w:rPr>
          <w:rStyle w:val="AERtextitalic"/>
        </w:rPr>
        <w:t>Access arrangement i</w:t>
      </w:r>
      <w:r w:rsidRPr="00594109">
        <w:rPr>
          <w:rStyle w:val="AERtextitalic"/>
        </w:rPr>
        <w:t>nformation</w:t>
      </w:r>
      <w:r>
        <w:t>,</w:t>
      </w:r>
      <w:r w:rsidRPr="00594109">
        <w:t xml:space="preserve"> July 2015</w:t>
      </w:r>
      <w:r>
        <w:t>, p. 249.</w:t>
      </w:r>
      <w:proofErr w:type="gramEnd"/>
    </w:p>
  </w:footnote>
  <w:footnote w:id="7">
    <w:p w:rsidR="00465004" w:rsidRDefault="00465004">
      <w:pPr>
        <w:pStyle w:val="FootnoteText"/>
      </w:pPr>
      <w:r>
        <w:rPr>
          <w:rStyle w:val="FootnoteReference"/>
        </w:rPr>
        <w:footnoteRef/>
      </w:r>
      <w:r>
        <w:t xml:space="preserve"> </w:t>
      </w:r>
      <w:r>
        <w:tab/>
        <w:t xml:space="preserve">NGR, </w:t>
      </w:r>
      <w:proofErr w:type="spellStart"/>
      <w:proofErr w:type="gramStart"/>
      <w:r>
        <w:t>rr</w:t>
      </w:r>
      <w:proofErr w:type="spellEnd"/>
      <w:proofErr w:type="gramEnd"/>
      <w:r>
        <w:t>. 48(1</w:t>
      </w:r>
      <w:proofErr w:type="gramStart"/>
      <w:r>
        <w:t>)(</w:t>
      </w:r>
      <w:proofErr w:type="gramEnd"/>
      <w:r>
        <w:t>d)(</w:t>
      </w:r>
      <w:proofErr w:type="spellStart"/>
      <w:r>
        <w:t>i</w:t>
      </w:r>
      <w:proofErr w:type="spellEnd"/>
      <w:r>
        <w:t>)</w:t>
      </w:r>
      <w:r w:rsidR="00DA366C">
        <w:t xml:space="preserve">, </w:t>
      </w:r>
      <w:r>
        <w:t>72(1)(j)</w:t>
      </w:r>
      <w:r w:rsidR="00DA366C">
        <w:t>.</w:t>
      </w:r>
    </w:p>
  </w:footnote>
  <w:footnote w:id="8">
    <w:p w:rsidR="00465004" w:rsidRDefault="00465004">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r w:rsidR="00DA366C">
        <w:t>72(1</w:t>
      </w:r>
      <w:proofErr w:type="gramStart"/>
      <w:r w:rsidR="00DA366C">
        <w:t>)(</w:t>
      </w:r>
      <w:proofErr w:type="gramEnd"/>
      <w:r w:rsidR="00DA366C">
        <w:t>j)(</w:t>
      </w:r>
      <w:proofErr w:type="spellStart"/>
      <w:r w:rsidR="00DA366C">
        <w:t>i</w:t>
      </w:r>
      <w:proofErr w:type="spellEnd"/>
      <w:r w:rsidR="00DA366C">
        <w:t xml:space="preserve">), </w:t>
      </w:r>
      <w:r>
        <w:t>93(1)–(2).</w:t>
      </w:r>
    </w:p>
  </w:footnote>
  <w:footnote w:id="9">
    <w:p w:rsidR="00465004" w:rsidRDefault="00465004">
      <w:pPr>
        <w:pStyle w:val="FootnoteText"/>
      </w:pPr>
      <w:r>
        <w:rPr>
          <w:rStyle w:val="FootnoteReference"/>
        </w:rPr>
        <w:footnoteRef/>
      </w:r>
      <w:r>
        <w:t xml:space="preserve"> </w:t>
      </w:r>
      <w:r>
        <w:tab/>
        <w:t>NGR, r. 94(1)–(2).</w:t>
      </w:r>
    </w:p>
  </w:footnote>
  <w:footnote w:id="10">
    <w:p w:rsidR="00465004" w:rsidRDefault="00465004">
      <w:pPr>
        <w:pStyle w:val="FootnoteText"/>
      </w:pPr>
      <w:r>
        <w:rPr>
          <w:rStyle w:val="FootnoteReference"/>
        </w:rPr>
        <w:footnoteRef/>
      </w:r>
      <w:r>
        <w:t xml:space="preserve"> </w:t>
      </w:r>
      <w:r>
        <w:tab/>
      </w:r>
      <w:proofErr w:type="gramStart"/>
      <w:r>
        <w:t>NGR, r. 94(3).</w:t>
      </w:r>
      <w:proofErr w:type="gramEnd"/>
    </w:p>
  </w:footnote>
  <w:footnote w:id="11">
    <w:p w:rsidR="00465004" w:rsidRDefault="00465004">
      <w:pPr>
        <w:pStyle w:val="FootnoteText"/>
      </w:pPr>
      <w:r>
        <w:rPr>
          <w:rStyle w:val="FootnoteReference"/>
        </w:rPr>
        <w:footnoteRef/>
      </w:r>
      <w:r>
        <w:t xml:space="preserve"> </w:t>
      </w:r>
      <w:r>
        <w:tab/>
        <w:t>NGR, r</w:t>
      </w:r>
      <w:r w:rsidR="00DA366C">
        <w:t xml:space="preserve">. </w:t>
      </w:r>
      <w:r>
        <w:t>72(1</w:t>
      </w:r>
      <w:proofErr w:type="gramStart"/>
      <w:r>
        <w:t>)(</w:t>
      </w:r>
      <w:proofErr w:type="gramEnd"/>
      <w:r>
        <w:t>j)(ii)</w:t>
      </w:r>
      <w:r w:rsidR="00DA366C">
        <w:t>.</w:t>
      </w:r>
    </w:p>
  </w:footnote>
  <w:footnote w:id="12">
    <w:p w:rsidR="00765390" w:rsidRDefault="00765390">
      <w:pPr>
        <w:pStyle w:val="FootnoteText"/>
      </w:pPr>
      <w:r>
        <w:rPr>
          <w:rStyle w:val="FootnoteReference"/>
        </w:rPr>
        <w:footnoteRef/>
      </w:r>
      <w:r>
        <w:t xml:space="preserve"> </w:t>
      </w:r>
      <w:r>
        <w:tab/>
      </w:r>
      <w:proofErr w:type="gramStart"/>
      <w:r>
        <w:t>NGR, r. 97(4).</w:t>
      </w:r>
      <w:proofErr w:type="gramEnd"/>
    </w:p>
  </w:footnote>
  <w:footnote w:id="13">
    <w:p w:rsidR="00465004" w:rsidRDefault="00465004">
      <w:pPr>
        <w:pStyle w:val="FootnoteText"/>
      </w:pPr>
      <w:r>
        <w:rPr>
          <w:rStyle w:val="FootnoteReference"/>
        </w:rPr>
        <w:footnoteRef/>
      </w:r>
      <w:r>
        <w:t xml:space="preserve"> </w:t>
      </w:r>
      <w:r>
        <w:tab/>
      </w:r>
      <w:proofErr w:type="gramStart"/>
      <w:r>
        <w:t xml:space="preserve">AGN, </w:t>
      </w:r>
      <w:r w:rsidRPr="00A77430">
        <w:rPr>
          <w:rStyle w:val="AERtextitalic"/>
        </w:rPr>
        <w:t>Access arrangement information</w:t>
      </w:r>
      <w:r>
        <w:t>, July 2015, pp. 245–256.</w:t>
      </w:r>
      <w:proofErr w:type="gramEnd"/>
    </w:p>
  </w:footnote>
  <w:footnote w:id="14">
    <w:p w:rsidR="00465004" w:rsidRDefault="00465004">
      <w:pPr>
        <w:pStyle w:val="FootnoteText"/>
      </w:pPr>
      <w:r>
        <w:rPr>
          <w:rStyle w:val="FootnoteReference"/>
        </w:rPr>
        <w:footnoteRef/>
      </w:r>
      <w:r>
        <w:t xml:space="preserve"> </w:t>
      </w:r>
      <w:r>
        <w:tab/>
      </w:r>
      <w:proofErr w:type="gramStart"/>
      <w:r>
        <w:t xml:space="preserve">AGN, </w:t>
      </w:r>
      <w:r w:rsidRPr="00B404D1">
        <w:rPr>
          <w:rStyle w:val="AERtextitalic"/>
        </w:rPr>
        <w:t>Access arrangement for AGN’s South Australian Gas Distribution Network 1 July 2016 – 30 June 2021</w:t>
      </w:r>
      <w:r>
        <w:t xml:space="preserve">, July 2015, </w:t>
      </w:r>
      <w:proofErr w:type="spellStart"/>
      <w:r>
        <w:t>cl</w:t>
      </w:r>
      <w:r w:rsidR="00DA366C">
        <w:t>l</w:t>
      </w:r>
      <w:proofErr w:type="spellEnd"/>
      <w:r w:rsidR="00DA366C">
        <w:t>.</w:t>
      </w:r>
      <w:proofErr w:type="gramEnd"/>
      <w:r w:rsidR="00DA366C">
        <w:t xml:space="preserve"> </w:t>
      </w:r>
      <w:proofErr w:type="gramStart"/>
      <w:r>
        <w:t xml:space="preserve">2, 3 and 4; Annexure B. (AGN, </w:t>
      </w:r>
      <w:r w:rsidRPr="00B404D1">
        <w:rPr>
          <w:rStyle w:val="AERtextitalic"/>
        </w:rPr>
        <w:t>Access arrangement 2016–21</w:t>
      </w:r>
      <w:r>
        <w:t>, July 2015.)</w:t>
      </w:r>
      <w:proofErr w:type="gramEnd"/>
    </w:p>
  </w:footnote>
  <w:footnote w:id="15">
    <w:p w:rsidR="00465004" w:rsidRDefault="00465004">
      <w:pPr>
        <w:pStyle w:val="FootnoteText"/>
      </w:pPr>
      <w:r>
        <w:rPr>
          <w:rStyle w:val="FootnoteReference"/>
        </w:rPr>
        <w:footnoteRef/>
      </w:r>
      <w:r>
        <w:t xml:space="preserve"> </w:t>
      </w:r>
      <w:r>
        <w:tab/>
        <w:t>AGN</w:t>
      </w:r>
      <w:r w:rsidRPr="003A708D">
        <w:rPr>
          <w:rStyle w:val="AERtextitalic"/>
        </w:rPr>
        <w:t>, Response to AER’s information request no. 25—Cost allocation method</w:t>
      </w:r>
      <w:r>
        <w:t>, 30 September 2015.</w:t>
      </w:r>
    </w:p>
  </w:footnote>
  <w:footnote w:id="16">
    <w:p w:rsidR="00465004" w:rsidRDefault="00465004">
      <w:pPr>
        <w:pStyle w:val="FootnoteText"/>
      </w:pPr>
      <w:r>
        <w:rPr>
          <w:rStyle w:val="FootnoteReference"/>
        </w:rPr>
        <w:footnoteRef/>
      </w:r>
      <w:r>
        <w:t xml:space="preserve"> </w:t>
      </w:r>
      <w:r>
        <w:tab/>
      </w:r>
      <w:proofErr w:type="gramStart"/>
      <w:r>
        <w:t>NGR, r. 59.</w:t>
      </w:r>
      <w:proofErr w:type="gramEnd"/>
    </w:p>
  </w:footnote>
  <w:footnote w:id="17">
    <w:p w:rsidR="00465004" w:rsidRDefault="00465004">
      <w:pPr>
        <w:pStyle w:val="FootnoteText"/>
      </w:pPr>
      <w:r>
        <w:rPr>
          <w:rStyle w:val="FootnoteReference"/>
        </w:rPr>
        <w:footnoteRef/>
      </w:r>
      <w:r>
        <w:t xml:space="preserve"> </w:t>
      </w:r>
      <w:r>
        <w:tab/>
        <w:t>NGR, r.</w:t>
      </w:r>
      <w:r w:rsidR="00DA366C">
        <w:t xml:space="preserve"> </w:t>
      </w:r>
      <w:r>
        <w:t>48(1</w:t>
      </w:r>
      <w:proofErr w:type="gramStart"/>
      <w:r>
        <w:t>)(</w:t>
      </w:r>
      <w:proofErr w:type="gramEnd"/>
      <w:r>
        <w:t>d)(</w:t>
      </w:r>
      <w:proofErr w:type="spellStart"/>
      <w:r>
        <w:t>i</w:t>
      </w:r>
      <w:proofErr w:type="spellEnd"/>
      <w:r>
        <w:t>)</w:t>
      </w:r>
      <w:r w:rsidR="00DA366C">
        <w:t>.</w:t>
      </w:r>
    </w:p>
  </w:footnote>
  <w:footnote w:id="18">
    <w:p w:rsidR="00465004" w:rsidRDefault="00465004">
      <w:pPr>
        <w:pStyle w:val="FootnoteText"/>
      </w:pPr>
      <w:r>
        <w:rPr>
          <w:rStyle w:val="FootnoteReference"/>
        </w:rPr>
        <w:footnoteRef/>
      </w:r>
      <w:r>
        <w:t xml:space="preserve"> </w:t>
      </w:r>
      <w:r>
        <w:tab/>
        <w:t xml:space="preserve">AGN, </w:t>
      </w:r>
      <w:r w:rsidRPr="00B404D1">
        <w:rPr>
          <w:rStyle w:val="AERtextitalic"/>
        </w:rPr>
        <w:t>Access arrangement 2016–21</w:t>
      </w:r>
      <w:r>
        <w:t>, July 2015, sections 2 and 3.</w:t>
      </w:r>
    </w:p>
  </w:footnote>
  <w:footnote w:id="19">
    <w:p w:rsidR="00465004" w:rsidRDefault="00465004">
      <w:pPr>
        <w:pStyle w:val="FootnoteText"/>
      </w:pPr>
      <w:r>
        <w:rPr>
          <w:rStyle w:val="FootnoteReference"/>
        </w:rPr>
        <w:footnoteRef/>
      </w:r>
      <w:r>
        <w:t xml:space="preserve"> </w:t>
      </w:r>
      <w:r>
        <w:tab/>
      </w:r>
      <w:proofErr w:type="gramStart"/>
      <w:r>
        <w:t>NGR, r</w:t>
      </w:r>
      <w:r w:rsidR="00DA366C">
        <w:t xml:space="preserve">. </w:t>
      </w:r>
      <w:r>
        <w:t>94(6).</w:t>
      </w:r>
      <w:proofErr w:type="gramEnd"/>
    </w:p>
  </w:footnote>
  <w:footnote w:id="20">
    <w:p w:rsidR="00465004" w:rsidRDefault="00465004">
      <w:pPr>
        <w:pStyle w:val="FootnoteText"/>
      </w:pPr>
      <w:r>
        <w:rPr>
          <w:rStyle w:val="FootnoteReference"/>
        </w:rPr>
        <w:footnoteRef/>
      </w:r>
      <w:r>
        <w:t xml:space="preserve"> </w:t>
      </w:r>
      <w:r>
        <w:tab/>
      </w:r>
      <w:proofErr w:type="gramStart"/>
      <w:r>
        <w:t>NGR, r. 93(2).</w:t>
      </w:r>
      <w:proofErr w:type="gramEnd"/>
    </w:p>
  </w:footnote>
  <w:footnote w:id="21">
    <w:p w:rsidR="00465004" w:rsidRDefault="00465004">
      <w:pPr>
        <w:pStyle w:val="FootnoteText"/>
      </w:pPr>
      <w:r>
        <w:rPr>
          <w:rStyle w:val="FootnoteReference"/>
        </w:rPr>
        <w:footnoteRef/>
      </w:r>
      <w:r>
        <w:t xml:space="preserve"> </w:t>
      </w:r>
      <w:r>
        <w:tab/>
        <w:t>NGR, r.</w:t>
      </w:r>
      <w:r w:rsidR="00DA366C">
        <w:t xml:space="preserve"> </w:t>
      </w:r>
      <w:r>
        <w:t>94(2)</w:t>
      </w:r>
    </w:p>
  </w:footnote>
  <w:footnote w:id="22">
    <w:p w:rsidR="00465004" w:rsidRDefault="00465004">
      <w:pPr>
        <w:pStyle w:val="FootnoteText"/>
      </w:pPr>
      <w:r>
        <w:rPr>
          <w:rStyle w:val="FootnoteReference"/>
        </w:rPr>
        <w:footnoteRef/>
      </w:r>
      <w:r>
        <w:t xml:space="preserve"> </w:t>
      </w:r>
      <w:r>
        <w:tab/>
        <w:t>NGR, r. 94(3)–(4).</w:t>
      </w:r>
    </w:p>
  </w:footnote>
  <w:footnote w:id="23">
    <w:p w:rsidR="00465004" w:rsidRDefault="00465004">
      <w:pPr>
        <w:pStyle w:val="FootnoteText"/>
      </w:pPr>
      <w:r>
        <w:rPr>
          <w:rStyle w:val="FootnoteReference"/>
        </w:rPr>
        <w:footnoteRef/>
      </w:r>
      <w:r>
        <w:t xml:space="preserve"> </w:t>
      </w:r>
      <w:r>
        <w:tab/>
        <w:t>NGR, r.</w:t>
      </w:r>
      <w:r w:rsidR="00DA366C">
        <w:t xml:space="preserve"> </w:t>
      </w:r>
      <w:r>
        <w:t>96(2</w:t>
      </w:r>
      <w:proofErr w:type="gramStart"/>
      <w:r>
        <w:t>)(</w:t>
      </w:r>
      <w:proofErr w:type="gramEnd"/>
      <w:r>
        <w:t>a).</w:t>
      </w:r>
    </w:p>
  </w:footnote>
  <w:footnote w:id="24">
    <w:p w:rsidR="00465004" w:rsidRDefault="00465004">
      <w:pPr>
        <w:pStyle w:val="FootnoteText"/>
      </w:pPr>
      <w:r>
        <w:rPr>
          <w:rStyle w:val="FootnoteReference"/>
        </w:rPr>
        <w:footnoteRef/>
      </w:r>
      <w:r>
        <w:t xml:space="preserve"> </w:t>
      </w:r>
      <w:r>
        <w:tab/>
        <w:t>NGR, r.</w:t>
      </w:r>
      <w:r w:rsidR="00DA366C">
        <w:t xml:space="preserve"> </w:t>
      </w:r>
      <w:r>
        <w:t>96(2</w:t>
      </w:r>
      <w:proofErr w:type="gramStart"/>
      <w:r>
        <w:t>)(</w:t>
      </w:r>
      <w:proofErr w:type="gramEnd"/>
      <w:r>
        <w:t>b).</w:t>
      </w:r>
    </w:p>
  </w:footnote>
  <w:footnote w:id="25">
    <w:p w:rsidR="00465004" w:rsidRDefault="00465004">
      <w:pPr>
        <w:pStyle w:val="FootnoteText"/>
      </w:pPr>
      <w:r>
        <w:rPr>
          <w:rStyle w:val="FootnoteReference"/>
        </w:rPr>
        <w:footnoteRef/>
      </w:r>
      <w:r>
        <w:t xml:space="preserve"> </w:t>
      </w:r>
      <w:r>
        <w:tab/>
        <w:t xml:space="preserve">NGR, </w:t>
      </w:r>
      <w:proofErr w:type="spellStart"/>
      <w:proofErr w:type="gramStart"/>
      <w:r>
        <w:t>rr</w:t>
      </w:r>
      <w:proofErr w:type="spellEnd"/>
      <w:proofErr w:type="gramEnd"/>
      <w:r w:rsidR="00DA366C">
        <w:t xml:space="preserve">. </w:t>
      </w:r>
      <w:proofErr w:type="gramStart"/>
      <w:r>
        <w:t>94(6).</w:t>
      </w:r>
      <w:proofErr w:type="gramEnd"/>
    </w:p>
  </w:footnote>
  <w:footnote w:id="26">
    <w:p w:rsidR="00465004" w:rsidRDefault="00465004">
      <w:pPr>
        <w:pStyle w:val="FootnoteText"/>
      </w:pPr>
      <w:r>
        <w:rPr>
          <w:rStyle w:val="FootnoteReference"/>
        </w:rPr>
        <w:footnoteRef/>
      </w:r>
      <w:r>
        <w:t xml:space="preserve"> </w:t>
      </w:r>
      <w:r>
        <w:tab/>
        <w:t xml:space="preserve">Origin Energy, </w:t>
      </w:r>
      <w:r w:rsidRPr="00B950DB">
        <w:rPr>
          <w:rStyle w:val="AERtextitalic"/>
        </w:rPr>
        <w:t>Submission on Australian Gas Networks (South Australia) Access Arrangement Proposal 2016–21</w:t>
      </w:r>
      <w:r>
        <w:t>,</w:t>
      </w:r>
      <w:r w:rsidRPr="00B950DB">
        <w:t xml:space="preserve"> 10 August 2015</w:t>
      </w:r>
      <w:r>
        <w:t>. </w:t>
      </w:r>
    </w:p>
  </w:footnote>
  <w:footnote w:id="27">
    <w:p w:rsidR="00465004" w:rsidRDefault="00465004">
      <w:pPr>
        <w:pStyle w:val="FootnoteText"/>
      </w:pPr>
      <w:r>
        <w:rPr>
          <w:rStyle w:val="FootnoteReference"/>
        </w:rPr>
        <w:footnoteRef/>
      </w:r>
      <w:r>
        <w:t xml:space="preserve"> </w:t>
      </w:r>
      <w:r>
        <w:tab/>
      </w:r>
      <w:r w:rsidRPr="00ED214F">
        <w:t>Government</w:t>
      </w:r>
      <w:r>
        <w:t xml:space="preserve"> of South Australia, </w:t>
      </w:r>
      <w:r w:rsidRPr="00B950DB">
        <w:rPr>
          <w:rStyle w:val="AERtextitalic"/>
        </w:rPr>
        <w:t>Submission on Australian Gas Networks SA Access Arrangement Proposal 2016–2021</w:t>
      </w:r>
      <w:r>
        <w:t xml:space="preserve">, </w:t>
      </w:r>
      <w:r w:rsidRPr="00ED214F">
        <w:t>21 August 2015</w:t>
      </w:r>
      <w:r>
        <w:t>, p. 7.</w:t>
      </w:r>
    </w:p>
  </w:footnote>
  <w:footnote w:id="28">
    <w:p w:rsidR="00465004" w:rsidRDefault="00465004" w:rsidP="00ED214F">
      <w:pPr>
        <w:pStyle w:val="FootnoteText"/>
      </w:pPr>
      <w:r>
        <w:rPr>
          <w:rStyle w:val="FootnoteReference"/>
        </w:rPr>
        <w:footnoteRef/>
      </w:r>
      <w:r>
        <w:t xml:space="preserve"> </w:t>
      </w:r>
      <w:r>
        <w:tab/>
        <w:t xml:space="preserve">NGR, </w:t>
      </w:r>
      <w:proofErr w:type="spellStart"/>
      <w:proofErr w:type="gramStart"/>
      <w:r>
        <w:t>rr</w:t>
      </w:r>
      <w:proofErr w:type="spellEnd"/>
      <w:proofErr w:type="gramEnd"/>
      <w:r>
        <w:t>. </w:t>
      </w:r>
      <w:proofErr w:type="gramStart"/>
      <w:r>
        <w:t>93, 94.</w:t>
      </w:r>
      <w:proofErr w:type="gramEnd"/>
    </w:p>
  </w:footnote>
  <w:footnote w:id="29">
    <w:p w:rsidR="00465004" w:rsidRDefault="00465004">
      <w:pPr>
        <w:pStyle w:val="FootnoteText"/>
      </w:pPr>
      <w:r>
        <w:rPr>
          <w:rStyle w:val="FootnoteReference"/>
        </w:rPr>
        <w:footnoteRef/>
      </w:r>
      <w:r>
        <w:t xml:space="preserve"> </w:t>
      </w:r>
      <w:r>
        <w:tab/>
      </w:r>
      <w:r w:rsidRPr="00AC5E38">
        <w:t xml:space="preserve">NGR, </w:t>
      </w:r>
      <w:proofErr w:type="spellStart"/>
      <w:proofErr w:type="gramStart"/>
      <w:r w:rsidR="00C11B91">
        <w:t>r</w:t>
      </w:r>
      <w:r w:rsidRPr="00AC5E38">
        <w:t>r</w:t>
      </w:r>
      <w:proofErr w:type="spellEnd"/>
      <w:proofErr w:type="gramEnd"/>
      <w:r w:rsidRPr="00AC5E38">
        <w:t xml:space="preserve">. </w:t>
      </w:r>
      <w:proofErr w:type="gramStart"/>
      <w:r w:rsidRPr="00AC5E38">
        <w:t>93(1)</w:t>
      </w:r>
      <w:r w:rsidR="00C11B91">
        <w:t>,</w:t>
      </w:r>
      <w:r w:rsidRPr="00AC5E38">
        <w:t xml:space="preserve"> (2).</w:t>
      </w:r>
      <w:proofErr w:type="gramEnd"/>
    </w:p>
  </w:footnote>
  <w:footnote w:id="30">
    <w:p w:rsidR="00465004" w:rsidRDefault="00465004">
      <w:pPr>
        <w:pStyle w:val="FootnoteText"/>
      </w:pPr>
      <w:r>
        <w:rPr>
          <w:rStyle w:val="FootnoteReference"/>
        </w:rPr>
        <w:footnoteRef/>
      </w:r>
      <w:r>
        <w:t xml:space="preserve"> </w:t>
      </w:r>
      <w:r>
        <w:tab/>
      </w:r>
      <w:proofErr w:type="gramStart"/>
      <w:r>
        <w:t xml:space="preserve">AGN, </w:t>
      </w:r>
      <w:r w:rsidRPr="00A77430">
        <w:rPr>
          <w:rStyle w:val="AERtextitalic"/>
        </w:rPr>
        <w:t>Access arrangement information</w:t>
      </w:r>
      <w:r>
        <w:t>, July 2015, pp. 250–253.</w:t>
      </w:r>
      <w:proofErr w:type="gramEnd"/>
    </w:p>
  </w:footnote>
  <w:footnote w:id="31">
    <w:p w:rsidR="00465004" w:rsidRDefault="00465004" w:rsidP="002C1261">
      <w:pPr>
        <w:pStyle w:val="FootnoteText"/>
      </w:pPr>
      <w:r>
        <w:rPr>
          <w:rStyle w:val="FootnoteReference"/>
        </w:rPr>
        <w:footnoteRef/>
      </w:r>
      <w:r>
        <w:t xml:space="preserve"> </w:t>
      </w:r>
      <w:r>
        <w:tab/>
      </w:r>
      <w:r w:rsidRPr="00761A86">
        <w:t xml:space="preserve">NGR, </w:t>
      </w:r>
      <w:proofErr w:type="spellStart"/>
      <w:proofErr w:type="gramStart"/>
      <w:r w:rsidRPr="00761A86">
        <w:t>r</w:t>
      </w:r>
      <w:r w:rsidR="00C11B91">
        <w:t>r</w:t>
      </w:r>
      <w:proofErr w:type="spellEnd"/>
      <w:proofErr w:type="gramEnd"/>
      <w:r w:rsidRPr="00761A86">
        <w:t xml:space="preserve">. </w:t>
      </w:r>
      <w:proofErr w:type="gramStart"/>
      <w:r w:rsidRPr="00761A86">
        <w:t>94(1)</w:t>
      </w:r>
      <w:r w:rsidR="00C11B91">
        <w:t xml:space="preserve">, </w:t>
      </w:r>
      <w:r w:rsidRPr="00761A86">
        <w:t>(2).</w:t>
      </w:r>
      <w:proofErr w:type="gramEnd"/>
    </w:p>
  </w:footnote>
  <w:footnote w:id="32">
    <w:p w:rsidR="00465004" w:rsidRDefault="00465004">
      <w:pPr>
        <w:pStyle w:val="FootnoteText"/>
      </w:pPr>
      <w:r>
        <w:rPr>
          <w:rStyle w:val="FootnoteReference"/>
        </w:rPr>
        <w:footnoteRef/>
      </w:r>
      <w:r>
        <w:t xml:space="preserve"> </w:t>
      </w:r>
      <w:r>
        <w:tab/>
      </w:r>
      <w:proofErr w:type="gramStart"/>
      <w:r>
        <w:t>NGR, r. 94.</w:t>
      </w:r>
      <w:proofErr w:type="gramEnd"/>
    </w:p>
  </w:footnote>
  <w:footnote w:id="33">
    <w:p w:rsidR="00465004" w:rsidRDefault="00465004">
      <w:pPr>
        <w:pStyle w:val="FootnoteText"/>
      </w:pPr>
      <w:r>
        <w:rPr>
          <w:rStyle w:val="FootnoteReference"/>
        </w:rPr>
        <w:footnoteRef/>
      </w:r>
      <w:r>
        <w:t xml:space="preserve">  </w:t>
      </w:r>
      <w:r>
        <w:tab/>
      </w:r>
      <w:proofErr w:type="gramStart"/>
      <w:r>
        <w:t>NGR, r.</w:t>
      </w:r>
      <w:r w:rsidR="00DA366C">
        <w:t xml:space="preserve"> </w:t>
      </w:r>
      <w:r>
        <w:t>94(3).</w:t>
      </w:r>
      <w:proofErr w:type="gramEnd"/>
    </w:p>
  </w:footnote>
  <w:footnote w:id="34">
    <w:p w:rsidR="00465004" w:rsidRDefault="00465004" w:rsidP="007E2BE2">
      <w:pPr>
        <w:pStyle w:val="FootnoteText"/>
      </w:pPr>
      <w:r>
        <w:rPr>
          <w:rStyle w:val="FootnoteReference"/>
        </w:rPr>
        <w:footnoteRef/>
      </w:r>
      <w:r>
        <w:t xml:space="preserve"> </w:t>
      </w:r>
      <w:r>
        <w:tab/>
      </w:r>
      <w:proofErr w:type="gramStart"/>
      <w:r>
        <w:t xml:space="preserve">AGN, </w:t>
      </w:r>
      <w:r w:rsidRPr="00A77430">
        <w:rPr>
          <w:rStyle w:val="AERtextitalic"/>
        </w:rPr>
        <w:t>Access arrangement information</w:t>
      </w:r>
      <w:r>
        <w:t xml:space="preserve">, July 2015, pp. 250–251; AGN, </w:t>
      </w:r>
      <w:r w:rsidRPr="00A77430">
        <w:rPr>
          <w:rStyle w:val="AERtextitalic"/>
        </w:rPr>
        <w:t>Access arrangement information</w:t>
      </w:r>
      <w:r>
        <w:t>, July 2015, Attachment 15.1.</w:t>
      </w:r>
      <w:proofErr w:type="gramEnd"/>
    </w:p>
  </w:footnote>
  <w:footnote w:id="35">
    <w:p w:rsidR="00465004" w:rsidRDefault="00465004">
      <w:pPr>
        <w:pStyle w:val="FootnoteText"/>
      </w:pPr>
      <w:r>
        <w:rPr>
          <w:rStyle w:val="FootnoteReference"/>
        </w:rPr>
        <w:footnoteRef/>
      </w:r>
      <w:r>
        <w:t xml:space="preserve"> </w:t>
      </w:r>
      <w:r>
        <w:tab/>
      </w:r>
      <w:proofErr w:type="gramStart"/>
      <w:r>
        <w:t>Provided on a confidential basis.</w:t>
      </w:r>
      <w:proofErr w:type="gramEnd"/>
    </w:p>
  </w:footnote>
  <w:footnote w:id="36">
    <w:p w:rsidR="00465004" w:rsidRDefault="00465004">
      <w:pPr>
        <w:pStyle w:val="FootnoteText"/>
      </w:pPr>
      <w:r>
        <w:rPr>
          <w:rStyle w:val="FootnoteReference"/>
        </w:rPr>
        <w:footnoteRef/>
      </w:r>
      <w:r>
        <w:t xml:space="preserve"> </w:t>
      </w:r>
      <w:r>
        <w:tab/>
      </w:r>
      <w:proofErr w:type="gramStart"/>
      <w:r>
        <w:t>NGR, r</w:t>
      </w:r>
      <w:r w:rsidR="00DA366C">
        <w:t>.</w:t>
      </w:r>
      <w:r>
        <w:t xml:space="preserve"> 94(</w:t>
      </w:r>
      <w:r w:rsidR="00765390">
        <w:t>3)</w:t>
      </w:r>
      <w:r w:rsidR="00DA366C">
        <w:t>.</w:t>
      </w:r>
      <w:proofErr w:type="gramEnd"/>
    </w:p>
  </w:footnote>
  <w:footnote w:id="37">
    <w:p w:rsidR="00465004" w:rsidRDefault="00465004" w:rsidP="007E2BE2">
      <w:pPr>
        <w:pStyle w:val="FootnoteText"/>
      </w:pPr>
      <w:r>
        <w:rPr>
          <w:rStyle w:val="FootnoteReference"/>
        </w:rPr>
        <w:footnoteRef/>
      </w:r>
      <w:r>
        <w:t xml:space="preserve"> </w:t>
      </w:r>
      <w:r>
        <w:tab/>
      </w:r>
      <w:proofErr w:type="gramStart"/>
      <w:r>
        <w:t xml:space="preserve">AGN, </w:t>
      </w:r>
      <w:r w:rsidRPr="00A77430">
        <w:rPr>
          <w:rStyle w:val="AERtextitalic"/>
        </w:rPr>
        <w:t>Access arrangement information</w:t>
      </w:r>
      <w:r>
        <w:t>, July 2015, Attachment 15.1.</w:t>
      </w:r>
      <w:proofErr w:type="gramEnd"/>
    </w:p>
  </w:footnote>
  <w:footnote w:id="38">
    <w:p w:rsidR="00465004" w:rsidRDefault="00465004">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proofErr w:type="gramStart"/>
      <w:r>
        <w:t>94(2), 94(4).</w:t>
      </w:r>
      <w:proofErr w:type="gramEnd"/>
    </w:p>
  </w:footnote>
  <w:footnote w:id="39">
    <w:p w:rsidR="00465004" w:rsidRDefault="00465004">
      <w:pPr>
        <w:pStyle w:val="FootnoteText"/>
      </w:pPr>
      <w:r>
        <w:rPr>
          <w:rStyle w:val="FootnoteReference"/>
        </w:rPr>
        <w:footnoteRef/>
      </w:r>
      <w:r>
        <w:t xml:space="preserve"> </w:t>
      </w:r>
      <w:r>
        <w:tab/>
      </w:r>
      <w:proofErr w:type="gramStart"/>
      <w:r>
        <w:t xml:space="preserve">AGN, </w:t>
      </w:r>
      <w:r w:rsidRPr="00A77430">
        <w:rPr>
          <w:rStyle w:val="AERtextitalic"/>
        </w:rPr>
        <w:t>Access arrangement information</w:t>
      </w:r>
      <w:r>
        <w:t>, July 2015, pp. 251–252.</w:t>
      </w:r>
      <w:proofErr w:type="gramEnd"/>
    </w:p>
  </w:footnote>
  <w:footnote w:id="40">
    <w:p w:rsidR="00465004" w:rsidRDefault="00465004">
      <w:pPr>
        <w:pStyle w:val="FootnoteText"/>
      </w:pPr>
      <w:r>
        <w:rPr>
          <w:rStyle w:val="FootnoteReference"/>
        </w:rPr>
        <w:footnoteRef/>
      </w:r>
      <w:r>
        <w:t xml:space="preserve"> </w:t>
      </w:r>
      <w:r>
        <w:tab/>
      </w:r>
      <w:proofErr w:type="gramStart"/>
      <w:r>
        <w:t xml:space="preserve">AGN, </w:t>
      </w:r>
      <w:r w:rsidRPr="00A77430">
        <w:rPr>
          <w:rStyle w:val="AERtextitalic"/>
        </w:rPr>
        <w:t>Access arrangement information</w:t>
      </w:r>
      <w:r>
        <w:t>, July 2015, p. 253.</w:t>
      </w:r>
      <w:proofErr w:type="gramEnd"/>
    </w:p>
  </w:footnote>
  <w:footnote w:id="41">
    <w:p w:rsidR="00465004" w:rsidRDefault="00465004">
      <w:pPr>
        <w:pStyle w:val="FootnoteText"/>
      </w:pPr>
      <w:r>
        <w:rPr>
          <w:rStyle w:val="FootnoteReference"/>
        </w:rPr>
        <w:footnoteRef/>
      </w:r>
      <w:r>
        <w:t xml:space="preserve"> </w:t>
      </w:r>
      <w:r>
        <w:tab/>
      </w:r>
      <w:proofErr w:type="gramStart"/>
      <w:r>
        <w:t>NGR, r. 94(6).</w:t>
      </w:r>
      <w:proofErr w:type="gramEnd"/>
    </w:p>
  </w:footnote>
  <w:footnote w:id="42">
    <w:p w:rsidR="00465004" w:rsidRDefault="00465004">
      <w:pPr>
        <w:pStyle w:val="FootnoteText"/>
      </w:pPr>
      <w:r>
        <w:rPr>
          <w:rStyle w:val="FootnoteReference"/>
        </w:rPr>
        <w:footnoteRef/>
      </w:r>
      <w:r>
        <w:t xml:space="preserve"> </w:t>
      </w:r>
      <w:r>
        <w:tab/>
        <w:t>NGR, r. 94(4</w:t>
      </w:r>
      <w:proofErr w:type="gramStart"/>
      <w:r>
        <w:t>)(</w:t>
      </w:r>
      <w:proofErr w:type="gramEnd"/>
      <w:r>
        <w:t>b)(ii).</w:t>
      </w:r>
    </w:p>
  </w:footnote>
  <w:footnote w:id="43">
    <w:p w:rsidR="00465004" w:rsidRDefault="00465004" w:rsidP="00F81B27">
      <w:pPr>
        <w:pStyle w:val="FootnoteText"/>
      </w:pPr>
      <w:r>
        <w:rPr>
          <w:rStyle w:val="FootnoteReference"/>
        </w:rPr>
        <w:footnoteRef/>
      </w:r>
      <w:r>
        <w:t xml:space="preserve"> </w:t>
      </w:r>
      <w:r>
        <w:tab/>
      </w:r>
      <w:r w:rsidRPr="00ED214F">
        <w:t>Government</w:t>
      </w:r>
      <w:r>
        <w:t xml:space="preserve"> of South Australia, </w:t>
      </w:r>
      <w:r w:rsidRPr="00B950DB">
        <w:rPr>
          <w:rStyle w:val="AERtextitalic"/>
        </w:rPr>
        <w:t>Submission on Australian Gas Networks SA Access Arrangement Proposal 2016–2021</w:t>
      </w:r>
      <w:r>
        <w:t xml:space="preserve">, </w:t>
      </w:r>
      <w:r w:rsidRPr="00ED214F">
        <w:t>21 August 2015</w:t>
      </w:r>
      <w:r>
        <w:t>, p. 7.</w:t>
      </w:r>
    </w:p>
  </w:footnote>
  <w:footnote w:id="44">
    <w:p w:rsidR="00465004" w:rsidRDefault="00465004">
      <w:pPr>
        <w:pStyle w:val="FootnoteText"/>
      </w:pPr>
      <w:r>
        <w:rPr>
          <w:rStyle w:val="FootnoteReference"/>
        </w:rPr>
        <w:footnoteRef/>
      </w:r>
      <w:r>
        <w:t xml:space="preserve"> </w:t>
      </w:r>
      <w:r>
        <w:tab/>
      </w:r>
      <w:r w:rsidRPr="00DD4987">
        <w:t>Service providers offer prudent discount to users in order to respond to competition from other providers of pipeline services or other services of energy. Alternatively, the service provider may offer prudent discounts in order to maintain the efficient use of the pipeline.</w:t>
      </w:r>
      <w:r>
        <w:t xml:space="preserve"> Statistical data is provided on a confidential basis to the AER.</w:t>
      </w:r>
    </w:p>
  </w:footnote>
  <w:footnote w:id="45">
    <w:p w:rsidR="00465004" w:rsidRDefault="00465004">
      <w:pPr>
        <w:pStyle w:val="FootnoteText"/>
      </w:pPr>
      <w:r>
        <w:rPr>
          <w:rStyle w:val="FootnoteReference"/>
        </w:rPr>
        <w:footnoteRef/>
      </w:r>
      <w:r>
        <w:t xml:space="preserve"> </w:t>
      </w:r>
      <w:r>
        <w:tab/>
        <w:t xml:space="preserve">AGN, </w:t>
      </w:r>
      <w:r w:rsidRPr="00A77430">
        <w:rPr>
          <w:rStyle w:val="AERtextitalic"/>
        </w:rPr>
        <w:t>Access arrangement information</w:t>
      </w:r>
      <w:r>
        <w:rPr>
          <w:rStyle w:val="AERtextitalic"/>
        </w:rPr>
        <w:t>: Attachment 13.1 (confidential)</w:t>
      </w:r>
      <w:r>
        <w:t>, July 2015.</w:t>
      </w:r>
    </w:p>
  </w:footnote>
  <w:footnote w:id="46">
    <w:p w:rsidR="00465004" w:rsidRDefault="00465004" w:rsidP="0022405F">
      <w:pPr>
        <w:pStyle w:val="FootnoteText"/>
      </w:pPr>
      <w:r>
        <w:rPr>
          <w:rStyle w:val="FootnoteReference"/>
        </w:rPr>
        <w:footnoteRef/>
      </w:r>
      <w:r>
        <w:t xml:space="preserve"> </w:t>
      </w:r>
      <w:r>
        <w:tab/>
        <w:t xml:space="preserve">AER, </w:t>
      </w:r>
      <w:r w:rsidRPr="000A4568">
        <w:rPr>
          <w:rStyle w:val="AERtextitalic"/>
        </w:rPr>
        <w:t>Final decision: Envestra Ltd Access arrangement proposal for the SA gas network</w:t>
      </w:r>
      <w:r>
        <w:t>, June 2011, p. 114.</w:t>
      </w:r>
    </w:p>
  </w:footnote>
  <w:footnote w:id="47">
    <w:p w:rsidR="00465004" w:rsidRDefault="00465004" w:rsidP="0022405F">
      <w:pPr>
        <w:pStyle w:val="FootnoteText"/>
      </w:pPr>
      <w:r>
        <w:rPr>
          <w:rStyle w:val="FootnoteReference"/>
        </w:rPr>
        <w:footnoteRef/>
      </w:r>
      <w:r>
        <w:t xml:space="preserve"> </w:t>
      </w:r>
      <w:r>
        <w:tab/>
        <w:t xml:space="preserve">AGN, </w:t>
      </w:r>
      <w:r w:rsidRPr="00A77430">
        <w:rPr>
          <w:rStyle w:val="AERtextitalic"/>
        </w:rPr>
        <w:t>Access arrangement information</w:t>
      </w:r>
      <w:r>
        <w:rPr>
          <w:rStyle w:val="AERtextitalic"/>
        </w:rPr>
        <w:t>: Attachment 13.1 (confidential)</w:t>
      </w:r>
      <w:r>
        <w:t>, July 2015.</w:t>
      </w:r>
    </w:p>
  </w:footnote>
  <w:footnote w:id="48">
    <w:p w:rsidR="00465004" w:rsidRDefault="00465004" w:rsidP="0022405F">
      <w:pPr>
        <w:pStyle w:val="FootnoteText"/>
      </w:pPr>
      <w:r>
        <w:rPr>
          <w:rStyle w:val="FootnoteReference"/>
        </w:rPr>
        <w:footnoteRef/>
      </w:r>
      <w:r>
        <w:t xml:space="preserve"> </w:t>
      </w:r>
      <w:r>
        <w:tab/>
        <w:t>NGR, r. 96(2</w:t>
      </w:r>
      <w:proofErr w:type="gramStart"/>
      <w:r>
        <w:t>)(</w:t>
      </w:r>
      <w:proofErr w:type="gramEnd"/>
      <w:r>
        <w:t>b).</w:t>
      </w:r>
    </w:p>
  </w:footnote>
  <w:footnote w:id="49">
    <w:p w:rsidR="00465004" w:rsidRDefault="00465004" w:rsidP="00B906EE">
      <w:pPr>
        <w:pStyle w:val="FootnoteText"/>
      </w:pPr>
      <w:r>
        <w:rPr>
          <w:rStyle w:val="FootnoteReference"/>
        </w:rPr>
        <w:footnoteRef/>
      </w:r>
      <w:r>
        <w:t xml:space="preserve"> </w:t>
      </w:r>
      <w:r>
        <w:tab/>
      </w:r>
      <w:proofErr w:type="gramStart"/>
      <w:r>
        <w:t>NGR, r. 96(2).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04" w:rsidRDefault="00D6239A">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465004">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004" w:rsidRDefault="00D6239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E3500B92"/>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keu5QRVD+3WxeQMwOgTPeNnlMfVOUkXlOzE60MCM3o=" w:saltValue="qKGPoqAPw1ljl210r1CKF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21202"/>
    <w:rsid w:val="00021C2B"/>
    <w:rsid w:val="0002517F"/>
    <w:rsid w:val="00026495"/>
    <w:rsid w:val="0003578C"/>
    <w:rsid w:val="000401AF"/>
    <w:rsid w:val="0004223C"/>
    <w:rsid w:val="00044329"/>
    <w:rsid w:val="00063247"/>
    <w:rsid w:val="0006752C"/>
    <w:rsid w:val="00070F9F"/>
    <w:rsid w:val="0007137B"/>
    <w:rsid w:val="000812D1"/>
    <w:rsid w:val="00085663"/>
    <w:rsid w:val="00085EBF"/>
    <w:rsid w:val="00091B15"/>
    <w:rsid w:val="000A3020"/>
    <w:rsid w:val="000A4568"/>
    <w:rsid w:val="000A6C7B"/>
    <w:rsid w:val="000C2B40"/>
    <w:rsid w:val="000D06C1"/>
    <w:rsid w:val="000D122C"/>
    <w:rsid w:val="000D3016"/>
    <w:rsid w:val="000E1819"/>
    <w:rsid w:val="000E4821"/>
    <w:rsid w:val="000E6C34"/>
    <w:rsid w:val="000E6C72"/>
    <w:rsid w:val="000F0B2B"/>
    <w:rsid w:val="000F3E72"/>
    <w:rsid w:val="000F48B1"/>
    <w:rsid w:val="000F5297"/>
    <w:rsid w:val="00103A67"/>
    <w:rsid w:val="00116EB2"/>
    <w:rsid w:val="00124609"/>
    <w:rsid w:val="00126A4C"/>
    <w:rsid w:val="00135746"/>
    <w:rsid w:val="00142AB6"/>
    <w:rsid w:val="0014573B"/>
    <w:rsid w:val="00146D10"/>
    <w:rsid w:val="001573E4"/>
    <w:rsid w:val="00160756"/>
    <w:rsid w:val="0017232E"/>
    <w:rsid w:val="00174102"/>
    <w:rsid w:val="001754EE"/>
    <w:rsid w:val="00180157"/>
    <w:rsid w:val="00185CB9"/>
    <w:rsid w:val="00186F77"/>
    <w:rsid w:val="001926A4"/>
    <w:rsid w:val="00192AD5"/>
    <w:rsid w:val="001B45A0"/>
    <w:rsid w:val="001B7D00"/>
    <w:rsid w:val="001D055E"/>
    <w:rsid w:val="001E14BF"/>
    <w:rsid w:val="001F05A4"/>
    <w:rsid w:val="001F492E"/>
    <w:rsid w:val="001F6DA3"/>
    <w:rsid w:val="002010BC"/>
    <w:rsid w:val="002016E7"/>
    <w:rsid w:val="00201F98"/>
    <w:rsid w:val="00202E03"/>
    <w:rsid w:val="0020478D"/>
    <w:rsid w:val="0020492C"/>
    <w:rsid w:val="00205A33"/>
    <w:rsid w:val="0022405F"/>
    <w:rsid w:val="00224DB9"/>
    <w:rsid w:val="00227DCE"/>
    <w:rsid w:val="0023276C"/>
    <w:rsid w:val="00233775"/>
    <w:rsid w:val="00251745"/>
    <w:rsid w:val="00252416"/>
    <w:rsid w:val="002624DE"/>
    <w:rsid w:val="00263AC0"/>
    <w:rsid w:val="00264264"/>
    <w:rsid w:val="0026772D"/>
    <w:rsid w:val="00286874"/>
    <w:rsid w:val="00290C63"/>
    <w:rsid w:val="00296B65"/>
    <w:rsid w:val="002A7DEF"/>
    <w:rsid w:val="002B1003"/>
    <w:rsid w:val="002B4AB6"/>
    <w:rsid w:val="002B573C"/>
    <w:rsid w:val="002B643C"/>
    <w:rsid w:val="002C1261"/>
    <w:rsid w:val="002C233C"/>
    <w:rsid w:val="002D72E8"/>
    <w:rsid w:val="002E7B22"/>
    <w:rsid w:val="002F6F7E"/>
    <w:rsid w:val="002F7986"/>
    <w:rsid w:val="00301B40"/>
    <w:rsid w:val="003029EE"/>
    <w:rsid w:val="0030370B"/>
    <w:rsid w:val="00303908"/>
    <w:rsid w:val="00305CC8"/>
    <w:rsid w:val="00306AF0"/>
    <w:rsid w:val="00307F6D"/>
    <w:rsid w:val="003177A2"/>
    <w:rsid w:val="003271B5"/>
    <w:rsid w:val="00327A1E"/>
    <w:rsid w:val="00331264"/>
    <w:rsid w:val="00334C8D"/>
    <w:rsid w:val="00343A18"/>
    <w:rsid w:val="00344473"/>
    <w:rsid w:val="003518B3"/>
    <w:rsid w:val="00351C3F"/>
    <w:rsid w:val="0036687D"/>
    <w:rsid w:val="003846F1"/>
    <w:rsid w:val="003931A7"/>
    <w:rsid w:val="003A708D"/>
    <w:rsid w:val="003B484F"/>
    <w:rsid w:val="003B7FBA"/>
    <w:rsid w:val="003F174D"/>
    <w:rsid w:val="003F7442"/>
    <w:rsid w:val="0041066A"/>
    <w:rsid w:val="00415F31"/>
    <w:rsid w:val="00423A77"/>
    <w:rsid w:val="0045777E"/>
    <w:rsid w:val="0046166A"/>
    <w:rsid w:val="00465004"/>
    <w:rsid w:val="00473DF6"/>
    <w:rsid w:val="00474EC7"/>
    <w:rsid w:val="00480B4B"/>
    <w:rsid w:val="00481A8D"/>
    <w:rsid w:val="00484BCE"/>
    <w:rsid w:val="00485DC4"/>
    <w:rsid w:val="00486F7B"/>
    <w:rsid w:val="004A0C42"/>
    <w:rsid w:val="004A0DDC"/>
    <w:rsid w:val="004A43D1"/>
    <w:rsid w:val="004B355D"/>
    <w:rsid w:val="004B4412"/>
    <w:rsid w:val="004C32F4"/>
    <w:rsid w:val="004C348C"/>
    <w:rsid w:val="004D55BA"/>
    <w:rsid w:val="004E22EC"/>
    <w:rsid w:val="004F6A0E"/>
    <w:rsid w:val="00505DCC"/>
    <w:rsid w:val="00530128"/>
    <w:rsid w:val="00532467"/>
    <w:rsid w:val="00537FD6"/>
    <w:rsid w:val="00564A4D"/>
    <w:rsid w:val="0056588A"/>
    <w:rsid w:val="00565EE1"/>
    <w:rsid w:val="00567BA5"/>
    <w:rsid w:val="00571B35"/>
    <w:rsid w:val="00571D57"/>
    <w:rsid w:val="00577A09"/>
    <w:rsid w:val="005829C2"/>
    <w:rsid w:val="00584D8F"/>
    <w:rsid w:val="00586819"/>
    <w:rsid w:val="00591130"/>
    <w:rsid w:val="0059704C"/>
    <w:rsid w:val="005A404D"/>
    <w:rsid w:val="005B1E3C"/>
    <w:rsid w:val="005B3FB7"/>
    <w:rsid w:val="005B704A"/>
    <w:rsid w:val="005C0A7F"/>
    <w:rsid w:val="005C26CC"/>
    <w:rsid w:val="005C4C9C"/>
    <w:rsid w:val="005D7BA2"/>
    <w:rsid w:val="005E36C2"/>
    <w:rsid w:val="005F4A41"/>
    <w:rsid w:val="006007DE"/>
    <w:rsid w:val="00601638"/>
    <w:rsid w:val="00610EF9"/>
    <w:rsid w:val="00612F4F"/>
    <w:rsid w:val="00615C6B"/>
    <w:rsid w:val="00621DCE"/>
    <w:rsid w:val="00623EC4"/>
    <w:rsid w:val="006307D5"/>
    <w:rsid w:val="00632D6D"/>
    <w:rsid w:val="00642C3E"/>
    <w:rsid w:val="00651C3A"/>
    <w:rsid w:val="00651CB2"/>
    <w:rsid w:val="006560CA"/>
    <w:rsid w:val="0066104A"/>
    <w:rsid w:val="00663DAD"/>
    <w:rsid w:val="00665649"/>
    <w:rsid w:val="006672AA"/>
    <w:rsid w:val="00675E20"/>
    <w:rsid w:val="00676679"/>
    <w:rsid w:val="00683C89"/>
    <w:rsid w:val="00691D9A"/>
    <w:rsid w:val="006B2395"/>
    <w:rsid w:val="006B45A4"/>
    <w:rsid w:val="006B4CF9"/>
    <w:rsid w:val="006B785B"/>
    <w:rsid w:val="006B7AC8"/>
    <w:rsid w:val="006C1736"/>
    <w:rsid w:val="006C4798"/>
    <w:rsid w:val="006D550F"/>
    <w:rsid w:val="006F3AD1"/>
    <w:rsid w:val="006F3FC8"/>
    <w:rsid w:val="0070011E"/>
    <w:rsid w:val="00701CAB"/>
    <w:rsid w:val="00707563"/>
    <w:rsid w:val="00713FB8"/>
    <w:rsid w:val="0072348C"/>
    <w:rsid w:val="00724A37"/>
    <w:rsid w:val="007303C3"/>
    <w:rsid w:val="00733DDE"/>
    <w:rsid w:val="00741C46"/>
    <w:rsid w:val="00741E23"/>
    <w:rsid w:val="007429BE"/>
    <w:rsid w:val="00743223"/>
    <w:rsid w:val="00746E01"/>
    <w:rsid w:val="00747EEA"/>
    <w:rsid w:val="007548F0"/>
    <w:rsid w:val="00757364"/>
    <w:rsid w:val="00757BDF"/>
    <w:rsid w:val="007609D0"/>
    <w:rsid w:val="00761A86"/>
    <w:rsid w:val="00763E5D"/>
    <w:rsid w:val="00765390"/>
    <w:rsid w:val="00767740"/>
    <w:rsid w:val="00777EE6"/>
    <w:rsid w:val="00782EEA"/>
    <w:rsid w:val="007B16AB"/>
    <w:rsid w:val="007B186E"/>
    <w:rsid w:val="007B2C72"/>
    <w:rsid w:val="007C1C53"/>
    <w:rsid w:val="007C74BB"/>
    <w:rsid w:val="007D456E"/>
    <w:rsid w:val="007E2BE2"/>
    <w:rsid w:val="007E4904"/>
    <w:rsid w:val="007E4CB5"/>
    <w:rsid w:val="007F066B"/>
    <w:rsid w:val="007F213A"/>
    <w:rsid w:val="007F75C4"/>
    <w:rsid w:val="008033C4"/>
    <w:rsid w:val="00806C88"/>
    <w:rsid w:val="0081034E"/>
    <w:rsid w:val="0081599C"/>
    <w:rsid w:val="008221F2"/>
    <w:rsid w:val="00825985"/>
    <w:rsid w:val="008344F6"/>
    <w:rsid w:val="0083510F"/>
    <w:rsid w:val="008408C5"/>
    <w:rsid w:val="0084685A"/>
    <w:rsid w:val="00851209"/>
    <w:rsid w:val="0085722A"/>
    <w:rsid w:val="00864907"/>
    <w:rsid w:val="00864B35"/>
    <w:rsid w:val="00865FC8"/>
    <w:rsid w:val="00882481"/>
    <w:rsid w:val="008833BD"/>
    <w:rsid w:val="008837AC"/>
    <w:rsid w:val="00883AA5"/>
    <w:rsid w:val="0089244F"/>
    <w:rsid w:val="008A587D"/>
    <w:rsid w:val="008B35CD"/>
    <w:rsid w:val="008B3875"/>
    <w:rsid w:val="008B5FCC"/>
    <w:rsid w:val="008B7544"/>
    <w:rsid w:val="008C3374"/>
    <w:rsid w:val="008C5486"/>
    <w:rsid w:val="008C708B"/>
    <w:rsid w:val="008D1661"/>
    <w:rsid w:val="008D3ED1"/>
    <w:rsid w:val="008D6800"/>
    <w:rsid w:val="008E1EE1"/>
    <w:rsid w:val="008E5637"/>
    <w:rsid w:val="008E59A3"/>
    <w:rsid w:val="008E7031"/>
    <w:rsid w:val="008E77DE"/>
    <w:rsid w:val="008F07A3"/>
    <w:rsid w:val="008F34DD"/>
    <w:rsid w:val="009001B6"/>
    <w:rsid w:val="00900E1B"/>
    <w:rsid w:val="00901C3C"/>
    <w:rsid w:val="009233EE"/>
    <w:rsid w:val="009272AD"/>
    <w:rsid w:val="009277DC"/>
    <w:rsid w:val="009460AA"/>
    <w:rsid w:val="00951978"/>
    <w:rsid w:val="00961A4A"/>
    <w:rsid w:val="009661DE"/>
    <w:rsid w:val="00983C25"/>
    <w:rsid w:val="009856B7"/>
    <w:rsid w:val="00985C86"/>
    <w:rsid w:val="009944C3"/>
    <w:rsid w:val="009A501B"/>
    <w:rsid w:val="009A5113"/>
    <w:rsid w:val="009A5FC3"/>
    <w:rsid w:val="009B6F84"/>
    <w:rsid w:val="009B74B0"/>
    <w:rsid w:val="009D3906"/>
    <w:rsid w:val="009D6B46"/>
    <w:rsid w:val="009E3419"/>
    <w:rsid w:val="009F4940"/>
    <w:rsid w:val="009F5BA1"/>
    <w:rsid w:val="00A02A88"/>
    <w:rsid w:val="00A0562E"/>
    <w:rsid w:val="00A06085"/>
    <w:rsid w:val="00A06FD7"/>
    <w:rsid w:val="00A0726D"/>
    <w:rsid w:val="00A32FBB"/>
    <w:rsid w:val="00A428EE"/>
    <w:rsid w:val="00A4478A"/>
    <w:rsid w:val="00A44852"/>
    <w:rsid w:val="00A4650A"/>
    <w:rsid w:val="00A50502"/>
    <w:rsid w:val="00A57D04"/>
    <w:rsid w:val="00A60A26"/>
    <w:rsid w:val="00A61598"/>
    <w:rsid w:val="00A67B06"/>
    <w:rsid w:val="00A77430"/>
    <w:rsid w:val="00A81300"/>
    <w:rsid w:val="00A84A99"/>
    <w:rsid w:val="00A84F46"/>
    <w:rsid w:val="00A871F4"/>
    <w:rsid w:val="00A928A4"/>
    <w:rsid w:val="00AA6897"/>
    <w:rsid w:val="00AB4D7C"/>
    <w:rsid w:val="00AC1B2C"/>
    <w:rsid w:val="00AC3264"/>
    <w:rsid w:val="00AC5E38"/>
    <w:rsid w:val="00AE1BF1"/>
    <w:rsid w:val="00AF0DD2"/>
    <w:rsid w:val="00B0209D"/>
    <w:rsid w:val="00B07CEA"/>
    <w:rsid w:val="00B13048"/>
    <w:rsid w:val="00B13AFC"/>
    <w:rsid w:val="00B157C2"/>
    <w:rsid w:val="00B1716D"/>
    <w:rsid w:val="00B17A1D"/>
    <w:rsid w:val="00B207A0"/>
    <w:rsid w:val="00B404D1"/>
    <w:rsid w:val="00B40CAA"/>
    <w:rsid w:val="00B514DD"/>
    <w:rsid w:val="00B51F3F"/>
    <w:rsid w:val="00B52AF0"/>
    <w:rsid w:val="00B561BD"/>
    <w:rsid w:val="00B56E03"/>
    <w:rsid w:val="00B61EDF"/>
    <w:rsid w:val="00B67D0E"/>
    <w:rsid w:val="00B757A6"/>
    <w:rsid w:val="00B8080B"/>
    <w:rsid w:val="00B82223"/>
    <w:rsid w:val="00B87BA5"/>
    <w:rsid w:val="00B87C39"/>
    <w:rsid w:val="00B906EE"/>
    <w:rsid w:val="00B950DB"/>
    <w:rsid w:val="00B9562D"/>
    <w:rsid w:val="00B96B4A"/>
    <w:rsid w:val="00BA4665"/>
    <w:rsid w:val="00BB2FB2"/>
    <w:rsid w:val="00BB3304"/>
    <w:rsid w:val="00BB3FD7"/>
    <w:rsid w:val="00BB7528"/>
    <w:rsid w:val="00BC0D9D"/>
    <w:rsid w:val="00BD310B"/>
    <w:rsid w:val="00BD3446"/>
    <w:rsid w:val="00BE1F1B"/>
    <w:rsid w:val="00BE47B5"/>
    <w:rsid w:val="00BF48E8"/>
    <w:rsid w:val="00C04223"/>
    <w:rsid w:val="00C10318"/>
    <w:rsid w:val="00C11B91"/>
    <w:rsid w:val="00C25FA6"/>
    <w:rsid w:val="00C275C4"/>
    <w:rsid w:val="00C42ACA"/>
    <w:rsid w:val="00C538A9"/>
    <w:rsid w:val="00C53B5A"/>
    <w:rsid w:val="00C54F5A"/>
    <w:rsid w:val="00C55B8D"/>
    <w:rsid w:val="00C569B4"/>
    <w:rsid w:val="00C56A3E"/>
    <w:rsid w:val="00C67A92"/>
    <w:rsid w:val="00C7497E"/>
    <w:rsid w:val="00C84560"/>
    <w:rsid w:val="00C84F52"/>
    <w:rsid w:val="00C86679"/>
    <w:rsid w:val="00CA489E"/>
    <w:rsid w:val="00CA52A2"/>
    <w:rsid w:val="00CB0279"/>
    <w:rsid w:val="00CB666B"/>
    <w:rsid w:val="00CC6DCB"/>
    <w:rsid w:val="00CC7F1D"/>
    <w:rsid w:val="00CE484B"/>
    <w:rsid w:val="00CF0DEE"/>
    <w:rsid w:val="00CF2C05"/>
    <w:rsid w:val="00CF6EDE"/>
    <w:rsid w:val="00D006AE"/>
    <w:rsid w:val="00D01CF0"/>
    <w:rsid w:val="00D01EFD"/>
    <w:rsid w:val="00D0442A"/>
    <w:rsid w:val="00D17683"/>
    <w:rsid w:val="00D45694"/>
    <w:rsid w:val="00D603A5"/>
    <w:rsid w:val="00D61388"/>
    <w:rsid w:val="00D61A54"/>
    <w:rsid w:val="00D6239A"/>
    <w:rsid w:val="00D64DEA"/>
    <w:rsid w:val="00D7168E"/>
    <w:rsid w:val="00D71E57"/>
    <w:rsid w:val="00D75AA2"/>
    <w:rsid w:val="00D80893"/>
    <w:rsid w:val="00D84854"/>
    <w:rsid w:val="00D848B4"/>
    <w:rsid w:val="00D92CF1"/>
    <w:rsid w:val="00D92D38"/>
    <w:rsid w:val="00D950F5"/>
    <w:rsid w:val="00DA366C"/>
    <w:rsid w:val="00DA4752"/>
    <w:rsid w:val="00DA61F3"/>
    <w:rsid w:val="00DA6B93"/>
    <w:rsid w:val="00DB0F93"/>
    <w:rsid w:val="00DB1A67"/>
    <w:rsid w:val="00DB5074"/>
    <w:rsid w:val="00DB5B21"/>
    <w:rsid w:val="00DB5C2E"/>
    <w:rsid w:val="00DB7716"/>
    <w:rsid w:val="00DC6593"/>
    <w:rsid w:val="00DC6767"/>
    <w:rsid w:val="00DC7981"/>
    <w:rsid w:val="00DD4987"/>
    <w:rsid w:val="00DE1093"/>
    <w:rsid w:val="00DE4EFA"/>
    <w:rsid w:val="00DE5520"/>
    <w:rsid w:val="00DE563D"/>
    <w:rsid w:val="00DE5E2E"/>
    <w:rsid w:val="00DE772C"/>
    <w:rsid w:val="00DF312A"/>
    <w:rsid w:val="00E04818"/>
    <w:rsid w:val="00E06442"/>
    <w:rsid w:val="00E06BCF"/>
    <w:rsid w:val="00E1001C"/>
    <w:rsid w:val="00E16566"/>
    <w:rsid w:val="00E214DF"/>
    <w:rsid w:val="00E23993"/>
    <w:rsid w:val="00E257D6"/>
    <w:rsid w:val="00E25B8C"/>
    <w:rsid w:val="00E51D65"/>
    <w:rsid w:val="00E573C6"/>
    <w:rsid w:val="00E6200B"/>
    <w:rsid w:val="00E65C85"/>
    <w:rsid w:val="00E66199"/>
    <w:rsid w:val="00E711C7"/>
    <w:rsid w:val="00E755EC"/>
    <w:rsid w:val="00E7624D"/>
    <w:rsid w:val="00E86009"/>
    <w:rsid w:val="00E975E7"/>
    <w:rsid w:val="00EA3D42"/>
    <w:rsid w:val="00EA6B1B"/>
    <w:rsid w:val="00EB5BC8"/>
    <w:rsid w:val="00EB606C"/>
    <w:rsid w:val="00EC04F1"/>
    <w:rsid w:val="00ED0EC2"/>
    <w:rsid w:val="00ED214F"/>
    <w:rsid w:val="00ED7323"/>
    <w:rsid w:val="00EE28F3"/>
    <w:rsid w:val="00EE50D1"/>
    <w:rsid w:val="00EE77FA"/>
    <w:rsid w:val="00EF5110"/>
    <w:rsid w:val="00F0334E"/>
    <w:rsid w:val="00F10411"/>
    <w:rsid w:val="00F15882"/>
    <w:rsid w:val="00F171E0"/>
    <w:rsid w:val="00F20BD3"/>
    <w:rsid w:val="00F2526A"/>
    <w:rsid w:val="00F373A5"/>
    <w:rsid w:val="00F47559"/>
    <w:rsid w:val="00F61176"/>
    <w:rsid w:val="00F64C7B"/>
    <w:rsid w:val="00F65B25"/>
    <w:rsid w:val="00F676DD"/>
    <w:rsid w:val="00F71667"/>
    <w:rsid w:val="00F75A26"/>
    <w:rsid w:val="00F75DC1"/>
    <w:rsid w:val="00F76706"/>
    <w:rsid w:val="00F768C8"/>
    <w:rsid w:val="00F81630"/>
    <w:rsid w:val="00F81B27"/>
    <w:rsid w:val="00F81B8D"/>
    <w:rsid w:val="00F83FAD"/>
    <w:rsid w:val="00F8653A"/>
    <w:rsid w:val="00F9004E"/>
    <w:rsid w:val="00F92349"/>
    <w:rsid w:val="00F952A0"/>
    <w:rsid w:val="00FA3C7F"/>
    <w:rsid w:val="00FA5DAA"/>
    <w:rsid w:val="00FB4402"/>
    <w:rsid w:val="00FB60FE"/>
    <w:rsid w:val="00FB74E2"/>
    <w:rsid w:val="00FC71DC"/>
    <w:rsid w:val="00FD2ED2"/>
    <w:rsid w:val="00FD5614"/>
    <w:rsid w:val="00FD5E78"/>
    <w:rsid w:val="00FE0BE1"/>
    <w:rsid w:val="00FE1DE9"/>
    <w:rsid w:val="00FE36AF"/>
    <w:rsid w:val="00FE39C2"/>
    <w:rsid w:val="00FE3C32"/>
    <w:rsid w:val="00FE64AE"/>
    <w:rsid w:val="00FF5BF3"/>
    <w:rsid w:val="00FF6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2354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D9C278-12AA-4318-B1A5-1EB0063A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99B54965</Template>
  <TotalTime>0</TotalTime>
  <Pages>15</Pages>
  <Words>2918</Words>
  <Characters>16633</Characters>
  <Application>Microsoft Office Word</Application>
  <DocSecurity>0</DocSecurity>
  <Lines>138</Lines>
  <Paragraphs>39</Paragraphs>
  <ScaleCrop>false</ScaleCrop>
  <Company/>
  <LinksUpToDate>false</LinksUpToDate>
  <CharactersWithSpaces>19512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2015-11-23T04:12:00Z</dcterms:created>
  <dcterms:modified xsi:type="dcterms:W3CDTF">2015-11-23T04:13:00Z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8431912</vt:lpwstr>
  </property>
</Properties>
</file>