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10E7DD1F" wp14:editId="2A1AABA1">
                <wp:simplePos x="0" y="0"/>
                <wp:positionH relativeFrom="column">
                  <wp:posOffset>-1107440</wp:posOffset>
                </wp:positionH>
                <wp:positionV relativeFrom="paragraph">
                  <wp:posOffset>-942975</wp:posOffset>
                </wp:positionV>
                <wp:extent cx="7724775" cy="1072515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24775" cy="1072515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0622C" w:rsidRDefault="00F0622C" w:rsidP="00F171E0"/>
        <w:p w:rsidR="00F0622C" w:rsidRDefault="00F0622C" w:rsidP="00F171E0"/>
        <w:p w:rsidR="00F0622C" w:rsidRDefault="00F0622C"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CF2C05">
            <w:t>DRAFT</w:t>
          </w:r>
          <w:r w:rsidR="00DA4752">
            <w:t xml:space="preserve"> DECISION</w:t>
          </w:r>
        </w:p>
        <w:p w:rsidR="00415F31" w:rsidRDefault="00B40CAA" w:rsidP="008F07A3">
          <w:pPr>
            <w:pStyle w:val="ReportSubtitle"/>
          </w:pPr>
          <w:r>
            <w:t>A</w:t>
          </w:r>
          <w:r w:rsidR="00C275C4">
            <w:t>us</w:t>
          </w:r>
          <w:r w:rsidR="002933F2">
            <w:t>tralian</w:t>
          </w:r>
          <w:r>
            <w:t xml:space="preserve"> </w:t>
          </w:r>
          <w:r w:rsidR="00C275C4">
            <w:t>G</w:t>
          </w:r>
          <w:r>
            <w:t>as</w:t>
          </w:r>
          <w:r w:rsidR="00C275C4">
            <w:t xml:space="preserve"> Networks</w:t>
          </w:r>
          <w:r w:rsidR="00A06085">
            <w:t xml:space="preserve"> </w:t>
          </w:r>
          <w:r w:rsidR="00CF2C05">
            <w:br/>
            <w:t>Access Arrangement</w:t>
          </w:r>
        </w:p>
        <w:p w:rsidR="000A6C7B" w:rsidRDefault="005C0A7F" w:rsidP="008F07A3">
          <w:pPr>
            <w:pStyle w:val="ReportSubtitle"/>
          </w:pPr>
          <w:r>
            <w:t xml:space="preserve"> 20</w:t>
          </w:r>
          <w:r w:rsidR="00DA4752">
            <w:t xml:space="preserve">16 to </w:t>
          </w:r>
          <w:r w:rsidR="00A06085">
            <w:t>2021</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A06085">
            <w:t>13</w:t>
          </w:r>
          <w:r w:rsidR="00DA4752">
            <w:t xml:space="preserve"> </w:t>
          </w:r>
          <w:r w:rsidR="00415F31">
            <w:rPr>
              <w:rFonts w:cs="Arial"/>
            </w:rPr>
            <w:t>–</w:t>
          </w:r>
          <w:r w:rsidR="00DA4752">
            <w:t xml:space="preserve"> </w:t>
          </w:r>
          <w:r w:rsidR="00A06085">
            <w:t>Demand</w:t>
          </w:r>
        </w:p>
        <w:p w:rsidR="000A6C7B" w:rsidRPr="00327A1E" w:rsidRDefault="00A06085" w:rsidP="00327A1E">
          <w:pPr>
            <w:pStyle w:val="ReportDate"/>
          </w:pPr>
          <w:r>
            <w:t>November</w:t>
          </w:r>
          <w:r w:rsidR="005C0A7F">
            <w:t xml:space="preserve">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rsidRPr="00F0622C">
        <w:rPr>
          <w:sz w:val="20"/>
          <w:szCs w:val="20"/>
        </w:rPr>
        <w:t>the</w:t>
      </w:r>
      <w:r>
        <w:t xml:space="preserv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36055504"/>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CF2C05">
        <w:t>draft</w:t>
      </w:r>
      <w:r w:rsidR="00415F31">
        <w:t xml:space="preserve"> decision on </w:t>
      </w:r>
      <w:r w:rsidR="00C275C4">
        <w:t>Aus</w:t>
      </w:r>
      <w:r w:rsidR="002933F2">
        <w:t>tralian</w:t>
      </w:r>
      <w:r w:rsidR="00C275C4">
        <w:t xml:space="preserve"> Gas Networks’</w:t>
      </w:r>
      <w:r w:rsidR="00415F31">
        <w:t xml:space="preserve"> </w:t>
      </w:r>
      <w:r w:rsidR="00CF2C05">
        <w:t>access</w:t>
      </w:r>
      <w:r w:rsidR="00415F31">
        <w:t xml:space="preserve"> </w:t>
      </w:r>
      <w:r w:rsidR="00CF2C05">
        <w:t>arrangement for</w:t>
      </w:r>
      <w:r w:rsidR="00415F31">
        <w:t xml:space="preserve"> 201</w:t>
      </w:r>
      <w:r w:rsidR="005C0A7F">
        <w:t>6</w:t>
      </w:r>
      <w:r w:rsidR="00415F31" w:rsidRPr="00D904FA">
        <w:t>–</w:t>
      </w:r>
      <w:r w:rsidR="00103A67">
        <w:t>21</w:t>
      </w:r>
      <w:r w:rsidR="00415F31">
        <w:t xml:space="preserve">. It should be read with </w:t>
      </w:r>
      <w:r w:rsidR="005C0A7F">
        <w:t xml:space="preserve">all </w:t>
      </w:r>
      <w:r w:rsidR="00415F31">
        <w:t xml:space="preserve">other parts of the </w:t>
      </w:r>
      <w:r w:rsidR="00CF2C05">
        <w:t>draft</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CF2C05">
        <w:t>draft</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w:t>
      </w:r>
      <w:r w:rsidR="00D41EDB">
        <w:t>-</w:t>
      </w:r>
      <w:r>
        <w:t xml:space="preserve"> </w:t>
      </w:r>
      <w:r w:rsidR="00EE77FA">
        <w:t>Demand</w:t>
      </w:r>
    </w:p>
    <w:p w:rsidR="002933F2" w:rsidRDefault="002933F2" w:rsidP="0070011E">
      <w:r>
        <w:t xml:space="preserve">Attachment 14 </w:t>
      </w:r>
      <w:r w:rsidR="00D41EDB">
        <w:t>-</w:t>
      </w:r>
      <w:r>
        <w:t xml:space="preserve"> Other incentive schemes</w:t>
      </w:r>
    </w:p>
    <w:p w:rsidR="00DE563D" w:rsidRPr="00A72B34" w:rsidRDefault="00DE563D" w:rsidP="00DE772C">
      <w:pPr>
        <w:pStyle w:val="UnnumberedHeading"/>
        <w:numPr>
          <w:ilvl w:val="0"/>
          <w:numId w:val="23"/>
        </w:numPr>
      </w:pPr>
      <w:bookmarkStart w:id="5" w:name="_Toc403144133"/>
      <w:bookmarkStart w:id="6" w:name="_Toc436055505"/>
      <w:r>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bookmarkStart w:id="7" w:name="_GoBack" w:displacedByCustomXml="prev"/>
        <w:bookmarkEnd w:id="7" w:displacedByCustomXml="prev"/>
        <w:p w:rsidR="009B32A4"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6055504" w:history="1">
            <w:r w:rsidR="009B32A4" w:rsidRPr="000036AF">
              <w:rPr>
                <w:rStyle w:val="Hyperlink"/>
              </w:rPr>
              <w:t>Note</w:t>
            </w:r>
            <w:r w:rsidR="009B32A4">
              <w:rPr>
                <w:webHidden/>
              </w:rPr>
              <w:tab/>
            </w:r>
            <w:r w:rsidR="009B32A4">
              <w:rPr>
                <w:webHidden/>
              </w:rPr>
              <w:fldChar w:fldCharType="begin"/>
            </w:r>
            <w:r w:rsidR="009B32A4">
              <w:rPr>
                <w:webHidden/>
              </w:rPr>
              <w:instrText xml:space="preserve"> PAGEREF _Toc436055504 \h </w:instrText>
            </w:r>
            <w:r w:rsidR="009B32A4">
              <w:rPr>
                <w:webHidden/>
              </w:rPr>
            </w:r>
            <w:r w:rsidR="009B32A4">
              <w:rPr>
                <w:webHidden/>
              </w:rPr>
              <w:fldChar w:fldCharType="separate"/>
            </w:r>
            <w:r w:rsidR="009B32A4">
              <w:rPr>
                <w:webHidden/>
              </w:rPr>
              <w:t>13-2</w:t>
            </w:r>
            <w:r w:rsidR="009B32A4">
              <w:rPr>
                <w:webHidden/>
              </w:rPr>
              <w:fldChar w:fldCharType="end"/>
            </w:r>
          </w:hyperlink>
        </w:p>
        <w:p w:rsidR="009B32A4" w:rsidRDefault="009B32A4">
          <w:pPr>
            <w:pStyle w:val="TOC1"/>
            <w:rPr>
              <w:rFonts w:asciiTheme="minorHAnsi" w:eastAsiaTheme="minorEastAsia" w:hAnsiTheme="minorHAnsi"/>
              <w:b w:val="0"/>
              <w:color w:val="auto"/>
              <w:sz w:val="22"/>
              <w:lang w:val="en-AU" w:eastAsia="en-AU"/>
            </w:rPr>
          </w:pPr>
          <w:hyperlink w:anchor="_Toc436055505" w:history="1">
            <w:r w:rsidRPr="000036AF">
              <w:rPr>
                <w:rStyle w:val="Hyperlink"/>
              </w:rPr>
              <w:t>Contents</w:t>
            </w:r>
            <w:r>
              <w:rPr>
                <w:webHidden/>
              </w:rPr>
              <w:tab/>
            </w:r>
            <w:r>
              <w:rPr>
                <w:webHidden/>
              </w:rPr>
              <w:fldChar w:fldCharType="begin"/>
            </w:r>
            <w:r>
              <w:rPr>
                <w:webHidden/>
              </w:rPr>
              <w:instrText xml:space="preserve"> PAGEREF _Toc436055505 \h </w:instrText>
            </w:r>
            <w:r>
              <w:rPr>
                <w:webHidden/>
              </w:rPr>
            </w:r>
            <w:r>
              <w:rPr>
                <w:webHidden/>
              </w:rPr>
              <w:fldChar w:fldCharType="separate"/>
            </w:r>
            <w:r>
              <w:rPr>
                <w:webHidden/>
              </w:rPr>
              <w:t>13-3</w:t>
            </w:r>
            <w:r>
              <w:rPr>
                <w:webHidden/>
              </w:rPr>
              <w:fldChar w:fldCharType="end"/>
            </w:r>
          </w:hyperlink>
        </w:p>
        <w:p w:rsidR="009B32A4" w:rsidRDefault="009B32A4">
          <w:pPr>
            <w:pStyle w:val="TOC1"/>
            <w:rPr>
              <w:rFonts w:asciiTheme="minorHAnsi" w:eastAsiaTheme="minorEastAsia" w:hAnsiTheme="minorHAnsi"/>
              <w:b w:val="0"/>
              <w:color w:val="auto"/>
              <w:sz w:val="22"/>
              <w:lang w:val="en-AU" w:eastAsia="en-AU"/>
            </w:rPr>
          </w:pPr>
          <w:hyperlink w:anchor="_Toc436055506" w:history="1">
            <w:r w:rsidRPr="000036AF">
              <w:rPr>
                <w:rStyle w:val="Hyperlink"/>
              </w:rPr>
              <w:t>Shortened forms</w:t>
            </w:r>
            <w:r>
              <w:rPr>
                <w:webHidden/>
              </w:rPr>
              <w:tab/>
            </w:r>
            <w:r>
              <w:rPr>
                <w:webHidden/>
              </w:rPr>
              <w:fldChar w:fldCharType="begin"/>
            </w:r>
            <w:r>
              <w:rPr>
                <w:webHidden/>
              </w:rPr>
              <w:instrText xml:space="preserve"> PAGEREF _Toc436055506 \h </w:instrText>
            </w:r>
            <w:r>
              <w:rPr>
                <w:webHidden/>
              </w:rPr>
            </w:r>
            <w:r>
              <w:rPr>
                <w:webHidden/>
              </w:rPr>
              <w:fldChar w:fldCharType="separate"/>
            </w:r>
            <w:r>
              <w:rPr>
                <w:webHidden/>
              </w:rPr>
              <w:t>13-4</w:t>
            </w:r>
            <w:r>
              <w:rPr>
                <w:webHidden/>
              </w:rPr>
              <w:fldChar w:fldCharType="end"/>
            </w:r>
          </w:hyperlink>
        </w:p>
        <w:p w:rsidR="009B32A4" w:rsidRDefault="009B32A4">
          <w:pPr>
            <w:pStyle w:val="TOC1"/>
            <w:rPr>
              <w:rFonts w:asciiTheme="minorHAnsi" w:eastAsiaTheme="minorEastAsia" w:hAnsiTheme="minorHAnsi"/>
              <w:b w:val="0"/>
              <w:color w:val="auto"/>
              <w:sz w:val="22"/>
              <w:lang w:val="en-AU" w:eastAsia="en-AU"/>
            </w:rPr>
          </w:pPr>
          <w:hyperlink w:anchor="_Toc436055507" w:history="1">
            <w:r w:rsidRPr="000036AF">
              <w:rPr>
                <w:rStyle w:val="Hyperlink"/>
              </w:rPr>
              <w:t>13</w:t>
            </w:r>
            <w:r>
              <w:rPr>
                <w:rFonts w:asciiTheme="minorHAnsi" w:eastAsiaTheme="minorEastAsia" w:hAnsiTheme="minorHAnsi"/>
                <w:b w:val="0"/>
                <w:color w:val="auto"/>
                <w:sz w:val="22"/>
                <w:lang w:val="en-AU" w:eastAsia="en-AU"/>
              </w:rPr>
              <w:tab/>
            </w:r>
            <w:r w:rsidRPr="000036AF">
              <w:rPr>
                <w:rStyle w:val="Hyperlink"/>
              </w:rPr>
              <w:t>Demand</w:t>
            </w:r>
            <w:r>
              <w:rPr>
                <w:webHidden/>
              </w:rPr>
              <w:tab/>
            </w:r>
            <w:r>
              <w:rPr>
                <w:webHidden/>
              </w:rPr>
              <w:fldChar w:fldCharType="begin"/>
            </w:r>
            <w:r>
              <w:rPr>
                <w:webHidden/>
              </w:rPr>
              <w:instrText xml:space="preserve"> PAGEREF _Toc436055507 \h </w:instrText>
            </w:r>
            <w:r>
              <w:rPr>
                <w:webHidden/>
              </w:rPr>
            </w:r>
            <w:r>
              <w:rPr>
                <w:webHidden/>
              </w:rPr>
              <w:fldChar w:fldCharType="separate"/>
            </w:r>
            <w:r>
              <w:rPr>
                <w:webHidden/>
              </w:rPr>
              <w:t>13-6</w:t>
            </w:r>
            <w:r>
              <w:rPr>
                <w:webHidden/>
              </w:rPr>
              <w:fldChar w:fldCharType="end"/>
            </w:r>
          </w:hyperlink>
        </w:p>
        <w:p w:rsidR="009B32A4" w:rsidRDefault="009B32A4">
          <w:pPr>
            <w:pStyle w:val="TOC2"/>
            <w:tabs>
              <w:tab w:val="left" w:pos="1276"/>
            </w:tabs>
            <w:rPr>
              <w:rFonts w:asciiTheme="minorHAnsi" w:eastAsiaTheme="minorEastAsia" w:hAnsiTheme="minorHAnsi"/>
              <w:b w:val="0"/>
              <w:color w:val="auto"/>
              <w:sz w:val="22"/>
              <w:lang w:eastAsia="en-AU"/>
            </w:rPr>
          </w:pPr>
          <w:hyperlink w:anchor="_Toc436055508" w:history="1">
            <w:r w:rsidRPr="000036AF">
              <w:rPr>
                <w:rStyle w:val="Hyperlink"/>
              </w:rPr>
              <w:t>13.1</w:t>
            </w:r>
            <w:r>
              <w:rPr>
                <w:rFonts w:asciiTheme="minorHAnsi" w:eastAsiaTheme="minorEastAsia" w:hAnsiTheme="minorHAnsi"/>
                <w:b w:val="0"/>
                <w:color w:val="auto"/>
                <w:sz w:val="22"/>
                <w:lang w:eastAsia="en-AU"/>
              </w:rPr>
              <w:tab/>
            </w:r>
            <w:r w:rsidRPr="000036AF">
              <w:rPr>
                <w:rStyle w:val="Hyperlink"/>
              </w:rPr>
              <w:t>Draft decision</w:t>
            </w:r>
            <w:r>
              <w:rPr>
                <w:webHidden/>
              </w:rPr>
              <w:tab/>
            </w:r>
            <w:r>
              <w:rPr>
                <w:webHidden/>
              </w:rPr>
              <w:fldChar w:fldCharType="begin"/>
            </w:r>
            <w:r>
              <w:rPr>
                <w:webHidden/>
              </w:rPr>
              <w:instrText xml:space="preserve"> PAGEREF _Toc436055508 \h </w:instrText>
            </w:r>
            <w:r>
              <w:rPr>
                <w:webHidden/>
              </w:rPr>
            </w:r>
            <w:r>
              <w:rPr>
                <w:webHidden/>
              </w:rPr>
              <w:fldChar w:fldCharType="separate"/>
            </w:r>
            <w:r>
              <w:rPr>
                <w:webHidden/>
              </w:rPr>
              <w:t>13-6</w:t>
            </w:r>
            <w:r>
              <w:rPr>
                <w:webHidden/>
              </w:rPr>
              <w:fldChar w:fldCharType="end"/>
            </w:r>
          </w:hyperlink>
        </w:p>
        <w:p w:rsidR="009B32A4" w:rsidRDefault="009B32A4">
          <w:pPr>
            <w:pStyle w:val="TOC2"/>
            <w:tabs>
              <w:tab w:val="left" w:pos="1276"/>
            </w:tabs>
            <w:rPr>
              <w:rFonts w:asciiTheme="minorHAnsi" w:eastAsiaTheme="minorEastAsia" w:hAnsiTheme="minorHAnsi"/>
              <w:b w:val="0"/>
              <w:color w:val="auto"/>
              <w:sz w:val="22"/>
              <w:lang w:eastAsia="en-AU"/>
            </w:rPr>
          </w:pPr>
          <w:hyperlink w:anchor="_Toc436055509" w:history="1">
            <w:r w:rsidRPr="000036AF">
              <w:rPr>
                <w:rStyle w:val="Hyperlink"/>
              </w:rPr>
              <w:t>13.2</w:t>
            </w:r>
            <w:r>
              <w:rPr>
                <w:rFonts w:asciiTheme="minorHAnsi" w:eastAsiaTheme="minorEastAsia" w:hAnsiTheme="minorHAnsi"/>
                <w:b w:val="0"/>
                <w:color w:val="auto"/>
                <w:sz w:val="22"/>
                <w:lang w:eastAsia="en-AU"/>
              </w:rPr>
              <w:tab/>
            </w:r>
            <w:r w:rsidRPr="000036AF">
              <w:rPr>
                <w:rStyle w:val="Hyperlink"/>
              </w:rPr>
              <w:t>AER’s assessment approach</w:t>
            </w:r>
            <w:r>
              <w:rPr>
                <w:webHidden/>
              </w:rPr>
              <w:tab/>
            </w:r>
            <w:r>
              <w:rPr>
                <w:webHidden/>
              </w:rPr>
              <w:fldChar w:fldCharType="begin"/>
            </w:r>
            <w:r>
              <w:rPr>
                <w:webHidden/>
              </w:rPr>
              <w:instrText xml:space="preserve"> PAGEREF _Toc436055509 \h </w:instrText>
            </w:r>
            <w:r>
              <w:rPr>
                <w:webHidden/>
              </w:rPr>
            </w:r>
            <w:r>
              <w:rPr>
                <w:webHidden/>
              </w:rPr>
              <w:fldChar w:fldCharType="separate"/>
            </w:r>
            <w:r>
              <w:rPr>
                <w:webHidden/>
              </w:rPr>
              <w:t>13-8</w:t>
            </w:r>
            <w:r>
              <w:rPr>
                <w:webHidden/>
              </w:rPr>
              <w:fldChar w:fldCharType="end"/>
            </w:r>
          </w:hyperlink>
        </w:p>
        <w:p w:rsidR="009B32A4" w:rsidRDefault="009B32A4">
          <w:pPr>
            <w:pStyle w:val="TOC3"/>
            <w:rPr>
              <w:rFonts w:asciiTheme="minorHAnsi" w:eastAsiaTheme="minorEastAsia" w:hAnsiTheme="minorHAnsi"/>
              <w:lang w:eastAsia="en-AU"/>
            </w:rPr>
          </w:pPr>
          <w:hyperlink w:anchor="_Toc436055510" w:history="1">
            <w:r w:rsidRPr="000036AF">
              <w:rPr>
                <w:rStyle w:val="Hyperlink"/>
              </w:rPr>
              <w:t>13.2.1</w:t>
            </w:r>
            <w:r>
              <w:rPr>
                <w:rFonts w:asciiTheme="minorHAnsi" w:eastAsiaTheme="minorEastAsia" w:hAnsiTheme="minorHAnsi"/>
                <w:lang w:eastAsia="en-AU"/>
              </w:rPr>
              <w:tab/>
            </w:r>
            <w:r w:rsidRPr="000036AF">
              <w:rPr>
                <w:rStyle w:val="Hyperlink"/>
              </w:rPr>
              <w:t>Interrelationships</w:t>
            </w:r>
            <w:r>
              <w:rPr>
                <w:webHidden/>
              </w:rPr>
              <w:tab/>
            </w:r>
            <w:r>
              <w:rPr>
                <w:webHidden/>
              </w:rPr>
              <w:fldChar w:fldCharType="begin"/>
            </w:r>
            <w:r>
              <w:rPr>
                <w:webHidden/>
              </w:rPr>
              <w:instrText xml:space="preserve"> PAGEREF _Toc436055510 \h </w:instrText>
            </w:r>
            <w:r>
              <w:rPr>
                <w:webHidden/>
              </w:rPr>
            </w:r>
            <w:r>
              <w:rPr>
                <w:webHidden/>
              </w:rPr>
              <w:fldChar w:fldCharType="separate"/>
            </w:r>
            <w:r>
              <w:rPr>
                <w:webHidden/>
              </w:rPr>
              <w:t>13-9</w:t>
            </w:r>
            <w:r>
              <w:rPr>
                <w:webHidden/>
              </w:rPr>
              <w:fldChar w:fldCharType="end"/>
            </w:r>
          </w:hyperlink>
        </w:p>
        <w:p w:rsidR="009B32A4" w:rsidRDefault="009B32A4">
          <w:pPr>
            <w:pStyle w:val="TOC3"/>
            <w:rPr>
              <w:rFonts w:asciiTheme="minorHAnsi" w:eastAsiaTheme="minorEastAsia" w:hAnsiTheme="minorHAnsi"/>
              <w:lang w:eastAsia="en-AU"/>
            </w:rPr>
          </w:pPr>
          <w:hyperlink w:anchor="_Toc436055511" w:history="1">
            <w:r w:rsidRPr="000036AF">
              <w:rPr>
                <w:rStyle w:val="Hyperlink"/>
              </w:rPr>
              <w:t>13.2.2</w:t>
            </w:r>
            <w:r>
              <w:rPr>
                <w:rFonts w:asciiTheme="minorHAnsi" w:eastAsiaTheme="minorEastAsia" w:hAnsiTheme="minorHAnsi"/>
                <w:lang w:eastAsia="en-AU"/>
              </w:rPr>
              <w:tab/>
            </w:r>
            <w:r w:rsidRPr="000036AF">
              <w:rPr>
                <w:rStyle w:val="Hyperlink"/>
              </w:rPr>
              <w:t>Minimum, maximum and average demand</w:t>
            </w:r>
            <w:r>
              <w:rPr>
                <w:webHidden/>
              </w:rPr>
              <w:tab/>
            </w:r>
            <w:r>
              <w:rPr>
                <w:webHidden/>
              </w:rPr>
              <w:fldChar w:fldCharType="begin"/>
            </w:r>
            <w:r>
              <w:rPr>
                <w:webHidden/>
              </w:rPr>
              <w:instrText xml:space="preserve"> PAGEREF _Toc436055511 \h </w:instrText>
            </w:r>
            <w:r>
              <w:rPr>
                <w:webHidden/>
              </w:rPr>
            </w:r>
            <w:r>
              <w:rPr>
                <w:webHidden/>
              </w:rPr>
              <w:fldChar w:fldCharType="separate"/>
            </w:r>
            <w:r>
              <w:rPr>
                <w:webHidden/>
              </w:rPr>
              <w:t>13-10</w:t>
            </w:r>
            <w:r>
              <w:rPr>
                <w:webHidden/>
              </w:rPr>
              <w:fldChar w:fldCharType="end"/>
            </w:r>
          </w:hyperlink>
        </w:p>
        <w:p w:rsidR="009B32A4" w:rsidRDefault="009B32A4">
          <w:pPr>
            <w:pStyle w:val="TOC3"/>
            <w:rPr>
              <w:rFonts w:asciiTheme="minorHAnsi" w:eastAsiaTheme="minorEastAsia" w:hAnsiTheme="minorHAnsi"/>
              <w:lang w:eastAsia="en-AU"/>
            </w:rPr>
          </w:pPr>
          <w:hyperlink w:anchor="_Toc436055512" w:history="1">
            <w:r w:rsidRPr="000036AF">
              <w:rPr>
                <w:rStyle w:val="Hyperlink"/>
              </w:rPr>
              <w:t>13.2.3</w:t>
            </w:r>
            <w:r>
              <w:rPr>
                <w:rFonts w:asciiTheme="minorHAnsi" w:eastAsiaTheme="minorEastAsia" w:hAnsiTheme="minorHAnsi"/>
                <w:lang w:eastAsia="en-AU"/>
              </w:rPr>
              <w:tab/>
            </w:r>
            <w:r w:rsidRPr="000036AF">
              <w:rPr>
                <w:rStyle w:val="Hyperlink"/>
              </w:rPr>
              <w:t>Forecast pipeline capacity and utilisation</w:t>
            </w:r>
            <w:r>
              <w:rPr>
                <w:webHidden/>
              </w:rPr>
              <w:tab/>
            </w:r>
            <w:r>
              <w:rPr>
                <w:webHidden/>
              </w:rPr>
              <w:fldChar w:fldCharType="begin"/>
            </w:r>
            <w:r>
              <w:rPr>
                <w:webHidden/>
              </w:rPr>
              <w:instrText xml:space="preserve"> PAGEREF _Toc436055512 \h </w:instrText>
            </w:r>
            <w:r>
              <w:rPr>
                <w:webHidden/>
              </w:rPr>
            </w:r>
            <w:r>
              <w:rPr>
                <w:webHidden/>
              </w:rPr>
              <w:fldChar w:fldCharType="separate"/>
            </w:r>
            <w:r>
              <w:rPr>
                <w:webHidden/>
              </w:rPr>
              <w:t>13-10</w:t>
            </w:r>
            <w:r>
              <w:rPr>
                <w:webHidden/>
              </w:rPr>
              <w:fldChar w:fldCharType="end"/>
            </w:r>
          </w:hyperlink>
        </w:p>
        <w:p w:rsidR="009B32A4" w:rsidRDefault="009B32A4">
          <w:pPr>
            <w:pStyle w:val="TOC2"/>
            <w:tabs>
              <w:tab w:val="left" w:pos="1276"/>
            </w:tabs>
            <w:rPr>
              <w:rFonts w:asciiTheme="minorHAnsi" w:eastAsiaTheme="minorEastAsia" w:hAnsiTheme="minorHAnsi"/>
              <w:b w:val="0"/>
              <w:color w:val="auto"/>
              <w:sz w:val="22"/>
              <w:lang w:eastAsia="en-AU"/>
            </w:rPr>
          </w:pPr>
          <w:hyperlink w:anchor="_Toc436055513" w:history="1">
            <w:r w:rsidRPr="000036AF">
              <w:rPr>
                <w:rStyle w:val="Hyperlink"/>
              </w:rPr>
              <w:t>13.3</w:t>
            </w:r>
            <w:r>
              <w:rPr>
                <w:rFonts w:asciiTheme="minorHAnsi" w:eastAsiaTheme="minorEastAsia" w:hAnsiTheme="minorHAnsi"/>
                <w:b w:val="0"/>
                <w:color w:val="auto"/>
                <w:sz w:val="22"/>
                <w:lang w:eastAsia="en-AU"/>
              </w:rPr>
              <w:tab/>
            </w:r>
            <w:r w:rsidRPr="000036AF">
              <w:rPr>
                <w:rStyle w:val="Hyperlink"/>
              </w:rPr>
              <w:t>Reasons for draft decision</w:t>
            </w:r>
            <w:r>
              <w:rPr>
                <w:webHidden/>
              </w:rPr>
              <w:tab/>
            </w:r>
            <w:r>
              <w:rPr>
                <w:webHidden/>
              </w:rPr>
              <w:fldChar w:fldCharType="begin"/>
            </w:r>
            <w:r>
              <w:rPr>
                <w:webHidden/>
              </w:rPr>
              <w:instrText xml:space="preserve"> PAGEREF _Toc436055513 \h </w:instrText>
            </w:r>
            <w:r>
              <w:rPr>
                <w:webHidden/>
              </w:rPr>
            </w:r>
            <w:r>
              <w:rPr>
                <w:webHidden/>
              </w:rPr>
              <w:fldChar w:fldCharType="separate"/>
            </w:r>
            <w:r>
              <w:rPr>
                <w:webHidden/>
              </w:rPr>
              <w:t>13-10</w:t>
            </w:r>
            <w:r>
              <w:rPr>
                <w:webHidden/>
              </w:rPr>
              <w:fldChar w:fldCharType="end"/>
            </w:r>
          </w:hyperlink>
        </w:p>
        <w:p w:rsidR="009B32A4" w:rsidRDefault="009B32A4">
          <w:pPr>
            <w:pStyle w:val="TOC2"/>
            <w:tabs>
              <w:tab w:val="left" w:pos="1276"/>
            </w:tabs>
            <w:rPr>
              <w:rFonts w:asciiTheme="minorHAnsi" w:eastAsiaTheme="minorEastAsia" w:hAnsiTheme="minorHAnsi"/>
              <w:b w:val="0"/>
              <w:color w:val="auto"/>
              <w:sz w:val="22"/>
              <w:lang w:eastAsia="en-AU"/>
            </w:rPr>
          </w:pPr>
          <w:hyperlink w:anchor="_Toc436055514" w:history="1">
            <w:r w:rsidRPr="000036AF">
              <w:rPr>
                <w:rStyle w:val="Hyperlink"/>
              </w:rPr>
              <w:t>13.4</w:t>
            </w:r>
            <w:r>
              <w:rPr>
                <w:rFonts w:asciiTheme="minorHAnsi" w:eastAsiaTheme="minorEastAsia" w:hAnsiTheme="minorHAnsi"/>
                <w:b w:val="0"/>
                <w:color w:val="auto"/>
                <w:sz w:val="22"/>
                <w:lang w:eastAsia="en-AU"/>
              </w:rPr>
              <w:tab/>
            </w:r>
            <w:r w:rsidRPr="000036AF">
              <w:rPr>
                <w:rStyle w:val="Hyperlink"/>
              </w:rPr>
              <w:t>Tariff V consumption per connection</w:t>
            </w:r>
            <w:r>
              <w:rPr>
                <w:webHidden/>
              </w:rPr>
              <w:tab/>
            </w:r>
            <w:r>
              <w:rPr>
                <w:webHidden/>
              </w:rPr>
              <w:fldChar w:fldCharType="begin"/>
            </w:r>
            <w:r>
              <w:rPr>
                <w:webHidden/>
              </w:rPr>
              <w:instrText xml:space="preserve"> PAGEREF _Toc436055514 \h </w:instrText>
            </w:r>
            <w:r>
              <w:rPr>
                <w:webHidden/>
              </w:rPr>
            </w:r>
            <w:r>
              <w:rPr>
                <w:webHidden/>
              </w:rPr>
              <w:fldChar w:fldCharType="separate"/>
            </w:r>
            <w:r>
              <w:rPr>
                <w:webHidden/>
              </w:rPr>
              <w:t>13-11</w:t>
            </w:r>
            <w:r>
              <w:rPr>
                <w:webHidden/>
              </w:rPr>
              <w:fldChar w:fldCharType="end"/>
            </w:r>
          </w:hyperlink>
        </w:p>
        <w:p w:rsidR="009B32A4" w:rsidRDefault="009B32A4">
          <w:pPr>
            <w:pStyle w:val="TOC3"/>
            <w:rPr>
              <w:rFonts w:asciiTheme="minorHAnsi" w:eastAsiaTheme="minorEastAsia" w:hAnsiTheme="minorHAnsi"/>
              <w:lang w:eastAsia="en-AU"/>
            </w:rPr>
          </w:pPr>
          <w:hyperlink w:anchor="_Toc436055515" w:history="1">
            <w:r w:rsidRPr="000036AF">
              <w:rPr>
                <w:rStyle w:val="Hyperlink"/>
              </w:rPr>
              <w:t>13.4.1</w:t>
            </w:r>
            <w:r>
              <w:rPr>
                <w:rFonts w:asciiTheme="minorHAnsi" w:eastAsiaTheme="minorEastAsia" w:hAnsiTheme="minorHAnsi"/>
                <w:lang w:eastAsia="en-AU"/>
              </w:rPr>
              <w:tab/>
            </w:r>
            <w:r w:rsidRPr="000036AF">
              <w:rPr>
                <w:rStyle w:val="Hyperlink"/>
              </w:rPr>
              <w:t>Methodological error with Core Energy’s forecasting approach</w:t>
            </w:r>
            <w:r>
              <w:rPr>
                <w:webHidden/>
              </w:rPr>
              <w:tab/>
            </w:r>
            <w:r>
              <w:rPr>
                <w:webHidden/>
              </w:rPr>
              <w:fldChar w:fldCharType="begin"/>
            </w:r>
            <w:r>
              <w:rPr>
                <w:webHidden/>
              </w:rPr>
              <w:instrText xml:space="preserve"> PAGEREF _Toc436055515 \h </w:instrText>
            </w:r>
            <w:r>
              <w:rPr>
                <w:webHidden/>
              </w:rPr>
            </w:r>
            <w:r>
              <w:rPr>
                <w:webHidden/>
              </w:rPr>
              <w:fldChar w:fldCharType="separate"/>
            </w:r>
            <w:r>
              <w:rPr>
                <w:webHidden/>
              </w:rPr>
              <w:t>13-12</w:t>
            </w:r>
            <w:r>
              <w:rPr>
                <w:webHidden/>
              </w:rPr>
              <w:fldChar w:fldCharType="end"/>
            </w:r>
          </w:hyperlink>
        </w:p>
        <w:p w:rsidR="009B32A4" w:rsidRDefault="009B32A4">
          <w:pPr>
            <w:pStyle w:val="TOC2"/>
            <w:tabs>
              <w:tab w:val="left" w:pos="1276"/>
            </w:tabs>
            <w:rPr>
              <w:rFonts w:asciiTheme="minorHAnsi" w:eastAsiaTheme="minorEastAsia" w:hAnsiTheme="minorHAnsi"/>
              <w:b w:val="0"/>
              <w:color w:val="auto"/>
              <w:sz w:val="22"/>
              <w:lang w:eastAsia="en-AU"/>
            </w:rPr>
          </w:pPr>
          <w:hyperlink w:anchor="_Toc436055516" w:history="1">
            <w:r w:rsidRPr="000036AF">
              <w:rPr>
                <w:rStyle w:val="Hyperlink"/>
              </w:rPr>
              <w:t>13.5</w:t>
            </w:r>
            <w:r>
              <w:rPr>
                <w:rFonts w:asciiTheme="minorHAnsi" w:eastAsiaTheme="minorEastAsia" w:hAnsiTheme="minorHAnsi"/>
                <w:b w:val="0"/>
                <w:color w:val="auto"/>
                <w:sz w:val="22"/>
                <w:lang w:eastAsia="en-AU"/>
              </w:rPr>
              <w:tab/>
            </w:r>
            <w:r w:rsidRPr="000036AF">
              <w:rPr>
                <w:rStyle w:val="Hyperlink"/>
              </w:rPr>
              <w:t>Revisions</w:t>
            </w:r>
            <w:r>
              <w:rPr>
                <w:webHidden/>
              </w:rPr>
              <w:tab/>
            </w:r>
            <w:r>
              <w:rPr>
                <w:webHidden/>
              </w:rPr>
              <w:fldChar w:fldCharType="begin"/>
            </w:r>
            <w:r>
              <w:rPr>
                <w:webHidden/>
              </w:rPr>
              <w:instrText xml:space="preserve"> PAGEREF _Toc436055516 \h </w:instrText>
            </w:r>
            <w:r>
              <w:rPr>
                <w:webHidden/>
              </w:rPr>
            </w:r>
            <w:r>
              <w:rPr>
                <w:webHidden/>
              </w:rPr>
              <w:fldChar w:fldCharType="separate"/>
            </w:r>
            <w:r>
              <w:rPr>
                <w:webHidden/>
              </w:rPr>
              <w:t>13-16</w:t>
            </w:r>
            <w:r>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EE77FA" w:rsidRDefault="00DE563D" w:rsidP="00DE772C">
      <w:pPr>
        <w:pStyle w:val="UnnumberedHeading"/>
        <w:numPr>
          <w:ilvl w:val="0"/>
          <w:numId w:val="23"/>
        </w:numPr>
      </w:pPr>
      <w:bookmarkStart w:id="8" w:name="_Toc404700925"/>
      <w:bookmarkStart w:id="9" w:name="_Toc436055506"/>
      <w:r>
        <w:t>Shortened forms</w:t>
      </w:r>
      <w:bookmarkEnd w:id="8"/>
      <w:bookmarkEnd w:id="9"/>
    </w:p>
    <w:tbl>
      <w:tblPr>
        <w:tblStyle w:val="AERtable-numbers"/>
        <w:tblW w:w="0" w:type="auto"/>
        <w:tblLook w:val="04A0" w:firstRow="1" w:lastRow="0" w:firstColumn="1" w:lastColumn="0" w:noHBand="0" w:noVBand="1"/>
      </w:tblPr>
      <w:tblGrid>
        <w:gridCol w:w="3652"/>
        <w:gridCol w:w="5041"/>
      </w:tblGrid>
      <w:tr w:rsidR="00EB5111" w:rsidTr="007649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EB5111" w:rsidRDefault="00EB5111" w:rsidP="00EB5111">
            <w:pPr>
              <w:numPr>
                <w:ilvl w:val="0"/>
                <w:numId w:val="24"/>
              </w:numPr>
            </w:pPr>
            <w:r>
              <w:t>Shortened form</w:t>
            </w:r>
          </w:p>
        </w:tc>
        <w:tc>
          <w:tcPr>
            <w:tcW w:w="5041" w:type="dxa"/>
          </w:tcPr>
          <w:p w:rsidR="00EB5111" w:rsidRDefault="00EB5111" w:rsidP="00EB5111">
            <w:pPr>
              <w:numPr>
                <w:ilvl w:val="0"/>
                <w:numId w:val="24"/>
              </w:numPr>
              <w:cnfStyle w:val="100000000000" w:firstRow="1" w:lastRow="0" w:firstColumn="0" w:lastColumn="0" w:oddVBand="0" w:evenVBand="0" w:oddHBand="0" w:evenHBand="0" w:firstRowFirstColumn="0" w:firstRowLastColumn="0" w:lastRowFirstColumn="0" w:lastRowLastColumn="0"/>
            </w:pPr>
            <w:r>
              <w:t>Extended form</w:t>
            </w:r>
          </w:p>
        </w:tc>
      </w:tr>
      <w:tr w:rsidR="00EB5111" w:rsidTr="00764955">
        <w:tc>
          <w:tcPr>
            <w:cnfStyle w:val="001000000000" w:firstRow="0" w:lastRow="0" w:firstColumn="1" w:lastColumn="0" w:oddVBand="0" w:evenVBand="0" w:oddHBand="0" w:evenHBand="0" w:firstRowFirstColumn="0" w:firstRowLastColumn="0" w:lastRowFirstColumn="0" w:lastRowLastColumn="0"/>
            <w:tcW w:w="3652" w:type="dxa"/>
          </w:tcPr>
          <w:p w:rsidR="00EB5111" w:rsidRDefault="00EB5111" w:rsidP="00EB5111">
            <w:pPr>
              <w:numPr>
                <w:ilvl w:val="0"/>
                <w:numId w:val="24"/>
              </w:numPr>
            </w:pPr>
            <w:r>
              <w:t>AA</w:t>
            </w:r>
          </w:p>
        </w:tc>
        <w:tc>
          <w:tcPr>
            <w:tcW w:w="5041" w:type="dxa"/>
          </w:tcPr>
          <w:p w:rsidR="00EB5111" w:rsidRDefault="00EB5111" w:rsidP="00764955">
            <w:pPr>
              <w:cnfStyle w:val="000000000000" w:firstRow="0" w:lastRow="0" w:firstColumn="0" w:lastColumn="0" w:oddVBand="0" w:evenVBand="0" w:oddHBand="0" w:evenHBand="0" w:firstRowFirstColumn="0" w:firstRowLastColumn="0" w:lastRowFirstColumn="0" w:lastRowLastColumn="0"/>
            </w:pPr>
            <w:r>
              <w:t>Access Arrangement</w:t>
            </w:r>
          </w:p>
        </w:tc>
      </w:tr>
      <w:tr w:rsidR="00EB5111"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B5111" w:rsidRDefault="00EB5111" w:rsidP="00EB5111">
            <w:pPr>
              <w:numPr>
                <w:ilvl w:val="0"/>
                <w:numId w:val="24"/>
              </w:numPr>
            </w:pPr>
            <w:r>
              <w:t>AAI</w:t>
            </w:r>
          </w:p>
        </w:tc>
        <w:tc>
          <w:tcPr>
            <w:tcW w:w="5041" w:type="dxa"/>
          </w:tcPr>
          <w:p w:rsidR="00EB5111" w:rsidRDefault="00EB5111" w:rsidP="00764955">
            <w:pPr>
              <w:cnfStyle w:val="000000010000" w:firstRow="0" w:lastRow="0" w:firstColumn="0" w:lastColumn="0" w:oddVBand="0" w:evenVBand="0" w:oddHBand="0" w:evenHBand="1" w:firstRowFirstColumn="0" w:firstRowLastColumn="0" w:lastRowFirstColumn="0" w:lastRowLastColumn="0"/>
            </w:pPr>
            <w:r>
              <w:t>Access Arrangement Information</w:t>
            </w:r>
          </w:p>
        </w:tc>
      </w:tr>
      <w:tr w:rsidR="00EB5111" w:rsidTr="00764955">
        <w:tc>
          <w:tcPr>
            <w:cnfStyle w:val="001000000000" w:firstRow="0" w:lastRow="0" w:firstColumn="1" w:lastColumn="0" w:oddVBand="0" w:evenVBand="0" w:oddHBand="0" w:evenHBand="0" w:firstRowFirstColumn="0" w:firstRowLastColumn="0" w:lastRowFirstColumn="0" w:lastRowLastColumn="0"/>
            <w:tcW w:w="3652" w:type="dxa"/>
          </w:tcPr>
          <w:p w:rsidR="00EB5111" w:rsidRDefault="00EB5111" w:rsidP="00EB5111">
            <w:pPr>
              <w:numPr>
                <w:ilvl w:val="0"/>
                <w:numId w:val="24"/>
              </w:numPr>
            </w:pPr>
            <w:r>
              <w:t>AER</w:t>
            </w:r>
          </w:p>
        </w:tc>
        <w:tc>
          <w:tcPr>
            <w:tcW w:w="5041" w:type="dxa"/>
          </w:tcPr>
          <w:p w:rsidR="00EB5111" w:rsidRDefault="00EB5111" w:rsidP="00EB5111">
            <w:pPr>
              <w:numPr>
                <w:ilvl w:val="0"/>
                <w:numId w:val="24"/>
              </w:numPr>
              <w:cnfStyle w:val="000000000000" w:firstRow="0" w:lastRow="0" w:firstColumn="0" w:lastColumn="0" w:oddVBand="0" w:evenVBand="0" w:oddHBand="0" w:evenHBand="0" w:firstRowFirstColumn="0" w:firstRowLastColumn="0" w:lastRowFirstColumn="0" w:lastRowLastColumn="0"/>
            </w:pPr>
            <w:r>
              <w:t>Australian Energy Regulator</w:t>
            </w:r>
          </w:p>
        </w:tc>
      </w:tr>
      <w:tr w:rsidR="00EB5111"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B5111" w:rsidRDefault="00EB5111" w:rsidP="00EB5111">
            <w:pPr>
              <w:numPr>
                <w:ilvl w:val="0"/>
                <w:numId w:val="24"/>
              </w:numPr>
            </w:pPr>
            <w:r>
              <w:t>ATO</w:t>
            </w:r>
          </w:p>
        </w:tc>
        <w:tc>
          <w:tcPr>
            <w:tcW w:w="5041" w:type="dxa"/>
          </w:tcPr>
          <w:p w:rsidR="00EB5111" w:rsidRDefault="00EB5111" w:rsidP="00764955">
            <w:pPr>
              <w:cnfStyle w:val="000000010000" w:firstRow="0" w:lastRow="0" w:firstColumn="0" w:lastColumn="0" w:oddVBand="0" w:evenVBand="0" w:oddHBand="0" w:evenHBand="1" w:firstRowFirstColumn="0" w:firstRowLastColumn="0" w:lastRowFirstColumn="0" w:lastRowLastColumn="0"/>
            </w:pPr>
            <w:r>
              <w:t>Australian Tax Office</w:t>
            </w:r>
          </w:p>
        </w:tc>
      </w:tr>
      <w:tr w:rsidR="00EB5111" w:rsidTr="00764955">
        <w:tc>
          <w:tcPr>
            <w:cnfStyle w:val="001000000000" w:firstRow="0" w:lastRow="0" w:firstColumn="1" w:lastColumn="0" w:oddVBand="0" w:evenVBand="0" w:oddHBand="0" w:evenHBand="0" w:firstRowFirstColumn="0" w:firstRowLastColumn="0" w:lastRowFirstColumn="0" w:lastRowLastColumn="0"/>
            <w:tcW w:w="3652" w:type="dxa"/>
          </w:tcPr>
          <w:p w:rsidR="00EB5111" w:rsidRDefault="00EB5111" w:rsidP="00EB5111">
            <w:pPr>
              <w:numPr>
                <w:ilvl w:val="0"/>
                <w:numId w:val="24"/>
              </w:numPr>
            </w:pPr>
            <w:r>
              <w:t>capex</w:t>
            </w:r>
          </w:p>
        </w:tc>
        <w:tc>
          <w:tcPr>
            <w:tcW w:w="5041" w:type="dxa"/>
          </w:tcPr>
          <w:p w:rsidR="00EB5111" w:rsidRDefault="00EB5111" w:rsidP="00EB5111">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w:t>
            </w:r>
          </w:p>
        </w:tc>
      </w:tr>
      <w:tr w:rsidR="00EB5111"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B5111" w:rsidRDefault="00EB5111" w:rsidP="00EB5111">
            <w:pPr>
              <w:numPr>
                <w:ilvl w:val="0"/>
                <w:numId w:val="24"/>
              </w:numPr>
            </w:pPr>
            <w:r>
              <w:t>CAPM</w:t>
            </w:r>
          </w:p>
        </w:tc>
        <w:tc>
          <w:tcPr>
            <w:tcW w:w="5041" w:type="dxa"/>
          </w:tcPr>
          <w:p w:rsidR="00EB5111" w:rsidRDefault="00EB5111" w:rsidP="00EB5111">
            <w:pPr>
              <w:numPr>
                <w:ilvl w:val="0"/>
                <w:numId w:val="24"/>
              </w:numPr>
              <w:cnfStyle w:val="000000010000" w:firstRow="0" w:lastRow="0" w:firstColumn="0" w:lastColumn="0" w:oddVBand="0" w:evenVBand="0" w:oddHBand="0" w:evenHBand="1" w:firstRowFirstColumn="0" w:firstRowLastColumn="0" w:lastRowFirstColumn="0" w:lastRowLastColumn="0"/>
            </w:pPr>
            <w:r>
              <w:t>capital asset pricing model</w:t>
            </w:r>
          </w:p>
        </w:tc>
      </w:tr>
      <w:tr w:rsidR="00EB5111" w:rsidTr="00764955">
        <w:tc>
          <w:tcPr>
            <w:cnfStyle w:val="001000000000" w:firstRow="0" w:lastRow="0" w:firstColumn="1" w:lastColumn="0" w:oddVBand="0" w:evenVBand="0" w:oddHBand="0" w:evenHBand="0" w:firstRowFirstColumn="0" w:firstRowLastColumn="0" w:lastRowFirstColumn="0" w:lastRowLastColumn="0"/>
            <w:tcW w:w="3652" w:type="dxa"/>
          </w:tcPr>
          <w:p w:rsidR="00EB5111" w:rsidRDefault="00EB5111" w:rsidP="00EB5111">
            <w:pPr>
              <w:numPr>
                <w:ilvl w:val="0"/>
                <w:numId w:val="24"/>
              </w:numPr>
            </w:pPr>
            <w:r>
              <w:t>CCP</w:t>
            </w:r>
          </w:p>
        </w:tc>
        <w:tc>
          <w:tcPr>
            <w:tcW w:w="5041" w:type="dxa"/>
          </w:tcPr>
          <w:p w:rsidR="00EB5111" w:rsidRDefault="00EB5111" w:rsidP="00EB5111">
            <w:pPr>
              <w:numPr>
                <w:ilvl w:val="0"/>
                <w:numId w:val="24"/>
              </w:numPr>
              <w:cnfStyle w:val="000000000000" w:firstRow="0" w:lastRow="0" w:firstColumn="0" w:lastColumn="0" w:oddVBand="0" w:evenVBand="0" w:oddHBand="0" w:evenHBand="0" w:firstRowFirstColumn="0" w:firstRowLastColumn="0" w:lastRowFirstColumn="0" w:lastRowLastColumn="0"/>
            </w:pPr>
            <w:r>
              <w:t>Consumer Challenge Panel</w:t>
            </w:r>
          </w:p>
        </w:tc>
      </w:tr>
      <w:tr w:rsidR="00EB5111"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B5111" w:rsidRDefault="00EB5111" w:rsidP="00EB5111">
            <w:pPr>
              <w:numPr>
                <w:ilvl w:val="0"/>
                <w:numId w:val="24"/>
              </w:numPr>
            </w:pPr>
            <w:r>
              <w:t>CESS</w:t>
            </w:r>
          </w:p>
        </w:tc>
        <w:tc>
          <w:tcPr>
            <w:tcW w:w="5041" w:type="dxa"/>
          </w:tcPr>
          <w:p w:rsidR="00EB5111" w:rsidRDefault="00EB5111" w:rsidP="00EB5111">
            <w:pPr>
              <w:numPr>
                <w:ilvl w:val="0"/>
                <w:numId w:val="24"/>
              </w:numPr>
              <w:cnfStyle w:val="000000010000" w:firstRow="0" w:lastRow="0" w:firstColumn="0" w:lastColumn="0" w:oddVBand="0" w:evenVBand="0" w:oddHBand="0" w:evenHBand="1" w:firstRowFirstColumn="0" w:firstRowLastColumn="0" w:lastRowFirstColumn="0" w:lastRowLastColumn="0"/>
            </w:pPr>
            <w:r>
              <w:t>Capital Expenditure Sharing Scheme</w:t>
            </w:r>
          </w:p>
        </w:tc>
      </w:tr>
      <w:tr w:rsidR="00EB5111" w:rsidTr="00764955">
        <w:tc>
          <w:tcPr>
            <w:cnfStyle w:val="001000000000" w:firstRow="0" w:lastRow="0" w:firstColumn="1" w:lastColumn="0" w:oddVBand="0" w:evenVBand="0" w:oddHBand="0" w:evenHBand="0" w:firstRowFirstColumn="0" w:firstRowLastColumn="0" w:lastRowFirstColumn="0" w:lastRowLastColumn="0"/>
            <w:tcW w:w="3652" w:type="dxa"/>
          </w:tcPr>
          <w:p w:rsidR="00EB5111" w:rsidRDefault="00EB5111" w:rsidP="00EB5111">
            <w:pPr>
              <w:numPr>
                <w:ilvl w:val="0"/>
                <w:numId w:val="24"/>
              </w:numPr>
            </w:pPr>
            <w:r>
              <w:t>CPI</w:t>
            </w:r>
          </w:p>
        </w:tc>
        <w:tc>
          <w:tcPr>
            <w:tcW w:w="5041" w:type="dxa"/>
          </w:tcPr>
          <w:p w:rsidR="00EB5111" w:rsidRDefault="00EB5111" w:rsidP="00EB5111">
            <w:pPr>
              <w:numPr>
                <w:ilvl w:val="0"/>
                <w:numId w:val="24"/>
              </w:numPr>
              <w:cnfStyle w:val="000000000000" w:firstRow="0" w:lastRow="0" w:firstColumn="0" w:lastColumn="0" w:oddVBand="0" w:evenVBand="0" w:oddHBand="0" w:evenHBand="0" w:firstRowFirstColumn="0" w:firstRowLastColumn="0" w:lastRowFirstColumn="0" w:lastRowLastColumn="0"/>
            </w:pPr>
            <w:r>
              <w:t>consumer price index</w:t>
            </w:r>
          </w:p>
        </w:tc>
      </w:tr>
      <w:tr w:rsidR="00EB5111"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B5111" w:rsidRDefault="00EB5111" w:rsidP="00EB5111">
            <w:pPr>
              <w:numPr>
                <w:ilvl w:val="0"/>
                <w:numId w:val="24"/>
              </w:numPr>
            </w:pPr>
            <w:r>
              <w:t>CSIS</w:t>
            </w:r>
          </w:p>
        </w:tc>
        <w:tc>
          <w:tcPr>
            <w:tcW w:w="5041" w:type="dxa"/>
          </w:tcPr>
          <w:p w:rsidR="00EB5111" w:rsidRDefault="00EB5111" w:rsidP="00764955">
            <w:pPr>
              <w:cnfStyle w:val="000000010000" w:firstRow="0" w:lastRow="0" w:firstColumn="0" w:lastColumn="0" w:oddVBand="0" w:evenVBand="0" w:oddHBand="0" w:evenHBand="1" w:firstRowFirstColumn="0" w:firstRowLastColumn="0" w:lastRowFirstColumn="0" w:lastRowLastColumn="0"/>
            </w:pPr>
            <w:r>
              <w:t>Customer Service Incentive Scheme</w:t>
            </w:r>
          </w:p>
        </w:tc>
      </w:tr>
      <w:tr w:rsidR="00EB5111" w:rsidTr="00764955">
        <w:tc>
          <w:tcPr>
            <w:cnfStyle w:val="001000000000" w:firstRow="0" w:lastRow="0" w:firstColumn="1" w:lastColumn="0" w:oddVBand="0" w:evenVBand="0" w:oddHBand="0" w:evenHBand="0" w:firstRowFirstColumn="0" w:firstRowLastColumn="0" w:lastRowFirstColumn="0" w:lastRowLastColumn="0"/>
            <w:tcW w:w="3652" w:type="dxa"/>
          </w:tcPr>
          <w:p w:rsidR="00EB5111" w:rsidRDefault="00EB5111" w:rsidP="00EB5111">
            <w:pPr>
              <w:numPr>
                <w:ilvl w:val="0"/>
                <w:numId w:val="24"/>
              </w:numPr>
            </w:pPr>
            <w:r>
              <w:t>DRP</w:t>
            </w:r>
          </w:p>
        </w:tc>
        <w:tc>
          <w:tcPr>
            <w:tcW w:w="5041" w:type="dxa"/>
          </w:tcPr>
          <w:p w:rsidR="00EB5111" w:rsidRDefault="00EB5111" w:rsidP="00EB5111">
            <w:pPr>
              <w:numPr>
                <w:ilvl w:val="0"/>
                <w:numId w:val="24"/>
              </w:numPr>
              <w:cnfStyle w:val="000000000000" w:firstRow="0" w:lastRow="0" w:firstColumn="0" w:lastColumn="0" w:oddVBand="0" w:evenVBand="0" w:oddHBand="0" w:evenHBand="0" w:firstRowFirstColumn="0" w:firstRowLastColumn="0" w:lastRowFirstColumn="0" w:lastRowLastColumn="0"/>
            </w:pPr>
            <w:r>
              <w:t>debt risk premium</w:t>
            </w:r>
          </w:p>
        </w:tc>
      </w:tr>
      <w:tr w:rsidR="00EB5111"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B5111" w:rsidRDefault="00EB5111" w:rsidP="00EB5111">
            <w:pPr>
              <w:numPr>
                <w:ilvl w:val="0"/>
                <w:numId w:val="24"/>
              </w:numPr>
            </w:pPr>
            <w:r>
              <w:t>EBSS</w:t>
            </w:r>
          </w:p>
        </w:tc>
        <w:tc>
          <w:tcPr>
            <w:tcW w:w="5041" w:type="dxa"/>
          </w:tcPr>
          <w:p w:rsidR="00EB5111" w:rsidRDefault="00EB5111" w:rsidP="00764955">
            <w:pPr>
              <w:cnfStyle w:val="000000010000" w:firstRow="0" w:lastRow="0" w:firstColumn="0" w:lastColumn="0" w:oddVBand="0" w:evenVBand="0" w:oddHBand="0" w:evenHBand="1" w:firstRowFirstColumn="0" w:firstRowLastColumn="0" w:lastRowFirstColumn="0" w:lastRowLastColumn="0"/>
            </w:pPr>
            <w:r>
              <w:t>Efficiency Benefit Sharing Scheme</w:t>
            </w:r>
          </w:p>
        </w:tc>
      </w:tr>
      <w:tr w:rsidR="00EB5111" w:rsidTr="00764955">
        <w:tc>
          <w:tcPr>
            <w:cnfStyle w:val="001000000000" w:firstRow="0" w:lastRow="0" w:firstColumn="1" w:lastColumn="0" w:oddVBand="0" w:evenVBand="0" w:oddHBand="0" w:evenHBand="0" w:firstRowFirstColumn="0" w:firstRowLastColumn="0" w:lastRowFirstColumn="0" w:lastRowLastColumn="0"/>
            <w:tcW w:w="3652" w:type="dxa"/>
          </w:tcPr>
          <w:p w:rsidR="00EB5111" w:rsidRDefault="00EB5111" w:rsidP="00EB5111">
            <w:pPr>
              <w:numPr>
                <w:ilvl w:val="0"/>
                <w:numId w:val="24"/>
              </w:numPr>
            </w:pPr>
            <w:r>
              <w:t>ERP</w:t>
            </w:r>
          </w:p>
        </w:tc>
        <w:tc>
          <w:tcPr>
            <w:tcW w:w="5041" w:type="dxa"/>
          </w:tcPr>
          <w:p w:rsidR="00EB5111" w:rsidRDefault="00EB5111" w:rsidP="00EB5111">
            <w:pPr>
              <w:numPr>
                <w:ilvl w:val="0"/>
                <w:numId w:val="24"/>
              </w:numPr>
              <w:cnfStyle w:val="000000000000" w:firstRow="0" w:lastRow="0" w:firstColumn="0" w:lastColumn="0" w:oddVBand="0" w:evenVBand="0" w:oddHBand="0" w:evenHBand="0" w:firstRowFirstColumn="0" w:firstRowLastColumn="0" w:lastRowFirstColumn="0" w:lastRowLastColumn="0"/>
            </w:pPr>
            <w:r>
              <w:t>equity risk premium</w:t>
            </w:r>
          </w:p>
        </w:tc>
      </w:tr>
      <w:tr w:rsidR="00EB5111"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B5111" w:rsidRDefault="00EB5111" w:rsidP="00EB5111">
            <w:pPr>
              <w:numPr>
                <w:ilvl w:val="0"/>
                <w:numId w:val="24"/>
              </w:numPr>
            </w:pPr>
            <w:r>
              <w:t>Expenditure Guideline</w:t>
            </w:r>
          </w:p>
        </w:tc>
        <w:tc>
          <w:tcPr>
            <w:tcW w:w="5041" w:type="dxa"/>
          </w:tcPr>
          <w:p w:rsidR="00EB5111" w:rsidRDefault="00EB5111" w:rsidP="00764955">
            <w:pPr>
              <w:cnfStyle w:val="000000010000" w:firstRow="0" w:lastRow="0" w:firstColumn="0" w:lastColumn="0" w:oddVBand="0" w:evenVBand="0" w:oddHBand="0" w:evenHBand="1" w:firstRowFirstColumn="0" w:firstRowLastColumn="0" w:lastRowFirstColumn="0" w:lastRowLastColumn="0"/>
            </w:pPr>
            <w:r>
              <w:t>Expenditure Forecast Assessment Guideline</w:t>
            </w:r>
          </w:p>
        </w:tc>
      </w:tr>
      <w:tr w:rsidR="00EB5111" w:rsidTr="00764955">
        <w:tc>
          <w:tcPr>
            <w:cnfStyle w:val="001000000000" w:firstRow="0" w:lastRow="0" w:firstColumn="1" w:lastColumn="0" w:oddVBand="0" w:evenVBand="0" w:oddHBand="0" w:evenHBand="0" w:firstRowFirstColumn="0" w:firstRowLastColumn="0" w:lastRowFirstColumn="0" w:lastRowLastColumn="0"/>
            <w:tcW w:w="3652" w:type="dxa"/>
          </w:tcPr>
          <w:p w:rsidR="00EB5111" w:rsidRDefault="00EB5111" w:rsidP="00EB5111">
            <w:pPr>
              <w:numPr>
                <w:ilvl w:val="0"/>
                <w:numId w:val="24"/>
              </w:numPr>
            </w:pPr>
            <w:r>
              <w:t>gamma</w:t>
            </w:r>
          </w:p>
        </w:tc>
        <w:tc>
          <w:tcPr>
            <w:tcW w:w="5041" w:type="dxa"/>
          </w:tcPr>
          <w:p w:rsidR="00EB5111" w:rsidRDefault="00EB5111" w:rsidP="00764955">
            <w:pPr>
              <w:cnfStyle w:val="000000000000" w:firstRow="0" w:lastRow="0" w:firstColumn="0" w:lastColumn="0" w:oddVBand="0" w:evenVBand="0" w:oddHBand="0" w:evenHBand="0" w:firstRowFirstColumn="0" w:firstRowLastColumn="0" w:lastRowFirstColumn="0" w:lastRowLastColumn="0"/>
            </w:pPr>
            <w:r>
              <w:t>Value of Imputation Credits</w:t>
            </w:r>
          </w:p>
        </w:tc>
      </w:tr>
      <w:tr w:rsidR="00EB5111"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B5111" w:rsidRDefault="00EB5111" w:rsidP="00EB5111">
            <w:pPr>
              <w:numPr>
                <w:ilvl w:val="0"/>
                <w:numId w:val="24"/>
              </w:numPr>
            </w:pPr>
            <w:r>
              <w:t>GSL</w:t>
            </w:r>
          </w:p>
        </w:tc>
        <w:tc>
          <w:tcPr>
            <w:tcW w:w="5041" w:type="dxa"/>
          </w:tcPr>
          <w:p w:rsidR="00EB5111" w:rsidRDefault="00EB5111" w:rsidP="00764955">
            <w:pPr>
              <w:cnfStyle w:val="000000010000" w:firstRow="0" w:lastRow="0" w:firstColumn="0" w:lastColumn="0" w:oddVBand="0" w:evenVBand="0" w:oddHBand="0" w:evenHBand="1" w:firstRowFirstColumn="0" w:firstRowLastColumn="0" w:lastRowFirstColumn="0" w:lastRowLastColumn="0"/>
            </w:pPr>
            <w:r>
              <w:t>Guaranteed Service Level</w:t>
            </w:r>
          </w:p>
        </w:tc>
      </w:tr>
      <w:tr w:rsidR="00EB5111" w:rsidTr="00764955">
        <w:tc>
          <w:tcPr>
            <w:cnfStyle w:val="001000000000" w:firstRow="0" w:lastRow="0" w:firstColumn="1" w:lastColumn="0" w:oddVBand="0" w:evenVBand="0" w:oddHBand="0" w:evenHBand="0" w:firstRowFirstColumn="0" w:firstRowLastColumn="0" w:lastRowFirstColumn="0" w:lastRowLastColumn="0"/>
            <w:tcW w:w="3652" w:type="dxa"/>
          </w:tcPr>
          <w:p w:rsidR="00EB5111" w:rsidRDefault="00EB5111" w:rsidP="00EB5111">
            <w:pPr>
              <w:numPr>
                <w:ilvl w:val="0"/>
                <w:numId w:val="24"/>
              </w:numPr>
            </w:pPr>
            <w:r>
              <w:t>MRP</w:t>
            </w:r>
          </w:p>
        </w:tc>
        <w:tc>
          <w:tcPr>
            <w:tcW w:w="5041" w:type="dxa"/>
          </w:tcPr>
          <w:p w:rsidR="00EB5111" w:rsidRDefault="00EB5111" w:rsidP="00EB5111">
            <w:pPr>
              <w:numPr>
                <w:ilvl w:val="0"/>
                <w:numId w:val="24"/>
              </w:numPr>
              <w:cnfStyle w:val="000000000000" w:firstRow="0" w:lastRow="0" w:firstColumn="0" w:lastColumn="0" w:oddVBand="0" w:evenVBand="0" w:oddHBand="0" w:evenHBand="0" w:firstRowFirstColumn="0" w:firstRowLastColumn="0" w:lastRowFirstColumn="0" w:lastRowLastColumn="0"/>
            </w:pPr>
            <w:r>
              <w:t>market risk premium</w:t>
            </w:r>
          </w:p>
        </w:tc>
      </w:tr>
      <w:tr w:rsidR="00EB5111"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B5111" w:rsidRDefault="00EB5111" w:rsidP="00EB5111">
            <w:pPr>
              <w:numPr>
                <w:ilvl w:val="0"/>
                <w:numId w:val="24"/>
              </w:numPr>
            </w:pPr>
            <w:r>
              <w:t>NECF</w:t>
            </w:r>
          </w:p>
        </w:tc>
        <w:tc>
          <w:tcPr>
            <w:tcW w:w="5041" w:type="dxa"/>
          </w:tcPr>
          <w:p w:rsidR="00EB5111" w:rsidRDefault="00EB5111" w:rsidP="00764955">
            <w:pPr>
              <w:cnfStyle w:val="000000010000" w:firstRow="0" w:lastRow="0" w:firstColumn="0" w:lastColumn="0" w:oddVBand="0" w:evenVBand="0" w:oddHBand="0" w:evenHBand="1" w:firstRowFirstColumn="0" w:firstRowLastColumn="0" w:lastRowFirstColumn="0" w:lastRowLastColumn="0"/>
            </w:pPr>
            <w:r>
              <w:t>National Energy Customer Framework</w:t>
            </w:r>
          </w:p>
        </w:tc>
      </w:tr>
      <w:tr w:rsidR="00EB5111" w:rsidTr="00764955">
        <w:tc>
          <w:tcPr>
            <w:cnfStyle w:val="001000000000" w:firstRow="0" w:lastRow="0" w:firstColumn="1" w:lastColumn="0" w:oddVBand="0" w:evenVBand="0" w:oddHBand="0" w:evenHBand="0" w:firstRowFirstColumn="0" w:firstRowLastColumn="0" w:lastRowFirstColumn="0" w:lastRowLastColumn="0"/>
            <w:tcW w:w="3652" w:type="dxa"/>
          </w:tcPr>
          <w:p w:rsidR="00EB5111" w:rsidRDefault="00EB5111" w:rsidP="00EB5111">
            <w:pPr>
              <w:numPr>
                <w:ilvl w:val="0"/>
                <w:numId w:val="24"/>
              </w:numPr>
            </w:pPr>
            <w:r>
              <w:t>NERL</w:t>
            </w:r>
          </w:p>
        </w:tc>
        <w:tc>
          <w:tcPr>
            <w:tcW w:w="5041" w:type="dxa"/>
          </w:tcPr>
          <w:p w:rsidR="00EB5111" w:rsidRDefault="00EB5111" w:rsidP="00764955">
            <w:pPr>
              <w:cnfStyle w:val="000000000000" w:firstRow="0" w:lastRow="0" w:firstColumn="0" w:lastColumn="0" w:oddVBand="0" w:evenVBand="0" w:oddHBand="0" w:evenHBand="0" w:firstRowFirstColumn="0" w:firstRowLastColumn="0" w:lastRowFirstColumn="0" w:lastRowLastColumn="0"/>
            </w:pPr>
            <w:r>
              <w:t>National Energy Retail Law</w:t>
            </w:r>
          </w:p>
        </w:tc>
      </w:tr>
      <w:tr w:rsidR="00EB5111"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B5111" w:rsidRDefault="00EB5111" w:rsidP="00EB5111">
            <w:pPr>
              <w:numPr>
                <w:ilvl w:val="0"/>
                <w:numId w:val="24"/>
              </w:numPr>
            </w:pPr>
            <w:r>
              <w:t>NERR</w:t>
            </w:r>
          </w:p>
        </w:tc>
        <w:tc>
          <w:tcPr>
            <w:tcW w:w="5041" w:type="dxa"/>
          </w:tcPr>
          <w:p w:rsidR="00EB5111" w:rsidRDefault="00EB5111" w:rsidP="00EB5111">
            <w:pPr>
              <w:numPr>
                <w:ilvl w:val="0"/>
                <w:numId w:val="24"/>
              </w:numPr>
              <w:cnfStyle w:val="000000010000" w:firstRow="0" w:lastRow="0" w:firstColumn="0" w:lastColumn="0" w:oddVBand="0" w:evenVBand="0" w:oddHBand="0" w:evenHBand="1" w:firstRowFirstColumn="0" w:firstRowLastColumn="0" w:lastRowFirstColumn="0" w:lastRowLastColumn="0"/>
            </w:pPr>
            <w:r>
              <w:t>National Energy Retail Rules</w:t>
            </w:r>
          </w:p>
        </w:tc>
      </w:tr>
      <w:tr w:rsidR="00EB5111" w:rsidTr="00764955">
        <w:tc>
          <w:tcPr>
            <w:cnfStyle w:val="001000000000" w:firstRow="0" w:lastRow="0" w:firstColumn="1" w:lastColumn="0" w:oddVBand="0" w:evenVBand="0" w:oddHBand="0" w:evenHBand="0" w:firstRowFirstColumn="0" w:firstRowLastColumn="0" w:lastRowFirstColumn="0" w:lastRowLastColumn="0"/>
            <w:tcW w:w="3652" w:type="dxa"/>
          </w:tcPr>
          <w:p w:rsidR="00EB5111" w:rsidRDefault="00EB5111" w:rsidP="00EB5111">
            <w:pPr>
              <w:numPr>
                <w:ilvl w:val="0"/>
                <w:numId w:val="24"/>
              </w:numPr>
            </w:pPr>
            <w:r>
              <w:t>NGL</w:t>
            </w:r>
          </w:p>
        </w:tc>
        <w:tc>
          <w:tcPr>
            <w:tcW w:w="5041" w:type="dxa"/>
          </w:tcPr>
          <w:p w:rsidR="00EB5111" w:rsidRDefault="00EB5111" w:rsidP="00EB5111">
            <w:pPr>
              <w:numPr>
                <w:ilvl w:val="0"/>
                <w:numId w:val="24"/>
              </w:numPr>
              <w:cnfStyle w:val="000000000000" w:firstRow="0" w:lastRow="0" w:firstColumn="0" w:lastColumn="0" w:oddVBand="0" w:evenVBand="0" w:oddHBand="0" w:evenHBand="0" w:firstRowFirstColumn="0" w:firstRowLastColumn="0" w:lastRowFirstColumn="0" w:lastRowLastColumn="0"/>
            </w:pPr>
            <w:r>
              <w:t>national gas law</w:t>
            </w:r>
          </w:p>
        </w:tc>
      </w:tr>
      <w:tr w:rsidR="00EB5111"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B5111" w:rsidRDefault="00EB5111" w:rsidP="00EB5111">
            <w:pPr>
              <w:numPr>
                <w:ilvl w:val="0"/>
                <w:numId w:val="24"/>
              </w:numPr>
            </w:pPr>
            <w:r>
              <w:t>NGO</w:t>
            </w:r>
          </w:p>
        </w:tc>
        <w:tc>
          <w:tcPr>
            <w:tcW w:w="5041" w:type="dxa"/>
          </w:tcPr>
          <w:p w:rsidR="00EB5111" w:rsidRDefault="00EB5111" w:rsidP="00EB5111">
            <w:pPr>
              <w:numPr>
                <w:ilvl w:val="0"/>
                <w:numId w:val="24"/>
              </w:numPr>
              <w:cnfStyle w:val="000000010000" w:firstRow="0" w:lastRow="0" w:firstColumn="0" w:lastColumn="0" w:oddVBand="0" w:evenVBand="0" w:oddHBand="0" w:evenHBand="1" w:firstRowFirstColumn="0" w:firstRowLastColumn="0" w:lastRowFirstColumn="0" w:lastRowLastColumn="0"/>
            </w:pPr>
            <w:r>
              <w:t>national gas objective</w:t>
            </w:r>
          </w:p>
        </w:tc>
      </w:tr>
      <w:tr w:rsidR="00EB5111" w:rsidTr="00764955">
        <w:tc>
          <w:tcPr>
            <w:cnfStyle w:val="001000000000" w:firstRow="0" w:lastRow="0" w:firstColumn="1" w:lastColumn="0" w:oddVBand="0" w:evenVBand="0" w:oddHBand="0" w:evenHBand="0" w:firstRowFirstColumn="0" w:firstRowLastColumn="0" w:lastRowFirstColumn="0" w:lastRowLastColumn="0"/>
            <w:tcW w:w="3652" w:type="dxa"/>
          </w:tcPr>
          <w:p w:rsidR="00EB5111" w:rsidRDefault="00EB5111" w:rsidP="00EB5111">
            <w:pPr>
              <w:numPr>
                <w:ilvl w:val="0"/>
                <w:numId w:val="24"/>
              </w:numPr>
            </w:pPr>
            <w:r>
              <w:t>NGR</w:t>
            </w:r>
          </w:p>
        </w:tc>
        <w:tc>
          <w:tcPr>
            <w:tcW w:w="5041" w:type="dxa"/>
          </w:tcPr>
          <w:p w:rsidR="00EB5111" w:rsidRDefault="00EB5111" w:rsidP="00EB5111">
            <w:pPr>
              <w:numPr>
                <w:ilvl w:val="0"/>
                <w:numId w:val="24"/>
              </w:numPr>
              <w:cnfStyle w:val="000000000000" w:firstRow="0" w:lastRow="0" w:firstColumn="0" w:lastColumn="0" w:oddVBand="0" w:evenVBand="0" w:oddHBand="0" w:evenHBand="0" w:firstRowFirstColumn="0" w:firstRowLastColumn="0" w:lastRowFirstColumn="0" w:lastRowLastColumn="0"/>
            </w:pPr>
            <w:r>
              <w:t>national gas rules</w:t>
            </w:r>
          </w:p>
        </w:tc>
      </w:tr>
      <w:tr w:rsidR="00EB5111"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B5111" w:rsidRDefault="00EB5111" w:rsidP="00EB5111">
            <w:pPr>
              <w:numPr>
                <w:ilvl w:val="0"/>
                <w:numId w:val="24"/>
              </w:numPr>
            </w:pPr>
            <w:r>
              <w:t>NIS</w:t>
            </w:r>
          </w:p>
        </w:tc>
        <w:tc>
          <w:tcPr>
            <w:tcW w:w="5041" w:type="dxa"/>
          </w:tcPr>
          <w:p w:rsidR="00EB5111" w:rsidRDefault="00EB5111" w:rsidP="00764955">
            <w:pPr>
              <w:cnfStyle w:val="000000010000" w:firstRow="0" w:lastRow="0" w:firstColumn="0" w:lastColumn="0" w:oddVBand="0" w:evenVBand="0" w:oddHBand="0" w:evenHBand="1" w:firstRowFirstColumn="0" w:firstRowLastColumn="0" w:lastRowFirstColumn="0" w:lastRowLastColumn="0"/>
            </w:pPr>
            <w:r>
              <w:t>Network Incentive Scheme</w:t>
            </w:r>
          </w:p>
        </w:tc>
      </w:tr>
      <w:tr w:rsidR="00EB5111" w:rsidTr="00764955">
        <w:tc>
          <w:tcPr>
            <w:cnfStyle w:val="001000000000" w:firstRow="0" w:lastRow="0" w:firstColumn="1" w:lastColumn="0" w:oddVBand="0" w:evenVBand="0" w:oddHBand="0" w:evenHBand="0" w:firstRowFirstColumn="0" w:firstRowLastColumn="0" w:lastRowFirstColumn="0" w:lastRowLastColumn="0"/>
            <w:tcW w:w="3652" w:type="dxa"/>
          </w:tcPr>
          <w:p w:rsidR="00EB5111" w:rsidRDefault="00EB5111" w:rsidP="00EB5111">
            <w:pPr>
              <w:numPr>
                <w:ilvl w:val="0"/>
                <w:numId w:val="24"/>
              </w:numPr>
            </w:pPr>
            <w:r>
              <w:t>NPV</w:t>
            </w:r>
          </w:p>
        </w:tc>
        <w:tc>
          <w:tcPr>
            <w:tcW w:w="5041" w:type="dxa"/>
          </w:tcPr>
          <w:p w:rsidR="00EB5111" w:rsidRDefault="00EB5111" w:rsidP="00764955">
            <w:pPr>
              <w:cnfStyle w:val="000000000000" w:firstRow="0" w:lastRow="0" w:firstColumn="0" w:lastColumn="0" w:oddVBand="0" w:evenVBand="0" w:oddHBand="0" w:evenHBand="0" w:firstRowFirstColumn="0" w:firstRowLastColumn="0" w:lastRowFirstColumn="0" w:lastRowLastColumn="0"/>
            </w:pPr>
            <w:r>
              <w:t>net present value</w:t>
            </w:r>
          </w:p>
        </w:tc>
      </w:tr>
      <w:tr w:rsidR="00EB5111"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B5111" w:rsidRDefault="00EB5111" w:rsidP="00EB5111">
            <w:pPr>
              <w:numPr>
                <w:ilvl w:val="0"/>
                <w:numId w:val="24"/>
              </w:numPr>
            </w:pPr>
            <w:r>
              <w:t>opex</w:t>
            </w:r>
          </w:p>
        </w:tc>
        <w:tc>
          <w:tcPr>
            <w:tcW w:w="5041" w:type="dxa"/>
          </w:tcPr>
          <w:p w:rsidR="00EB5111" w:rsidRDefault="00EB5111" w:rsidP="00EB5111">
            <w:pPr>
              <w:numPr>
                <w:ilvl w:val="0"/>
                <w:numId w:val="24"/>
              </w:numPr>
              <w:cnfStyle w:val="000000010000" w:firstRow="0" w:lastRow="0" w:firstColumn="0" w:lastColumn="0" w:oddVBand="0" w:evenVBand="0" w:oddHBand="0" w:evenHBand="1" w:firstRowFirstColumn="0" w:firstRowLastColumn="0" w:lastRowFirstColumn="0" w:lastRowLastColumn="0"/>
            </w:pPr>
            <w:r>
              <w:t>operating expenditure</w:t>
            </w:r>
          </w:p>
        </w:tc>
      </w:tr>
      <w:tr w:rsidR="00EB5111" w:rsidTr="00764955">
        <w:tc>
          <w:tcPr>
            <w:cnfStyle w:val="001000000000" w:firstRow="0" w:lastRow="0" w:firstColumn="1" w:lastColumn="0" w:oddVBand="0" w:evenVBand="0" w:oddHBand="0" w:evenHBand="0" w:firstRowFirstColumn="0" w:firstRowLastColumn="0" w:lastRowFirstColumn="0" w:lastRowLastColumn="0"/>
            <w:tcW w:w="3652" w:type="dxa"/>
          </w:tcPr>
          <w:p w:rsidR="00EB5111" w:rsidRDefault="00EB5111" w:rsidP="00EB5111">
            <w:pPr>
              <w:numPr>
                <w:ilvl w:val="0"/>
                <w:numId w:val="24"/>
              </w:numPr>
            </w:pPr>
            <w:r>
              <w:t>PFP</w:t>
            </w:r>
          </w:p>
        </w:tc>
        <w:tc>
          <w:tcPr>
            <w:tcW w:w="5041" w:type="dxa"/>
          </w:tcPr>
          <w:p w:rsidR="00EB5111" w:rsidRDefault="00EB5111" w:rsidP="00764955">
            <w:pPr>
              <w:cnfStyle w:val="000000000000" w:firstRow="0" w:lastRow="0" w:firstColumn="0" w:lastColumn="0" w:oddVBand="0" w:evenVBand="0" w:oddHBand="0" w:evenHBand="0" w:firstRowFirstColumn="0" w:firstRowLastColumn="0" w:lastRowFirstColumn="0" w:lastRowLastColumn="0"/>
            </w:pPr>
            <w:r>
              <w:t>partial factor productivity</w:t>
            </w:r>
          </w:p>
        </w:tc>
      </w:tr>
      <w:tr w:rsidR="00EB5111"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B5111" w:rsidRDefault="00EB5111" w:rsidP="00EB5111">
            <w:pPr>
              <w:numPr>
                <w:ilvl w:val="0"/>
                <w:numId w:val="24"/>
              </w:numPr>
            </w:pPr>
            <w:r>
              <w:t>PPI</w:t>
            </w:r>
          </w:p>
        </w:tc>
        <w:tc>
          <w:tcPr>
            <w:tcW w:w="5041" w:type="dxa"/>
          </w:tcPr>
          <w:p w:rsidR="00EB5111" w:rsidRDefault="00EB5111" w:rsidP="00EB5111">
            <w:pPr>
              <w:numPr>
                <w:ilvl w:val="0"/>
                <w:numId w:val="24"/>
              </w:numPr>
              <w:cnfStyle w:val="000000010000" w:firstRow="0" w:lastRow="0" w:firstColumn="0" w:lastColumn="0" w:oddVBand="0" w:evenVBand="0" w:oddHBand="0" w:evenHBand="1" w:firstRowFirstColumn="0" w:firstRowLastColumn="0" w:lastRowFirstColumn="0" w:lastRowLastColumn="0"/>
            </w:pPr>
            <w:r>
              <w:t>partial performance indicators</w:t>
            </w:r>
          </w:p>
        </w:tc>
      </w:tr>
      <w:tr w:rsidR="00EB5111" w:rsidTr="00764955">
        <w:tc>
          <w:tcPr>
            <w:cnfStyle w:val="001000000000" w:firstRow="0" w:lastRow="0" w:firstColumn="1" w:lastColumn="0" w:oddVBand="0" w:evenVBand="0" w:oddHBand="0" w:evenHBand="0" w:firstRowFirstColumn="0" w:firstRowLastColumn="0" w:lastRowFirstColumn="0" w:lastRowLastColumn="0"/>
            <w:tcW w:w="3652" w:type="dxa"/>
          </w:tcPr>
          <w:p w:rsidR="00EB5111" w:rsidRDefault="00EB5111" w:rsidP="00EB5111">
            <w:pPr>
              <w:numPr>
                <w:ilvl w:val="0"/>
                <w:numId w:val="24"/>
              </w:numPr>
            </w:pPr>
            <w:r>
              <w:t>PTRM</w:t>
            </w:r>
          </w:p>
        </w:tc>
        <w:tc>
          <w:tcPr>
            <w:tcW w:w="5041" w:type="dxa"/>
          </w:tcPr>
          <w:p w:rsidR="00EB5111" w:rsidRDefault="00EB5111" w:rsidP="00EB5111">
            <w:pPr>
              <w:numPr>
                <w:ilvl w:val="0"/>
                <w:numId w:val="24"/>
              </w:numPr>
              <w:cnfStyle w:val="000000000000" w:firstRow="0" w:lastRow="0" w:firstColumn="0" w:lastColumn="0" w:oddVBand="0" w:evenVBand="0" w:oddHBand="0" w:evenHBand="0" w:firstRowFirstColumn="0" w:firstRowLastColumn="0" w:lastRowFirstColumn="0" w:lastRowLastColumn="0"/>
            </w:pPr>
            <w:r>
              <w:t>post-tax revenue model</w:t>
            </w:r>
          </w:p>
        </w:tc>
      </w:tr>
      <w:tr w:rsidR="00EB5111"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B5111" w:rsidRDefault="00EB5111" w:rsidP="00EB5111">
            <w:pPr>
              <w:numPr>
                <w:ilvl w:val="0"/>
                <w:numId w:val="24"/>
              </w:numPr>
            </w:pPr>
            <w:r>
              <w:t>RBA</w:t>
            </w:r>
          </w:p>
        </w:tc>
        <w:tc>
          <w:tcPr>
            <w:tcW w:w="5041" w:type="dxa"/>
          </w:tcPr>
          <w:p w:rsidR="00EB5111" w:rsidRDefault="00EB5111" w:rsidP="00EB5111">
            <w:pPr>
              <w:numPr>
                <w:ilvl w:val="0"/>
                <w:numId w:val="24"/>
              </w:numPr>
              <w:cnfStyle w:val="000000010000" w:firstRow="0" w:lastRow="0" w:firstColumn="0" w:lastColumn="0" w:oddVBand="0" w:evenVBand="0" w:oddHBand="0" w:evenHBand="1" w:firstRowFirstColumn="0" w:firstRowLastColumn="0" w:lastRowFirstColumn="0" w:lastRowLastColumn="0"/>
            </w:pPr>
            <w:r>
              <w:t>Reserve Bank of Australia</w:t>
            </w:r>
          </w:p>
        </w:tc>
      </w:tr>
      <w:tr w:rsidR="00EB5111" w:rsidTr="00764955">
        <w:tc>
          <w:tcPr>
            <w:cnfStyle w:val="001000000000" w:firstRow="0" w:lastRow="0" w:firstColumn="1" w:lastColumn="0" w:oddVBand="0" w:evenVBand="0" w:oddHBand="0" w:evenHBand="0" w:firstRowFirstColumn="0" w:firstRowLastColumn="0" w:lastRowFirstColumn="0" w:lastRowLastColumn="0"/>
            <w:tcW w:w="3652" w:type="dxa"/>
          </w:tcPr>
          <w:p w:rsidR="00EB5111" w:rsidRDefault="00EB5111" w:rsidP="00EB5111">
            <w:pPr>
              <w:numPr>
                <w:ilvl w:val="0"/>
                <w:numId w:val="24"/>
              </w:numPr>
            </w:pPr>
            <w:r>
              <w:t>RFM</w:t>
            </w:r>
          </w:p>
        </w:tc>
        <w:tc>
          <w:tcPr>
            <w:tcW w:w="5041" w:type="dxa"/>
          </w:tcPr>
          <w:p w:rsidR="00EB5111" w:rsidRDefault="00EB5111" w:rsidP="00EB5111">
            <w:pPr>
              <w:numPr>
                <w:ilvl w:val="0"/>
                <w:numId w:val="24"/>
              </w:numPr>
              <w:cnfStyle w:val="000000000000" w:firstRow="0" w:lastRow="0" w:firstColumn="0" w:lastColumn="0" w:oddVBand="0" w:evenVBand="0" w:oddHBand="0" w:evenHBand="0" w:firstRowFirstColumn="0" w:firstRowLastColumn="0" w:lastRowFirstColumn="0" w:lastRowLastColumn="0"/>
            </w:pPr>
            <w:r>
              <w:t>roll forward model</w:t>
            </w:r>
          </w:p>
        </w:tc>
      </w:tr>
      <w:tr w:rsidR="00EB5111"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B5111" w:rsidRDefault="00EB5111" w:rsidP="00EB5111">
            <w:pPr>
              <w:numPr>
                <w:ilvl w:val="0"/>
                <w:numId w:val="24"/>
              </w:numPr>
            </w:pPr>
            <w:r>
              <w:t>RIN</w:t>
            </w:r>
          </w:p>
        </w:tc>
        <w:tc>
          <w:tcPr>
            <w:tcW w:w="5041" w:type="dxa"/>
          </w:tcPr>
          <w:p w:rsidR="00EB5111" w:rsidRDefault="00EB5111" w:rsidP="00EB5111">
            <w:pPr>
              <w:numPr>
                <w:ilvl w:val="0"/>
                <w:numId w:val="24"/>
              </w:numPr>
              <w:cnfStyle w:val="000000010000" w:firstRow="0" w:lastRow="0" w:firstColumn="0" w:lastColumn="0" w:oddVBand="0" w:evenVBand="0" w:oddHBand="0" w:evenHBand="1" w:firstRowFirstColumn="0" w:firstRowLastColumn="0" w:lastRowFirstColumn="0" w:lastRowLastColumn="0"/>
            </w:pPr>
            <w:r>
              <w:t>regulatory information notice</w:t>
            </w:r>
          </w:p>
        </w:tc>
      </w:tr>
      <w:tr w:rsidR="00EB5111" w:rsidTr="00764955">
        <w:tc>
          <w:tcPr>
            <w:cnfStyle w:val="001000000000" w:firstRow="0" w:lastRow="0" w:firstColumn="1" w:lastColumn="0" w:oddVBand="0" w:evenVBand="0" w:oddHBand="0" w:evenHBand="0" w:firstRowFirstColumn="0" w:firstRowLastColumn="0" w:lastRowFirstColumn="0" w:lastRowLastColumn="0"/>
            <w:tcW w:w="3652" w:type="dxa"/>
          </w:tcPr>
          <w:p w:rsidR="00EB5111" w:rsidRDefault="00EB5111" w:rsidP="00EB5111">
            <w:pPr>
              <w:numPr>
                <w:ilvl w:val="0"/>
                <w:numId w:val="24"/>
              </w:numPr>
            </w:pPr>
            <w:proofErr w:type="spellStart"/>
            <w:r>
              <w:t>RoLR</w:t>
            </w:r>
            <w:proofErr w:type="spellEnd"/>
          </w:p>
        </w:tc>
        <w:tc>
          <w:tcPr>
            <w:tcW w:w="5041" w:type="dxa"/>
          </w:tcPr>
          <w:p w:rsidR="00EB5111" w:rsidRDefault="00EB5111" w:rsidP="00764955">
            <w:pPr>
              <w:cnfStyle w:val="000000000000" w:firstRow="0" w:lastRow="0" w:firstColumn="0" w:lastColumn="0" w:oddVBand="0" w:evenVBand="0" w:oddHBand="0" w:evenHBand="0" w:firstRowFirstColumn="0" w:firstRowLastColumn="0" w:lastRowFirstColumn="0" w:lastRowLastColumn="0"/>
            </w:pPr>
            <w:r>
              <w:t>retailer of last resort</w:t>
            </w:r>
          </w:p>
        </w:tc>
      </w:tr>
      <w:tr w:rsidR="00EB5111"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B5111" w:rsidRDefault="00EB5111" w:rsidP="00EB5111">
            <w:pPr>
              <w:numPr>
                <w:ilvl w:val="0"/>
                <w:numId w:val="24"/>
              </w:numPr>
            </w:pPr>
            <w:r>
              <w:t>RPP</w:t>
            </w:r>
          </w:p>
        </w:tc>
        <w:tc>
          <w:tcPr>
            <w:tcW w:w="5041" w:type="dxa"/>
          </w:tcPr>
          <w:p w:rsidR="00EB5111" w:rsidRDefault="00EB5111" w:rsidP="00EB5111">
            <w:pPr>
              <w:numPr>
                <w:ilvl w:val="0"/>
                <w:numId w:val="24"/>
              </w:numPr>
              <w:cnfStyle w:val="000000010000" w:firstRow="0" w:lastRow="0" w:firstColumn="0" w:lastColumn="0" w:oddVBand="0" w:evenVBand="0" w:oddHBand="0" w:evenHBand="1" w:firstRowFirstColumn="0" w:firstRowLastColumn="0" w:lastRowFirstColumn="0" w:lastRowLastColumn="0"/>
            </w:pPr>
            <w:r>
              <w:t>revenue and pricing principles</w:t>
            </w:r>
          </w:p>
        </w:tc>
      </w:tr>
      <w:tr w:rsidR="00EB5111" w:rsidTr="00764955">
        <w:tc>
          <w:tcPr>
            <w:cnfStyle w:val="001000000000" w:firstRow="0" w:lastRow="0" w:firstColumn="1" w:lastColumn="0" w:oddVBand="0" w:evenVBand="0" w:oddHBand="0" w:evenHBand="0" w:firstRowFirstColumn="0" w:firstRowLastColumn="0" w:lastRowFirstColumn="0" w:lastRowLastColumn="0"/>
            <w:tcW w:w="3652" w:type="dxa"/>
          </w:tcPr>
          <w:p w:rsidR="00EB5111" w:rsidRDefault="00EB5111" w:rsidP="00EB5111">
            <w:pPr>
              <w:numPr>
                <w:ilvl w:val="0"/>
                <w:numId w:val="24"/>
              </w:numPr>
            </w:pPr>
            <w:r>
              <w:t>SLCAPM</w:t>
            </w:r>
          </w:p>
        </w:tc>
        <w:tc>
          <w:tcPr>
            <w:tcW w:w="5041" w:type="dxa"/>
          </w:tcPr>
          <w:p w:rsidR="00EB5111" w:rsidRDefault="00EB5111" w:rsidP="00EB5111">
            <w:pPr>
              <w:numPr>
                <w:ilvl w:val="0"/>
                <w:numId w:val="24"/>
              </w:numPr>
              <w:cnfStyle w:val="000000000000" w:firstRow="0" w:lastRow="0" w:firstColumn="0" w:lastColumn="0" w:oddVBand="0" w:evenVBand="0" w:oddHBand="0" w:evenHBand="0" w:firstRowFirstColumn="0" w:firstRowLastColumn="0" w:lastRowFirstColumn="0" w:lastRowLastColumn="0"/>
            </w:pPr>
            <w:r>
              <w:t>Sharpe-</w:t>
            </w:r>
            <w:proofErr w:type="spellStart"/>
            <w:r>
              <w:t>Lintner</w:t>
            </w:r>
            <w:proofErr w:type="spellEnd"/>
            <w:r>
              <w:t xml:space="preserve"> capital asset pricing model</w:t>
            </w:r>
          </w:p>
        </w:tc>
      </w:tr>
      <w:tr w:rsidR="00EB5111"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B5111" w:rsidRDefault="00EB5111" w:rsidP="00EB5111">
            <w:pPr>
              <w:numPr>
                <w:ilvl w:val="0"/>
                <w:numId w:val="24"/>
              </w:numPr>
            </w:pPr>
            <w:r>
              <w:t>STPIS</w:t>
            </w:r>
          </w:p>
        </w:tc>
        <w:tc>
          <w:tcPr>
            <w:tcW w:w="5041" w:type="dxa"/>
          </w:tcPr>
          <w:p w:rsidR="00EB5111" w:rsidRDefault="00EB5111" w:rsidP="00764955">
            <w:pPr>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EB5111" w:rsidTr="00764955">
        <w:tc>
          <w:tcPr>
            <w:cnfStyle w:val="001000000000" w:firstRow="0" w:lastRow="0" w:firstColumn="1" w:lastColumn="0" w:oddVBand="0" w:evenVBand="0" w:oddHBand="0" w:evenHBand="0" w:firstRowFirstColumn="0" w:firstRowLastColumn="0" w:lastRowFirstColumn="0" w:lastRowLastColumn="0"/>
            <w:tcW w:w="3652" w:type="dxa"/>
          </w:tcPr>
          <w:p w:rsidR="00EB5111" w:rsidRDefault="00EB5111" w:rsidP="00EB5111">
            <w:pPr>
              <w:numPr>
                <w:ilvl w:val="0"/>
                <w:numId w:val="24"/>
              </w:numPr>
            </w:pPr>
            <w:r>
              <w:t>TAB</w:t>
            </w:r>
          </w:p>
        </w:tc>
        <w:tc>
          <w:tcPr>
            <w:tcW w:w="5041" w:type="dxa"/>
          </w:tcPr>
          <w:p w:rsidR="00EB5111" w:rsidRDefault="00EB5111" w:rsidP="00764955">
            <w:pPr>
              <w:cnfStyle w:val="000000000000" w:firstRow="0" w:lastRow="0" w:firstColumn="0" w:lastColumn="0" w:oddVBand="0" w:evenVBand="0" w:oddHBand="0" w:evenHBand="0" w:firstRowFirstColumn="0" w:firstRowLastColumn="0" w:lastRowFirstColumn="0" w:lastRowLastColumn="0"/>
            </w:pPr>
            <w:r>
              <w:t>Tax asset base</w:t>
            </w:r>
          </w:p>
        </w:tc>
      </w:tr>
      <w:tr w:rsidR="00EB5111"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B5111" w:rsidRDefault="00EB5111" w:rsidP="00EB5111">
            <w:pPr>
              <w:numPr>
                <w:ilvl w:val="0"/>
                <w:numId w:val="24"/>
              </w:numPr>
            </w:pPr>
            <w:r>
              <w:t>UAFG</w:t>
            </w:r>
          </w:p>
        </w:tc>
        <w:tc>
          <w:tcPr>
            <w:tcW w:w="5041" w:type="dxa"/>
          </w:tcPr>
          <w:p w:rsidR="00EB5111" w:rsidRDefault="00EB5111" w:rsidP="00764955">
            <w:pPr>
              <w:cnfStyle w:val="000000010000" w:firstRow="0" w:lastRow="0" w:firstColumn="0" w:lastColumn="0" w:oddVBand="0" w:evenVBand="0" w:oddHBand="0" w:evenHBand="1" w:firstRowFirstColumn="0" w:firstRowLastColumn="0" w:lastRowFirstColumn="0" w:lastRowLastColumn="0"/>
            </w:pPr>
            <w:r>
              <w:t>Unaccounted for gas</w:t>
            </w:r>
          </w:p>
        </w:tc>
      </w:tr>
      <w:tr w:rsidR="00EB5111" w:rsidTr="00764955">
        <w:tc>
          <w:tcPr>
            <w:cnfStyle w:val="001000000000" w:firstRow="0" w:lastRow="0" w:firstColumn="1" w:lastColumn="0" w:oddVBand="0" w:evenVBand="0" w:oddHBand="0" w:evenHBand="0" w:firstRowFirstColumn="0" w:firstRowLastColumn="0" w:lastRowFirstColumn="0" w:lastRowLastColumn="0"/>
            <w:tcW w:w="3652" w:type="dxa"/>
          </w:tcPr>
          <w:p w:rsidR="00EB5111" w:rsidRDefault="00EB5111" w:rsidP="00EB5111">
            <w:pPr>
              <w:numPr>
                <w:ilvl w:val="0"/>
                <w:numId w:val="24"/>
              </w:numPr>
            </w:pPr>
            <w:r>
              <w:t>WACC</w:t>
            </w:r>
          </w:p>
        </w:tc>
        <w:tc>
          <w:tcPr>
            <w:tcW w:w="5041" w:type="dxa"/>
          </w:tcPr>
          <w:p w:rsidR="00EB5111" w:rsidRDefault="00EB5111" w:rsidP="00EB5111">
            <w:pPr>
              <w:numPr>
                <w:ilvl w:val="0"/>
                <w:numId w:val="24"/>
              </w:numPr>
              <w:cnfStyle w:val="000000000000" w:firstRow="0" w:lastRow="0" w:firstColumn="0" w:lastColumn="0" w:oddVBand="0" w:evenVBand="0" w:oddHBand="0" w:evenHBand="0" w:firstRowFirstColumn="0" w:firstRowLastColumn="0" w:lastRowFirstColumn="0" w:lastRowLastColumn="0"/>
            </w:pPr>
            <w:r>
              <w:t>weighted average cost of capital</w:t>
            </w:r>
          </w:p>
        </w:tc>
      </w:tr>
      <w:tr w:rsidR="00EB5111"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B5111" w:rsidRDefault="00EB5111" w:rsidP="00EB5111">
            <w:pPr>
              <w:numPr>
                <w:ilvl w:val="0"/>
                <w:numId w:val="24"/>
              </w:numPr>
            </w:pPr>
            <w:r>
              <w:t>WPI</w:t>
            </w:r>
          </w:p>
        </w:tc>
        <w:tc>
          <w:tcPr>
            <w:tcW w:w="5041" w:type="dxa"/>
          </w:tcPr>
          <w:p w:rsidR="00EB5111" w:rsidRDefault="00EB5111" w:rsidP="00764955">
            <w:pPr>
              <w:cnfStyle w:val="000000010000" w:firstRow="0" w:lastRow="0" w:firstColumn="0" w:lastColumn="0" w:oddVBand="0" w:evenVBand="0" w:oddHBand="0" w:evenHBand="1" w:firstRowFirstColumn="0" w:firstRowLastColumn="0" w:lastRowFirstColumn="0" w:lastRowLastColumn="0"/>
            </w:pPr>
            <w:r>
              <w:t>Wage Price Index</w:t>
            </w:r>
          </w:p>
        </w:tc>
      </w:tr>
    </w:tbl>
    <w:p w:rsidR="00EB5111" w:rsidRPr="00EB5111" w:rsidRDefault="00EB5111" w:rsidP="00EB5111"/>
    <w:p w:rsidR="00DE563D" w:rsidRDefault="00205A33" w:rsidP="00EE77FA">
      <w:pPr>
        <w:pStyle w:val="Heading1"/>
      </w:pPr>
      <w:bookmarkStart w:id="10" w:name="_Toc436055507"/>
      <w:r>
        <w:t>Demand</w:t>
      </w:r>
      <w:bookmarkEnd w:id="10"/>
    </w:p>
    <w:p w:rsidR="00E77CBB" w:rsidRPr="00E77CBB" w:rsidRDefault="00E77CBB" w:rsidP="00E77CBB">
      <w:r>
        <w:t xml:space="preserve">This attachment sets out </w:t>
      </w:r>
      <w:r w:rsidR="00010106">
        <w:t>our</w:t>
      </w:r>
      <w:r>
        <w:t xml:space="preserve"> assessment of the demand</w:t>
      </w:r>
      <w:r w:rsidR="00010106">
        <w:t xml:space="preserve"> forecasts for AGN for the 2016</w:t>
      </w:r>
      <w:r w:rsidR="00D41EDB">
        <w:t>–</w:t>
      </w:r>
      <w:r>
        <w:t xml:space="preserve">21 access arrangement </w:t>
      </w:r>
      <w:proofErr w:type="gramStart"/>
      <w:r>
        <w:t>period</w:t>
      </w:r>
      <w:proofErr w:type="gramEnd"/>
      <w:r>
        <w:t>. Demand is an important input into the derivation of AGN’s reference tariffs. It also affects operating expenditure (opex) and capital expenditure (capex) linked to network growth (new connections).</w:t>
      </w:r>
      <w:r>
        <w:rPr>
          <w:rStyle w:val="FootnoteReference"/>
        </w:rPr>
        <w:footnoteReference w:id="1"/>
      </w:r>
    </w:p>
    <w:p w:rsidR="009A5113" w:rsidRDefault="00CF2C05" w:rsidP="009A5113">
      <w:pPr>
        <w:pStyle w:val="Heading2"/>
      </w:pPr>
      <w:bookmarkStart w:id="11" w:name="_Toc408404320"/>
      <w:bookmarkStart w:id="12" w:name="_Toc436055508"/>
      <w:r>
        <w:t>Draft</w:t>
      </w:r>
      <w:r w:rsidR="009A5113" w:rsidRPr="0074565D">
        <w:t xml:space="preserve"> decision</w:t>
      </w:r>
      <w:bookmarkEnd w:id="11"/>
      <w:bookmarkEnd w:id="12"/>
    </w:p>
    <w:p w:rsidR="00010106" w:rsidRDefault="00010106" w:rsidP="00010106">
      <w:r>
        <w:t xml:space="preserve">Our position in this draft decision is to not approve AGN’s proposed demand forecasts. </w:t>
      </w:r>
    </w:p>
    <w:p w:rsidR="00010106" w:rsidRDefault="00010106" w:rsidP="00010106">
      <w:r>
        <w:t>The forecasts AGN proposed in its access arrangement proposal were prepared by Core Energy. Our review of those forecasts has identified concerns with the forecasting method that Core Energy has used to forecast tariff V residential and commercial consumption per connection.</w:t>
      </w:r>
      <w:r w:rsidRPr="00AC4CA1">
        <w:t xml:space="preserve"> </w:t>
      </w:r>
      <w:r>
        <w:t>We are not satisfied that these forecasts comply with the NGR. They have not been arrived at on a reasonable basis and are not the best estimates in the circumstances.</w:t>
      </w:r>
      <w:r>
        <w:rPr>
          <w:rStyle w:val="FootnoteReference"/>
        </w:rPr>
        <w:footnoteReference w:id="2"/>
      </w:r>
    </w:p>
    <w:p w:rsidR="00010106" w:rsidRDefault="00010106" w:rsidP="00010106">
      <w:r>
        <w:t>We have developed alternative demand forecasts that we consider address these concerns and comply with the NGR. We have used these alternative demand forecasts in this draft decision.</w:t>
      </w:r>
      <w:r w:rsidRPr="00AC4CA1">
        <w:rPr>
          <w:rStyle w:val="AERbody"/>
        </w:rPr>
        <w:t xml:space="preserve"> </w:t>
      </w:r>
      <w:r>
        <w:rPr>
          <w:rStyle w:val="AERbody"/>
        </w:rPr>
        <w:t xml:space="preserve">These </w:t>
      </w:r>
      <w:r w:rsidRPr="002F3E2B">
        <w:rPr>
          <w:rStyle w:val="AERbody"/>
        </w:rPr>
        <w:t xml:space="preserve">forecasts are set out in </w:t>
      </w:r>
      <w:r>
        <w:rPr>
          <w:rStyle w:val="AERbody"/>
        </w:rPr>
        <w:fldChar w:fldCharType="begin"/>
      </w:r>
      <w:r>
        <w:rPr>
          <w:rStyle w:val="AERbody"/>
        </w:rPr>
        <w:instrText xml:space="preserve"> REF _Ref420067875 \h </w:instrText>
      </w:r>
      <w:r>
        <w:rPr>
          <w:rStyle w:val="AERbody"/>
        </w:rPr>
      </w:r>
      <w:r>
        <w:rPr>
          <w:rStyle w:val="AERbody"/>
        </w:rPr>
        <w:fldChar w:fldCharType="separate"/>
      </w:r>
      <w:r w:rsidR="00D41EDB">
        <w:t xml:space="preserve">Table </w:t>
      </w:r>
      <w:r w:rsidR="00D41EDB">
        <w:rPr>
          <w:noProof/>
        </w:rPr>
        <w:t>13</w:t>
      </w:r>
      <w:r w:rsidR="00D41EDB">
        <w:t>.</w:t>
      </w:r>
      <w:r w:rsidR="00D41EDB">
        <w:rPr>
          <w:noProof/>
        </w:rPr>
        <w:t>1</w:t>
      </w:r>
      <w:r>
        <w:rPr>
          <w:rStyle w:val="AERbody"/>
        </w:rPr>
        <w:fldChar w:fldCharType="end"/>
      </w:r>
      <w:r w:rsidR="00FC312B">
        <w:rPr>
          <w:rStyle w:val="AERbody"/>
        </w:rPr>
        <w:t xml:space="preserve"> </w:t>
      </w:r>
      <w:r w:rsidRPr="002F3E2B">
        <w:rPr>
          <w:rStyle w:val="AERbody"/>
        </w:rPr>
        <w:t xml:space="preserve">and </w:t>
      </w:r>
      <w:r>
        <w:rPr>
          <w:rStyle w:val="AERbody"/>
        </w:rPr>
        <w:fldChar w:fldCharType="begin"/>
      </w:r>
      <w:r>
        <w:rPr>
          <w:rStyle w:val="AERbody"/>
        </w:rPr>
        <w:instrText xml:space="preserve"> REF _Ref420067884 \h </w:instrText>
      </w:r>
      <w:r>
        <w:rPr>
          <w:rStyle w:val="AERbody"/>
        </w:rPr>
      </w:r>
      <w:r>
        <w:rPr>
          <w:rStyle w:val="AERbody"/>
        </w:rPr>
        <w:fldChar w:fldCharType="separate"/>
      </w:r>
      <w:r w:rsidR="00D41EDB" w:rsidRPr="00F0622C">
        <w:t xml:space="preserve">Table </w:t>
      </w:r>
      <w:r w:rsidR="00D41EDB" w:rsidRPr="00F0622C">
        <w:rPr>
          <w:noProof/>
        </w:rPr>
        <w:t>13</w:t>
      </w:r>
      <w:r w:rsidR="00D41EDB">
        <w:rPr>
          <w:noProof/>
        </w:rPr>
        <w:t>.</w:t>
      </w:r>
      <w:r w:rsidR="00D41EDB" w:rsidRPr="00F0622C">
        <w:rPr>
          <w:noProof/>
        </w:rPr>
        <w:t>2</w:t>
      </w:r>
      <w:r>
        <w:rPr>
          <w:rStyle w:val="AERbody"/>
        </w:rPr>
        <w:fldChar w:fldCharType="end"/>
      </w:r>
      <w:r w:rsidRPr="002F3E2B">
        <w:rPr>
          <w:rStyle w:val="AERbody"/>
        </w:rPr>
        <w:t xml:space="preserve"> below</w:t>
      </w:r>
      <w:r>
        <w:rPr>
          <w:rStyle w:val="AERbody"/>
        </w:rPr>
        <w:t>. In particular, they</w:t>
      </w:r>
      <w:r>
        <w:t xml:space="preserve"> result in an annual average decline in forecast consumption per connection over the 2016–21 access arrangement period of:</w:t>
      </w:r>
    </w:p>
    <w:p w:rsidR="00010106" w:rsidRDefault="00010106" w:rsidP="00010106">
      <w:pPr>
        <w:pStyle w:val="AERbulletlistfirststyle"/>
      </w:pPr>
      <w:r>
        <w:t xml:space="preserve">–3.53 per cent for all residential customers, compared to Core Energy’s estimate of </w:t>
      </w:r>
      <w:r w:rsidR="00ED198E">
        <w:t>–</w:t>
      </w:r>
      <w:r>
        <w:t>3.96 per cent</w:t>
      </w:r>
    </w:p>
    <w:p w:rsidR="00010106" w:rsidRDefault="00010106" w:rsidP="00010106">
      <w:pPr>
        <w:pStyle w:val="AERbulletlistfirststyle"/>
      </w:pPr>
      <w:r>
        <w:t>–1.44 per cent for all commercial customers, compared to Core Energy’s estimate of –1.9 per cent.</w:t>
      </w:r>
    </w:p>
    <w:p w:rsidR="00010106" w:rsidRDefault="00010106" w:rsidP="00010106">
      <w:r>
        <w:t>The figures for consumption per connection reflect an adjustment to remove zero-consuming meters.</w:t>
      </w:r>
      <w:r>
        <w:rPr>
          <w:rStyle w:val="FootnoteReference"/>
        </w:rPr>
        <w:footnoteReference w:id="3"/>
      </w:r>
      <w:r>
        <w:t xml:space="preserve"> This adjustment is reasonable. </w:t>
      </w:r>
    </w:p>
    <w:p w:rsidR="00947404" w:rsidRDefault="00010106" w:rsidP="007A79D5">
      <w:r>
        <w:t xml:space="preserve">We agree with advice from our consultant, ACIL Allen, that </w:t>
      </w:r>
      <w:r w:rsidR="00947404">
        <w:t xml:space="preserve">AGN’s </w:t>
      </w:r>
      <w:r>
        <w:t>forecast Tariff V connection numbers is</w:t>
      </w:r>
      <w:r w:rsidR="00947404">
        <w:t xml:space="preserve"> consistent with rule 74(2) of the NGR.</w:t>
      </w:r>
    </w:p>
    <w:p w:rsidR="000B5499" w:rsidRDefault="00010106" w:rsidP="000B5499">
      <w:pPr>
        <w:rPr>
          <w:rStyle w:val="AERbody"/>
        </w:rPr>
      </w:pPr>
      <w:r>
        <w:t>Based on ACIL Allen’s advice, w</w:t>
      </w:r>
      <w:r w:rsidR="00947404">
        <w:t>e are also satisfied that AGN’s Tariff D demand forecasts are consistent with rule 74(2) of the NGR.</w:t>
      </w:r>
      <w:r w:rsidR="000B5499" w:rsidRPr="000B5499">
        <w:rPr>
          <w:rStyle w:val="AERbody"/>
        </w:rPr>
        <w:t xml:space="preserve"> </w:t>
      </w:r>
    </w:p>
    <w:p w:rsidR="000B5499" w:rsidRDefault="000B5499" w:rsidP="000B5499">
      <w:pPr>
        <w:pStyle w:val="Caption"/>
        <w:ind w:left="1695" w:hanging="1695"/>
      </w:pPr>
      <w:bookmarkStart w:id="13" w:name="_Ref420067875"/>
      <w:bookmarkStart w:id="14" w:name="_Toc408404322"/>
      <w:proofErr w:type="gramStart"/>
      <w:r>
        <w:t xml:space="preserve">Table </w:t>
      </w:r>
      <w:proofErr w:type="gramEnd"/>
      <w:r w:rsidR="00EB5111">
        <w:fldChar w:fldCharType="begin"/>
      </w:r>
      <w:r w:rsidR="00EB5111">
        <w:instrText xml:space="preserve"> STYLEREF 1 \s </w:instrText>
      </w:r>
      <w:r w:rsidR="00EB5111">
        <w:fldChar w:fldCharType="separate"/>
      </w:r>
      <w:r>
        <w:rPr>
          <w:noProof/>
        </w:rPr>
        <w:t>13</w:t>
      </w:r>
      <w:r w:rsidR="00EB5111">
        <w:rPr>
          <w:noProof/>
        </w:rPr>
        <w:fldChar w:fldCharType="end"/>
      </w:r>
      <w:proofErr w:type="gramStart"/>
      <w:r w:rsidR="00D41EDB">
        <w:t>.</w:t>
      </w:r>
      <w:proofErr w:type="gramEnd"/>
      <w:r w:rsidR="00EB5111">
        <w:fldChar w:fldCharType="begin"/>
      </w:r>
      <w:r w:rsidR="00EB5111">
        <w:instrText xml:space="preserve"> SEQ Table \* ARABIC \s 1 </w:instrText>
      </w:r>
      <w:r w:rsidR="00EB5111">
        <w:fldChar w:fldCharType="separate"/>
      </w:r>
      <w:r>
        <w:rPr>
          <w:noProof/>
        </w:rPr>
        <w:t>1</w:t>
      </w:r>
      <w:r w:rsidR="00EB5111">
        <w:rPr>
          <w:noProof/>
        </w:rPr>
        <w:fldChar w:fldCharType="end"/>
      </w:r>
      <w:bookmarkEnd w:id="13"/>
      <w:r>
        <w:tab/>
      </w:r>
      <w:r w:rsidR="00010106">
        <w:t>D</w:t>
      </w:r>
      <w:r>
        <w:t xml:space="preserve">raft </w:t>
      </w:r>
      <w:r w:rsidRPr="00983CDC">
        <w:t>decision on consumption</w:t>
      </w:r>
      <w:r>
        <w:t xml:space="preserve"> and consumption per connection for tariff V and tariff D </w:t>
      </w:r>
    </w:p>
    <w:tbl>
      <w:tblPr>
        <w:tblStyle w:val="AERtable-numbers"/>
        <w:tblW w:w="8613" w:type="dxa"/>
        <w:tblLayout w:type="fixed"/>
        <w:tblLook w:val="04A0" w:firstRow="1" w:lastRow="0" w:firstColumn="1" w:lastColumn="0" w:noHBand="0" w:noVBand="1"/>
      </w:tblPr>
      <w:tblGrid>
        <w:gridCol w:w="2866"/>
        <w:gridCol w:w="1070"/>
        <w:gridCol w:w="1134"/>
        <w:gridCol w:w="1134"/>
        <w:gridCol w:w="1275"/>
        <w:gridCol w:w="1134"/>
      </w:tblGrid>
      <w:tr w:rsidR="000B5499" w:rsidRPr="0018218B" w:rsidTr="000B549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6" w:type="dxa"/>
            <w:noWrap/>
            <w:hideMark/>
          </w:tcPr>
          <w:p w:rsidR="000B5499" w:rsidRPr="008F0CF0" w:rsidRDefault="000B5499" w:rsidP="000B5499"/>
        </w:tc>
        <w:tc>
          <w:tcPr>
            <w:tcW w:w="1070" w:type="dxa"/>
            <w:noWrap/>
            <w:hideMark/>
          </w:tcPr>
          <w:p w:rsidR="000B5499" w:rsidRPr="002A09B6" w:rsidRDefault="000B5499" w:rsidP="000B5499">
            <w:pPr>
              <w:cnfStyle w:val="100000000000" w:firstRow="1" w:lastRow="0" w:firstColumn="0" w:lastColumn="0" w:oddVBand="0" w:evenVBand="0" w:oddHBand="0" w:evenHBand="0" w:firstRowFirstColumn="0" w:firstRowLastColumn="0" w:lastRowFirstColumn="0" w:lastRowLastColumn="0"/>
            </w:pPr>
            <w:r>
              <w:t>2016</w:t>
            </w:r>
            <w:r w:rsidRPr="008F0CF0">
              <w:t>–1</w:t>
            </w:r>
            <w:r>
              <w:t>7</w:t>
            </w:r>
          </w:p>
        </w:tc>
        <w:tc>
          <w:tcPr>
            <w:tcW w:w="1134" w:type="dxa"/>
            <w:noWrap/>
            <w:hideMark/>
          </w:tcPr>
          <w:p w:rsidR="000B5499" w:rsidRPr="002A09B6" w:rsidRDefault="000B5499" w:rsidP="000B5499">
            <w:pPr>
              <w:cnfStyle w:val="100000000000" w:firstRow="1" w:lastRow="0" w:firstColumn="0" w:lastColumn="0" w:oddVBand="0" w:evenVBand="0" w:oddHBand="0" w:evenHBand="0" w:firstRowFirstColumn="0" w:firstRowLastColumn="0" w:lastRowFirstColumn="0" w:lastRowLastColumn="0"/>
            </w:pPr>
            <w:r>
              <w:t>2017</w:t>
            </w:r>
            <w:r w:rsidRPr="008F0CF0">
              <w:t>–1</w:t>
            </w:r>
            <w:r>
              <w:t>8</w:t>
            </w:r>
          </w:p>
        </w:tc>
        <w:tc>
          <w:tcPr>
            <w:tcW w:w="1134" w:type="dxa"/>
            <w:noWrap/>
            <w:hideMark/>
          </w:tcPr>
          <w:p w:rsidR="000B5499" w:rsidRPr="002A09B6" w:rsidRDefault="000B5499" w:rsidP="000B5499">
            <w:pPr>
              <w:cnfStyle w:val="100000000000" w:firstRow="1" w:lastRow="0" w:firstColumn="0" w:lastColumn="0" w:oddVBand="0" w:evenVBand="0" w:oddHBand="0" w:evenHBand="0" w:firstRowFirstColumn="0" w:firstRowLastColumn="0" w:lastRowFirstColumn="0" w:lastRowLastColumn="0"/>
            </w:pPr>
            <w:r>
              <w:t>2018</w:t>
            </w:r>
            <w:r w:rsidRPr="008F0CF0">
              <w:t>–1</w:t>
            </w:r>
            <w:r>
              <w:t>9</w:t>
            </w:r>
          </w:p>
        </w:tc>
        <w:tc>
          <w:tcPr>
            <w:tcW w:w="1275" w:type="dxa"/>
            <w:noWrap/>
            <w:hideMark/>
          </w:tcPr>
          <w:p w:rsidR="000B5499" w:rsidRPr="002A09B6" w:rsidRDefault="000B5499" w:rsidP="000B5499">
            <w:pPr>
              <w:cnfStyle w:val="100000000000" w:firstRow="1" w:lastRow="0" w:firstColumn="0" w:lastColumn="0" w:oddVBand="0" w:evenVBand="0" w:oddHBand="0" w:evenHBand="0" w:firstRowFirstColumn="0" w:firstRowLastColumn="0" w:lastRowFirstColumn="0" w:lastRowLastColumn="0"/>
            </w:pPr>
            <w:r>
              <w:t>2019</w:t>
            </w:r>
            <w:r w:rsidRPr="008F0CF0">
              <w:t>–</w:t>
            </w:r>
            <w:r>
              <w:t>20</w:t>
            </w:r>
          </w:p>
        </w:tc>
        <w:tc>
          <w:tcPr>
            <w:tcW w:w="1134" w:type="dxa"/>
            <w:noWrap/>
            <w:hideMark/>
          </w:tcPr>
          <w:p w:rsidR="000B5499" w:rsidRPr="002A09B6" w:rsidRDefault="000B5499" w:rsidP="000B5499">
            <w:pPr>
              <w:cnfStyle w:val="100000000000" w:firstRow="1" w:lastRow="0" w:firstColumn="0" w:lastColumn="0" w:oddVBand="0" w:evenVBand="0" w:oddHBand="0" w:evenHBand="0" w:firstRowFirstColumn="0" w:firstRowLastColumn="0" w:lastRowFirstColumn="0" w:lastRowLastColumn="0"/>
            </w:pPr>
            <w:r>
              <w:t>2020</w:t>
            </w:r>
            <w:r w:rsidRPr="008F0CF0">
              <w:t>–2</w:t>
            </w:r>
            <w:r>
              <w:t>1</w:t>
            </w:r>
          </w:p>
        </w:tc>
      </w:tr>
      <w:tr w:rsidR="000B5499" w:rsidRPr="007000CF" w:rsidTr="000B5499">
        <w:trPr>
          <w:trHeight w:val="300"/>
        </w:trPr>
        <w:tc>
          <w:tcPr>
            <w:cnfStyle w:val="001000000000" w:firstRow="0" w:lastRow="0" w:firstColumn="1" w:lastColumn="0" w:oddVBand="0" w:evenVBand="0" w:oddHBand="0" w:evenHBand="0" w:firstRowFirstColumn="0" w:firstRowLastColumn="0" w:lastRowFirstColumn="0" w:lastRowLastColumn="0"/>
            <w:tcW w:w="2866" w:type="dxa"/>
            <w:noWrap/>
          </w:tcPr>
          <w:p w:rsidR="000B5499" w:rsidRPr="004121ED" w:rsidRDefault="000B5499" w:rsidP="000B5499">
            <w:pPr>
              <w:pStyle w:val="HeadingOrange"/>
            </w:pPr>
            <w:r>
              <w:t>Tariff V total consumption</w:t>
            </w:r>
          </w:p>
        </w:tc>
        <w:tc>
          <w:tcPr>
            <w:tcW w:w="1070" w:type="dxa"/>
            <w:noWrap/>
          </w:tcPr>
          <w:p w:rsidR="000B5499" w:rsidRPr="008F0CF0" w:rsidRDefault="000B5499" w:rsidP="00F0622C">
            <w:pPr>
              <w:cnfStyle w:val="000000000000" w:firstRow="0" w:lastRow="0" w:firstColumn="0" w:lastColumn="0" w:oddVBand="0" w:evenVBand="0" w:oddHBand="0" w:evenHBand="0" w:firstRowFirstColumn="0" w:firstRowLastColumn="0" w:lastRowFirstColumn="0" w:lastRowLastColumn="0"/>
            </w:pPr>
          </w:p>
        </w:tc>
        <w:tc>
          <w:tcPr>
            <w:tcW w:w="1134" w:type="dxa"/>
            <w:noWrap/>
          </w:tcPr>
          <w:p w:rsidR="000B5499" w:rsidRPr="008F0CF0" w:rsidRDefault="000B5499" w:rsidP="00F0622C">
            <w:pPr>
              <w:cnfStyle w:val="000000000000" w:firstRow="0" w:lastRow="0" w:firstColumn="0" w:lastColumn="0" w:oddVBand="0" w:evenVBand="0" w:oddHBand="0" w:evenHBand="0" w:firstRowFirstColumn="0" w:firstRowLastColumn="0" w:lastRowFirstColumn="0" w:lastRowLastColumn="0"/>
            </w:pPr>
          </w:p>
        </w:tc>
        <w:tc>
          <w:tcPr>
            <w:tcW w:w="1134" w:type="dxa"/>
            <w:noWrap/>
          </w:tcPr>
          <w:p w:rsidR="000B5499" w:rsidRPr="008F0CF0" w:rsidRDefault="000B5499" w:rsidP="00F0622C">
            <w:pPr>
              <w:cnfStyle w:val="000000000000" w:firstRow="0" w:lastRow="0" w:firstColumn="0" w:lastColumn="0" w:oddVBand="0" w:evenVBand="0" w:oddHBand="0" w:evenHBand="0" w:firstRowFirstColumn="0" w:firstRowLastColumn="0" w:lastRowFirstColumn="0" w:lastRowLastColumn="0"/>
            </w:pPr>
          </w:p>
        </w:tc>
        <w:tc>
          <w:tcPr>
            <w:tcW w:w="1275" w:type="dxa"/>
            <w:noWrap/>
          </w:tcPr>
          <w:p w:rsidR="000B5499" w:rsidRPr="008F0CF0" w:rsidRDefault="000B5499" w:rsidP="00F0622C">
            <w:pPr>
              <w:cnfStyle w:val="000000000000" w:firstRow="0" w:lastRow="0" w:firstColumn="0" w:lastColumn="0" w:oddVBand="0" w:evenVBand="0" w:oddHBand="0" w:evenHBand="0" w:firstRowFirstColumn="0" w:firstRowLastColumn="0" w:lastRowFirstColumn="0" w:lastRowLastColumn="0"/>
            </w:pPr>
          </w:p>
        </w:tc>
        <w:tc>
          <w:tcPr>
            <w:tcW w:w="1134" w:type="dxa"/>
            <w:noWrap/>
          </w:tcPr>
          <w:p w:rsidR="000B5499" w:rsidRPr="008F0CF0" w:rsidRDefault="000B5499" w:rsidP="00F0622C">
            <w:pPr>
              <w:cnfStyle w:val="000000000000" w:firstRow="0" w:lastRow="0" w:firstColumn="0" w:lastColumn="0" w:oddVBand="0" w:evenVBand="0" w:oddHBand="0" w:evenHBand="0" w:firstRowFirstColumn="0" w:firstRowLastColumn="0" w:lastRowFirstColumn="0" w:lastRowLastColumn="0"/>
            </w:pPr>
          </w:p>
        </w:tc>
      </w:tr>
      <w:tr w:rsidR="002968A4" w:rsidRPr="007000CF" w:rsidTr="000B549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6" w:type="dxa"/>
            <w:noWrap/>
          </w:tcPr>
          <w:p w:rsidR="002968A4" w:rsidRPr="004121ED" w:rsidRDefault="002968A4" w:rsidP="000B5499">
            <w:pPr>
              <w:pStyle w:val="HeadingOrange"/>
            </w:pPr>
            <w:r>
              <w:t>Residential</w:t>
            </w:r>
          </w:p>
        </w:tc>
        <w:tc>
          <w:tcPr>
            <w:tcW w:w="1070" w:type="dxa"/>
            <w:noWrap/>
          </w:tcPr>
          <w:p w:rsidR="002968A4" w:rsidRPr="007B2458" w:rsidRDefault="002968A4" w:rsidP="00F0622C">
            <w:pPr>
              <w:cnfStyle w:val="000000010000" w:firstRow="0" w:lastRow="0" w:firstColumn="0" w:lastColumn="0" w:oddVBand="0" w:evenVBand="0" w:oddHBand="0" w:evenHBand="1" w:firstRowFirstColumn="0" w:firstRowLastColumn="0" w:lastRowFirstColumn="0" w:lastRowLastColumn="0"/>
            </w:pPr>
            <w:r w:rsidRPr="007000CF">
              <w:t>6,375,499</w:t>
            </w:r>
          </w:p>
        </w:tc>
        <w:tc>
          <w:tcPr>
            <w:tcW w:w="1134" w:type="dxa"/>
            <w:noWrap/>
          </w:tcPr>
          <w:p w:rsidR="002968A4" w:rsidRPr="007B2458" w:rsidRDefault="002968A4" w:rsidP="00F0622C">
            <w:pPr>
              <w:cnfStyle w:val="000000010000" w:firstRow="0" w:lastRow="0" w:firstColumn="0" w:lastColumn="0" w:oddVBand="0" w:evenVBand="0" w:oddHBand="0" w:evenHBand="1" w:firstRowFirstColumn="0" w:firstRowLastColumn="0" w:lastRowFirstColumn="0" w:lastRowLastColumn="0"/>
            </w:pPr>
            <w:r w:rsidRPr="007000CF">
              <w:t>6,218,183</w:t>
            </w:r>
          </w:p>
        </w:tc>
        <w:tc>
          <w:tcPr>
            <w:tcW w:w="1134" w:type="dxa"/>
            <w:noWrap/>
          </w:tcPr>
          <w:p w:rsidR="002968A4" w:rsidRPr="007B2458" w:rsidRDefault="002968A4" w:rsidP="00F0622C">
            <w:pPr>
              <w:cnfStyle w:val="000000010000" w:firstRow="0" w:lastRow="0" w:firstColumn="0" w:lastColumn="0" w:oddVBand="0" w:evenVBand="0" w:oddHBand="0" w:evenHBand="1" w:firstRowFirstColumn="0" w:firstRowLastColumn="0" w:lastRowFirstColumn="0" w:lastRowLastColumn="0"/>
            </w:pPr>
            <w:r w:rsidRPr="007000CF">
              <w:t>6,072,174</w:t>
            </w:r>
          </w:p>
        </w:tc>
        <w:tc>
          <w:tcPr>
            <w:tcW w:w="1275" w:type="dxa"/>
            <w:noWrap/>
          </w:tcPr>
          <w:p w:rsidR="002968A4" w:rsidRPr="007B2458" w:rsidRDefault="002968A4" w:rsidP="00F0622C">
            <w:pPr>
              <w:cnfStyle w:val="000000010000" w:firstRow="0" w:lastRow="0" w:firstColumn="0" w:lastColumn="0" w:oddVBand="0" w:evenVBand="0" w:oddHBand="0" w:evenHBand="1" w:firstRowFirstColumn="0" w:firstRowLastColumn="0" w:lastRowFirstColumn="0" w:lastRowLastColumn="0"/>
            </w:pPr>
            <w:r w:rsidRPr="007000CF">
              <w:t>5,937,029</w:t>
            </w:r>
          </w:p>
        </w:tc>
        <w:tc>
          <w:tcPr>
            <w:tcW w:w="1134" w:type="dxa"/>
            <w:noWrap/>
          </w:tcPr>
          <w:p w:rsidR="002968A4" w:rsidRPr="007B2458" w:rsidRDefault="002968A4" w:rsidP="00F0622C">
            <w:pPr>
              <w:cnfStyle w:val="000000010000" w:firstRow="0" w:lastRow="0" w:firstColumn="0" w:lastColumn="0" w:oddVBand="0" w:evenVBand="0" w:oddHBand="0" w:evenHBand="1" w:firstRowFirstColumn="0" w:firstRowLastColumn="0" w:lastRowFirstColumn="0" w:lastRowLastColumn="0"/>
            </w:pPr>
            <w:r w:rsidRPr="007000CF">
              <w:t>5,807,417</w:t>
            </w:r>
          </w:p>
        </w:tc>
      </w:tr>
      <w:tr w:rsidR="002968A4" w:rsidRPr="007000CF" w:rsidTr="007413F1">
        <w:trPr>
          <w:trHeight w:val="300"/>
        </w:trPr>
        <w:tc>
          <w:tcPr>
            <w:cnfStyle w:val="001000000000" w:firstRow="0" w:lastRow="0" w:firstColumn="1" w:lastColumn="0" w:oddVBand="0" w:evenVBand="0" w:oddHBand="0" w:evenHBand="0" w:firstRowFirstColumn="0" w:firstRowLastColumn="0" w:lastRowFirstColumn="0" w:lastRowLastColumn="0"/>
            <w:tcW w:w="2866" w:type="dxa"/>
            <w:noWrap/>
          </w:tcPr>
          <w:p w:rsidR="002968A4" w:rsidRPr="004121ED" w:rsidRDefault="002968A4" w:rsidP="000B5499">
            <w:pPr>
              <w:pStyle w:val="HeadingOrange"/>
            </w:pPr>
            <w:r>
              <w:t>Commercial</w:t>
            </w:r>
          </w:p>
        </w:tc>
        <w:tc>
          <w:tcPr>
            <w:tcW w:w="1070" w:type="dxa"/>
            <w:noWrap/>
            <w:vAlign w:val="bottom"/>
          </w:tcPr>
          <w:p w:rsidR="002968A4" w:rsidRPr="007B2458" w:rsidRDefault="002968A4" w:rsidP="00F0622C">
            <w:pPr>
              <w:cnfStyle w:val="000000000000" w:firstRow="0" w:lastRow="0" w:firstColumn="0" w:lastColumn="0" w:oddVBand="0" w:evenVBand="0" w:oddHBand="0" w:evenHBand="0" w:firstRowFirstColumn="0" w:firstRowLastColumn="0" w:lastRowFirstColumn="0" w:lastRowLastColumn="0"/>
            </w:pPr>
            <w:r w:rsidRPr="007000CF">
              <w:t>2,909,806</w:t>
            </w:r>
          </w:p>
        </w:tc>
        <w:tc>
          <w:tcPr>
            <w:tcW w:w="1134" w:type="dxa"/>
            <w:noWrap/>
            <w:vAlign w:val="bottom"/>
          </w:tcPr>
          <w:p w:rsidR="002968A4" w:rsidRPr="007B2458" w:rsidRDefault="002968A4" w:rsidP="00F0622C">
            <w:pPr>
              <w:cnfStyle w:val="000000000000" w:firstRow="0" w:lastRow="0" w:firstColumn="0" w:lastColumn="0" w:oddVBand="0" w:evenVBand="0" w:oddHBand="0" w:evenHBand="0" w:firstRowFirstColumn="0" w:firstRowLastColumn="0" w:lastRowFirstColumn="0" w:lastRowLastColumn="0"/>
            </w:pPr>
            <w:r w:rsidRPr="007000CF">
              <w:t>2,904,930</w:t>
            </w:r>
          </w:p>
        </w:tc>
        <w:tc>
          <w:tcPr>
            <w:tcW w:w="1134" w:type="dxa"/>
            <w:noWrap/>
            <w:vAlign w:val="bottom"/>
          </w:tcPr>
          <w:p w:rsidR="002968A4" w:rsidRPr="007B2458" w:rsidRDefault="002968A4" w:rsidP="00F0622C">
            <w:pPr>
              <w:cnfStyle w:val="000000000000" w:firstRow="0" w:lastRow="0" w:firstColumn="0" w:lastColumn="0" w:oddVBand="0" w:evenVBand="0" w:oddHBand="0" w:evenHBand="0" w:firstRowFirstColumn="0" w:firstRowLastColumn="0" w:lastRowFirstColumn="0" w:lastRowLastColumn="0"/>
            </w:pPr>
            <w:r w:rsidRPr="007000CF">
              <w:t>2,884,557</w:t>
            </w:r>
          </w:p>
        </w:tc>
        <w:tc>
          <w:tcPr>
            <w:tcW w:w="1275" w:type="dxa"/>
            <w:noWrap/>
            <w:vAlign w:val="bottom"/>
          </w:tcPr>
          <w:p w:rsidR="002968A4" w:rsidRPr="007B2458" w:rsidRDefault="002968A4" w:rsidP="00F0622C">
            <w:pPr>
              <w:cnfStyle w:val="000000000000" w:firstRow="0" w:lastRow="0" w:firstColumn="0" w:lastColumn="0" w:oddVBand="0" w:evenVBand="0" w:oddHBand="0" w:evenHBand="0" w:firstRowFirstColumn="0" w:firstRowLastColumn="0" w:lastRowFirstColumn="0" w:lastRowLastColumn="0"/>
            </w:pPr>
            <w:r w:rsidRPr="007000CF">
              <w:t>2,861,440</w:t>
            </w:r>
          </w:p>
        </w:tc>
        <w:tc>
          <w:tcPr>
            <w:tcW w:w="1134" w:type="dxa"/>
            <w:noWrap/>
            <w:vAlign w:val="bottom"/>
          </w:tcPr>
          <w:p w:rsidR="002968A4" w:rsidRPr="007B2458" w:rsidRDefault="002968A4" w:rsidP="00F0622C">
            <w:pPr>
              <w:cnfStyle w:val="000000000000" w:firstRow="0" w:lastRow="0" w:firstColumn="0" w:lastColumn="0" w:oddVBand="0" w:evenVBand="0" w:oddHBand="0" w:evenHBand="0" w:firstRowFirstColumn="0" w:firstRowLastColumn="0" w:lastRowFirstColumn="0" w:lastRowLastColumn="0"/>
            </w:pPr>
            <w:r w:rsidRPr="007000CF">
              <w:t>2,849,001</w:t>
            </w:r>
          </w:p>
        </w:tc>
      </w:tr>
      <w:tr w:rsidR="000B5499" w:rsidRPr="007000CF" w:rsidTr="000B549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6" w:type="dxa"/>
            <w:noWrap/>
          </w:tcPr>
          <w:p w:rsidR="000B5499" w:rsidRPr="002A09B6" w:rsidRDefault="000B5499" w:rsidP="000B5499">
            <w:pPr>
              <w:pStyle w:val="HeadingOrange"/>
            </w:pPr>
            <w:r>
              <w:t xml:space="preserve">Tariff V </w:t>
            </w:r>
            <w:r w:rsidRPr="004121ED">
              <w:t>consumption per</w:t>
            </w:r>
            <w:r w:rsidR="00010106">
              <w:t xml:space="preserve"> c</w:t>
            </w:r>
            <w:r w:rsidRPr="004121ED">
              <w:t>onnection</w:t>
            </w:r>
          </w:p>
        </w:tc>
        <w:tc>
          <w:tcPr>
            <w:tcW w:w="1070" w:type="dxa"/>
            <w:noWrap/>
          </w:tcPr>
          <w:p w:rsidR="000B5499" w:rsidRPr="008F0CF0" w:rsidRDefault="000B5499" w:rsidP="00F0622C">
            <w:pPr>
              <w:cnfStyle w:val="000000010000" w:firstRow="0" w:lastRow="0" w:firstColumn="0" w:lastColumn="0" w:oddVBand="0" w:evenVBand="0" w:oddHBand="0" w:evenHBand="1" w:firstRowFirstColumn="0" w:firstRowLastColumn="0" w:lastRowFirstColumn="0" w:lastRowLastColumn="0"/>
            </w:pPr>
          </w:p>
        </w:tc>
        <w:tc>
          <w:tcPr>
            <w:tcW w:w="1134" w:type="dxa"/>
            <w:noWrap/>
          </w:tcPr>
          <w:p w:rsidR="000B5499" w:rsidRPr="008F0CF0" w:rsidRDefault="000B5499" w:rsidP="00F0622C">
            <w:pPr>
              <w:cnfStyle w:val="000000010000" w:firstRow="0" w:lastRow="0" w:firstColumn="0" w:lastColumn="0" w:oddVBand="0" w:evenVBand="0" w:oddHBand="0" w:evenHBand="1" w:firstRowFirstColumn="0" w:firstRowLastColumn="0" w:lastRowFirstColumn="0" w:lastRowLastColumn="0"/>
            </w:pPr>
          </w:p>
        </w:tc>
        <w:tc>
          <w:tcPr>
            <w:tcW w:w="1134" w:type="dxa"/>
            <w:noWrap/>
          </w:tcPr>
          <w:p w:rsidR="000B5499" w:rsidRPr="008F0CF0" w:rsidRDefault="000B5499" w:rsidP="00F0622C">
            <w:pPr>
              <w:cnfStyle w:val="000000010000" w:firstRow="0" w:lastRow="0" w:firstColumn="0" w:lastColumn="0" w:oddVBand="0" w:evenVBand="0" w:oddHBand="0" w:evenHBand="1" w:firstRowFirstColumn="0" w:firstRowLastColumn="0" w:lastRowFirstColumn="0" w:lastRowLastColumn="0"/>
            </w:pPr>
          </w:p>
        </w:tc>
        <w:tc>
          <w:tcPr>
            <w:tcW w:w="1275" w:type="dxa"/>
            <w:noWrap/>
          </w:tcPr>
          <w:p w:rsidR="000B5499" w:rsidRPr="008F0CF0" w:rsidRDefault="000B5499" w:rsidP="00F0622C">
            <w:pPr>
              <w:cnfStyle w:val="000000010000" w:firstRow="0" w:lastRow="0" w:firstColumn="0" w:lastColumn="0" w:oddVBand="0" w:evenVBand="0" w:oddHBand="0" w:evenHBand="1" w:firstRowFirstColumn="0" w:firstRowLastColumn="0" w:lastRowFirstColumn="0" w:lastRowLastColumn="0"/>
            </w:pPr>
          </w:p>
        </w:tc>
        <w:tc>
          <w:tcPr>
            <w:tcW w:w="1134" w:type="dxa"/>
            <w:noWrap/>
          </w:tcPr>
          <w:p w:rsidR="000B5499" w:rsidRPr="008F0CF0" w:rsidRDefault="000B5499" w:rsidP="00F0622C">
            <w:pPr>
              <w:cnfStyle w:val="000000010000" w:firstRow="0" w:lastRow="0" w:firstColumn="0" w:lastColumn="0" w:oddVBand="0" w:evenVBand="0" w:oddHBand="0" w:evenHBand="1" w:firstRowFirstColumn="0" w:firstRowLastColumn="0" w:lastRowFirstColumn="0" w:lastRowLastColumn="0"/>
            </w:pPr>
          </w:p>
        </w:tc>
      </w:tr>
      <w:tr w:rsidR="000B5499" w:rsidRPr="007000CF" w:rsidTr="000B5499">
        <w:trPr>
          <w:trHeight w:val="300"/>
        </w:trPr>
        <w:tc>
          <w:tcPr>
            <w:cnfStyle w:val="001000000000" w:firstRow="0" w:lastRow="0" w:firstColumn="1" w:lastColumn="0" w:oddVBand="0" w:evenVBand="0" w:oddHBand="0" w:evenHBand="0" w:firstRowFirstColumn="0" w:firstRowLastColumn="0" w:lastRowFirstColumn="0" w:lastRowLastColumn="0"/>
            <w:tcW w:w="2866" w:type="dxa"/>
            <w:noWrap/>
          </w:tcPr>
          <w:p w:rsidR="000B5499" w:rsidRPr="00F94CD8" w:rsidRDefault="000B5499" w:rsidP="000B5499">
            <w:r w:rsidRPr="00F94CD8">
              <w:t>Existing Residential</w:t>
            </w:r>
          </w:p>
        </w:tc>
        <w:tc>
          <w:tcPr>
            <w:tcW w:w="1070" w:type="dxa"/>
            <w:noWrap/>
            <w:vAlign w:val="bottom"/>
          </w:tcPr>
          <w:p w:rsidR="000B5499" w:rsidRPr="00F94CD8" w:rsidRDefault="000B5499" w:rsidP="00F0622C">
            <w:pPr>
              <w:cnfStyle w:val="000000000000" w:firstRow="0" w:lastRow="0" w:firstColumn="0" w:lastColumn="0" w:oddVBand="0" w:evenVBand="0" w:oddHBand="0" w:evenHBand="0" w:firstRowFirstColumn="0" w:firstRowLastColumn="0" w:lastRowFirstColumn="0" w:lastRowLastColumn="0"/>
            </w:pPr>
            <w:r>
              <w:t>-</w:t>
            </w:r>
          </w:p>
        </w:tc>
        <w:tc>
          <w:tcPr>
            <w:tcW w:w="1134" w:type="dxa"/>
            <w:noWrap/>
            <w:vAlign w:val="bottom"/>
          </w:tcPr>
          <w:p w:rsidR="000B5499" w:rsidRPr="00F94CD8" w:rsidRDefault="000B5499" w:rsidP="00F0622C">
            <w:pPr>
              <w:cnfStyle w:val="000000000000" w:firstRow="0" w:lastRow="0" w:firstColumn="0" w:lastColumn="0" w:oddVBand="0" w:evenVBand="0" w:oddHBand="0" w:evenHBand="0" w:firstRowFirstColumn="0" w:firstRowLastColumn="0" w:lastRowFirstColumn="0" w:lastRowLastColumn="0"/>
            </w:pPr>
            <w:r>
              <w:t>-</w:t>
            </w:r>
          </w:p>
        </w:tc>
        <w:tc>
          <w:tcPr>
            <w:tcW w:w="1134" w:type="dxa"/>
            <w:noWrap/>
            <w:vAlign w:val="bottom"/>
          </w:tcPr>
          <w:p w:rsidR="000B5499" w:rsidRPr="00F94CD8" w:rsidRDefault="000B5499" w:rsidP="00F0622C">
            <w:pPr>
              <w:cnfStyle w:val="000000000000" w:firstRow="0" w:lastRow="0" w:firstColumn="0" w:lastColumn="0" w:oddVBand="0" w:evenVBand="0" w:oddHBand="0" w:evenHBand="0" w:firstRowFirstColumn="0" w:firstRowLastColumn="0" w:lastRowFirstColumn="0" w:lastRowLastColumn="0"/>
            </w:pPr>
            <w:r>
              <w:t>-</w:t>
            </w:r>
          </w:p>
        </w:tc>
        <w:tc>
          <w:tcPr>
            <w:tcW w:w="1275" w:type="dxa"/>
            <w:noWrap/>
            <w:vAlign w:val="bottom"/>
          </w:tcPr>
          <w:p w:rsidR="000B5499" w:rsidRPr="00F94CD8" w:rsidRDefault="000B5499" w:rsidP="00F0622C">
            <w:pPr>
              <w:cnfStyle w:val="000000000000" w:firstRow="0" w:lastRow="0" w:firstColumn="0" w:lastColumn="0" w:oddVBand="0" w:evenVBand="0" w:oddHBand="0" w:evenHBand="0" w:firstRowFirstColumn="0" w:firstRowLastColumn="0" w:lastRowFirstColumn="0" w:lastRowLastColumn="0"/>
            </w:pPr>
            <w:r>
              <w:t>-</w:t>
            </w:r>
          </w:p>
        </w:tc>
        <w:tc>
          <w:tcPr>
            <w:tcW w:w="1134" w:type="dxa"/>
            <w:noWrap/>
            <w:vAlign w:val="bottom"/>
          </w:tcPr>
          <w:p w:rsidR="000B5499" w:rsidRPr="00F94CD8" w:rsidRDefault="000B5499" w:rsidP="00F0622C">
            <w:pPr>
              <w:cnfStyle w:val="000000000000" w:firstRow="0" w:lastRow="0" w:firstColumn="0" w:lastColumn="0" w:oddVBand="0" w:evenVBand="0" w:oddHBand="0" w:evenHBand="0" w:firstRowFirstColumn="0" w:firstRowLastColumn="0" w:lastRowFirstColumn="0" w:lastRowLastColumn="0"/>
            </w:pPr>
            <w:r>
              <w:t>-</w:t>
            </w:r>
          </w:p>
        </w:tc>
      </w:tr>
      <w:tr w:rsidR="000B5499" w:rsidRPr="007000CF" w:rsidTr="000B549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6" w:type="dxa"/>
            <w:noWrap/>
          </w:tcPr>
          <w:p w:rsidR="000B5499" w:rsidRPr="009210A8" w:rsidRDefault="000B5499" w:rsidP="000B5499">
            <w:r w:rsidRPr="009210A8">
              <w:t>New E-to-G</w:t>
            </w:r>
          </w:p>
        </w:tc>
        <w:tc>
          <w:tcPr>
            <w:tcW w:w="1070" w:type="dxa"/>
            <w:noWrap/>
            <w:vAlign w:val="bottom"/>
          </w:tcPr>
          <w:p w:rsidR="000B5499" w:rsidRPr="009210A8" w:rsidRDefault="000B5499" w:rsidP="00F0622C">
            <w:pPr>
              <w:cnfStyle w:val="000000010000" w:firstRow="0" w:lastRow="0" w:firstColumn="0" w:lastColumn="0" w:oddVBand="0" w:evenVBand="0" w:oddHBand="0" w:evenHBand="1" w:firstRowFirstColumn="0" w:firstRowLastColumn="0" w:lastRowFirstColumn="0" w:lastRowLastColumn="0"/>
            </w:pPr>
            <w:r>
              <w:t>-</w:t>
            </w:r>
          </w:p>
        </w:tc>
        <w:tc>
          <w:tcPr>
            <w:tcW w:w="1134" w:type="dxa"/>
            <w:noWrap/>
            <w:vAlign w:val="bottom"/>
          </w:tcPr>
          <w:p w:rsidR="000B5499" w:rsidRPr="009210A8" w:rsidRDefault="000B5499" w:rsidP="00F0622C">
            <w:pPr>
              <w:cnfStyle w:val="000000010000" w:firstRow="0" w:lastRow="0" w:firstColumn="0" w:lastColumn="0" w:oddVBand="0" w:evenVBand="0" w:oddHBand="0" w:evenHBand="1" w:firstRowFirstColumn="0" w:firstRowLastColumn="0" w:lastRowFirstColumn="0" w:lastRowLastColumn="0"/>
            </w:pPr>
            <w:r>
              <w:t>-</w:t>
            </w:r>
          </w:p>
        </w:tc>
        <w:tc>
          <w:tcPr>
            <w:tcW w:w="1134" w:type="dxa"/>
            <w:noWrap/>
            <w:vAlign w:val="bottom"/>
          </w:tcPr>
          <w:p w:rsidR="000B5499" w:rsidRPr="009210A8" w:rsidRDefault="000B5499" w:rsidP="00F0622C">
            <w:pPr>
              <w:cnfStyle w:val="000000010000" w:firstRow="0" w:lastRow="0" w:firstColumn="0" w:lastColumn="0" w:oddVBand="0" w:evenVBand="0" w:oddHBand="0" w:evenHBand="1" w:firstRowFirstColumn="0" w:firstRowLastColumn="0" w:lastRowFirstColumn="0" w:lastRowLastColumn="0"/>
            </w:pPr>
            <w:r>
              <w:t>-</w:t>
            </w:r>
          </w:p>
        </w:tc>
        <w:tc>
          <w:tcPr>
            <w:tcW w:w="1275" w:type="dxa"/>
            <w:noWrap/>
            <w:vAlign w:val="bottom"/>
          </w:tcPr>
          <w:p w:rsidR="000B5499" w:rsidRPr="009210A8" w:rsidRDefault="000B5499" w:rsidP="00F0622C">
            <w:pPr>
              <w:cnfStyle w:val="000000010000" w:firstRow="0" w:lastRow="0" w:firstColumn="0" w:lastColumn="0" w:oddVBand="0" w:evenVBand="0" w:oddHBand="0" w:evenHBand="1" w:firstRowFirstColumn="0" w:firstRowLastColumn="0" w:lastRowFirstColumn="0" w:lastRowLastColumn="0"/>
            </w:pPr>
            <w:r>
              <w:t>-</w:t>
            </w:r>
          </w:p>
        </w:tc>
        <w:tc>
          <w:tcPr>
            <w:tcW w:w="1134" w:type="dxa"/>
            <w:noWrap/>
            <w:vAlign w:val="bottom"/>
          </w:tcPr>
          <w:p w:rsidR="000B5499" w:rsidRPr="009210A8" w:rsidRDefault="000B5499" w:rsidP="00F0622C">
            <w:pPr>
              <w:cnfStyle w:val="000000010000" w:firstRow="0" w:lastRow="0" w:firstColumn="0" w:lastColumn="0" w:oddVBand="0" w:evenVBand="0" w:oddHBand="0" w:evenHBand="1" w:firstRowFirstColumn="0" w:firstRowLastColumn="0" w:lastRowFirstColumn="0" w:lastRowLastColumn="0"/>
            </w:pPr>
            <w:r>
              <w:t>-</w:t>
            </w:r>
          </w:p>
        </w:tc>
      </w:tr>
      <w:tr w:rsidR="000B5499" w:rsidRPr="007000CF" w:rsidTr="007000CF">
        <w:trPr>
          <w:trHeight w:val="514"/>
        </w:trPr>
        <w:tc>
          <w:tcPr>
            <w:cnfStyle w:val="001000000000" w:firstRow="0" w:lastRow="0" w:firstColumn="1" w:lastColumn="0" w:oddVBand="0" w:evenVBand="0" w:oddHBand="0" w:evenHBand="0" w:firstRowFirstColumn="0" w:firstRowLastColumn="0" w:lastRowFirstColumn="0" w:lastRowLastColumn="0"/>
            <w:tcW w:w="2866" w:type="dxa"/>
            <w:noWrap/>
          </w:tcPr>
          <w:p w:rsidR="000B5499" w:rsidRPr="009210A8" w:rsidRDefault="000B5499" w:rsidP="000B5499">
            <w:r w:rsidRPr="009210A8">
              <w:t>New Estates</w:t>
            </w:r>
          </w:p>
        </w:tc>
        <w:tc>
          <w:tcPr>
            <w:tcW w:w="1070" w:type="dxa"/>
            <w:noWrap/>
            <w:vAlign w:val="bottom"/>
          </w:tcPr>
          <w:p w:rsidR="000B5499" w:rsidRPr="009210A8" w:rsidRDefault="000B5499" w:rsidP="00F0622C">
            <w:pPr>
              <w:cnfStyle w:val="000000000000" w:firstRow="0" w:lastRow="0" w:firstColumn="0" w:lastColumn="0" w:oddVBand="0" w:evenVBand="0" w:oddHBand="0" w:evenHBand="0" w:firstRowFirstColumn="0" w:firstRowLastColumn="0" w:lastRowFirstColumn="0" w:lastRowLastColumn="0"/>
            </w:pPr>
            <w:r>
              <w:t>-</w:t>
            </w:r>
          </w:p>
        </w:tc>
        <w:tc>
          <w:tcPr>
            <w:tcW w:w="1134" w:type="dxa"/>
            <w:noWrap/>
            <w:vAlign w:val="bottom"/>
          </w:tcPr>
          <w:p w:rsidR="000B5499" w:rsidRPr="009210A8" w:rsidRDefault="000B5499" w:rsidP="00F0622C">
            <w:pPr>
              <w:cnfStyle w:val="000000000000" w:firstRow="0" w:lastRow="0" w:firstColumn="0" w:lastColumn="0" w:oddVBand="0" w:evenVBand="0" w:oddHBand="0" w:evenHBand="0" w:firstRowFirstColumn="0" w:firstRowLastColumn="0" w:lastRowFirstColumn="0" w:lastRowLastColumn="0"/>
            </w:pPr>
            <w:r>
              <w:t>-</w:t>
            </w:r>
          </w:p>
        </w:tc>
        <w:tc>
          <w:tcPr>
            <w:tcW w:w="1134" w:type="dxa"/>
            <w:noWrap/>
            <w:vAlign w:val="bottom"/>
          </w:tcPr>
          <w:p w:rsidR="000B5499" w:rsidRPr="009210A8" w:rsidRDefault="000B5499" w:rsidP="00F0622C">
            <w:pPr>
              <w:cnfStyle w:val="000000000000" w:firstRow="0" w:lastRow="0" w:firstColumn="0" w:lastColumn="0" w:oddVBand="0" w:evenVBand="0" w:oddHBand="0" w:evenHBand="0" w:firstRowFirstColumn="0" w:firstRowLastColumn="0" w:lastRowFirstColumn="0" w:lastRowLastColumn="0"/>
            </w:pPr>
            <w:r>
              <w:t>-</w:t>
            </w:r>
          </w:p>
        </w:tc>
        <w:tc>
          <w:tcPr>
            <w:tcW w:w="1275" w:type="dxa"/>
            <w:noWrap/>
            <w:vAlign w:val="bottom"/>
          </w:tcPr>
          <w:p w:rsidR="000B5499" w:rsidRPr="009210A8" w:rsidRDefault="000B5499" w:rsidP="00F0622C">
            <w:pPr>
              <w:cnfStyle w:val="000000000000" w:firstRow="0" w:lastRow="0" w:firstColumn="0" w:lastColumn="0" w:oddVBand="0" w:evenVBand="0" w:oddHBand="0" w:evenHBand="0" w:firstRowFirstColumn="0" w:firstRowLastColumn="0" w:lastRowFirstColumn="0" w:lastRowLastColumn="0"/>
            </w:pPr>
            <w:r>
              <w:t>-</w:t>
            </w:r>
          </w:p>
        </w:tc>
        <w:tc>
          <w:tcPr>
            <w:tcW w:w="1134" w:type="dxa"/>
            <w:noWrap/>
            <w:vAlign w:val="bottom"/>
          </w:tcPr>
          <w:p w:rsidR="000B5499" w:rsidRPr="009210A8" w:rsidRDefault="000B5499" w:rsidP="00F0622C">
            <w:pPr>
              <w:cnfStyle w:val="000000000000" w:firstRow="0" w:lastRow="0" w:firstColumn="0" w:lastColumn="0" w:oddVBand="0" w:evenVBand="0" w:oddHBand="0" w:evenHBand="0" w:firstRowFirstColumn="0" w:firstRowLastColumn="0" w:lastRowFirstColumn="0" w:lastRowLastColumn="0"/>
            </w:pPr>
            <w:r>
              <w:t>-</w:t>
            </w:r>
          </w:p>
        </w:tc>
      </w:tr>
      <w:tr w:rsidR="000B5499" w:rsidRPr="007000CF" w:rsidTr="000B549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6" w:type="dxa"/>
            <w:noWrap/>
          </w:tcPr>
          <w:p w:rsidR="000B5499" w:rsidRPr="009210A8" w:rsidRDefault="000B5499" w:rsidP="000B5499">
            <w:r w:rsidRPr="009210A8">
              <w:t>New Med Density</w:t>
            </w:r>
          </w:p>
        </w:tc>
        <w:tc>
          <w:tcPr>
            <w:tcW w:w="1070" w:type="dxa"/>
            <w:noWrap/>
            <w:vAlign w:val="bottom"/>
          </w:tcPr>
          <w:p w:rsidR="000B5499" w:rsidRPr="009210A8" w:rsidRDefault="000B5499" w:rsidP="00F0622C">
            <w:pPr>
              <w:cnfStyle w:val="000000010000" w:firstRow="0" w:lastRow="0" w:firstColumn="0" w:lastColumn="0" w:oddVBand="0" w:evenVBand="0" w:oddHBand="0" w:evenHBand="1" w:firstRowFirstColumn="0" w:firstRowLastColumn="0" w:lastRowFirstColumn="0" w:lastRowLastColumn="0"/>
            </w:pPr>
            <w:r>
              <w:t>-</w:t>
            </w:r>
          </w:p>
        </w:tc>
        <w:tc>
          <w:tcPr>
            <w:tcW w:w="1134" w:type="dxa"/>
            <w:noWrap/>
            <w:vAlign w:val="bottom"/>
          </w:tcPr>
          <w:p w:rsidR="000B5499" w:rsidRPr="009210A8" w:rsidRDefault="000B5499" w:rsidP="00F0622C">
            <w:pPr>
              <w:cnfStyle w:val="000000010000" w:firstRow="0" w:lastRow="0" w:firstColumn="0" w:lastColumn="0" w:oddVBand="0" w:evenVBand="0" w:oddHBand="0" w:evenHBand="1" w:firstRowFirstColumn="0" w:firstRowLastColumn="0" w:lastRowFirstColumn="0" w:lastRowLastColumn="0"/>
            </w:pPr>
            <w:r>
              <w:t>-</w:t>
            </w:r>
          </w:p>
        </w:tc>
        <w:tc>
          <w:tcPr>
            <w:tcW w:w="1134" w:type="dxa"/>
            <w:noWrap/>
            <w:vAlign w:val="bottom"/>
          </w:tcPr>
          <w:p w:rsidR="000B5499" w:rsidRPr="009210A8" w:rsidRDefault="000B5499" w:rsidP="00F0622C">
            <w:pPr>
              <w:cnfStyle w:val="000000010000" w:firstRow="0" w:lastRow="0" w:firstColumn="0" w:lastColumn="0" w:oddVBand="0" w:evenVBand="0" w:oddHBand="0" w:evenHBand="1" w:firstRowFirstColumn="0" w:firstRowLastColumn="0" w:lastRowFirstColumn="0" w:lastRowLastColumn="0"/>
            </w:pPr>
            <w:r>
              <w:t>-</w:t>
            </w:r>
          </w:p>
        </w:tc>
        <w:tc>
          <w:tcPr>
            <w:tcW w:w="1275" w:type="dxa"/>
            <w:noWrap/>
            <w:vAlign w:val="bottom"/>
          </w:tcPr>
          <w:p w:rsidR="000B5499" w:rsidRPr="009210A8" w:rsidRDefault="000B5499" w:rsidP="00F0622C">
            <w:pPr>
              <w:cnfStyle w:val="000000010000" w:firstRow="0" w:lastRow="0" w:firstColumn="0" w:lastColumn="0" w:oddVBand="0" w:evenVBand="0" w:oddHBand="0" w:evenHBand="1" w:firstRowFirstColumn="0" w:firstRowLastColumn="0" w:lastRowFirstColumn="0" w:lastRowLastColumn="0"/>
            </w:pPr>
            <w:r>
              <w:t>-</w:t>
            </w:r>
          </w:p>
        </w:tc>
        <w:tc>
          <w:tcPr>
            <w:tcW w:w="1134" w:type="dxa"/>
            <w:noWrap/>
            <w:vAlign w:val="bottom"/>
          </w:tcPr>
          <w:p w:rsidR="000B5499" w:rsidRPr="009210A8" w:rsidRDefault="000B5499" w:rsidP="00F0622C">
            <w:pPr>
              <w:cnfStyle w:val="000000010000" w:firstRow="0" w:lastRow="0" w:firstColumn="0" w:lastColumn="0" w:oddVBand="0" w:evenVBand="0" w:oddHBand="0" w:evenHBand="1" w:firstRowFirstColumn="0" w:firstRowLastColumn="0" w:lastRowFirstColumn="0" w:lastRowLastColumn="0"/>
            </w:pPr>
            <w:r>
              <w:t>-</w:t>
            </w:r>
          </w:p>
        </w:tc>
      </w:tr>
      <w:tr w:rsidR="00CA7CBF" w:rsidRPr="007000CF" w:rsidTr="000B5499">
        <w:trPr>
          <w:trHeight w:val="300"/>
        </w:trPr>
        <w:tc>
          <w:tcPr>
            <w:cnfStyle w:val="001000000000" w:firstRow="0" w:lastRow="0" w:firstColumn="1" w:lastColumn="0" w:oddVBand="0" w:evenVBand="0" w:oddHBand="0" w:evenHBand="0" w:firstRowFirstColumn="0" w:firstRowLastColumn="0" w:lastRowFirstColumn="0" w:lastRowLastColumn="0"/>
            <w:tcW w:w="2866" w:type="dxa"/>
            <w:noWrap/>
          </w:tcPr>
          <w:p w:rsidR="00CA7CBF" w:rsidRPr="007000CF" w:rsidRDefault="00CA7CBF" w:rsidP="000B5499">
            <w:pPr>
              <w:rPr>
                <w:i/>
              </w:rPr>
            </w:pPr>
            <w:r w:rsidRPr="007000CF">
              <w:rPr>
                <w:i/>
              </w:rPr>
              <w:t>Total Residential</w:t>
            </w:r>
          </w:p>
        </w:tc>
        <w:tc>
          <w:tcPr>
            <w:tcW w:w="1070" w:type="dxa"/>
            <w:noWrap/>
          </w:tcPr>
          <w:p w:rsidR="00CA7CBF" w:rsidRPr="007B2458" w:rsidRDefault="00CA7CBF" w:rsidP="00F0622C">
            <w:pPr>
              <w:cnfStyle w:val="000000000000" w:firstRow="0" w:lastRow="0" w:firstColumn="0" w:lastColumn="0" w:oddVBand="0" w:evenVBand="0" w:oddHBand="0" w:evenHBand="0" w:firstRowFirstColumn="0" w:firstRowLastColumn="0" w:lastRowFirstColumn="0" w:lastRowLastColumn="0"/>
            </w:pPr>
            <w:r w:rsidRPr="007000CF">
              <w:t>15.0</w:t>
            </w:r>
          </w:p>
        </w:tc>
        <w:tc>
          <w:tcPr>
            <w:tcW w:w="1134" w:type="dxa"/>
            <w:noWrap/>
          </w:tcPr>
          <w:p w:rsidR="00CA7CBF" w:rsidRPr="007B2458" w:rsidRDefault="00CA7CBF" w:rsidP="00F0622C">
            <w:pPr>
              <w:cnfStyle w:val="000000000000" w:firstRow="0" w:lastRow="0" w:firstColumn="0" w:lastColumn="0" w:oddVBand="0" w:evenVBand="0" w:oddHBand="0" w:evenHBand="0" w:firstRowFirstColumn="0" w:firstRowLastColumn="0" w:lastRowFirstColumn="0" w:lastRowLastColumn="0"/>
            </w:pPr>
            <w:r w:rsidRPr="007000CF">
              <w:t>14.5</w:t>
            </w:r>
          </w:p>
        </w:tc>
        <w:tc>
          <w:tcPr>
            <w:tcW w:w="1134" w:type="dxa"/>
            <w:noWrap/>
          </w:tcPr>
          <w:p w:rsidR="00CA7CBF" w:rsidRPr="007B2458" w:rsidRDefault="00CA7CBF" w:rsidP="00F0622C">
            <w:pPr>
              <w:cnfStyle w:val="000000000000" w:firstRow="0" w:lastRow="0" w:firstColumn="0" w:lastColumn="0" w:oddVBand="0" w:evenVBand="0" w:oddHBand="0" w:evenHBand="0" w:firstRowFirstColumn="0" w:firstRowLastColumn="0" w:lastRowFirstColumn="0" w:lastRowLastColumn="0"/>
            </w:pPr>
            <w:r w:rsidRPr="007000CF">
              <w:t>14.0</w:t>
            </w:r>
          </w:p>
        </w:tc>
        <w:tc>
          <w:tcPr>
            <w:tcW w:w="1275" w:type="dxa"/>
            <w:noWrap/>
          </w:tcPr>
          <w:p w:rsidR="00CA7CBF" w:rsidRPr="007B2458" w:rsidRDefault="00CA7CBF" w:rsidP="00F0622C">
            <w:pPr>
              <w:cnfStyle w:val="000000000000" w:firstRow="0" w:lastRow="0" w:firstColumn="0" w:lastColumn="0" w:oddVBand="0" w:evenVBand="0" w:oddHBand="0" w:evenHBand="0" w:firstRowFirstColumn="0" w:firstRowLastColumn="0" w:lastRowFirstColumn="0" w:lastRowLastColumn="0"/>
            </w:pPr>
            <w:r w:rsidRPr="007000CF">
              <w:t>13.5</w:t>
            </w:r>
          </w:p>
        </w:tc>
        <w:tc>
          <w:tcPr>
            <w:tcW w:w="1134" w:type="dxa"/>
            <w:noWrap/>
          </w:tcPr>
          <w:p w:rsidR="00CA7CBF" w:rsidRPr="007B2458" w:rsidRDefault="00CA7CBF" w:rsidP="00F0622C">
            <w:pPr>
              <w:cnfStyle w:val="000000000000" w:firstRow="0" w:lastRow="0" w:firstColumn="0" w:lastColumn="0" w:oddVBand="0" w:evenVBand="0" w:oddHBand="0" w:evenHBand="0" w:firstRowFirstColumn="0" w:firstRowLastColumn="0" w:lastRowFirstColumn="0" w:lastRowLastColumn="0"/>
            </w:pPr>
            <w:r w:rsidRPr="007000CF">
              <w:t>13.0</w:t>
            </w:r>
          </w:p>
        </w:tc>
      </w:tr>
      <w:tr w:rsidR="00DA24FF" w:rsidRPr="007000CF" w:rsidTr="000B549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6" w:type="dxa"/>
            <w:noWrap/>
          </w:tcPr>
          <w:p w:rsidR="00DA24FF" w:rsidRDefault="00DA24FF" w:rsidP="000B5499">
            <w:r>
              <w:t>Existing commercial</w:t>
            </w:r>
          </w:p>
        </w:tc>
        <w:tc>
          <w:tcPr>
            <w:tcW w:w="1070" w:type="dxa"/>
            <w:noWrap/>
            <w:vAlign w:val="bottom"/>
          </w:tcPr>
          <w:p w:rsidR="00DA24FF" w:rsidRPr="009210A8" w:rsidRDefault="00DA24FF" w:rsidP="00F0622C">
            <w:pPr>
              <w:cnfStyle w:val="000000010000" w:firstRow="0" w:lastRow="0" w:firstColumn="0" w:lastColumn="0" w:oddVBand="0" w:evenVBand="0" w:oddHBand="0" w:evenHBand="1" w:firstRowFirstColumn="0" w:firstRowLastColumn="0" w:lastRowFirstColumn="0" w:lastRowLastColumn="0"/>
            </w:pPr>
            <w:r>
              <w:t>-</w:t>
            </w:r>
          </w:p>
        </w:tc>
        <w:tc>
          <w:tcPr>
            <w:tcW w:w="1134" w:type="dxa"/>
            <w:noWrap/>
            <w:vAlign w:val="bottom"/>
          </w:tcPr>
          <w:p w:rsidR="00DA24FF" w:rsidRPr="009210A8" w:rsidRDefault="00DA24FF" w:rsidP="00F0622C">
            <w:pPr>
              <w:cnfStyle w:val="000000010000" w:firstRow="0" w:lastRow="0" w:firstColumn="0" w:lastColumn="0" w:oddVBand="0" w:evenVBand="0" w:oddHBand="0" w:evenHBand="1" w:firstRowFirstColumn="0" w:firstRowLastColumn="0" w:lastRowFirstColumn="0" w:lastRowLastColumn="0"/>
            </w:pPr>
            <w:r>
              <w:t>-</w:t>
            </w:r>
          </w:p>
        </w:tc>
        <w:tc>
          <w:tcPr>
            <w:tcW w:w="1134" w:type="dxa"/>
            <w:noWrap/>
            <w:vAlign w:val="bottom"/>
          </w:tcPr>
          <w:p w:rsidR="00DA24FF" w:rsidRPr="009210A8" w:rsidRDefault="00DA24FF" w:rsidP="00F0622C">
            <w:pPr>
              <w:cnfStyle w:val="000000010000" w:firstRow="0" w:lastRow="0" w:firstColumn="0" w:lastColumn="0" w:oddVBand="0" w:evenVBand="0" w:oddHBand="0" w:evenHBand="1" w:firstRowFirstColumn="0" w:firstRowLastColumn="0" w:lastRowFirstColumn="0" w:lastRowLastColumn="0"/>
            </w:pPr>
            <w:r>
              <w:t>-</w:t>
            </w:r>
          </w:p>
        </w:tc>
        <w:tc>
          <w:tcPr>
            <w:tcW w:w="1275" w:type="dxa"/>
            <w:noWrap/>
            <w:vAlign w:val="bottom"/>
          </w:tcPr>
          <w:p w:rsidR="00DA24FF" w:rsidRPr="009210A8" w:rsidRDefault="00DA24FF" w:rsidP="00F0622C">
            <w:pPr>
              <w:cnfStyle w:val="000000010000" w:firstRow="0" w:lastRow="0" w:firstColumn="0" w:lastColumn="0" w:oddVBand="0" w:evenVBand="0" w:oddHBand="0" w:evenHBand="1" w:firstRowFirstColumn="0" w:firstRowLastColumn="0" w:lastRowFirstColumn="0" w:lastRowLastColumn="0"/>
            </w:pPr>
            <w:r>
              <w:t>-</w:t>
            </w:r>
          </w:p>
        </w:tc>
        <w:tc>
          <w:tcPr>
            <w:tcW w:w="1134" w:type="dxa"/>
            <w:noWrap/>
            <w:vAlign w:val="bottom"/>
          </w:tcPr>
          <w:p w:rsidR="00DA24FF" w:rsidRPr="009210A8" w:rsidRDefault="00DA24FF" w:rsidP="00F0622C">
            <w:pPr>
              <w:cnfStyle w:val="000000010000" w:firstRow="0" w:lastRow="0" w:firstColumn="0" w:lastColumn="0" w:oddVBand="0" w:evenVBand="0" w:oddHBand="0" w:evenHBand="1" w:firstRowFirstColumn="0" w:firstRowLastColumn="0" w:lastRowFirstColumn="0" w:lastRowLastColumn="0"/>
            </w:pPr>
            <w:r>
              <w:t>-</w:t>
            </w:r>
          </w:p>
        </w:tc>
      </w:tr>
      <w:tr w:rsidR="00DA24FF" w:rsidRPr="007000CF" w:rsidTr="000B5499">
        <w:trPr>
          <w:trHeight w:val="300"/>
        </w:trPr>
        <w:tc>
          <w:tcPr>
            <w:cnfStyle w:val="001000000000" w:firstRow="0" w:lastRow="0" w:firstColumn="1" w:lastColumn="0" w:oddVBand="0" w:evenVBand="0" w:oddHBand="0" w:evenHBand="0" w:firstRowFirstColumn="0" w:firstRowLastColumn="0" w:lastRowFirstColumn="0" w:lastRowLastColumn="0"/>
            <w:tcW w:w="2866" w:type="dxa"/>
            <w:noWrap/>
          </w:tcPr>
          <w:p w:rsidR="00DA24FF" w:rsidRDefault="00DA24FF" w:rsidP="000B5499">
            <w:r>
              <w:t>New commercial</w:t>
            </w:r>
          </w:p>
        </w:tc>
        <w:tc>
          <w:tcPr>
            <w:tcW w:w="1070" w:type="dxa"/>
            <w:noWrap/>
            <w:vAlign w:val="bottom"/>
          </w:tcPr>
          <w:p w:rsidR="00DA24FF" w:rsidRPr="009210A8" w:rsidRDefault="00DA24FF" w:rsidP="00F0622C">
            <w:pPr>
              <w:cnfStyle w:val="000000000000" w:firstRow="0" w:lastRow="0" w:firstColumn="0" w:lastColumn="0" w:oddVBand="0" w:evenVBand="0" w:oddHBand="0" w:evenHBand="0" w:firstRowFirstColumn="0" w:firstRowLastColumn="0" w:lastRowFirstColumn="0" w:lastRowLastColumn="0"/>
            </w:pPr>
            <w:r>
              <w:t>-</w:t>
            </w:r>
          </w:p>
        </w:tc>
        <w:tc>
          <w:tcPr>
            <w:tcW w:w="1134" w:type="dxa"/>
            <w:noWrap/>
            <w:vAlign w:val="bottom"/>
          </w:tcPr>
          <w:p w:rsidR="00DA24FF" w:rsidRPr="009210A8" w:rsidRDefault="00DA24FF" w:rsidP="00F0622C">
            <w:pPr>
              <w:cnfStyle w:val="000000000000" w:firstRow="0" w:lastRow="0" w:firstColumn="0" w:lastColumn="0" w:oddVBand="0" w:evenVBand="0" w:oddHBand="0" w:evenHBand="0" w:firstRowFirstColumn="0" w:firstRowLastColumn="0" w:lastRowFirstColumn="0" w:lastRowLastColumn="0"/>
            </w:pPr>
            <w:r>
              <w:t>-</w:t>
            </w:r>
          </w:p>
        </w:tc>
        <w:tc>
          <w:tcPr>
            <w:tcW w:w="1134" w:type="dxa"/>
            <w:noWrap/>
            <w:vAlign w:val="bottom"/>
          </w:tcPr>
          <w:p w:rsidR="00DA24FF" w:rsidRPr="009210A8" w:rsidRDefault="00DA24FF" w:rsidP="00F0622C">
            <w:pPr>
              <w:cnfStyle w:val="000000000000" w:firstRow="0" w:lastRow="0" w:firstColumn="0" w:lastColumn="0" w:oddVBand="0" w:evenVBand="0" w:oddHBand="0" w:evenHBand="0" w:firstRowFirstColumn="0" w:firstRowLastColumn="0" w:lastRowFirstColumn="0" w:lastRowLastColumn="0"/>
            </w:pPr>
            <w:r>
              <w:t>-</w:t>
            </w:r>
          </w:p>
        </w:tc>
        <w:tc>
          <w:tcPr>
            <w:tcW w:w="1275" w:type="dxa"/>
            <w:noWrap/>
            <w:vAlign w:val="bottom"/>
          </w:tcPr>
          <w:p w:rsidR="00DA24FF" w:rsidRPr="009210A8" w:rsidRDefault="00DA24FF" w:rsidP="00F0622C">
            <w:pPr>
              <w:cnfStyle w:val="000000000000" w:firstRow="0" w:lastRow="0" w:firstColumn="0" w:lastColumn="0" w:oddVBand="0" w:evenVBand="0" w:oddHBand="0" w:evenHBand="0" w:firstRowFirstColumn="0" w:firstRowLastColumn="0" w:lastRowFirstColumn="0" w:lastRowLastColumn="0"/>
            </w:pPr>
            <w:r>
              <w:t>-</w:t>
            </w:r>
          </w:p>
        </w:tc>
        <w:tc>
          <w:tcPr>
            <w:tcW w:w="1134" w:type="dxa"/>
            <w:noWrap/>
            <w:vAlign w:val="bottom"/>
          </w:tcPr>
          <w:p w:rsidR="00DA24FF" w:rsidRPr="009210A8" w:rsidRDefault="00DA24FF" w:rsidP="00F0622C">
            <w:pPr>
              <w:cnfStyle w:val="000000000000" w:firstRow="0" w:lastRow="0" w:firstColumn="0" w:lastColumn="0" w:oddVBand="0" w:evenVBand="0" w:oddHBand="0" w:evenHBand="0" w:firstRowFirstColumn="0" w:firstRowLastColumn="0" w:lastRowFirstColumn="0" w:lastRowLastColumn="0"/>
            </w:pPr>
            <w:r>
              <w:t>-</w:t>
            </w:r>
          </w:p>
        </w:tc>
      </w:tr>
      <w:tr w:rsidR="00CA7CBF" w:rsidRPr="007000CF" w:rsidTr="00CE17E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6" w:type="dxa"/>
            <w:noWrap/>
          </w:tcPr>
          <w:p w:rsidR="00CA7CBF" w:rsidRPr="00010106" w:rsidRDefault="00CA7CBF" w:rsidP="00010106">
            <w:pPr>
              <w:rPr>
                <w:i/>
                <w:vertAlign w:val="superscript"/>
              </w:rPr>
            </w:pPr>
            <w:r w:rsidRPr="007000CF">
              <w:rPr>
                <w:i/>
              </w:rPr>
              <w:t xml:space="preserve">Total </w:t>
            </w:r>
            <w:proofErr w:type="spellStart"/>
            <w:r w:rsidRPr="007000CF">
              <w:rPr>
                <w:i/>
              </w:rPr>
              <w:t>Commercial</w:t>
            </w:r>
            <w:r w:rsidR="00010106">
              <w:rPr>
                <w:i/>
                <w:vertAlign w:val="superscript"/>
              </w:rPr>
              <w:t>a</w:t>
            </w:r>
            <w:proofErr w:type="spellEnd"/>
          </w:p>
        </w:tc>
        <w:tc>
          <w:tcPr>
            <w:tcW w:w="1070" w:type="dxa"/>
            <w:noWrap/>
          </w:tcPr>
          <w:p w:rsidR="00CA7CBF" w:rsidRPr="007B2458" w:rsidRDefault="00CA7CBF" w:rsidP="00F0622C">
            <w:pPr>
              <w:cnfStyle w:val="000000010000" w:firstRow="0" w:lastRow="0" w:firstColumn="0" w:lastColumn="0" w:oddVBand="0" w:evenVBand="0" w:oddHBand="0" w:evenHBand="1" w:firstRowFirstColumn="0" w:firstRowLastColumn="0" w:lastRowFirstColumn="0" w:lastRowLastColumn="0"/>
            </w:pPr>
            <w:r w:rsidRPr="007000CF">
              <w:t>297</w:t>
            </w:r>
          </w:p>
        </w:tc>
        <w:tc>
          <w:tcPr>
            <w:tcW w:w="1134" w:type="dxa"/>
            <w:noWrap/>
          </w:tcPr>
          <w:p w:rsidR="00CA7CBF" w:rsidRPr="007B2458" w:rsidRDefault="00CA7CBF" w:rsidP="00F0622C">
            <w:pPr>
              <w:cnfStyle w:val="000000010000" w:firstRow="0" w:lastRow="0" w:firstColumn="0" w:lastColumn="0" w:oddVBand="0" w:evenVBand="0" w:oddHBand="0" w:evenHBand="1" w:firstRowFirstColumn="0" w:firstRowLastColumn="0" w:lastRowFirstColumn="0" w:lastRowLastColumn="0"/>
            </w:pPr>
            <w:r w:rsidRPr="007000CF">
              <w:t>293</w:t>
            </w:r>
          </w:p>
        </w:tc>
        <w:tc>
          <w:tcPr>
            <w:tcW w:w="1134" w:type="dxa"/>
            <w:noWrap/>
          </w:tcPr>
          <w:p w:rsidR="00CA7CBF" w:rsidRPr="007B2458" w:rsidRDefault="00CA7CBF" w:rsidP="00F0622C">
            <w:pPr>
              <w:cnfStyle w:val="000000010000" w:firstRow="0" w:lastRow="0" w:firstColumn="0" w:lastColumn="0" w:oddVBand="0" w:evenVBand="0" w:oddHBand="0" w:evenHBand="1" w:firstRowFirstColumn="0" w:firstRowLastColumn="0" w:lastRowFirstColumn="0" w:lastRowLastColumn="0"/>
            </w:pPr>
            <w:r w:rsidRPr="007000CF">
              <w:t>286</w:t>
            </w:r>
          </w:p>
        </w:tc>
        <w:tc>
          <w:tcPr>
            <w:tcW w:w="1275" w:type="dxa"/>
            <w:noWrap/>
          </w:tcPr>
          <w:p w:rsidR="00CA7CBF" w:rsidRPr="007B2458" w:rsidRDefault="00CA7CBF" w:rsidP="00F0622C">
            <w:pPr>
              <w:cnfStyle w:val="000000010000" w:firstRow="0" w:lastRow="0" w:firstColumn="0" w:lastColumn="0" w:oddVBand="0" w:evenVBand="0" w:oddHBand="0" w:evenHBand="1" w:firstRowFirstColumn="0" w:firstRowLastColumn="0" w:lastRowFirstColumn="0" w:lastRowLastColumn="0"/>
            </w:pPr>
            <w:r w:rsidRPr="007000CF">
              <w:t>279</w:t>
            </w:r>
          </w:p>
        </w:tc>
        <w:tc>
          <w:tcPr>
            <w:tcW w:w="1134" w:type="dxa"/>
            <w:noWrap/>
          </w:tcPr>
          <w:p w:rsidR="00CA7CBF" w:rsidRPr="007B2458" w:rsidRDefault="00CA7CBF" w:rsidP="00F0622C">
            <w:pPr>
              <w:cnfStyle w:val="000000010000" w:firstRow="0" w:lastRow="0" w:firstColumn="0" w:lastColumn="0" w:oddVBand="0" w:evenVBand="0" w:oddHBand="0" w:evenHBand="1" w:firstRowFirstColumn="0" w:firstRowLastColumn="0" w:lastRowFirstColumn="0" w:lastRowLastColumn="0"/>
            </w:pPr>
            <w:r w:rsidRPr="007000CF">
              <w:t>273</w:t>
            </w:r>
          </w:p>
        </w:tc>
      </w:tr>
      <w:tr w:rsidR="00DA24FF" w:rsidRPr="0018218B" w:rsidTr="000B5499">
        <w:trPr>
          <w:trHeight w:val="300"/>
        </w:trPr>
        <w:tc>
          <w:tcPr>
            <w:cnfStyle w:val="001000000000" w:firstRow="0" w:lastRow="0" w:firstColumn="1" w:lastColumn="0" w:oddVBand="0" w:evenVBand="0" w:oddHBand="0" w:evenHBand="0" w:firstRowFirstColumn="0" w:firstRowLastColumn="0" w:lastRowFirstColumn="0" w:lastRowLastColumn="0"/>
            <w:tcW w:w="2866" w:type="dxa"/>
            <w:noWrap/>
          </w:tcPr>
          <w:p w:rsidR="00DA24FF" w:rsidRPr="005312DB" w:rsidRDefault="00DA24FF" w:rsidP="000B5499">
            <w:pPr>
              <w:rPr>
                <w:b/>
              </w:rPr>
            </w:pPr>
            <w:r>
              <w:rPr>
                <w:b/>
              </w:rPr>
              <w:t xml:space="preserve">Tariff D </w:t>
            </w:r>
            <w:r w:rsidRPr="005312DB">
              <w:rPr>
                <w:b/>
              </w:rPr>
              <w:t>total consumption</w:t>
            </w:r>
          </w:p>
        </w:tc>
        <w:tc>
          <w:tcPr>
            <w:tcW w:w="1070" w:type="dxa"/>
            <w:noWrap/>
            <w:vAlign w:val="bottom"/>
          </w:tcPr>
          <w:p w:rsidR="00DA24FF" w:rsidRPr="007B2458" w:rsidRDefault="00DA24FF" w:rsidP="007B2458">
            <w:pPr>
              <w:cnfStyle w:val="000000000000" w:firstRow="0" w:lastRow="0" w:firstColumn="0" w:lastColumn="0" w:oddVBand="0" w:evenVBand="0" w:oddHBand="0" w:evenHBand="0" w:firstRowFirstColumn="0" w:firstRowLastColumn="0" w:lastRowFirstColumn="0" w:lastRowLastColumn="0"/>
            </w:pPr>
          </w:p>
        </w:tc>
        <w:tc>
          <w:tcPr>
            <w:tcW w:w="1134" w:type="dxa"/>
            <w:noWrap/>
            <w:vAlign w:val="bottom"/>
          </w:tcPr>
          <w:p w:rsidR="00DA24FF" w:rsidRPr="007B2458" w:rsidRDefault="00DA24FF" w:rsidP="007B2458">
            <w:pPr>
              <w:cnfStyle w:val="000000000000" w:firstRow="0" w:lastRow="0" w:firstColumn="0" w:lastColumn="0" w:oddVBand="0" w:evenVBand="0" w:oddHBand="0" w:evenHBand="0" w:firstRowFirstColumn="0" w:firstRowLastColumn="0" w:lastRowFirstColumn="0" w:lastRowLastColumn="0"/>
            </w:pPr>
          </w:p>
        </w:tc>
        <w:tc>
          <w:tcPr>
            <w:tcW w:w="1134" w:type="dxa"/>
            <w:noWrap/>
            <w:vAlign w:val="bottom"/>
          </w:tcPr>
          <w:p w:rsidR="00DA24FF" w:rsidRPr="007B2458" w:rsidRDefault="00DA24FF" w:rsidP="007B2458">
            <w:pPr>
              <w:cnfStyle w:val="000000000000" w:firstRow="0" w:lastRow="0" w:firstColumn="0" w:lastColumn="0" w:oddVBand="0" w:evenVBand="0" w:oddHBand="0" w:evenHBand="0" w:firstRowFirstColumn="0" w:firstRowLastColumn="0" w:lastRowFirstColumn="0" w:lastRowLastColumn="0"/>
            </w:pPr>
          </w:p>
        </w:tc>
        <w:tc>
          <w:tcPr>
            <w:tcW w:w="1275" w:type="dxa"/>
            <w:noWrap/>
            <w:vAlign w:val="bottom"/>
          </w:tcPr>
          <w:p w:rsidR="00DA24FF" w:rsidRPr="007B2458" w:rsidRDefault="00DA24FF" w:rsidP="007B2458">
            <w:pPr>
              <w:cnfStyle w:val="000000000000" w:firstRow="0" w:lastRow="0" w:firstColumn="0" w:lastColumn="0" w:oddVBand="0" w:evenVBand="0" w:oddHBand="0" w:evenHBand="0" w:firstRowFirstColumn="0" w:firstRowLastColumn="0" w:lastRowFirstColumn="0" w:lastRowLastColumn="0"/>
            </w:pPr>
          </w:p>
        </w:tc>
        <w:tc>
          <w:tcPr>
            <w:tcW w:w="1134" w:type="dxa"/>
            <w:noWrap/>
            <w:vAlign w:val="bottom"/>
          </w:tcPr>
          <w:p w:rsidR="00DA24FF" w:rsidRPr="007B2458" w:rsidRDefault="00DA24FF" w:rsidP="007B2458">
            <w:pPr>
              <w:cnfStyle w:val="000000000000" w:firstRow="0" w:lastRow="0" w:firstColumn="0" w:lastColumn="0" w:oddVBand="0" w:evenVBand="0" w:oddHBand="0" w:evenHBand="0" w:firstRowFirstColumn="0" w:firstRowLastColumn="0" w:lastRowFirstColumn="0" w:lastRowLastColumn="0"/>
            </w:pPr>
          </w:p>
        </w:tc>
      </w:tr>
      <w:tr w:rsidR="00427D3A" w:rsidRPr="0018218B" w:rsidTr="000B549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6" w:type="dxa"/>
            <w:noWrap/>
          </w:tcPr>
          <w:p w:rsidR="00427D3A" w:rsidRPr="009210A8" w:rsidRDefault="00427D3A" w:rsidP="000B5499">
            <w:r>
              <w:t>Total consumption</w:t>
            </w:r>
          </w:p>
        </w:tc>
        <w:tc>
          <w:tcPr>
            <w:tcW w:w="1070" w:type="dxa"/>
            <w:noWrap/>
            <w:vAlign w:val="bottom"/>
          </w:tcPr>
          <w:p w:rsidR="00427D3A" w:rsidRPr="007B2458" w:rsidRDefault="00427D3A" w:rsidP="007B2458">
            <w:pPr>
              <w:cnfStyle w:val="000000010000" w:firstRow="0" w:lastRow="0" w:firstColumn="0" w:lastColumn="0" w:oddVBand="0" w:evenVBand="0" w:oddHBand="0" w:evenHBand="1" w:firstRowFirstColumn="0" w:firstRowLastColumn="0" w:lastRowFirstColumn="0" w:lastRowLastColumn="0"/>
            </w:pPr>
            <w:r w:rsidRPr="007000CF">
              <w:t xml:space="preserve">9,285,305 </w:t>
            </w:r>
          </w:p>
        </w:tc>
        <w:tc>
          <w:tcPr>
            <w:tcW w:w="1134" w:type="dxa"/>
            <w:noWrap/>
            <w:vAlign w:val="bottom"/>
          </w:tcPr>
          <w:p w:rsidR="00427D3A" w:rsidRPr="007B2458" w:rsidRDefault="00427D3A" w:rsidP="007B2458">
            <w:pPr>
              <w:jc w:val="center"/>
              <w:cnfStyle w:val="000000010000" w:firstRow="0" w:lastRow="0" w:firstColumn="0" w:lastColumn="0" w:oddVBand="0" w:evenVBand="0" w:oddHBand="0" w:evenHBand="1" w:firstRowFirstColumn="0" w:firstRowLastColumn="0" w:lastRowFirstColumn="0" w:lastRowLastColumn="0"/>
            </w:pPr>
            <w:r w:rsidRPr="007000CF">
              <w:t xml:space="preserve">9,123,112 </w:t>
            </w:r>
          </w:p>
        </w:tc>
        <w:tc>
          <w:tcPr>
            <w:tcW w:w="1134" w:type="dxa"/>
            <w:noWrap/>
            <w:vAlign w:val="bottom"/>
          </w:tcPr>
          <w:p w:rsidR="00427D3A" w:rsidRPr="007B2458" w:rsidRDefault="00427D3A" w:rsidP="007B2458">
            <w:pPr>
              <w:cnfStyle w:val="000000010000" w:firstRow="0" w:lastRow="0" w:firstColumn="0" w:lastColumn="0" w:oddVBand="0" w:evenVBand="0" w:oddHBand="0" w:evenHBand="1" w:firstRowFirstColumn="0" w:firstRowLastColumn="0" w:lastRowFirstColumn="0" w:lastRowLastColumn="0"/>
            </w:pPr>
            <w:r w:rsidRPr="007000CF">
              <w:t xml:space="preserve">8,956,731 </w:t>
            </w:r>
          </w:p>
        </w:tc>
        <w:tc>
          <w:tcPr>
            <w:tcW w:w="1275" w:type="dxa"/>
            <w:noWrap/>
            <w:vAlign w:val="bottom"/>
          </w:tcPr>
          <w:p w:rsidR="00427D3A" w:rsidRPr="007B2458" w:rsidRDefault="00427D3A" w:rsidP="007B2458">
            <w:pPr>
              <w:jc w:val="center"/>
              <w:cnfStyle w:val="000000010000" w:firstRow="0" w:lastRow="0" w:firstColumn="0" w:lastColumn="0" w:oddVBand="0" w:evenVBand="0" w:oddHBand="0" w:evenHBand="1" w:firstRowFirstColumn="0" w:firstRowLastColumn="0" w:lastRowFirstColumn="0" w:lastRowLastColumn="0"/>
            </w:pPr>
            <w:r w:rsidRPr="007000CF">
              <w:t xml:space="preserve">8,798,468 </w:t>
            </w:r>
          </w:p>
        </w:tc>
        <w:tc>
          <w:tcPr>
            <w:tcW w:w="1134" w:type="dxa"/>
            <w:noWrap/>
            <w:vAlign w:val="bottom"/>
          </w:tcPr>
          <w:p w:rsidR="00427D3A" w:rsidRPr="007B2458" w:rsidRDefault="00427D3A" w:rsidP="007B2458">
            <w:pPr>
              <w:jc w:val="center"/>
              <w:cnfStyle w:val="000000010000" w:firstRow="0" w:lastRow="0" w:firstColumn="0" w:lastColumn="0" w:oddVBand="0" w:evenVBand="0" w:oddHBand="0" w:evenHBand="1" w:firstRowFirstColumn="0" w:firstRowLastColumn="0" w:lastRowFirstColumn="0" w:lastRowLastColumn="0"/>
            </w:pPr>
            <w:r w:rsidRPr="007000CF">
              <w:t xml:space="preserve">8,656,418 </w:t>
            </w:r>
          </w:p>
        </w:tc>
      </w:tr>
      <w:tr w:rsidR="000F2973" w:rsidRPr="00F0622C" w:rsidTr="000B5499">
        <w:trPr>
          <w:trHeight w:val="300"/>
        </w:trPr>
        <w:tc>
          <w:tcPr>
            <w:cnfStyle w:val="001000000000" w:firstRow="0" w:lastRow="0" w:firstColumn="1" w:lastColumn="0" w:oddVBand="0" w:evenVBand="0" w:oddHBand="0" w:evenHBand="0" w:firstRowFirstColumn="0" w:firstRowLastColumn="0" w:lastRowFirstColumn="0" w:lastRowLastColumn="0"/>
            <w:tcW w:w="2866" w:type="dxa"/>
            <w:noWrap/>
          </w:tcPr>
          <w:p w:rsidR="000F2973" w:rsidRPr="00F0622C" w:rsidRDefault="000F2973" w:rsidP="000B5499">
            <w:r w:rsidRPr="00F0622C">
              <w:t>MDQ</w:t>
            </w:r>
          </w:p>
        </w:tc>
        <w:tc>
          <w:tcPr>
            <w:tcW w:w="1070" w:type="dxa"/>
            <w:noWrap/>
            <w:vAlign w:val="bottom"/>
          </w:tcPr>
          <w:p w:rsidR="000F2973" w:rsidRPr="00F0622C" w:rsidRDefault="000F2973" w:rsidP="007B2458">
            <w:pPr>
              <w:cnfStyle w:val="000000000000" w:firstRow="0" w:lastRow="0" w:firstColumn="0" w:lastColumn="0" w:oddVBand="0" w:evenVBand="0" w:oddHBand="0" w:evenHBand="0" w:firstRowFirstColumn="0" w:firstRowLastColumn="0" w:lastRowFirstColumn="0" w:lastRowLastColumn="0"/>
            </w:pPr>
            <w:r w:rsidRPr="00F0622C">
              <w:rPr>
                <w:rFonts w:cs="Arial"/>
                <w:color w:val="000000"/>
                <w:szCs w:val="16"/>
              </w:rPr>
              <w:t xml:space="preserve">60.57 </w:t>
            </w:r>
          </w:p>
        </w:tc>
        <w:tc>
          <w:tcPr>
            <w:tcW w:w="1134" w:type="dxa"/>
            <w:noWrap/>
            <w:vAlign w:val="bottom"/>
          </w:tcPr>
          <w:p w:rsidR="000F2973" w:rsidRPr="00F0622C" w:rsidRDefault="000F2973" w:rsidP="007B2458">
            <w:pPr>
              <w:cnfStyle w:val="000000000000" w:firstRow="0" w:lastRow="0" w:firstColumn="0" w:lastColumn="0" w:oddVBand="0" w:evenVBand="0" w:oddHBand="0" w:evenHBand="0" w:firstRowFirstColumn="0" w:firstRowLastColumn="0" w:lastRowFirstColumn="0" w:lastRowLastColumn="0"/>
            </w:pPr>
            <w:r w:rsidRPr="00F0622C">
              <w:rPr>
                <w:rFonts w:cs="Arial"/>
                <w:color w:val="000000"/>
                <w:szCs w:val="16"/>
              </w:rPr>
              <w:t xml:space="preserve">56.96 </w:t>
            </w:r>
          </w:p>
        </w:tc>
        <w:tc>
          <w:tcPr>
            <w:tcW w:w="1134" w:type="dxa"/>
            <w:noWrap/>
            <w:vAlign w:val="bottom"/>
          </w:tcPr>
          <w:p w:rsidR="000F2973" w:rsidRPr="00F0622C" w:rsidRDefault="000F2973" w:rsidP="007B2458">
            <w:pPr>
              <w:cnfStyle w:val="000000000000" w:firstRow="0" w:lastRow="0" w:firstColumn="0" w:lastColumn="0" w:oddVBand="0" w:evenVBand="0" w:oddHBand="0" w:evenHBand="0" w:firstRowFirstColumn="0" w:firstRowLastColumn="0" w:lastRowFirstColumn="0" w:lastRowLastColumn="0"/>
            </w:pPr>
            <w:r w:rsidRPr="00F0622C">
              <w:rPr>
                <w:rFonts w:cs="Arial"/>
                <w:color w:val="000000"/>
                <w:szCs w:val="16"/>
              </w:rPr>
              <w:t xml:space="preserve">56.59 </w:t>
            </w:r>
          </w:p>
        </w:tc>
        <w:tc>
          <w:tcPr>
            <w:tcW w:w="1275" w:type="dxa"/>
            <w:noWrap/>
            <w:vAlign w:val="bottom"/>
          </w:tcPr>
          <w:p w:rsidR="000F2973" w:rsidRPr="00F0622C" w:rsidRDefault="000F2973" w:rsidP="007B2458">
            <w:pPr>
              <w:cnfStyle w:val="000000000000" w:firstRow="0" w:lastRow="0" w:firstColumn="0" w:lastColumn="0" w:oddVBand="0" w:evenVBand="0" w:oddHBand="0" w:evenHBand="0" w:firstRowFirstColumn="0" w:firstRowLastColumn="0" w:lastRowFirstColumn="0" w:lastRowLastColumn="0"/>
            </w:pPr>
            <w:r w:rsidRPr="00F0622C">
              <w:rPr>
                <w:rFonts w:cs="Arial"/>
                <w:color w:val="000000"/>
                <w:szCs w:val="16"/>
              </w:rPr>
              <w:t xml:space="preserve">56.27 </w:t>
            </w:r>
          </w:p>
        </w:tc>
        <w:tc>
          <w:tcPr>
            <w:tcW w:w="1134" w:type="dxa"/>
            <w:noWrap/>
            <w:vAlign w:val="bottom"/>
          </w:tcPr>
          <w:p w:rsidR="000F2973" w:rsidRPr="00F0622C" w:rsidRDefault="000F2973" w:rsidP="007B2458">
            <w:pPr>
              <w:jc w:val="center"/>
              <w:cnfStyle w:val="000000000000" w:firstRow="0" w:lastRow="0" w:firstColumn="0" w:lastColumn="0" w:oddVBand="0" w:evenVBand="0" w:oddHBand="0" w:evenHBand="0" w:firstRowFirstColumn="0" w:firstRowLastColumn="0" w:lastRowFirstColumn="0" w:lastRowLastColumn="0"/>
            </w:pPr>
            <w:r w:rsidRPr="00F0622C">
              <w:rPr>
                <w:rFonts w:cs="Arial"/>
                <w:color w:val="000000"/>
                <w:szCs w:val="16"/>
              </w:rPr>
              <w:t xml:space="preserve">56.04 </w:t>
            </w:r>
          </w:p>
        </w:tc>
      </w:tr>
      <w:tr w:rsidR="000F2973" w:rsidRPr="002F29AA" w:rsidTr="000B549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6" w:type="dxa"/>
            <w:noWrap/>
          </w:tcPr>
          <w:p w:rsidR="000F2973" w:rsidRPr="00F0622C" w:rsidRDefault="000F2973" w:rsidP="000B5499">
            <w:r w:rsidRPr="00F0622C">
              <w:t>ACQ (GJ)</w:t>
            </w:r>
          </w:p>
        </w:tc>
        <w:tc>
          <w:tcPr>
            <w:tcW w:w="1070" w:type="dxa"/>
            <w:noWrap/>
            <w:vAlign w:val="bottom"/>
          </w:tcPr>
          <w:p w:rsidR="000F2973" w:rsidRPr="00F0622C" w:rsidRDefault="000F2973" w:rsidP="007B2458">
            <w:pPr>
              <w:jc w:val="center"/>
              <w:cnfStyle w:val="000000010000" w:firstRow="0" w:lastRow="0" w:firstColumn="0" w:lastColumn="0" w:oddVBand="0" w:evenVBand="0" w:oddHBand="0" w:evenHBand="1" w:firstRowFirstColumn="0" w:firstRowLastColumn="0" w:lastRowFirstColumn="0" w:lastRowLastColumn="0"/>
            </w:pPr>
            <w:r w:rsidRPr="00F0622C">
              <w:rPr>
                <w:rFonts w:cs="Arial"/>
                <w:color w:val="000000"/>
                <w:szCs w:val="16"/>
              </w:rPr>
              <w:t xml:space="preserve">11,801,188 </w:t>
            </w:r>
          </w:p>
        </w:tc>
        <w:tc>
          <w:tcPr>
            <w:tcW w:w="1134" w:type="dxa"/>
            <w:noWrap/>
            <w:vAlign w:val="bottom"/>
          </w:tcPr>
          <w:p w:rsidR="000F2973" w:rsidRPr="00F0622C" w:rsidRDefault="000F2973" w:rsidP="007B2458">
            <w:pPr>
              <w:jc w:val="center"/>
              <w:cnfStyle w:val="000000010000" w:firstRow="0" w:lastRow="0" w:firstColumn="0" w:lastColumn="0" w:oddVBand="0" w:evenVBand="0" w:oddHBand="0" w:evenHBand="1" w:firstRowFirstColumn="0" w:firstRowLastColumn="0" w:lastRowFirstColumn="0" w:lastRowLastColumn="0"/>
            </w:pPr>
            <w:r w:rsidRPr="00F0622C">
              <w:rPr>
                <w:rFonts w:cs="Arial"/>
                <w:color w:val="000000"/>
                <w:szCs w:val="16"/>
              </w:rPr>
              <w:t xml:space="preserve">11,352,437 </w:t>
            </w:r>
          </w:p>
        </w:tc>
        <w:tc>
          <w:tcPr>
            <w:tcW w:w="1134" w:type="dxa"/>
            <w:noWrap/>
            <w:vAlign w:val="bottom"/>
          </w:tcPr>
          <w:p w:rsidR="000F2973" w:rsidRPr="00F0622C" w:rsidRDefault="000F2973" w:rsidP="007B2458">
            <w:pPr>
              <w:cnfStyle w:val="000000010000" w:firstRow="0" w:lastRow="0" w:firstColumn="0" w:lastColumn="0" w:oddVBand="0" w:evenVBand="0" w:oddHBand="0" w:evenHBand="1" w:firstRowFirstColumn="0" w:firstRowLastColumn="0" w:lastRowFirstColumn="0" w:lastRowLastColumn="0"/>
            </w:pPr>
            <w:r w:rsidRPr="00F0622C">
              <w:rPr>
                <w:rFonts w:cs="Arial"/>
                <w:color w:val="000000"/>
                <w:szCs w:val="16"/>
              </w:rPr>
              <w:t xml:space="preserve">11,190,175 </w:t>
            </w:r>
          </w:p>
        </w:tc>
        <w:tc>
          <w:tcPr>
            <w:tcW w:w="1275" w:type="dxa"/>
            <w:noWrap/>
            <w:vAlign w:val="bottom"/>
          </w:tcPr>
          <w:p w:rsidR="000F2973" w:rsidRPr="00F0622C" w:rsidRDefault="000F2973" w:rsidP="007B2458">
            <w:pPr>
              <w:cnfStyle w:val="000000010000" w:firstRow="0" w:lastRow="0" w:firstColumn="0" w:lastColumn="0" w:oddVBand="0" w:evenVBand="0" w:oddHBand="0" w:evenHBand="1" w:firstRowFirstColumn="0" w:firstRowLastColumn="0" w:lastRowFirstColumn="0" w:lastRowLastColumn="0"/>
            </w:pPr>
            <w:r w:rsidRPr="00F0622C">
              <w:rPr>
                <w:rFonts w:cs="Arial"/>
                <w:color w:val="000000"/>
                <w:szCs w:val="16"/>
              </w:rPr>
              <w:t xml:space="preserve">11,052,034 </w:t>
            </w:r>
          </w:p>
        </w:tc>
        <w:tc>
          <w:tcPr>
            <w:tcW w:w="1134" w:type="dxa"/>
            <w:noWrap/>
            <w:vAlign w:val="bottom"/>
          </w:tcPr>
          <w:p w:rsidR="000F2973" w:rsidRPr="00F0622C" w:rsidRDefault="000F2973" w:rsidP="007B2458">
            <w:pPr>
              <w:cnfStyle w:val="000000010000" w:firstRow="0" w:lastRow="0" w:firstColumn="0" w:lastColumn="0" w:oddVBand="0" w:evenVBand="0" w:oddHBand="0" w:evenHBand="1" w:firstRowFirstColumn="0" w:firstRowLastColumn="0" w:lastRowFirstColumn="0" w:lastRowLastColumn="0"/>
            </w:pPr>
            <w:r w:rsidRPr="00F0622C">
              <w:rPr>
                <w:rFonts w:cs="Arial"/>
                <w:color w:val="000000"/>
                <w:szCs w:val="16"/>
              </w:rPr>
              <w:t xml:space="preserve">10,931,438 </w:t>
            </w:r>
          </w:p>
        </w:tc>
      </w:tr>
    </w:tbl>
    <w:p w:rsidR="000B5499" w:rsidRDefault="000B5499" w:rsidP="000B5499">
      <w:pPr>
        <w:pStyle w:val="AERtablesource"/>
      </w:pPr>
      <w:r>
        <w:t>Source: AER analysis.</w:t>
      </w:r>
    </w:p>
    <w:p w:rsidR="00010106" w:rsidRPr="00010106" w:rsidRDefault="00010106" w:rsidP="00010106">
      <w:pPr>
        <w:pStyle w:val="AERtablesource"/>
      </w:pPr>
      <w:r>
        <w:t xml:space="preserve">Notes: a. </w:t>
      </w:r>
      <w:proofErr w:type="gramStart"/>
      <w:r>
        <w:t>This</w:t>
      </w:r>
      <w:proofErr w:type="gramEnd"/>
      <w:r>
        <w:t xml:space="preserve"> also accounts for the transfer from Tariff D.</w:t>
      </w:r>
    </w:p>
    <w:p w:rsidR="000B5499" w:rsidRPr="00F0622C" w:rsidRDefault="000B5499">
      <w:pPr>
        <w:pStyle w:val="Caption"/>
      </w:pPr>
      <w:bookmarkStart w:id="15" w:name="_Ref420067884"/>
      <w:proofErr w:type="gramStart"/>
      <w:r w:rsidRPr="00F0622C">
        <w:t xml:space="preserve">Table </w:t>
      </w:r>
      <w:proofErr w:type="gramEnd"/>
      <w:r w:rsidR="00EB5111">
        <w:fldChar w:fldCharType="begin"/>
      </w:r>
      <w:r w:rsidR="00EB5111">
        <w:instrText xml:space="preserve"> STYLEREF 1 \s </w:instrText>
      </w:r>
      <w:r w:rsidR="00EB5111">
        <w:fldChar w:fldCharType="separate"/>
      </w:r>
      <w:r w:rsidRPr="00F0622C">
        <w:rPr>
          <w:noProof/>
        </w:rPr>
        <w:t>13</w:t>
      </w:r>
      <w:r w:rsidR="00EB5111">
        <w:rPr>
          <w:noProof/>
        </w:rPr>
        <w:fldChar w:fldCharType="end"/>
      </w:r>
      <w:proofErr w:type="gramStart"/>
      <w:r w:rsidR="00D41EDB">
        <w:rPr>
          <w:noProof/>
        </w:rPr>
        <w:t>.</w:t>
      </w:r>
      <w:proofErr w:type="gramEnd"/>
      <w:r w:rsidR="00EB5111">
        <w:fldChar w:fldCharType="begin"/>
      </w:r>
      <w:r w:rsidR="00EB5111">
        <w:instrText xml:space="preserve"> SEQ Table \* ARABIC \s 1 </w:instrText>
      </w:r>
      <w:r w:rsidR="00EB5111">
        <w:fldChar w:fldCharType="separate"/>
      </w:r>
      <w:r w:rsidRPr="00F0622C">
        <w:rPr>
          <w:noProof/>
        </w:rPr>
        <w:t>2</w:t>
      </w:r>
      <w:r w:rsidR="00EB5111">
        <w:rPr>
          <w:noProof/>
        </w:rPr>
        <w:fldChar w:fldCharType="end"/>
      </w:r>
      <w:bookmarkEnd w:id="15"/>
      <w:r w:rsidRPr="00F0622C">
        <w:tab/>
      </w:r>
      <w:r w:rsidRPr="00F0622C">
        <w:tab/>
      </w:r>
      <w:r w:rsidR="00010106" w:rsidRPr="00F0622C">
        <w:t>D</w:t>
      </w:r>
      <w:r w:rsidRPr="00F0622C">
        <w:t xml:space="preserve">raft decision total connections, new connections and disconnection numbers </w:t>
      </w:r>
    </w:p>
    <w:tbl>
      <w:tblPr>
        <w:tblStyle w:val="AERtable-numbers"/>
        <w:tblW w:w="5000" w:type="pct"/>
        <w:tblLayout w:type="fixed"/>
        <w:tblLook w:val="04A0" w:firstRow="1" w:lastRow="0" w:firstColumn="1" w:lastColumn="0" w:noHBand="0" w:noVBand="1"/>
      </w:tblPr>
      <w:tblGrid>
        <w:gridCol w:w="3255"/>
        <w:gridCol w:w="1087"/>
        <w:gridCol w:w="1088"/>
        <w:gridCol w:w="1088"/>
        <w:gridCol w:w="1088"/>
        <w:gridCol w:w="1087"/>
      </w:tblGrid>
      <w:tr w:rsidR="000B5499" w:rsidRPr="00F0622C" w:rsidTr="00DA24F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872" w:type="pct"/>
            <w:noWrap/>
            <w:hideMark/>
          </w:tcPr>
          <w:p w:rsidR="000B5499" w:rsidRPr="00F0622C" w:rsidRDefault="000B5499">
            <w:pPr>
              <w:keepNext/>
            </w:pPr>
          </w:p>
        </w:tc>
        <w:tc>
          <w:tcPr>
            <w:tcW w:w="625" w:type="pct"/>
            <w:noWrap/>
            <w:hideMark/>
          </w:tcPr>
          <w:p w:rsidR="000B5499" w:rsidRPr="00F0622C" w:rsidRDefault="000B5499">
            <w:pPr>
              <w:keepNext/>
              <w:cnfStyle w:val="100000000000" w:firstRow="1" w:lastRow="0" w:firstColumn="0" w:lastColumn="0" w:oddVBand="0" w:evenVBand="0" w:oddHBand="0" w:evenHBand="0" w:firstRowFirstColumn="0" w:firstRowLastColumn="0" w:lastRowFirstColumn="0" w:lastRowLastColumn="0"/>
            </w:pPr>
            <w:r w:rsidRPr="00F0622C">
              <w:t>2016–17</w:t>
            </w:r>
          </w:p>
        </w:tc>
        <w:tc>
          <w:tcPr>
            <w:tcW w:w="626" w:type="pct"/>
            <w:noWrap/>
            <w:hideMark/>
          </w:tcPr>
          <w:p w:rsidR="000B5499" w:rsidRPr="00F0622C" w:rsidRDefault="000B5499">
            <w:pPr>
              <w:keepNext/>
              <w:cnfStyle w:val="100000000000" w:firstRow="1" w:lastRow="0" w:firstColumn="0" w:lastColumn="0" w:oddVBand="0" w:evenVBand="0" w:oddHBand="0" w:evenHBand="0" w:firstRowFirstColumn="0" w:firstRowLastColumn="0" w:lastRowFirstColumn="0" w:lastRowLastColumn="0"/>
            </w:pPr>
            <w:r w:rsidRPr="00F0622C">
              <w:t>2017–18</w:t>
            </w:r>
          </w:p>
        </w:tc>
        <w:tc>
          <w:tcPr>
            <w:tcW w:w="626" w:type="pct"/>
            <w:noWrap/>
            <w:hideMark/>
          </w:tcPr>
          <w:p w:rsidR="000B5499" w:rsidRPr="00F0622C" w:rsidRDefault="000B5499">
            <w:pPr>
              <w:keepNext/>
              <w:cnfStyle w:val="100000000000" w:firstRow="1" w:lastRow="0" w:firstColumn="0" w:lastColumn="0" w:oddVBand="0" w:evenVBand="0" w:oddHBand="0" w:evenHBand="0" w:firstRowFirstColumn="0" w:firstRowLastColumn="0" w:lastRowFirstColumn="0" w:lastRowLastColumn="0"/>
            </w:pPr>
            <w:r w:rsidRPr="00F0622C">
              <w:t>2018–19</w:t>
            </w:r>
          </w:p>
        </w:tc>
        <w:tc>
          <w:tcPr>
            <w:tcW w:w="626" w:type="pct"/>
            <w:noWrap/>
            <w:hideMark/>
          </w:tcPr>
          <w:p w:rsidR="000B5499" w:rsidRPr="00F0622C" w:rsidRDefault="000B5499">
            <w:pPr>
              <w:keepNext/>
              <w:cnfStyle w:val="100000000000" w:firstRow="1" w:lastRow="0" w:firstColumn="0" w:lastColumn="0" w:oddVBand="0" w:evenVBand="0" w:oddHBand="0" w:evenHBand="0" w:firstRowFirstColumn="0" w:firstRowLastColumn="0" w:lastRowFirstColumn="0" w:lastRowLastColumn="0"/>
            </w:pPr>
            <w:r w:rsidRPr="00F0622C">
              <w:t>2019–20</w:t>
            </w:r>
          </w:p>
        </w:tc>
        <w:tc>
          <w:tcPr>
            <w:tcW w:w="625" w:type="pct"/>
            <w:noWrap/>
            <w:hideMark/>
          </w:tcPr>
          <w:p w:rsidR="000B5499" w:rsidRPr="00F0622C" w:rsidRDefault="000B5499">
            <w:pPr>
              <w:keepNext/>
              <w:cnfStyle w:val="100000000000" w:firstRow="1" w:lastRow="0" w:firstColumn="0" w:lastColumn="0" w:oddVBand="0" w:evenVBand="0" w:oddHBand="0" w:evenHBand="0" w:firstRowFirstColumn="0" w:firstRowLastColumn="0" w:lastRowFirstColumn="0" w:lastRowLastColumn="0"/>
            </w:pPr>
            <w:r w:rsidRPr="00F0622C">
              <w:t>2020–21</w:t>
            </w:r>
          </w:p>
        </w:tc>
      </w:tr>
      <w:tr w:rsidR="000B5499" w:rsidRPr="00F0622C" w:rsidTr="00DA24FF">
        <w:trPr>
          <w:trHeight w:val="300"/>
        </w:trPr>
        <w:tc>
          <w:tcPr>
            <w:cnfStyle w:val="001000000000" w:firstRow="0" w:lastRow="0" w:firstColumn="1" w:lastColumn="0" w:oddVBand="0" w:evenVBand="0" w:oddHBand="0" w:evenHBand="0" w:firstRowFirstColumn="0" w:firstRowLastColumn="0" w:lastRowFirstColumn="0" w:lastRowLastColumn="0"/>
            <w:tcW w:w="1872" w:type="pct"/>
            <w:noWrap/>
          </w:tcPr>
          <w:p w:rsidR="000B5499" w:rsidRPr="00F0622C" w:rsidRDefault="000B5499">
            <w:pPr>
              <w:pStyle w:val="HeadingOrange"/>
              <w:keepNext/>
            </w:pPr>
            <w:r w:rsidRPr="00F0622C">
              <w:t>Total connections</w:t>
            </w:r>
          </w:p>
        </w:tc>
        <w:tc>
          <w:tcPr>
            <w:tcW w:w="625" w:type="pct"/>
            <w:noWrap/>
          </w:tcPr>
          <w:p w:rsidR="000B5499" w:rsidRPr="00F0622C" w:rsidRDefault="000B5499" w:rsidP="009B32A4">
            <w:pPr>
              <w:keepNext/>
              <w:cnfStyle w:val="000000000000" w:firstRow="0" w:lastRow="0" w:firstColumn="0" w:lastColumn="0" w:oddVBand="0" w:evenVBand="0" w:oddHBand="0" w:evenHBand="0" w:firstRowFirstColumn="0" w:firstRowLastColumn="0" w:lastRowFirstColumn="0" w:lastRowLastColumn="0"/>
            </w:pPr>
          </w:p>
        </w:tc>
        <w:tc>
          <w:tcPr>
            <w:tcW w:w="626" w:type="pct"/>
            <w:noWrap/>
          </w:tcPr>
          <w:p w:rsidR="000B5499" w:rsidRPr="00F0622C" w:rsidRDefault="000B5499" w:rsidP="009B32A4">
            <w:pPr>
              <w:keepNext/>
              <w:cnfStyle w:val="000000000000" w:firstRow="0" w:lastRow="0" w:firstColumn="0" w:lastColumn="0" w:oddVBand="0" w:evenVBand="0" w:oddHBand="0" w:evenHBand="0" w:firstRowFirstColumn="0" w:firstRowLastColumn="0" w:lastRowFirstColumn="0" w:lastRowLastColumn="0"/>
            </w:pPr>
          </w:p>
        </w:tc>
        <w:tc>
          <w:tcPr>
            <w:tcW w:w="626" w:type="pct"/>
            <w:noWrap/>
          </w:tcPr>
          <w:p w:rsidR="000B5499" w:rsidRPr="00F0622C" w:rsidRDefault="000B5499" w:rsidP="009B32A4">
            <w:pPr>
              <w:keepNext/>
              <w:cnfStyle w:val="000000000000" w:firstRow="0" w:lastRow="0" w:firstColumn="0" w:lastColumn="0" w:oddVBand="0" w:evenVBand="0" w:oddHBand="0" w:evenHBand="0" w:firstRowFirstColumn="0" w:firstRowLastColumn="0" w:lastRowFirstColumn="0" w:lastRowLastColumn="0"/>
            </w:pPr>
          </w:p>
        </w:tc>
        <w:tc>
          <w:tcPr>
            <w:tcW w:w="626" w:type="pct"/>
            <w:noWrap/>
          </w:tcPr>
          <w:p w:rsidR="000B5499" w:rsidRPr="00F0622C" w:rsidRDefault="000B5499" w:rsidP="009B32A4">
            <w:pPr>
              <w:keepNext/>
              <w:cnfStyle w:val="000000000000" w:firstRow="0" w:lastRow="0" w:firstColumn="0" w:lastColumn="0" w:oddVBand="0" w:evenVBand="0" w:oddHBand="0" w:evenHBand="0" w:firstRowFirstColumn="0" w:firstRowLastColumn="0" w:lastRowFirstColumn="0" w:lastRowLastColumn="0"/>
            </w:pPr>
          </w:p>
        </w:tc>
        <w:tc>
          <w:tcPr>
            <w:tcW w:w="625" w:type="pct"/>
            <w:noWrap/>
          </w:tcPr>
          <w:p w:rsidR="000B5499" w:rsidRPr="00F0622C" w:rsidRDefault="000B5499" w:rsidP="009B32A4">
            <w:pPr>
              <w:keepNext/>
              <w:cnfStyle w:val="000000000000" w:firstRow="0" w:lastRow="0" w:firstColumn="0" w:lastColumn="0" w:oddVBand="0" w:evenVBand="0" w:oddHBand="0" w:evenHBand="0" w:firstRowFirstColumn="0" w:firstRowLastColumn="0" w:lastRowFirstColumn="0" w:lastRowLastColumn="0"/>
            </w:pPr>
          </w:p>
        </w:tc>
      </w:tr>
      <w:tr w:rsidR="000F2973" w:rsidRPr="00F0622C" w:rsidTr="00F0622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2" w:type="pct"/>
            <w:noWrap/>
          </w:tcPr>
          <w:p w:rsidR="000F2973" w:rsidRPr="00F0622C" w:rsidRDefault="000F2973">
            <w:pPr>
              <w:keepNext/>
            </w:pPr>
            <w:r w:rsidRPr="00F0622C">
              <w:t>Residential</w:t>
            </w:r>
          </w:p>
        </w:tc>
        <w:tc>
          <w:tcPr>
            <w:tcW w:w="625" w:type="pct"/>
            <w:noWrap/>
            <w:vAlign w:val="bottom"/>
          </w:tcPr>
          <w:p w:rsidR="000F2973" w:rsidRPr="00F0622C" w:rsidRDefault="000F2973" w:rsidP="009B32A4">
            <w:pPr>
              <w:keepNext/>
              <w:cnfStyle w:val="000000010000" w:firstRow="0" w:lastRow="0" w:firstColumn="0" w:lastColumn="0" w:oddVBand="0" w:evenVBand="0" w:oddHBand="0" w:evenHBand="1" w:firstRowFirstColumn="0" w:firstRowLastColumn="0" w:lastRowFirstColumn="0" w:lastRowLastColumn="0"/>
            </w:pPr>
            <w:r w:rsidRPr="00F0622C">
              <w:rPr>
                <w:rFonts w:cs="Arial"/>
                <w:bCs/>
                <w:color w:val="000000"/>
                <w:szCs w:val="16"/>
              </w:rPr>
              <w:t xml:space="preserve">424,321 </w:t>
            </w:r>
          </w:p>
        </w:tc>
        <w:tc>
          <w:tcPr>
            <w:tcW w:w="626" w:type="pct"/>
            <w:noWrap/>
            <w:vAlign w:val="bottom"/>
          </w:tcPr>
          <w:p w:rsidR="000F2973" w:rsidRPr="00F0622C" w:rsidRDefault="000F2973" w:rsidP="009B32A4">
            <w:pPr>
              <w:keepNext/>
              <w:cnfStyle w:val="000000010000" w:firstRow="0" w:lastRow="0" w:firstColumn="0" w:lastColumn="0" w:oddVBand="0" w:evenVBand="0" w:oddHBand="0" w:evenHBand="1" w:firstRowFirstColumn="0" w:firstRowLastColumn="0" w:lastRowFirstColumn="0" w:lastRowLastColumn="0"/>
            </w:pPr>
            <w:r w:rsidRPr="00F0622C">
              <w:rPr>
                <w:rFonts w:cs="Arial"/>
                <w:bCs/>
                <w:color w:val="000000"/>
                <w:szCs w:val="16"/>
              </w:rPr>
              <w:t xml:space="preserve">429,376 </w:t>
            </w:r>
          </w:p>
        </w:tc>
        <w:tc>
          <w:tcPr>
            <w:tcW w:w="626" w:type="pct"/>
            <w:noWrap/>
            <w:vAlign w:val="bottom"/>
          </w:tcPr>
          <w:p w:rsidR="000F2973" w:rsidRPr="00F0622C" w:rsidRDefault="000F2973" w:rsidP="009B32A4">
            <w:pPr>
              <w:keepNext/>
              <w:cnfStyle w:val="000000010000" w:firstRow="0" w:lastRow="0" w:firstColumn="0" w:lastColumn="0" w:oddVBand="0" w:evenVBand="0" w:oddHBand="0" w:evenHBand="1" w:firstRowFirstColumn="0" w:firstRowLastColumn="0" w:lastRowFirstColumn="0" w:lastRowLastColumn="0"/>
            </w:pPr>
            <w:r w:rsidRPr="00F0622C">
              <w:rPr>
                <w:rFonts w:cs="Arial"/>
                <w:bCs/>
                <w:color w:val="000000"/>
                <w:szCs w:val="16"/>
              </w:rPr>
              <w:t xml:space="preserve">434,603 </w:t>
            </w:r>
          </w:p>
        </w:tc>
        <w:tc>
          <w:tcPr>
            <w:tcW w:w="626" w:type="pct"/>
            <w:noWrap/>
            <w:vAlign w:val="bottom"/>
          </w:tcPr>
          <w:p w:rsidR="000F2973" w:rsidRPr="00F0622C" w:rsidRDefault="000F2973" w:rsidP="009B32A4">
            <w:pPr>
              <w:keepNext/>
              <w:cnfStyle w:val="000000010000" w:firstRow="0" w:lastRow="0" w:firstColumn="0" w:lastColumn="0" w:oddVBand="0" w:evenVBand="0" w:oddHBand="0" w:evenHBand="1" w:firstRowFirstColumn="0" w:firstRowLastColumn="0" w:lastRowFirstColumn="0" w:lastRowLastColumn="0"/>
            </w:pPr>
            <w:r w:rsidRPr="00F0622C">
              <w:rPr>
                <w:rFonts w:cs="Arial"/>
                <w:bCs/>
                <w:color w:val="000000"/>
                <w:szCs w:val="16"/>
              </w:rPr>
              <w:t xml:space="preserve">440,208 </w:t>
            </w:r>
          </w:p>
        </w:tc>
        <w:tc>
          <w:tcPr>
            <w:tcW w:w="625" w:type="pct"/>
            <w:noWrap/>
            <w:vAlign w:val="bottom"/>
          </w:tcPr>
          <w:p w:rsidR="000F2973" w:rsidRPr="00F0622C" w:rsidRDefault="000F2973" w:rsidP="009B32A4">
            <w:pPr>
              <w:keepNext/>
              <w:cnfStyle w:val="000000010000" w:firstRow="0" w:lastRow="0" w:firstColumn="0" w:lastColumn="0" w:oddVBand="0" w:evenVBand="0" w:oddHBand="0" w:evenHBand="1" w:firstRowFirstColumn="0" w:firstRowLastColumn="0" w:lastRowFirstColumn="0" w:lastRowLastColumn="0"/>
            </w:pPr>
            <w:r w:rsidRPr="00F0622C">
              <w:rPr>
                <w:rFonts w:cs="Arial"/>
                <w:bCs/>
                <w:color w:val="000000"/>
                <w:szCs w:val="16"/>
              </w:rPr>
              <w:t xml:space="preserve">446,004 </w:t>
            </w:r>
          </w:p>
        </w:tc>
      </w:tr>
      <w:tr w:rsidR="000F2973" w:rsidRPr="00F0622C" w:rsidTr="00F0622C">
        <w:trPr>
          <w:trHeight w:val="300"/>
        </w:trPr>
        <w:tc>
          <w:tcPr>
            <w:cnfStyle w:val="001000000000" w:firstRow="0" w:lastRow="0" w:firstColumn="1" w:lastColumn="0" w:oddVBand="0" w:evenVBand="0" w:oddHBand="0" w:evenHBand="0" w:firstRowFirstColumn="0" w:firstRowLastColumn="0" w:lastRowFirstColumn="0" w:lastRowLastColumn="0"/>
            <w:tcW w:w="1872" w:type="pct"/>
            <w:noWrap/>
          </w:tcPr>
          <w:p w:rsidR="000F2973" w:rsidRPr="00F0622C" w:rsidRDefault="000F2973" w:rsidP="009B32A4">
            <w:pPr>
              <w:keepNext/>
            </w:pPr>
            <w:r w:rsidRPr="00F0622C">
              <w:t xml:space="preserve">Commercial  </w:t>
            </w:r>
          </w:p>
        </w:tc>
        <w:tc>
          <w:tcPr>
            <w:tcW w:w="625" w:type="pct"/>
            <w:noWrap/>
            <w:vAlign w:val="bottom"/>
          </w:tcPr>
          <w:p w:rsidR="000F2973" w:rsidRPr="00F0622C" w:rsidRDefault="000F2973" w:rsidP="009B32A4">
            <w:pPr>
              <w:keepNext/>
              <w:cnfStyle w:val="000000000000" w:firstRow="0" w:lastRow="0" w:firstColumn="0" w:lastColumn="0" w:oddVBand="0" w:evenVBand="0" w:oddHBand="0" w:evenHBand="0" w:firstRowFirstColumn="0" w:firstRowLastColumn="0" w:lastRowFirstColumn="0" w:lastRowLastColumn="0"/>
            </w:pPr>
            <w:r w:rsidRPr="00F0622C">
              <w:rPr>
                <w:rFonts w:cs="Arial"/>
                <w:bCs/>
                <w:color w:val="000000"/>
                <w:szCs w:val="16"/>
              </w:rPr>
              <w:t xml:space="preserve">9,781 </w:t>
            </w:r>
          </w:p>
        </w:tc>
        <w:tc>
          <w:tcPr>
            <w:tcW w:w="626" w:type="pct"/>
            <w:noWrap/>
            <w:vAlign w:val="bottom"/>
          </w:tcPr>
          <w:p w:rsidR="000F2973" w:rsidRPr="00F0622C" w:rsidRDefault="000F2973" w:rsidP="009B32A4">
            <w:pPr>
              <w:keepNext/>
              <w:cnfStyle w:val="000000000000" w:firstRow="0" w:lastRow="0" w:firstColumn="0" w:lastColumn="0" w:oddVBand="0" w:evenVBand="0" w:oddHBand="0" w:evenHBand="0" w:firstRowFirstColumn="0" w:firstRowLastColumn="0" w:lastRowFirstColumn="0" w:lastRowLastColumn="0"/>
            </w:pPr>
            <w:r w:rsidRPr="00F0622C">
              <w:rPr>
                <w:rFonts w:cs="Arial"/>
                <w:bCs/>
                <w:color w:val="000000"/>
                <w:szCs w:val="16"/>
              </w:rPr>
              <w:t xml:space="preserve">9,913 </w:t>
            </w:r>
          </w:p>
        </w:tc>
        <w:tc>
          <w:tcPr>
            <w:tcW w:w="626" w:type="pct"/>
            <w:noWrap/>
            <w:vAlign w:val="bottom"/>
          </w:tcPr>
          <w:p w:rsidR="000F2973" w:rsidRPr="00F0622C" w:rsidRDefault="000F2973" w:rsidP="009B32A4">
            <w:pPr>
              <w:keepNext/>
              <w:cnfStyle w:val="000000000000" w:firstRow="0" w:lastRow="0" w:firstColumn="0" w:lastColumn="0" w:oddVBand="0" w:evenVBand="0" w:oddHBand="0" w:evenHBand="0" w:firstRowFirstColumn="0" w:firstRowLastColumn="0" w:lastRowFirstColumn="0" w:lastRowLastColumn="0"/>
            </w:pPr>
            <w:r w:rsidRPr="00F0622C">
              <w:rPr>
                <w:rFonts w:cs="Arial"/>
                <w:bCs/>
                <w:color w:val="000000"/>
                <w:szCs w:val="16"/>
              </w:rPr>
              <w:t xml:space="preserve">10,086 </w:t>
            </w:r>
          </w:p>
        </w:tc>
        <w:tc>
          <w:tcPr>
            <w:tcW w:w="626" w:type="pct"/>
            <w:noWrap/>
            <w:vAlign w:val="bottom"/>
          </w:tcPr>
          <w:p w:rsidR="000F2973" w:rsidRPr="00F0622C" w:rsidRDefault="000F2973" w:rsidP="009B32A4">
            <w:pPr>
              <w:keepNext/>
              <w:cnfStyle w:val="000000000000" w:firstRow="0" w:lastRow="0" w:firstColumn="0" w:lastColumn="0" w:oddVBand="0" w:evenVBand="0" w:oddHBand="0" w:evenHBand="0" w:firstRowFirstColumn="0" w:firstRowLastColumn="0" w:lastRowFirstColumn="0" w:lastRowLastColumn="0"/>
            </w:pPr>
            <w:r w:rsidRPr="00F0622C">
              <w:rPr>
                <w:rFonts w:cs="Arial"/>
                <w:bCs/>
                <w:color w:val="000000"/>
                <w:szCs w:val="16"/>
              </w:rPr>
              <w:t xml:space="preserve">10,261 </w:t>
            </w:r>
          </w:p>
        </w:tc>
        <w:tc>
          <w:tcPr>
            <w:tcW w:w="625" w:type="pct"/>
            <w:noWrap/>
            <w:vAlign w:val="bottom"/>
          </w:tcPr>
          <w:p w:rsidR="000F2973" w:rsidRPr="00F0622C" w:rsidRDefault="000F2973" w:rsidP="009B32A4">
            <w:pPr>
              <w:keepNext/>
              <w:cnfStyle w:val="000000000000" w:firstRow="0" w:lastRow="0" w:firstColumn="0" w:lastColumn="0" w:oddVBand="0" w:evenVBand="0" w:oddHBand="0" w:evenHBand="0" w:firstRowFirstColumn="0" w:firstRowLastColumn="0" w:lastRowFirstColumn="0" w:lastRowLastColumn="0"/>
            </w:pPr>
            <w:r w:rsidRPr="00F0622C">
              <w:rPr>
                <w:rFonts w:cs="Arial"/>
                <w:bCs/>
                <w:color w:val="000000"/>
                <w:szCs w:val="16"/>
              </w:rPr>
              <w:t xml:space="preserve">10,439 </w:t>
            </w:r>
          </w:p>
        </w:tc>
      </w:tr>
      <w:tr w:rsidR="000F2973" w:rsidRPr="00F0622C" w:rsidTr="007413F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2" w:type="pct"/>
            <w:noWrap/>
          </w:tcPr>
          <w:p w:rsidR="000F2973" w:rsidRPr="00F0622C" w:rsidRDefault="000F2973" w:rsidP="009B32A4">
            <w:pPr>
              <w:keepNext/>
            </w:pPr>
            <w:r w:rsidRPr="00F0622C">
              <w:t xml:space="preserve">Tariff D </w:t>
            </w:r>
          </w:p>
        </w:tc>
        <w:tc>
          <w:tcPr>
            <w:tcW w:w="625" w:type="pct"/>
            <w:noWrap/>
          </w:tcPr>
          <w:p w:rsidR="000F2973" w:rsidRPr="00F0622C" w:rsidRDefault="000F2973" w:rsidP="009B32A4">
            <w:pPr>
              <w:keepNext/>
              <w:cnfStyle w:val="000000010000" w:firstRow="0" w:lastRow="0" w:firstColumn="0" w:lastColumn="0" w:oddVBand="0" w:evenVBand="0" w:oddHBand="0" w:evenHBand="1" w:firstRowFirstColumn="0" w:firstRowLastColumn="0" w:lastRowFirstColumn="0" w:lastRowLastColumn="0"/>
            </w:pPr>
            <w:r w:rsidRPr="00F0622C">
              <w:rPr>
                <w:rFonts w:cs="Arial"/>
                <w:color w:val="000000"/>
                <w:szCs w:val="16"/>
              </w:rPr>
              <w:t>125</w:t>
            </w:r>
          </w:p>
        </w:tc>
        <w:tc>
          <w:tcPr>
            <w:tcW w:w="626" w:type="pct"/>
            <w:noWrap/>
          </w:tcPr>
          <w:p w:rsidR="000F2973" w:rsidRPr="00F0622C" w:rsidRDefault="000F2973" w:rsidP="009B32A4">
            <w:pPr>
              <w:keepNext/>
              <w:cnfStyle w:val="000000010000" w:firstRow="0" w:lastRow="0" w:firstColumn="0" w:lastColumn="0" w:oddVBand="0" w:evenVBand="0" w:oddHBand="0" w:evenHBand="1" w:firstRowFirstColumn="0" w:firstRowLastColumn="0" w:lastRowFirstColumn="0" w:lastRowLastColumn="0"/>
            </w:pPr>
            <w:r w:rsidRPr="00F0622C">
              <w:rPr>
                <w:rFonts w:cs="Arial"/>
                <w:color w:val="000000"/>
                <w:szCs w:val="16"/>
              </w:rPr>
              <w:t>118</w:t>
            </w:r>
          </w:p>
        </w:tc>
        <w:tc>
          <w:tcPr>
            <w:tcW w:w="626" w:type="pct"/>
            <w:noWrap/>
          </w:tcPr>
          <w:p w:rsidR="000F2973" w:rsidRPr="00F0622C" w:rsidRDefault="000F2973" w:rsidP="009B32A4">
            <w:pPr>
              <w:keepNext/>
              <w:cnfStyle w:val="000000010000" w:firstRow="0" w:lastRow="0" w:firstColumn="0" w:lastColumn="0" w:oddVBand="0" w:evenVBand="0" w:oddHBand="0" w:evenHBand="1" w:firstRowFirstColumn="0" w:firstRowLastColumn="0" w:lastRowFirstColumn="0" w:lastRowLastColumn="0"/>
            </w:pPr>
            <w:r w:rsidRPr="00F0622C">
              <w:rPr>
                <w:rFonts w:cs="Arial"/>
                <w:color w:val="000000"/>
                <w:szCs w:val="16"/>
              </w:rPr>
              <w:t>118</w:t>
            </w:r>
          </w:p>
        </w:tc>
        <w:tc>
          <w:tcPr>
            <w:tcW w:w="626" w:type="pct"/>
            <w:noWrap/>
          </w:tcPr>
          <w:p w:rsidR="000F2973" w:rsidRPr="00F0622C" w:rsidRDefault="000F2973" w:rsidP="009B32A4">
            <w:pPr>
              <w:keepNext/>
              <w:cnfStyle w:val="000000010000" w:firstRow="0" w:lastRow="0" w:firstColumn="0" w:lastColumn="0" w:oddVBand="0" w:evenVBand="0" w:oddHBand="0" w:evenHBand="1" w:firstRowFirstColumn="0" w:firstRowLastColumn="0" w:lastRowFirstColumn="0" w:lastRowLastColumn="0"/>
            </w:pPr>
            <w:r w:rsidRPr="00F0622C">
              <w:rPr>
                <w:rFonts w:cs="Arial"/>
                <w:color w:val="000000"/>
                <w:szCs w:val="16"/>
              </w:rPr>
              <w:t>118</w:t>
            </w:r>
          </w:p>
        </w:tc>
        <w:tc>
          <w:tcPr>
            <w:tcW w:w="625" w:type="pct"/>
            <w:noWrap/>
          </w:tcPr>
          <w:p w:rsidR="000F2973" w:rsidRPr="00F0622C" w:rsidRDefault="000F2973" w:rsidP="009B32A4">
            <w:pPr>
              <w:keepNext/>
              <w:cnfStyle w:val="000000010000" w:firstRow="0" w:lastRow="0" w:firstColumn="0" w:lastColumn="0" w:oddVBand="0" w:evenVBand="0" w:oddHBand="0" w:evenHBand="1" w:firstRowFirstColumn="0" w:firstRowLastColumn="0" w:lastRowFirstColumn="0" w:lastRowLastColumn="0"/>
            </w:pPr>
            <w:r w:rsidRPr="00F0622C">
              <w:rPr>
                <w:rFonts w:cs="Arial"/>
                <w:color w:val="000000"/>
                <w:szCs w:val="16"/>
              </w:rPr>
              <w:t>118</w:t>
            </w:r>
          </w:p>
        </w:tc>
      </w:tr>
      <w:tr w:rsidR="000B5499" w:rsidRPr="00F0622C" w:rsidTr="00DA24FF">
        <w:trPr>
          <w:trHeight w:val="300"/>
        </w:trPr>
        <w:tc>
          <w:tcPr>
            <w:cnfStyle w:val="001000000000" w:firstRow="0" w:lastRow="0" w:firstColumn="1" w:lastColumn="0" w:oddVBand="0" w:evenVBand="0" w:oddHBand="0" w:evenHBand="0" w:firstRowFirstColumn="0" w:firstRowLastColumn="0" w:lastRowFirstColumn="0" w:lastRowLastColumn="0"/>
            <w:tcW w:w="1872" w:type="pct"/>
            <w:noWrap/>
          </w:tcPr>
          <w:p w:rsidR="000B5499" w:rsidRPr="00F0622C" w:rsidRDefault="000B5499" w:rsidP="009B32A4">
            <w:pPr>
              <w:pStyle w:val="HeadingOrange"/>
              <w:keepNext/>
              <w:rPr>
                <w:rStyle w:val="AERtextitalic"/>
                <w:rFonts w:eastAsia="Calibri" w:cs="Times New Roman"/>
                <w:b w:val="0"/>
                <w:color w:val="auto"/>
              </w:rPr>
            </w:pPr>
            <w:r w:rsidRPr="00F0622C">
              <w:t>New connections</w:t>
            </w:r>
          </w:p>
        </w:tc>
        <w:tc>
          <w:tcPr>
            <w:tcW w:w="625" w:type="pct"/>
            <w:noWrap/>
          </w:tcPr>
          <w:p w:rsidR="000B5499" w:rsidRPr="00F0622C" w:rsidRDefault="000B5499" w:rsidP="009B32A4">
            <w:pPr>
              <w:keepNext/>
              <w:cnfStyle w:val="000000000000" w:firstRow="0" w:lastRow="0" w:firstColumn="0" w:lastColumn="0" w:oddVBand="0" w:evenVBand="0" w:oddHBand="0" w:evenHBand="0" w:firstRowFirstColumn="0" w:firstRowLastColumn="0" w:lastRowFirstColumn="0" w:lastRowLastColumn="0"/>
            </w:pPr>
          </w:p>
        </w:tc>
        <w:tc>
          <w:tcPr>
            <w:tcW w:w="626" w:type="pct"/>
            <w:noWrap/>
          </w:tcPr>
          <w:p w:rsidR="000B5499" w:rsidRPr="00F0622C" w:rsidRDefault="000B5499" w:rsidP="009B32A4">
            <w:pPr>
              <w:keepNext/>
              <w:cnfStyle w:val="000000000000" w:firstRow="0" w:lastRow="0" w:firstColumn="0" w:lastColumn="0" w:oddVBand="0" w:evenVBand="0" w:oddHBand="0" w:evenHBand="0" w:firstRowFirstColumn="0" w:firstRowLastColumn="0" w:lastRowFirstColumn="0" w:lastRowLastColumn="0"/>
            </w:pPr>
          </w:p>
        </w:tc>
        <w:tc>
          <w:tcPr>
            <w:tcW w:w="626" w:type="pct"/>
            <w:noWrap/>
          </w:tcPr>
          <w:p w:rsidR="000B5499" w:rsidRPr="00F0622C" w:rsidRDefault="000B5499" w:rsidP="009B32A4">
            <w:pPr>
              <w:keepNext/>
              <w:cnfStyle w:val="000000000000" w:firstRow="0" w:lastRow="0" w:firstColumn="0" w:lastColumn="0" w:oddVBand="0" w:evenVBand="0" w:oddHBand="0" w:evenHBand="0" w:firstRowFirstColumn="0" w:firstRowLastColumn="0" w:lastRowFirstColumn="0" w:lastRowLastColumn="0"/>
            </w:pPr>
          </w:p>
        </w:tc>
        <w:tc>
          <w:tcPr>
            <w:tcW w:w="626" w:type="pct"/>
            <w:noWrap/>
          </w:tcPr>
          <w:p w:rsidR="000B5499" w:rsidRPr="00F0622C" w:rsidRDefault="000B5499" w:rsidP="009B32A4">
            <w:pPr>
              <w:keepNext/>
              <w:cnfStyle w:val="000000000000" w:firstRow="0" w:lastRow="0" w:firstColumn="0" w:lastColumn="0" w:oddVBand="0" w:evenVBand="0" w:oddHBand="0" w:evenHBand="0" w:firstRowFirstColumn="0" w:firstRowLastColumn="0" w:lastRowFirstColumn="0" w:lastRowLastColumn="0"/>
            </w:pPr>
          </w:p>
        </w:tc>
        <w:tc>
          <w:tcPr>
            <w:tcW w:w="625" w:type="pct"/>
            <w:noWrap/>
          </w:tcPr>
          <w:p w:rsidR="000B5499" w:rsidRPr="00F0622C" w:rsidRDefault="000B5499" w:rsidP="009B32A4">
            <w:pPr>
              <w:keepNext/>
              <w:cnfStyle w:val="000000000000" w:firstRow="0" w:lastRow="0" w:firstColumn="0" w:lastColumn="0" w:oddVBand="0" w:evenVBand="0" w:oddHBand="0" w:evenHBand="0" w:firstRowFirstColumn="0" w:firstRowLastColumn="0" w:lastRowFirstColumn="0" w:lastRowLastColumn="0"/>
            </w:pPr>
          </w:p>
        </w:tc>
      </w:tr>
      <w:tr w:rsidR="007B2458" w:rsidRPr="00F0622C" w:rsidTr="00DA24F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2" w:type="pct"/>
            <w:noWrap/>
          </w:tcPr>
          <w:p w:rsidR="007B2458" w:rsidRPr="00F0622C" w:rsidRDefault="007B2458" w:rsidP="009B32A4">
            <w:pPr>
              <w:keepNext/>
            </w:pPr>
            <w:r w:rsidRPr="00F0622C">
              <w:t>Electricity to gas</w:t>
            </w:r>
          </w:p>
        </w:tc>
        <w:tc>
          <w:tcPr>
            <w:tcW w:w="625" w:type="pct"/>
            <w:noWrap/>
            <w:vAlign w:val="bottom"/>
          </w:tcPr>
          <w:p w:rsidR="007B2458" w:rsidRPr="00F0622C" w:rsidRDefault="007B2458" w:rsidP="009B32A4">
            <w:pPr>
              <w:keepNext/>
              <w:cnfStyle w:val="000000010000" w:firstRow="0" w:lastRow="0" w:firstColumn="0" w:lastColumn="0" w:oddVBand="0" w:evenVBand="0" w:oddHBand="0" w:evenHBand="1" w:firstRowFirstColumn="0" w:firstRowLastColumn="0" w:lastRowFirstColumn="0" w:lastRowLastColumn="0"/>
            </w:pPr>
            <w:r w:rsidRPr="00F0622C">
              <w:t xml:space="preserve">1,435 </w:t>
            </w:r>
          </w:p>
        </w:tc>
        <w:tc>
          <w:tcPr>
            <w:tcW w:w="626" w:type="pct"/>
            <w:noWrap/>
            <w:vAlign w:val="bottom"/>
          </w:tcPr>
          <w:p w:rsidR="007B2458" w:rsidRPr="00F0622C" w:rsidRDefault="007B2458" w:rsidP="009B32A4">
            <w:pPr>
              <w:keepNext/>
              <w:cnfStyle w:val="000000010000" w:firstRow="0" w:lastRow="0" w:firstColumn="0" w:lastColumn="0" w:oddVBand="0" w:evenVBand="0" w:oddHBand="0" w:evenHBand="1" w:firstRowFirstColumn="0" w:firstRowLastColumn="0" w:lastRowFirstColumn="0" w:lastRowLastColumn="0"/>
            </w:pPr>
            <w:r w:rsidRPr="00F0622C">
              <w:t xml:space="preserve">1,435 </w:t>
            </w:r>
          </w:p>
        </w:tc>
        <w:tc>
          <w:tcPr>
            <w:tcW w:w="626" w:type="pct"/>
            <w:noWrap/>
            <w:vAlign w:val="bottom"/>
          </w:tcPr>
          <w:p w:rsidR="007B2458" w:rsidRPr="00F0622C" w:rsidRDefault="007B2458" w:rsidP="009B32A4">
            <w:pPr>
              <w:keepNext/>
              <w:cnfStyle w:val="000000010000" w:firstRow="0" w:lastRow="0" w:firstColumn="0" w:lastColumn="0" w:oddVBand="0" w:evenVBand="0" w:oddHBand="0" w:evenHBand="1" w:firstRowFirstColumn="0" w:firstRowLastColumn="0" w:lastRowFirstColumn="0" w:lastRowLastColumn="0"/>
            </w:pPr>
            <w:r w:rsidRPr="00F0622C">
              <w:t xml:space="preserve">1,435 </w:t>
            </w:r>
          </w:p>
        </w:tc>
        <w:tc>
          <w:tcPr>
            <w:tcW w:w="626" w:type="pct"/>
            <w:noWrap/>
            <w:vAlign w:val="bottom"/>
          </w:tcPr>
          <w:p w:rsidR="007B2458" w:rsidRPr="00F0622C" w:rsidRDefault="007B2458" w:rsidP="009B32A4">
            <w:pPr>
              <w:keepNext/>
              <w:cnfStyle w:val="000000010000" w:firstRow="0" w:lastRow="0" w:firstColumn="0" w:lastColumn="0" w:oddVBand="0" w:evenVBand="0" w:oddHBand="0" w:evenHBand="1" w:firstRowFirstColumn="0" w:firstRowLastColumn="0" w:lastRowFirstColumn="0" w:lastRowLastColumn="0"/>
            </w:pPr>
            <w:r w:rsidRPr="00F0622C">
              <w:t xml:space="preserve">1,435 </w:t>
            </w:r>
          </w:p>
        </w:tc>
        <w:tc>
          <w:tcPr>
            <w:tcW w:w="625" w:type="pct"/>
            <w:noWrap/>
            <w:vAlign w:val="bottom"/>
          </w:tcPr>
          <w:p w:rsidR="007B2458" w:rsidRPr="00F0622C" w:rsidRDefault="007B2458" w:rsidP="009B32A4">
            <w:pPr>
              <w:keepNext/>
              <w:cnfStyle w:val="000000010000" w:firstRow="0" w:lastRow="0" w:firstColumn="0" w:lastColumn="0" w:oddVBand="0" w:evenVBand="0" w:oddHBand="0" w:evenHBand="1" w:firstRowFirstColumn="0" w:firstRowLastColumn="0" w:lastRowFirstColumn="0" w:lastRowLastColumn="0"/>
            </w:pPr>
            <w:r w:rsidRPr="00F0622C">
              <w:t xml:space="preserve">1,435 </w:t>
            </w:r>
          </w:p>
        </w:tc>
      </w:tr>
      <w:tr w:rsidR="000F2973" w:rsidRPr="00F0622C" w:rsidTr="00F0622C">
        <w:trPr>
          <w:trHeight w:val="593"/>
        </w:trPr>
        <w:tc>
          <w:tcPr>
            <w:cnfStyle w:val="001000000000" w:firstRow="0" w:lastRow="0" w:firstColumn="1" w:lastColumn="0" w:oddVBand="0" w:evenVBand="0" w:oddHBand="0" w:evenHBand="0" w:firstRowFirstColumn="0" w:firstRowLastColumn="0" w:lastRowFirstColumn="0" w:lastRowLastColumn="0"/>
            <w:tcW w:w="1872" w:type="pct"/>
            <w:noWrap/>
          </w:tcPr>
          <w:p w:rsidR="000F2973" w:rsidRPr="00F0622C" w:rsidRDefault="000F2973" w:rsidP="009B32A4">
            <w:pPr>
              <w:keepNext/>
            </w:pPr>
            <w:r w:rsidRPr="00F0622C">
              <w:t>New estates</w:t>
            </w:r>
          </w:p>
        </w:tc>
        <w:tc>
          <w:tcPr>
            <w:tcW w:w="625" w:type="pct"/>
            <w:noWrap/>
            <w:vAlign w:val="bottom"/>
          </w:tcPr>
          <w:p w:rsidR="000F2973" w:rsidRPr="00F0622C" w:rsidRDefault="000F2973" w:rsidP="009B32A4">
            <w:pPr>
              <w:keepNext/>
              <w:cnfStyle w:val="000000000000" w:firstRow="0" w:lastRow="0" w:firstColumn="0" w:lastColumn="0" w:oddVBand="0" w:evenVBand="0" w:oddHBand="0" w:evenHBand="0" w:firstRowFirstColumn="0" w:firstRowLastColumn="0" w:lastRowFirstColumn="0" w:lastRowLastColumn="0"/>
            </w:pPr>
            <w:r w:rsidRPr="00F0622C">
              <w:t xml:space="preserve">4,886 </w:t>
            </w:r>
          </w:p>
        </w:tc>
        <w:tc>
          <w:tcPr>
            <w:tcW w:w="626" w:type="pct"/>
            <w:noWrap/>
            <w:vAlign w:val="bottom"/>
          </w:tcPr>
          <w:p w:rsidR="000F2973" w:rsidRPr="00F0622C" w:rsidRDefault="000F2973" w:rsidP="009B32A4">
            <w:pPr>
              <w:keepNext/>
              <w:cnfStyle w:val="000000000000" w:firstRow="0" w:lastRow="0" w:firstColumn="0" w:lastColumn="0" w:oddVBand="0" w:evenVBand="0" w:oddHBand="0" w:evenHBand="0" w:firstRowFirstColumn="0" w:firstRowLastColumn="0" w:lastRowFirstColumn="0" w:lastRowLastColumn="0"/>
            </w:pPr>
            <w:r w:rsidRPr="00F0622C">
              <w:t xml:space="preserve">4,592 </w:t>
            </w:r>
          </w:p>
        </w:tc>
        <w:tc>
          <w:tcPr>
            <w:tcW w:w="626" w:type="pct"/>
            <w:noWrap/>
            <w:vAlign w:val="bottom"/>
          </w:tcPr>
          <w:p w:rsidR="000F2973" w:rsidRPr="00F0622C" w:rsidRDefault="000F2973" w:rsidP="009B32A4">
            <w:pPr>
              <w:keepNext/>
              <w:cnfStyle w:val="000000000000" w:firstRow="0" w:lastRow="0" w:firstColumn="0" w:lastColumn="0" w:oddVBand="0" w:evenVBand="0" w:oddHBand="0" w:evenHBand="0" w:firstRowFirstColumn="0" w:firstRowLastColumn="0" w:lastRowFirstColumn="0" w:lastRowLastColumn="0"/>
            </w:pPr>
            <w:r w:rsidRPr="00F0622C">
              <w:t xml:space="preserve">4,781 </w:t>
            </w:r>
          </w:p>
        </w:tc>
        <w:tc>
          <w:tcPr>
            <w:tcW w:w="626" w:type="pct"/>
            <w:noWrap/>
            <w:vAlign w:val="bottom"/>
          </w:tcPr>
          <w:p w:rsidR="000F2973" w:rsidRPr="00F0622C" w:rsidRDefault="000F2973" w:rsidP="009B32A4">
            <w:pPr>
              <w:keepNext/>
              <w:cnfStyle w:val="000000000000" w:firstRow="0" w:lastRow="0" w:firstColumn="0" w:lastColumn="0" w:oddVBand="0" w:evenVBand="0" w:oddHBand="0" w:evenHBand="0" w:firstRowFirstColumn="0" w:firstRowLastColumn="0" w:lastRowFirstColumn="0" w:lastRowLastColumn="0"/>
            </w:pPr>
            <w:r w:rsidRPr="00F0622C">
              <w:t xml:space="preserve">5,093 </w:t>
            </w:r>
          </w:p>
        </w:tc>
        <w:tc>
          <w:tcPr>
            <w:tcW w:w="625" w:type="pct"/>
            <w:noWrap/>
            <w:vAlign w:val="bottom"/>
          </w:tcPr>
          <w:p w:rsidR="000F2973" w:rsidRPr="00F0622C" w:rsidRDefault="000F2973" w:rsidP="009B32A4">
            <w:pPr>
              <w:keepNext/>
              <w:cnfStyle w:val="000000000000" w:firstRow="0" w:lastRow="0" w:firstColumn="0" w:lastColumn="0" w:oddVBand="0" w:evenVBand="0" w:oddHBand="0" w:evenHBand="0" w:firstRowFirstColumn="0" w:firstRowLastColumn="0" w:lastRowFirstColumn="0" w:lastRowLastColumn="0"/>
            </w:pPr>
            <w:r w:rsidRPr="00F0622C">
              <w:t xml:space="preserve">5,306 </w:t>
            </w:r>
          </w:p>
        </w:tc>
      </w:tr>
      <w:tr w:rsidR="000F2973" w:rsidRPr="00F0622C" w:rsidTr="00DA24F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2" w:type="pct"/>
            <w:noWrap/>
          </w:tcPr>
          <w:p w:rsidR="000F2973" w:rsidRPr="00F0622C" w:rsidRDefault="000F2973" w:rsidP="000B5499">
            <w:r w:rsidRPr="00F0622C">
              <w:t>Medium/high density</w:t>
            </w:r>
          </w:p>
        </w:tc>
        <w:tc>
          <w:tcPr>
            <w:tcW w:w="625" w:type="pct"/>
            <w:noWrap/>
            <w:vAlign w:val="bottom"/>
          </w:tcPr>
          <w:p w:rsidR="000F2973" w:rsidRPr="00F0622C" w:rsidRDefault="000F2973" w:rsidP="00F0622C">
            <w:pPr>
              <w:cnfStyle w:val="000000010000" w:firstRow="0" w:lastRow="0" w:firstColumn="0" w:lastColumn="0" w:oddVBand="0" w:evenVBand="0" w:oddHBand="0" w:evenHBand="1" w:firstRowFirstColumn="0" w:firstRowLastColumn="0" w:lastRowFirstColumn="0" w:lastRowLastColumn="0"/>
            </w:pPr>
            <w:r w:rsidRPr="00F0622C">
              <w:t xml:space="preserve">498 </w:t>
            </w:r>
          </w:p>
        </w:tc>
        <w:tc>
          <w:tcPr>
            <w:tcW w:w="626" w:type="pct"/>
            <w:noWrap/>
            <w:vAlign w:val="bottom"/>
          </w:tcPr>
          <w:p w:rsidR="000F2973" w:rsidRPr="00F0622C" w:rsidRDefault="000F2973" w:rsidP="00F0622C">
            <w:pPr>
              <w:cnfStyle w:val="000000010000" w:firstRow="0" w:lastRow="0" w:firstColumn="0" w:lastColumn="0" w:oddVBand="0" w:evenVBand="0" w:oddHBand="0" w:evenHBand="1" w:firstRowFirstColumn="0" w:firstRowLastColumn="0" w:lastRowFirstColumn="0" w:lastRowLastColumn="0"/>
            </w:pPr>
            <w:r w:rsidRPr="00F0622C">
              <w:t xml:space="preserve">464 </w:t>
            </w:r>
          </w:p>
        </w:tc>
        <w:tc>
          <w:tcPr>
            <w:tcW w:w="626" w:type="pct"/>
            <w:noWrap/>
            <w:vAlign w:val="bottom"/>
          </w:tcPr>
          <w:p w:rsidR="000F2973" w:rsidRPr="00F0622C" w:rsidRDefault="000F2973" w:rsidP="00F0622C">
            <w:pPr>
              <w:cnfStyle w:val="000000010000" w:firstRow="0" w:lastRow="0" w:firstColumn="0" w:lastColumn="0" w:oddVBand="0" w:evenVBand="0" w:oddHBand="0" w:evenHBand="1" w:firstRowFirstColumn="0" w:firstRowLastColumn="0" w:lastRowFirstColumn="0" w:lastRowLastColumn="0"/>
            </w:pPr>
            <w:r w:rsidRPr="00F0622C">
              <w:t xml:space="preserve">463 </w:t>
            </w:r>
          </w:p>
        </w:tc>
        <w:tc>
          <w:tcPr>
            <w:tcW w:w="626" w:type="pct"/>
            <w:noWrap/>
            <w:vAlign w:val="bottom"/>
          </w:tcPr>
          <w:p w:rsidR="000F2973" w:rsidRPr="00F0622C" w:rsidRDefault="000F2973" w:rsidP="00F0622C">
            <w:pPr>
              <w:cnfStyle w:val="000000010000" w:firstRow="0" w:lastRow="0" w:firstColumn="0" w:lastColumn="0" w:oddVBand="0" w:evenVBand="0" w:oddHBand="0" w:evenHBand="1" w:firstRowFirstColumn="0" w:firstRowLastColumn="0" w:lastRowFirstColumn="0" w:lastRowLastColumn="0"/>
            </w:pPr>
            <w:r w:rsidRPr="00F0622C">
              <w:t xml:space="preserve">547 </w:t>
            </w:r>
          </w:p>
        </w:tc>
        <w:tc>
          <w:tcPr>
            <w:tcW w:w="625" w:type="pct"/>
            <w:noWrap/>
            <w:vAlign w:val="bottom"/>
          </w:tcPr>
          <w:p w:rsidR="000F2973" w:rsidRPr="00F0622C" w:rsidRDefault="000F2973" w:rsidP="00F0622C">
            <w:pPr>
              <w:cnfStyle w:val="000000010000" w:firstRow="0" w:lastRow="0" w:firstColumn="0" w:lastColumn="0" w:oddVBand="0" w:evenVBand="0" w:oddHBand="0" w:evenHBand="1" w:firstRowFirstColumn="0" w:firstRowLastColumn="0" w:lastRowFirstColumn="0" w:lastRowLastColumn="0"/>
            </w:pPr>
            <w:r w:rsidRPr="00F0622C">
              <w:t xml:space="preserve">544 </w:t>
            </w:r>
          </w:p>
        </w:tc>
      </w:tr>
      <w:tr w:rsidR="000F2973" w:rsidRPr="00F0622C" w:rsidTr="00DA24FF">
        <w:trPr>
          <w:trHeight w:val="300"/>
        </w:trPr>
        <w:tc>
          <w:tcPr>
            <w:cnfStyle w:val="001000000000" w:firstRow="0" w:lastRow="0" w:firstColumn="1" w:lastColumn="0" w:oddVBand="0" w:evenVBand="0" w:oddHBand="0" w:evenHBand="0" w:firstRowFirstColumn="0" w:firstRowLastColumn="0" w:lastRowFirstColumn="0" w:lastRowLastColumn="0"/>
            <w:tcW w:w="1872" w:type="pct"/>
            <w:noWrap/>
          </w:tcPr>
          <w:p w:rsidR="000F2973" w:rsidRPr="00F0622C" w:rsidRDefault="000F2973" w:rsidP="000B5499">
            <w:r w:rsidRPr="00F0622C">
              <w:t>Commercial</w:t>
            </w:r>
          </w:p>
        </w:tc>
        <w:tc>
          <w:tcPr>
            <w:tcW w:w="625" w:type="pct"/>
            <w:noWrap/>
            <w:vAlign w:val="bottom"/>
          </w:tcPr>
          <w:p w:rsidR="000F2973" w:rsidRPr="00F0622C" w:rsidRDefault="000F2973" w:rsidP="00F0622C">
            <w:pPr>
              <w:cnfStyle w:val="000000000000" w:firstRow="0" w:lastRow="0" w:firstColumn="0" w:lastColumn="0" w:oddVBand="0" w:evenVBand="0" w:oddHBand="0" w:evenHBand="0" w:firstRowFirstColumn="0" w:firstRowLastColumn="0" w:lastRowFirstColumn="0" w:lastRowLastColumn="0"/>
            </w:pPr>
            <w:r w:rsidRPr="00F0622C">
              <w:t xml:space="preserve">259 </w:t>
            </w:r>
          </w:p>
        </w:tc>
        <w:tc>
          <w:tcPr>
            <w:tcW w:w="626" w:type="pct"/>
            <w:noWrap/>
            <w:vAlign w:val="bottom"/>
          </w:tcPr>
          <w:p w:rsidR="000F2973" w:rsidRPr="00F0622C" w:rsidRDefault="000F2973" w:rsidP="00F0622C">
            <w:pPr>
              <w:cnfStyle w:val="000000000000" w:firstRow="0" w:lastRow="0" w:firstColumn="0" w:lastColumn="0" w:oddVBand="0" w:evenVBand="0" w:oddHBand="0" w:evenHBand="0" w:firstRowFirstColumn="0" w:firstRowLastColumn="0" w:lastRowFirstColumn="0" w:lastRowLastColumn="0"/>
            </w:pPr>
            <w:r w:rsidRPr="00F0622C">
              <w:t xml:space="preserve">229 </w:t>
            </w:r>
          </w:p>
        </w:tc>
        <w:tc>
          <w:tcPr>
            <w:tcW w:w="626" w:type="pct"/>
            <w:noWrap/>
            <w:vAlign w:val="bottom"/>
          </w:tcPr>
          <w:p w:rsidR="000F2973" w:rsidRPr="00F0622C" w:rsidRDefault="000F2973" w:rsidP="00F0622C">
            <w:pPr>
              <w:cnfStyle w:val="000000000000" w:firstRow="0" w:lastRow="0" w:firstColumn="0" w:lastColumn="0" w:oddVBand="0" w:evenVBand="0" w:oddHBand="0" w:evenHBand="0" w:firstRowFirstColumn="0" w:firstRowLastColumn="0" w:lastRowFirstColumn="0" w:lastRowLastColumn="0"/>
            </w:pPr>
            <w:r w:rsidRPr="00F0622C">
              <w:t xml:space="preserve">272 </w:t>
            </w:r>
          </w:p>
        </w:tc>
        <w:tc>
          <w:tcPr>
            <w:tcW w:w="626" w:type="pct"/>
            <w:noWrap/>
            <w:vAlign w:val="bottom"/>
          </w:tcPr>
          <w:p w:rsidR="000F2973" w:rsidRPr="00F0622C" w:rsidRDefault="000F2973" w:rsidP="00F0622C">
            <w:pPr>
              <w:cnfStyle w:val="000000000000" w:firstRow="0" w:lastRow="0" w:firstColumn="0" w:lastColumn="0" w:oddVBand="0" w:evenVBand="0" w:oddHBand="0" w:evenHBand="0" w:firstRowFirstColumn="0" w:firstRowLastColumn="0" w:lastRowFirstColumn="0" w:lastRowLastColumn="0"/>
            </w:pPr>
            <w:r w:rsidRPr="00F0622C">
              <w:t xml:space="preserve">277 </w:t>
            </w:r>
          </w:p>
        </w:tc>
        <w:tc>
          <w:tcPr>
            <w:tcW w:w="625" w:type="pct"/>
            <w:noWrap/>
            <w:vAlign w:val="bottom"/>
          </w:tcPr>
          <w:p w:rsidR="000F2973" w:rsidRPr="00F0622C" w:rsidRDefault="000F2973" w:rsidP="00F0622C">
            <w:pPr>
              <w:cnfStyle w:val="000000000000" w:firstRow="0" w:lastRow="0" w:firstColumn="0" w:lastColumn="0" w:oddVBand="0" w:evenVBand="0" w:oddHBand="0" w:evenHBand="0" w:firstRowFirstColumn="0" w:firstRowLastColumn="0" w:lastRowFirstColumn="0" w:lastRowLastColumn="0"/>
            </w:pPr>
            <w:r w:rsidRPr="00F0622C">
              <w:t xml:space="preserve">281 </w:t>
            </w:r>
          </w:p>
        </w:tc>
      </w:tr>
      <w:tr w:rsidR="000B5499" w:rsidRPr="00F0622C" w:rsidTr="00F0622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2" w:type="pct"/>
            <w:noWrap/>
          </w:tcPr>
          <w:p w:rsidR="000B5499" w:rsidRPr="00F0622C" w:rsidRDefault="000B5499" w:rsidP="000B5499">
            <w:pPr>
              <w:pStyle w:val="HeadingOrange"/>
              <w:rPr>
                <w:rStyle w:val="AERtextitalic"/>
              </w:rPr>
            </w:pPr>
            <w:r w:rsidRPr="00F0622C">
              <w:t>Disconnections</w:t>
            </w:r>
          </w:p>
        </w:tc>
        <w:tc>
          <w:tcPr>
            <w:tcW w:w="625" w:type="pct"/>
            <w:noWrap/>
          </w:tcPr>
          <w:p w:rsidR="000B5499" w:rsidRPr="00F0622C" w:rsidRDefault="000B5499" w:rsidP="00F0622C">
            <w:pPr>
              <w:cnfStyle w:val="000000010000" w:firstRow="0" w:lastRow="0" w:firstColumn="0" w:lastColumn="0" w:oddVBand="0" w:evenVBand="0" w:oddHBand="0" w:evenHBand="1" w:firstRowFirstColumn="0" w:firstRowLastColumn="0" w:lastRowFirstColumn="0" w:lastRowLastColumn="0"/>
            </w:pPr>
          </w:p>
        </w:tc>
        <w:tc>
          <w:tcPr>
            <w:tcW w:w="626" w:type="pct"/>
            <w:noWrap/>
          </w:tcPr>
          <w:p w:rsidR="000B5499" w:rsidRPr="00F0622C" w:rsidRDefault="000B5499" w:rsidP="00F0622C">
            <w:pPr>
              <w:cnfStyle w:val="000000010000" w:firstRow="0" w:lastRow="0" w:firstColumn="0" w:lastColumn="0" w:oddVBand="0" w:evenVBand="0" w:oddHBand="0" w:evenHBand="1" w:firstRowFirstColumn="0" w:firstRowLastColumn="0" w:lastRowFirstColumn="0" w:lastRowLastColumn="0"/>
            </w:pPr>
          </w:p>
        </w:tc>
        <w:tc>
          <w:tcPr>
            <w:tcW w:w="626" w:type="pct"/>
            <w:noWrap/>
          </w:tcPr>
          <w:p w:rsidR="000B5499" w:rsidRPr="00F0622C" w:rsidRDefault="000B5499" w:rsidP="00F0622C">
            <w:pPr>
              <w:cnfStyle w:val="000000010000" w:firstRow="0" w:lastRow="0" w:firstColumn="0" w:lastColumn="0" w:oddVBand="0" w:evenVBand="0" w:oddHBand="0" w:evenHBand="1" w:firstRowFirstColumn="0" w:firstRowLastColumn="0" w:lastRowFirstColumn="0" w:lastRowLastColumn="0"/>
            </w:pPr>
          </w:p>
        </w:tc>
        <w:tc>
          <w:tcPr>
            <w:tcW w:w="626" w:type="pct"/>
            <w:noWrap/>
          </w:tcPr>
          <w:p w:rsidR="000B5499" w:rsidRPr="00F0622C" w:rsidRDefault="000B5499" w:rsidP="00F0622C">
            <w:pPr>
              <w:cnfStyle w:val="000000010000" w:firstRow="0" w:lastRow="0" w:firstColumn="0" w:lastColumn="0" w:oddVBand="0" w:evenVBand="0" w:oddHBand="0" w:evenHBand="1" w:firstRowFirstColumn="0" w:firstRowLastColumn="0" w:lastRowFirstColumn="0" w:lastRowLastColumn="0"/>
            </w:pPr>
          </w:p>
        </w:tc>
        <w:tc>
          <w:tcPr>
            <w:tcW w:w="625" w:type="pct"/>
            <w:noWrap/>
          </w:tcPr>
          <w:p w:rsidR="000B5499" w:rsidRPr="00F0622C" w:rsidRDefault="000B5499" w:rsidP="00F0622C">
            <w:pPr>
              <w:cnfStyle w:val="000000010000" w:firstRow="0" w:lastRow="0" w:firstColumn="0" w:lastColumn="0" w:oddVBand="0" w:evenVBand="0" w:oddHBand="0" w:evenHBand="1" w:firstRowFirstColumn="0" w:firstRowLastColumn="0" w:lastRowFirstColumn="0" w:lastRowLastColumn="0"/>
            </w:pPr>
          </w:p>
        </w:tc>
      </w:tr>
      <w:tr w:rsidR="000F2973" w:rsidRPr="00F0622C" w:rsidTr="00F0622C">
        <w:trPr>
          <w:trHeight w:val="300"/>
        </w:trPr>
        <w:tc>
          <w:tcPr>
            <w:cnfStyle w:val="001000000000" w:firstRow="0" w:lastRow="0" w:firstColumn="1" w:lastColumn="0" w:oddVBand="0" w:evenVBand="0" w:oddHBand="0" w:evenHBand="0" w:firstRowFirstColumn="0" w:firstRowLastColumn="0" w:lastRowFirstColumn="0" w:lastRowLastColumn="0"/>
            <w:tcW w:w="1872" w:type="pct"/>
            <w:shd w:val="clear" w:color="auto" w:fill="auto"/>
            <w:noWrap/>
          </w:tcPr>
          <w:p w:rsidR="000F2973" w:rsidRPr="00F0622C" w:rsidRDefault="000F2973" w:rsidP="000B5499">
            <w:r w:rsidRPr="00F0622C">
              <w:t>Residential</w:t>
            </w:r>
          </w:p>
        </w:tc>
        <w:tc>
          <w:tcPr>
            <w:tcW w:w="625" w:type="pct"/>
            <w:shd w:val="clear" w:color="auto" w:fill="auto"/>
            <w:noWrap/>
            <w:vAlign w:val="bottom"/>
          </w:tcPr>
          <w:p w:rsidR="000F2973" w:rsidRPr="00F0622C" w:rsidRDefault="000F2973" w:rsidP="00F0622C">
            <w:pPr>
              <w:cnfStyle w:val="000000000000" w:firstRow="0" w:lastRow="0" w:firstColumn="0" w:lastColumn="0" w:oddVBand="0" w:evenVBand="0" w:oddHBand="0" w:evenHBand="0" w:firstRowFirstColumn="0" w:firstRowLastColumn="0" w:lastRowFirstColumn="0" w:lastRowLastColumn="0"/>
            </w:pPr>
            <w:r w:rsidRPr="00F0622C">
              <w:t xml:space="preserve">1,424 </w:t>
            </w:r>
          </w:p>
        </w:tc>
        <w:tc>
          <w:tcPr>
            <w:tcW w:w="626" w:type="pct"/>
            <w:shd w:val="clear" w:color="auto" w:fill="auto"/>
            <w:noWrap/>
            <w:vAlign w:val="bottom"/>
          </w:tcPr>
          <w:p w:rsidR="000F2973" w:rsidRPr="00F0622C" w:rsidRDefault="000F2973" w:rsidP="00F0622C">
            <w:pPr>
              <w:cnfStyle w:val="000000000000" w:firstRow="0" w:lastRow="0" w:firstColumn="0" w:lastColumn="0" w:oddVBand="0" w:evenVBand="0" w:oddHBand="0" w:evenHBand="0" w:firstRowFirstColumn="0" w:firstRowLastColumn="0" w:lastRowFirstColumn="0" w:lastRowLastColumn="0"/>
            </w:pPr>
            <w:r w:rsidRPr="00F0622C">
              <w:t xml:space="preserve">1,435 </w:t>
            </w:r>
          </w:p>
        </w:tc>
        <w:tc>
          <w:tcPr>
            <w:tcW w:w="626" w:type="pct"/>
            <w:shd w:val="clear" w:color="auto" w:fill="auto"/>
            <w:noWrap/>
            <w:vAlign w:val="bottom"/>
          </w:tcPr>
          <w:p w:rsidR="000F2973" w:rsidRPr="00F0622C" w:rsidRDefault="000F2973" w:rsidP="00F0622C">
            <w:pPr>
              <w:cnfStyle w:val="000000000000" w:firstRow="0" w:lastRow="0" w:firstColumn="0" w:lastColumn="0" w:oddVBand="0" w:evenVBand="0" w:oddHBand="0" w:evenHBand="0" w:firstRowFirstColumn="0" w:firstRowLastColumn="0" w:lastRowFirstColumn="0" w:lastRowLastColumn="0"/>
            </w:pPr>
            <w:r w:rsidRPr="00F0622C">
              <w:t xml:space="preserve">1,453 </w:t>
            </w:r>
          </w:p>
        </w:tc>
        <w:tc>
          <w:tcPr>
            <w:tcW w:w="626" w:type="pct"/>
            <w:shd w:val="clear" w:color="auto" w:fill="auto"/>
            <w:noWrap/>
            <w:vAlign w:val="bottom"/>
          </w:tcPr>
          <w:p w:rsidR="000F2973" w:rsidRPr="00F0622C" w:rsidRDefault="000F2973" w:rsidP="00F0622C">
            <w:pPr>
              <w:cnfStyle w:val="000000000000" w:firstRow="0" w:lastRow="0" w:firstColumn="0" w:lastColumn="0" w:oddVBand="0" w:evenVBand="0" w:oddHBand="0" w:evenHBand="0" w:firstRowFirstColumn="0" w:firstRowLastColumn="0" w:lastRowFirstColumn="0" w:lastRowLastColumn="0"/>
            </w:pPr>
            <w:r w:rsidRPr="00F0622C">
              <w:t xml:space="preserve">1,470 </w:t>
            </w:r>
          </w:p>
        </w:tc>
        <w:tc>
          <w:tcPr>
            <w:tcW w:w="625" w:type="pct"/>
            <w:shd w:val="clear" w:color="auto" w:fill="auto"/>
            <w:noWrap/>
            <w:vAlign w:val="bottom"/>
          </w:tcPr>
          <w:p w:rsidR="000F2973" w:rsidRPr="00F0622C" w:rsidRDefault="000F2973" w:rsidP="00F0622C">
            <w:pPr>
              <w:cnfStyle w:val="000000000000" w:firstRow="0" w:lastRow="0" w:firstColumn="0" w:lastColumn="0" w:oddVBand="0" w:evenVBand="0" w:oddHBand="0" w:evenHBand="0" w:firstRowFirstColumn="0" w:firstRowLastColumn="0" w:lastRowFirstColumn="0" w:lastRowLastColumn="0"/>
            </w:pPr>
            <w:r w:rsidRPr="00F0622C">
              <w:t xml:space="preserve">1,489 </w:t>
            </w:r>
          </w:p>
        </w:tc>
      </w:tr>
      <w:tr w:rsidR="000F2973" w:rsidRPr="00F0622C" w:rsidTr="00F0622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2" w:type="pct"/>
            <w:noWrap/>
          </w:tcPr>
          <w:p w:rsidR="000F2973" w:rsidRPr="00F0622C" w:rsidRDefault="000F2973" w:rsidP="000B5499">
            <w:pPr>
              <w:rPr>
                <w:rStyle w:val="AERtextitalic"/>
              </w:rPr>
            </w:pPr>
            <w:r w:rsidRPr="00F0622C">
              <w:t xml:space="preserve">Commercial </w:t>
            </w:r>
          </w:p>
        </w:tc>
        <w:tc>
          <w:tcPr>
            <w:tcW w:w="625" w:type="pct"/>
            <w:noWrap/>
            <w:vAlign w:val="bottom"/>
          </w:tcPr>
          <w:p w:rsidR="000F2973" w:rsidRPr="00F0622C" w:rsidRDefault="000F2973" w:rsidP="00F0622C">
            <w:pPr>
              <w:cnfStyle w:val="000000010000" w:firstRow="0" w:lastRow="0" w:firstColumn="0" w:lastColumn="0" w:oddVBand="0" w:evenVBand="0" w:oddHBand="0" w:evenHBand="1" w:firstRowFirstColumn="0" w:firstRowLastColumn="0" w:lastRowFirstColumn="0" w:lastRowLastColumn="0"/>
            </w:pPr>
            <w:r w:rsidRPr="00F0622C">
              <w:t xml:space="preserve">97 </w:t>
            </w:r>
          </w:p>
        </w:tc>
        <w:tc>
          <w:tcPr>
            <w:tcW w:w="626" w:type="pct"/>
            <w:noWrap/>
            <w:vAlign w:val="bottom"/>
          </w:tcPr>
          <w:p w:rsidR="000F2973" w:rsidRPr="00F0622C" w:rsidRDefault="000F2973" w:rsidP="00F0622C">
            <w:pPr>
              <w:cnfStyle w:val="000000010000" w:firstRow="0" w:lastRow="0" w:firstColumn="0" w:lastColumn="0" w:oddVBand="0" w:evenVBand="0" w:oddHBand="0" w:evenHBand="1" w:firstRowFirstColumn="0" w:firstRowLastColumn="0" w:lastRowFirstColumn="0" w:lastRowLastColumn="0"/>
            </w:pPr>
            <w:r w:rsidRPr="00F0622C">
              <w:t xml:space="preserve">98 </w:t>
            </w:r>
          </w:p>
        </w:tc>
        <w:tc>
          <w:tcPr>
            <w:tcW w:w="626" w:type="pct"/>
            <w:noWrap/>
            <w:vAlign w:val="bottom"/>
          </w:tcPr>
          <w:p w:rsidR="000F2973" w:rsidRPr="00F0622C" w:rsidRDefault="000F2973" w:rsidP="00F0622C">
            <w:pPr>
              <w:cnfStyle w:val="000000010000" w:firstRow="0" w:lastRow="0" w:firstColumn="0" w:lastColumn="0" w:oddVBand="0" w:evenVBand="0" w:oddHBand="0" w:evenHBand="1" w:firstRowFirstColumn="0" w:firstRowLastColumn="0" w:lastRowFirstColumn="0" w:lastRowLastColumn="0"/>
            </w:pPr>
            <w:r w:rsidRPr="00F0622C">
              <w:t xml:space="preserve">100 </w:t>
            </w:r>
          </w:p>
        </w:tc>
        <w:tc>
          <w:tcPr>
            <w:tcW w:w="626" w:type="pct"/>
            <w:noWrap/>
            <w:vAlign w:val="bottom"/>
          </w:tcPr>
          <w:p w:rsidR="000F2973" w:rsidRPr="00F0622C" w:rsidRDefault="000F2973" w:rsidP="00F0622C">
            <w:pPr>
              <w:cnfStyle w:val="000000010000" w:firstRow="0" w:lastRow="0" w:firstColumn="0" w:lastColumn="0" w:oddVBand="0" w:evenVBand="0" w:oddHBand="0" w:evenHBand="1" w:firstRowFirstColumn="0" w:firstRowLastColumn="0" w:lastRowFirstColumn="0" w:lastRowLastColumn="0"/>
            </w:pPr>
            <w:r w:rsidRPr="00F0622C">
              <w:t xml:space="preserve">101 </w:t>
            </w:r>
          </w:p>
        </w:tc>
        <w:tc>
          <w:tcPr>
            <w:tcW w:w="625" w:type="pct"/>
            <w:noWrap/>
            <w:vAlign w:val="bottom"/>
          </w:tcPr>
          <w:p w:rsidR="000F2973" w:rsidRPr="00F0622C" w:rsidRDefault="000F2973" w:rsidP="00F0622C">
            <w:pPr>
              <w:cnfStyle w:val="000000010000" w:firstRow="0" w:lastRow="0" w:firstColumn="0" w:lastColumn="0" w:oddVBand="0" w:evenVBand="0" w:oddHBand="0" w:evenHBand="1" w:firstRowFirstColumn="0" w:firstRowLastColumn="0" w:lastRowFirstColumn="0" w:lastRowLastColumn="0"/>
            </w:pPr>
            <w:r w:rsidRPr="00F0622C">
              <w:t xml:space="preserve">103 </w:t>
            </w:r>
          </w:p>
        </w:tc>
      </w:tr>
      <w:tr w:rsidR="000F2973" w:rsidRPr="00F0622C" w:rsidTr="00F0622C">
        <w:trPr>
          <w:trHeight w:val="300"/>
        </w:trPr>
        <w:tc>
          <w:tcPr>
            <w:cnfStyle w:val="001000000000" w:firstRow="0" w:lastRow="0" w:firstColumn="1" w:lastColumn="0" w:oddVBand="0" w:evenVBand="0" w:oddHBand="0" w:evenHBand="0" w:firstRowFirstColumn="0" w:firstRowLastColumn="0" w:lastRowFirstColumn="0" w:lastRowLastColumn="0"/>
            <w:tcW w:w="1872" w:type="pct"/>
            <w:shd w:val="clear" w:color="auto" w:fill="auto"/>
            <w:noWrap/>
          </w:tcPr>
          <w:p w:rsidR="000F2973" w:rsidRPr="00F0622C" w:rsidRDefault="000F2973" w:rsidP="000B5499">
            <w:r w:rsidRPr="00F0622C">
              <w:t>Tariff D to tariff V movement</w:t>
            </w:r>
          </w:p>
        </w:tc>
        <w:tc>
          <w:tcPr>
            <w:tcW w:w="625" w:type="pct"/>
            <w:shd w:val="clear" w:color="auto" w:fill="auto"/>
            <w:noWrap/>
            <w:vAlign w:val="bottom"/>
          </w:tcPr>
          <w:p w:rsidR="000F2973" w:rsidRPr="00F0622C" w:rsidRDefault="000F2973" w:rsidP="00F0622C">
            <w:pPr>
              <w:cnfStyle w:val="000000000000" w:firstRow="0" w:lastRow="0" w:firstColumn="0" w:lastColumn="0" w:oddVBand="0" w:evenVBand="0" w:oddHBand="0" w:evenHBand="0" w:firstRowFirstColumn="0" w:firstRowLastColumn="0" w:lastRowFirstColumn="0" w:lastRowLastColumn="0"/>
            </w:pPr>
            <w:r w:rsidRPr="00F0622C">
              <w:t>0</w:t>
            </w:r>
          </w:p>
        </w:tc>
        <w:tc>
          <w:tcPr>
            <w:tcW w:w="626" w:type="pct"/>
            <w:shd w:val="clear" w:color="auto" w:fill="auto"/>
            <w:noWrap/>
            <w:vAlign w:val="bottom"/>
          </w:tcPr>
          <w:p w:rsidR="000F2973" w:rsidRPr="00F0622C" w:rsidRDefault="000F2973" w:rsidP="00F0622C">
            <w:pPr>
              <w:cnfStyle w:val="000000000000" w:firstRow="0" w:lastRow="0" w:firstColumn="0" w:lastColumn="0" w:oddVBand="0" w:evenVBand="0" w:oddHBand="0" w:evenHBand="0" w:firstRowFirstColumn="0" w:firstRowLastColumn="0" w:lastRowFirstColumn="0" w:lastRowLastColumn="0"/>
            </w:pPr>
            <w:r w:rsidRPr="00F0622C">
              <w:t>1</w:t>
            </w:r>
          </w:p>
        </w:tc>
        <w:tc>
          <w:tcPr>
            <w:tcW w:w="626" w:type="pct"/>
            <w:shd w:val="clear" w:color="auto" w:fill="auto"/>
            <w:noWrap/>
            <w:vAlign w:val="bottom"/>
          </w:tcPr>
          <w:p w:rsidR="000F2973" w:rsidRPr="00F0622C" w:rsidRDefault="000F2973" w:rsidP="00F0622C">
            <w:pPr>
              <w:cnfStyle w:val="000000000000" w:firstRow="0" w:lastRow="0" w:firstColumn="0" w:lastColumn="0" w:oddVBand="0" w:evenVBand="0" w:oddHBand="0" w:evenHBand="0" w:firstRowFirstColumn="0" w:firstRowLastColumn="0" w:lastRowFirstColumn="0" w:lastRowLastColumn="0"/>
            </w:pPr>
            <w:r w:rsidRPr="00F0622C">
              <w:t>0</w:t>
            </w:r>
          </w:p>
        </w:tc>
        <w:tc>
          <w:tcPr>
            <w:tcW w:w="626" w:type="pct"/>
            <w:shd w:val="clear" w:color="auto" w:fill="auto"/>
            <w:noWrap/>
            <w:vAlign w:val="bottom"/>
          </w:tcPr>
          <w:p w:rsidR="000F2973" w:rsidRPr="00F0622C" w:rsidRDefault="000F2973" w:rsidP="00F0622C">
            <w:pPr>
              <w:cnfStyle w:val="000000000000" w:firstRow="0" w:lastRow="0" w:firstColumn="0" w:lastColumn="0" w:oddVBand="0" w:evenVBand="0" w:oddHBand="0" w:evenHBand="0" w:firstRowFirstColumn="0" w:firstRowLastColumn="0" w:lastRowFirstColumn="0" w:lastRowLastColumn="0"/>
            </w:pPr>
            <w:r w:rsidRPr="00F0622C">
              <w:t>0</w:t>
            </w:r>
          </w:p>
        </w:tc>
        <w:tc>
          <w:tcPr>
            <w:tcW w:w="625" w:type="pct"/>
            <w:shd w:val="clear" w:color="auto" w:fill="auto"/>
            <w:noWrap/>
            <w:vAlign w:val="bottom"/>
          </w:tcPr>
          <w:p w:rsidR="000F2973" w:rsidRPr="00F0622C" w:rsidRDefault="000F2973" w:rsidP="00F0622C">
            <w:pPr>
              <w:cnfStyle w:val="000000000000" w:firstRow="0" w:lastRow="0" w:firstColumn="0" w:lastColumn="0" w:oddVBand="0" w:evenVBand="0" w:oddHBand="0" w:evenHBand="0" w:firstRowFirstColumn="0" w:firstRowLastColumn="0" w:lastRowFirstColumn="0" w:lastRowLastColumn="0"/>
            </w:pPr>
            <w:r w:rsidRPr="00F0622C">
              <w:t>0</w:t>
            </w:r>
          </w:p>
        </w:tc>
      </w:tr>
      <w:tr w:rsidR="000F2973" w:rsidRPr="0018218B" w:rsidTr="00F0622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2" w:type="pct"/>
            <w:noWrap/>
          </w:tcPr>
          <w:p w:rsidR="000F2973" w:rsidRPr="00F0622C" w:rsidRDefault="000F2973" w:rsidP="000B5499">
            <w:r w:rsidRPr="00F0622C">
              <w:t>Tariff V to tariff D movement</w:t>
            </w:r>
          </w:p>
        </w:tc>
        <w:tc>
          <w:tcPr>
            <w:tcW w:w="625" w:type="pct"/>
            <w:noWrap/>
            <w:vAlign w:val="bottom"/>
          </w:tcPr>
          <w:p w:rsidR="000F2973" w:rsidRPr="00F0622C" w:rsidRDefault="000F2973" w:rsidP="00F0622C">
            <w:pPr>
              <w:cnfStyle w:val="000000010000" w:firstRow="0" w:lastRow="0" w:firstColumn="0" w:lastColumn="0" w:oddVBand="0" w:evenVBand="0" w:oddHBand="0" w:evenHBand="1" w:firstRowFirstColumn="0" w:firstRowLastColumn="0" w:lastRowFirstColumn="0" w:lastRowLastColumn="0"/>
            </w:pPr>
            <w:r w:rsidRPr="00F0622C">
              <w:t>0</w:t>
            </w:r>
          </w:p>
        </w:tc>
        <w:tc>
          <w:tcPr>
            <w:tcW w:w="626" w:type="pct"/>
            <w:noWrap/>
            <w:vAlign w:val="bottom"/>
          </w:tcPr>
          <w:p w:rsidR="000F2973" w:rsidRPr="00F0622C" w:rsidRDefault="000F2973" w:rsidP="00F0622C">
            <w:pPr>
              <w:cnfStyle w:val="000000010000" w:firstRow="0" w:lastRow="0" w:firstColumn="0" w:lastColumn="0" w:oddVBand="0" w:evenVBand="0" w:oddHBand="0" w:evenHBand="1" w:firstRowFirstColumn="0" w:firstRowLastColumn="0" w:lastRowFirstColumn="0" w:lastRowLastColumn="0"/>
            </w:pPr>
            <w:r w:rsidRPr="00F0622C">
              <w:t>0</w:t>
            </w:r>
          </w:p>
        </w:tc>
        <w:tc>
          <w:tcPr>
            <w:tcW w:w="626" w:type="pct"/>
            <w:noWrap/>
            <w:vAlign w:val="bottom"/>
          </w:tcPr>
          <w:p w:rsidR="000F2973" w:rsidRPr="00F0622C" w:rsidRDefault="000F2973" w:rsidP="00F0622C">
            <w:pPr>
              <w:cnfStyle w:val="000000010000" w:firstRow="0" w:lastRow="0" w:firstColumn="0" w:lastColumn="0" w:oddVBand="0" w:evenVBand="0" w:oddHBand="0" w:evenHBand="1" w:firstRowFirstColumn="0" w:firstRowLastColumn="0" w:lastRowFirstColumn="0" w:lastRowLastColumn="0"/>
            </w:pPr>
            <w:r w:rsidRPr="00F0622C">
              <w:t>0</w:t>
            </w:r>
          </w:p>
        </w:tc>
        <w:tc>
          <w:tcPr>
            <w:tcW w:w="626" w:type="pct"/>
            <w:noWrap/>
            <w:vAlign w:val="bottom"/>
          </w:tcPr>
          <w:p w:rsidR="000F2973" w:rsidRPr="00F0622C" w:rsidRDefault="000F2973" w:rsidP="00F0622C">
            <w:pPr>
              <w:cnfStyle w:val="000000010000" w:firstRow="0" w:lastRow="0" w:firstColumn="0" w:lastColumn="0" w:oddVBand="0" w:evenVBand="0" w:oddHBand="0" w:evenHBand="1" w:firstRowFirstColumn="0" w:firstRowLastColumn="0" w:lastRowFirstColumn="0" w:lastRowLastColumn="0"/>
            </w:pPr>
            <w:r w:rsidRPr="00F0622C">
              <w:t>0</w:t>
            </w:r>
          </w:p>
        </w:tc>
        <w:tc>
          <w:tcPr>
            <w:tcW w:w="625" w:type="pct"/>
            <w:noWrap/>
            <w:vAlign w:val="bottom"/>
          </w:tcPr>
          <w:p w:rsidR="000F2973" w:rsidRPr="00F0622C" w:rsidRDefault="000F2973" w:rsidP="00F0622C">
            <w:pPr>
              <w:cnfStyle w:val="000000010000" w:firstRow="0" w:lastRow="0" w:firstColumn="0" w:lastColumn="0" w:oddVBand="0" w:evenVBand="0" w:oddHBand="0" w:evenHBand="1" w:firstRowFirstColumn="0" w:firstRowLastColumn="0" w:lastRowFirstColumn="0" w:lastRowLastColumn="0"/>
            </w:pPr>
            <w:r w:rsidRPr="00F0622C">
              <w:t>0</w:t>
            </w:r>
          </w:p>
        </w:tc>
      </w:tr>
    </w:tbl>
    <w:p w:rsidR="000B5499" w:rsidRPr="00290C63" w:rsidRDefault="000B5499" w:rsidP="000B5499">
      <w:pPr>
        <w:pStyle w:val="AERtablesource"/>
      </w:pPr>
      <w:r>
        <w:t xml:space="preserve">Source: </w:t>
      </w:r>
      <w:r w:rsidR="0016020D">
        <w:tab/>
      </w:r>
      <w:r>
        <w:t>AER analysis.</w:t>
      </w:r>
    </w:p>
    <w:p w:rsidR="009A5113" w:rsidRDefault="009A5113" w:rsidP="009A5113">
      <w:pPr>
        <w:pStyle w:val="Heading2"/>
      </w:pPr>
      <w:bookmarkStart w:id="16" w:name="_Toc436055509"/>
      <w:r w:rsidRPr="0074565D">
        <w:t>AER’s assessment approach</w:t>
      </w:r>
      <w:bookmarkEnd w:id="14"/>
      <w:bookmarkEnd w:id="16"/>
    </w:p>
    <w:p w:rsidR="00E77CBB" w:rsidRPr="0003496D" w:rsidRDefault="00E77CBB" w:rsidP="00E77CBB">
      <w:r w:rsidRPr="00AB30F3">
        <w:t>The NGR require a full access arrangement proposal for a distribution pipeline to include usage of the</w:t>
      </w:r>
      <w:r w:rsidRPr="0003496D">
        <w:t xml:space="preserve"> pipeline over the earlier access arrangement period showing:</w:t>
      </w:r>
    </w:p>
    <w:p w:rsidR="00E77CBB" w:rsidRPr="0003496D" w:rsidRDefault="00E77CBB" w:rsidP="00E77CBB">
      <w:pPr>
        <w:pStyle w:val="AERbulletlistfirststyle"/>
      </w:pPr>
      <w:r w:rsidRPr="00AB30F3">
        <w:t>minimum, maximum and average demand; and customer numbers in total and by tariff class</w:t>
      </w:r>
      <w:r w:rsidRPr="0003496D">
        <w:rPr>
          <w:rStyle w:val="FootnoteReference"/>
        </w:rPr>
        <w:footnoteReference w:id="4"/>
      </w:r>
    </w:p>
    <w:p w:rsidR="00E77CBB" w:rsidRDefault="00E77CBB" w:rsidP="00E77CBB">
      <w:pPr>
        <w:pStyle w:val="AERbulletlistfirststyle"/>
      </w:pPr>
      <w:proofErr w:type="gramStart"/>
      <w:r w:rsidRPr="00AB30F3">
        <w:t>to</w:t>
      </w:r>
      <w:proofErr w:type="gramEnd"/>
      <w:r w:rsidRPr="00AB30F3">
        <w:t xml:space="preserve"> the extent that it is practicable to forecast pipeline capacity and utilisation of pipeline capacity</w:t>
      </w:r>
      <w:r w:rsidRPr="0003496D">
        <w:t xml:space="preserve"> over the access arrangement period, a forecast of pipeline capacity and utilisation of pipeline capacity over that period and the basis on which the forecast has been derived.</w:t>
      </w:r>
      <w:r w:rsidRPr="0003496D">
        <w:rPr>
          <w:rStyle w:val="FootnoteReference"/>
        </w:rPr>
        <w:footnoteReference w:id="5"/>
      </w:r>
    </w:p>
    <w:p w:rsidR="00E77CBB" w:rsidRPr="0003496D" w:rsidRDefault="00E77CBB" w:rsidP="00E77CBB">
      <w:r w:rsidRPr="00AB30F3">
        <w:t>The NGR also require that forecasts and estimates:</w:t>
      </w:r>
      <w:r w:rsidRPr="0003496D">
        <w:rPr>
          <w:rStyle w:val="FootnoteReference"/>
        </w:rPr>
        <w:footnoteReference w:id="6"/>
      </w:r>
    </w:p>
    <w:p w:rsidR="00E77CBB" w:rsidRPr="0003496D" w:rsidRDefault="00E77CBB" w:rsidP="00E77CBB">
      <w:pPr>
        <w:pStyle w:val="AERbulletlistfirststyle"/>
      </w:pPr>
      <w:r w:rsidRPr="00AB30F3">
        <w:t>are arrived at on a reasonable basis</w:t>
      </w:r>
    </w:p>
    <w:p w:rsidR="00E77CBB" w:rsidRPr="00AB30F3" w:rsidRDefault="00E77CBB" w:rsidP="00E77CBB">
      <w:pPr>
        <w:pStyle w:val="AERbulletlistfirststyle"/>
      </w:pPr>
      <w:proofErr w:type="gramStart"/>
      <w:r w:rsidRPr="00AB30F3">
        <w:t>represent</w:t>
      </w:r>
      <w:proofErr w:type="gramEnd"/>
      <w:r w:rsidRPr="00AB30F3">
        <w:t xml:space="preserve"> the best forecast or estimate possible in the circumstances.</w:t>
      </w:r>
    </w:p>
    <w:p w:rsidR="00E77CBB" w:rsidRPr="0003496D" w:rsidRDefault="0023440D" w:rsidP="00E77CBB">
      <w:r>
        <w:t>The AER considers that there</w:t>
      </w:r>
      <w:r w:rsidRPr="00AB30F3">
        <w:t xml:space="preserve"> </w:t>
      </w:r>
      <w:r w:rsidR="00E77CBB" w:rsidRPr="00AB30F3">
        <w:t>are two important considerations in assessing whether demand forecasts are</w:t>
      </w:r>
      <w:r w:rsidR="00E77CBB" w:rsidRPr="0003496D">
        <w:t xml:space="preserve"> arrived at on a reasonable basis and whether they represent the best forecasts possible in the circumstances.</w:t>
      </w:r>
      <w:r w:rsidR="00E77CBB" w:rsidRPr="0003496D">
        <w:rPr>
          <w:rStyle w:val="FootnoteReference"/>
        </w:rPr>
        <w:footnoteReference w:id="7"/>
      </w:r>
      <w:r w:rsidR="00E77CBB" w:rsidRPr="0003496D">
        <w:t xml:space="preserve"> These are:</w:t>
      </w:r>
    </w:p>
    <w:p w:rsidR="00E77CBB" w:rsidRPr="0003496D" w:rsidRDefault="00E77CBB" w:rsidP="00E77CBB">
      <w:pPr>
        <w:pStyle w:val="AERbulletlistfirststyle"/>
      </w:pPr>
      <w:proofErr w:type="gramStart"/>
      <w:r w:rsidRPr="00AB30F3">
        <w:t>the</w:t>
      </w:r>
      <w:proofErr w:type="gramEnd"/>
      <w:r w:rsidRPr="0003496D">
        <w:t xml:space="preserve"> appropriateness of the forecast methodology – this involves consideration of how the demand forecast has been developed and whether or not relevant factors have been taken into account.</w:t>
      </w:r>
    </w:p>
    <w:p w:rsidR="00E77CBB" w:rsidRPr="00AB30F3" w:rsidRDefault="00E77CBB" w:rsidP="00E77CBB">
      <w:pPr>
        <w:pStyle w:val="AERbulletlistfirststyle"/>
      </w:pPr>
      <w:proofErr w:type="gramStart"/>
      <w:r w:rsidRPr="00AB30F3">
        <w:rPr>
          <w:rFonts w:cstheme="minorBidi"/>
        </w:rPr>
        <w:t>the</w:t>
      </w:r>
      <w:proofErr w:type="gramEnd"/>
      <w:r w:rsidRPr="00AB30F3">
        <w:rPr>
          <w:rFonts w:cstheme="minorBidi"/>
        </w:rPr>
        <w:t xml:space="preserve"> application of the forecasting methodology – this involves consideration of the accuracy of</w:t>
      </w:r>
      <w:r w:rsidRPr="0003496D">
        <w:t xml:space="preserve"> data and assumptions on each of the input parameters.</w:t>
      </w:r>
    </w:p>
    <w:p w:rsidR="00E77CBB" w:rsidRPr="0003496D" w:rsidRDefault="00E77CBB" w:rsidP="00E77CBB">
      <w:r w:rsidRPr="00AB30F3">
        <w:t xml:space="preserve">To determine whether </w:t>
      </w:r>
      <w:r>
        <w:t xml:space="preserve">AGN’s </w:t>
      </w:r>
      <w:r w:rsidRPr="00AB30F3">
        <w:t>proposed demand forecasts are arrived at on a reasonable basis and</w:t>
      </w:r>
      <w:r w:rsidRPr="0003496D">
        <w:t xml:space="preserve"> are the best possible</w:t>
      </w:r>
      <w:r w:rsidR="00C433C7">
        <w:t xml:space="preserve"> forecasts in the circumstances</w:t>
      </w:r>
      <w:r w:rsidRPr="0003496D">
        <w:t>, we</w:t>
      </w:r>
      <w:r w:rsidR="00010106">
        <w:t xml:space="preserve"> reviewed</w:t>
      </w:r>
      <w:r w:rsidRPr="0003496D">
        <w:t xml:space="preserve">: </w:t>
      </w:r>
    </w:p>
    <w:p w:rsidR="00E77CBB" w:rsidRDefault="00E77CBB" w:rsidP="00E77CBB">
      <w:pPr>
        <w:pStyle w:val="AERbulletlistfirststyle"/>
      </w:pPr>
      <w:r w:rsidRPr="00AB30F3">
        <w:t xml:space="preserve">information provided by </w:t>
      </w:r>
      <w:r w:rsidR="00C433C7">
        <w:t>AGN</w:t>
      </w:r>
      <w:r w:rsidRPr="00AB30F3">
        <w:t xml:space="preserve"> as part of its proposed access arrangeme</w:t>
      </w:r>
      <w:r w:rsidR="00C433C7">
        <w:t>nt; specifically, Core Energy demand model and its report</w:t>
      </w:r>
      <w:r w:rsidRPr="0003496D">
        <w:t xml:space="preserve"> on </w:t>
      </w:r>
      <w:r w:rsidR="00C433C7">
        <w:t xml:space="preserve">AGN’s </w:t>
      </w:r>
      <w:r w:rsidRPr="0003496D">
        <w:t>demand forecasts, access arrangement information and responses to the regulatory information notice (RIN)</w:t>
      </w:r>
    </w:p>
    <w:p w:rsidR="00487CBF" w:rsidRPr="0003496D" w:rsidRDefault="00C433C7" w:rsidP="00487CBF">
      <w:pPr>
        <w:pStyle w:val="AERbulletlistfirststyle"/>
      </w:pPr>
      <w:proofErr w:type="gramStart"/>
      <w:r>
        <w:t>advice</w:t>
      </w:r>
      <w:proofErr w:type="gramEnd"/>
      <w:r>
        <w:t xml:space="preserve"> from ACIL Allen in its review of AGN’s demand forecasts</w:t>
      </w:r>
      <w:r w:rsidR="00487CBF">
        <w:t xml:space="preserve">. </w:t>
      </w:r>
      <w:r w:rsidR="00487CBF" w:rsidRPr="00487CBF">
        <w:t>ACIL Allen reviewed A</w:t>
      </w:r>
      <w:r w:rsidR="0098693E">
        <w:t>GN</w:t>
      </w:r>
      <w:r w:rsidR="00487CBF" w:rsidRPr="00487CBF">
        <w:t>’s demand forecasts and</w:t>
      </w:r>
      <w:r w:rsidR="00487CBF">
        <w:t xml:space="preserve"> assisted</w:t>
      </w:r>
      <w:r w:rsidR="00487CBF" w:rsidRPr="00487CBF">
        <w:t xml:space="preserve"> in developing alternative demand forecasts where we were not satisfied that forecasts comply with the requirements of the NGR.</w:t>
      </w:r>
    </w:p>
    <w:p w:rsidR="00E77CBB" w:rsidRPr="00E77CBB" w:rsidRDefault="00E77CBB" w:rsidP="00E77CBB">
      <w:pPr>
        <w:pStyle w:val="AERbulletlistfirststyle"/>
      </w:pPr>
      <w:r w:rsidRPr="00AB30F3">
        <w:t>additio</w:t>
      </w:r>
      <w:r>
        <w:t>nal information provided by</w:t>
      </w:r>
      <w:r w:rsidR="00C433C7">
        <w:t xml:space="preserve"> AGN</w:t>
      </w:r>
      <w:r>
        <w:t xml:space="preserve"> </w:t>
      </w:r>
      <w:r w:rsidRPr="00AB30F3">
        <w:t>in response to our information requests</w:t>
      </w:r>
    </w:p>
    <w:p w:rsidR="005C0A7F" w:rsidRDefault="005C0A7F" w:rsidP="005C0A7F">
      <w:pPr>
        <w:pStyle w:val="Heading3"/>
      </w:pPr>
      <w:bookmarkStart w:id="17" w:name="_Toc436055510"/>
      <w:r>
        <w:t>Interrelationships</w:t>
      </w:r>
      <w:bookmarkEnd w:id="17"/>
    </w:p>
    <w:p w:rsidR="00010106" w:rsidRDefault="00010106" w:rsidP="00010106">
      <w:bookmarkStart w:id="18" w:name="_Toc420069980"/>
      <w:r>
        <w:t>We have considered the relevant interrelationships between different components of AGN's access arrangement as part of our analysis.</w:t>
      </w:r>
    </w:p>
    <w:p w:rsidR="00010106" w:rsidRPr="005B3FD2" w:rsidRDefault="00010106" w:rsidP="00010106">
      <w:r>
        <w:t xml:space="preserve">Several interrelationships exist. This includes the effect of forecast demand on </w:t>
      </w:r>
      <w:r w:rsidRPr="002920DF">
        <w:t xml:space="preserve">the efficient </w:t>
      </w:r>
      <w:r>
        <w:t>amount</w:t>
      </w:r>
      <w:r w:rsidRPr="002920DF">
        <w:t xml:space="preserve"> of capex and opex </w:t>
      </w:r>
      <w:r>
        <w:t xml:space="preserve">and tariffs </w:t>
      </w:r>
      <w:r w:rsidRPr="002920DF">
        <w:t xml:space="preserve">in the </w:t>
      </w:r>
      <w:r>
        <w:t>2016–21 access arrangement</w:t>
      </w:r>
      <w:r w:rsidRPr="002920DF">
        <w:t xml:space="preserve"> </w:t>
      </w:r>
      <w:proofErr w:type="gramStart"/>
      <w:r>
        <w:t>period</w:t>
      </w:r>
      <w:proofErr w:type="gramEnd"/>
      <w:r>
        <w:t>. In particular, the demand forecasts impact</w:t>
      </w:r>
      <w:r w:rsidRPr="005B3FD2">
        <w:t>:</w:t>
      </w:r>
    </w:p>
    <w:p w:rsidR="00010106" w:rsidRPr="00C433C7" w:rsidRDefault="00010106" w:rsidP="00010106">
      <w:pPr>
        <w:pStyle w:val="AERbulletlistfirststyle"/>
        <w:ind w:left="357" w:hanging="357"/>
        <w:rPr>
          <w:rFonts w:cstheme="minorBidi"/>
        </w:rPr>
      </w:pPr>
      <w:r w:rsidRPr="00C433C7">
        <w:rPr>
          <w:rFonts w:cstheme="minorBidi"/>
        </w:rPr>
        <w:t>approved tariff V connections capex</w:t>
      </w:r>
      <w:r>
        <w:rPr>
          <w:rFonts w:cstheme="minorBidi"/>
        </w:rPr>
        <w:t>,</w:t>
      </w:r>
      <w:r w:rsidRPr="00C433C7">
        <w:rPr>
          <w:rFonts w:cstheme="minorBidi"/>
        </w:rPr>
        <w:t xml:space="preserve"> </w:t>
      </w:r>
      <w:r>
        <w:t xml:space="preserve">given the </w:t>
      </w:r>
      <w:r w:rsidRPr="005B3FD2">
        <w:t>number of new connections affect</w:t>
      </w:r>
      <w:r>
        <w:t>s</w:t>
      </w:r>
      <w:r w:rsidRPr="005B3FD2">
        <w:t xml:space="preserve"> the </w:t>
      </w:r>
      <w:r>
        <w:t xml:space="preserve">amount of </w:t>
      </w:r>
      <w:r w:rsidRPr="005B3FD2">
        <w:t>approved connections capex</w:t>
      </w:r>
    </w:p>
    <w:p w:rsidR="00010106" w:rsidRPr="00C433C7" w:rsidRDefault="00010106" w:rsidP="00010106">
      <w:pPr>
        <w:pStyle w:val="Bulletpoint"/>
        <w:numPr>
          <w:ilvl w:val="0"/>
          <w:numId w:val="2"/>
        </w:numPr>
        <w:rPr>
          <w:rFonts w:cstheme="minorBidi"/>
        </w:rPr>
      </w:pPr>
      <w:r w:rsidRPr="00C433C7">
        <w:rPr>
          <w:rFonts w:cstheme="minorBidi"/>
        </w:rPr>
        <w:t>approved opex</w:t>
      </w:r>
      <w:r>
        <w:rPr>
          <w:rFonts w:cstheme="minorBidi"/>
        </w:rPr>
        <w:t>, given the</w:t>
      </w:r>
      <w:r w:rsidRPr="00C433C7">
        <w:rPr>
          <w:rFonts w:cstheme="minorBidi"/>
        </w:rPr>
        <w:t xml:space="preserve"> forecast total connections numbers and total consumption (output growth) is used in deriv</w:t>
      </w:r>
      <w:r>
        <w:rPr>
          <w:rFonts w:cstheme="minorBidi"/>
        </w:rPr>
        <w:t>ing</w:t>
      </w:r>
      <w:r w:rsidRPr="00C433C7">
        <w:rPr>
          <w:rFonts w:cstheme="minorBidi"/>
        </w:rPr>
        <w:t xml:space="preserve"> the additional opex required to service the larger network</w:t>
      </w:r>
    </w:p>
    <w:p w:rsidR="00010106" w:rsidRPr="005D2413" w:rsidRDefault="00010106" w:rsidP="00010106">
      <w:pPr>
        <w:pStyle w:val="AERbulletlistfirststyle"/>
        <w:ind w:left="357" w:hanging="357"/>
        <w:rPr>
          <w:rFonts w:cstheme="minorBidi"/>
        </w:rPr>
      </w:pPr>
      <w:proofErr w:type="gramStart"/>
      <w:r w:rsidRPr="00C433C7">
        <w:rPr>
          <w:rFonts w:cstheme="minorBidi"/>
        </w:rPr>
        <w:t>tariff</w:t>
      </w:r>
      <w:proofErr w:type="gramEnd"/>
      <w:r w:rsidRPr="00C433C7">
        <w:rPr>
          <w:rFonts w:cstheme="minorBidi"/>
        </w:rPr>
        <w:t xml:space="preserve"> prices</w:t>
      </w:r>
      <w:r>
        <w:rPr>
          <w:rFonts w:cstheme="minorBidi"/>
        </w:rPr>
        <w:t>, given they</w:t>
      </w:r>
      <w:r w:rsidRPr="00C433C7">
        <w:rPr>
          <w:rFonts w:cstheme="minorBidi"/>
        </w:rPr>
        <w:t xml:space="preserve"> depend on forecast consumption (demand) per connection. Changes in these forecasts will change tariff prices. In simple terms, tariff prices are determined by cost divided by quantity (where quantity is measured by demand per connection). This means that an increase in forecast quantity has the effect of reducing the tariff price.</w:t>
      </w:r>
    </w:p>
    <w:p w:rsidR="00072F19" w:rsidRDefault="00072F19" w:rsidP="00072F19">
      <w:pPr>
        <w:pStyle w:val="Heading3"/>
      </w:pPr>
      <w:bookmarkStart w:id="19" w:name="_Toc436055511"/>
      <w:r>
        <w:t>Minimum, maximum and average demand</w:t>
      </w:r>
      <w:bookmarkEnd w:id="18"/>
      <w:bookmarkEnd w:id="19"/>
    </w:p>
    <w:p w:rsidR="00072F19" w:rsidRDefault="00072F19" w:rsidP="00072F19">
      <w:r>
        <w:t>Under the NGR, AGN’s</w:t>
      </w:r>
      <w:r w:rsidRPr="008116EA">
        <w:t xml:space="preserve"> access arrangement information must include minimum, maximum and</w:t>
      </w:r>
      <w:r w:rsidRPr="007633B4">
        <w:t xml:space="preserve"> average demand for the earlier access arrangement</w:t>
      </w:r>
      <w:r>
        <w:t xml:space="preserve"> period</w:t>
      </w:r>
      <w:r w:rsidRPr="007633B4">
        <w:t>.</w:t>
      </w:r>
      <w:r w:rsidRPr="007633B4">
        <w:rPr>
          <w:rStyle w:val="FootnoteReference"/>
        </w:rPr>
        <w:footnoteReference w:id="8"/>
      </w:r>
      <w:r w:rsidRPr="007633B4">
        <w:t xml:space="preserve"> </w:t>
      </w:r>
    </w:p>
    <w:p w:rsidR="00072F19" w:rsidRPr="00AF1F9E" w:rsidRDefault="00072F19" w:rsidP="00072F19">
      <w:r w:rsidRPr="007633B4">
        <w:t xml:space="preserve">We consider that </w:t>
      </w:r>
      <w:r w:rsidR="002C31FE">
        <w:t>AGN’s</w:t>
      </w:r>
      <w:r>
        <w:t xml:space="preserve"> access arrangement </w:t>
      </w:r>
      <w:r w:rsidRPr="007633B4">
        <w:t>information satisfies the requirement of r</w:t>
      </w:r>
      <w:r>
        <w:t>ule </w:t>
      </w:r>
      <w:r w:rsidR="002C31FE">
        <w:t>72(1</w:t>
      </w:r>
      <w:proofErr w:type="gramStart"/>
      <w:r w:rsidR="002C31FE">
        <w:t>)(</w:t>
      </w:r>
      <w:proofErr w:type="gramEnd"/>
      <w:r w:rsidR="002C31FE">
        <w:t>a)(iii)</w:t>
      </w:r>
      <w:r w:rsidRPr="007633B4">
        <w:t xml:space="preserve"> of the NGR.</w:t>
      </w:r>
      <w:r w:rsidRPr="007633B4">
        <w:rPr>
          <w:rStyle w:val="FootnoteReference"/>
        </w:rPr>
        <w:footnoteReference w:id="9"/>
      </w:r>
      <w:r w:rsidRPr="007633B4">
        <w:t xml:space="preserve"> </w:t>
      </w:r>
    </w:p>
    <w:p w:rsidR="00D923A3" w:rsidRDefault="00D923A3" w:rsidP="00D923A3">
      <w:pPr>
        <w:pStyle w:val="Heading3"/>
      </w:pPr>
      <w:bookmarkStart w:id="20" w:name="_Toc420069981"/>
      <w:bookmarkStart w:id="21" w:name="_Toc436055512"/>
      <w:r>
        <w:t>Forecast pipeline capacity and utilisation</w:t>
      </w:r>
      <w:bookmarkEnd w:id="20"/>
      <w:bookmarkEnd w:id="21"/>
    </w:p>
    <w:p w:rsidR="00010106" w:rsidRDefault="00010106" w:rsidP="00010106">
      <w:bookmarkStart w:id="22" w:name="_Toc408404324"/>
      <w:r>
        <w:t>T</w:t>
      </w:r>
      <w:r w:rsidRPr="00C85EC6">
        <w:t xml:space="preserve">he NGR require that to the extent practicable, </w:t>
      </w:r>
      <w:r w:rsidRPr="00213AF7">
        <w:t xml:space="preserve">the </w:t>
      </w:r>
      <w:r>
        <w:t>AAI</w:t>
      </w:r>
      <w:r w:rsidRPr="00213AF7">
        <w:t xml:space="preserve"> should include forecast pipeline capacity and utilisation of pipeline capacity over </w:t>
      </w:r>
      <w:r>
        <w:t>the access arrangement period.</w:t>
      </w:r>
      <w:r>
        <w:rPr>
          <w:rStyle w:val="FootnoteReference"/>
        </w:rPr>
        <w:footnoteReference w:id="10"/>
      </w:r>
      <w:r>
        <w:t xml:space="preserve"> AGN</w:t>
      </w:r>
      <w:r w:rsidRPr="00213AF7">
        <w:t xml:space="preserve"> did not provide information </w:t>
      </w:r>
      <w:r>
        <w:t xml:space="preserve">and </w:t>
      </w:r>
      <w:r w:rsidRPr="00213AF7">
        <w:t>submitted that:</w:t>
      </w:r>
      <w:r>
        <w:rPr>
          <w:rStyle w:val="FootnoteReference"/>
        </w:rPr>
        <w:footnoteReference w:id="11"/>
      </w:r>
    </w:p>
    <w:p w:rsidR="00010106" w:rsidRDefault="00010106" w:rsidP="00010106">
      <w:pPr>
        <w:pStyle w:val="AERquoteindent1"/>
      </w:pPr>
      <w:r>
        <w:t xml:space="preserve">Rule 72 of the National Gas Rules (NGR) requires AGN, to the extent it is practicable, to provide a forecast of pipeline capacity and utilisation over the next (2016/17 to 2020/21) AA period. As previously indicated to the Australian Energy Regulator (AER), such parameters are not relevant or have no meaning in the context of a natural gas distribution network. This reflects that the Network consists of a variety of inter-linked pipe materials, each with a different capacity (unlike natural gas transmission pipelines). </w:t>
      </w:r>
    </w:p>
    <w:p w:rsidR="00010106" w:rsidRDefault="00010106" w:rsidP="00010106">
      <w:r w:rsidRPr="00C85EC6">
        <w:t xml:space="preserve">We </w:t>
      </w:r>
      <w:r>
        <w:t>recognise</w:t>
      </w:r>
      <w:r w:rsidRPr="00C85EC6">
        <w:t xml:space="preserve"> </w:t>
      </w:r>
      <w:r>
        <w:t>there are</w:t>
      </w:r>
      <w:r w:rsidRPr="00C85EC6">
        <w:t xml:space="preserve"> practical considerations </w:t>
      </w:r>
      <w:r>
        <w:t>which mean that calculating capacity is not straightforward</w:t>
      </w:r>
      <w:r w:rsidRPr="00213AF7">
        <w:t>.</w:t>
      </w:r>
    </w:p>
    <w:p w:rsidR="005D2413" w:rsidRDefault="005D2413" w:rsidP="005D2413">
      <w:pPr>
        <w:pStyle w:val="Heading2"/>
      </w:pPr>
      <w:bookmarkStart w:id="23" w:name="_Toc436055513"/>
      <w:r w:rsidRPr="0074565D">
        <w:t xml:space="preserve">Reasons for </w:t>
      </w:r>
      <w:r>
        <w:t>draft</w:t>
      </w:r>
      <w:r w:rsidRPr="0074565D">
        <w:t xml:space="preserve"> decision</w:t>
      </w:r>
      <w:bookmarkEnd w:id="22"/>
      <w:bookmarkEnd w:id="23"/>
      <w:r w:rsidRPr="0074565D">
        <w:t xml:space="preserve"> </w:t>
      </w:r>
    </w:p>
    <w:p w:rsidR="00010106" w:rsidRDefault="00010106" w:rsidP="00010106">
      <w:r>
        <w:t>Our position in this draft decision is to:</w:t>
      </w:r>
    </w:p>
    <w:p w:rsidR="00010106" w:rsidRDefault="00010106" w:rsidP="00010106">
      <w:pPr>
        <w:pStyle w:val="AERbulletlistfirststyle"/>
      </w:pPr>
      <w:r>
        <w:t>not approve AGN’s proposed Tariff V demand forecasts</w:t>
      </w:r>
    </w:p>
    <w:p w:rsidR="00010106" w:rsidRDefault="00010106" w:rsidP="00010106">
      <w:pPr>
        <w:pStyle w:val="AERbulletlistfirststyle"/>
      </w:pPr>
      <w:proofErr w:type="gramStart"/>
      <w:r>
        <w:t>approve</w:t>
      </w:r>
      <w:proofErr w:type="gramEnd"/>
      <w:r>
        <w:t xml:space="preserve"> AGN’s proposed Tariff D demand forecasts.</w:t>
      </w:r>
    </w:p>
    <w:p w:rsidR="00010106" w:rsidRDefault="00010106" w:rsidP="00010106">
      <w:r>
        <w:t>We do not consider AGN’s proposed Tariff V demand forecasts comply with the NGR.</w:t>
      </w:r>
      <w:r>
        <w:rPr>
          <w:rStyle w:val="FootnoteReference"/>
        </w:rPr>
        <w:footnoteReference w:id="12"/>
      </w:r>
      <w:r>
        <w:t xml:space="preserve"> In particular, we do not consider that AGN’s forecasting methodology for Tariff V residential and business consumption per connection results in forecasts</w:t>
      </w:r>
      <w:r w:rsidRPr="00F22F02">
        <w:t xml:space="preserve"> </w:t>
      </w:r>
      <w:r>
        <w:t xml:space="preserve">that are arrived at on a reasonable basis and that represent the </w:t>
      </w:r>
      <w:r w:rsidRPr="00F22F02">
        <w:t>best estimate</w:t>
      </w:r>
      <w:r>
        <w:t>s</w:t>
      </w:r>
      <w:r w:rsidRPr="00F22F02">
        <w:t xml:space="preserve"> in the circumstances. </w:t>
      </w:r>
    </w:p>
    <w:p w:rsidR="00E74942" w:rsidRPr="00646B82" w:rsidRDefault="00E74942" w:rsidP="00E74942">
      <w:r>
        <w:t>We discuss our reasons below.</w:t>
      </w:r>
    </w:p>
    <w:p w:rsidR="00010106" w:rsidRDefault="00E74942" w:rsidP="00010106">
      <w:r>
        <w:t xml:space="preserve">We </w:t>
      </w:r>
      <w:r w:rsidR="00010106">
        <w:t>consider that proposed Tariff D demand forecasts</w:t>
      </w:r>
      <w:r w:rsidR="00010106" w:rsidRPr="00AD2F03">
        <w:t xml:space="preserve"> </w:t>
      </w:r>
      <w:r w:rsidR="00010106">
        <w:t xml:space="preserve">are arrived at on a reasonable basis and that represent the </w:t>
      </w:r>
      <w:r w:rsidR="00010106" w:rsidRPr="00F22F02">
        <w:t>best estimate</w:t>
      </w:r>
      <w:r w:rsidR="00010106">
        <w:t>s</w:t>
      </w:r>
      <w:r w:rsidR="00010106" w:rsidRPr="00F22F02">
        <w:t xml:space="preserve"> in the circumstances</w:t>
      </w:r>
      <w:r w:rsidR="00010106">
        <w:t>.</w:t>
      </w:r>
    </w:p>
    <w:p w:rsidR="005D2413" w:rsidRDefault="00040698" w:rsidP="005D2413">
      <w:pPr>
        <w:pStyle w:val="Heading2"/>
      </w:pPr>
      <w:bookmarkStart w:id="24" w:name="_Toc436055514"/>
      <w:r>
        <w:t>Tariff V consumption per connection</w:t>
      </w:r>
      <w:bookmarkEnd w:id="24"/>
      <w:r>
        <w:t xml:space="preserve"> </w:t>
      </w:r>
    </w:p>
    <w:p w:rsidR="00010106" w:rsidRDefault="00010106" w:rsidP="00010106">
      <w:r>
        <w:t>Core Energy’s approach to forecasting Tariff V consumption projects is to separately forecast consumption per connection and the number of customer connections. Total forecast demand is calculated as the product of the two.</w:t>
      </w:r>
      <w:r>
        <w:rPr>
          <w:rStyle w:val="FootnoteReference"/>
        </w:rPr>
        <w:footnoteReference w:id="13"/>
      </w:r>
      <w:r>
        <w:t xml:space="preserve"> </w:t>
      </w:r>
    </w:p>
    <w:p w:rsidR="00010106" w:rsidRDefault="00010106" w:rsidP="00010106">
      <w:r>
        <w:t>Based on the information before us, we are satisfied with Core Energy’s forecasts of number of customer connections. We are also persuaded by ACIL Allen’s advice that arrives at the same conclusion.</w:t>
      </w:r>
      <w:r>
        <w:rPr>
          <w:rStyle w:val="FootnoteReference"/>
        </w:rPr>
        <w:footnoteReference w:id="14"/>
      </w:r>
      <w:r>
        <w:t xml:space="preserve"> Our concerns relate to Core Energy’s forecasting methodology for Tariff V residential and commercial consumption per connection.</w:t>
      </w:r>
    </w:p>
    <w:p w:rsidR="00010106" w:rsidRDefault="00010106" w:rsidP="00010106">
      <w:r>
        <w:t>Core Energy uses the following methodology to forecast Tariff V residential and commercial consumption per connection:</w:t>
      </w:r>
    </w:p>
    <w:p w:rsidR="00B51D1A" w:rsidRDefault="00B51D1A" w:rsidP="00B51D1A">
      <w:pPr>
        <w:pStyle w:val="ListNumber"/>
        <w:tabs>
          <w:tab w:val="clear" w:pos="340"/>
          <w:tab w:val="num" w:pos="360"/>
        </w:tabs>
      </w:pPr>
      <w:r w:rsidRPr="00BF58D5">
        <w:t xml:space="preserve">Historic demand </w:t>
      </w:r>
      <w:r>
        <w:t>is</w:t>
      </w:r>
      <w:r w:rsidRPr="00BF58D5">
        <w:t xml:space="preserve"> normalised to remove the impact of </w:t>
      </w:r>
      <w:r>
        <w:t xml:space="preserve">abnormal </w:t>
      </w:r>
      <w:r w:rsidRPr="00BF58D5">
        <w:t>weather and to derive a per customer forecast based on historic trends (i.e. where demand is primarily a function of demand in the previous year plus a trend factor).</w:t>
      </w:r>
      <w:r>
        <w:rPr>
          <w:rStyle w:val="FootnoteReference"/>
        </w:rPr>
        <w:footnoteReference w:id="15"/>
      </w:r>
    </w:p>
    <w:p w:rsidR="00B51D1A" w:rsidRDefault="00B51D1A" w:rsidP="00B51D1A">
      <w:pPr>
        <w:pStyle w:val="ListNumber"/>
        <w:numPr>
          <w:ilvl w:val="0"/>
          <w:numId w:val="0"/>
        </w:numPr>
        <w:ind w:left="340"/>
      </w:pPr>
      <w:r>
        <w:t>Based on the information before us, we are satisfied with Core Energy’s weather normalisation of the historical data. We are also persuaded by ACIL Allen’s advice that arrives at the same conclusion.</w:t>
      </w:r>
      <w:r>
        <w:rPr>
          <w:rStyle w:val="FootnoteReference"/>
        </w:rPr>
        <w:footnoteReference w:id="16"/>
      </w:r>
    </w:p>
    <w:p w:rsidR="00B51D1A" w:rsidRPr="00B93DC4" w:rsidRDefault="00B51D1A" w:rsidP="00B51D1A">
      <w:pPr>
        <w:pStyle w:val="ListNumber"/>
        <w:tabs>
          <w:tab w:val="clear" w:pos="340"/>
          <w:tab w:val="num" w:pos="360"/>
        </w:tabs>
        <w:rPr>
          <w:rFonts w:ascii="Times New Roman" w:eastAsia="Times New Roman" w:hAnsi="Times New Roman" w:cs="Times New Roman"/>
          <w:sz w:val="24"/>
          <w:szCs w:val="24"/>
        </w:rPr>
      </w:pPr>
      <w:r>
        <w:t>The historical trend is projected forward based on an analysis of the change in consumption per connection from 2011 to 2014 for each of the following:</w:t>
      </w:r>
      <w:r w:rsidRPr="00776CC8">
        <w:t xml:space="preserve"> </w:t>
      </w:r>
    </w:p>
    <w:p w:rsidR="00B51D1A" w:rsidRPr="00BF58D5" w:rsidRDefault="00B51D1A" w:rsidP="00B51D1A">
      <w:pPr>
        <w:pStyle w:val="AERbulletlistfirststyle"/>
        <w:ind w:left="700"/>
      </w:pPr>
      <w:r>
        <w:t>r</w:t>
      </w:r>
      <w:r w:rsidRPr="00BF58D5">
        <w:t>esidential connection</w:t>
      </w:r>
      <w:r>
        <w:t xml:space="preserve"> types</w:t>
      </w:r>
      <w:r w:rsidRPr="00BF58D5">
        <w:t xml:space="preserve">: </w:t>
      </w:r>
    </w:p>
    <w:p w:rsidR="00B51D1A" w:rsidRPr="00BF58D5" w:rsidRDefault="00B51D1A" w:rsidP="00B51D1A">
      <w:pPr>
        <w:pStyle w:val="AERbulletlistsecondstyle"/>
        <w:ind w:left="1338"/>
      </w:pPr>
      <w:r>
        <w:t>incumbent customers (Core Energy refers to these customers as ‘e</w:t>
      </w:r>
      <w:r w:rsidRPr="00BF58D5">
        <w:t>xisting customers</w:t>
      </w:r>
      <w:r>
        <w:t>’)</w:t>
      </w:r>
    </w:p>
    <w:p w:rsidR="00B51D1A" w:rsidRDefault="00B51D1A" w:rsidP="00B51D1A">
      <w:pPr>
        <w:pStyle w:val="AERbulletlistsecondstyle"/>
        <w:ind w:left="1338"/>
      </w:pPr>
      <w:r>
        <w:t>new dwellings – new estates:</w:t>
      </w:r>
    </w:p>
    <w:p w:rsidR="00B51D1A" w:rsidRDefault="00B51D1A" w:rsidP="00B51D1A">
      <w:pPr>
        <w:pStyle w:val="AERbulletlistsecondstyle"/>
        <w:ind w:left="1338"/>
      </w:pPr>
      <w:r>
        <w:t>new dwellings – medium density/high rise (MD/HR)</w:t>
      </w:r>
    </w:p>
    <w:p w:rsidR="00B51D1A" w:rsidRDefault="00B51D1A" w:rsidP="00B51D1A">
      <w:pPr>
        <w:pStyle w:val="AERbulletlistsecondstyle"/>
        <w:ind w:left="1338"/>
      </w:pPr>
      <w:r>
        <w:t xml:space="preserve">new electricity to gas (E to G) connections </w:t>
      </w:r>
    </w:p>
    <w:p w:rsidR="00B51D1A" w:rsidRDefault="00B51D1A" w:rsidP="00B51D1A">
      <w:pPr>
        <w:pStyle w:val="AERbulletlistfirststyle"/>
        <w:ind w:left="700"/>
      </w:pPr>
      <w:r>
        <w:t>commercial connections types:</w:t>
      </w:r>
    </w:p>
    <w:p w:rsidR="00B51D1A" w:rsidRDefault="00B51D1A" w:rsidP="00B51D1A">
      <w:pPr>
        <w:pStyle w:val="AERbulletlistsecondstyle"/>
        <w:ind w:left="1338"/>
      </w:pPr>
      <w:r>
        <w:t>incumbent (Core Energy refers to these customers as ‘e</w:t>
      </w:r>
      <w:r w:rsidRPr="00BF58D5">
        <w:t>xisting customers</w:t>
      </w:r>
      <w:r>
        <w:t>’)</w:t>
      </w:r>
    </w:p>
    <w:p w:rsidR="00B51D1A" w:rsidRDefault="00B51D1A" w:rsidP="00B51D1A">
      <w:pPr>
        <w:pStyle w:val="AERbulletlistsecondstyle"/>
        <w:ind w:left="1338"/>
      </w:pPr>
      <w:r>
        <w:t>new commercial</w:t>
      </w:r>
    </w:p>
    <w:p w:rsidR="00B51D1A" w:rsidRDefault="00B51D1A" w:rsidP="00B51D1A">
      <w:pPr>
        <w:pStyle w:val="ListNumber"/>
      </w:pPr>
      <w:r>
        <w:t>Two p</w:t>
      </w:r>
      <w:r w:rsidRPr="00BF58D5">
        <w:t xml:space="preserve">ost-model adjustments are made to </w:t>
      </w:r>
      <w:r>
        <w:t>the</w:t>
      </w:r>
      <w:r w:rsidRPr="00BF58D5">
        <w:t xml:space="preserve"> historic trend </w:t>
      </w:r>
      <w:r>
        <w:t xml:space="preserve">to account </w:t>
      </w:r>
      <w:r w:rsidRPr="00BF58D5">
        <w:t xml:space="preserve">for </w:t>
      </w:r>
      <w:r>
        <w:t xml:space="preserve">forecast changes in the price of gas and </w:t>
      </w:r>
      <w:r w:rsidRPr="00BF58D5">
        <w:t>electricity</w:t>
      </w:r>
      <w:r>
        <w:t>, which may differ from historical changes.</w:t>
      </w:r>
      <w:r>
        <w:rPr>
          <w:rStyle w:val="FootnoteReference"/>
        </w:rPr>
        <w:footnoteReference w:id="17"/>
      </w:r>
      <w:r>
        <w:t xml:space="preserve"> </w:t>
      </w:r>
    </w:p>
    <w:p w:rsidR="009A6724" w:rsidRDefault="009A6724" w:rsidP="009A6724">
      <w:pPr>
        <w:pStyle w:val="Heading3"/>
      </w:pPr>
      <w:bookmarkStart w:id="25" w:name="_Toc436055515"/>
      <w:r>
        <w:t>Methodological error with Core Energy’s forecasting approach</w:t>
      </w:r>
      <w:bookmarkEnd w:id="25"/>
    </w:p>
    <w:p w:rsidR="00B51D1A" w:rsidRDefault="00B51D1A" w:rsidP="00B51D1A">
      <w:r>
        <w:t xml:space="preserve">We do not consider that AGN’s proposed forecasts for residential and commercial consumption per connection have been arrived at on a reasonable basis and are the best estimates in the circumstances. </w:t>
      </w:r>
    </w:p>
    <w:p w:rsidR="00B51D1A" w:rsidRDefault="00B51D1A" w:rsidP="007A2E65">
      <w:r>
        <w:t xml:space="preserve">In particular, how Core Energy has calculated the average annual growth rate that it applied to the historical trend </w:t>
      </w:r>
      <w:r w:rsidR="00E74942">
        <w:t xml:space="preserve">to forecast </w:t>
      </w:r>
      <w:r>
        <w:t>residential and commercial consumption per connection appears incorrect.</w:t>
      </w:r>
    </w:p>
    <w:p w:rsidR="00A47687" w:rsidRDefault="00A47687" w:rsidP="00A47687">
      <w:r>
        <w:t xml:space="preserve">Table 13.4 sets out AGN’s proposed average annual change in consumption per connection as well as our alternative estimate over the forecast period. </w:t>
      </w:r>
    </w:p>
    <w:p w:rsidR="00A47687" w:rsidRPr="00776CC8" w:rsidRDefault="00A47687" w:rsidP="009B32A4">
      <w:pPr>
        <w:pStyle w:val="Tabletitle"/>
      </w:pPr>
      <w:r>
        <w:t xml:space="preserve">Table 13.4 </w:t>
      </w:r>
      <w:r w:rsidRPr="00CF204B">
        <w:t>–</w:t>
      </w:r>
      <w:r>
        <w:t xml:space="preserve">Consumption per connection </w:t>
      </w:r>
      <w:r w:rsidR="00D41EDB">
        <w:t xml:space="preserve">– </w:t>
      </w:r>
      <w:r>
        <w:t xml:space="preserve">average annual </w:t>
      </w:r>
      <w:proofErr w:type="gramStart"/>
      <w:r>
        <w:t>growth</w:t>
      </w:r>
      <w:proofErr w:type="gramEnd"/>
      <w:r>
        <w:t xml:space="preserve"> (per cent) </w:t>
      </w:r>
    </w:p>
    <w:tbl>
      <w:tblPr>
        <w:tblStyle w:val="AERtable-numbers"/>
        <w:tblW w:w="8693" w:type="dxa"/>
        <w:tblLayout w:type="fixed"/>
        <w:tblLook w:val="04A0" w:firstRow="1" w:lastRow="0" w:firstColumn="1" w:lastColumn="0" w:noHBand="0" w:noVBand="1"/>
      </w:tblPr>
      <w:tblGrid>
        <w:gridCol w:w="3153"/>
        <w:gridCol w:w="2770"/>
        <w:gridCol w:w="2770"/>
      </w:tblGrid>
      <w:tr w:rsidR="00A47687" w:rsidRPr="0018218B" w:rsidTr="00A4768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53" w:type="dxa"/>
            <w:noWrap/>
          </w:tcPr>
          <w:p w:rsidR="00A47687" w:rsidRPr="009601BA" w:rsidRDefault="00A47687" w:rsidP="009B32A4">
            <w:pPr>
              <w:rPr>
                <w:b w:val="0"/>
              </w:rPr>
            </w:pPr>
            <w:r w:rsidRPr="00A86D36">
              <w:t xml:space="preserve">Tariff V </w:t>
            </w:r>
            <w:r>
              <w:t>connections</w:t>
            </w:r>
          </w:p>
        </w:tc>
        <w:tc>
          <w:tcPr>
            <w:tcW w:w="2770" w:type="dxa"/>
            <w:noWrap/>
          </w:tcPr>
          <w:p w:rsidR="00A47687" w:rsidRPr="002A09B6" w:rsidRDefault="00A47687" w:rsidP="009B32A4">
            <w:pPr>
              <w:jc w:val="center"/>
              <w:cnfStyle w:val="100000000000" w:firstRow="1" w:lastRow="0" w:firstColumn="0" w:lastColumn="0" w:oddVBand="0" w:evenVBand="0" w:oddHBand="0" w:evenHBand="0" w:firstRowFirstColumn="0" w:firstRowLastColumn="0" w:lastRowFirstColumn="0" w:lastRowLastColumn="0"/>
            </w:pPr>
            <w:r>
              <w:t>Core Energy forecast of average annual consumption per connection (%)</w:t>
            </w:r>
          </w:p>
        </w:tc>
        <w:tc>
          <w:tcPr>
            <w:tcW w:w="2770" w:type="dxa"/>
          </w:tcPr>
          <w:p w:rsidR="00A47687" w:rsidRDefault="00A47687" w:rsidP="009B32A4">
            <w:pPr>
              <w:jc w:val="center"/>
              <w:cnfStyle w:val="100000000000" w:firstRow="1" w:lastRow="0" w:firstColumn="0" w:lastColumn="0" w:oddVBand="0" w:evenVBand="0" w:oddHBand="0" w:evenHBand="0" w:firstRowFirstColumn="0" w:firstRowLastColumn="0" w:lastRowFirstColumn="0" w:lastRowLastColumn="0"/>
            </w:pPr>
            <w:r>
              <w:t>AER decision</w:t>
            </w:r>
          </w:p>
        </w:tc>
      </w:tr>
      <w:tr w:rsidR="00A47687" w:rsidRPr="0018218B" w:rsidTr="00A47687">
        <w:trPr>
          <w:trHeight w:val="300"/>
        </w:trPr>
        <w:tc>
          <w:tcPr>
            <w:cnfStyle w:val="001000000000" w:firstRow="0" w:lastRow="0" w:firstColumn="1" w:lastColumn="0" w:oddVBand="0" w:evenVBand="0" w:oddHBand="0" w:evenHBand="0" w:firstRowFirstColumn="0" w:firstRowLastColumn="0" w:lastRowFirstColumn="0" w:lastRowLastColumn="0"/>
            <w:tcW w:w="3153" w:type="dxa"/>
            <w:noWrap/>
          </w:tcPr>
          <w:p w:rsidR="00A47687" w:rsidRPr="00F94CD8" w:rsidRDefault="00A47687" w:rsidP="009B32A4">
            <w:r w:rsidRPr="00F94CD8">
              <w:t>Existing Residential</w:t>
            </w:r>
            <w:r>
              <w:t xml:space="preserve"> </w:t>
            </w:r>
          </w:p>
        </w:tc>
        <w:tc>
          <w:tcPr>
            <w:tcW w:w="2770" w:type="dxa"/>
            <w:noWrap/>
          </w:tcPr>
          <w:p w:rsidR="00A47687" w:rsidRPr="00F94CD8" w:rsidRDefault="00A47687" w:rsidP="009B32A4">
            <w:pPr>
              <w:jc w:val="center"/>
              <w:cnfStyle w:val="000000000000" w:firstRow="0" w:lastRow="0" w:firstColumn="0" w:lastColumn="0" w:oddVBand="0" w:evenVBand="0" w:oddHBand="0" w:evenHBand="0" w:firstRowFirstColumn="0" w:firstRowLastColumn="0" w:lastRowFirstColumn="0" w:lastRowLastColumn="0"/>
            </w:pPr>
            <w:r>
              <w:t>-3.43</w:t>
            </w:r>
          </w:p>
        </w:tc>
        <w:tc>
          <w:tcPr>
            <w:tcW w:w="2770" w:type="dxa"/>
          </w:tcPr>
          <w:p w:rsidR="00A47687" w:rsidRDefault="00A47687" w:rsidP="009B32A4">
            <w:pPr>
              <w:jc w:val="center"/>
              <w:cnfStyle w:val="000000000000" w:firstRow="0" w:lastRow="0" w:firstColumn="0" w:lastColumn="0" w:oddVBand="0" w:evenVBand="0" w:oddHBand="0" w:evenHBand="0" w:firstRowFirstColumn="0" w:firstRowLastColumn="0" w:lastRowFirstColumn="0" w:lastRowLastColumn="0"/>
            </w:pPr>
          </w:p>
        </w:tc>
      </w:tr>
      <w:tr w:rsidR="00A47687" w:rsidRPr="0018218B" w:rsidTr="00A4768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53" w:type="dxa"/>
            <w:noWrap/>
          </w:tcPr>
          <w:p w:rsidR="00A47687" w:rsidRPr="009210A8" w:rsidRDefault="00A47687" w:rsidP="009B32A4">
            <w:r w:rsidRPr="009210A8">
              <w:t>New E-to-G</w:t>
            </w:r>
          </w:p>
        </w:tc>
        <w:tc>
          <w:tcPr>
            <w:tcW w:w="2770" w:type="dxa"/>
            <w:noWrap/>
          </w:tcPr>
          <w:p w:rsidR="00A47687" w:rsidRPr="009210A8" w:rsidRDefault="00A47687" w:rsidP="009B32A4">
            <w:pPr>
              <w:jc w:val="center"/>
              <w:cnfStyle w:val="000000010000" w:firstRow="0" w:lastRow="0" w:firstColumn="0" w:lastColumn="0" w:oddVBand="0" w:evenVBand="0" w:oddHBand="0" w:evenHBand="1" w:firstRowFirstColumn="0" w:firstRowLastColumn="0" w:lastRowFirstColumn="0" w:lastRowLastColumn="0"/>
            </w:pPr>
            <w:r>
              <w:t>-3.16</w:t>
            </w:r>
          </w:p>
        </w:tc>
        <w:tc>
          <w:tcPr>
            <w:tcW w:w="2770" w:type="dxa"/>
          </w:tcPr>
          <w:p w:rsidR="00A47687" w:rsidRDefault="00A47687" w:rsidP="009B32A4">
            <w:pPr>
              <w:jc w:val="center"/>
              <w:cnfStyle w:val="000000010000" w:firstRow="0" w:lastRow="0" w:firstColumn="0" w:lastColumn="0" w:oddVBand="0" w:evenVBand="0" w:oddHBand="0" w:evenHBand="1" w:firstRowFirstColumn="0" w:firstRowLastColumn="0" w:lastRowFirstColumn="0" w:lastRowLastColumn="0"/>
            </w:pPr>
          </w:p>
        </w:tc>
      </w:tr>
      <w:tr w:rsidR="00A47687" w:rsidRPr="0018218B" w:rsidTr="00A47687">
        <w:trPr>
          <w:trHeight w:val="203"/>
        </w:trPr>
        <w:tc>
          <w:tcPr>
            <w:cnfStyle w:val="001000000000" w:firstRow="0" w:lastRow="0" w:firstColumn="1" w:lastColumn="0" w:oddVBand="0" w:evenVBand="0" w:oddHBand="0" w:evenHBand="0" w:firstRowFirstColumn="0" w:firstRowLastColumn="0" w:lastRowFirstColumn="0" w:lastRowLastColumn="0"/>
            <w:tcW w:w="3153" w:type="dxa"/>
            <w:noWrap/>
          </w:tcPr>
          <w:p w:rsidR="00A47687" w:rsidRPr="009210A8" w:rsidRDefault="00A47687" w:rsidP="009B32A4">
            <w:r w:rsidRPr="009210A8">
              <w:t>New Estates</w:t>
            </w:r>
          </w:p>
        </w:tc>
        <w:tc>
          <w:tcPr>
            <w:tcW w:w="2770" w:type="dxa"/>
            <w:noWrap/>
          </w:tcPr>
          <w:p w:rsidR="00A47687" w:rsidRPr="009210A8" w:rsidRDefault="00A47687" w:rsidP="009B32A4">
            <w:pPr>
              <w:jc w:val="center"/>
              <w:cnfStyle w:val="000000000000" w:firstRow="0" w:lastRow="0" w:firstColumn="0" w:lastColumn="0" w:oddVBand="0" w:evenVBand="0" w:oddHBand="0" w:evenHBand="0" w:firstRowFirstColumn="0" w:firstRowLastColumn="0" w:lastRowFirstColumn="0" w:lastRowLastColumn="0"/>
            </w:pPr>
            <w:r>
              <w:t>-3.16</w:t>
            </w:r>
          </w:p>
        </w:tc>
        <w:tc>
          <w:tcPr>
            <w:tcW w:w="2770" w:type="dxa"/>
          </w:tcPr>
          <w:p w:rsidR="00A47687" w:rsidRDefault="00A47687" w:rsidP="009B32A4">
            <w:pPr>
              <w:jc w:val="center"/>
              <w:cnfStyle w:val="000000000000" w:firstRow="0" w:lastRow="0" w:firstColumn="0" w:lastColumn="0" w:oddVBand="0" w:evenVBand="0" w:oddHBand="0" w:evenHBand="0" w:firstRowFirstColumn="0" w:firstRowLastColumn="0" w:lastRowFirstColumn="0" w:lastRowLastColumn="0"/>
            </w:pPr>
          </w:p>
        </w:tc>
      </w:tr>
      <w:tr w:rsidR="00A47687" w:rsidRPr="0018218B" w:rsidTr="00A4768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53" w:type="dxa"/>
            <w:noWrap/>
          </w:tcPr>
          <w:p w:rsidR="00A47687" w:rsidRPr="009210A8" w:rsidRDefault="00A47687" w:rsidP="009B32A4">
            <w:r>
              <w:t>New MD/HR</w:t>
            </w:r>
          </w:p>
        </w:tc>
        <w:tc>
          <w:tcPr>
            <w:tcW w:w="2770" w:type="dxa"/>
            <w:noWrap/>
          </w:tcPr>
          <w:p w:rsidR="00A47687" w:rsidRPr="009210A8" w:rsidRDefault="00A47687" w:rsidP="009B32A4">
            <w:pPr>
              <w:jc w:val="center"/>
              <w:cnfStyle w:val="000000010000" w:firstRow="0" w:lastRow="0" w:firstColumn="0" w:lastColumn="0" w:oddVBand="0" w:evenVBand="0" w:oddHBand="0" w:evenHBand="1" w:firstRowFirstColumn="0" w:firstRowLastColumn="0" w:lastRowFirstColumn="0" w:lastRowLastColumn="0"/>
            </w:pPr>
            <w:r>
              <w:t>-3.16</w:t>
            </w:r>
          </w:p>
        </w:tc>
        <w:tc>
          <w:tcPr>
            <w:tcW w:w="2770" w:type="dxa"/>
          </w:tcPr>
          <w:p w:rsidR="00A47687" w:rsidRDefault="00A47687" w:rsidP="009B32A4">
            <w:pPr>
              <w:jc w:val="center"/>
              <w:cnfStyle w:val="000000010000" w:firstRow="0" w:lastRow="0" w:firstColumn="0" w:lastColumn="0" w:oddVBand="0" w:evenVBand="0" w:oddHBand="0" w:evenHBand="1" w:firstRowFirstColumn="0" w:firstRowLastColumn="0" w:lastRowFirstColumn="0" w:lastRowLastColumn="0"/>
            </w:pPr>
          </w:p>
        </w:tc>
      </w:tr>
      <w:tr w:rsidR="00A47687" w:rsidRPr="00B93DC4" w:rsidTr="00A47687">
        <w:trPr>
          <w:trHeight w:val="300"/>
        </w:trPr>
        <w:tc>
          <w:tcPr>
            <w:cnfStyle w:val="001000000000" w:firstRow="0" w:lastRow="0" w:firstColumn="1" w:lastColumn="0" w:oddVBand="0" w:evenVBand="0" w:oddHBand="0" w:evenHBand="0" w:firstRowFirstColumn="0" w:firstRowLastColumn="0" w:lastRowFirstColumn="0" w:lastRowLastColumn="0"/>
            <w:tcW w:w="3153" w:type="dxa"/>
            <w:noWrap/>
          </w:tcPr>
          <w:p w:rsidR="00A47687" w:rsidRPr="00B93DC4" w:rsidRDefault="00A47687" w:rsidP="009B32A4">
            <w:pPr>
              <w:rPr>
                <w:b/>
              </w:rPr>
            </w:pPr>
            <w:r w:rsidRPr="00B93DC4">
              <w:rPr>
                <w:b/>
              </w:rPr>
              <w:t>Total Residential</w:t>
            </w:r>
            <w:r>
              <w:rPr>
                <w:b/>
              </w:rPr>
              <w:t xml:space="preserve"> </w:t>
            </w:r>
          </w:p>
        </w:tc>
        <w:tc>
          <w:tcPr>
            <w:tcW w:w="2770" w:type="dxa"/>
            <w:noWrap/>
          </w:tcPr>
          <w:p w:rsidR="00A47687" w:rsidRPr="007A2E65" w:rsidRDefault="00A47687" w:rsidP="009B32A4">
            <w:pPr>
              <w:jc w:val="center"/>
              <w:cnfStyle w:val="000000000000" w:firstRow="0" w:lastRow="0" w:firstColumn="0" w:lastColumn="0" w:oddVBand="0" w:evenVBand="0" w:oddHBand="0" w:evenHBand="0" w:firstRowFirstColumn="0" w:firstRowLastColumn="0" w:lastRowFirstColumn="0" w:lastRowLastColumn="0"/>
              <w:rPr>
                <w:b/>
                <w:vertAlign w:val="superscript"/>
              </w:rPr>
            </w:pPr>
            <w:r w:rsidRPr="00B93DC4">
              <w:rPr>
                <w:b/>
              </w:rPr>
              <w:t>-3.96</w:t>
            </w:r>
            <w:r>
              <w:rPr>
                <w:b/>
              </w:rPr>
              <w:t xml:space="preserve"> (weighted)</w:t>
            </w:r>
            <w:r>
              <w:rPr>
                <w:b/>
                <w:vertAlign w:val="superscript"/>
              </w:rPr>
              <w:t>a</w:t>
            </w:r>
          </w:p>
        </w:tc>
        <w:tc>
          <w:tcPr>
            <w:tcW w:w="2770" w:type="dxa"/>
          </w:tcPr>
          <w:p w:rsidR="00A47687" w:rsidRPr="00DF315C" w:rsidRDefault="00A47687" w:rsidP="009B32A4">
            <w:pPr>
              <w:jc w:val="center"/>
              <w:cnfStyle w:val="000000000000" w:firstRow="0" w:lastRow="0" w:firstColumn="0" w:lastColumn="0" w:oddVBand="0" w:evenVBand="0" w:oddHBand="0" w:evenHBand="0" w:firstRowFirstColumn="0" w:firstRowLastColumn="0" w:lastRowFirstColumn="0" w:lastRowLastColumn="0"/>
              <w:rPr>
                <w:b/>
                <w:vertAlign w:val="superscript"/>
              </w:rPr>
            </w:pPr>
            <w:r>
              <w:rPr>
                <w:b/>
              </w:rPr>
              <w:t xml:space="preserve">-3.53 </w:t>
            </w:r>
            <w:r>
              <w:rPr>
                <w:b/>
                <w:vertAlign w:val="superscript"/>
              </w:rPr>
              <w:t>b</w:t>
            </w:r>
          </w:p>
        </w:tc>
      </w:tr>
      <w:tr w:rsidR="00A47687" w:rsidRPr="0018218B" w:rsidTr="00A4768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53" w:type="dxa"/>
            <w:noWrap/>
          </w:tcPr>
          <w:p w:rsidR="00A47687" w:rsidRPr="009210A8" w:rsidRDefault="00A47687" w:rsidP="009B32A4">
            <w:r>
              <w:t>Existing commercial</w:t>
            </w:r>
          </w:p>
        </w:tc>
        <w:tc>
          <w:tcPr>
            <w:tcW w:w="2770" w:type="dxa"/>
            <w:noWrap/>
          </w:tcPr>
          <w:p w:rsidR="00A47687" w:rsidRPr="009210A8" w:rsidRDefault="00A47687" w:rsidP="009B32A4">
            <w:pPr>
              <w:jc w:val="center"/>
              <w:cnfStyle w:val="000000010000" w:firstRow="0" w:lastRow="0" w:firstColumn="0" w:lastColumn="0" w:oddVBand="0" w:evenVBand="0" w:oddHBand="0" w:evenHBand="1" w:firstRowFirstColumn="0" w:firstRowLastColumn="0" w:lastRowFirstColumn="0" w:lastRowLastColumn="0"/>
            </w:pPr>
            <w:r>
              <w:t>-1.29</w:t>
            </w:r>
          </w:p>
        </w:tc>
        <w:tc>
          <w:tcPr>
            <w:tcW w:w="2770" w:type="dxa"/>
          </w:tcPr>
          <w:p w:rsidR="00A47687" w:rsidRDefault="00A47687" w:rsidP="009B32A4">
            <w:pPr>
              <w:jc w:val="center"/>
              <w:cnfStyle w:val="000000010000" w:firstRow="0" w:lastRow="0" w:firstColumn="0" w:lastColumn="0" w:oddVBand="0" w:evenVBand="0" w:oddHBand="0" w:evenHBand="1" w:firstRowFirstColumn="0" w:firstRowLastColumn="0" w:lastRowFirstColumn="0" w:lastRowLastColumn="0"/>
            </w:pPr>
          </w:p>
        </w:tc>
      </w:tr>
      <w:tr w:rsidR="00A47687" w:rsidRPr="0018218B" w:rsidTr="00A47687">
        <w:trPr>
          <w:trHeight w:val="300"/>
        </w:trPr>
        <w:tc>
          <w:tcPr>
            <w:cnfStyle w:val="001000000000" w:firstRow="0" w:lastRow="0" w:firstColumn="1" w:lastColumn="0" w:oddVBand="0" w:evenVBand="0" w:oddHBand="0" w:evenHBand="0" w:firstRowFirstColumn="0" w:firstRowLastColumn="0" w:lastRowFirstColumn="0" w:lastRowLastColumn="0"/>
            <w:tcW w:w="3153" w:type="dxa"/>
            <w:noWrap/>
          </w:tcPr>
          <w:p w:rsidR="00A47687" w:rsidRPr="009210A8" w:rsidRDefault="00A47687" w:rsidP="009B32A4">
            <w:r>
              <w:t>New commercial</w:t>
            </w:r>
          </w:p>
        </w:tc>
        <w:tc>
          <w:tcPr>
            <w:tcW w:w="2770" w:type="dxa"/>
            <w:noWrap/>
          </w:tcPr>
          <w:p w:rsidR="00A47687" w:rsidRPr="009210A8" w:rsidRDefault="00A47687" w:rsidP="009B32A4">
            <w:pPr>
              <w:jc w:val="center"/>
              <w:cnfStyle w:val="000000000000" w:firstRow="0" w:lastRow="0" w:firstColumn="0" w:lastColumn="0" w:oddVBand="0" w:evenVBand="0" w:oddHBand="0" w:evenHBand="0" w:firstRowFirstColumn="0" w:firstRowLastColumn="0" w:lastRowFirstColumn="0" w:lastRowLastColumn="0"/>
            </w:pPr>
            <w:r>
              <w:t>2.29</w:t>
            </w:r>
          </w:p>
        </w:tc>
        <w:tc>
          <w:tcPr>
            <w:tcW w:w="2770" w:type="dxa"/>
          </w:tcPr>
          <w:p w:rsidR="00A47687" w:rsidRDefault="00A47687" w:rsidP="009B32A4">
            <w:pPr>
              <w:jc w:val="center"/>
              <w:cnfStyle w:val="000000000000" w:firstRow="0" w:lastRow="0" w:firstColumn="0" w:lastColumn="0" w:oddVBand="0" w:evenVBand="0" w:oddHBand="0" w:evenHBand="0" w:firstRowFirstColumn="0" w:firstRowLastColumn="0" w:lastRowFirstColumn="0" w:lastRowLastColumn="0"/>
            </w:pPr>
          </w:p>
        </w:tc>
      </w:tr>
      <w:tr w:rsidR="00A47687" w:rsidRPr="00B93DC4" w:rsidTr="00A4768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53" w:type="dxa"/>
            <w:noWrap/>
          </w:tcPr>
          <w:p w:rsidR="00A47687" w:rsidRPr="00B93DC4" w:rsidRDefault="00A47687" w:rsidP="009B32A4">
            <w:pPr>
              <w:rPr>
                <w:b/>
              </w:rPr>
            </w:pPr>
            <w:r w:rsidRPr="00B93DC4">
              <w:rPr>
                <w:b/>
              </w:rPr>
              <w:t>Total commercial</w:t>
            </w:r>
          </w:p>
        </w:tc>
        <w:tc>
          <w:tcPr>
            <w:tcW w:w="2770" w:type="dxa"/>
            <w:noWrap/>
          </w:tcPr>
          <w:p w:rsidR="00A47687" w:rsidRPr="007A2E65" w:rsidRDefault="00A47687" w:rsidP="009B32A4">
            <w:pPr>
              <w:jc w:val="center"/>
              <w:cnfStyle w:val="000000010000" w:firstRow="0" w:lastRow="0" w:firstColumn="0" w:lastColumn="0" w:oddVBand="0" w:evenVBand="0" w:oddHBand="0" w:evenHBand="1" w:firstRowFirstColumn="0" w:firstRowLastColumn="0" w:lastRowFirstColumn="0" w:lastRowLastColumn="0"/>
              <w:rPr>
                <w:b/>
                <w:vertAlign w:val="superscript"/>
              </w:rPr>
            </w:pPr>
            <w:r>
              <w:rPr>
                <w:b/>
              </w:rPr>
              <w:t>-1.9 (weighted)</w:t>
            </w:r>
            <w:r>
              <w:rPr>
                <w:b/>
                <w:vertAlign w:val="superscript"/>
              </w:rPr>
              <w:t>a</w:t>
            </w:r>
          </w:p>
        </w:tc>
        <w:tc>
          <w:tcPr>
            <w:tcW w:w="2770" w:type="dxa"/>
          </w:tcPr>
          <w:p w:rsidR="00A47687" w:rsidRPr="00DF315C" w:rsidRDefault="00A47687" w:rsidP="009B32A4">
            <w:pPr>
              <w:jc w:val="center"/>
              <w:cnfStyle w:val="000000010000" w:firstRow="0" w:lastRow="0" w:firstColumn="0" w:lastColumn="0" w:oddVBand="0" w:evenVBand="0" w:oddHBand="0" w:evenHBand="1" w:firstRowFirstColumn="0" w:firstRowLastColumn="0" w:lastRowFirstColumn="0" w:lastRowLastColumn="0"/>
              <w:rPr>
                <w:b/>
                <w:vertAlign w:val="superscript"/>
              </w:rPr>
            </w:pPr>
            <w:r>
              <w:rPr>
                <w:b/>
              </w:rPr>
              <w:t>-1.44</w:t>
            </w:r>
            <w:r>
              <w:rPr>
                <w:b/>
                <w:vertAlign w:val="superscript"/>
              </w:rPr>
              <w:t>b</w:t>
            </w:r>
          </w:p>
        </w:tc>
      </w:tr>
    </w:tbl>
    <w:p w:rsidR="00A47687" w:rsidRDefault="00A47687" w:rsidP="009B32A4">
      <w:pPr>
        <w:pStyle w:val="AERtablesource"/>
      </w:pPr>
      <w:r>
        <w:t>Source: Core Energy demand model</w:t>
      </w:r>
      <w:r w:rsidR="007D6FF6">
        <w:t>.</w:t>
      </w:r>
    </w:p>
    <w:p w:rsidR="00A47687" w:rsidRDefault="00A47687" w:rsidP="009B32A4">
      <w:pPr>
        <w:pStyle w:val="AERtablesource"/>
      </w:pPr>
      <w:r>
        <w:t>Notes: (a) weighted by connection numbers</w:t>
      </w:r>
    </w:p>
    <w:p w:rsidR="00A47687" w:rsidRPr="00A47687" w:rsidRDefault="00A47687" w:rsidP="009B32A4">
      <w:pPr>
        <w:pStyle w:val="AERtablesource"/>
      </w:pPr>
      <w:r>
        <w:t xml:space="preserve">     </w:t>
      </w:r>
      <w:r w:rsidR="00D41EDB">
        <w:t xml:space="preserve"> </w:t>
      </w:r>
      <w:r>
        <w:t xml:space="preserve">      (b) </w:t>
      </w:r>
      <w:proofErr w:type="gramStart"/>
      <w:r>
        <w:t>includ</w:t>
      </w:r>
      <w:r w:rsidR="00EE705E">
        <w:t>es</w:t>
      </w:r>
      <w:proofErr w:type="gramEnd"/>
      <w:r w:rsidR="00EE705E">
        <w:t xml:space="preserve"> </w:t>
      </w:r>
      <w:r>
        <w:t>the effect of zero consuming meters</w:t>
      </w:r>
      <w:r w:rsidR="007D6FF6">
        <w:t>.</w:t>
      </w:r>
    </w:p>
    <w:p w:rsidR="00A47687" w:rsidRDefault="00A47687" w:rsidP="009B32A4">
      <w:pPr>
        <w:pStyle w:val="HeadingBoldItalic"/>
        <w:keepNext/>
      </w:pPr>
      <w:r>
        <w:t>Residential consumption per connection</w:t>
      </w:r>
    </w:p>
    <w:p w:rsidR="00A47687" w:rsidRDefault="00A47687" w:rsidP="00A47687">
      <w:r>
        <w:t xml:space="preserve">As table 13.4 shows, AGN applies the average annual growth rate of -3.16 per cent to each of the new residential customer types, </w:t>
      </w:r>
      <w:r w:rsidR="00955CF9">
        <w:t>and -3.46 to existing customers</w:t>
      </w:r>
      <w:r w:rsidR="008B16B1">
        <w:t xml:space="preserve">, </w:t>
      </w:r>
      <w:r w:rsidR="00955CF9">
        <w:t>to forecast consumption per connection.</w:t>
      </w:r>
      <w:r w:rsidR="00955CF9" w:rsidRPr="00955CF9">
        <w:rPr>
          <w:rStyle w:val="FootnoteReference"/>
        </w:rPr>
        <w:t xml:space="preserve"> </w:t>
      </w:r>
      <w:r w:rsidR="00955CF9">
        <w:rPr>
          <w:rStyle w:val="FootnoteReference"/>
        </w:rPr>
        <w:footnoteReference w:id="18"/>
      </w:r>
    </w:p>
    <w:p w:rsidR="00A47687" w:rsidRDefault="00A47687" w:rsidP="00A47687">
      <w:r>
        <w:t xml:space="preserve">We consider that </w:t>
      </w:r>
      <w:r w:rsidR="00955CF9">
        <w:t xml:space="preserve">applying these rates has the </w:t>
      </w:r>
      <w:r>
        <w:t>effect of double counting the reduction in gas consumption at the total residential customer level. This is because:</w:t>
      </w:r>
    </w:p>
    <w:p w:rsidR="00A47687" w:rsidRDefault="00A47687" w:rsidP="00A47687">
      <w:pPr>
        <w:pStyle w:val="AERbulletlistfirststyle"/>
      </w:pPr>
      <w:r>
        <w:t xml:space="preserve">Our analysis of Core Energy’s model reveals that the calculation of </w:t>
      </w:r>
      <w:r w:rsidR="00E74942">
        <w:t xml:space="preserve">the </w:t>
      </w:r>
      <w:r>
        <w:t xml:space="preserve">average </w:t>
      </w:r>
      <w:r w:rsidR="00955CF9">
        <w:t>declining rate for existing customer (-3.43</w:t>
      </w:r>
      <w:r>
        <w:t xml:space="preserve">) is actually for total (overall) residential customers. </w:t>
      </w:r>
      <w:r w:rsidRPr="002E4779">
        <w:t xml:space="preserve">This is because consumption per connection for this category is calculated as total consumption divided by total connections, </w:t>
      </w:r>
      <w:r>
        <w:t>including the new estates,</w:t>
      </w:r>
      <w:r w:rsidR="00E74942">
        <w:t xml:space="preserve"> new</w:t>
      </w:r>
      <w:r>
        <w:t xml:space="preserve"> E to G and </w:t>
      </w:r>
      <w:r w:rsidR="00E74942">
        <w:t xml:space="preserve">new </w:t>
      </w:r>
      <w:r>
        <w:t>MD/HR connections;</w:t>
      </w:r>
    </w:p>
    <w:p w:rsidR="00A47687" w:rsidRDefault="00A47687" w:rsidP="00A47687">
      <w:pPr>
        <w:pStyle w:val="AERbulletlistfirststyle"/>
      </w:pPr>
      <w:proofErr w:type="gramStart"/>
      <w:r>
        <w:t>the</w:t>
      </w:r>
      <w:proofErr w:type="gramEnd"/>
      <w:r>
        <w:t xml:space="preserve"> overall declining rate includes the effect of ‘dwelling substitution’ </w:t>
      </w:r>
      <w:r w:rsidR="00D41EDB">
        <w:t xml:space="preserve">– </w:t>
      </w:r>
      <w:r>
        <w:t xml:space="preserve">where existing customers with higher consumption (e.g. older houses) are replaced with new customers with </w:t>
      </w:r>
      <w:r w:rsidR="00E74942">
        <w:t xml:space="preserve">relatively </w:t>
      </w:r>
      <w:r>
        <w:t xml:space="preserve">lower consumption (e.g. new dwellings). </w:t>
      </w:r>
      <w:r w:rsidR="00E74942">
        <w:t>As average consumption for new residential connections is lower relative to existing residential connections, the overall declining rate is higher than the rate of decline for existing customers were the latter does not include the substitution effect;</w:t>
      </w:r>
    </w:p>
    <w:p w:rsidR="0052751C" w:rsidRDefault="0052751C" w:rsidP="003B73E7">
      <w:pPr>
        <w:pStyle w:val="AERbulletlistfirststyle"/>
      </w:pPr>
      <w:r>
        <w:t>When applying the overall declining rate that directly accounts for the dwelling substitution effect to each individual connection type, double counting occurs because Core Energy’s forecasting approach accounts for the same dwelling substitution effect via its method of adding new connection types (new MD/HR, new E to G and new estates). As these new customer types have relatively lower consumption, Core Energy’s forecasting approach results in an overstatement of the forecast decline in total residential consumption per connection.</w:t>
      </w:r>
      <w:r>
        <w:rPr>
          <w:rStyle w:val="FootnoteReference"/>
        </w:rPr>
        <w:footnoteReference w:id="19"/>
      </w:r>
      <w:r>
        <w:t xml:space="preserve"> The double counting is evident in Core Energy’s forecast of a greater declining average annual rate of -3.96 per cent compared to the rate of 3.16 per cent applied to new customer connection and -3.43 applied to existing customer connections.</w:t>
      </w:r>
    </w:p>
    <w:p w:rsidR="00E74942" w:rsidRDefault="0052751C" w:rsidP="003B73E7">
      <w:pPr>
        <w:pStyle w:val="AERbulletlistfirststyle"/>
        <w:numPr>
          <w:ilvl w:val="0"/>
          <w:numId w:val="0"/>
        </w:numPr>
      </w:pPr>
      <w:r>
        <w:t>ACIL Allen has advised us that to avoid this overstatement the overall declining rate should be applied to the total residential consumption.</w:t>
      </w:r>
      <w:r>
        <w:rPr>
          <w:rStyle w:val="FootnoteReference"/>
        </w:rPr>
        <w:footnoteReference w:id="20"/>
      </w:r>
      <w:r>
        <w:t xml:space="preserve"> We agree with this assessment and position and have therefore </w:t>
      </w:r>
      <w:r w:rsidR="00EE705E">
        <w:t>applied the overall declin</w:t>
      </w:r>
      <w:r w:rsidR="00566353">
        <w:t xml:space="preserve">ing rate </w:t>
      </w:r>
      <w:r w:rsidR="00EE705E">
        <w:t xml:space="preserve">to total residential consumption per connection. </w:t>
      </w:r>
    </w:p>
    <w:p w:rsidR="002E09E5" w:rsidRDefault="00566353" w:rsidP="003B73E7">
      <w:pPr>
        <w:pStyle w:val="AERbulletlistfirststyle"/>
        <w:numPr>
          <w:ilvl w:val="0"/>
          <w:numId w:val="0"/>
        </w:numPr>
      </w:pPr>
      <w:r>
        <w:t>Our estimate of the overall declining rate (-3.53)</w:t>
      </w:r>
      <w:r w:rsidR="002E09E5">
        <w:t xml:space="preserve"> differs from Core Energy’s </w:t>
      </w:r>
      <w:r w:rsidR="003B73E7">
        <w:t>rate of</w:t>
      </w:r>
      <w:r w:rsidR="002E09E5">
        <w:t xml:space="preserve"> -3.43 because of the adjustment for the impact of zero-consuming meters.</w:t>
      </w:r>
      <w:r w:rsidR="002E09E5" w:rsidRPr="002E09E5">
        <w:rPr>
          <w:rStyle w:val="FootnoteReference"/>
        </w:rPr>
        <w:t xml:space="preserve"> </w:t>
      </w:r>
      <w:r w:rsidR="002E09E5">
        <w:rPr>
          <w:rStyle w:val="FootnoteReference"/>
        </w:rPr>
        <w:footnoteReference w:id="21"/>
      </w:r>
      <w:r w:rsidR="002E09E5">
        <w:t xml:space="preserve"> </w:t>
      </w:r>
      <w:r w:rsidR="003B73E7">
        <w:t>In particular, the difference is due to our adjustment which is applied to total residential customers while Core Energy’s adjustment only applies to existing connections</w:t>
      </w:r>
      <w:r w:rsidR="005E2DFF">
        <w:t>.</w:t>
      </w:r>
      <w:r w:rsidR="005E2DFF">
        <w:rPr>
          <w:rStyle w:val="FootnoteReference"/>
        </w:rPr>
        <w:footnoteReference w:id="22"/>
      </w:r>
    </w:p>
    <w:p w:rsidR="00EE705E" w:rsidRDefault="00EE705E" w:rsidP="003B73E7">
      <w:pPr>
        <w:pStyle w:val="AERbulletlistfirststyle"/>
        <w:numPr>
          <w:ilvl w:val="0"/>
          <w:numId w:val="0"/>
        </w:numPr>
      </w:pPr>
      <w:r>
        <w:t>We consider that forecasts of consumption based on the average annua</w:t>
      </w:r>
      <w:r w:rsidR="0052751C">
        <w:t>l change in consumption of -3.53</w:t>
      </w:r>
      <w:r>
        <w:t xml:space="preserve"> per cent for all residential customers results in best estimate in the circumstances. </w:t>
      </w:r>
    </w:p>
    <w:p w:rsidR="00955CF9" w:rsidRDefault="00955CF9" w:rsidP="00DF315C">
      <w:pPr>
        <w:pStyle w:val="HeadingBoldItalic"/>
      </w:pPr>
      <w:r>
        <w:t>Commercial consumption per connection</w:t>
      </w:r>
    </w:p>
    <w:p w:rsidR="00955CF9" w:rsidRDefault="00955CF9" w:rsidP="00955CF9">
      <w:r>
        <w:t>Similarly, for commercial connections,</w:t>
      </w:r>
      <w:r w:rsidR="008B16B1">
        <w:t xml:space="preserve"> our analysis of Core Energy’s model reveals that the calculation of</w:t>
      </w:r>
      <w:r w:rsidR="00E74942">
        <w:t xml:space="preserve"> the</w:t>
      </w:r>
      <w:r w:rsidR="008B16B1">
        <w:t xml:space="preserve"> average declining rate for existing commercial customers (-1.29) is actually for total (overall) commercial customers.</w:t>
      </w:r>
      <w:r w:rsidR="00FB7277">
        <w:rPr>
          <w:rStyle w:val="FootnoteReference"/>
        </w:rPr>
        <w:footnoteReference w:id="23"/>
      </w:r>
      <w:r w:rsidR="008B16B1">
        <w:t xml:space="preserve"> </w:t>
      </w:r>
      <w:r>
        <w:t xml:space="preserve">Applying the overall </w:t>
      </w:r>
      <w:r w:rsidR="008B16B1">
        <w:t>declining rate</w:t>
      </w:r>
      <w:r>
        <w:t xml:space="preserve"> to each connection type overstates the decline in consumption at the total customer level as new commercial customers are forecast to have lower average gas consumption compared to existing commercial customers. This results in a</w:t>
      </w:r>
      <w:r w:rsidR="00EE705E">
        <w:t>n</w:t>
      </w:r>
      <w:r>
        <w:t xml:space="preserve"> </w:t>
      </w:r>
      <w:r w:rsidR="008B16B1">
        <w:t>overstated</w:t>
      </w:r>
      <w:r>
        <w:t xml:space="preserve"> decline of –1.90 per cent annually for the total commercial customer group.  </w:t>
      </w:r>
    </w:p>
    <w:p w:rsidR="00566353" w:rsidRDefault="00566353" w:rsidP="00566353">
      <w:pPr>
        <w:pStyle w:val="AERbulletlistfirststyle"/>
        <w:numPr>
          <w:ilvl w:val="0"/>
          <w:numId w:val="0"/>
        </w:numPr>
      </w:pPr>
      <w:r>
        <w:t>As with residential consumption per connection, to avoid this overstatement the overall declining rate is applied to the total commercial consumption.</w:t>
      </w:r>
      <w:r>
        <w:rPr>
          <w:rStyle w:val="FootnoteReference"/>
        </w:rPr>
        <w:footnoteReference w:id="24"/>
      </w:r>
      <w:r>
        <w:t xml:space="preserve"> Our estimate of the overall declining rate (-1.44 per cent) differs from Core Energy’s rate of -1.29 because of the adjustment for the impact of zero-consuming meters.</w:t>
      </w:r>
      <w:r w:rsidRPr="002E09E5">
        <w:rPr>
          <w:rStyle w:val="FootnoteReference"/>
        </w:rPr>
        <w:t xml:space="preserve"> </w:t>
      </w:r>
      <w:r>
        <w:rPr>
          <w:rStyle w:val="FootnoteReference"/>
        </w:rPr>
        <w:footnoteReference w:id="25"/>
      </w:r>
      <w:r>
        <w:t xml:space="preserve"> In particular, the difference is due to our adjustment which is applied to total commercial customers while Core Energy’s adjustment only applies to existing connections.</w:t>
      </w:r>
      <w:r>
        <w:rPr>
          <w:rStyle w:val="FootnoteReference"/>
        </w:rPr>
        <w:footnoteReference w:id="26"/>
      </w:r>
    </w:p>
    <w:p w:rsidR="0052751C" w:rsidRDefault="003B73E7" w:rsidP="0052751C">
      <w:pPr>
        <w:pStyle w:val="AERbulletlistfirststyle"/>
        <w:numPr>
          <w:ilvl w:val="0"/>
          <w:numId w:val="0"/>
        </w:numPr>
      </w:pPr>
      <w:r>
        <w:t xml:space="preserve">We consider that forecasts of consumption based on the average annual change in consumption of -1.44 per cent for all commercial customers results in best estimate in the circumstances. </w:t>
      </w:r>
    </w:p>
    <w:p w:rsidR="00024BA1" w:rsidRDefault="00024BA1" w:rsidP="00B234A1">
      <w:pPr>
        <w:pStyle w:val="HeadingBoldItalic"/>
      </w:pPr>
      <w:r>
        <w:t>Double-counting effect</w:t>
      </w:r>
    </w:p>
    <w:p w:rsidR="004B12E9" w:rsidRDefault="008326F4" w:rsidP="004B12E9">
      <w:r>
        <w:t xml:space="preserve">ACIL Allen </w:t>
      </w:r>
      <w:proofErr w:type="gramStart"/>
      <w:r>
        <w:t>were</w:t>
      </w:r>
      <w:proofErr w:type="gramEnd"/>
      <w:r>
        <w:t xml:space="preserve"> able to further demonstrate the existence of the double counting effect through its analysis of the historical data.</w:t>
      </w:r>
    </w:p>
    <w:p w:rsidR="00024BA1" w:rsidRDefault="003C0194" w:rsidP="00167B2F">
      <w:r>
        <w:t>In the historical period, the number of connections in each type changes. In particular, existing connections</w:t>
      </w:r>
      <w:r w:rsidR="00427D3A">
        <w:t xml:space="preserve"> at the start of the period continue to</w:t>
      </w:r>
      <w:r>
        <w:t xml:space="preserve"> decline and other connection types (new connection types) increase at various rates. AGN provided Core Energy with data relating to historical consumption of each customer type as well as the number of customers of each type. From this, Core Energy calculated the average annual change in consumption per connection for each customer type.</w:t>
      </w:r>
    </w:p>
    <w:p w:rsidR="00B51D1A" w:rsidRDefault="008326F4" w:rsidP="003B73E7">
      <w:r>
        <w:t>As noted previously, the average change in consumption f</w:t>
      </w:r>
      <w:r w:rsidR="00B51D1A">
        <w:t>or existing residential customer connections</w:t>
      </w:r>
      <w:r>
        <w:t xml:space="preserve"> is actually for the total residential customer group.</w:t>
      </w:r>
      <w:r w:rsidR="005A1DE4">
        <w:t xml:space="preserve"> To test the existence of the double counting effect, </w:t>
      </w:r>
      <w:r>
        <w:t xml:space="preserve">ACIL Allen </w:t>
      </w:r>
      <w:r w:rsidR="005A1DE4">
        <w:t>‘backed out’ the consumption of ‘residual’ customers (residential customers net of the other residential connection types) from total consumption.</w:t>
      </w:r>
    </w:p>
    <w:p w:rsidR="00B51D1A" w:rsidRDefault="005A1DE4" w:rsidP="00B51D1A">
      <w:r>
        <w:t>ACIL Allen observed that t</w:t>
      </w:r>
      <w:r w:rsidR="00B51D1A">
        <w:t>he historical average change in annual consumption by ‘residual’ residential connection types is –2.48 per cent. This compares to Core Energy’s reported –3.08 per cent decline (calculated as total residential consumption divided by total residential connections).</w:t>
      </w:r>
      <w:r w:rsidR="00B51D1A">
        <w:rPr>
          <w:rStyle w:val="FootnoteReference"/>
        </w:rPr>
        <w:footnoteReference w:id="27"/>
      </w:r>
      <w:r w:rsidR="00B51D1A">
        <w:t xml:space="preserve"> Core Energy’s approach therefore overstates the decline in the residual customer type. </w:t>
      </w:r>
    </w:p>
    <w:p w:rsidR="00B51D1A" w:rsidRDefault="00B51D1A" w:rsidP="00B51D1A">
      <w:r>
        <w:t>Similarly, for commercial consumption per connection, the residual commercial customers grew at an average rate of –0.52 per cent. This compares to Core Energy’s reported existing commercial declining rate of –1.42 per cent (calculated as total commercial consumption divided by total commercial connections).</w:t>
      </w:r>
      <w:r>
        <w:rPr>
          <w:rStyle w:val="FootnoteReference"/>
        </w:rPr>
        <w:footnoteReference w:id="28"/>
      </w:r>
    </w:p>
    <w:p w:rsidR="00B51D1A" w:rsidRDefault="00B51D1A" w:rsidP="00B51D1A">
      <w:r>
        <w:t>ACIL Allen has advised us that it is conceptually better to use different growth rates for different customer types. However, in this case, it is not possible to derive a reliable basis for forecasting future consumption for each of the residential connection types.</w:t>
      </w:r>
      <w:r>
        <w:rPr>
          <w:rStyle w:val="FootnoteReference"/>
        </w:rPr>
        <w:footnoteReference w:id="29"/>
      </w:r>
      <w:r>
        <w:t xml:space="preserve"> This is because the data for the last year (2014) of the small sample (and the starting point to project the historical trend forward) is a calculated value and not an actual historical data point. Further, if the historical decline rates for each connection type were to be applied to the 2016–21 access arrangement period, the resulting estimates do not appear reasonable.</w:t>
      </w:r>
    </w:p>
    <w:p w:rsidR="00B51D1A" w:rsidRDefault="00B51D1A" w:rsidP="00B51D1A">
      <w:r>
        <w:t>ACIL Allen has therefore not calculated alternate different growth rates for each individual connection type over the historical and the 2016–21 access arrangement period</w:t>
      </w:r>
      <w:r w:rsidDel="00F5483D">
        <w:t xml:space="preserve"> </w:t>
      </w:r>
      <w:r>
        <w:t>given that reliable forecasts cannot be determined on the basis of the available data.</w:t>
      </w:r>
      <w:r>
        <w:rPr>
          <w:rStyle w:val="FootnoteReference"/>
        </w:rPr>
        <w:footnoteReference w:id="30"/>
      </w:r>
      <w:r>
        <w:t xml:space="preserve"> </w:t>
      </w:r>
      <w:r w:rsidR="00EE705E">
        <w:t xml:space="preserve">To the extent it is relevant in setting reference </w:t>
      </w:r>
      <w:proofErr w:type="gramStart"/>
      <w:r w:rsidR="00EE705E">
        <w:t>tariffs,</w:t>
      </w:r>
      <w:proofErr w:type="gramEnd"/>
      <w:r w:rsidR="00EE705E">
        <w:t xml:space="preserve"> we invite AGN to provide forecasts of consumption per connection at the individual connection level</w:t>
      </w:r>
    </w:p>
    <w:p w:rsidR="00955CF9" w:rsidRDefault="00DF3C70" w:rsidP="009B32A4">
      <w:pPr>
        <w:pStyle w:val="Heading2"/>
      </w:pPr>
      <w:bookmarkStart w:id="26" w:name="_Toc436055516"/>
      <w:r>
        <w:t>Revisions</w:t>
      </w:r>
      <w:bookmarkEnd w:id="26"/>
    </w:p>
    <w:p w:rsidR="00DF3C70" w:rsidRDefault="00DF3C70" w:rsidP="00B51D1A">
      <w:r>
        <w:t>We require the following revisions to make the access arrangement proposal acceptable:</w:t>
      </w:r>
    </w:p>
    <w:p w:rsidR="00DF3C70" w:rsidRDefault="00DF3C70" w:rsidP="009B32A4">
      <w:pPr>
        <w:pStyle w:val="AERrevisionbox"/>
      </w:pPr>
      <w:r w:rsidRPr="009B32A4">
        <w:rPr>
          <w:rStyle w:val="Strong"/>
        </w:rPr>
        <w:t>Revision 13.1:</w:t>
      </w:r>
      <w:r>
        <w:t xml:space="preserve"> Make all necessary revisions to reflect this draft decision, as set out in </w:t>
      </w:r>
      <w:r>
        <w:fldChar w:fldCharType="begin"/>
      </w:r>
      <w:r>
        <w:instrText xml:space="preserve"> REF _Ref420067875 \h  \* MERGEFORMAT </w:instrText>
      </w:r>
      <w:r>
        <w:fldChar w:fldCharType="separate"/>
      </w:r>
      <w:r>
        <w:t xml:space="preserve">Table </w:t>
      </w:r>
      <w:r>
        <w:rPr>
          <w:noProof/>
        </w:rPr>
        <w:t>13</w:t>
      </w:r>
      <w:r>
        <w:t>.</w:t>
      </w:r>
      <w:r>
        <w:rPr>
          <w:noProof/>
        </w:rPr>
        <w:t>1</w:t>
      </w:r>
      <w:r>
        <w:fldChar w:fldCharType="end"/>
      </w:r>
      <w:r>
        <w:t xml:space="preserve"> and </w:t>
      </w:r>
      <w:r>
        <w:fldChar w:fldCharType="begin"/>
      </w:r>
      <w:r>
        <w:instrText xml:space="preserve"> REF _Ref420067884 \h  \* MERGEFORMAT </w:instrText>
      </w:r>
      <w:r>
        <w:fldChar w:fldCharType="separate"/>
      </w:r>
      <w:r w:rsidRPr="00F0622C">
        <w:t xml:space="preserve">Table </w:t>
      </w:r>
      <w:r w:rsidRPr="00F0622C">
        <w:rPr>
          <w:noProof/>
        </w:rPr>
        <w:t>13</w:t>
      </w:r>
      <w:r>
        <w:rPr>
          <w:noProof/>
        </w:rPr>
        <w:t>.</w:t>
      </w:r>
      <w:r w:rsidRPr="00F0622C">
        <w:rPr>
          <w:noProof/>
        </w:rPr>
        <w:t>2</w:t>
      </w:r>
      <w:r>
        <w:fldChar w:fldCharType="end"/>
      </w:r>
      <w:r>
        <w:t>.</w:t>
      </w:r>
    </w:p>
    <w:p w:rsidR="00B61EDF" w:rsidRDefault="00B61EDF">
      <w:pPr>
        <w:spacing w:line="240" w:lineRule="auto"/>
      </w:pPr>
    </w:p>
    <w:p w:rsidR="00474EC7" w:rsidRPr="00474EC7" w:rsidRDefault="00474EC7" w:rsidP="00474EC7"/>
    <w:sectPr w:rsidR="00474EC7" w:rsidRPr="00474EC7" w:rsidSect="00B757A6">
      <w:headerReference w:type="even" r:id="rId12"/>
      <w:footerReference w:type="even" r:id="rId13"/>
      <w:footerReference w:type="default" r:id="rId14"/>
      <w:headerReference w:type="first" r:id="rId15"/>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20D" w:rsidRPr="00290C63" w:rsidRDefault="0016020D" w:rsidP="00290C63">
      <w:r>
        <w:separator/>
      </w:r>
    </w:p>
    <w:p w:rsidR="0016020D" w:rsidRDefault="0016020D"/>
  </w:endnote>
  <w:endnote w:type="continuationSeparator" w:id="0">
    <w:p w:rsidR="0016020D" w:rsidRPr="00290C63" w:rsidRDefault="0016020D" w:rsidP="00290C63">
      <w:r>
        <w:continuationSeparator/>
      </w:r>
    </w:p>
    <w:p w:rsidR="0016020D" w:rsidRDefault="001602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20D" w:rsidRDefault="0016020D">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16020D" w:rsidRDefault="0016020D">
    <w:pPr>
      <w:pStyle w:val="Footer"/>
    </w:pPr>
  </w:p>
  <w:p w:rsidR="0016020D" w:rsidRDefault="0016020D">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16020D" w:rsidRPr="00CA52A2" w:rsidRDefault="0016020D" w:rsidP="00CA52A2">
        <w:pPr>
          <w:pStyle w:val="Footer"/>
        </w:pPr>
        <w:r w:rsidRPr="00CA52A2">
          <w:fldChar w:fldCharType="begin"/>
        </w:r>
        <w:r>
          <w:instrText xml:space="preserve"> PAGE   \* MERGEFORMAT </w:instrText>
        </w:r>
        <w:r w:rsidRPr="00CA52A2">
          <w:fldChar w:fldCharType="separate"/>
        </w:r>
        <w:r w:rsidR="002C5647">
          <w:rPr>
            <w:noProof/>
          </w:rPr>
          <w:t>13-3</w:t>
        </w:r>
        <w:r w:rsidRPr="00CA52A2">
          <w:fldChar w:fldCharType="end"/>
        </w:r>
        <w:r w:rsidRPr="00CA52A2">
          <w:t xml:space="preserve">          Attachment </w:t>
        </w:r>
        <w:r>
          <w:t xml:space="preserve">13 </w:t>
        </w:r>
        <w:r w:rsidRPr="00CA52A2">
          <w:t xml:space="preserve">– </w:t>
        </w:r>
        <w:r>
          <w:t xml:space="preserve">Demand </w:t>
        </w:r>
        <w:r w:rsidRPr="00CA52A2">
          <w:t xml:space="preserve">| </w:t>
        </w:r>
        <w:r>
          <w:t>Draft decision: Australian Gas Networks Access Arrangement 2016</w:t>
        </w:r>
        <w:r w:rsidRPr="00CA52A2">
          <w:t>–</w:t>
        </w:r>
        <w:r>
          <w:t>21</w:t>
        </w:r>
      </w:p>
    </w:sdtContent>
  </w:sdt>
  <w:p w:rsidR="0016020D" w:rsidRDefault="0016020D">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20D" w:rsidRPr="00290C63" w:rsidRDefault="0016020D" w:rsidP="00290C63">
      <w:r>
        <w:separator/>
      </w:r>
    </w:p>
    <w:p w:rsidR="0016020D" w:rsidRDefault="0016020D"/>
  </w:footnote>
  <w:footnote w:type="continuationSeparator" w:id="0">
    <w:p w:rsidR="0016020D" w:rsidRPr="00290C63" w:rsidRDefault="0016020D" w:rsidP="00290C63">
      <w:r>
        <w:continuationSeparator/>
      </w:r>
    </w:p>
    <w:p w:rsidR="0016020D" w:rsidRDefault="0016020D"/>
  </w:footnote>
  <w:footnote w:id="1">
    <w:p w:rsidR="0016020D" w:rsidRDefault="0016020D" w:rsidP="00E77CBB">
      <w:pPr>
        <w:pStyle w:val="FootnoteText"/>
      </w:pPr>
      <w:r>
        <w:rPr>
          <w:rStyle w:val="FootnoteReference"/>
        </w:rPr>
        <w:footnoteRef/>
      </w:r>
      <w:r>
        <w:t xml:space="preserve"> </w:t>
      </w:r>
      <w:r>
        <w:tab/>
        <w:t>Our draft decisions on AGN’s capex and opex are set out in attachments 6 and 7 to this draft decision.</w:t>
      </w:r>
    </w:p>
  </w:footnote>
  <w:footnote w:id="2">
    <w:p w:rsidR="0016020D" w:rsidRDefault="0016020D" w:rsidP="00010106">
      <w:pPr>
        <w:pStyle w:val="FootnoteText"/>
      </w:pPr>
      <w:r>
        <w:rPr>
          <w:rStyle w:val="FootnoteReference"/>
        </w:rPr>
        <w:footnoteRef/>
      </w:r>
      <w:r>
        <w:t xml:space="preserve"> </w:t>
      </w:r>
      <w:r>
        <w:tab/>
      </w:r>
      <w:proofErr w:type="gramStart"/>
      <w:r>
        <w:t>NGR, r. 74(2).</w:t>
      </w:r>
      <w:proofErr w:type="gramEnd"/>
    </w:p>
  </w:footnote>
  <w:footnote w:id="3">
    <w:p w:rsidR="0016020D" w:rsidRDefault="0016020D" w:rsidP="00010106">
      <w:pPr>
        <w:pStyle w:val="FootnoteText"/>
      </w:pPr>
      <w:r>
        <w:rPr>
          <w:rStyle w:val="FootnoteReference"/>
        </w:rPr>
        <w:footnoteRef/>
      </w:r>
      <w:r>
        <w:t xml:space="preserve"> </w:t>
      </w:r>
      <w:r>
        <w:tab/>
        <w:t xml:space="preserve">AGN’s ‘zero-consuming meters’ program in 2016 and 2017 results in the removal of approximately 6800 meters that do not consume any gas. Of these, 1088 are assumed to be commercial meters and 5712, residential meters. This program results in a fall particularly in commercial customer numbers over 2015 to 2017. ACIL Allen assessed the effect of this program on Tariff V connection numbers and was satisfied with Core Energy’s adjustments (ACIL Allen, </w:t>
      </w:r>
      <w:r w:rsidRPr="008B43BA">
        <w:rPr>
          <w:i/>
        </w:rPr>
        <w:t>Review of Demand Forecasts for the AGN South Australian Gas Networks</w:t>
      </w:r>
      <w:r>
        <w:t>, 5 November 2015, pp. 38–40)</w:t>
      </w:r>
    </w:p>
    <w:p w:rsidR="0016020D" w:rsidRDefault="0016020D" w:rsidP="00010106">
      <w:pPr>
        <w:pStyle w:val="FootnoteText"/>
      </w:pPr>
    </w:p>
  </w:footnote>
  <w:footnote w:id="4">
    <w:p w:rsidR="0016020D" w:rsidRDefault="0016020D" w:rsidP="00E77CBB">
      <w:pPr>
        <w:pStyle w:val="FootnoteText"/>
      </w:pPr>
      <w:r>
        <w:rPr>
          <w:rStyle w:val="FootnoteReference"/>
        </w:rPr>
        <w:footnoteRef/>
      </w:r>
      <w:r>
        <w:t xml:space="preserve"> </w:t>
      </w:r>
      <w:r>
        <w:tab/>
      </w:r>
      <w:r>
        <w:rPr>
          <w:rFonts w:cs="Arial"/>
          <w:szCs w:val="16"/>
        </w:rPr>
        <w:t>NGR, r. 72(1</w:t>
      </w:r>
      <w:proofErr w:type="gramStart"/>
      <w:r>
        <w:rPr>
          <w:rFonts w:cs="Arial"/>
          <w:szCs w:val="16"/>
        </w:rPr>
        <w:t>)(</w:t>
      </w:r>
      <w:proofErr w:type="gramEnd"/>
      <w:r>
        <w:rPr>
          <w:rFonts w:cs="Arial"/>
          <w:szCs w:val="16"/>
        </w:rPr>
        <w:t>a)(iii).</w:t>
      </w:r>
    </w:p>
  </w:footnote>
  <w:footnote w:id="5">
    <w:p w:rsidR="0016020D" w:rsidRDefault="0016020D" w:rsidP="00E77CBB">
      <w:pPr>
        <w:pStyle w:val="FootnoteText"/>
      </w:pPr>
      <w:r>
        <w:rPr>
          <w:rStyle w:val="FootnoteReference"/>
        </w:rPr>
        <w:footnoteRef/>
      </w:r>
      <w:r>
        <w:t xml:space="preserve"> </w:t>
      </w:r>
      <w:r>
        <w:tab/>
      </w:r>
      <w:r>
        <w:rPr>
          <w:rFonts w:cs="Arial"/>
          <w:szCs w:val="16"/>
        </w:rPr>
        <w:t>NGR, r. 72(1</w:t>
      </w:r>
      <w:proofErr w:type="gramStart"/>
      <w:r>
        <w:rPr>
          <w:rFonts w:cs="Arial"/>
          <w:szCs w:val="16"/>
        </w:rPr>
        <w:t>)(</w:t>
      </w:r>
      <w:proofErr w:type="gramEnd"/>
      <w:r>
        <w:rPr>
          <w:rFonts w:cs="Arial"/>
          <w:szCs w:val="16"/>
        </w:rPr>
        <w:t>d).</w:t>
      </w:r>
    </w:p>
  </w:footnote>
  <w:footnote w:id="6">
    <w:p w:rsidR="0016020D" w:rsidRDefault="0016020D" w:rsidP="00E77CBB">
      <w:pPr>
        <w:pStyle w:val="FootnoteText"/>
      </w:pPr>
      <w:r>
        <w:rPr>
          <w:rStyle w:val="FootnoteReference"/>
        </w:rPr>
        <w:footnoteRef/>
      </w:r>
      <w:r>
        <w:t xml:space="preserve"> </w:t>
      </w:r>
      <w:r>
        <w:tab/>
      </w:r>
      <w:proofErr w:type="gramStart"/>
      <w:r>
        <w:rPr>
          <w:rFonts w:cs="Arial"/>
          <w:szCs w:val="16"/>
        </w:rPr>
        <w:t>NGR, r. 74(2).</w:t>
      </w:r>
      <w:proofErr w:type="gramEnd"/>
    </w:p>
  </w:footnote>
  <w:footnote w:id="7">
    <w:p w:rsidR="0016020D" w:rsidRDefault="0016020D" w:rsidP="00E77CBB">
      <w:pPr>
        <w:pStyle w:val="FootnoteText"/>
      </w:pPr>
      <w:r>
        <w:rPr>
          <w:rStyle w:val="FootnoteReference"/>
        </w:rPr>
        <w:footnoteRef/>
      </w:r>
      <w:r>
        <w:t xml:space="preserve"> </w:t>
      </w:r>
      <w:r>
        <w:tab/>
      </w:r>
      <w:proofErr w:type="gramStart"/>
      <w:r>
        <w:rPr>
          <w:rFonts w:cs="Arial"/>
          <w:szCs w:val="16"/>
        </w:rPr>
        <w:t>NGR, r. 74(2).</w:t>
      </w:r>
      <w:proofErr w:type="gramEnd"/>
    </w:p>
  </w:footnote>
  <w:footnote w:id="8">
    <w:p w:rsidR="0016020D" w:rsidRDefault="0016020D" w:rsidP="00072F19">
      <w:pPr>
        <w:pStyle w:val="FootnoteText"/>
      </w:pPr>
      <w:r>
        <w:rPr>
          <w:rStyle w:val="FootnoteReference"/>
        </w:rPr>
        <w:footnoteRef/>
      </w:r>
      <w:r>
        <w:t xml:space="preserve"> </w:t>
      </w:r>
      <w:r>
        <w:tab/>
      </w:r>
      <w:r>
        <w:rPr>
          <w:rFonts w:cs="Arial"/>
          <w:szCs w:val="16"/>
        </w:rPr>
        <w:t>NGR, r. 72(1</w:t>
      </w:r>
      <w:proofErr w:type="gramStart"/>
      <w:r>
        <w:rPr>
          <w:rFonts w:cs="Arial"/>
          <w:szCs w:val="16"/>
        </w:rPr>
        <w:t>)(</w:t>
      </w:r>
      <w:proofErr w:type="gramEnd"/>
      <w:r>
        <w:rPr>
          <w:rFonts w:cs="Arial"/>
          <w:szCs w:val="16"/>
        </w:rPr>
        <w:t>a)(iii)(A).</w:t>
      </w:r>
    </w:p>
  </w:footnote>
  <w:footnote w:id="9">
    <w:p w:rsidR="0016020D" w:rsidRDefault="0016020D" w:rsidP="00072F19">
      <w:pPr>
        <w:pStyle w:val="FootnoteText"/>
      </w:pPr>
      <w:r>
        <w:rPr>
          <w:rStyle w:val="FootnoteReference"/>
        </w:rPr>
        <w:footnoteRef/>
      </w:r>
      <w:r>
        <w:t xml:space="preserve"> </w:t>
      </w:r>
      <w:r>
        <w:tab/>
      </w:r>
      <w:r>
        <w:rPr>
          <w:rFonts w:cs="Arial"/>
          <w:szCs w:val="16"/>
        </w:rPr>
        <w:t xml:space="preserve">AGN, </w:t>
      </w:r>
      <w:r w:rsidRPr="00F12A3F">
        <w:rPr>
          <w:rFonts w:cs="Arial"/>
          <w:i/>
          <w:szCs w:val="16"/>
        </w:rPr>
        <w:t xml:space="preserve">Access Arrangement Information, </w:t>
      </w:r>
      <w:r w:rsidRPr="002C31FE">
        <w:rPr>
          <w:rFonts w:cs="Arial"/>
          <w:szCs w:val="16"/>
        </w:rPr>
        <w:t xml:space="preserve">July </w:t>
      </w:r>
      <w:r>
        <w:rPr>
          <w:rFonts w:cs="Arial"/>
          <w:szCs w:val="16"/>
        </w:rPr>
        <w:t xml:space="preserve">2015, </w:t>
      </w:r>
      <w:r>
        <w:rPr>
          <w:rStyle w:val="AERtextsize8"/>
        </w:rPr>
        <w:t>p. 79–81</w:t>
      </w:r>
      <w:r>
        <w:t>.</w:t>
      </w:r>
    </w:p>
  </w:footnote>
  <w:footnote w:id="10">
    <w:p w:rsidR="0016020D" w:rsidRDefault="0016020D" w:rsidP="00010106">
      <w:pPr>
        <w:pStyle w:val="FootnoteText"/>
      </w:pPr>
      <w:r>
        <w:rPr>
          <w:rStyle w:val="FootnoteReference"/>
        </w:rPr>
        <w:footnoteRef/>
      </w:r>
      <w:r>
        <w:t xml:space="preserve"> </w:t>
      </w:r>
      <w:r>
        <w:tab/>
        <w:t xml:space="preserve">NGR, r. </w:t>
      </w:r>
      <w:r w:rsidRPr="00C85EC6">
        <w:t>72(1</w:t>
      </w:r>
      <w:proofErr w:type="gramStart"/>
      <w:r w:rsidRPr="00C85EC6">
        <w:t>)(</w:t>
      </w:r>
      <w:proofErr w:type="gramEnd"/>
      <w:r w:rsidRPr="00C85EC6">
        <w:t>d)</w:t>
      </w:r>
      <w:r>
        <w:t>.</w:t>
      </w:r>
    </w:p>
  </w:footnote>
  <w:footnote w:id="11">
    <w:p w:rsidR="0016020D" w:rsidRDefault="0016020D" w:rsidP="00010106">
      <w:pPr>
        <w:pStyle w:val="FootnoteText"/>
      </w:pPr>
      <w:r>
        <w:rPr>
          <w:rStyle w:val="FootnoteReference"/>
        </w:rPr>
        <w:footnoteRef/>
      </w:r>
      <w:r>
        <w:t xml:space="preserve"> </w:t>
      </w:r>
      <w:r>
        <w:tab/>
      </w:r>
      <w:r>
        <w:rPr>
          <w:rFonts w:cs="Arial"/>
          <w:szCs w:val="16"/>
        </w:rPr>
        <w:t xml:space="preserve">AGN, </w:t>
      </w:r>
      <w:r w:rsidRPr="00F12A3F">
        <w:rPr>
          <w:rFonts w:cs="Arial"/>
          <w:i/>
          <w:szCs w:val="16"/>
        </w:rPr>
        <w:t xml:space="preserve">Access Arrangement Information, </w:t>
      </w:r>
      <w:r w:rsidRPr="002C31FE">
        <w:rPr>
          <w:rFonts w:cs="Arial"/>
          <w:szCs w:val="16"/>
        </w:rPr>
        <w:t xml:space="preserve">July </w:t>
      </w:r>
      <w:r>
        <w:rPr>
          <w:rFonts w:cs="Arial"/>
          <w:szCs w:val="16"/>
        </w:rPr>
        <w:t xml:space="preserve">2015, </w:t>
      </w:r>
      <w:r>
        <w:rPr>
          <w:rStyle w:val="AERtextsize8"/>
        </w:rPr>
        <w:t>p. 31.</w:t>
      </w:r>
    </w:p>
  </w:footnote>
  <w:footnote w:id="12">
    <w:p w:rsidR="0016020D" w:rsidRDefault="0016020D" w:rsidP="00010106">
      <w:pPr>
        <w:pStyle w:val="FootnoteText"/>
      </w:pPr>
      <w:r>
        <w:rPr>
          <w:rStyle w:val="FootnoteReference"/>
        </w:rPr>
        <w:footnoteRef/>
      </w:r>
      <w:r>
        <w:t xml:space="preserve"> </w:t>
      </w:r>
      <w:r>
        <w:tab/>
      </w:r>
      <w:proofErr w:type="gramStart"/>
      <w:r>
        <w:t>NGR, r. 74(2).</w:t>
      </w:r>
      <w:proofErr w:type="gramEnd"/>
    </w:p>
  </w:footnote>
  <w:footnote w:id="13">
    <w:p w:rsidR="0016020D" w:rsidRDefault="0016020D" w:rsidP="00010106">
      <w:pPr>
        <w:pStyle w:val="FootnoteText"/>
      </w:pPr>
      <w:r>
        <w:rPr>
          <w:rStyle w:val="FootnoteReference"/>
        </w:rPr>
        <w:footnoteRef/>
      </w:r>
      <w:r>
        <w:t xml:space="preserve"> </w:t>
      </w:r>
      <w:r>
        <w:tab/>
        <w:t xml:space="preserve">Core Energy, </w:t>
      </w:r>
      <w:r w:rsidRPr="00BF58D5">
        <w:rPr>
          <w:i/>
        </w:rPr>
        <w:t>Gas Demand Forecasts, AGN – SA Gas Access Arrangement 2017</w:t>
      </w:r>
      <w:r>
        <w:rPr>
          <w:i/>
        </w:rPr>
        <w:t>–</w:t>
      </w:r>
      <w:r w:rsidRPr="00BF58D5">
        <w:rPr>
          <w:i/>
        </w:rPr>
        <w:t>21</w:t>
      </w:r>
      <w:r>
        <w:t>, June 2015, p. 38.</w:t>
      </w:r>
    </w:p>
  </w:footnote>
  <w:footnote w:id="14">
    <w:p w:rsidR="0016020D" w:rsidRDefault="0016020D" w:rsidP="00010106">
      <w:pPr>
        <w:pStyle w:val="FootnoteText"/>
      </w:pPr>
      <w:r>
        <w:rPr>
          <w:rStyle w:val="FootnoteReference"/>
        </w:rPr>
        <w:footnoteRef/>
      </w:r>
      <w:r>
        <w:t xml:space="preserve"> </w:t>
      </w:r>
      <w:r>
        <w:tab/>
        <w:t xml:space="preserve">ACIL Allen, </w:t>
      </w:r>
      <w:r w:rsidRPr="008B43BA">
        <w:rPr>
          <w:i/>
        </w:rPr>
        <w:t>Review of Demand Forecasts for the AGN South Australian Gas Networks</w:t>
      </w:r>
      <w:r>
        <w:t>, 11 November 2015, pp. 31–32.</w:t>
      </w:r>
    </w:p>
  </w:footnote>
  <w:footnote w:id="15">
    <w:p w:rsidR="0016020D" w:rsidRDefault="0016020D" w:rsidP="00B51D1A">
      <w:pPr>
        <w:pStyle w:val="FootnoteText"/>
      </w:pPr>
      <w:r>
        <w:rPr>
          <w:rStyle w:val="FootnoteReference"/>
        </w:rPr>
        <w:footnoteRef/>
      </w:r>
      <w:r>
        <w:t xml:space="preserve"> </w:t>
      </w:r>
      <w:r>
        <w:tab/>
        <w:t>The trend factor is calculated as the historical average annual growth rate.</w:t>
      </w:r>
    </w:p>
  </w:footnote>
  <w:footnote w:id="16">
    <w:p w:rsidR="0016020D" w:rsidRDefault="0016020D" w:rsidP="00B51D1A">
      <w:pPr>
        <w:pStyle w:val="FootnoteText"/>
      </w:pPr>
      <w:r>
        <w:rPr>
          <w:rStyle w:val="FootnoteReference"/>
        </w:rPr>
        <w:footnoteRef/>
      </w:r>
      <w:r>
        <w:t xml:space="preserve"> </w:t>
      </w:r>
      <w:r>
        <w:tab/>
        <w:t xml:space="preserve">ACIL Allen, </w:t>
      </w:r>
      <w:r w:rsidRPr="008B43BA">
        <w:rPr>
          <w:i/>
        </w:rPr>
        <w:t>Review of Demand Forecasts for the AGN South Australian Gas Networks</w:t>
      </w:r>
      <w:r>
        <w:t>, 11 November 2015, p. 15.</w:t>
      </w:r>
    </w:p>
  </w:footnote>
  <w:footnote w:id="17">
    <w:p w:rsidR="0016020D" w:rsidRDefault="0016020D" w:rsidP="00B51D1A">
      <w:pPr>
        <w:pStyle w:val="FootnoteText"/>
      </w:pPr>
      <w:r>
        <w:rPr>
          <w:rStyle w:val="FootnoteReference"/>
        </w:rPr>
        <w:footnoteRef/>
      </w:r>
      <w:r>
        <w:t xml:space="preserve"> </w:t>
      </w:r>
      <w:r>
        <w:tab/>
        <w:t>This uses</w:t>
      </w:r>
      <w:r w:rsidRPr="00BF58D5">
        <w:t xml:space="preserve"> an estimate of own-price elasticity of -0.3 for</w:t>
      </w:r>
      <w:r>
        <w:t xml:space="preserve"> </w:t>
      </w:r>
      <w:r w:rsidRPr="00BF58D5">
        <w:t>residential demand per connection and -0.35 for commercial demand per connection</w:t>
      </w:r>
      <w:r>
        <w:t xml:space="preserve"> and </w:t>
      </w:r>
      <w:r w:rsidRPr="00BF58D5">
        <w:t>an estimate of cross-price elasticity of 0.1 for both tariff classes</w:t>
      </w:r>
      <w:r>
        <w:t>.</w:t>
      </w:r>
      <w:r w:rsidRPr="00BF58D5">
        <w:t xml:space="preserve"> </w:t>
      </w:r>
    </w:p>
  </w:footnote>
  <w:footnote w:id="18">
    <w:p w:rsidR="0016020D" w:rsidRDefault="0016020D" w:rsidP="00955CF9">
      <w:pPr>
        <w:pStyle w:val="FootnoteText"/>
      </w:pPr>
      <w:r w:rsidRPr="003B73E7">
        <w:rPr>
          <w:rStyle w:val="FootnoteReference"/>
        </w:rPr>
        <w:footnoteRef/>
      </w:r>
      <w:r w:rsidRPr="003B73E7">
        <w:t xml:space="preserve"> </w:t>
      </w:r>
      <w:r>
        <w:tab/>
      </w:r>
      <w:r w:rsidRPr="003B73E7">
        <w:t>Note that -3.16 and -3.43 growth rates for existing and new connection types respectively include the post model adjustments for cross and own –price elasticity effects. The growth rates differ because Core Energy attempts to derive new connection demand reflecting the lagged nature of new connections coming online through the year. Note that this lagged nature of new connections is not relevant to our alternative approach given our starting value of average consumption per connection in 2014 is measured on the average of year basis.</w:t>
      </w:r>
      <w:r>
        <w:t xml:space="preserve">   </w:t>
      </w:r>
    </w:p>
  </w:footnote>
  <w:footnote w:id="19">
    <w:p w:rsidR="0016020D" w:rsidRDefault="0016020D" w:rsidP="0052751C">
      <w:pPr>
        <w:pStyle w:val="FootnoteText"/>
      </w:pPr>
      <w:r>
        <w:rPr>
          <w:rStyle w:val="FootnoteReference"/>
        </w:rPr>
        <w:footnoteRef/>
      </w:r>
      <w:r>
        <w:t xml:space="preserve"> </w:t>
      </w:r>
      <w:r>
        <w:tab/>
      </w:r>
      <w:r w:rsidRPr="00697C95">
        <w:t>Core Energy applies a cumulative new connections method to forecasti</w:t>
      </w:r>
      <w:r>
        <w:t>ng. That is, starting from 2014</w:t>
      </w:r>
      <w:r w:rsidRPr="00697C95">
        <w:t>, ‘existing’ connections continue to fall (as these connections are forecast as existing connections net of disconnections), while new connections accumulate o</w:t>
      </w:r>
      <w:r>
        <w:t>ver time</w:t>
      </w:r>
      <w:r w:rsidRPr="00697C95">
        <w:t>.</w:t>
      </w:r>
    </w:p>
  </w:footnote>
  <w:footnote w:id="20">
    <w:p w:rsidR="0016020D" w:rsidRDefault="0016020D">
      <w:pPr>
        <w:pStyle w:val="FootnoteText"/>
      </w:pPr>
      <w:r>
        <w:rPr>
          <w:rStyle w:val="FootnoteReference"/>
        </w:rPr>
        <w:footnoteRef/>
      </w:r>
      <w:r>
        <w:t xml:space="preserve"> </w:t>
      </w:r>
      <w:r>
        <w:tab/>
        <w:t xml:space="preserve">ACIL Allen, </w:t>
      </w:r>
      <w:r w:rsidRPr="008B43BA">
        <w:rPr>
          <w:i/>
        </w:rPr>
        <w:t>Review of Demand Forecasts for the AGN South Australian Gas Networks</w:t>
      </w:r>
      <w:r>
        <w:t>, 11 November 2015, p. 27.</w:t>
      </w:r>
    </w:p>
  </w:footnote>
  <w:footnote w:id="21">
    <w:p w:rsidR="0016020D" w:rsidRDefault="0016020D" w:rsidP="002E09E5">
      <w:pPr>
        <w:pStyle w:val="FootnoteText"/>
      </w:pPr>
      <w:r>
        <w:rPr>
          <w:rStyle w:val="FootnoteReference"/>
        </w:rPr>
        <w:footnoteRef/>
      </w:r>
      <w:r>
        <w:t xml:space="preserve"> </w:t>
      </w:r>
      <w:r>
        <w:tab/>
        <w:t xml:space="preserve">AGN’s ‘zero-consuming meters’ program in 2016 and 2017 results in the removal of approximately 6800 meters that do not consume any gas. Of these, 1088 are assumed to be commercial meters and 5712, residential meters. This program results in a fall particularly in commercial customer numbers over 2015 to 2017. ACIL Allen assessed the effect of this program on Tariff V connection numbers and was satisfied with Core Energy’s adjustments (ACIL Allen, </w:t>
      </w:r>
      <w:r w:rsidRPr="008B43BA">
        <w:rPr>
          <w:i/>
        </w:rPr>
        <w:t>Review of Demand Forecasts for the AGN South Australian Gas Networks</w:t>
      </w:r>
      <w:r>
        <w:t>, 11 November 2015, pp. 38–40).</w:t>
      </w:r>
    </w:p>
  </w:footnote>
  <w:footnote w:id="22">
    <w:p w:rsidR="0016020D" w:rsidRPr="003B73E7" w:rsidRDefault="0016020D">
      <w:pPr>
        <w:pStyle w:val="FootnoteText"/>
        <w:rPr>
          <w:rStyle w:val="FootnoteReference"/>
          <w:sz w:val="22"/>
          <w:szCs w:val="22"/>
        </w:rPr>
      </w:pPr>
      <w:r>
        <w:rPr>
          <w:rStyle w:val="FootnoteReference"/>
        </w:rPr>
        <w:footnoteRef/>
      </w:r>
      <w:r w:rsidRPr="003B73E7">
        <w:rPr>
          <w:rStyle w:val="FootnoteReference"/>
        </w:rPr>
        <w:t xml:space="preserve"> </w:t>
      </w:r>
      <w:r w:rsidRPr="003B73E7">
        <w:rPr>
          <w:rStyle w:val="FootnoteReference"/>
        </w:rPr>
        <w:tab/>
      </w:r>
      <w:r w:rsidRPr="003B73E7">
        <w:t>In particular, our estimate is calculated by applying Core Energy’s unadjusted annual rate of decline, –3.52 per cent per annum, to starting average consumption, and then further adjusting for removing zero-consuming meters from total residential connections. This gives the decline rate for average consumption per operative connection being –3.53 per annum for residential customers. In contrast, Core Energy’s further adjustment for the removal of zero-consuming meters applies only to the existing connections, which results in adjusted decline rate of –3.43 for residential customers.</w:t>
      </w:r>
      <w:r w:rsidRPr="003B73E7">
        <w:rPr>
          <w:rStyle w:val="FootnoteReference"/>
        </w:rPr>
        <w:t>    </w:t>
      </w:r>
    </w:p>
  </w:footnote>
  <w:footnote w:id="23">
    <w:p w:rsidR="0016020D" w:rsidRDefault="0016020D" w:rsidP="00E74942">
      <w:pPr>
        <w:pStyle w:val="FootnoteText"/>
      </w:pPr>
      <w:r>
        <w:rPr>
          <w:rStyle w:val="FootnoteReference"/>
        </w:rPr>
        <w:footnoteRef/>
      </w:r>
      <w:r>
        <w:t xml:space="preserve">     </w:t>
      </w:r>
      <w:r w:rsidRPr="003B73E7">
        <w:t>As with the residential consumption, the growth rates for existing and new commercial connections differ due to the lagged nature of new connections. Note that this lagged nature of new connections is not relevant to our alternative approach given our starting value of average consumption per connection in 2014 is measured on the average of year basis.</w:t>
      </w:r>
      <w:r>
        <w:t xml:space="preserve">   </w:t>
      </w:r>
    </w:p>
  </w:footnote>
  <w:footnote w:id="24">
    <w:p w:rsidR="0016020D" w:rsidRDefault="0016020D" w:rsidP="00566353">
      <w:pPr>
        <w:pStyle w:val="FootnoteText"/>
      </w:pPr>
      <w:r>
        <w:rPr>
          <w:rStyle w:val="FootnoteReference"/>
        </w:rPr>
        <w:footnoteRef/>
      </w:r>
      <w:r>
        <w:t xml:space="preserve"> </w:t>
      </w:r>
      <w:r>
        <w:tab/>
        <w:t xml:space="preserve">ACIL Allen, </w:t>
      </w:r>
      <w:r w:rsidRPr="008B43BA">
        <w:rPr>
          <w:i/>
        </w:rPr>
        <w:t>Review of Demand Forecasts for the AGN South Australian Gas Networks</w:t>
      </w:r>
      <w:r>
        <w:t>, 11 November 2015, p. 27.</w:t>
      </w:r>
    </w:p>
  </w:footnote>
  <w:footnote w:id="25">
    <w:p w:rsidR="0016020D" w:rsidRDefault="0016020D" w:rsidP="00566353">
      <w:pPr>
        <w:pStyle w:val="FootnoteText"/>
      </w:pPr>
      <w:r>
        <w:rPr>
          <w:rStyle w:val="FootnoteReference"/>
        </w:rPr>
        <w:footnoteRef/>
      </w:r>
      <w:r>
        <w:t xml:space="preserve"> </w:t>
      </w:r>
      <w:r>
        <w:tab/>
        <w:t xml:space="preserve">AGN’s ‘zero-consuming meters’ program in 2016 and 2017 results in the removal of approximately 6800 meters that do not consume any gas. Of these, 1088 are assumed to be commercial meters and 5712, residential meters. This program results in a fall particularly in commercial customer numbers over 2015 to 2017. ACIL Allen assessed the effect of this program on Tariff V connection numbers and was satisfied with Core Energy’s adjustments (ACIL Allen, </w:t>
      </w:r>
      <w:r w:rsidRPr="008B43BA">
        <w:rPr>
          <w:i/>
        </w:rPr>
        <w:t>Review of Demand Forecasts for the AGN South Australian Gas Networks</w:t>
      </w:r>
      <w:r>
        <w:t>, 11 November 2015, pp. 38–40).</w:t>
      </w:r>
    </w:p>
  </w:footnote>
  <w:footnote w:id="26">
    <w:p w:rsidR="0016020D" w:rsidRPr="00820128" w:rsidRDefault="0016020D" w:rsidP="003B73E7">
      <w:pPr>
        <w:pStyle w:val="FootnoteText"/>
        <w:rPr>
          <w:rStyle w:val="FootnoteReference"/>
        </w:rPr>
      </w:pPr>
      <w:r>
        <w:rPr>
          <w:rStyle w:val="FootnoteReference"/>
        </w:rPr>
        <w:footnoteRef/>
      </w:r>
      <w:r w:rsidRPr="00820128">
        <w:rPr>
          <w:rStyle w:val="FootnoteReference"/>
        </w:rPr>
        <w:t xml:space="preserve"> </w:t>
      </w:r>
      <w:r w:rsidRPr="00820128">
        <w:rPr>
          <w:rStyle w:val="FootnoteReference"/>
        </w:rPr>
        <w:tab/>
      </w:r>
      <w:r w:rsidRPr="00820128">
        <w:t>In particular, our estimate is calculated by applying Core Energy’s unadjusted annual rate of decline, –</w:t>
      </w:r>
      <w:r>
        <w:t>2.02</w:t>
      </w:r>
      <w:r w:rsidRPr="00820128">
        <w:t xml:space="preserve"> per cent per annum, to starting average consumption, and then further adjusting for removing zero-consuming meters from total</w:t>
      </w:r>
      <w:r>
        <w:t xml:space="preserve"> commercial</w:t>
      </w:r>
      <w:r w:rsidRPr="00820128">
        <w:t xml:space="preserve"> connections. This gives the decline rate for average consumption per operative connection being –</w:t>
      </w:r>
      <w:r>
        <w:t>1.44</w:t>
      </w:r>
      <w:r w:rsidRPr="00820128">
        <w:t xml:space="preserve"> per annum for </w:t>
      </w:r>
      <w:r>
        <w:t xml:space="preserve">commercial </w:t>
      </w:r>
      <w:r w:rsidRPr="00820128">
        <w:t>customers. In contrast, Core Energy’s further adjustment for the removal of zero-consuming meters applies only to the existing connections, which results in adjusted decline rate of –</w:t>
      </w:r>
      <w:r>
        <w:t>1.29</w:t>
      </w:r>
      <w:r w:rsidRPr="00820128">
        <w:t xml:space="preserve"> for</w:t>
      </w:r>
      <w:r>
        <w:t xml:space="preserve"> commercial</w:t>
      </w:r>
      <w:r w:rsidRPr="00820128">
        <w:t xml:space="preserve"> customers.</w:t>
      </w:r>
      <w:r>
        <w:rPr>
          <w:rStyle w:val="FootnoteReference"/>
        </w:rPr>
        <w:t>   </w:t>
      </w:r>
    </w:p>
  </w:footnote>
  <w:footnote w:id="27">
    <w:p w:rsidR="0016020D" w:rsidRDefault="0016020D" w:rsidP="00B51D1A">
      <w:pPr>
        <w:pStyle w:val="FootnoteText"/>
      </w:pPr>
      <w:r>
        <w:rPr>
          <w:rStyle w:val="FootnoteReference"/>
        </w:rPr>
        <w:footnoteRef/>
      </w:r>
      <w:r>
        <w:t xml:space="preserve"> </w:t>
      </w:r>
      <w:r>
        <w:tab/>
        <w:t xml:space="preserve">ACIL Allen, </w:t>
      </w:r>
      <w:r w:rsidRPr="008B43BA">
        <w:rPr>
          <w:i/>
        </w:rPr>
        <w:t>Review of Demand Forecasts for the AGN South Australian Gas Networks</w:t>
      </w:r>
      <w:r>
        <w:t xml:space="preserve">, 11 November 2015, p. 24. </w:t>
      </w:r>
    </w:p>
  </w:footnote>
  <w:footnote w:id="28">
    <w:p w:rsidR="0016020D" w:rsidRDefault="0016020D" w:rsidP="00B51D1A">
      <w:pPr>
        <w:pStyle w:val="FootnoteText"/>
      </w:pPr>
      <w:r>
        <w:rPr>
          <w:rStyle w:val="FootnoteReference"/>
        </w:rPr>
        <w:footnoteRef/>
      </w:r>
      <w:r>
        <w:t xml:space="preserve"> </w:t>
      </w:r>
      <w:r>
        <w:tab/>
        <w:t xml:space="preserve">ACIL Allen, </w:t>
      </w:r>
      <w:r w:rsidRPr="008B43BA">
        <w:rPr>
          <w:i/>
        </w:rPr>
        <w:t>Review of Demand Forecasts for the AGN South Australian Gas Networks</w:t>
      </w:r>
      <w:r>
        <w:t xml:space="preserve">, 11 November 2015, p. 25. </w:t>
      </w:r>
    </w:p>
  </w:footnote>
  <w:footnote w:id="29">
    <w:p w:rsidR="0016020D" w:rsidRDefault="0016020D" w:rsidP="00B51D1A">
      <w:pPr>
        <w:pStyle w:val="FootnoteText"/>
      </w:pPr>
      <w:r>
        <w:rPr>
          <w:rStyle w:val="FootnoteReference"/>
        </w:rPr>
        <w:footnoteRef/>
      </w:r>
      <w:r>
        <w:t xml:space="preserve"> </w:t>
      </w:r>
      <w:r>
        <w:tab/>
        <w:t xml:space="preserve">ACIL Allen, </w:t>
      </w:r>
      <w:r w:rsidRPr="008B43BA">
        <w:rPr>
          <w:i/>
        </w:rPr>
        <w:t>Review of Demand Forecasts for the AGN South Australian Gas Networks</w:t>
      </w:r>
      <w:r>
        <w:t>, 11 November 2015, p. 25.</w:t>
      </w:r>
    </w:p>
  </w:footnote>
  <w:footnote w:id="30">
    <w:p w:rsidR="0016020D" w:rsidRDefault="0016020D" w:rsidP="00B51D1A">
      <w:pPr>
        <w:pStyle w:val="FootnoteText"/>
      </w:pPr>
      <w:r>
        <w:rPr>
          <w:rStyle w:val="FootnoteReference"/>
        </w:rPr>
        <w:footnoteRef/>
      </w:r>
      <w:r>
        <w:t xml:space="preserve"> </w:t>
      </w:r>
      <w:r w:rsidRPr="004740EF">
        <w:t xml:space="preserve"> </w:t>
      </w:r>
      <w:r>
        <w:tab/>
        <w:t xml:space="preserve">For the purposes of setting reference tariff calculation at the draft decision stage, adjustments are been made to our estimates on a pro rate basis.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20D" w:rsidRDefault="002C5647">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16020D">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20D" w:rsidRDefault="002C5647">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5AB00E4"/>
    <w:multiLevelType w:val="hybridMultilevel"/>
    <w:tmpl w:val="F6C22E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6">
    <w:nsid w:val="2CFB48D4"/>
    <w:multiLevelType w:val="hybridMultilevel"/>
    <w:tmpl w:val="8016746C"/>
    <w:lvl w:ilvl="0" w:tplc="0E26318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C439B6"/>
    <w:multiLevelType w:val="hybridMultilevel"/>
    <w:tmpl w:val="6D105B36"/>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21">
    <w:nsid w:val="3CF07D5F"/>
    <w:multiLevelType w:val="hybridMultilevel"/>
    <w:tmpl w:val="D6DC675A"/>
    <w:lvl w:ilvl="0" w:tplc="6C6CF7F2">
      <w:start w:val="1"/>
      <w:numFmt w:val="lowerLetter"/>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5">
    <w:nsid w:val="4ED6235E"/>
    <w:multiLevelType w:val="multilevel"/>
    <w:tmpl w:val="05223A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5834A2C"/>
    <w:multiLevelType w:val="hybridMultilevel"/>
    <w:tmpl w:val="1186A3C8"/>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9">
    <w:nsid w:val="5ECE4384"/>
    <w:multiLevelType w:val="multilevel"/>
    <w:tmpl w:val="3104E6F2"/>
    <w:lvl w:ilvl="0">
      <w:start w:val="13"/>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1">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0"/>
  </w:num>
  <w:num w:numId="13">
    <w:abstractNumId w:val="19"/>
  </w:num>
  <w:num w:numId="14">
    <w:abstractNumId w:val="10"/>
  </w:num>
  <w:num w:numId="15">
    <w:abstractNumId w:val="13"/>
  </w:num>
  <w:num w:numId="16">
    <w:abstractNumId w:val="22"/>
  </w:num>
  <w:num w:numId="17">
    <w:abstractNumId w:val="9"/>
  </w:num>
  <w:num w:numId="18">
    <w:abstractNumId w:val="15"/>
  </w:num>
  <w:num w:numId="19">
    <w:abstractNumId w:val="23"/>
  </w:num>
  <w:num w:numId="20">
    <w:abstractNumId w:val="31"/>
  </w:num>
  <w:num w:numId="21">
    <w:abstractNumId w:val="28"/>
  </w:num>
  <w:num w:numId="22">
    <w:abstractNumId w:val="24"/>
  </w:num>
  <w:num w:numId="23">
    <w:abstractNumId w:val="17"/>
  </w:num>
  <w:num w:numId="24">
    <w:abstractNumId w:val="26"/>
  </w:num>
  <w:num w:numId="25">
    <w:abstractNumId w:val="29"/>
  </w:num>
  <w:num w:numId="26">
    <w:abstractNumId w:val="18"/>
  </w:num>
  <w:num w:numId="27">
    <w:abstractNumId w:val="14"/>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1"/>
  </w:num>
  <w:num w:numId="31">
    <w:abstractNumId w:val="12"/>
  </w:num>
  <w:num w:numId="32">
    <w:abstractNumId w:val="32"/>
  </w:num>
  <w:num w:numId="33">
    <w:abstractNumId w:val="27"/>
  </w:num>
  <w:num w:numId="34">
    <w:abstractNumId w:val="25"/>
  </w:num>
  <w:num w:numId="35">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lewi\Desktop\Templates\ausnet - prelim decision - attachment 2.docx"/>
  </w:docVars>
  <w:rsids>
    <w:rsidRoot w:val="00961A4A"/>
    <w:rsid w:val="0000435E"/>
    <w:rsid w:val="00010106"/>
    <w:rsid w:val="00010286"/>
    <w:rsid w:val="00021202"/>
    <w:rsid w:val="00021C2B"/>
    <w:rsid w:val="00024BA1"/>
    <w:rsid w:val="0002517F"/>
    <w:rsid w:val="00026495"/>
    <w:rsid w:val="0002658D"/>
    <w:rsid w:val="0003578C"/>
    <w:rsid w:val="000401AF"/>
    <w:rsid w:val="00040698"/>
    <w:rsid w:val="00063247"/>
    <w:rsid w:val="00070F9F"/>
    <w:rsid w:val="0007137B"/>
    <w:rsid w:val="00072F19"/>
    <w:rsid w:val="00085663"/>
    <w:rsid w:val="00085EBF"/>
    <w:rsid w:val="000908ED"/>
    <w:rsid w:val="00091B15"/>
    <w:rsid w:val="00092C13"/>
    <w:rsid w:val="000A0D5F"/>
    <w:rsid w:val="000A3020"/>
    <w:rsid w:val="000A6C7B"/>
    <w:rsid w:val="000B5499"/>
    <w:rsid w:val="000C2B40"/>
    <w:rsid w:val="000D06C1"/>
    <w:rsid w:val="000D122C"/>
    <w:rsid w:val="000D3016"/>
    <w:rsid w:val="000E1819"/>
    <w:rsid w:val="000E4821"/>
    <w:rsid w:val="000E6C72"/>
    <w:rsid w:val="000F0B2B"/>
    <w:rsid w:val="000F2973"/>
    <w:rsid w:val="000F34FC"/>
    <w:rsid w:val="000F3E72"/>
    <w:rsid w:val="000F48B1"/>
    <w:rsid w:val="00103A67"/>
    <w:rsid w:val="00116EB2"/>
    <w:rsid w:val="001203AF"/>
    <w:rsid w:val="00124609"/>
    <w:rsid w:val="00126A4C"/>
    <w:rsid w:val="00140A8A"/>
    <w:rsid w:val="00142AB6"/>
    <w:rsid w:val="0014573B"/>
    <w:rsid w:val="001573E4"/>
    <w:rsid w:val="0016020D"/>
    <w:rsid w:val="00160756"/>
    <w:rsid w:val="00167B2F"/>
    <w:rsid w:val="0017232E"/>
    <w:rsid w:val="00174102"/>
    <w:rsid w:val="001754EE"/>
    <w:rsid w:val="00180157"/>
    <w:rsid w:val="00185CB9"/>
    <w:rsid w:val="00186F77"/>
    <w:rsid w:val="001926A4"/>
    <w:rsid w:val="00192AD5"/>
    <w:rsid w:val="001B45A0"/>
    <w:rsid w:val="001B4D4A"/>
    <w:rsid w:val="001B7D00"/>
    <w:rsid w:val="001C743E"/>
    <w:rsid w:val="001D055E"/>
    <w:rsid w:val="001F05A4"/>
    <w:rsid w:val="001F492E"/>
    <w:rsid w:val="001F5FA5"/>
    <w:rsid w:val="001F6DA3"/>
    <w:rsid w:val="002010BC"/>
    <w:rsid w:val="002016E7"/>
    <w:rsid w:val="00201F98"/>
    <w:rsid w:val="00202E03"/>
    <w:rsid w:val="0020478D"/>
    <w:rsid w:val="0020492C"/>
    <w:rsid w:val="00205A33"/>
    <w:rsid w:val="00224DB9"/>
    <w:rsid w:val="00227DCE"/>
    <w:rsid w:val="0023276C"/>
    <w:rsid w:val="00233775"/>
    <w:rsid w:val="0023440D"/>
    <w:rsid w:val="00251745"/>
    <w:rsid w:val="00255336"/>
    <w:rsid w:val="00263AC0"/>
    <w:rsid w:val="00264264"/>
    <w:rsid w:val="0026772D"/>
    <w:rsid w:val="00286874"/>
    <w:rsid w:val="00290C63"/>
    <w:rsid w:val="002933F2"/>
    <w:rsid w:val="002968A4"/>
    <w:rsid w:val="00296B65"/>
    <w:rsid w:val="002A6766"/>
    <w:rsid w:val="002A7DEF"/>
    <w:rsid w:val="002B1003"/>
    <w:rsid w:val="002B573C"/>
    <w:rsid w:val="002C233C"/>
    <w:rsid w:val="002C31FE"/>
    <w:rsid w:val="002C5647"/>
    <w:rsid w:val="002D72E8"/>
    <w:rsid w:val="002E09E5"/>
    <w:rsid w:val="002E7B22"/>
    <w:rsid w:val="002F29AA"/>
    <w:rsid w:val="002F509E"/>
    <w:rsid w:val="002F7986"/>
    <w:rsid w:val="00301B40"/>
    <w:rsid w:val="003029EE"/>
    <w:rsid w:val="0030370B"/>
    <w:rsid w:val="00305CC8"/>
    <w:rsid w:val="00307F6D"/>
    <w:rsid w:val="003177A2"/>
    <w:rsid w:val="003271B5"/>
    <w:rsid w:val="00327A1E"/>
    <w:rsid w:val="00331264"/>
    <w:rsid w:val="00334C8D"/>
    <w:rsid w:val="00343A18"/>
    <w:rsid w:val="00344473"/>
    <w:rsid w:val="003512BF"/>
    <w:rsid w:val="003518B3"/>
    <w:rsid w:val="00381D8F"/>
    <w:rsid w:val="003846F1"/>
    <w:rsid w:val="003931A7"/>
    <w:rsid w:val="003B484F"/>
    <w:rsid w:val="003B73E7"/>
    <w:rsid w:val="003B7FBA"/>
    <w:rsid w:val="003C0194"/>
    <w:rsid w:val="003F174D"/>
    <w:rsid w:val="003F7442"/>
    <w:rsid w:val="00412D30"/>
    <w:rsid w:val="00415F31"/>
    <w:rsid w:val="00423A77"/>
    <w:rsid w:val="00427D3A"/>
    <w:rsid w:val="0045777E"/>
    <w:rsid w:val="004740EF"/>
    <w:rsid w:val="00474EC7"/>
    <w:rsid w:val="00480B4B"/>
    <w:rsid w:val="00485DC4"/>
    <w:rsid w:val="00487CBF"/>
    <w:rsid w:val="004A43D1"/>
    <w:rsid w:val="004B12E9"/>
    <w:rsid w:val="004B355D"/>
    <w:rsid w:val="004B4412"/>
    <w:rsid w:val="004B4513"/>
    <w:rsid w:val="004C348C"/>
    <w:rsid w:val="004D0332"/>
    <w:rsid w:val="004D55BA"/>
    <w:rsid w:val="004E10F1"/>
    <w:rsid w:val="004E22EC"/>
    <w:rsid w:val="004E4E47"/>
    <w:rsid w:val="004F6A0E"/>
    <w:rsid w:val="0052751C"/>
    <w:rsid w:val="00530128"/>
    <w:rsid w:val="00532467"/>
    <w:rsid w:val="00537FD6"/>
    <w:rsid w:val="0056342C"/>
    <w:rsid w:val="005639DF"/>
    <w:rsid w:val="00564A4D"/>
    <w:rsid w:val="0056588A"/>
    <w:rsid w:val="00566353"/>
    <w:rsid w:val="00567BA5"/>
    <w:rsid w:val="00571B35"/>
    <w:rsid w:val="00571D57"/>
    <w:rsid w:val="00577A09"/>
    <w:rsid w:val="005829C2"/>
    <w:rsid w:val="00584D8F"/>
    <w:rsid w:val="00586819"/>
    <w:rsid w:val="0059704C"/>
    <w:rsid w:val="005A1DE4"/>
    <w:rsid w:val="005A404D"/>
    <w:rsid w:val="005B1E3C"/>
    <w:rsid w:val="005B3FB7"/>
    <w:rsid w:val="005B704A"/>
    <w:rsid w:val="005C0A7F"/>
    <w:rsid w:val="005C26CC"/>
    <w:rsid w:val="005C4C9C"/>
    <w:rsid w:val="005D2413"/>
    <w:rsid w:val="005D3438"/>
    <w:rsid w:val="005D7BA2"/>
    <w:rsid w:val="005E0F35"/>
    <w:rsid w:val="005E2DFF"/>
    <w:rsid w:val="005E36C2"/>
    <w:rsid w:val="006007DE"/>
    <w:rsid w:val="00601638"/>
    <w:rsid w:val="00610EF9"/>
    <w:rsid w:val="00612F4F"/>
    <w:rsid w:val="00615C6B"/>
    <w:rsid w:val="00621DCE"/>
    <w:rsid w:val="00631195"/>
    <w:rsid w:val="00632D6D"/>
    <w:rsid w:val="00642C3E"/>
    <w:rsid w:val="00651C3A"/>
    <w:rsid w:val="00651CB2"/>
    <w:rsid w:val="006560CA"/>
    <w:rsid w:val="0066104A"/>
    <w:rsid w:val="00663DAD"/>
    <w:rsid w:val="00665649"/>
    <w:rsid w:val="006672AA"/>
    <w:rsid w:val="00675E20"/>
    <w:rsid w:val="00676679"/>
    <w:rsid w:val="00683C89"/>
    <w:rsid w:val="00691D9A"/>
    <w:rsid w:val="006B2395"/>
    <w:rsid w:val="006B45A4"/>
    <w:rsid w:val="006B4CF9"/>
    <w:rsid w:val="006B785B"/>
    <w:rsid w:val="006B7AC8"/>
    <w:rsid w:val="006C1736"/>
    <w:rsid w:val="006C4798"/>
    <w:rsid w:val="006D4986"/>
    <w:rsid w:val="006D550F"/>
    <w:rsid w:val="006F06D7"/>
    <w:rsid w:val="006F3AD1"/>
    <w:rsid w:val="006F3FC8"/>
    <w:rsid w:val="006F5C8F"/>
    <w:rsid w:val="007000CF"/>
    <w:rsid w:val="0070011E"/>
    <w:rsid w:val="00701CAB"/>
    <w:rsid w:val="00707563"/>
    <w:rsid w:val="0072348C"/>
    <w:rsid w:val="00724A37"/>
    <w:rsid w:val="007303C3"/>
    <w:rsid w:val="00735FB4"/>
    <w:rsid w:val="007413F1"/>
    <w:rsid w:val="00741C46"/>
    <w:rsid w:val="00741E23"/>
    <w:rsid w:val="007429BE"/>
    <w:rsid w:val="00743223"/>
    <w:rsid w:val="00746E01"/>
    <w:rsid w:val="00747EEA"/>
    <w:rsid w:val="00757364"/>
    <w:rsid w:val="00757BDF"/>
    <w:rsid w:val="00760303"/>
    <w:rsid w:val="007609D0"/>
    <w:rsid w:val="00763E5D"/>
    <w:rsid w:val="00767740"/>
    <w:rsid w:val="0077296E"/>
    <w:rsid w:val="00776CC8"/>
    <w:rsid w:val="00777EE6"/>
    <w:rsid w:val="00782EEA"/>
    <w:rsid w:val="007A2E65"/>
    <w:rsid w:val="007A79D5"/>
    <w:rsid w:val="007B186E"/>
    <w:rsid w:val="007B2458"/>
    <w:rsid w:val="007B2C72"/>
    <w:rsid w:val="007B76C3"/>
    <w:rsid w:val="007C1C53"/>
    <w:rsid w:val="007C24CF"/>
    <w:rsid w:val="007C74BB"/>
    <w:rsid w:val="007D456E"/>
    <w:rsid w:val="007D521D"/>
    <w:rsid w:val="007D6FF6"/>
    <w:rsid w:val="007E4904"/>
    <w:rsid w:val="007E4CB5"/>
    <w:rsid w:val="007F066B"/>
    <w:rsid w:val="007F213A"/>
    <w:rsid w:val="007F5C6D"/>
    <w:rsid w:val="007F75C4"/>
    <w:rsid w:val="0080284F"/>
    <w:rsid w:val="008033C4"/>
    <w:rsid w:val="00806C88"/>
    <w:rsid w:val="0081034E"/>
    <w:rsid w:val="008221F2"/>
    <w:rsid w:val="00825985"/>
    <w:rsid w:val="008326F4"/>
    <w:rsid w:val="008344F6"/>
    <w:rsid w:val="0083510F"/>
    <w:rsid w:val="0083767B"/>
    <w:rsid w:val="008408C5"/>
    <w:rsid w:val="00851209"/>
    <w:rsid w:val="0085722A"/>
    <w:rsid w:val="00864B35"/>
    <w:rsid w:val="00881C0E"/>
    <w:rsid w:val="00882481"/>
    <w:rsid w:val="008837AC"/>
    <w:rsid w:val="008A587D"/>
    <w:rsid w:val="008B16B1"/>
    <w:rsid w:val="008B35CD"/>
    <w:rsid w:val="008B43BA"/>
    <w:rsid w:val="008B5FCC"/>
    <w:rsid w:val="008B7544"/>
    <w:rsid w:val="008C3374"/>
    <w:rsid w:val="008C5486"/>
    <w:rsid w:val="008C708B"/>
    <w:rsid w:val="008D1661"/>
    <w:rsid w:val="008D6800"/>
    <w:rsid w:val="008E7031"/>
    <w:rsid w:val="008E77DE"/>
    <w:rsid w:val="008F07A3"/>
    <w:rsid w:val="008F34DD"/>
    <w:rsid w:val="008F6E3A"/>
    <w:rsid w:val="009001B6"/>
    <w:rsid w:val="00900E1B"/>
    <w:rsid w:val="00901C3C"/>
    <w:rsid w:val="009233EE"/>
    <w:rsid w:val="009272AD"/>
    <w:rsid w:val="009277DC"/>
    <w:rsid w:val="009460AA"/>
    <w:rsid w:val="00947404"/>
    <w:rsid w:val="00951978"/>
    <w:rsid w:val="00955CF9"/>
    <w:rsid w:val="009601BA"/>
    <w:rsid w:val="00961A4A"/>
    <w:rsid w:val="009661DE"/>
    <w:rsid w:val="0097054D"/>
    <w:rsid w:val="00983C25"/>
    <w:rsid w:val="009856B7"/>
    <w:rsid w:val="00985C86"/>
    <w:rsid w:val="0098693E"/>
    <w:rsid w:val="009A5113"/>
    <w:rsid w:val="009A5FC3"/>
    <w:rsid w:val="009A6724"/>
    <w:rsid w:val="009B32A4"/>
    <w:rsid w:val="009B3B60"/>
    <w:rsid w:val="009B6F84"/>
    <w:rsid w:val="009B74B0"/>
    <w:rsid w:val="009C33A7"/>
    <w:rsid w:val="009D3906"/>
    <w:rsid w:val="009D6B46"/>
    <w:rsid w:val="009F350C"/>
    <w:rsid w:val="009F4940"/>
    <w:rsid w:val="009F5BA1"/>
    <w:rsid w:val="00A02A88"/>
    <w:rsid w:val="00A05196"/>
    <w:rsid w:val="00A0562E"/>
    <w:rsid w:val="00A06085"/>
    <w:rsid w:val="00A0726D"/>
    <w:rsid w:val="00A1295C"/>
    <w:rsid w:val="00A32FBB"/>
    <w:rsid w:val="00A40AA2"/>
    <w:rsid w:val="00A428EE"/>
    <w:rsid w:val="00A4478A"/>
    <w:rsid w:val="00A44852"/>
    <w:rsid w:val="00A4650A"/>
    <w:rsid w:val="00A47687"/>
    <w:rsid w:val="00A50502"/>
    <w:rsid w:val="00A55289"/>
    <w:rsid w:val="00A57D04"/>
    <w:rsid w:val="00A60A26"/>
    <w:rsid w:val="00A61598"/>
    <w:rsid w:val="00A84A99"/>
    <w:rsid w:val="00A84F46"/>
    <w:rsid w:val="00A86D36"/>
    <w:rsid w:val="00A871F4"/>
    <w:rsid w:val="00AB1FCF"/>
    <w:rsid w:val="00AC1B2C"/>
    <w:rsid w:val="00AC3264"/>
    <w:rsid w:val="00AE1BF1"/>
    <w:rsid w:val="00AE2F6B"/>
    <w:rsid w:val="00AF0DD2"/>
    <w:rsid w:val="00B0209D"/>
    <w:rsid w:val="00B05940"/>
    <w:rsid w:val="00B07CEA"/>
    <w:rsid w:val="00B13048"/>
    <w:rsid w:val="00B1716D"/>
    <w:rsid w:val="00B17A1D"/>
    <w:rsid w:val="00B207A0"/>
    <w:rsid w:val="00B234A1"/>
    <w:rsid w:val="00B2503D"/>
    <w:rsid w:val="00B40CAA"/>
    <w:rsid w:val="00B514DD"/>
    <w:rsid w:val="00B51D1A"/>
    <w:rsid w:val="00B51F3F"/>
    <w:rsid w:val="00B52AF0"/>
    <w:rsid w:val="00B561BD"/>
    <w:rsid w:val="00B56DB0"/>
    <w:rsid w:val="00B56E03"/>
    <w:rsid w:val="00B61EDF"/>
    <w:rsid w:val="00B757A6"/>
    <w:rsid w:val="00B8080B"/>
    <w:rsid w:val="00B82223"/>
    <w:rsid w:val="00B87BA5"/>
    <w:rsid w:val="00B87C39"/>
    <w:rsid w:val="00B93DC4"/>
    <w:rsid w:val="00B9562D"/>
    <w:rsid w:val="00BA4665"/>
    <w:rsid w:val="00BB2FB2"/>
    <w:rsid w:val="00BB3304"/>
    <w:rsid w:val="00BB3FD7"/>
    <w:rsid w:val="00BB7528"/>
    <w:rsid w:val="00BC3231"/>
    <w:rsid w:val="00BD310B"/>
    <w:rsid w:val="00BD3446"/>
    <w:rsid w:val="00BD5098"/>
    <w:rsid w:val="00BE1F1B"/>
    <w:rsid w:val="00BE47B5"/>
    <w:rsid w:val="00BF58D5"/>
    <w:rsid w:val="00C04223"/>
    <w:rsid w:val="00C1708F"/>
    <w:rsid w:val="00C24952"/>
    <w:rsid w:val="00C25FA6"/>
    <w:rsid w:val="00C275C4"/>
    <w:rsid w:val="00C42ACA"/>
    <w:rsid w:val="00C433C7"/>
    <w:rsid w:val="00C538A9"/>
    <w:rsid w:val="00C53B5A"/>
    <w:rsid w:val="00C54F5A"/>
    <w:rsid w:val="00C569B4"/>
    <w:rsid w:val="00C56A3E"/>
    <w:rsid w:val="00C67A92"/>
    <w:rsid w:val="00C7497E"/>
    <w:rsid w:val="00C82EB0"/>
    <w:rsid w:val="00C84560"/>
    <w:rsid w:val="00C84F52"/>
    <w:rsid w:val="00C86679"/>
    <w:rsid w:val="00CA489E"/>
    <w:rsid w:val="00CA52A2"/>
    <w:rsid w:val="00CA7CBF"/>
    <w:rsid w:val="00CB0279"/>
    <w:rsid w:val="00CB666B"/>
    <w:rsid w:val="00CC7F1D"/>
    <w:rsid w:val="00CE17E7"/>
    <w:rsid w:val="00CE484B"/>
    <w:rsid w:val="00CF0DEE"/>
    <w:rsid w:val="00CF120A"/>
    <w:rsid w:val="00CF2C05"/>
    <w:rsid w:val="00CF6EDE"/>
    <w:rsid w:val="00D006AE"/>
    <w:rsid w:val="00D01CF0"/>
    <w:rsid w:val="00D01EFD"/>
    <w:rsid w:val="00D02808"/>
    <w:rsid w:val="00D0442A"/>
    <w:rsid w:val="00D17683"/>
    <w:rsid w:val="00D30277"/>
    <w:rsid w:val="00D31BC9"/>
    <w:rsid w:val="00D41EDB"/>
    <w:rsid w:val="00D45694"/>
    <w:rsid w:val="00D61388"/>
    <w:rsid w:val="00D61A54"/>
    <w:rsid w:val="00D64DEA"/>
    <w:rsid w:val="00D7168E"/>
    <w:rsid w:val="00D71E57"/>
    <w:rsid w:val="00D75AA2"/>
    <w:rsid w:val="00D77B67"/>
    <w:rsid w:val="00D80893"/>
    <w:rsid w:val="00D84854"/>
    <w:rsid w:val="00D848B4"/>
    <w:rsid w:val="00D91E66"/>
    <w:rsid w:val="00D923A3"/>
    <w:rsid w:val="00D92CF1"/>
    <w:rsid w:val="00D92D38"/>
    <w:rsid w:val="00D950F5"/>
    <w:rsid w:val="00DA24FF"/>
    <w:rsid w:val="00DA4752"/>
    <w:rsid w:val="00DA61F3"/>
    <w:rsid w:val="00DA6AA1"/>
    <w:rsid w:val="00DA6B93"/>
    <w:rsid w:val="00DB0F93"/>
    <w:rsid w:val="00DB1A67"/>
    <w:rsid w:val="00DB5074"/>
    <w:rsid w:val="00DB5B21"/>
    <w:rsid w:val="00DC7981"/>
    <w:rsid w:val="00DE1093"/>
    <w:rsid w:val="00DE2CF7"/>
    <w:rsid w:val="00DE4EFA"/>
    <w:rsid w:val="00DE5520"/>
    <w:rsid w:val="00DE563D"/>
    <w:rsid w:val="00DE5E2E"/>
    <w:rsid w:val="00DE772C"/>
    <w:rsid w:val="00DF312A"/>
    <w:rsid w:val="00DF315C"/>
    <w:rsid w:val="00DF3C70"/>
    <w:rsid w:val="00E04818"/>
    <w:rsid w:val="00E06442"/>
    <w:rsid w:val="00E06BCF"/>
    <w:rsid w:val="00E1001C"/>
    <w:rsid w:val="00E23993"/>
    <w:rsid w:val="00E257D6"/>
    <w:rsid w:val="00E25B8C"/>
    <w:rsid w:val="00E42966"/>
    <w:rsid w:val="00E51D65"/>
    <w:rsid w:val="00E60FDD"/>
    <w:rsid w:val="00E6200B"/>
    <w:rsid w:val="00E65C85"/>
    <w:rsid w:val="00E66199"/>
    <w:rsid w:val="00E711C7"/>
    <w:rsid w:val="00E74942"/>
    <w:rsid w:val="00E755EC"/>
    <w:rsid w:val="00E7624D"/>
    <w:rsid w:val="00E77CBB"/>
    <w:rsid w:val="00EA3D42"/>
    <w:rsid w:val="00EA6B1B"/>
    <w:rsid w:val="00EB5111"/>
    <w:rsid w:val="00EB5883"/>
    <w:rsid w:val="00EB5BC8"/>
    <w:rsid w:val="00EB606C"/>
    <w:rsid w:val="00EC04F1"/>
    <w:rsid w:val="00ED0EC2"/>
    <w:rsid w:val="00ED198E"/>
    <w:rsid w:val="00ED3531"/>
    <w:rsid w:val="00ED7323"/>
    <w:rsid w:val="00EE28F3"/>
    <w:rsid w:val="00EE50D1"/>
    <w:rsid w:val="00EE705E"/>
    <w:rsid w:val="00EE77FA"/>
    <w:rsid w:val="00EF5110"/>
    <w:rsid w:val="00F0334E"/>
    <w:rsid w:val="00F0622C"/>
    <w:rsid w:val="00F10411"/>
    <w:rsid w:val="00F15882"/>
    <w:rsid w:val="00F171E0"/>
    <w:rsid w:val="00F20BD3"/>
    <w:rsid w:val="00F2526A"/>
    <w:rsid w:val="00F373A5"/>
    <w:rsid w:val="00F47559"/>
    <w:rsid w:val="00F52FA1"/>
    <w:rsid w:val="00F57FBC"/>
    <w:rsid w:val="00F61176"/>
    <w:rsid w:val="00F64C7B"/>
    <w:rsid w:val="00F65B25"/>
    <w:rsid w:val="00F676DD"/>
    <w:rsid w:val="00F71667"/>
    <w:rsid w:val="00F717AF"/>
    <w:rsid w:val="00F75A26"/>
    <w:rsid w:val="00F76706"/>
    <w:rsid w:val="00F768C8"/>
    <w:rsid w:val="00F81B8D"/>
    <w:rsid w:val="00F83FAD"/>
    <w:rsid w:val="00F8653A"/>
    <w:rsid w:val="00F92349"/>
    <w:rsid w:val="00F952A0"/>
    <w:rsid w:val="00F97EE6"/>
    <w:rsid w:val="00FA3C7F"/>
    <w:rsid w:val="00FB4402"/>
    <w:rsid w:val="00FB60FE"/>
    <w:rsid w:val="00FB7277"/>
    <w:rsid w:val="00FB74E2"/>
    <w:rsid w:val="00FC312B"/>
    <w:rsid w:val="00FC715B"/>
    <w:rsid w:val="00FC71DC"/>
    <w:rsid w:val="00FD2ED2"/>
    <w:rsid w:val="00FD5614"/>
    <w:rsid w:val="00FD5E78"/>
    <w:rsid w:val="00FD7B01"/>
    <w:rsid w:val="00FE04AF"/>
    <w:rsid w:val="00FE0BE1"/>
    <w:rsid w:val="00FE1DE9"/>
    <w:rsid w:val="00FE36AF"/>
    <w:rsid w:val="00FE39C2"/>
    <w:rsid w:val="00FE3C32"/>
    <w:rsid w:val="00FE3E21"/>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uiPriority="2"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link w:val="ListParagraphChar"/>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paragraph" w:customStyle="1" w:styleId="Bulletpoint">
    <w:name w:val="Bullet point"/>
    <w:basedOn w:val="ListBullet"/>
    <w:qFormat/>
    <w:rsid w:val="00C433C7"/>
    <w:pPr>
      <w:numPr>
        <w:numId w:val="0"/>
      </w:numPr>
      <w:spacing w:line="240" w:lineRule="auto"/>
      <w:ind w:left="360" w:hanging="360"/>
    </w:pPr>
    <w:rPr>
      <w:rFonts w:cs="Times New Roman"/>
    </w:rPr>
  </w:style>
  <w:style w:type="paragraph" w:customStyle="1" w:styleId="Bulletpoint2">
    <w:name w:val="Bullet point 2"/>
    <w:basedOn w:val="ListBullet2"/>
    <w:uiPriority w:val="1"/>
    <w:qFormat/>
    <w:rsid w:val="00BF58D5"/>
    <w:pPr>
      <w:numPr>
        <w:numId w:val="0"/>
      </w:numPr>
      <w:tabs>
        <w:tab w:val="left" w:pos="680"/>
      </w:tabs>
      <w:spacing w:line="240" w:lineRule="auto"/>
      <w:ind w:left="680" w:hanging="340"/>
    </w:pPr>
  </w:style>
  <w:style w:type="character" w:customStyle="1" w:styleId="ListParagraphChar">
    <w:name w:val="List Paragraph Char"/>
    <w:link w:val="ListParagraph"/>
    <w:uiPriority w:val="34"/>
    <w:rsid w:val="00BF58D5"/>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uiPriority="2"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link w:val="ListParagraphChar"/>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paragraph" w:customStyle="1" w:styleId="Bulletpoint">
    <w:name w:val="Bullet point"/>
    <w:basedOn w:val="ListBullet"/>
    <w:qFormat/>
    <w:rsid w:val="00C433C7"/>
    <w:pPr>
      <w:numPr>
        <w:numId w:val="0"/>
      </w:numPr>
      <w:spacing w:line="240" w:lineRule="auto"/>
      <w:ind w:left="360" w:hanging="360"/>
    </w:pPr>
    <w:rPr>
      <w:rFonts w:cs="Times New Roman"/>
    </w:rPr>
  </w:style>
  <w:style w:type="paragraph" w:customStyle="1" w:styleId="Bulletpoint2">
    <w:name w:val="Bullet point 2"/>
    <w:basedOn w:val="ListBullet2"/>
    <w:uiPriority w:val="1"/>
    <w:qFormat/>
    <w:rsid w:val="00BF58D5"/>
    <w:pPr>
      <w:numPr>
        <w:numId w:val="0"/>
      </w:numPr>
      <w:tabs>
        <w:tab w:val="left" w:pos="680"/>
      </w:tabs>
      <w:spacing w:line="240" w:lineRule="auto"/>
      <w:ind w:left="680" w:hanging="340"/>
    </w:pPr>
  </w:style>
  <w:style w:type="character" w:customStyle="1" w:styleId="ListParagraphChar">
    <w:name w:val="List Paragraph Char"/>
    <w:link w:val="ListParagraph"/>
    <w:uiPriority w:val="34"/>
    <w:rsid w:val="00BF58D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420582">
      <w:bodyDiv w:val="1"/>
      <w:marLeft w:val="0"/>
      <w:marRight w:val="0"/>
      <w:marTop w:val="0"/>
      <w:marBottom w:val="0"/>
      <w:divBdr>
        <w:top w:val="none" w:sz="0" w:space="0" w:color="auto"/>
        <w:left w:val="none" w:sz="0" w:space="0" w:color="auto"/>
        <w:bottom w:val="none" w:sz="0" w:space="0" w:color="auto"/>
        <w:right w:val="none" w:sz="0" w:space="0" w:color="auto"/>
      </w:divBdr>
    </w:div>
    <w:div w:id="458769239">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742725762">
      <w:bodyDiv w:val="1"/>
      <w:marLeft w:val="0"/>
      <w:marRight w:val="0"/>
      <w:marTop w:val="0"/>
      <w:marBottom w:val="0"/>
      <w:divBdr>
        <w:top w:val="none" w:sz="0" w:space="0" w:color="auto"/>
        <w:left w:val="none" w:sz="0" w:space="0" w:color="auto"/>
        <w:bottom w:val="none" w:sz="0" w:space="0" w:color="auto"/>
        <w:right w:val="none" w:sz="0" w:space="0" w:color="auto"/>
      </w:divBdr>
    </w:div>
    <w:div w:id="90560622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81829847">
      <w:bodyDiv w:val="1"/>
      <w:marLeft w:val="0"/>
      <w:marRight w:val="0"/>
      <w:marTop w:val="0"/>
      <w:marBottom w:val="0"/>
      <w:divBdr>
        <w:top w:val="none" w:sz="0" w:space="0" w:color="auto"/>
        <w:left w:val="none" w:sz="0" w:space="0" w:color="auto"/>
        <w:bottom w:val="none" w:sz="0" w:space="0" w:color="auto"/>
        <w:right w:val="none" w:sz="0" w:space="0" w:color="auto"/>
      </w:divBdr>
    </w:div>
    <w:div w:id="1296912152">
      <w:bodyDiv w:val="1"/>
      <w:marLeft w:val="0"/>
      <w:marRight w:val="0"/>
      <w:marTop w:val="0"/>
      <w:marBottom w:val="0"/>
      <w:divBdr>
        <w:top w:val="none" w:sz="0" w:space="0" w:color="auto"/>
        <w:left w:val="none" w:sz="0" w:space="0" w:color="auto"/>
        <w:bottom w:val="none" w:sz="0" w:space="0" w:color="auto"/>
        <w:right w:val="none" w:sz="0" w:space="0" w:color="auto"/>
      </w:divBdr>
    </w:div>
    <w:div w:id="200732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9D1AC7-F9D1-4ED2-96F5-08C2AF304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5968437A</Template>
  <TotalTime>0</TotalTime>
  <Pages>17</Pages>
  <Words>3505</Words>
  <Characters>19980</Characters>
  <Application>Microsoft Office Word</Application>
  <DocSecurity>0</DocSecurity>
  <Lines>166</Lines>
  <Paragraphs>46</Paragraphs>
  <ScaleCrop>false</ScaleCrop>
  <Company/>
  <LinksUpToDate>false</LinksUpToDate>
  <CharactersWithSpaces>23439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2015-11-23T04:23:00Z</dcterms:created>
  <dcterms:modified xsi:type="dcterms:W3CDTF">2015-11-23T04:23:00Z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8431896</vt:lpwstr>
  </property>
</Properties>
</file>