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884FDD5" wp14:editId="210AC7D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5A70FD">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352CE">
            <w:t>6</w:t>
          </w:r>
          <w:r w:rsidR="00DA4752">
            <w:t xml:space="preserve"> </w:t>
          </w:r>
          <w:r w:rsidR="00415F31">
            <w:rPr>
              <w:rFonts w:cs="Arial"/>
            </w:rPr>
            <w:t>–</w:t>
          </w:r>
          <w:r w:rsidR="00DA4752">
            <w:t xml:space="preserve"> </w:t>
          </w:r>
          <w:r w:rsidR="009352CE">
            <w:t>Capital</w:t>
          </w:r>
          <w:r w:rsidR="00FE1123">
            <w:t xml:space="preserve">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3686"/>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5A70FD">
        <w:t>tralian</w:t>
      </w:r>
      <w:r w:rsidR="00C275C4">
        <w:t xml:space="preserve"> Gas Networks’</w:t>
      </w:r>
      <w:r w:rsidR="00415F31">
        <w:t xml:space="preserve"> </w:t>
      </w:r>
      <w:r w:rsidR="00CF2C05">
        <w:t>access</w:t>
      </w:r>
      <w:r w:rsidR="00415F31">
        <w:t xml:space="preserve"> </w:t>
      </w:r>
      <w:r w:rsidR="00CF2C05">
        <w:t>arrangement for</w:t>
      </w:r>
      <w:r w:rsidR="00415F31">
        <w:t xml:space="preserve"> </w:t>
      </w:r>
      <w:r w:rsidR="00F02D48">
        <w:t xml:space="preserve">the </w:t>
      </w:r>
      <w:r w:rsidR="00415F31">
        <w:t>201</w:t>
      </w:r>
      <w:r w:rsidR="005C0A7F">
        <w:t>6</w:t>
      </w:r>
      <w:r w:rsidR="00415F31" w:rsidRPr="00D904FA">
        <w:t>–</w:t>
      </w:r>
      <w:r w:rsidR="00103A67">
        <w:t>21</w:t>
      </w:r>
      <w:r w:rsidR="00F02D48">
        <w:t xml:space="preserve"> access arrangement period</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E34C0D">
        <w:t>-</w:t>
      </w:r>
      <w:r>
        <w:t xml:space="preserve"> </w:t>
      </w:r>
      <w:r w:rsidR="00EE77FA">
        <w:t>Demand</w:t>
      </w:r>
    </w:p>
    <w:p w:rsidR="005A70FD" w:rsidRDefault="005A70FD" w:rsidP="0070011E">
      <w:r>
        <w:t xml:space="preserve">Attachment 14 </w:t>
      </w:r>
      <w:r w:rsidR="00E34C0D">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3687"/>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062F9" w:rsidRDefault="002665C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53686" w:history="1">
            <w:r w:rsidR="009062F9" w:rsidRPr="00247A39">
              <w:rPr>
                <w:rStyle w:val="Hyperlink"/>
              </w:rPr>
              <w:t>Note</w:t>
            </w:r>
            <w:r w:rsidR="009062F9">
              <w:rPr>
                <w:webHidden/>
              </w:rPr>
              <w:tab/>
            </w:r>
            <w:r w:rsidR="009062F9">
              <w:rPr>
                <w:webHidden/>
              </w:rPr>
              <w:fldChar w:fldCharType="begin"/>
            </w:r>
            <w:r w:rsidR="009062F9">
              <w:rPr>
                <w:webHidden/>
              </w:rPr>
              <w:instrText xml:space="preserve"> PAGEREF _Toc436053686 \h </w:instrText>
            </w:r>
            <w:r w:rsidR="009062F9">
              <w:rPr>
                <w:webHidden/>
              </w:rPr>
            </w:r>
            <w:r w:rsidR="009062F9">
              <w:rPr>
                <w:webHidden/>
              </w:rPr>
              <w:fldChar w:fldCharType="separate"/>
            </w:r>
            <w:r w:rsidR="009062F9">
              <w:rPr>
                <w:webHidden/>
              </w:rPr>
              <w:t>6-2</w:t>
            </w:r>
            <w:r w:rsidR="009062F9">
              <w:rPr>
                <w:webHidden/>
              </w:rPr>
              <w:fldChar w:fldCharType="end"/>
            </w:r>
          </w:hyperlink>
        </w:p>
        <w:p w:rsidR="009062F9" w:rsidRDefault="009062F9">
          <w:pPr>
            <w:pStyle w:val="TOC1"/>
            <w:rPr>
              <w:rFonts w:asciiTheme="minorHAnsi" w:eastAsiaTheme="minorEastAsia" w:hAnsiTheme="minorHAnsi"/>
              <w:b w:val="0"/>
              <w:color w:val="auto"/>
              <w:sz w:val="22"/>
              <w:lang w:val="en-AU" w:eastAsia="en-AU"/>
            </w:rPr>
          </w:pPr>
          <w:hyperlink w:anchor="_Toc436053687" w:history="1">
            <w:r w:rsidRPr="00247A39">
              <w:rPr>
                <w:rStyle w:val="Hyperlink"/>
              </w:rPr>
              <w:t>Contents</w:t>
            </w:r>
            <w:r>
              <w:rPr>
                <w:webHidden/>
              </w:rPr>
              <w:tab/>
            </w:r>
            <w:r>
              <w:rPr>
                <w:webHidden/>
              </w:rPr>
              <w:fldChar w:fldCharType="begin"/>
            </w:r>
            <w:r>
              <w:rPr>
                <w:webHidden/>
              </w:rPr>
              <w:instrText xml:space="preserve"> PAGEREF _Toc436053687 \h </w:instrText>
            </w:r>
            <w:r>
              <w:rPr>
                <w:webHidden/>
              </w:rPr>
            </w:r>
            <w:r>
              <w:rPr>
                <w:webHidden/>
              </w:rPr>
              <w:fldChar w:fldCharType="separate"/>
            </w:r>
            <w:r>
              <w:rPr>
                <w:webHidden/>
              </w:rPr>
              <w:t>6-3</w:t>
            </w:r>
            <w:r>
              <w:rPr>
                <w:webHidden/>
              </w:rPr>
              <w:fldChar w:fldCharType="end"/>
            </w:r>
          </w:hyperlink>
        </w:p>
        <w:p w:rsidR="009062F9" w:rsidRDefault="009062F9">
          <w:pPr>
            <w:pStyle w:val="TOC1"/>
            <w:rPr>
              <w:rFonts w:asciiTheme="minorHAnsi" w:eastAsiaTheme="minorEastAsia" w:hAnsiTheme="minorHAnsi"/>
              <w:b w:val="0"/>
              <w:color w:val="auto"/>
              <w:sz w:val="22"/>
              <w:lang w:val="en-AU" w:eastAsia="en-AU"/>
            </w:rPr>
          </w:pPr>
          <w:hyperlink w:anchor="_Toc436053688" w:history="1">
            <w:r w:rsidRPr="00247A39">
              <w:rPr>
                <w:rStyle w:val="Hyperlink"/>
              </w:rPr>
              <w:t>Shortened forms</w:t>
            </w:r>
            <w:r>
              <w:rPr>
                <w:webHidden/>
              </w:rPr>
              <w:tab/>
            </w:r>
            <w:r>
              <w:rPr>
                <w:webHidden/>
              </w:rPr>
              <w:fldChar w:fldCharType="begin"/>
            </w:r>
            <w:r>
              <w:rPr>
                <w:webHidden/>
              </w:rPr>
              <w:instrText xml:space="preserve"> PAGEREF _Toc436053688 \h </w:instrText>
            </w:r>
            <w:r>
              <w:rPr>
                <w:webHidden/>
              </w:rPr>
            </w:r>
            <w:r>
              <w:rPr>
                <w:webHidden/>
              </w:rPr>
              <w:fldChar w:fldCharType="separate"/>
            </w:r>
            <w:r>
              <w:rPr>
                <w:webHidden/>
              </w:rPr>
              <w:t>6-4</w:t>
            </w:r>
            <w:r>
              <w:rPr>
                <w:webHidden/>
              </w:rPr>
              <w:fldChar w:fldCharType="end"/>
            </w:r>
          </w:hyperlink>
        </w:p>
        <w:p w:rsidR="009062F9" w:rsidRDefault="009062F9">
          <w:pPr>
            <w:pStyle w:val="TOC1"/>
            <w:rPr>
              <w:rFonts w:asciiTheme="minorHAnsi" w:eastAsiaTheme="minorEastAsia" w:hAnsiTheme="minorHAnsi"/>
              <w:b w:val="0"/>
              <w:color w:val="auto"/>
              <w:sz w:val="22"/>
              <w:lang w:val="en-AU" w:eastAsia="en-AU"/>
            </w:rPr>
          </w:pPr>
          <w:hyperlink w:anchor="_Toc436053689" w:history="1">
            <w:r w:rsidRPr="00247A39">
              <w:rPr>
                <w:rStyle w:val="Hyperlink"/>
              </w:rPr>
              <w:t>6</w:t>
            </w:r>
            <w:r>
              <w:rPr>
                <w:rFonts w:asciiTheme="minorHAnsi" w:eastAsiaTheme="minorEastAsia" w:hAnsiTheme="minorHAnsi"/>
                <w:b w:val="0"/>
                <w:color w:val="auto"/>
                <w:sz w:val="22"/>
                <w:lang w:val="en-AU" w:eastAsia="en-AU"/>
              </w:rPr>
              <w:tab/>
            </w:r>
            <w:r w:rsidRPr="00247A39">
              <w:rPr>
                <w:rStyle w:val="Hyperlink"/>
              </w:rPr>
              <w:t>Capital expenditure</w:t>
            </w:r>
            <w:r>
              <w:rPr>
                <w:webHidden/>
              </w:rPr>
              <w:tab/>
            </w:r>
            <w:r>
              <w:rPr>
                <w:webHidden/>
              </w:rPr>
              <w:fldChar w:fldCharType="begin"/>
            </w:r>
            <w:r>
              <w:rPr>
                <w:webHidden/>
              </w:rPr>
              <w:instrText xml:space="preserve"> PAGEREF _Toc436053689 \h </w:instrText>
            </w:r>
            <w:r>
              <w:rPr>
                <w:webHidden/>
              </w:rPr>
            </w:r>
            <w:r>
              <w:rPr>
                <w:webHidden/>
              </w:rPr>
              <w:fldChar w:fldCharType="separate"/>
            </w:r>
            <w:r>
              <w:rPr>
                <w:webHidden/>
              </w:rPr>
              <w:t>6-6</w:t>
            </w:r>
            <w:r>
              <w:rPr>
                <w:webHidden/>
              </w:rPr>
              <w:fldChar w:fldCharType="end"/>
            </w:r>
          </w:hyperlink>
        </w:p>
        <w:p w:rsidR="009062F9" w:rsidRDefault="009062F9">
          <w:pPr>
            <w:pStyle w:val="TOC2"/>
            <w:rPr>
              <w:rFonts w:asciiTheme="minorHAnsi" w:eastAsiaTheme="minorEastAsia" w:hAnsiTheme="minorHAnsi"/>
              <w:b w:val="0"/>
              <w:color w:val="auto"/>
              <w:sz w:val="22"/>
              <w:lang w:eastAsia="en-AU"/>
            </w:rPr>
          </w:pPr>
          <w:hyperlink w:anchor="_Toc436053690" w:history="1">
            <w:r w:rsidRPr="00247A39">
              <w:rPr>
                <w:rStyle w:val="Hyperlink"/>
              </w:rPr>
              <w:t>6.1</w:t>
            </w:r>
            <w:r>
              <w:rPr>
                <w:rFonts w:asciiTheme="minorHAnsi" w:eastAsiaTheme="minorEastAsia" w:hAnsiTheme="minorHAnsi"/>
                <w:b w:val="0"/>
                <w:color w:val="auto"/>
                <w:sz w:val="22"/>
                <w:lang w:eastAsia="en-AU"/>
              </w:rPr>
              <w:tab/>
            </w:r>
            <w:r w:rsidRPr="00247A39">
              <w:rPr>
                <w:rStyle w:val="Hyperlink"/>
              </w:rPr>
              <w:t>Draft decision</w:t>
            </w:r>
            <w:r>
              <w:rPr>
                <w:webHidden/>
              </w:rPr>
              <w:tab/>
            </w:r>
            <w:r>
              <w:rPr>
                <w:webHidden/>
              </w:rPr>
              <w:fldChar w:fldCharType="begin"/>
            </w:r>
            <w:r>
              <w:rPr>
                <w:webHidden/>
              </w:rPr>
              <w:instrText xml:space="preserve"> PAGEREF _Toc436053690 \h </w:instrText>
            </w:r>
            <w:r>
              <w:rPr>
                <w:webHidden/>
              </w:rPr>
            </w:r>
            <w:r>
              <w:rPr>
                <w:webHidden/>
              </w:rPr>
              <w:fldChar w:fldCharType="separate"/>
            </w:r>
            <w:r>
              <w:rPr>
                <w:webHidden/>
              </w:rPr>
              <w:t>6-6</w:t>
            </w:r>
            <w:r>
              <w:rPr>
                <w:webHidden/>
              </w:rPr>
              <w:fldChar w:fldCharType="end"/>
            </w:r>
          </w:hyperlink>
        </w:p>
        <w:p w:rsidR="009062F9" w:rsidRDefault="009062F9">
          <w:pPr>
            <w:pStyle w:val="TOC3"/>
            <w:rPr>
              <w:rFonts w:asciiTheme="minorHAnsi" w:eastAsiaTheme="minorEastAsia" w:hAnsiTheme="minorHAnsi"/>
              <w:lang w:eastAsia="en-AU"/>
            </w:rPr>
          </w:pPr>
          <w:hyperlink w:anchor="_Toc436053691" w:history="1">
            <w:r w:rsidRPr="00247A39">
              <w:rPr>
                <w:rStyle w:val="Hyperlink"/>
              </w:rPr>
              <w:t>6.1.1</w:t>
            </w:r>
            <w:r>
              <w:rPr>
                <w:rFonts w:asciiTheme="minorHAnsi" w:eastAsiaTheme="minorEastAsia" w:hAnsiTheme="minorHAnsi"/>
                <w:lang w:eastAsia="en-AU"/>
              </w:rPr>
              <w:tab/>
            </w:r>
            <w:r w:rsidRPr="00247A39">
              <w:rPr>
                <w:rStyle w:val="Hyperlink"/>
              </w:rPr>
              <w:t>Conforming capital expenditure for 2010–16</w:t>
            </w:r>
            <w:r>
              <w:rPr>
                <w:webHidden/>
              </w:rPr>
              <w:tab/>
            </w:r>
            <w:r>
              <w:rPr>
                <w:webHidden/>
              </w:rPr>
              <w:fldChar w:fldCharType="begin"/>
            </w:r>
            <w:r>
              <w:rPr>
                <w:webHidden/>
              </w:rPr>
              <w:instrText xml:space="preserve"> PAGEREF _Toc436053691 \h </w:instrText>
            </w:r>
            <w:r>
              <w:rPr>
                <w:webHidden/>
              </w:rPr>
            </w:r>
            <w:r>
              <w:rPr>
                <w:webHidden/>
              </w:rPr>
              <w:fldChar w:fldCharType="separate"/>
            </w:r>
            <w:r>
              <w:rPr>
                <w:webHidden/>
              </w:rPr>
              <w:t>6-6</w:t>
            </w:r>
            <w:r>
              <w:rPr>
                <w:webHidden/>
              </w:rPr>
              <w:fldChar w:fldCharType="end"/>
            </w:r>
          </w:hyperlink>
        </w:p>
        <w:p w:rsidR="009062F9" w:rsidRDefault="009062F9">
          <w:pPr>
            <w:pStyle w:val="TOC3"/>
            <w:rPr>
              <w:rFonts w:asciiTheme="minorHAnsi" w:eastAsiaTheme="minorEastAsia" w:hAnsiTheme="minorHAnsi"/>
              <w:lang w:eastAsia="en-AU"/>
            </w:rPr>
          </w:pPr>
          <w:hyperlink w:anchor="_Toc436053692" w:history="1">
            <w:r w:rsidRPr="00247A39">
              <w:rPr>
                <w:rStyle w:val="Hyperlink"/>
              </w:rPr>
              <w:t>6.1.2</w:t>
            </w:r>
            <w:r>
              <w:rPr>
                <w:rFonts w:asciiTheme="minorHAnsi" w:eastAsiaTheme="minorEastAsia" w:hAnsiTheme="minorHAnsi"/>
                <w:lang w:eastAsia="en-AU"/>
              </w:rPr>
              <w:tab/>
            </w:r>
            <w:r w:rsidRPr="00247A39">
              <w:rPr>
                <w:rStyle w:val="Hyperlink"/>
              </w:rPr>
              <w:t>Conforming capital expenditure for the 2016–21 access arrangement period</w:t>
            </w:r>
            <w:r>
              <w:rPr>
                <w:webHidden/>
              </w:rPr>
              <w:tab/>
            </w:r>
            <w:r>
              <w:rPr>
                <w:webHidden/>
              </w:rPr>
              <w:fldChar w:fldCharType="begin"/>
            </w:r>
            <w:r>
              <w:rPr>
                <w:webHidden/>
              </w:rPr>
              <w:instrText xml:space="preserve"> PAGEREF _Toc436053692 \h </w:instrText>
            </w:r>
            <w:r>
              <w:rPr>
                <w:webHidden/>
              </w:rPr>
            </w:r>
            <w:r>
              <w:rPr>
                <w:webHidden/>
              </w:rPr>
              <w:fldChar w:fldCharType="separate"/>
            </w:r>
            <w:r>
              <w:rPr>
                <w:webHidden/>
              </w:rPr>
              <w:t>6-7</w:t>
            </w:r>
            <w:r>
              <w:rPr>
                <w:webHidden/>
              </w:rPr>
              <w:fldChar w:fldCharType="end"/>
            </w:r>
          </w:hyperlink>
        </w:p>
        <w:p w:rsidR="009062F9" w:rsidRDefault="009062F9">
          <w:pPr>
            <w:pStyle w:val="TOC2"/>
            <w:rPr>
              <w:rFonts w:asciiTheme="minorHAnsi" w:eastAsiaTheme="minorEastAsia" w:hAnsiTheme="minorHAnsi"/>
              <w:b w:val="0"/>
              <w:color w:val="auto"/>
              <w:sz w:val="22"/>
              <w:lang w:eastAsia="en-AU"/>
            </w:rPr>
          </w:pPr>
          <w:hyperlink w:anchor="_Toc436053693" w:history="1">
            <w:r w:rsidRPr="00247A39">
              <w:rPr>
                <w:rStyle w:val="Hyperlink"/>
              </w:rPr>
              <w:t>6.2</w:t>
            </w:r>
            <w:r>
              <w:rPr>
                <w:rFonts w:asciiTheme="minorHAnsi" w:eastAsiaTheme="minorEastAsia" w:hAnsiTheme="minorHAnsi"/>
                <w:b w:val="0"/>
                <w:color w:val="auto"/>
                <w:sz w:val="22"/>
                <w:lang w:eastAsia="en-AU"/>
              </w:rPr>
              <w:tab/>
            </w:r>
            <w:r w:rsidRPr="00247A39">
              <w:rPr>
                <w:rStyle w:val="Hyperlink"/>
              </w:rPr>
              <w:t>Australian Gas Networks’ proposal</w:t>
            </w:r>
            <w:r>
              <w:rPr>
                <w:webHidden/>
              </w:rPr>
              <w:tab/>
            </w:r>
            <w:r>
              <w:rPr>
                <w:webHidden/>
              </w:rPr>
              <w:fldChar w:fldCharType="begin"/>
            </w:r>
            <w:r>
              <w:rPr>
                <w:webHidden/>
              </w:rPr>
              <w:instrText xml:space="preserve"> PAGEREF _Toc436053693 \h </w:instrText>
            </w:r>
            <w:r>
              <w:rPr>
                <w:webHidden/>
              </w:rPr>
            </w:r>
            <w:r>
              <w:rPr>
                <w:webHidden/>
              </w:rPr>
              <w:fldChar w:fldCharType="separate"/>
            </w:r>
            <w:r>
              <w:rPr>
                <w:webHidden/>
              </w:rPr>
              <w:t>6-9</w:t>
            </w:r>
            <w:r>
              <w:rPr>
                <w:webHidden/>
              </w:rPr>
              <w:fldChar w:fldCharType="end"/>
            </w:r>
          </w:hyperlink>
        </w:p>
        <w:p w:rsidR="009062F9" w:rsidRDefault="009062F9">
          <w:pPr>
            <w:pStyle w:val="TOC2"/>
            <w:rPr>
              <w:rFonts w:asciiTheme="minorHAnsi" w:eastAsiaTheme="minorEastAsia" w:hAnsiTheme="minorHAnsi"/>
              <w:b w:val="0"/>
              <w:color w:val="auto"/>
              <w:sz w:val="22"/>
              <w:lang w:eastAsia="en-AU"/>
            </w:rPr>
          </w:pPr>
          <w:hyperlink w:anchor="_Toc436053694" w:history="1">
            <w:r w:rsidRPr="00247A39">
              <w:rPr>
                <w:rStyle w:val="Hyperlink"/>
              </w:rPr>
              <w:t>6.3</w:t>
            </w:r>
            <w:r>
              <w:rPr>
                <w:rFonts w:asciiTheme="minorHAnsi" w:eastAsiaTheme="minorEastAsia" w:hAnsiTheme="minorHAnsi"/>
                <w:b w:val="0"/>
                <w:color w:val="auto"/>
                <w:sz w:val="22"/>
                <w:lang w:eastAsia="en-AU"/>
              </w:rPr>
              <w:tab/>
            </w:r>
            <w:r w:rsidRPr="00247A39">
              <w:rPr>
                <w:rStyle w:val="Hyperlink"/>
              </w:rPr>
              <w:t>AER’s assessment approach</w:t>
            </w:r>
            <w:r>
              <w:rPr>
                <w:webHidden/>
              </w:rPr>
              <w:tab/>
            </w:r>
            <w:r>
              <w:rPr>
                <w:webHidden/>
              </w:rPr>
              <w:fldChar w:fldCharType="begin"/>
            </w:r>
            <w:r>
              <w:rPr>
                <w:webHidden/>
              </w:rPr>
              <w:instrText xml:space="preserve"> PAGEREF _Toc436053694 \h </w:instrText>
            </w:r>
            <w:r>
              <w:rPr>
                <w:webHidden/>
              </w:rPr>
            </w:r>
            <w:r>
              <w:rPr>
                <w:webHidden/>
              </w:rPr>
              <w:fldChar w:fldCharType="separate"/>
            </w:r>
            <w:r>
              <w:rPr>
                <w:webHidden/>
              </w:rPr>
              <w:t>6-12</w:t>
            </w:r>
            <w:r>
              <w:rPr>
                <w:webHidden/>
              </w:rPr>
              <w:fldChar w:fldCharType="end"/>
            </w:r>
          </w:hyperlink>
        </w:p>
        <w:p w:rsidR="009062F9" w:rsidRDefault="009062F9">
          <w:pPr>
            <w:pStyle w:val="TOC3"/>
            <w:rPr>
              <w:rFonts w:asciiTheme="minorHAnsi" w:eastAsiaTheme="minorEastAsia" w:hAnsiTheme="minorHAnsi"/>
              <w:lang w:eastAsia="en-AU"/>
            </w:rPr>
          </w:pPr>
          <w:hyperlink w:anchor="_Toc436053695" w:history="1">
            <w:r w:rsidRPr="00247A39">
              <w:rPr>
                <w:rStyle w:val="Hyperlink"/>
                <w:rFonts w:eastAsia="Calibri"/>
              </w:rPr>
              <w:t>6.3.1</w:t>
            </w:r>
            <w:r>
              <w:rPr>
                <w:rFonts w:asciiTheme="minorHAnsi" w:eastAsiaTheme="minorEastAsia" w:hAnsiTheme="minorHAnsi"/>
                <w:lang w:eastAsia="en-AU"/>
              </w:rPr>
              <w:tab/>
            </w:r>
            <w:r w:rsidRPr="00247A39">
              <w:rPr>
                <w:rStyle w:val="Hyperlink"/>
                <w:rFonts w:eastAsia="Calibri"/>
              </w:rPr>
              <w:t xml:space="preserve">NGR </w:t>
            </w:r>
            <w:r w:rsidRPr="00247A39">
              <w:rPr>
                <w:rStyle w:val="Hyperlink"/>
              </w:rPr>
              <w:t>requirements</w:t>
            </w:r>
            <w:r w:rsidRPr="00247A39">
              <w:rPr>
                <w:rStyle w:val="Hyperlink"/>
                <w:rFonts w:eastAsia="Calibri"/>
              </w:rPr>
              <w:t xml:space="preserve"> for conforming capital expenditure</w:t>
            </w:r>
            <w:r>
              <w:rPr>
                <w:webHidden/>
              </w:rPr>
              <w:tab/>
            </w:r>
            <w:r>
              <w:rPr>
                <w:webHidden/>
              </w:rPr>
              <w:fldChar w:fldCharType="begin"/>
            </w:r>
            <w:r>
              <w:rPr>
                <w:webHidden/>
              </w:rPr>
              <w:instrText xml:space="preserve"> PAGEREF _Toc436053695 \h </w:instrText>
            </w:r>
            <w:r>
              <w:rPr>
                <w:webHidden/>
              </w:rPr>
            </w:r>
            <w:r>
              <w:rPr>
                <w:webHidden/>
              </w:rPr>
              <w:fldChar w:fldCharType="separate"/>
            </w:r>
            <w:r>
              <w:rPr>
                <w:webHidden/>
              </w:rPr>
              <w:t>6-13</w:t>
            </w:r>
            <w:r>
              <w:rPr>
                <w:webHidden/>
              </w:rPr>
              <w:fldChar w:fldCharType="end"/>
            </w:r>
          </w:hyperlink>
        </w:p>
        <w:p w:rsidR="009062F9" w:rsidRDefault="009062F9">
          <w:pPr>
            <w:pStyle w:val="TOC3"/>
            <w:rPr>
              <w:rFonts w:asciiTheme="minorHAnsi" w:eastAsiaTheme="minorEastAsia" w:hAnsiTheme="minorHAnsi"/>
              <w:lang w:eastAsia="en-AU"/>
            </w:rPr>
          </w:pPr>
          <w:hyperlink w:anchor="_Toc436053696" w:history="1">
            <w:r w:rsidRPr="00247A39">
              <w:rPr>
                <w:rStyle w:val="Hyperlink"/>
                <w:rFonts w:eastAsia="Calibri"/>
              </w:rPr>
              <w:t>6.3.2</w:t>
            </w:r>
            <w:r>
              <w:rPr>
                <w:rFonts w:asciiTheme="minorHAnsi" w:eastAsiaTheme="minorEastAsia" w:hAnsiTheme="minorHAnsi"/>
                <w:lang w:eastAsia="en-AU"/>
              </w:rPr>
              <w:tab/>
            </w:r>
            <w:r w:rsidRPr="00247A39">
              <w:rPr>
                <w:rStyle w:val="Hyperlink"/>
                <w:rFonts w:eastAsia="Calibri"/>
              </w:rPr>
              <w:t>Assessment of conforming capital expenditure in the previous period</w:t>
            </w:r>
            <w:r>
              <w:rPr>
                <w:webHidden/>
              </w:rPr>
              <w:tab/>
            </w:r>
            <w:r>
              <w:rPr>
                <w:webHidden/>
              </w:rPr>
              <w:fldChar w:fldCharType="begin"/>
            </w:r>
            <w:r>
              <w:rPr>
                <w:webHidden/>
              </w:rPr>
              <w:instrText xml:space="preserve"> PAGEREF _Toc436053696 \h </w:instrText>
            </w:r>
            <w:r>
              <w:rPr>
                <w:webHidden/>
              </w:rPr>
            </w:r>
            <w:r>
              <w:rPr>
                <w:webHidden/>
              </w:rPr>
              <w:fldChar w:fldCharType="separate"/>
            </w:r>
            <w:r>
              <w:rPr>
                <w:webHidden/>
              </w:rPr>
              <w:t>6-14</w:t>
            </w:r>
            <w:r>
              <w:rPr>
                <w:webHidden/>
              </w:rPr>
              <w:fldChar w:fldCharType="end"/>
            </w:r>
          </w:hyperlink>
        </w:p>
        <w:p w:rsidR="009062F9" w:rsidRDefault="009062F9">
          <w:pPr>
            <w:pStyle w:val="TOC3"/>
            <w:rPr>
              <w:rFonts w:asciiTheme="minorHAnsi" w:eastAsiaTheme="minorEastAsia" w:hAnsiTheme="minorHAnsi"/>
              <w:lang w:eastAsia="en-AU"/>
            </w:rPr>
          </w:pPr>
          <w:hyperlink w:anchor="_Toc436053697" w:history="1">
            <w:r w:rsidRPr="00247A39">
              <w:rPr>
                <w:rStyle w:val="Hyperlink"/>
                <w:rFonts w:eastAsia="Calibri"/>
              </w:rPr>
              <w:t>6.3.3</w:t>
            </w:r>
            <w:r>
              <w:rPr>
                <w:rFonts w:asciiTheme="minorHAnsi" w:eastAsiaTheme="minorEastAsia" w:hAnsiTheme="minorHAnsi"/>
                <w:lang w:eastAsia="en-AU"/>
              </w:rPr>
              <w:tab/>
            </w:r>
            <w:r w:rsidRPr="00247A39">
              <w:rPr>
                <w:rStyle w:val="Hyperlink"/>
                <w:rFonts w:eastAsia="Calibri"/>
              </w:rPr>
              <w:t>Assessing forecast capex for the 2016–21 access arrangement period</w:t>
            </w:r>
            <w:r>
              <w:rPr>
                <w:webHidden/>
              </w:rPr>
              <w:tab/>
            </w:r>
            <w:r>
              <w:rPr>
                <w:webHidden/>
              </w:rPr>
              <w:fldChar w:fldCharType="begin"/>
            </w:r>
            <w:r>
              <w:rPr>
                <w:webHidden/>
              </w:rPr>
              <w:instrText xml:space="preserve"> PAGEREF _Toc436053697 \h </w:instrText>
            </w:r>
            <w:r>
              <w:rPr>
                <w:webHidden/>
              </w:rPr>
            </w:r>
            <w:r>
              <w:rPr>
                <w:webHidden/>
              </w:rPr>
              <w:fldChar w:fldCharType="separate"/>
            </w:r>
            <w:r>
              <w:rPr>
                <w:webHidden/>
              </w:rPr>
              <w:t>6-16</w:t>
            </w:r>
            <w:r>
              <w:rPr>
                <w:webHidden/>
              </w:rPr>
              <w:fldChar w:fldCharType="end"/>
            </w:r>
          </w:hyperlink>
        </w:p>
        <w:p w:rsidR="009062F9" w:rsidRDefault="009062F9">
          <w:pPr>
            <w:pStyle w:val="TOC3"/>
            <w:rPr>
              <w:rFonts w:asciiTheme="minorHAnsi" w:eastAsiaTheme="minorEastAsia" w:hAnsiTheme="minorHAnsi"/>
              <w:lang w:eastAsia="en-AU"/>
            </w:rPr>
          </w:pPr>
          <w:hyperlink w:anchor="_Toc436053698" w:history="1">
            <w:r w:rsidRPr="00247A39">
              <w:rPr>
                <w:rStyle w:val="Hyperlink"/>
              </w:rPr>
              <w:t>6.3.4</w:t>
            </w:r>
            <w:r>
              <w:rPr>
                <w:rFonts w:asciiTheme="minorHAnsi" w:eastAsiaTheme="minorEastAsia" w:hAnsiTheme="minorHAnsi"/>
                <w:lang w:eastAsia="en-AU"/>
              </w:rPr>
              <w:tab/>
            </w:r>
            <w:r w:rsidRPr="00247A39">
              <w:rPr>
                <w:rStyle w:val="Hyperlink"/>
              </w:rPr>
              <w:t>Interrelationships</w:t>
            </w:r>
            <w:r>
              <w:rPr>
                <w:webHidden/>
              </w:rPr>
              <w:tab/>
            </w:r>
            <w:r>
              <w:rPr>
                <w:webHidden/>
              </w:rPr>
              <w:fldChar w:fldCharType="begin"/>
            </w:r>
            <w:r>
              <w:rPr>
                <w:webHidden/>
              </w:rPr>
              <w:instrText xml:space="preserve"> PAGEREF _Toc436053698 \h </w:instrText>
            </w:r>
            <w:r>
              <w:rPr>
                <w:webHidden/>
              </w:rPr>
            </w:r>
            <w:r>
              <w:rPr>
                <w:webHidden/>
              </w:rPr>
              <w:fldChar w:fldCharType="separate"/>
            </w:r>
            <w:r>
              <w:rPr>
                <w:webHidden/>
              </w:rPr>
              <w:t>6-18</w:t>
            </w:r>
            <w:r>
              <w:rPr>
                <w:webHidden/>
              </w:rPr>
              <w:fldChar w:fldCharType="end"/>
            </w:r>
          </w:hyperlink>
        </w:p>
        <w:p w:rsidR="009062F9" w:rsidRDefault="009062F9">
          <w:pPr>
            <w:pStyle w:val="TOC2"/>
            <w:rPr>
              <w:rFonts w:asciiTheme="minorHAnsi" w:eastAsiaTheme="minorEastAsia" w:hAnsiTheme="minorHAnsi"/>
              <w:b w:val="0"/>
              <w:color w:val="auto"/>
              <w:sz w:val="22"/>
              <w:lang w:eastAsia="en-AU"/>
            </w:rPr>
          </w:pPr>
          <w:hyperlink w:anchor="_Toc436053699" w:history="1">
            <w:r w:rsidRPr="00247A39">
              <w:rPr>
                <w:rStyle w:val="Hyperlink"/>
              </w:rPr>
              <w:t>6.4</w:t>
            </w:r>
            <w:r>
              <w:rPr>
                <w:rFonts w:asciiTheme="minorHAnsi" w:eastAsiaTheme="minorEastAsia" w:hAnsiTheme="minorHAnsi"/>
                <w:b w:val="0"/>
                <w:color w:val="auto"/>
                <w:sz w:val="22"/>
                <w:lang w:eastAsia="en-AU"/>
              </w:rPr>
              <w:tab/>
            </w:r>
            <w:r w:rsidRPr="00247A39">
              <w:rPr>
                <w:rStyle w:val="Hyperlink"/>
              </w:rPr>
              <w:t>Reasons for draft decision</w:t>
            </w:r>
            <w:r>
              <w:rPr>
                <w:webHidden/>
              </w:rPr>
              <w:tab/>
            </w:r>
            <w:r>
              <w:rPr>
                <w:webHidden/>
              </w:rPr>
              <w:fldChar w:fldCharType="begin"/>
            </w:r>
            <w:r>
              <w:rPr>
                <w:webHidden/>
              </w:rPr>
              <w:instrText xml:space="preserve"> PAGEREF _Toc436053699 \h </w:instrText>
            </w:r>
            <w:r>
              <w:rPr>
                <w:webHidden/>
              </w:rPr>
            </w:r>
            <w:r>
              <w:rPr>
                <w:webHidden/>
              </w:rPr>
              <w:fldChar w:fldCharType="separate"/>
            </w:r>
            <w:r>
              <w:rPr>
                <w:webHidden/>
              </w:rPr>
              <w:t>6-18</w:t>
            </w:r>
            <w:r>
              <w:rPr>
                <w:webHidden/>
              </w:rPr>
              <w:fldChar w:fldCharType="end"/>
            </w:r>
          </w:hyperlink>
        </w:p>
        <w:p w:rsidR="009062F9" w:rsidRDefault="009062F9">
          <w:pPr>
            <w:pStyle w:val="TOC3"/>
            <w:rPr>
              <w:rFonts w:asciiTheme="minorHAnsi" w:eastAsiaTheme="minorEastAsia" w:hAnsiTheme="minorHAnsi"/>
              <w:lang w:eastAsia="en-AU"/>
            </w:rPr>
          </w:pPr>
          <w:hyperlink w:anchor="_Toc436053700" w:history="1">
            <w:r w:rsidRPr="00247A39">
              <w:rPr>
                <w:rStyle w:val="Hyperlink"/>
                <w:rFonts w:eastAsia="Calibri"/>
              </w:rPr>
              <w:t>6.4.1</w:t>
            </w:r>
            <w:r>
              <w:rPr>
                <w:rFonts w:asciiTheme="minorHAnsi" w:eastAsiaTheme="minorEastAsia" w:hAnsiTheme="minorHAnsi"/>
                <w:lang w:eastAsia="en-AU"/>
              </w:rPr>
              <w:tab/>
            </w:r>
            <w:r w:rsidRPr="00247A39">
              <w:rPr>
                <w:rStyle w:val="Hyperlink"/>
                <w:rFonts w:eastAsia="Calibri"/>
              </w:rPr>
              <w:t>Conforming capital expenditure for 2010–15</w:t>
            </w:r>
            <w:r>
              <w:rPr>
                <w:webHidden/>
              </w:rPr>
              <w:tab/>
            </w:r>
            <w:r>
              <w:rPr>
                <w:webHidden/>
              </w:rPr>
              <w:fldChar w:fldCharType="begin"/>
            </w:r>
            <w:r>
              <w:rPr>
                <w:webHidden/>
              </w:rPr>
              <w:instrText xml:space="preserve"> PAGEREF _Toc436053700 \h </w:instrText>
            </w:r>
            <w:r>
              <w:rPr>
                <w:webHidden/>
              </w:rPr>
            </w:r>
            <w:r>
              <w:rPr>
                <w:webHidden/>
              </w:rPr>
              <w:fldChar w:fldCharType="separate"/>
            </w:r>
            <w:r>
              <w:rPr>
                <w:webHidden/>
              </w:rPr>
              <w:t>6-18</w:t>
            </w:r>
            <w:r>
              <w:rPr>
                <w:webHidden/>
              </w:rPr>
              <w:fldChar w:fldCharType="end"/>
            </w:r>
          </w:hyperlink>
        </w:p>
        <w:p w:rsidR="009062F9" w:rsidRDefault="009062F9">
          <w:pPr>
            <w:pStyle w:val="TOC3"/>
            <w:rPr>
              <w:rFonts w:asciiTheme="minorHAnsi" w:eastAsiaTheme="minorEastAsia" w:hAnsiTheme="minorHAnsi"/>
              <w:lang w:eastAsia="en-AU"/>
            </w:rPr>
          </w:pPr>
          <w:hyperlink w:anchor="_Toc436053701" w:history="1">
            <w:r w:rsidRPr="00247A39">
              <w:rPr>
                <w:rStyle w:val="Hyperlink"/>
                <w:rFonts w:eastAsia="Calibri"/>
              </w:rPr>
              <w:t>6.4.2</w:t>
            </w:r>
            <w:r>
              <w:rPr>
                <w:rFonts w:asciiTheme="minorHAnsi" w:eastAsiaTheme="minorEastAsia" w:hAnsiTheme="minorHAnsi"/>
                <w:lang w:eastAsia="en-AU"/>
              </w:rPr>
              <w:tab/>
            </w:r>
            <w:r w:rsidRPr="00247A39">
              <w:rPr>
                <w:rStyle w:val="Hyperlink"/>
                <w:rFonts w:eastAsia="Calibri"/>
              </w:rPr>
              <w:t>Conforming capital expenditure for the 2016–21 access arrangement period</w:t>
            </w:r>
            <w:r>
              <w:rPr>
                <w:webHidden/>
              </w:rPr>
              <w:tab/>
            </w:r>
            <w:r>
              <w:rPr>
                <w:webHidden/>
              </w:rPr>
              <w:fldChar w:fldCharType="begin"/>
            </w:r>
            <w:r>
              <w:rPr>
                <w:webHidden/>
              </w:rPr>
              <w:instrText xml:space="preserve"> PAGEREF _Toc436053701 \h </w:instrText>
            </w:r>
            <w:r>
              <w:rPr>
                <w:webHidden/>
              </w:rPr>
            </w:r>
            <w:r>
              <w:rPr>
                <w:webHidden/>
              </w:rPr>
              <w:fldChar w:fldCharType="separate"/>
            </w:r>
            <w:r>
              <w:rPr>
                <w:webHidden/>
              </w:rPr>
              <w:t>6-20</w:t>
            </w:r>
            <w:r>
              <w:rPr>
                <w:webHidden/>
              </w:rPr>
              <w:fldChar w:fldCharType="end"/>
            </w:r>
          </w:hyperlink>
        </w:p>
        <w:p w:rsidR="009062F9" w:rsidRDefault="009062F9">
          <w:pPr>
            <w:pStyle w:val="TOC3"/>
            <w:rPr>
              <w:rFonts w:asciiTheme="minorHAnsi" w:eastAsiaTheme="minorEastAsia" w:hAnsiTheme="minorHAnsi"/>
              <w:lang w:eastAsia="en-AU"/>
            </w:rPr>
          </w:pPr>
          <w:hyperlink w:anchor="_Toc436053702" w:history="1">
            <w:r w:rsidRPr="00247A39">
              <w:rPr>
                <w:rStyle w:val="Hyperlink"/>
              </w:rPr>
              <w:t>6.4.3</w:t>
            </w:r>
            <w:r>
              <w:rPr>
                <w:rFonts w:asciiTheme="minorHAnsi" w:eastAsiaTheme="minorEastAsia" w:hAnsiTheme="minorHAnsi"/>
                <w:lang w:eastAsia="en-AU"/>
              </w:rPr>
              <w:tab/>
            </w:r>
            <w:r w:rsidRPr="00247A39">
              <w:rPr>
                <w:rStyle w:val="Hyperlink"/>
              </w:rPr>
              <w:t>Labour escalation</w:t>
            </w:r>
            <w:r>
              <w:rPr>
                <w:webHidden/>
              </w:rPr>
              <w:tab/>
            </w:r>
            <w:r>
              <w:rPr>
                <w:webHidden/>
              </w:rPr>
              <w:fldChar w:fldCharType="begin"/>
            </w:r>
            <w:r>
              <w:rPr>
                <w:webHidden/>
              </w:rPr>
              <w:instrText xml:space="preserve"> PAGEREF _Toc436053702 \h </w:instrText>
            </w:r>
            <w:r>
              <w:rPr>
                <w:webHidden/>
              </w:rPr>
            </w:r>
            <w:r>
              <w:rPr>
                <w:webHidden/>
              </w:rPr>
              <w:fldChar w:fldCharType="separate"/>
            </w:r>
            <w:r>
              <w:rPr>
                <w:webHidden/>
              </w:rPr>
              <w:t>6-53</w:t>
            </w:r>
            <w:r>
              <w:rPr>
                <w:webHidden/>
              </w:rPr>
              <w:fldChar w:fldCharType="end"/>
            </w:r>
          </w:hyperlink>
        </w:p>
        <w:p w:rsidR="009062F9" w:rsidRDefault="009062F9">
          <w:pPr>
            <w:pStyle w:val="TOC2"/>
            <w:rPr>
              <w:rFonts w:asciiTheme="minorHAnsi" w:eastAsiaTheme="minorEastAsia" w:hAnsiTheme="minorHAnsi"/>
              <w:b w:val="0"/>
              <w:color w:val="auto"/>
              <w:sz w:val="22"/>
              <w:lang w:eastAsia="en-AU"/>
            </w:rPr>
          </w:pPr>
          <w:hyperlink w:anchor="_Toc436053703" w:history="1">
            <w:r w:rsidRPr="00247A39">
              <w:rPr>
                <w:rStyle w:val="Hyperlink"/>
              </w:rPr>
              <w:t>6.5</w:t>
            </w:r>
            <w:r>
              <w:rPr>
                <w:rFonts w:asciiTheme="minorHAnsi" w:eastAsiaTheme="minorEastAsia" w:hAnsiTheme="minorHAnsi"/>
                <w:b w:val="0"/>
                <w:color w:val="auto"/>
                <w:sz w:val="22"/>
                <w:lang w:eastAsia="en-AU"/>
              </w:rPr>
              <w:tab/>
            </w:r>
            <w:r w:rsidRPr="00247A39">
              <w:rPr>
                <w:rStyle w:val="Hyperlink"/>
              </w:rPr>
              <w:t>Revisions</w:t>
            </w:r>
            <w:r>
              <w:rPr>
                <w:webHidden/>
              </w:rPr>
              <w:tab/>
            </w:r>
            <w:r>
              <w:rPr>
                <w:webHidden/>
              </w:rPr>
              <w:fldChar w:fldCharType="begin"/>
            </w:r>
            <w:r>
              <w:rPr>
                <w:webHidden/>
              </w:rPr>
              <w:instrText xml:space="preserve"> PAGEREF _Toc436053703 \h </w:instrText>
            </w:r>
            <w:r>
              <w:rPr>
                <w:webHidden/>
              </w:rPr>
            </w:r>
            <w:r>
              <w:rPr>
                <w:webHidden/>
              </w:rPr>
              <w:fldChar w:fldCharType="separate"/>
            </w:r>
            <w:r>
              <w:rPr>
                <w:webHidden/>
              </w:rPr>
              <w:t>6-54</w:t>
            </w:r>
            <w:r>
              <w:rPr>
                <w:webHidden/>
              </w:rPr>
              <w:fldChar w:fldCharType="end"/>
            </w:r>
          </w:hyperlink>
        </w:p>
        <w:p w:rsidR="009062F9" w:rsidRDefault="009062F9">
          <w:pPr>
            <w:pStyle w:val="TOC1"/>
            <w:rPr>
              <w:rFonts w:asciiTheme="minorHAnsi" w:eastAsiaTheme="minorEastAsia" w:hAnsiTheme="minorHAnsi"/>
              <w:b w:val="0"/>
              <w:color w:val="auto"/>
              <w:sz w:val="22"/>
              <w:lang w:val="en-AU" w:eastAsia="en-AU"/>
            </w:rPr>
          </w:pPr>
          <w:hyperlink w:anchor="_Toc436053704" w:history="1">
            <w:r w:rsidRPr="00247A39">
              <w:rPr>
                <w:rStyle w:val="Hyperlink"/>
              </w:rPr>
              <w:t>A</w:t>
            </w:r>
            <w:r>
              <w:rPr>
                <w:rFonts w:asciiTheme="minorHAnsi" w:eastAsiaTheme="minorEastAsia" w:hAnsiTheme="minorHAnsi"/>
                <w:b w:val="0"/>
                <w:color w:val="auto"/>
                <w:sz w:val="22"/>
                <w:lang w:val="en-AU" w:eastAsia="en-AU"/>
              </w:rPr>
              <w:tab/>
            </w:r>
            <w:r w:rsidRPr="00247A39">
              <w:rPr>
                <w:rStyle w:val="Hyperlink"/>
              </w:rPr>
              <w:t>Confidential appendix</w:t>
            </w:r>
            <w:r>
              <w:rPr>
                <w:webHidden/>
              </w:rPr>
              <w:tab/>
            </w:r>
            <w:r>
              <w:rPr>
                <w:webHidden/>
              </w:rPr>
              <w:fldChar w:fldCharType="begin"/>
            </w:r>
            <w:r>
              <w:rPr>
                <w:webHidden/>
              </w:rPr>
              <w:instrText xml:space="preserve"> PAGEREF _Toc436053704 \h </w:instrText>
            </w:r>
            <w:r>
              <w:rPr>
                <w:webHidden/>
              </w:rPr>
            </w:r>
            <w:r>
              <w:rPr>
                <w:webHidden/>
              </w:rPr>
              <w:fldChar w:fldCharType="separate"/>
            </w:r>
            <w:r>
              <w:rPr>
                <w:webHidden/>
              </w:rPr>
              <w:t>6-55</w:t>
            </w:r>
            <w:r>
              <w:rPr>
                <w:webHidden/>
              </w:rPr>
              <w:fldChar w:fldCharType="end"/>
            </w:r>
          </w:hyperlink>
        </w:p>
        <w:p w:rsidR="00DE563D" w:rsidRDefault="002665C1" w:rsidP="002665C1">
          <w:pPr>
            <w:pStyle w:val="TOC1"/>
          </w:pPr>
          <w:r>
            <w:rPr>
              <w:color w:val="auto"/>
              <w:sz w:val="22"/>
            </w:rPr>
            <w:fldChar w:fldCharType="end"/>
          </w:r>
        </w:p>
      </w:sdtContent>
    </w:sdt>
    <w:p w:rsidR="00DE563D" w:rsidRDefault="00C84560">
      <w:pPr>
        <w:spacing w:line="240" w:lineRule="auto"/>
      </w:pPr>
      <w:r>
        <w:t xml:space="preserve"> </w:t>
      </w:r>
    </w:p>
    <w:p w:rsidR="00A60C78" w:rsidRDefault="00DE563D" w:rsidP="00DE772C">
      <w:pPr>
        <w:pStyle w:val="UnnumberedHeading"/>
        <w:numPr>
          <w:ilvl w:val="0"/>
          <w:numId w:val="23"/>
        </w:numPr>
      </w:pPr>
      <w:bookmarkStart w:id="7" w:name="_Toc404700925"/>
      <w:bookmarkStart w:id="8" w:name="_Toc436053688"/>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1B5253" w:rsidTr="001B5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Shortened form</w:t>
            </w:r>
          </w:p>
        </w:tc>
        <w:tc>
          <w:tcPr>
            <w:tcW w:w="5041" w:type="dxa"/>
            <w:tcBorders>
              <w:top w:val="nil"/>
              <w:left w:val="nil"/>
              <w:bottom w:val="nil"/>
              <w:right w:val="nil"/>
            </w:tcBorders>
            <w:hideMark/>
          </w:tcPr>
          <w:p w:rsidR="001B5253" w:rsidRPr="001B5253" w:rsidRDefault="001B5253" w:rsidP="001B5253">
            <w:pPr>
              <w:numPr>
                <w:ilvl w:val="0"/>
                <w:numId w:val="24"/>
              </w:numPr>
              <w:cnfStyle w:val="100000000000" w:firstRow="1" w:lastRow="0" w:firstColumn="0" w:lastColumn="0" w:oddVBand="0" w:evenVBand="0" w:oddHBand="0" w:evenHBand="0" w:firstRowFirstColumn="0" w:firstRowLastColumn="0" w:lastRowFirstColumn="0" w:lastRowLastColumn="0"/>
            </w:pPr>
            <w:r w:rsidRPr="001B5253">
              <w:t>Extended form</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AA</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Access Arrangement</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AAI</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Access Arrangement Information</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AER</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Australian Energy Regulator</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ATO</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Australian Tax Office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capex</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capital expenditure</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CAPM</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capital asset pricing model</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CCP</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Consumer Challenge Panel</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CESS</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Capital Expenditure Sharing Scheme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CPI</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consumer price index</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CSIS</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Customer Service Incentive Scheme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DRP</w:t>
            </w:r>
            <w:bookmarkStart w:id="9" w:name="_GoBack"/>
            <w:bookmarkEnd w:id="9"/>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debt risk premium</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EBSS</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Efficiency Benefit Sharing Scheme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ERP</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equity risk premium</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Expenditure Guideline</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Expenditure Forecast Assessment Guideline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gamma</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Value of Imputation Credits</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GSL</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Guaranteed Service Level</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MRP</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market risk premium</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NECF</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National Energy Customer Framework</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NERL</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National Energy Retail Law</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NERR</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National Energy Retail Rules</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NGL</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national gas law</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NGO</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national gas objective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NGR</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national gas rules</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NIS</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Network Incentive Scheme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NPV</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net present value</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opex</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operating expenditure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PFP</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partial factor productivity</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PPI</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partial performance indicators</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PTRM</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post-tax revenue model</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RBA</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Reserve Bank of Australia</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RFM</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roll forward model</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RIN</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regulatory information notice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proofErr w:type="spellStart"/>
            <w:r w:rsidRPr="001B5253">
              <w:t>RoLR</w:t>
            </w:r>
            <w:proofErr w:type="spellEnd"/>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retailer of last resort</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RPP</w:t>
            </w:r>
          </w:p>
        </w:tc>
        <w:tc>
          <w:tcPr>
            <w:tcW w:w="5041" w:type="dxa"/>
            <w:tcBorders>
              <w:top w:val="nil"/>
              <w:left w:val="nil"/>
              <w:bottom w:val="nil"/>
              <w:right w:val="nil"/>
            </w:tcBorders>
            <w:hideMark/>
          </w:tcPr>
          <w:p w:rsidR="001B5253" w:rsidRPr="001B5253" w:rsidRDefault="001B5253" w:rsidP="001B5253">
            <w:pPr>
              <w:numPr>
                <w:ilvl w:val="0"/>
                <w:numId w:val="24"/>
              </w:numPr>
              <w:cnfStyle w:val="000000010000" w:firstRow="0" w:lastRow="0" w:firstColumn="0" w:lastColumn="0" w:oddVBand="0" w:evenVBand="0" w:oddHBand="0" w:evenHBand="1" w:firstRowFirstColumn="0" w:firstRowLastColumn="0" w:lastRowFirstColumn="0" w:lastRowLastColumn="0"/>
            </w:pPr>
            <w:r w:rsidRPr="001B5253">
              <w:t>revenue and pricing principles</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SLCAPM</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Sharpe-</w:t>
            </w:r>
            <w:proofErr w:type="spellStart"/>
            <w:r w:rsidRPr="001B5253">
              <w:t>Lintner</w:t>
            </w:r>
            <w:proofErr w:type="spellEnd"/>
            <w:r w:rsidRPr="001B5253">
              <w:t xml:space="preserve"> capital asset pricing model</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STPIS</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Service Target Performance Incentive Scheme</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TAB</w:t>
            </w:r>
          </w:p>
        </w:tc>
        <w:tc>
          <w:tcPr>
            <w:tcW w:w="5041" w:type="dxa"/>
            <w:tcBorders>
              <w:top w:val="nil"/>
              <w:left w:val="nil"/>
              <w:bottom w:val="nil"/>
              <w:right w:val="nil"/>
            </w:tcBorders>
            <w:hideMark/>
          </w:tcPr>
          <w:p w:rsidR="001B5253" w:rsidRPr="001B5253" w:rsidRDefault="001B5253" w:rsidP="001B5253">
            <w:pPr>
              <w:cnfStyle w:val="000000000000" w:firstRow="0" w:lastRow="0" w:firstColumn="0" w:lastColumn="0" w:oddVBand="0" w:evenVBand="0" w:oddHBand="0" w:evenHBand="0" w:firstRowFirstColumn="0" w:firstRowLastColumn="0" w:lastRowFirstColumn="0" w:lastRowLastColumn="0"/>
            </w:pPr>
            <w:r w:rsidRPr="001B5253">
              <w:t>Tax asset base</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UAFG</w:t>
            </w:r>
          </w:p>
        </w:tc>
        <w:tc>
          <w:tcPr>
            <w:tcW w:w="5041" w:type="dxa"/>
            <w:tcBorders>
              <w:top w:val="nil"/>
              <w:left w:val="nil"/>
              <w:bottom w:val="nil"/>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Unaccounted for gas</w:t>
            </w:r>
          </w:p>
        </w:tc>
      </w:tr>
      <w:tr w:rsidR="001B5253" w:rsidTr="001B5253">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B5253" w:rsidRPr="001B5253" w:rsidRDefault="001B5253" w:rsidP="001B5253">
            <w:pPr>
              <w:numPr>
                <w:ilvl w:val="0"/>
                <w:numId w:val="24"/>
              </w:numPr>
            </w:pPr>
            <w:r w:rsidRPr="001B5253">
              <w:t>WACC</w:t>
            </w:r>
          </w:p>
        </w:tc>
        <w:tc>
          <w:tcPr>
            <w:tcW w:w="5041" w:type="dxa"/>
            <w:tcBorders>
              <w:top w:val="nil"/>
              <w:left w:val="nil"/>
              <w:bottom w:val="nil"/>
              <w:right w:val="nil"/>
            </w:tcBorders>
            <w:hideMark/>
          </w:tcPr>
          <w:p w:rsidR="001B5253" w:rsidRPr="001B5253" w:rsidRDefault="001B5253" w:rsidP="001B5253">
            <w:pPr>
              <w:numPr>
                <w:ilvl w:val="0"/>
                <w:numId w:val="24"/>
              </w:numPr>
              <w:cnfStyle w:val="000000000000" w:firstRow="0" w:lastRow="0" w:firstColumn="0" w:lastColumn="0" w:oddVBand="0" w:evenVBand="0" w:oddHBand="0" w:evenHBand="0" w:firstRowFirstColumn="0" w:firstRowLastColumn="0" w:lastRowFirstColumn="0" w:lastRowLastColumn="0"/>
            </w:pPr>
            <w:r w:rsidRPr="001B5253">
              <w:t>weighted average cost of capital</w:t>
            </w:r>
          </w:p>
        </w:tc>
      </w:tr>
      <w:tr w:rsidR="001B5253" w:rsidTr="001B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1B5253" w:rsidRPr="001B5253" w:rsidRDefault="001B5253" w:rsidP="001B5253">
            <w:pPr>
              <w:numPr>
                <w:ilvl w:val="0"/>
                <w:numId w:val="24"/>
              </w:numPr>
            </w:pPr>
            <w:r w:rsidRPr="001B5253">
              <w:t>WPI</w:t>
            </w:r>
          </w:p>
        </w:tc>
        <w:tc>
          <w:tcPr>
            <w:tcW w:w="5041" w:type="dxa"/>
            <w:tcBorders>
              <w:top w:val="nil"/>
              <w:left w:val="nil"/>
              <w:bottom w:val="single" w:sz="4" w:space="0" w:color="365F91"/>
              <w:right w:val="nil"/>
            </w:tcBorders>
            <w:hideMark/>
          </w:tcPr>
          <w:p w:rsidR="001B5253" w:rsidRPr="001B5253" w:rsidRDefault="001B5253" w:rsidP="001B5253">
            <w:pPr>
              <w:cnfStyle w:val="000000010000" w:firstRow="0" w:lastRow="0" w:firstColumn="0" w:lastColumn="0" w:oddVBand="0" w:evenVBand="0" w:oddHBand="0" w:evenHBand="1" w:firstRowFirstColumn="0" w:firstRowLastColumn="0" w:lastRowFirstColumn="0" w:lastRowLastColumn="0"/>
            </w:pPr>
            <w:r w:rsidRPr="001B5253">
              <w:t>Wage Price Index</w:t>
            </w:r>
          </w:p>
        </w:tc>
      </w:tr>
    </w:tbl>
    <w:p w:rsidR="001B5253" w:rsidRPr="001B5253" w:rsidRDefault="001B5253" w:rsidP="001B5253"/>
    <w:p w:rsidR="00DE563D" w:rsidRDefault="009352CE" w:rsidP="009352CE">
      <w:pPr>
        <w:pStyle w:val="Heading1"/>
      </w:pPr>
      <w:bookmarkStart w:id="10" w:name="_Toc436053689"/>
      <w:r>
        <w:t>Capital</w:t>
      </w:r>
      <w:r w:rsidR="00FE1123">
        <w:t xml:space="preserve"> expenditure</w:t>
      </w:r>
      <w:bookmarkEnd w:id="10"/>
    </w:p>
    <w:p w:rsidR="005C44D0" w:rsidRPr="002450A2" w:rsidRDefault="002450A2" w:rsidP="002450A2">
      <w:r w:rsidRPr="00EE386B">
        <w:t xml:space="preserve">This attachment outlines </w:t>
      </w:r>
      <w:r>
        <w:t>our</w:t>
      </w:r>
      <w:r w:rsidRPr="00EE386B">
        <w:t xml:space="preserve"> assessment of </w:t>
      </w:r>
      <w:r>
        <w:t xml:space="preserve">AGN‘s </w:t>
      </w:r>
      <w:r w:rsidRPr="00EE386B">
        <w:t xml:space="preserve">proposed </w:t>
      </w:r>
      <w:r>
        <w:t xml:space="preserve">conforming </w:t>
      </w:r>
      <w:r w:rsidRPr="00EE386B">
        <w:t xml:space="preserve">capital expenditure (capex) for </w:t>
      </w:r>
      <w:r>
        <w:t>201</w:t>
      </w:r>
      <w:r w:rsidR="00C976E7">
        <w:t>0</w:t>
      </w:r>
      <w:r w:rsidRPr="00EE386B">
        <w:t>–</w:t>
      </w:r>
      <w:r>
        <w:t>1</w:t>
      </w:r>
      <w:r w:rsidR="00885646">
        <w:t>6</w:t>
      </w:r>
      <w:r>
        <w:t xml:space="preserve"> </w:t>
      </w:r>
      <w:r w:rsidRPr="00EE386B">
        <w:t>and forecast capex for the 20</w:t>
      </w:r>
      <w:r>
        <w:t>16</w:t>
      </w:r>
      <w:r w:rsidRPr="00EE386B">
        <w:t>–</w:t>
      </w:r>
      <w:r>
        <w:t>21</w:t>
      </w:r>
      <w:r w:rsidRPr="00EE386B">
        <w:t xml:space="preserve"> access arrangement period.</w:t>
      </w:r>
      <w:r w:rsidR="005C44D0">
        <w:t xml:space="preserve"> </w:t>
      </w:r>
    </w:p>
    <w:p w:rsidR="009A5113" w:rsidRDefault="00CF2C05" w:rsidP="009A5113">
      <w:pPr>
        <w:pStyle w:val="Heading2"/>
      </w:pPr>
      <w:bookmarkStart w:id="11" w:name="_Toc408404320"/>
      <w:bookmarkStart w:id="12" w:name="_Toc436053690"/>
      <w:r>
        <w:t>Draft</w:t>
      </w:r>
      <w:r w:rsidR="009A5113" w:rsidRPr="0074565D">
        <w:t xml:space="preserve"> decision</w:t>
      </w:r>
      <w:bookmarkEnd w:id="11"/>
      <w:bookmarkEnd w:id="12"/>
    </w:p>
    <w:p w:rsidR="005C44D0" w:rsidRPr="00F55F97" w:rsidRDefault="005C44D0" w:rsidP="00F55F97">
      <w:pPr>
        <w:pStyle w:val="Heading3"/>
      </w:pPr>
      <w:bookmarkStart w:id="13" w:name="_Toc436053691"/>
      <w:r w:rsidRPr="00F55F97">
        <w:t>Conforming capital expenditure for 201</w:t>
      </w:r>
      <w:r w:rsidR="006D447C" w:rsidRPr="00F55F97">
        <w:t>0</w:t>
      </w:r>
      <w:r w:rsidRPr="00F55F97">
        <w:t>–1</w:t>
      </w:r>
      <w:r w:rsidR="00F02D48" w:rsidRPr="00F55F97">
        <w:t>6</w:t>
      </w:r>
      <w:bookmarkEnd w:id="13"/>
    </w:p>
    <w:p w:rsidR="005C44D0" w:rsidRDefault="005C44D0" w:rsidP="005C44D0">
      <w:r>
        <w:t>We</w:t>
      </w:r>
      <w:r w:rsidRPr="00EE386B">
        <w:t xml:space="preserve"> approve $</w:t>
      </w:r>
      <w:r w:rsidR="00ED3A7D">
        <w:t>392</w:t>
      </w:r>
      <w:r w:rsidR="006C57B3">
        <w:t>.</w:t>
      </w:r>
      <w:r w:rsidR="00ED3A7D">
        <w:t>6</w:t>
      </w:r>
      <w:r w:rsidRPr="00EE386B">
        <w:t xml:space="preserve"> million ($20</w:t>
      </w:r>
      <w:r w:rsidR="00C976E7">
        <w:t>14–</w:t>
      </w:r>
      <w:r w:rsidRPr="00EE386B">
        <w:t>1</w:t>
      </w:r>
      <w:r w:rsidR="00C976E7">
        <w:t>5</w:t>
      </w:r>
      <w:r w:rsidRPr="00EE386B">
        <w:t xml:space="preserve">) </w:t>
      </w:r>
      <w:r w:rsidR="001D790F">
        <w:t xml:space="preserve">of </w:t>
      </w:r>
      <w:r w:rsidRPr="00EE386B">
        <w:t xml:space="preserve">total net capex for </w:t>
      </w:r>
      <w:r w:rsidR="001D790F">
        <w:t xml:space="preserve">AGN during the </w:t>
      </w:r>
      <w:r w:rsidRPr="00EE386B">
        <w:t>20</w:t>
      </w:r>
      <w:r>
        <w:t>10</w:t>
      </w:r>
      <w:r w:rsidRPr="00EE386B">
        <w:t>–</w:t>
      </w:r>
      <w:r w:rsidR="001D790F">
        <w:t>20</w:t>
      </w:r>
      <w:r w:rsidRPr="00EE386B">
        <w:t>1</w:t>
      </w:r>
      <w:r>
        <w:t>5</w:t>
      </w:r>
      <w:r w:rsidRPr="00EE386B">
        <w:t xml:space="preserve"> </w:t>
      </w:r>
      <w:proofErr w:type="gramStart"/>
      <w:r w:rsidR="001D790F">
        <w:t>period</w:t>
      </w:r>
      <w:proofErr w:type="gramEnd"/>
      <w:r w:rsidR="001D790F">
        <w:t xml:space="preserve"> </w:t>
      </w:r>
      <w:r w:rsidRPr="00EE386B">
        <w:t>as conforming capex under r</w:t>
      </w:r>
      <w:r w:rsidR="00D019F4">
        <w:t>ule</w:t>
      </w:r>
      <w:r w:rsidRPr="00EE386B">
        <w:t xml:space="preserve"> 79(1) of the NGR.</w:t>
      </w:r>
    </w:p>
    <w:p w:rsidR="00251EC1" w:rsidRDefault="00251EC1" w:rsidP="005C44D0">
      <w:r>
        <w:fldChar w:fldCharType="begin"/>
      </w:r>
      <w:r>
        <w:instrText xml:space="preserve"> REF _Ref431804267 \h </w:instrText>
      </w:r>
      <w:r>
        <w:fldChar w:fldCharType="separate"/>
      </w:r>
      <w:r w:rsidR="00D019F4">
        <w:t xml:space="preserve">Table </w:t>
      </w:r>
      <w:r w:rsidR="00D019F4">
        <w:rPr>
          <w:noProof/>
        </w:rPr>
        <w:t>6</w:t>
      </w:r>
      <w:r w:rsidR="00D019F4">
        <w:t>.</w:t>
      </w:r>
      <w:r w:rsidR="00D019F4">
        <w:rPr>
          <w:noProof/>
        </w:rPr>
        <w:t>1</w:t>
      </w:r>
      <w:r>
        <w:fldChar w:fldCharType="end"/>
      </w:r>
      <w:r w:rsidRPr="00251EC1">
        <w:t xml:space="preserve"> shows our approved capex for 20</w:t>
      </w:r>
      <w:r w:rsidR="00885646">
        <w:t>1</w:t>
      </w:r>
      <w:r w:rsidR="001D790F">
        <w:t>0</w:t>
      </w:r>
      <w:r w:rsidR="00885646">
        <w:t>–</w:t>
      </w:r>
      <w:r w:rsidR="001D790F">
        <w:t>1</w:t>
      </w:r>
      <w:r w:rsidR="006C57B3">
        <w:t>5</w:t>
      </w:r>
      <w:r w:rsidRPr="00251EC1">
        <w:t xml:space="preserve"> by category.</w:t>
      </w:r>
    </w:p>
    <w:p w:rsidR="005C44D0" w:rsidRDefault="005C44D0" w:rsidP="005C44D0">
      <w:pPr>
        <w:pStyle w:val="Caption"/>
      </w:pPr>
      <w:bookmarkStart w:id="14" w:name="_Ref431804267"/>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1</w:t>
      </w:r>
      <w:r w:rsidR="00D754F0">
        <w:rPr>
          <w:noProof/>
        </w:rPr>
        <w:fldChar w:fldCharType="end"/>
      </w:r>
      <w:bookmarkEnd w:id="14"/>
      <w:r>
        <w:tab/>
      </w:r>
      <w:r w:rsidRPr="00EE71BA">
        <w:t>AER approved capital expenditure by category over 20</w:t>
      </w:r>
      <w:r w:rsidR="00885646">
        <w:t>11</w:t>
      </w:r>
      <w:r w:rsidRPr="00EE71BA">
        <w:t>–1</w:t>
      </w:r>
      <w:r w:rsidR="00885646">
        <w:t>6</w:t>
      </w:r>
      <w:r w:rsidRPr="00EE71BA">
        <w:t xml:space="preserve"> ($million, 201</w:t>
      </w:r>
      <w:r w:rsidR="00885646">
        <w:t>4–15</w:t>
      </w:r>
      <w:r w:rsidRPr="00EE71BA">
        <w:t>)</w:t>
      </w:r>
    </w:p>
    <w:tbl>
      <w:tblPr>
        <w:tblW w:w="5000" w:type="pct"/>
        <w:tblLook w:val="04A0" w:firstRow="1" w:lastRow="0" w:firstColumn="1" w:lastColumn="0" w:noHBand="0" w:noVBand="1"/>
      </w:tblPr>
      <w:tblGrid>
        <w:gridCol w:w="2369"/>
        <w:gridCol w:w="1054"/>
        <w:gridCol w:w="1054"/>
        <w:gridCol w:w="1054"/>
        <w:gridCol w:w="1054"/>
        <w:gridCol w:w="1054"/>
        <w:gridCol w:w="1054"/>
      </w:tblGrid>
      <w:tr w:rsidR="006250CD" w:rsidRPr="006250CD" w:rsidTr="00616B1C">
        <w:trPr>
          <w:trHeight w:val="465"/>
        </w:trPr>
        <w:tc>
          <w:tcPr>
            <w:tcW w:w="1363"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rPr>
                <w:rFonts w:eastAsia="Times New Roman" w:cs="Arial"/>
                <w:b/>
                <w:bCs/>
                <w:color w:val="FFFFFF"/>
                <w:sz w:val="16"/>
                <w:szCs w:val="16"/>
                <w:lang w:eastAsia="en-AU"/>
              </w:rPr>
            </w:pPr>
            <w:r w:rsidRPr="006250CD">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2010–11</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2011–12</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2012–13</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2013–14</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2014–15</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2015–16(a)</w:t>
            </w:r>
          </w:p>
        </w:tc>
      </w:tr>
      <w:tr w:rsidR="00DE7300" w:rsidRPr="006250CD" w:rsidTr="00616B1C">
        <w:trPr>
          <w:trHeight w:val="450"/>
        </w:trPr>
        <w:tc>
          <w:tcPr>
            <w:tcW w:w="1363" w:type="pct"/>
            <w:tcBorders>
              <w:top w:val="nil"/>
              <w:left w:val="nil"/>
              <w:bottom w:val="nil"/>
              <w:right w:val="nil"/>
            </w:tcBorders>
            <w:shd w:val="clear" w:color="auto" w:fill="auto"/>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Connections (Market expansion)</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22.5</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20.1</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19.4</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25.5</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17.5</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18.8</w:t>
            </w:r>
          </w:p>
        </w:tc>
      </w:tr>
      <w:tr w:rsidR="00DE7300" w:rsidRPr="006250CD" w:rsidTr="00616B1C">
        <w:trPr>
          <w:trHeight w:val="450"/>
        </w:trPr>
        <w:tc>
          <w:tcPr>
            <w:tcW w:w="1363" w:type="pct"/>
            <w:tcBorders>
              <w:top w:val="nil"/>
              <w:left w:val="nil"/>
              <w:bottom w:val="nil"/>
              <w:right w:val="nil"/>
            </w:tcBorders>
            <w:shd w:val="clear" w:color="000000" w:fill="DBE5F1"/>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Mains replacement</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15.6</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24.0</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36.5</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45.5</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49.5</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70.8</w:t>
            </w:r>
          </w:p>
        </w:tc>
      </w:tr>
      <w:tr w:rsidR="00DE7300" w:rsidRPr="006250CD" w:rsidTr="00616B1C">
        <w:trPr>
          <w:trHeight w:val="450"/>
        </w:trPr>
        <w:tc>
          <w:tcPr>
            <w:tcW w:w="1363" w:type="pct"/>
            <w:tcBorders>
              <w:top w:val="nil"/>
              <w:left w:val="nil"/>
              <w:bottom w:val="nil"/>
              <w:right w:val="nil"/>
            </w:tcBorders>
            <w:shd w:val="clear" w:color="auto" w:fill="auto"/>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Meter replacement</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2.7</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2.2</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2.4</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3.6</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3.8</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3.6</w:t>
            </w:r>
          </w:p>
        </w:tc>
      </w:tr>
      <w:tr w:rsidR="00DE7300" w:rsidRPr="006250CD" w:rsidTr="00616B1C">
        <w:trPr>
          <w:trHeight w:val="450"/>
        </w:trPr>
        <w:tc>
          <w:tcPr>
            <w:tcW w:w="1363" w:type="pct"/>
            <w:tcBorders>
              <w:top w:val="nil"/>
              <w:left w:val="nil"/>
              <w:bottom w:val="nil"/>
              <w:right w:val="nil"/>
            </w:tcBorders>
            <w:shd w:val="clear" w:color="000000" w:fill="DBE5F1"/>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Augmentation</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1.3</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6.3</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15.2</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5.1</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5.4</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15.1</w:t>
            </w:r>
          </w:p>
        </w:tc>
      </w:tr>
      <w:tr w:rsidR="00DE7300" w:rsidRPr="006250CD" w:rsidTr="00616B1C">
        <w:trPr>
          <w:trHeight w:val="450"/>
        </w:trPr>
        <w:tc>
          <w:tcPr>
            <w:tcW w:w="1363" w:type="pct"/>
            <w:tcBorders>
              <w:top w:val="nil"/>
              <w:left w:val="nil"/>
              <w:bottom w:val="nil"/>
              <w:right w:val="nil"/>
            </w:tcBorders>
            <w:shd w:val="clear" w:color="auto" w:fill="auto"/>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Telemetry</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0.2</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0.2</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0.2</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0.3</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0.3</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0.5</w:t>
            </w:r>
          </w:p>
        </w:tc>
      </w:tr>
      <w:tr w:rsidR="00DE7300" w:rsidRPr="006250CD" w:rsidTr="00616B1C">
        <w:trPr>
          <w:trHeight w:val="450"/>
        </w:trPr>
        <w:tc>
          <w:tcPr>
            <w:tcW w:w="1363" w:type="pct"/>
            <w:tcBorders>
              <w:top w:val="nil"/>
              <w:left w:val="nil"/>
              <w:bottom w:val="nil"/>
              <w:right w:val="nil"/>
            </w:tcBorders>
            <w:shd w:val="clear" w:color="000000" w:fill="DBE5F1"/>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Regulators</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0.2</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0.3</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0.9</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2.7</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2.7</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0.7</w:t>
            </w:r>
          </w:p>
        </w:tc>
      </w:tr>
      <w:tr w:rsidR="00DE7300" w:rsidRPr="006250CD" w:rsidTr="00616B1C">
        <w:trPr>
          <w:trHeight w:val="450"/>
        </w:trPr>
        <w:tc>
          <w:tcPr>
            <w:tcW w:w="1363" w:type="pct"/>
            <w:tcBorders>
              <w:top w:val="nil"/>
              <w:left w:val="nil"/>
              <w:bottom w:val="nil"/>
              <w:right w:val="nil"/>
            </w:tcBorders>
            <w:shd w:val="clear" w:color="auto" w:fill="auto"/>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IT</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0.3</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0.1</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2.4</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6.8</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10.6</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2.2</w:t>
            </w:r>
          </w:p>
        </w:tc>
      </w:tr>
      <w:tr w:rsidR="00DE7300" w:rsidRPr="006250CD" w:rsidTr="00616B1C">
        <w:trPr>
          <w:trHeight w:val="450"/>
        </w:trPr>
        <w:tc>
          <w:tcPr>
            <w:tcW w:w="1363" w:type="pct"/>
            <w:tcBorders>
              <w:top w:val="nil"/>
              <w:left w:val="nil"/>
              <w:bottom w:val="nil"/>
              <w:right w:val="nil"/>
            </w:tcBorders>
            <w:shd w:val="clear" w:color="000000" w:fill="DBE5F1"/>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distribution system</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0.0</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1.6</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0.8</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3.2</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2.5</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1.7</w:t>
            </w:r>
          </w:p>
        </w:tc>
      </w:tr>
      <w:tr w:rsidR="00DE7300" w:rsidRPr="006250CD" w:rsidTr="00616B1C">
        <w:trPr>
          <w:trHeight w:val="450"/>
        </w:trPr>
        <w:tc>
          <w:tcPr>
            <w:tcW w:w="1363" w:type="pct"/>
            <w:tcBorders>
              <w:top w:val="nil"/>
              <w:left w:val="nil"/>
              <w:bottom w:val="nil"/>
              <w:right w:val="nil"/>
            </w:tcBorders>
            <w:shd w:val="clear" w:color="auto" w:fill="auto"/>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non</w:t>
            </w:r>
            <w:r w:rsidR="00E34C0D">
              <w:rPr>
                <w:rFonts w:eastAsia="Times New Roman" w:cs="Arial"/>
                <w:color w:val="000000"/>
                <w:sz w:val="16"/>
                <w:szCs w:val="16"/>
                <w:lang w:eastAsia="en-AU"/>
              </w:rPr>
              <w:t>–</w:t>
            </w:r>
            <w:r w:rsidRPr="006250CD">
              <w:rPr>
                <w:rFonts w:eastAsia="Times New Roman" w:cs="Arial"/>
                <w:color w:val="000000"/>
                <w:sz w:val="16"/>
                <w:szCs w:val="16"/>
                <w:lang w:eastAsia="en-AU"/>
              </w:rPr>
              <w:t>distribution system</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0.8</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0.0</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0.7</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0.6</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3.1</w:t>
            </w:r>
          </w:p>
        </w:tc>
        <w:tc>
          <w:tcPr>
            <w:tcW w:w="606" w:type="pct"/>
            <w:tcBorders>
              <w:top w:val="nil"/>
              <w:left w:val="nil"/>
              <w:bottom w:val="nil"/>
              <w:right w:val="nil"/>
            </w:tcBorders>
            <w:shd w:val="clear" w:color="auto" w:fill="auto"/>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2.3</w:t>
            </w:r>
          </w:p>
        </w:tc>
      </w:tr>
      <w:tr w:rsidR="00DE7300" w:rsidRPr="006250CD" w:rsidTr="00616B1C">
        <w:trPr>
          <w:trHeight w:val="450"/>
        </w:trPr>
        <w:tc>
          <w:tcPr>
            <w:tcW w:w="1363" w:type="pct"/>
            <w:tcBorders>
              <w:top w:val="nil"/>
              <w:left w:val="nil"/>
              <w:bottom w:val="nil"/>
              <w:right w:val="nil"/>
            </w:tcBorders>
            <w:shd w:val="clear" w:color="000000" w:fill="DBE5F1"/>
            <w:vAlign w:val="center"/>
            <w:hideMark/>
          </w:tcPr>
          <w:p w:rsidR="00DE7300" w:rsidRPr="006250CD" w:rsidRDefault="00DE7300"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Overheads</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0.0</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5.9</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7.5</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7.9</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9.2</w:t>
            </w:r>
          </w:p>
        </w:tc>
        <w:tc>
          <w:tcPr>
            <w:tcW w:w="606" w:type="pct"/>
            <w:tcBorders>
              <w:top w:val="nil"/>
              <w:left w:val="nil"/>
              <w:bottom w:val="nil"/>
              <w:right w:val="nil"/>
            </w:tcBorders>
            <w:shd w:val="clear" w:color="000000" w:fill="DBE5F1"/>
            <w:vAlign w:val="center"/>
            <w:hideMark/>
          </w:tcPr>
          <w:p w:rsidR="00DE7300" w:rsidRPr="00DE7300" w:rsidRDefault="00DE7300" w:rsidP="00DE7300">
            <w:pPr>
              <w:ind w:firstLineChars="100" w:firstLine="160"/>
              <w:rPr>
                <w:rFonts w:cs="Arial"/>
                <w:color w:val="000000"/>
                <w:sz w:val="16"/>
                <w:szCs w:val="24"/>
              </w:rPr>
            </w:pPr>
            <w:r w:rsidRPr="00DE7300">
              <w:rPr>
                <w:rFonts w:cs="Arial"/>
                <w:color w:val="000000"/>
                <w:sz w:val="16"/>
              </w:rPr>
              <w:t>11.1</w:t>
            </w:r>
          </w:p>
        </w:tc>
      </w:tr>
      <w:tr w:rsidR="00851265" w:rsidRPr="006250CD" w:rsidTr="00616B1C">
        <w:trPr>
          <w:trHeight w:val="450"/>
        </w:trPr>
        <w:tc>
          <w:tcPr>
            <w:tcW w:w="1363" w:type="pct"/>
            <w:tcBorders>
              <w:top w:val="nil"/>
              <w:left w:val="nil"/>
              <w:bottom w:val="nil"/>
              <w:right w:val="nil"/>
            </w:tcBorders>
            <w:shd w:val="clear" w:color="auto" w:fill="auto"/>
            <w:vAlign w:val="center"/>
            <w:hideMark/>
          </w:tcPr>
          <w:p w:rsidR="00851265" w:rsidRPr="006250CD" w:rsidRDefault="00851265" w:rsidP="001447A6">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GROSS TOTAL CAPITAL EXPENDITURE</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43.6</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60.7</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86.0</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101.3</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104.6</w:t>
            </w:r>
          </w:p>
        </w:tc>
        <w:tc>
          <w:tcPr>
            <w:tcW w:w="606" w:type="pct"/>
            <w:tcBorders>
              <w:top w:val="nil"/>
              <w:left w:val="nil"/>
              <w:bottom w:val="nil"/>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126.9</w:t>
            </w:r>
          </w:p>
        </w:tc>
      </w:tr>
      <w:tr w:rsidR="00851265" w:rsidRPr="006250CD" w:rsidTr="00616B1C">
        <w:trPr>
          <w:trHeight w:val="450"/>
        </w:trPr>
        <w:tc>
          <w:tcPr>
            <w:tcW w:w="1363" w:type="pct"/>
            <w:tcBorders>
              <w:top w:val="nil"/>
              <w:left w:val="nil"/>
              <w:bottom w:val="nil"/>
              <w:right w:val="nil"/>
            </w:tcBorders>
            <w:shd w:val="clear" w:color="000000" w:fill="DBE5F1"/>
            <w:vAlign w:val="center"/>
            <w:hideMark/>
          </w:tcPr>
          <w:p w:rsidR="00851265" w:rsidRPr="006250CD" w:rsidRDefault="00851265" w:rsidP="001447A6">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Contributions</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0.2</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0.3</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1.6</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0.6</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0.9</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0.2</w:t>
            </w:r>
          </w:p>
        </w:tc>
      </w:tr>
      <w:tr w:rsidR="00851265" w:rsidRPr="006250CD" w:rsidTr="00616B1C">
        <w:trPr>
          <w:trHeight w:val="450"/>
        </w:trPr>
        <w:tc>
          <w:tcPr>
            <w:tcW w:w="1363" w:type="pct"/>
            <w:tcBorders>
              <w:top w:val="nil"/>
              <w:left w:val="nil"/>
              <w:bottom w:val="single" w:sz="8" w:space="0" w:color="1F497D"/>
              <w:right w:val="nil"/>
            </w:tcBorders>
            <w:shd w:val="clear" w:color="auto" w:fill="auto"/>
            <w:vAlign w:val="center"/>
            <w:hideMark/>
          </w:tcPr>
          <w:p w:rsidR="00851265" w:rsidRPr="006250CD" w:rsidRDefault="00851265" w:rsidP="001447A6">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NET TOTAL CAPITAL EXPENDITURE</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43.4</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60.4</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84.4</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100.7</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103.7</w:t>
            </w:r>
          </w:p>
        </w:tc>
        <w:tc>
          <w:tcPr>
            <w:tcW w:w="606" w:type="pct"/>
            <w:tcBorders>
              <w:top w:val="nil"/>
              <w:left w:val="nil"/>
              <w:bottom w:val="single" w:sz="8" w:space="0" w:color="1F497D"/>
              <w:right w:val="nil"/>
            </w:tcBorders>
            <w:shd w:val="clear" w:color="auto" w:fill="auto"/>
            <w:vAlign w:val="center"/>
            <w:hideMark/>
          </w:tcPr>
          <w:p w:rsidR="00851265" w:rsidRPr="00EA6434" w:rsidRDefault="00851265" w:rsidP="001447A6">
            <w:pPr>
              <w:rPr>
                <w:rFonts w:cs="Arial"/>
                <w:b/>
                <w:bCs/>
                <w:color w:val="000000"/>
                <w:sz w:val="16"/>
                <w:szCs w:val="24"/>
              </w:rPr>
            </w:pPr>
            <w:r w:rsidRPr="00EA6434">
              <w:rPr>
                <w:rFonts w:cs="Arial"/>
                <w:b/>
                <w:bCs/>
                <w:color w:val="000000"/>
                <w:sz w:val="16"/>
              </w:rPr>
              <w:t>126.6</w:t>
            </w:r>
          </w:p>
        </w:tc>
      </w:tr>
    </w:tbl>
    <w:p w:rsidR="005C44D0" w:rsidRDefault="005C44D0" w:rsidP="005C44D0">
      <w:pPr>
        <w:pStyle w:val="AERtablesource"/>
      </w:pPr>
      <w:r w:rsidRPr="00F61681">
        <w:t>Source:</w:t>
      </w:r>
      <w:r w:rsidRPr="00F61681">
        <w:tab/>
        <w:t>AER analysis.</w:t>
      </w:r>
    </w:p>
    <w:p w:rsidR="005C44D0" w:rsidRPr="005A3660" w:rsidRDefault="005C44D0" w:rsidP="005C44D0">
      <w:pPr>
        <w:pStyle w:val="AERtablesource"/>
      </w:pPr>
      <w:r>
        <w:t>Note</w:t>
      </w:r>
      <w:r w:rsidRPr="005A3660">
        <w:t>:</w:t>
      </w:r>
      <w:r w:rsidRPr="005A3660">
        <w:tab/>
        <w:t>(</w:t>
      </w:r>
      <w:r>
        <w:t>a</w:t>
      </w:r>
      <w:r w:rsidRPr="005A3660">
        <w:t xml:space="preserve">) </w:t>
      </w:r>
      <w:r w:rsidR="00406985" w:rsidRPr="00406985">
        <w:t xml:space="preserve">As set out in </w:t>
      </w:r>
      <w:r w:rsidR="00BD5011">
        <w:t>a</w:t>
      </w:r>
      <w:r w:rsidR="00406985" w:rsidRPr="00406985">
        <w:t>ttachment 2</w:t>
      </w:r>
      <w:r w:rsidR="00BD5011">
        <w:t>, we have not assessed</w:t>
      </w:r>
      <w:r w:rsidR="00406985" w:rsidRPr="00406985">
        <w:t xml:space="preserve"> the 2015</w:t>
      </w:r>
      <w:r w:rsidR="00E34C0D">
        <w:t>–</w:t>
      </w:r>
      <w:r w:rsidR="00406985" w:rsidRPr="00406985">
        <w:t xml:space="preserve">16 amounts as approved capex under this decision. This is because these values are estimates. </w:t>
      </w:r>
      <w:r w:rsidR="00BD5011">
        <w:t>We</w:t>
      </w:r>
      <w:r w:rsidR="00406985" w:rsidRPr="00406985">
        <w:t xml:space="preserve"> will undertake the assessment of whether the 2015</w:t>
      </w:r>
      <w:r w:rsidR="00E34C0D">
        <w:t>–</w:t>
      </w:r>
      <w:r w:rsidR="00406985" w:rsidRPr="00406985">
        <w:t>16 amounts are conforming capex as part of the next a</w:t>
      </w:r>
      <w:r w:rsidR="00406985">
        <w:t>ccess arrangement determination</w:t>
      </w:r>
      <w:r w:rsidRPr="005A3660">
        <w:t>.</w:t>
      </w:r>
    </w:p>
    <w:p w:rsidR="005C44D0" w:rsidRPr="00F55F97" w:rsidRDefault="005C44D0" w:rsidP="00F55F97">
      <w:pPr>
        <w:pStyle w:val="Heading3"/>
      </w:pPr>
      <w:bookmarkStart w:id="15" w:name="_Toc436053692"/>
      <w:r w:rsidRPr="00F55F97">
        <w:t>Conforming capital expenditure for the 201</w:t>
      </w:r>
      <w:r w:rsidR="00F66932" w:rsidRPr="00F55F97">
        <w:t>6</w:t>
      </w:r>
      <w:r w:rsidRPr="00F55F97">
        <w:t>–2</w:t>
      </w:r>
      <w:r w:rsidR="00F66932" w:rsidRPr="00F55F97">
        <w:t>1</w:t>
      </w:r>
      <w:r w:rsidRPr="00F55F97">
        <w:t xml:space="preserve"> access arrangement period</w:t>
      </w:r>
      <w:bookmarkEnd w:id="15"/>
    </w:p>
    <w:p w:rsidR="00C64EBF" w:rsidRPr="009062F9" w:rsidRDefault="005C44D0" w:rsidP="009062F9">
      <w:pPr>
        <w:rPr>
          <w:rStyle w:val="AERbody"/>
        </w:rPr>
      </w:pPr>
      <w:r w:rsidRPr="009062F9">
        <w:rPr>
          <w:rStyle w:val="AERbody"/>
        </w:rPr>
        <w:t>We approve $</w:t>
      </w:r>
      <w:r w:rsidR="00846DAB" w:rsidRPr="009062F9">
        <w:rPr>
          <w:rStyle w:val="AERbody"/>
        </w:rPr>
        <w:t>393.0</w:t>
      </w:r>
      <w:r w:rsidRPr="009062F9">
        <w:rPr>
          <w:rStyle w:val="AERbody"/>
        </w:rPr>
        <w:t xml:space="preserve"> million ($201</w:t>
      </w:r>
      <w:r w:rsidR="00BD5011" w:rsidRPr="009062F9">
        <w:rPr>
          <w:rStyle w:val="AERbody"/>
        </w:rPr>
        <w:t>4–15</w:t>
      </w:r>
      <w:r w:rsidRPr="009062F9">
        <w:rPr>
          <w:rStyle w:val="AERbody"/>
        </w:rPr>
        <w:t xml:space="preserve">) of </w:t>
      </w:r>
      <w:r w:rsidR="00F66932" w:rsidRPr="009062F9">
        <w:rPr>
          <w:rStyle w:val="AERbody"/>
        </w:rPr>
        <w:t>A</w:t>
      </w:r>
      <w:r w:rsidRPr="009062F9">
        <w:rPr>
          <w:rStyle w:val="AERbody"/>
        </w:rPr>
        <w:t>GN's proposed $</w:t>
      </w:r>
      <w:r w:rsidR="00984AB6" w:rsidRPr="009062F9">
        <w:rPr>
          <w:rStyle w:val="AERbody"/>
        </w:rPr>
        <w:t>687.3</w:t>
      </w:r>
      <w:r w:rsidRPr="009062F9">
        <w:rPr>
          <w:rStyle w:val="AERbody"/>
        </w:rPr>
        <w:t xml:space="preserve"> million ($20</w:t>
      </w:r>
      <w:r w:rsidR="004D34ED" w:rsidRPr="009062F9">
        <w:rPr>
          <w:rStyle w:val="AERbody"/>
        </w:rPr>
        <w:t>14–</w:t>
      </w:r>
      <w:r w:rsidRPr="009062F9">
        <w:rPr>
          <w:rStyle w:val="AERbody"/>
        </w:rPr>
        <w:t>1</w:t>
      </w:r>
      <w:r w:rsidR="004D34ED" w:rsidRPr="009062F9">
        <w:rPr>
          <w:rStyle w:val="AERbody"/>
        </w:rPr>
        <w:t>5</w:t>
      </w:r>
      <w:r w:rsidRPr="009062F9">
        <w:rPr>
          <w:rStyle w:val="AERbody"/>
        </w:rPr>
        <w:t xml:space="preserve">) total net capex for </w:t>
      </w:r>
      <w:r w:rsidR="00F02D48" w:rsidRPr="009062F9">
        <w:rPr>
          <w:rStyle w:val="AERbody"/>
        </w:rPr>
        <w:t xml:space="preserve">the </w:t>
      </w:r>
      <w:r w:rsidRPr="009062F9">
        <w:rPr>
          <w:rStyle w:val="AERbody"/>
        </w:rPr>
        <w:t>201</w:t>
      </w:r>
      <w:r w:rsidR="00F66932" w:rsidRPr="009062F9">
        <w:rPr>
          <w:rStyle w:val="AERbody"/>
        </w:rPr>
        <w:t>6</w:t>
      </w:r>
      <w:r w:rsidRPr="009062F9">
        <w:rPr>
          <w:rStyle w:val="AERbody"/>
        </w:rPr>
        <w:t>–2</w:t>
      </w:r>
      <w:r w:rsidR="00F66932" w:rsidRPr="009062F9">
        <w:rPr>
          <w:rStyle w:val="AERbody"/>
        </w:rPr>
        <w:t>1</w:t>
      </w:r>
      <w:r w:rsidRPr="009062F9">
        <w:rPr>
          <w:rStyle w:val="AERbody"/>
        </w:rPr>
        <w:t xml:space="preserve"> </w:t>
      </w:r>
      <w:r w:rsidR="00F02D48" w:rsidRPr="009062F9">
        <w:rPr>
          <w:rStyle w:val="AERbody"/>
        </w:rPr>
        <w:t xml:space="preserve">access arrangement </w:t>
      </w:r>
      <w:proofErr w:type="gramStart"/>
      <w:r w:rsidR="00F02D48" w:rsidRPr="009062F9">
        <w:rPr>
          <w:rStyle w:val="AERbody"/>
        </w:rPr>
        <w:t>period</w:t>
      </w:r>
      <w:proofErr w:type="gramEnd"/>
      <w:r w:rsidR="00F02D48" w:rsidRPr="009062F9">
        <w:rPr>
          <w:rStyle w:val="AERbody"/>
        </w:rPr>
        <w:t xml:space="preserve"> </w:t>
      </w:r>
      <w:r w:rsidRPr="009062F9">
        <w:rPr>
          <w:rStyle w:val="AERbody"/>
        </w:rPr>
        <w:t>as conforming capex under r</w:t>
      </w:r>
      <w:r w:rsidR="00D019F4" w:rsidRPr="009062F9">
        <w:rPr>
          <w:rStyle w:val="AERbody"/>
        </w:rPr>
        <w:t>ule</w:t>
      </w:r>
      <w:r w:rsidRPr="009062F9">
        <w:rPr>
          <w:rStyle w:val="AERbody"/>
        </w:rPr>
        <w:t xml:space="preserve"> 79(1) of th</w:t>
      </w:r>
      <w:r w:rsidR="0006566A" w:rsidRPr="009062F9">
        <w:rPr>
          <w:rStyle w:val="AERbody"/>
        </w:rPr>
        <w:t xml:space="preserve">e </w:t>
      </w:r>
      <w:r w:rsidR="00846DAB" w:rsidRPr="009062F9">
        <w:rPr>
          <w:rStyle w:val="AERbody"/>
        </w:rPr>
        <w:t xml:space="preserve">NGR. </w:t>
      </w:r>
      <w:r w:rsidR="00C714BA" w:rsidRPr="009062F9">
        <w:rPr>
          <w:rStyle w:val="AERbody"/>
        </w:rPr>
        <w:t>This is 43.8 per cent less than AGN’s proposed capex.</w:t>
      </w:r>
      <w:r w:rsidR="00C64EBF" w:rsidRPr="009062F9">
        <w:rPr>
          <w:rStyle w:val="AERbody"/>
        </w:rPr>
        <w:t xml:space="preserve"> Much of this reduction is because we did not have sufficient information to find the proposed expenditures to be prudent or efficient. We have identified where further information needs to be provided by AGN in order for us to be satisfied that the proposed expenditures me</w:t>
      </w:r>
      <w:r w:rsidR="00A0300B" w:rsidRPr="009062F9">
        <w:rPr>
          <w:rStyle w:val="AERbody"/>
        </w:rPr>
        <w:t>ets</w:t>
      </w:r>
      <w:r w:rsidR="00C64EBF" w:rsidRPr="009062F9">
        <w:rPr>
          <w:rStyle w:val="AERbody"/>
        </w:rPr>
        <w:t xml:space="preserve"> the NGR. </w:t>
      </w:r>
    </w:p>
    <w:p w:rsidR="005C44D0" w:rsidRPr="009062F9" w:rsidRDefault="00414154" w:rsidP="00D019F4">
      <w:pPr>
        <w:rPr>
          <w:rStyle w:val="AERbody"/>
        </w:rPr>
      </w:pPr>
      <w:r w:rsidRPr="009062F9">
        <w:rPr>
          <w:rStyle w:val="AERbody"/>
        </w:rPr>
        <w:fldChar w:fldCharType="begin"/>
      </w:r>
      <w:r w:rsidRPr="009062F9">
        <w:rPr>
          <w:rStyle w:val="AERbody"/>
        </w:rPr>
        <w:instrText xml:space="preserve"> REF _Ref424748132 \h </w:instrText>
      </w:r>
      <w:r w:rsidR="00D019F4">
        <w:rPr>
          <w:rStyle w:val="AERbody"/>
        </w:rPr>
        <w:instrText xml:space="preserve"> \* MERGEFORMAT </w:instrText>
      </w:r>
      <w:r w:rsidRPr="009062F9">
        <w:rPr>
          <w:rStyle w:val="AERbody"/>
        </w:rPr>
      </w:r>
      <w:r w:rsidRPr="009062F9">
        <w:rPr>
          <w:rStyle w:val="AERbody"/>
        </w:rPr>
        <w:fldChar w:fldCharType="separate"/>
      </w:r>
      <w:r w:rsidR="00D019F4" w:rsidRPr="00D019F4">
        <w:rPr>
          <w:rStyle w:val="AERbody"/>
        </w:rPr>
        <w:t>Table 6.2</w:t>
      </w:r>
      <w:r w:rsidRPr="009062F9">
        <w:rPr>
          <w:rStyle w:val="AERbody"/>
        </w:rPr>
        <w:fldChar w:fldCharType="end"/>
      </w:r>
      <w:r w:rsidR="005C44D0" w:rsidRPr="009062F9">
        <w:rPr>
          <w:rStyle w:val="AERbody"/>
        </w:rPr>
        <w:t xml:space="preserve"> shows</w:t>
      </w:r>
      <w:r w:rsidR="004D34ED" w:rsidRPr="009062F9">
        <w:rPr>
          <w:rStyle w:val="AERbody"/>
        </w:rPr>
        <w:t xml:space="preserve"> our</w:t>
      </w:r>
      <w:r w:rsidR="005C44D0" w:rsidRPr="009062F9">
        <w:rPr>
          <w:rStyle w:val="AERbody"/>
        </w:rPr>
        <w:t xml:space="preserve"> approved capex for the </w:t>
      </w:r>
      <w:r w:rsidR="001D790F" w:rsidRPr="009062F9">
        <w:rPr>
          <w:rStyle w:val="AERbody"/>
        </w:rPr>
        <w:t xml:space="preserve">2016–21 </w:t>
      </w:r>
      <w:r w:rsidR="005C44D0" w:rsidRPr="009062F9">
        <w:rPr>
          <w:rStyle w:val="AERbody"/>
        </w:rPr>
        <w:t xml:space="preserve">access arrangement </w:t>
      </w:r>
      <w:proofErr w:type="gramStart"/>
      <w:r w:rsidR="005C44D0" w:rsidRPr="009062F9">
        <w:rPr>
          <w:rStyle w:val="AERbody"/>
        </w:rPr>
        <w:t>period</w:t>
      </w:r>
      <w:proofErr w:type="gramEnd"/>
      <w:r w:rsidR="005C44D0" w:rsidRPr="009062F9">
        <w:rPr>
          <w:rStyle w:val="AERbody"/>
        </w:rPr>
        <w:t xml:space="preserve"> by category.</w:t>
      </w:r>
    </w:p>
    <w:p w:rsidR="00414154" w:rsidRDefault="00414154" w:rsidP="00414154">
      <w:pPr>
        <w:pStyle w:val="Caption"/>
      </w:pPr>
      <w:bookmarkStart w:id="16" w:name="_Ref435695435"/>
      <w:bookmarkStart w:id="17" w:name="_Ref424748132"/>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2</w:t>
      </w:r>
      <w:r w:rsidR="00D754F0">
        <w:rPr>
          <w:noProof/>
        </w:rPr>
        <w:fldChar w:fldCharType="end"/>
      </w:r>
      <w:bookmarkEnd w:id="16"/>
      <w:bookmarkEnd w:id="17"/>
      <w:r>
        <w:tab/>
      </w:r>
      <w:r w:rsidR="00104FA4" w:rsidRPr="00EB0E3D">
        <w:t>AER approved capital expenditure by category over the 201</w:t>
      </w:r>
      <w:r w:rsidR="0019108A">
        <w:t>6</w:t>
      </w:r>
      <w:r w:rsidR="00104FA4" w:rsidRPr="00EB0E3D">
        <w:t>–</w:t>
      </w:r>
      <w:r w:rsidR="00104FA4">
        <w:t>2</w:t>
      </w:r>
      <w:r w:rsidR="0019108A">
        <w:t>1</w:t>
      </w:r>
      <w:r w:rsidR="00104FA4" w:rsidRPr="00EB0E3D">
        <w:t xml:space="preserve"> access a</w:t>
      </w:r>
      <w:r w:rsidR="00104FA4">
        <w:t>rrangement period</w:t>
      </w:r>
      <w:r w:rsidRPr="00EE71BA">
        <w:t xml:space="preserve"> ($million, 201</w:t>
      </w:r>
      <w:r w:rsidR="00C976E7">
        <w:t>4–15</w:t>
      </w:r>
      <w:r w:rsidRPr="00EE71BA">
        <w:t>)</w:t>
      </w:r>
    </w:p>
    <w:tbl>
      <w:tblPr>
        <w:tblW w:w="5000" w:type="pct"/>
        <w:tblLook w:val="04A0" w:firstRow="1" w:lastRow="0" w:firstColumn="1" w:lastColumn="0" w:noHBand="0" w:noVBand="1"/>
      </w:tblPr>
      <w:tblGrid>
        <w:gridCol w:w="2369"/>
        <w:gridCol w:w="1054"/>
        <w:gridCol w:w="1054"/>
        <w:gridCol w:w="1054"/>
        <w:gridCol w:w="1054"/>
        <w:gridCol w:w="1054"/>
        <w:gridCol w:w="1054"/>
      </w:tblGrid>
      <w:tr w:rsidR="006250CD" w:rsidRPr="006250CD" w:rsidTr="00616B1C">
        <w:trPr>
          <w:trHeight w:val="480"/>
        </w:trPr>
        <w:tc>
          <w:tcPr>
            <w:tcW w:w="1363"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rPr>
                <w:rFonts w:eastAsia="Times New Roman" w:cs="Arial"/>
                <w:b/>
                <w:bCs/>
                <w:color w:val="FFFFFF"/>
                <w:sz w:val="16"/>
                <w:szCs w:val="16"/>
                <w:lang w:eastAsia="en-AU"/>
              </w:rPr>
            </w:pPr>
            <w:r w:rsidRPr="006250CD">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2016–17</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2017–18</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2018–19</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2019–20</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2020–21</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Total</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Mains replacement</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33.5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33.5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33.5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33.5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33.5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167.7</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Meter replacement</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4.2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4.0</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3.7</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2.9</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2.3</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17.1</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Augmentation</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0.6</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0.5</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1.7</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0.2</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4.1</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Telemetry</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0.3</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0.1</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1.1</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Regulators</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2.1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2.1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2.3</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2.3</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2.1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11.0</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IT</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9.1</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13.3</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8.0</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2.6</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4.8</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37.9</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3A3495" w:rsidRDefault="00846DAB" w:rsidP="006250CD">
            <w:pPr>
              <w:spacing w:before="0" w:line="240" w:lineRule="auto"/>
              <w:ind w:firstLineChars="100" w:firstLine="160"/>
              <w:rPr>
                <w:rFonts w:eastAsia="Times New Roman" w:cs="Arial"/>
                <w:color w:val="000000"/>
                <w:sz w:val="16"/>
                <w:szCs w:val="16"/>
                <w:vertAlign w:val="superscript"/>
                <w:lang w:eastAsia="en-AU"/>
              </w:rPr>
            </w:pPr>
            <w:r w:rsidRPr="006250CD">
              <w:rPr>
                <w:rFonts w:eastAsia="Times New Roman" w:cs="Arial"/>
                <w:color w:val="000000"/>
                <w:sz w:val="16"/>
                <w:szCs w:val="16"/>
                <w:lang w:eastAsia="en-AU"/>
              </w:rPr>
              <w:t>Growth assets</w:t>
            </w:r>
            <w:r w:rsidR="003A3495">
              <w:rPr>
                <w:rFonts w:eastAsia="Times New Roman" w:cs="Arial"/>
                <w:color w:val="000000"/>
                <w:sz w:val="16"/>
                <w:szCs w:val="16"/>
                <w:vertAlign w:val="superscript"/>
                <w:lang w:eastAsia="en-AU"/>
              </w:rPr>
              <w:t>a</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17.0</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16.1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16.9</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17.6</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17.8</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85.4</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distribution system</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2.0</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2.0</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1.9</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1.9</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10.0</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6250CD" w:rsidRDefault="00846DAB">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non</w:t>
            </w:r>
            <w:r w:rsidR="00E34C0D">
              <w:rPr>
                <w:rFonts w:eastAsia="Times New Roman" w:cs="Arial"/>
                <w:color w:val="000000"/>
                <w:sz w:val="16"/>
                <w:szCs w:val="16"/>
                <w:lang w:eastAsia="en-AU"/>
              </w:rPr>
              <w:t>–</w:t>
            </w:r>
            <w:r w:rsidRPr="006250CD">
              <w:rPr>
                <w:rFonts w:eastAsia="Times New Roman" w:cs="Arial"/>
                <w:color w:val="000000"/>
                <w:sz w:val="16"/>
                <w:szCs w:val="16"/>
                <w:lang w:eastAsia="en-AU"/>
              </w:rPr>
              <w:t>distribution system</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1.3</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1.0</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0.9</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0.9</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0.9</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color w:val="000000"/>
                <w:sz w:val="16"/>
                <w:szCs w:val="24"/>
              </w:rPr>
            </w:pPr>
            <w:r w:rsidRPr="00846DAB">
              <w:rPr>
                <w:rFonts w:cs="Arial"/>
                <w:color w:val="000000"/>
                <w:sz w:val="16"/>
              </w:rPr>
              <w:t>5.0</w:t>
            </w:r>
          </w:p>
        </w:tc>
      </w:tr>
      <w:tr w:rsidR="00846DAB" w:rsidRPr="006250CD" w:rsidTr="00616B1C">
        <w:trPr>
          <w:trHeight w:val="450"/>
        </w:trPr>
        <w:tc>
          <w:tcPr>
            <w:tcW w:w="1363" w:type="pct"/>
            <w:tcBorders>
              <w:top w:val="nil"/>
              <w:left w:val="nil"/>
              <w:bottom w:val="nil"/>
              <w:right w:val="nil"/>
            </w:tcBorders>
            <w:shd w:val="clear" w:color="000000" w:fill="DBE5F1"/>
            <w:vAlign w:val="center"/>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Pr>
                <w:rFonts w:eastAsia="Times New Roman" w:cs="Arial"/>
                <w:color w:val="000000"/>
                <w:sz w:val="16"/>
                <w:szCs w:val="16"/>
                <w:lang w:eastAsia="en-AU"/>
              </w:rPr>
              <w:t>Escalation</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0.4</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0.8</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1.3</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1.8</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2.7</w:t>
            </w:r>
          </w:p>
        </w:tc>
        <w:tc>
          <w:tcPr>
            <w:tcW w:w="606" w:type="pct"/>
            <w:tcBorders>
              <w:top w:val="nil"/>
              <w:left w:val="nil"/>
              <w:bottom w:val="nil"/>
              <w:right w:val="nil"/>
            </w:tcBorders>
            <w:shd w:val="clear" w:color="000000" w:fill="DBE5F1"/>
            <w:vAlign w:val="center"/>
          </w:tcPr>
          <w:p w:rsidR="00846DAB" w:rsidRPr="00846DAB" w:rsidRDefault="00846DAB" w:rsidP="00846DAB">
            <w:pPr>
              <w:rPr>
                <w:rFonts w:cs="Arial"/>
                <w:color w:val="000000"/>
                <w:sz w:val="16"/>
                <w:szCs w:val="24"/>
              </w:rPr>
            </w:pPr>
            <w:r w:rsidRPr="00846DAB">
              <w:rPr>
                <w:rFonts w:cs="Arial"/>
                <w:color w:val="000000"/>
                <w:sz w:val="16"/>
              </w:rPr>
              <w:t>7.0</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Overheads</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9.4</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9.8</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9.4</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9.2</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9.0</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46.8</w:t>
            </w:r>
          </w:p>
        </w:tc>
      </w:tr>
      <w:tr w:rsidR="00846DAB" w:rsidRPr="006250CD" w:rsidTr="00616B1C">
        <w:trPr>
          <w:trHeight w:val="450"/>
        </w:trPr>
        <w:tc>
          <w:tcPr>
            <w:tcW w:w="1363" w:type="pct"/>
            <w:tcBorders>
              <w:top w:val="nil"/>
              <w:left w:val="nil"/>
              <w:bottom w:val="nil"/>
              <w:right w:val="nil"/>
            </w:tcBorders>
            <w:shd w:val="clear" w:color="auto" w:fill="auto"/>
            <w:vAlign w:val="center"/>
            <w:hideMark/>
          </w:tcPr>
          <w:p w:rsidR="00846DAB" w:rsidRPr="006250CD" w:rsidRDefault="00846DAB"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NET TOTAL CAPITAL EXPENDITURE</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80.1</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83.4</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79.4</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74.7</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75.4</w:t>
            </w:r>
          </w:p>
        </w:tc>
        <w:tc>
          <w:tcPr>
            <w:tcW w:w="606" w:type="pct"/>
            <w:tcBorders>
              <w:top w:val="nil"/>
              <w:left w:val="nil"/>
              <w:bottom w:val="nil"/>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393.0</w:t>
            </w:r>
          </w:p>
        </w:tc>
      </w:tr>
      <w:tr w:rsidR="00846DAB" w:rsidRPr="006250CD" w:rsidTr="00616B1C">
        <w:trPr>
          <w:trHeight w:val="450"/>
        </w:trPr>
        <w:tc>
          <w:tcPr>
            <w:tcW w:w="1363" w:type="pct"/>
            <w:tcBorders>
              <w:top w:val="nil"/>
              <w:left w:val="nil"/>
              <w:bottom w:val="nil"/>
              <w:right w:val="nil"/>
            </w:tcBorders>
            <w:shd w:val="clear" w:color="000000" w:fill="DBE5F1"/>
            <w:vAlign w:val="center"/>
            <w:hideMark/>
          </w:tcPr>
          <w:p w:rsidR="00846DAB" w:rsidRPr="006250CD" w:rsidRDefault="00846DAB"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Contributions</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0.6</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0.7</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0.7</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0.9</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0.7</w:t>
            </w:r>
          </w:p>
        </w:tc>
        <w:tc>
          <w:tcPr>
            <w:tcW w:w="606" w:type="pct"/>
            <w:tcBorders>
              <w:top w:val="nil"/>
              <w:left w:val="nil"/>
              <w:bottom w:val="nil"/>
              <w:right w:val="nil"/>
            </w:tcBorders>
            <w:shd w:val="clear" w:color="000000" w:fill="DBE5F1"/>
            <w:vAlign w:val="center"/>
            <w:hideMark/>
          </w:tcPr>
          <w:p w:rsidR="00846DAB" w:rsidRPr="00846DAB" w:rsidRDefault="00846DAB" w:rsidP="00846DAB">
            <w:pPr>
              <w:rPr>
                <w:rFonts w:cs="Arial"/>
                <w:color w:val="000000"/>
                <w:sz w:val="16"/>
                <w:szCs w:val="24"/>
              </w:rPr>
            </w:pPr>
            <w:r w:rsidRPr="00846DAB">
              <w:rPr>
                <w:rFonts w:cs="Arial"/>
                <w:color w:val="000000"/>
                <w:sz w:val="16"/>
              </w:rPr>
              <w:t>3.6</w:t>
            </w:r>
          </w:p>
        </w:tc>
      </w:tr>
      <w:tr w:rsidR="00846DAB" w:rsidRPr="006250CD" w:rsidTr="00616B1C">
        <w:trPr>
          <w:trHeight w:val="450"/>
        </w:trPr>
        <w:tc>
          <w:tcPr>
            <w:tcW w:w="1363" w:type="pct"/>
            <w:tcBorders>
              <w:top w:val="nil"/>
              <w:left w:val="nil"/>
              <w:bottom w:val="single" w:sz="8" w:space="0" w:color="1F497D"/>
              <w:right w:val="nil"/>
            </w:tcBorders>
            <w:shd w:val="clear" w:color="auto" w:fill="auto"/>
            <w:vAlign w:val="center"/>
            <w:hideMark/>
          </w:tcPr>
          <w:p w:rsidR="00846DAB" w:rsidRPr="006250CD" w:rsidRDefault="00846DAB"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GROSS TOTAL CAPITAL EXPENDITURE</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80.7</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84.1</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80.1</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75.6</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76.1</w:t>
            </w:r>
          </w:p>
        </w:tc>
        <w:tc>
          <w:tcPr>
            <w:tcW w:w="606" w:type="pct"/>
            <w:tcBorders>
              <w:top w:val="nil"/>
              <w:left w:val="nil"/>
              <w:bottom w:val="single" w:sz="8" w:space="0" w:color="1F497D"/>
              <w:right w:val="nil"/>
            </w:tcBorders>
            <w:shd w:val="clear" w:color="auto" w:fill="auto"/>
            <w:vAlign w:val="center"/>
            <w:hideMark/>
          </w:tcPr>
          <w:p w:rsidR="00846DAB" w:rsidRPr="00846DAB" w:rsidRDefault="00846DAB" w:rsidP="00846DAB">
            <w:pPr>
              <w:rPr>
                <w:rFonts w:cs="Arial"/>
                <w:b/>
                <w:bCs/>
                <w:color w:val="000000"/>
                <w:sz w:val="16"/>
                <w:szCs w:val="24"/>
              </w:rPr>
            </w:pPr>
            <w:r w:rsidRPr="00846DAB">
              <w:rPr>
                <w:rFonts w:cs="Arial"/>
                <w:b/>
                <w:bCs/>
                <w:color w:val="000000"/>
                <w:sz w:val="16"/>
              </w:rPr>
              <w:t>396.6</w:t>
            </w:r>
          </w:p>
        </w:tc>
      </w:tr>
    </w:tbl>
    <w:p w:rsidR="00104FA4" w:rsidRDefault="00414154" w:rsidP="00414154">
      <w:pPr>
        <w:pStyle w:val="AERtablesource"/>
        <w:numPr>
          <w:ilvl w:val="0"/>
          <w:numId w:val="24"/>
        </w:numPr>
      </w:pPr>
      <w:r w:rsidRPr="00F61681">
        <w:t>Source:</w:t>
      </w:r>
      <w:r w:rsidRPr="00F61681">
        <w:tab/>
        <w:t>AER analysis.</w:t>
      </w:r>
      <w:r w:rsidR="00104FA4" w:rsidRPr="00104FA4">
        <w:t xml:space="preserve"> </w:t>
      </w:r>
    </w:p>
    <w:p w:rsidR="003A3495" w:rsidRPr="003A3495" w:rsidRDefault="003A3495" w:rsidP="003A3495">
      <w:pPr>
        <w:pStyle w:val="AERtablesource"/>
        <w:numPr>
          <w:ilvl w:val="0"/>
          <w:numId w:val="24"/>
        </w:numPr>
      </w:pPr>
      <w:r>
        <w:t xml:space="preserve">Notes: </w:t>
      </w:r>
      <w:r w:rsidR="003A49D5">
        <w:tab/>
      </w:r>
      <w:r>
        <w:t>(a)</w:t>
      </w:r>
      <w:r>
        <w:tab/>
        <w:t>AGN proposed growth assets capex as net capex</w:t>
      </w:r>
      <w:r w:rsidR="00CF5E4A">
        <w:t>.</w:t>
      </w:r>
    </w:p>
    <w:p w:rsidR="00583B28" w:rsidRDefault="00D019F4" w:rsidP="002574C2">
      <w:pPr>
        <w:numPr>
          <w:ilvl w:val="0"/>
          <w:numId w:val="24"/>
        </w:numPr>
        <w:spacing w:before="0" w:after="240" w:line="288" w:lineRule="auto"/>
        <w:jc w:val="both"/>
      </w:pPr>
      <w:r>
        <w:rPr>
          <w:rFonts w:eastAsia="Calibri"/>
        </w:rPr>
        <w:fldChar w:fldCharType="begin"/>
      </w:r>
      <w:r>
        <w:rPr>
          <w:rFonts w:eastAsia="Calibri"/>
        </w:rPr>
        <w:instrText xml:space="preserve"> REF _Ref435530998 \h </w:instrText>
      </w:r>
      <w:r>
        <w:rPr>
          <w:rFonts w:eastAsia="Calibri"/>
        </w:rPr>
      </w:r>
      <w:r>
        <w:rPr>
          <w:rFonts w:eastAsia="Calibri"/>
        </w:rPr>
        <w:fldChar w:fldCharType="separate"/>
      </w:r>
      <w:r w:rsidRPr="0006566A">
        <w:t>Table</w:t>
      </w:r>
      <w:r>
        <w:t xml:space="preserve"> </w:t>
      </w:r>
      <w:r>
        <w:rPr>
          <w:noProof/>
        </w:rPr>
        <w:t>6</w:t>
      </w:r>
      <w:r>
        <w:t>.</w:t>
      </w:r>
      <w:r>
        <w:rPr>
          <w:noProof/>
        </w:rPr>
        <w:t>3</w:t>
      </w:r>
      <w:r>
        <w:rPr>
          <w:rFonts w:eastAsia="Calibri"/>
        </w:rPr>
        <w:fldChar w:fldCharType="end"/>
      </w:r>
      <w:r w:rsidR="00DE565A" w:rsidRPr="00E74CF1">
        <w:rPr>
          <w:rFonts w:eastAsia="Calibri"/>
        </w:rPr>
        <w:t xml:space="preserve"> shows AGN's proposed capex compared with </w:t>
      </w:r>
      <w:r w:rsidR="00AA53B3">
        <w:rPr>
          <w:rFonts w:eastAsia="Calibri"/>
        </w:rPr>
        <w:t>our alternative capex estimate</w:t>
      </w:r>
      <w:r w:rsidR="00DE565A" w:rsidRPr="00E74CF1">
        <w:rPr>
          <w:rFonts w:eastAsia="Calibri"/>
        </w:rPr>
        <w:t xml:space="preserve"> for each category</w:t>
      </w:r>
      <w:r w:rsidR="00DE565A" w:rsidRPr="00F02D48">
        <w:rPr>
          <w:rFonts w:eastAsia="Calibri"/>
        </w:rPr>
        <w:t>.</w:t>
      </w:r>
      <w:r w:rsidR="004D34ED" w:rsidRPr="00F02D48">
        <w:rPr>
          <w:rFonts w:eastAsia="Calibri"/>
        </w:rPr>
        <w:t xml:space="preserve"> </w:t>
      </w:r>
      <w:bookmarkStart w:id="18" w:name="_Ref424748713"/>
      <w:r w:rsidR="00F02D48" w:rsidRPr="0006566A">
        <w:t>I</w:t>
      </w:r>
      <w:r w:rsidR="00583B28" w:rsidRPr="00F02D48">
        <w:t>n coming to our position, we assessed AGN’s forecast capex taking into account the available evidence</w:t>
      </w:r>
      <w:r w:rsidR="00C64EBF">
        <w:t xml:space="preserve"> and submissions from stakeholders</w:t>
      </w:r>
      <w:r w:rsidR="00583B28" w:rsidRPr="00F02D48">
        <w:t>.</w:t>
      </w:r>
      <w:r w:rsidR="00583B28" w:rsidRPr="00B04258">
        <w:t xml:space="preserve"> </w:t>
      </w:r>
    </w:p>
    <w:p w:rsidR="00583B28" w:rsidRDefault="00583B28" w:rsidP="00583B28">
      <w:pPr>
        <w:numPr>
          <w:ilvl w:val="0"/>
          <w:numId w:val="24"/>
        </w:numPr>
      </w:pPr>
      <w:r w:rsidRPr="00B04258">
        <w:t xml:space="preserve">The outcomes of </w:t>
      </w:r>
      <w:r>
        <w:t>our assessment</w:t>
      </w:r>
      <w:r w:rsidRPr="00B04258">
        <w:t xml:space="preserve"> revealed that some aspects of </w:t>
      </w:r>
      <w:r>
        <w:t>AGN’s</w:t>
      </w:r>
      <w:r w:rsidRPr="00B04258">
        <w:t xml:space="preserve"> proposal</w:t>
      </w:r>
      <w:r>
        <w:t xml:space="preserve"> such as capex for meter replacement and telemetry </w:t>
      </w:r>
      <w:r w:rsidR="00F02D48">
        <w:t>are</w:t>
      </w:r>
      <w:r w:rsidR="00F02D48" w:rsidRPr="00B04258">
        <w:t xml:space="preserve"> </w:t>
      </w:r>
      <w:r w:rsidRPr="00B04258">
        <w:t>consistent with the N</w:t>
      </w:r>
      <w:r>
        <w:t>G</w:t>
      </w:r>
      <w:r w:rsidRPr="00B04258">
        <w:t>R requirements</w:t>
      </w:r>
      <w:r w:rsidR="006D447C">
        <w:t>. That is,</w:t>
      </w:r>
      <w:r w:rsidRPr="00B04258">
        <w:t xml:space="preserve"> </w:t>
      </w:r>
      <w:r>
        <w:t>the proposed expenditures are justified and would be incurred by a prudent service provider acting efficiently, in accordance with accepted good industry practice, to achieve the lowest sustainable cost of providing services</w:t>
      </w:r>
      <w:r w:rsidRPr="00B04258">
        <w:t>. </w:t>
      </w:r>
    </w:p>
    <w:p w:rsidR="00583B28" w:rsidRDefault="00C64EBF" w:rsidP="00583B28">
      <w:pPr>
        <w:numPr>
          <w:ilvl w:val="0"/>
          <w:numId w:val="24"/>
        </w:numPr>
      </w:pPr>
      <w:r>
        <w:t>In contrast, w</w:t>
      </w:r>
      <w:r w:rsidR="00583B28" w:rsidRPr="00B04258">
        <w:t xml:space="preserve">e found that other aspects of </w:t>
      </w:r>
      <w:r w:rsidR="00583B28">
        <w:t xml:space="preserve">AGN’s </w:t>
      </w:r>
      <w:r w:rsidR="00583B28" w:rsidRPr="00B04258">
        <w:t>proposal</w:t>
      </w:r>
      <w:r w:rsidR="00583B28">
        <w:t>, in particular, its proposed capex for connections, IT and mains replacement program, did not meet the</w:t>
      </w:r>
      <w:r w:rsidR="00583B28" w:rsidRPr="00B04258">
        <w:t xml:space="preserve"> N</w:t>
      </w:r>
      <w:r w:rsidR="00583B28">
        <w:t>G</w:t>
      </w:r>
      <w:r w:rsidR="00583B28" w:rsidRPr="00B04258">
        <w:t>R</w:t>
      </w:r>
      <w:r w:rsidR="00583B28">
        <w:t xml:space="preserve"> requirements.</w:t>
      </w:r>
      <w:r>
        <w:t xml:space="preserve"> As such we have not approved them in this draft decision. It is open to AGN to provide further information in its revised proposed access arrangement to address these shortfalls.</w:t>
      </w:r>
    </w:p>
    <w:p w:rsidR="00DE565A" w:rsidRPr="00333A31" w:rsidRDefault="00DE565A" w:rsidP="006D447C">
      <w:pPr>
        <w:pStyle w:val="Tabletitle"/>
      </w:pPr>
      <w:bookmarkStart w:id="19" w:name="_Ref435530998"/>
      <w:proofErr w:type="gramStart"/>
      <w:r w:rsidRPr="0006566A">
        <w:t>Table</w:t>
      </w:r>
      <w:r>
        <w:t xml:space="preserv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3</w:t>
      </w:r>
      <w:r w:rsidR="00D754F0">
        <w:rPr>
          <w:noProof/>
        </w:rPr>
        <w:fldChar w:fldCharType="end"/>
      </w:r>
      <w:bookmarkEnd w:id="18"/>
      <w:bookmarkEnd w:id="19"/>
      <w:r>
        <w:tab/>
      </w:r>
      <w:r w:rsidRPr="00A4447D">
        <w:t xml:space="preserve">Comparison of AER approved and </w:t>
      </w:r>
      <w:r w:rsidR="00E328FF">
        <w:t>A</w:t>
      </w:r>
      <w:r>
        <w:t>GN</w:t>
      </w:r>
      <w:r w:rsidRPr="00A4447D">
        <w:t>'s proposed capital expenditure over the 201</w:t>
      </w:r>
      <w:r>
        <w:t>6–21</w:t>
      </w:r>
      <w:r w:rsidRPr="00A4447D">
        <w:t xml:space="preserve"> access arrangement period ($million, 201</w:t>
      </w:r>
      <w:r w:rsidR="00DE09E7">
        <w:t>4–15</w:t>
      </w:r>
      <w:r w:rsidRPr="00A4447D">
        <w:t>)</w:t>
      </w:r>
    </w:p>
    <w:tbl>
      <w:tblPr>
        <w:tblW w:w="4791" w:type="pct"/>
        <w:tblLook w:val="04A0" w:firstRow="1" w:lastRow="0" w:firstColumn="1" w:lastColumn="0" w:noHBand="0" w:noVBand="1"/>
      </w:tblPr>
      <w:tblGrid>
        <w:gridCol w:w="3126"/>
        <w:gridCol w:w="1660"/>
        <w:gridCol w:w="1560"/>
        <w:gridCol w:w="1984"/>
      </w:tblGrid>
      <w:tr w:rsidR="0006566A" w:rsidRPr="006250CD" w:rsidTr="0006566A">
        <w:trPr>
          <w:trHeight w:val="705"/>
        </w:trPr>
        <w:tc>
          <w:tcPr>
            <w:tcW w:w="1876" w:type="pct"/>
            <w:tcBorders>
              <w:top w:val="nil"/>
              <w:left w:val="nil"/>
              <w:bottom w:val="nil"/>
              <w:right w:val="nil"/>
            </w:tcBorders>
            <w:shd w:val="clear" w:color="000000" w:fill="365F91"/>
            <w:vAlign w:val="center"/>
            <w:hideMark/>
          </w:tcPr>
          <w:p w:rsidR="0006566A" w:rsidRPr="006250CD" w:rsidRDefault="0006566A" w:rsidP="006250CD">
            <w:pPr>
              <w:spacing w:before="0" w:line="240" w:lineRule="auto"/>
              <w:rPr>
                <w:rFonts w:eastAsia="Times New Roman" w:cs="Arial"/>
                <w:b/>
                <w:bCs/>
                <w:color w:val="FFFFFF"/>
                <w:sz w:val="16"/>
                <w:szCs w:val="16"/>
                <w:lang w:eastAsia="en-AU"/>
              </w:rPr>
            </w:pPr>
            <w:r w:rsidRPr="006250CD">
              <w:rPr>
                <w:rFonts w:eastAsia="Times New Roman" w:cs="Arial"/>
                <w:b/>
                <w:bCs/>
                <w:color w:val="FFFFFF"/>
                <w:sz w:val="16"/>
                <w:szCs w:val="16"/>
                <w:lang w:eastAsia="en-AU"/>
              </w:rPr>
              <w:t> Category</w:t>
            </w:r>
          </w:p>
        </w:tc>
        <w:tc>
          <w:tcPr>
            <w:tcW w:w="996" w:type="pct"/>
            <w:tcBorders>
              <w:top w:val="nil"/>
              <w:left w:val="nil"/>
              <w:bottom w:val="nil"/>
              <w:right w:val="nil"/>
            </w:tcBorders>
            <w:shd w:val="clear" w:color="000000" w:fill="365F91"/>
            <w:vAlign w:val="center"/>
            <w:hideMark/>
          </w:tcPr>
          <w:p w:rsidR="0006566A" w:rsidRPr="006250CD" w:rsidRDefault="0006566A"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Proposed</w:t>
            </w:r>
            <w:r w:rsidRPr="006250CD">
              <w:rPr>
                <w:rFonts w:eastAsia="Times New Roman" w:cs="Arial"/>
                <w:color w:val="000000"/>
                <w:sz w:val="16"/>
                <w:szCs w:val="16"/>
                <w:lang w:eastAsia="en-AU"/>
              </w:rPr>
              <w:t> </w:t>
            </w:r>
          </w:p>
        </w:tc>
        <w:tc>
          <w:tcPr>
            <w:tcW w:w="936" w:type="pct"/>
            <w:tcBorders>
              <w:top w:val="nil"/>
              <w:left w:val="nil"/>
              <w:bottom w:val="nil"/>
              <w:right w:val="nil"/>
            </w:tcBorders>
            <w:shd w:val="clear" w:color="000000" w:fill="365F91"/>
            <w:vAlign w:val="center"/>
            <w:hideMark/>
          </w:tcPr>
          <w:p w:rsidR="0006566A" w:rsidRPr="006250CD" w:rsidRDefault="0006566A"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Approved</w:t>
            </w:r>
          </w:p>
        </w:tc>
        <w:tc>
          <w:tcPr>
            <w:tcW w:w="1191" w:type="pct"/>
            <w:tcBorders>
              <w:top w:val="nil"/>
              <w:left w:val="nil"/>
              <w:bottom w:val="nil"/>
              <w:right w:val="nil"/>
            </w:tcBorders>
            <w:shd w:val="clear" w:color="000000" w:fill="365F91"/>
            <w:vAlign w:val="center"/>
            <w:hideMark/>
          </w:tcPr>
          <w:p w:rsidR="0006566A" w:rsidRPr="006250CD" w:rsidRDefault="0006566A"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Difference ($millions)</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Mains replacement</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369.9</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167.7</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-202.2</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Meter replacement</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17.1</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17.1</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0.0</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Augmentation</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17.9</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4.1</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-13.8</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Telemetry</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1.1</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1.1</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0.0</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Regulators</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13.6</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11.0</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-2.7</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IT</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59.7</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37.9</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-21.8</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3A3495" w:rsidRDefault="00EA1DB3" w:rsidP="006250CD">
            <w:pPr>
              <w:spacing w:before="0" w:line="240" w:lineRule="auto"/>
              <w:ind w:firstLineChars="100" w:firstLine="160"/>
              <w:rPr>
                <w:rFonts w:eastAsia="Times New Roman" w:cs="Arial"/>
                <w:color w:val="000000"/>
                <w:sz w:val="16"/>
                <w:szCs w:val="16"/>
                <w:vertAlign w:val="superscript"/>
                <w:lang w:eastAsia="en-AU"/>
              </w:rPr>
            </w:pPr>
            <w:r w:rsidRPr="006250CD">
              <w:rPr>
                <w:rFonts w:eastAsia="Times New Roman" w:cs="Arial"/>
                <w:color w:val="000000"/>
                <w:sz w:val="16"/>
                <w:szCs w:val="16"/>
                <w:lang w:eastAsia="en-AU"/>
              </w:rPr>
              <w:t>Growth assets</w:t>
            </w:r>
            <w:r w:rsidR="003A3495">
              <w:rPr>
                <w:rFonts w:eastAsia="Times New Roman" w:cs="Arial"/>
                <w:color w:val="000000"/>
                <w:sz w:val="16"/>
                <w:szCs w:val="16"/>
                <w:vertAlign w:val="superscript"/>
                <w:lang w:eastAsia="en-AU"/>
              </w:rPr>
              <w:t>a</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90.6</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85.4</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-5.2</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distribution system</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37.0</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10.0</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-26.9</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non-distribution system</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5.0</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5.0</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color w:val="000000"/>
                <w:sz w:val="16"/>
                <w:szCs w:val="24"/>
              </w:rPr>
            </w:pPr>
            <w:r w:rsidRPr="00EA1DB3">
              <w:rPr>
                <w:rFonts w:cs="Arial"/>
                <w:color w:val="000000"/>
                <w:sz w:val="16"/>
              </w:rPr>
              <w:t>0.0</w:t>
            </w:r>
          </w:p>
        </w:tc>
      </w:tr>
      <w:tr w:rsidR="00EA1DB3" w:rsidRPr="006250CD" w:rsidTr="0006566A">
        <w:trPr>
          <w:trHeight w:val="450"/>
        </w:trPr>
        <w:tc>
          <w:tcPr>
            <w:tcW w:w="1876" w:type="pct"/>
            <w:tcBorders>
              <w:top w:val="nil"/>
              <w:left w:val="nil"/>
              <w:bottom w:val="nil"/>
              <w:right w:val="nil"/>
            </w:tcBorders>
            <w:shd w:val="clear" w:color="000000" w:fill="DBE5F1"/>
            <w:vAlign w:val="center"/>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Pr>
                <w:rFonts w:eastAsia="Times New Roman" w:cs="Arial"/>
                <w:color w:val="000000"/>
                <w:sz w:val="16"/>
                <w:szCs w:val="16"/>
                <w:lang w:eastAsia="en-AU"/>
              </w:rPr>
              <w:t>Escalation</w:t>
            </w:r>
          </w:p>
        </w:tc>
        <w:tc>
          <w:tcPr>
            <w:tcW w:w="996" w:type="pct"/>
            <w:tcBorders>
              <w:top w:val="nil"/>
              <w:left w:val="nil"/>
              <w:bottom w:val="nil"/>
              <w:right w:val="nil"/>
            </w:tcBorders>
            <w:shd w:val="clear" w:color="000000" w:fill="DBE5F1"/>
            <w:vAlign w:val="center"/>
          </w:tcPr>
          <w:p w:rsidR="00EA1DB3" w:rsidRPr="00EA1DB3" w:rsidRDefault="00EA1DB3" w:rsidP="00EA1DB3">
            <w:pPr>
              <w:rPr>
                <w:rFonts w:cs="Arial"/>
                <w:color w:val="000000"/>
                <w:sz w:val="16"/>
                <w:szCs w:val="24"/>
              </w:rPr>
            </w:pPr>
            <w:r w:rsidRPr="00EA1DB3">
              <w:rPr>
                <w:rFonts w:cs="Arial"/>
                <w:color w:val="000000"/>
                <w:sz w:val="16"/>
              </w:rPr>
              <w:t>14.9</w:t>
            </w:r>
          </w:p>
        </w:tc>
        <w:tc>
          <w:tcPr>
            <w:tcW w:w="936" w:type="pct"/>
            <w:tcBorders>
              <w:top w:val="nil"/>
              <w:left w:val="nil"/>
              <w:bottom w:val="nil"/>
              <w:right w:val="nil"/>
            </w:tcBorders>
            <w:shd w:val="clear" w:color="000000" w:fill="DBE5F1"/>
            <w:vAlign w:val="center"/>
          </w:tcPr>
          <w:p w:rsidR="00EA1DB3" w:rsidRPr="00EA1DB3" w:rsidRDefault="00EA1DB3" w:rsidP="00EA1DB3">
            <w:pPr>
              <w:rPr>
                <w:rFonts w:cs="Arial"/>
                <w:color w:val="000000"/>
                <w:sz w:val="16"/>
                <w:szCs w:val="24"/>
              </w:rPr>
            </w:pPr>
            <w:r w:rsidRPr="00EA1DB3">
              <w:rPr>
                <w:rFonts w:cs="Arial"/>
                <w:color w:val="000000"/>
                <w:sz w:val="16"/>
              </w:rPr>
              <w:t>7.0</w:t>
            </w:r>
          </w:p>
        </w:tc>
        <w:tc>
          <w:tcPr>
            <w:tcW w:w="1191" w:type="pct"/>
            <w:tcBorders>
              <w:top w:val="nil"/>
              <w:left w:val="nil"/>
              <w:bottom w:val="nil"/>
              <w:right w:val="nil"/>
            </w:tcBorders>
            <w:shd w:val="clear" w:color="000000" w:fill="DBE5F1"/>
            <w:vAlign w:val="center"/>
          </w:tcPr>
          <w:p w:rsidR="00EA1DB3" w:rsidRPr="00EA1DB3" w:rsidRDefault="00EA1DB3" w:rsidP="00EA1DB3">
            <w:pPr>
              <w:rPr>
                <w:rFonts w:cs="Arial"/>
                <w:color w:val="000000"/>
                <w:sz w:val="16"/>
                <w:szCs w:val="24"/>
              </w:rPr>
            </w:pPr>
            <w:r w:rsidRPr="00EA1DB3">
              <w:rPr>
                <w:rFonts w:cs="Arial"/>
                <w:color w:val="000000"/>
                <w:sz w:val="16"/>
              </w:rPr>
              <w:t>-7.9</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Overheads</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60.4</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46.8</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-13.7</w:t>
            </w:r>
          </w:p>
        </w:tc>
      </w:tr>
      <w:tr w:rsidR="00EA1DB3" w:rsidRPr="006250CD" w:rsidTr="0006566A">
        <w:trPr>
          <w:trHeight w:val="450"/>
        </w:trPr>
        <w:tc>
          <w:tcPr>
            <w:tcW w:w="1876" w:type="pct"/>
            <w:tcBorders>
              <w:top w:val="nil"/>
              <w:left w:val="nil"/>
              <w:bottom w:val="nil"/>
              <w:right w:val="nil"/>
            </w:tcBorders>
            <w:shd w:val="clear" w:color="auto" w:fill="auto"/>
            <w:vAlign w:val="center"/>
            <w:hideMark/>
          </w:tcPr>
          <w:p w:rsidR="00EA1DB3" w:rsidRPr="006250CD" w:rsidRDefault="00EA1DB3"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NET TOTAL CAPITAL EXPENDITURE</w:t>
            </w:r>
          </w:p>
        </w:tc>
        <w:tc>
          <w:tcPr>
            <w:tcW w:w="996" w:type="pct"/>
            <w:tcBorders>
              <w:top w:val="nil"/>
              <w:left w:val="nil"/>
              <w:bottom w:val="nil"/>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687.3</w:t>
            </w:r>
          </w:p>
        </w:tc>
        <w:tc>
          <w:tcPr>
            <w:tcW w:w="936" w:type="pct"/>
            <w:tcBorders>
              <w:top w:val="nil"/>
              <w:left w:val="nil"/>
              <w:bottom w:val="nil"/>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393.0</w:t>
            </w:r>
          </w:p>
        </w:tc>
        <w:tc>
          <w:tcPr>
            <w:tcW w:w="1191" w:type="pct"/>
            <w:tcBorders>
              <w:top w:val="nil"/>
              <w:left w:val="nil"/>
              <w:bottom w:val="nil"/>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-294.3</w:t>
            </w:r>
          </w:p>
        </w:tc>
      </w:tr>
      <w:tr w:rsidR="00EA1DB3" w:rsidRPr="006250CD" w:rsidTr="0006566A">
        <w:trPr>
          <w:trHeight w:val="450"/>
        </w:trPr>
        <w:tc>
          <w:tcPr>
            <w:tcW w:w="1876" w:type="pct"/>
            <w:tcBorders>
              <w:top w:val="nil"/>
              <w:left w:val="nil"/>
              <w:bottom w:val="nil"/>
              <w:right w:val="nil"/>
            </w:tcBorders>
            <w:shd w:val="clear" w:color="000000" w:fill="DBE5F1"/>
            <w:vAlign w:val="center"/>
            <w:hideMark/>
          </w:tcPr>
          <w:p w:rsidR="00EA1DB3" w:rsidRPr="006250CD" w:rsidRDefault="00EA1DB3"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Contributions</w:t>
            </w:r>
          </w:p>
        </w:tc>
        <w:tc>
          <w:tcPr>
            <w:tcW w:w="99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3.6</w:t>
            </w:r>
          </w:p>
        </w:tc>
        <w:tc>
          <w:tcPr>
            <w:tcW w:w="936"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3.6</w:t>
            </w:r>
          </w:p>
        </w:tc>
        <w:tc>
          <w:tcPr>
            <w:tcW w:w="1191" w:type="pct"/>
            <w:tcBorders>
              <w:top w:val="nil"/>
              <w:left w:val="nil"/>
              <w:bottom w:val="nil"/>
              <w:right w:val="nil"/>
            </w:tcBorders>
            <w:shd w:val="clear" w:color="000000" w:fill="DBE5F1"/>
            <w:vAlign w:val="center"/>
            <w:hideMark/>
          </w:tcPr>
          <w:p w:rsidR="00EA1DB3" w:rsidRPr="00EA1DB3" w:rsidRDefault="00EA1DB3" w:rsidP="00EA1DB3">
            <w:pPr>
              <w:rPr>
                <w:rFonts w:cs="Arial"/>
                <w:color w:val="000000"/>
                <w:sz w:val="16"/>
                <w:szCs w:val="24"/>
              </w:rPr>
            </w:pPr>
            <w:r w:rsidRPr="00EA1DB3">
              <w:rPr>
                <w:rFonts w:cs="Arial"/>
                <w:color w:val="000000"/>
                <w:sz w:val="16"/>
              </w:rPr>
              <w:t>0.0</w:t>
            </w:r>
          </w:p>
        </w:tc>
      </w:tr>
      <w:tr w:rsidR="00EA1DB3" w:rsidRPr="006250CD" w:rsidTr="0006566A">
        <w:trPr>
          <w:trHeight w:val="450"/>
        </w:trPr>
        <w:tc>
          <w:tcPr>
            <w:tcW w:w="1876" w:type="pct"/>
            <w:tcBorders>
              <w:top w:val="nil"/>
              <w:left w:val="nil"/>
              <w:bottom w:val="single" w:sz="8" w:space="0" w:color="1F497D"/>
              <w:right w:val="nil"/>
            </w:tcBorders>
            <w:shd w:val="clear" w:color="auto" w:fill="auto"/>
            <w:vAlign w:val="center"/>
            <w:hideMark/>
          </w:tcPr>
          <w:p w:rsidR="00EA1DB3" w:rsidRPr="006250CD" w:rsidRDefault="00EA1DB3"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GROSS TOTAL CAPITAL EXPENDITURE</w:t>
            </w:r>
          </w:p>
        </w:tc>
        <w:tc>
          <w:tcPr>
            <w:tcW w:w="996" w:type="pct"/>
            <w:tcBorders>
              <w:top w:val="nil"/>
              <w:left w:val="nil"/>
              <w:bottom w:val="single" w:sz="8" w:space="0" w:color="1F497D"/>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690.8</w:t>
            </w:r>
          </w:p>
        </w:tc>
        <w:tc>
          <w:tcPr>
            <w:tcW w:w="936" w:type="pct"/>
            <w:tcBorders>
              <w:top w:val="nil"/>
              <w:left w:val="nil"/>
              <w:bottom w:val="single" w:sz="8" w:space="0" w:color="1F497D"/>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396.6</w:t>
            </w:r>
          </w:p>
        </w:tc>
        <w:tc>
          <w:tcPr>
            <w:tcW w:w="1191" w:type="pct"/>
            <w:tcBorders>
              <w:top w:val="nil"/>
              <w:left w:val="nil"/>
              <w:bottom w:val="single" w:sz="8" w:space="0" w:color="1F497D"/>
              <w:right w:val="nil"/>
            </w:tcBorders>
            <w:shd w:val="clear" w:color="auto" w:fill="auto"/>
            <w:vAlign w:val="center"/>
            <w:hideMark/>
          </w:tcPr>
          <w:p w:rsidR="00EA1DB3" w:rsidRPr="00EA1DB3" w:rsidRDefault="00EA1DB3" w:rsidP="00EA1DB3">
            <w:pPr>
              <w:rPr>
                <w:rFonts w:cs="Arial"/>
                <w:b/>
                <w:bCs/>
                <w:color w:val="000000"/>
                <w:sz w:val="16"/>
                <w:szCs w:val="24"/>
              </w:rPr>
            </w:pPr>
            <w:r w:rsidRPr="00EA1DB3">
              <w:rPr>
                <w:rFonts w:cs="Arial"/>
                <w:b/>
                <w:bCs/>
                <w:color w:val="000000"/>
                <w:sz w:val="16"/>
              </w:rPr>
              <w:t>-294.3</w:t>
            </w:r>
          </w:p>
        </w:tc>
      </w:tr>
    </w:tbl>
    <w:p w:rsidR="00DE565A" w:rsidRDefault="00DE565A" w:rsidP="00DE565A">
      <w:pPr>
        <w:pStyle w:val="AERtablesource"/>
      </w:pPr>
      <w:r w:rsidRPr="00DE44F6">
        <w:t>Source:</w:t>
      </w:r>
      <w:r w:rsidRPr="00DE44F6">
        <w:tab/>
        <w:t>AER analysis.</w:t>
      </w:r>
    </w:p>
    <w:p w:rsidR="003A3495" w:rsidRPr="003A3495" w:rsidRDefault="003A3495" w:rsidP="003A3495">
      <w:pPr>
        <w:pStyle w:val="AERtablesource"/>
      </w:pPr>
      <w:r>
        <w:t xml:space="preserve">Notes: </w:t>
      </w:r>
      <w:r w:rsidR="003A49D5">
        <w:tab/>
      </w:r>
      <w:r>
        <w:t>(a)</w:t>
      </w:r>
      <w:r>
        <w:tab/>
        <w:t>AGN proposed growth assets capex as net capex</w:t>
      </w:r>
      <w:r w:rsidR="00CF5E4A">
        <w:t>.</w:t>
      </w:r>
    </w:p>
    <w:p w:rsidR="00583B28" w:rsidRDefault="00583B28" w:rsidP="00554BA2">
      <w:pPr>
        <w:numPr>
          <w:ilvl w:val="0"/>
          <w:numId w:val="24"/>
        </w:numPr>
      </w:pPr>
      <w:bookmarkStart w:id="20" w:name="_Ref403468188"/>
      <w:bookmarkStart w:id="21" w:name="_Ref403468179"/>
      <w:r>
        <w:t xml:space="preserve">As can be seen in </w:t>
      </w:r>
      <w:r w:rsidR="00D019F4">
        <w:fldChar w:fldCharType="begin"/>
      </w:r>
      <w:r w:rsidR="00D019F4">
        <w:instrText xml:space="preserve"> REF _Ref435530998 \h </w:instrText>
      </w:r>
      <w:r w:rsidR="00D019F4">
        <w:fldChar w:fldCharType="separate"/>
      </w:r>
      <w:r w:rsidR="00D85ABF" w:rsidRPr="0006566A">
        <w:t>Table</w:t>
      </w:r>
      <w:r w:rsidR="00D85ABF">
        <w:t xml:space="preserve"> </w:t>
      </w:r>
      <w:r w:rsidR="00D85ABF">
        <w:rPr>
          <w:noProof/>
        </w:rPr>
        <w:t>6</w:t>
      </w:r>
      <w:r w:rsidR="00D85ABF">
        <w:t>.</w:t>
      </w:r>
      <w:r w:rsidR="00D85ABF">
        <w:rPr>
          <w:noProof/>
        </w:rPr>
        <w:t>3</w:t>
      </w:r>
      <w:r w:rsidR="00D019F4">
        <w:fldChar w:fldCharType="end"/>
      </w:r>
      <w:r>
        <w:t xml:space="preserve">, </w:t>
      </w:r>
      <w:r w:rsidR="00554BA2">
        <w:t xml:space="preserve">the </w:t>
      </w:r>
      <w:r>
        <w:t xml:space="preserve">main </w:t>
      </w:r>
      <w:r w:rsidR="0006566A">
        <w:t>difference</w:t>
      </w:r>
      <w:r w:rsidR="00554BA2">
        <w:t xml:space="preserve"> between </w:t>
      </w:r>
      <w:r>
        <w:t xml:space="preserve">AGN’s proposed capex </w:t>
      </w:r>
      <w:r w:rsidR="00554BA2">
        <w:t xml:space="preserve">and our </w:t>
      </w:r>
      <w:r w:rsidR="00AA53B3">
        <w:t>alternative capex estimate</w:t>
      </w:r>
      <w:r w:rsidR="00E128EE">
        <w:t xml:space="preserve"> for the 2016–21 access arrangement period </w:t>
      </w:r>
      <w:r w:rsidR="00554BA2">
        <w:t xml:space="preserve">that we consider is conforming capex </w:t>
      </w:r>
      <w:r w:rsidR="00EF14A3">
        <w:t xml:space="preserve">that complies with </w:t>
      </w:r>
      <w:r w:rsidR="00E128EE">
        <w:t xml:space="preserve">rule 79 concern </w:t>
      </w:r>
      <w:r>
        <w:t>the following:</w:t>
      </w:r>
    </w:p>
    <w:bookmarkEnd w:id="20"/>
    <w:bookmarkEnd w:id="21"/>
    <w:p w:rsidR="00583B28" w:rsidRDefault="00583B28" w:rsidP="009062F9">
      <w:pPr>
        <w:pStyle w:val="AERbulletlistfirststyle"/>
        <w:keepNext/>
        <w:ind w:left="357" w:hanging="357"/>
      </w:pPr>
      <w:r>
        <w:t>Mains replacement</w:t>
      </w:r>
    </w:p>
    <w:p w:rsidR="00C714BA" w:rsidRDefault="00C64EBF" w:rsidP="00C714BA">
      <w:pPr>
        <w:pStyle w:val="ListParagraph"/>
        <w:numPr>
          <w:ilvl w:val="0"/>
          <w:numId w:val="0"/>
        </w:numPr>
      </w:pPr>
      <w:r>
        <w:t xml:space="preserve">Our draft decision is to </w:t>
      </w:r>
      <w:r w:rsidR="003454FD">
        <w:t>include $167.7</w:t>
      </w:r>
      <w:r w:rsidR="00583B28">
        <w:t xml:space="preserve"> million ($20</w:t>
      </w:r>
      <w:r w:rsidR="003454FD">
        <w:t>14–</w:t>
      </w:r>
      <w:r w:rsidR="00583B28">
        <w:t>15, unescalated direct costs) of mains replacement</w:t>
      </w:r>
      <w:r w:rsidR="00583B28" w:rsidRPr="00F75FD3">
        <w:t xml:space="preserve"> </w:t>
      </w:r>
      <w:r w:rsidR="00583B28">
        <w:t>capex in our alternative capex estim</w:t>
      </w:r>
      <w:r w:rsidR="003454FD">
        <w:t>ate. This is a reduction of</w:t>
      </w:r>
      <w:r w:rsidR="00A0300B">
        <w:t xml:space="preserve"> 54.6</w:t>
      </w:r>
      <w:r w:rsidR="00583B28">
        <w:t xml:space="preserve"> per cent from AGN's forecast expenditure of </w:t>
      </w:r>
      <w:r w:rsidR="00583B28" w:rsidRPr="006A3F2D">
        <w:t>$</w:t>
      </w:r>
      <w:r w:rsidR="00583B28">
        <w:t>369.9</w:t>
      </w:r>
      <w:r w:rsidR="00583B28" w:rsidRPr="006A3F2D">
        <w:t xml:space="preserve"> million ($201</w:t>
      </w:r>
      <w:r w:rsidR="00583B28">
        <w:t>5</w:t>
      </w:r>
      <w:r w:rsidR="00583B28" w:rsidRPr="006A3F2D">
        <w:t>, unescalated direct costs)</w:t>
      </w:r>
      <w:r w:rsidR="00583B28">
        <w:t xml:space="preserve"> for its mains replacement program</w:t>
      </w:r>
      <w:r w:rsidR="00583B28">
        <w:rPr>
          <w:lang w:eastAsia="en-AU"/>
        </w:rPr>
        <w:t>.</w:t>
      </w:r>
      <w:r w:rsidR="00583B28" w:rsidRPr="006A3F2D">
        <w:rPr>
          <w:rStyle w:val="FootnoteReference"/>
        </w:rPr>
        <w:footnoteReference w:id="1"/>
      </w:r>
      <w:r w:rsidR="00583B28">
        <w:t xml:space="preserve"> </w:t>
      </w:r>
      <w:r w:rsidR="00C714BA">
        <w:t xml:space="preserve">AGN has not provided evidence in the form of a rigorous (quantitative) risk assessment to demonstrate that the </w:t>
      </w:r>
      <w:r w:rsidR="00C714BA" w:rsidRPr="00035C77">
        <w:t xml:space="preserve">proposed </w:t>
      </w:r>
      <w:r w:rsidR="00C714BA">
        <w:t>capex</w:t>
      </w:r>
      <w:r w:rsidR="00C714BA" w:rsidRPr="00035C77">
        <w:t xml:space="preserve"> is </w:t>
      </w:r>
      <w:r w:rsidR="00C714BA">
        <w:t>conforming capex over the 2016</w:t>
      </w:r>
      <w:r w:rsidR="00E34C0D">
        <w:t>–</w:t>
      </w:r>
      <w:r w:rsidR="00C714BA">
        <w:t xml:space="preserve">21 access arrangement </w:t>
      </w:r>
      <w:proofErr w:type="gramStart"/>
      <w:r w:rsidR="00C714BA">
        <w:t>period</w:t>
      </w:r>
      <w:proofErr w:type="gramEnd"/>
      <w:r w:rsidR="00C714BA">
        <w:t xml:space="preserve"> that complies with rule 79</w:t>
      </w:r>
      <w:r w:rsidR="00C714BA" w:rsidRPr="00035C77">
        <w:t>.</w:t>
      </w:r>
    </w:p>
    <w:p w:rsidR="00583B28" w:rsidRDefault="00583B28" w:rsidP="00583B28">
      <w:pPr>
        <w:pStyle w:val="AERbulletlistfirststyle"/>
        <w:ind w:left="357" w:hanging="357"/>
      </w:pPr>
      <w:r>
        <w:t>IT</w:t>
      </w:r>
    </w:p>
    <w:p w:rsidR="00583B28" w:rsidRDefault="00C64EBF" w:rsidP="00583B28">
      <w:r>
        <w:t xml:space="preserve">Our draft decision is to include </w:t>
      </w:r>
      <w:r w:rsidR="003454FD">
        <w:t>$37.9</w:t>
      </w:r>
      <w:r w:rsidR="00583B28">
        <w:t xml:space="preserve"> million ($20</w:t>
      </w:r>
      <w:r w:rsidR="003454FD">
        <w:t>14–</w:t>
      </w:r>
      <w:r w:rsidR="00583B28">
        <w:t xml:space="preserve">15, unescalated direct costs) of IT capex in our alternative capex estimate. This is a reduction of </w:t>
      </w:r>
      <w:r w:rsidR="00A0300B">
        <w:t>36.5</w:t>
      </w:r>
      <w:r w:rsidR="00583B28">
        <w:t xml:space="preserve"> per cent from AGN’s forecast expenditure of $</w:t>
      </w:r>
      <w:r w:rsidR="003454FD">
        <w:t>59.7</w:t>
      </w:r>
      <w:r w:rsidR="00583B28">
        <w:t xml:space="preserve"> million ($2015) for its IT program. We reviewed AGN’s nine proposed individual IT projects against rule 79 of the NGR. </w:t>
      </w:r>
      <w:r w:rsidR="00554BA2">
        <w:t xml:space="preserve">Of the </w:t>
      </w:r>
      <w:r w:rsidR="00583B28">
        <w:t>nine proposed projects</w:t>
      </w:r>
      <w:r w:rsidR="00554BA2">
        <w:t xml:space="preserve">, we </w:t>
      </w:r>
      <w:r w:rsidR="00C714BA">
        <w:t>consider that capex for</w:t>
      </w:r>
      <w:r w:rsidR="00554BA2">
        <w:t xml:space="preserve"> five projects </w:t>
      </w:r>
      <w:r w:rsidR="00C714BA">
        <w:t>is justified</w:t>
      </w:r>
      <w:r w:rsidR="00554BA2">
        <w:t>.</w:t>
      </w:r>
      <w:r>
        <w:t xml:space="preserve"> The other four projects were not included because we assessed that these were not consistent with the NGR.</w:t>
      </w:r>
    </w:p>
    <w:p w:rsidR="00583B28" w:rsidRDefault="00583B28" w:rsidP="00583B28">
      <w:pPr>
        <w:pStyle w:val="Bulletpoint"/>
        <w:numPr>
          <w:ilvl w:val="0"/>
          <w:numId w:val="2"/>
        </w:numPr>
        <w:spacing w:line="276" w:lineRule="auto"/>
        <w:ind w:left="340" w:hanging="340"/>
      </w:pPr>
      <w:r>
        <w:t>Augmentation</w:t>
      </w:r>
    </w:p>
    <w:p w:rsidR="00583B28" w:rsidRDefault="00C64EBF" w:rsidP="00583B28">
      <w:r>
        <w:t xml:space="preserve">Our draft decision is to include </w:t>
      </w:r>
      <w:r w:rsidR="00583B28" w:rsidRPr="00035DA4">
        <w:t>$</w:t>
      </w:r>
      <w:r w:rsidR="00583B28">
        <w:t xml:space="preserve">4.1 </w:t>
      </w:r>
      <w:r w:rsidR="00583B28" w:rsidRPr="00035DA4">
        <w:t>million ($</w:t>
      </w:r>
      <w:r w:rsidR="00583B28">
        <w:t>20</w:t>
      </w:r>
      <w:r w:rsidR="003454FD">
        <w:t>14–</w:t>
      </w:r>
      <w:r w:rsidR="00583B28">
        <w:t>15</w:t>
      </w:r>
      <w:r w:rsidR="00583B28" w:rsidRPr="00035DA4">
        <w:t>, unescalated direct costs) of augmentation capex in o</w:t>
      </w:r>
      <w:r w:rsidR="00583B28">
        <w:t xml:space="preserve">ur alternative capex </w:t>
      </w:r>
      <w:r w:rsidR="006D447C">
        <w:t>estimate</w:t>
      </w:r>
      <w:r w:rsidR="00583B28">
        <w:t>.</w:t>
      </w:r>
      <w:r w:rsidR="003454FD">
        <w:t xml:space="preserve"> This is a reduction of 77</w:t>
      </w:r>
      <w:r w:rsidR="00A0300B">
        <w:t>.1</w:t>
      </w:r>
      <w:r w:rsidR="00583B28">
        <w:t xml:space="preserve"> per cent from AGN’s forecast </w:t>
      </w:r>
      <w:r w:rsidR="006D447C">
        <w:t xml:space="preserve">expenditure </w:t>
      </w:r>
      <w:r w:rsidR="00583B28">
        <w:t>of $17.9 million (</w:t>
      </w:r>
      <w:r w:rsidR="00583B28" w:rsidRPr="00035DA4">
        <w:t>$</w:t>
      </w:r>
      <w:r w:rsidR="00583B28">
        <w:t>20</w:t>
      </w:r>
      <w:r w:rsidR="003454FD">
        <w:t>14–</w:t>
      </w:r>
      <w:r w:rsidR="00583B28">
        <w:t>15</w:t>
      </w:r>
      <w:r w:rsidR="00583B28" w:rsidRPr="00035DA4">
        <w:t>, unescalated direct costs)</w:t>
      </w:r>
      <w:r w:rsidR="00583B28">
        <w:t xml:space="preserve"> for augmentation</w:t>
      </w:r>
      <w:r w:rsidR="00583B28" w:rsidRPr="00035DA4">
        <w:t xml:space="preserve">. </w:t>
      </w:r>
      <w:r w:rsidR="00583B28">
        <w:t xml:space="preserve">This adjustment is </w:t>
      </w:r>
      <w:r w:rsidR="00F47DAF">
        <w:t xml:space="preserve">largely </w:t>
      </w:r>
      <w:r w:rsidR="00583B28">
        <w:t xml:space="preserve">driven by a reduction in AGN’s </w:t>
      </w:r>
      <w:r w:rsidR="006D447C">
        <w:t xml:space="preserve">forecast expenditure </w:t>
      </w:r>
      <w:r w:rsidR="00583B28">
        <w:t xml:space="preserve">for two projects </w:t>
      </w:r>
      <w:r w:rsidR="00E34C0D">
        <w:t xml:space="preserve">– </w:t>
      </w:r>
      <w:r w:rsidR="00583B28">
        <w:t xml:space="preserve">the Southern Transmission Pipeline (SA21) and Murray Bridge (SA71). </w:t>
      </w:r>
    </w:p>
    <w:p w:rsidR="00583B28" w:rsidRDefault="00583B28" w:rsidP="00583B28">
      <w:pPr>
        <w:pStyle w:val="Bulletpoint"/>
        <w:numPr>
          <w:ilvl w:val="0"/>
          <w:numId w:val="2"/>
        </w:numPr>
        <w:spacing w:line="276" w:lineRule="auto"/>
        <w:ind w:left="340" w:hanging="340"/>
      </w:pPr>
      <w:r>
        <w:t>Other distribution system capex</w:t>
      </w:r>
      <w:r>
        <w:rPr>
          <w:rStyle w:val="FootnoteReference"/>
        </w:rPr>
        <w:footnoteReference w:id="2"/>
      </w:r>
    </w:p>
    <w:p w:rsidR="005C44D0" w:rsidRPr="005C44D0" w:rsidRDefault="00C64EBF" w:rsidP="005C44D0">
      <w:r>
        <w:t xml:space="preserve">Our draft decision is to include </w:t>
      </w:r>
      <w:r w:rsidR="00583B28" w:rsidRPr="00035DA4">
        <w:t>$</w:t>
      </w:r>
      <w:r w:rsidR="00583B28">
        <w:t xml:space="preserve">10.0 </w:t>
      </w:r>
      <w:r w:rsidR="00583B28" w:rsidRPr="00035DA4">
        <w:t>million ($201</w:t>
      </w:r>
      <w:r w:rsidR="00583B28">
        <w:t>4–15</w:t>
      </w:r>
      <w:r w:rsidR="00583B28" w:rsidRPr="00035DA4">
        <w:t xml:space="preserve">, unescalated direct costs) of </w:t>
      </w:r>
      <w:r w:rsidR="00583B28">
        <w:t>other distribution system</w:t>
      </w:r>
      <w:r w:rsidR="00583B28" w:rsidRPr="00035DA4">
        <w:t xml:space="preserve"> capex in o</w:t>
      </w:r>
      <w:r w:rsidR="00583B28">
        <w:t>ur alternative capex estim</w:t>
      </w:r>
      <w:r w:rsidR="003454FD">
        <w:t>ate. This is a reduction of 73</w:t>
      </w:r>
      <w:r w:rsidR="00583B28">
        <w:t xml:space="preserve"> per cent from AGN’s forecast of $37</w:t>
      </w:r>
      <w:r w:rsidR="005150DE">
        <w:t>.0</w:t>
      </w:r>
      <w:r w:rsidR="00583B28">
        <w:t xml:space="preserve"> million for other distribution system capex. The adjustment is driven by not including a capex amount for the proposed in line camera to inspect HDPE mains, where we did</w:t>
      </w:r>
      <w:r>
        <w:t xml:space="preserve"> not</w:t>
      </w:r>
      <w:r w:rsidR="00583B28">
        <w:t xml:space="preserve"> have a cost benefit analysis to assess prudency and efficiency of the proposed capex. We </w:t>
      </w:r>
      <w:r w:rsidR="00554BA2">
        <w:t xml:space="preserve">have </w:t>
      </w:r>
      <w:r w:rsidR="00583B28">
        <w:t xml:space="preserve">also </w:t>
      </w:r>
      <w:r w:rsidR="00554BA2">
        <w:t>included</w:t>
      </w:r>
      <w:r>
        <w:t xml:space="preserve"> </w:t>
      </w:r>
      <w:r w:rsidR="00A0300B">
        <w:t>alternative capex</w:t>
      </w:r>
      <w:r w:rsidR="00583B28">
        <w:t xml:space="preserve"> estimates for four projects</w:t>
      </w:r>
      <w:r w:rsidR="00554BA2">
        <w:t xml:space="preserve"> that were proposed by AGN</w:t>
      </w:r>
      <w:r w:rsidR="00583B28">
        <w:t>.</w:t>
      </w:r>
    </w:p>
    <w:p w:rsidR="009A5113" w:rsidRDefault="00C275C4" w:rsidP="009A5113">
      <w:pPr>
        <w:pStyle w:val="Heading2"/>
      </w:pPr>
      <w:bookmarkStart w:id="22" w:name="_Toc436053693"/>
      <w:r>
        <w:t>Aus</w:t>
      </w:r>
      <w:r w:rsidR="00554BA2">
        <w:t>tralian</w:t>
      </w:r>
      <w:r>
        <w:t xml:space="preserve"> Gas Networks’</w:t>
      </w:r>
      <w:r w:rsidR="005C0A7F">
        <w:t xml:space="preserve"> proposal</w:t>
      </w:r>
      <w:bookmarkEnd w:id="22"/>
    </w:p>
    <w:p w:rsidR="009D18A4" w:rsidRPr="00F55F97" w:rsidRDefault="009D18A4" w:rsidP="00F55F97">
      <w:pPr>
        <w:pStyle w:val="HeadingBoldBlue"/>
      </w:pPr>
      <w:r w:rsidRPr="00F55F97">
        <w:t>2010–15 period</w:t>
      </w:r>
    </w:p>
    <w:p w:rsidR="00A0300B" w:rsidRDefault="00A0300B" w:rsidP="00A0300B">
      <w:r>
        <w:t>AGN has proposed net capex of $519.3 million for the 2010</w:t>
      </w:r>
      <w:r w:rsidR="005150DE">
        <w:t>–</w:t>
      </w:r>
      <w:r>
        <w:t>16 period, where capex in 2015</w:t>
      </w:r>
      <w:r w:rsidR="005150DE">
        <w:t>–</w:t>
      </w:r>
      <w:r>
        <w:t>16 is an estimate. Without the estimate of capex for 2015</w:t>
      </w:r>
      <w:r w:rsidR="005150DE">
        <w:t>–</w:t>
      </w:r>
      <w:r>
        <w:t>16, AGN has proposed $392</w:t>
      </w:r>
      <w:r w:rsidR="005150DE">
        <w:t>.6</w:t>
      </w:r>
      <w:r>
        <w:t xml:space="preserve"> million as conforming capex. We accept $392</w:t>
      </w:r>
      <w:r w:rsidR="005150DE">
        <w:t>.6</w:t>
      </w:r>
      <w:r>
        <w:t xml:space="preserve"> million as conforming capex for 2010</w:t>
      </w:r>
      <w:r w:rsidR="005150DE">
        <w:t>–</w:t>
      </w:r>
      <w:r>
        <w:t>15, and will assess whether capex incurred in 2015</w:t>
      </w:r>
      <w:r w:rsidR="005150DE">
        <w:t>–</w:t>
      </w:r>
      <w:r>
        <w:t>16 is conforming in the next review.</w:t>
      </w:r>
    </w:p>
    <w:p w:rsidR="00D712DE" w:rsidRPr="00D712DE" w:rsidRDefault="00D712DE" w:rsidP="00D712DE">
      <w:pPr>
        <w:rPr>
          <w:color w:val="1F497D"/>
        </w:rPr>
      </w:pPr>
      <w:r w:rsidRPr="00D712DE">
        <w:t>For 2010–16 AGN underspent net capex by 13.2 per cent ($79.6 million). This includes the 2015–16 estimate. Without the 2015–16 estimate, AGN underspent net capex by 20.2 per cent ($100.2 million)</w:t>
      </w:r>
      <w:r>
        <w:t>.</w:t>
      </w:r>
      <w:r w:rsidRPr="00D712DE">
        <w:rPr>
          <w:vertAlign w:val="superscript"/>
        </w:rPr>
        <w:footnoteReference w:id="3"/>
      </w:r>
    </w:p>
    <w:p w:rsidR="009D18A4" w:rsidRPr="00DE565A" w:rsidRDefault="009D18A4" w:rsidP="009D18A4">
      <w:pPr>
        <w:pStyle w:val="Caption"/>
      </w:pPr>
      <w:bookmarkStart w:id="23" w:name="_Ref435533257"/>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4</w:t>
      </w:r>
      <w:r w:rsidR="00D754F0">
        <w:rPr>
          <w:noProof/>
        </w:rPr>
        <w:fldChar w:fldCharType="end"/>
      </w:r>
      <w:bookmarkEnd w:id="23"/>
      <w:r>
        <w:tab/>
      </w:r>
      <w:r w:rsidR="008D7414">
        <w:t>A</w:t>
      </w:r>
      <w:r>
        <w:t xml:space="preserve">GN's </w:t>
      </w:r>
      <w:r w:rsidRPr="00642F6F">
        <w:rPr>
          <w:rFonts w:eastAsia="Calibri"/>
        </w:rPr>
        <w:t>proposed capital expenditure over 20</w:t>
      </w:r>
      <w:r w:rsidR="006A233F">
        <w:rPr>
          <w:rFonts w:eastAsia="Calibri"/>
        </w:rPr>
        <w:t>1</w:t>
      </w:r>
      <w:r w:rsidR="00F02D48">
        <w:rPr>
          <w:rFonts w:eastAsia="Calibri"/>
        </w:rPr>
        <w:t>0</w:t>
      </w:r>
      <w:r w:rsidR="006A233F">
        <w:rPr>
          <w:rFonts w:eastAsia="Calibri"/>
        </w:rPr>
        <w:t>–</w:t>
      </w:r>
      <w:r>
        <w:rPr>
          <w:rFonts w:eastAsia="Calibri"/>
        </w:rPr>
        <w:t>1</w:t>
      </w:r>
      <w:r w:rsidR="00F02D48">
        <w:rPr>
          <w:rFonts w:eastAsia="Calibri"/>
        </w:rPr>
        <w:t>1</w:t>
      </w:r>
      <w:r w:rsidR="006A233F">
        <w:rPr>
          <w:rFonts w:eastAsia="Calibri"/>
        </w:rPr>
        <w:t xml:space="preserve"> to 2015–16</w:t>
      </w:r>
      <w:r w:rsidRPr="00642F6F">
        <w:rPr>
          <w:rFonts w:eastAsia="Calibri"/>
        </w:rPr>
        <w:t xml:space="preserve"> ($million, 201</w:t>
      </w:r>
      <w:r w:rsidR="006A233F">
        <w:rPr>
          <w:rFonts w:eastAsia="Calibri"/>
        </w:rPr>
        <w:t>4–15</w:t>
      </w:r>
      <w:r w:rsidRPr="00642F6F">
        <w:rPr>
          <w:rFonts w:eastAsia="Calibri"/>
        </w:rPr>
        <w:t>)</w:t>
      </w:r>
    </w:p>
    <w:tbl>
      <w:tblPr>
        <w:tblW w:w="5000" w:type="pct"/>
        <w:tblLook w:val="04A0" w:firstRow="1" w:lastRow="0" w:firstColumn="1" w:lastColumn="0" w:noHBand="0" w:noVBand="1"/>
      </w:tblPr>
      <w:tblGrid>
        <w:gridCol w:w="2369"/>
        <w:gridCol w:w="1054"/>
        <w:gridCol w:w="1054"/>
        <w:gridCol w:w="1054"/>
        <w:gridCol w:w="1054"/>
        <w:gridCol w:w="1054"/>
        <w:gridCol w:w="1054"/>
      </w:tblGrid>
      <w:tr w:rsidR="006250CD" w:rsidRPr="006250CD" w:rsidTr="00616B1C">
        <w:trPr>
          <w:trHeight w:val="465"/>
        </w:trPr>
        <w:tc>
          <w:tcPr>
            <w:tcW w:w="1363"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rPr>
                <w:rFonts w:eastAsia="Times New Roman" w:cs="Arial"/>
                <w:b/>
                <w:bCs/>
                <w:color w:val="FFFFFF"/>
                <w:sz w:val="16"/>
                <w:szCs w:val="16"/>
                <w:lang w:eastAsia="en-AU"/>
              </w:rPr>
            </w:pPr>
            <w:r w:rsidRPr="006250CD">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2010–11</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2011–12</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2012–13</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2013–14</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2014–15</w:t>
            </w:r>
          </w:p>
        </w:tc>
        <w:tc>
          <w:tcPr>
            <w:tcW w:w="606" w:type="pct"/>
            <w:tcBorders>
              <w:top w:val="nil"/>
              <w:left w:val="nil"/>
              <w:bottom w:val="nil"/>
              <w:right w:val="nil"/>
            </w:tcBorders>
            <w:shd w:val="clear" w:color="000000" w:fill="365F91"/>
            <w:vAlign w:val="center"/>
            <w:hideMark/>
          </w:tcPr>
          <w:p w:rsidR="006250CD" w:rsidRPr="006250CD" w:rsidRDefault="006250CD" w:rsidP="006250CD">
            <w:pPr>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2015–16</w:t>
            </w:r>
          </w:p>
        </w:tc>
      </w:tr>
      <w:tr w:rsidR="00EA6434" w:rsidRPr="006250CD" w:rsidTr="00616B1C">
        <w:trPr>
          <w:trHeight w:val="450"/>
        </w:trPr>
        <w:tc>
          <w:tcPr>
            <w:tcW w:w="1363" w:type="pct"/>
            <w:tcBorders>
              <w:top w:val="nil"/>
              <w:left w:val="nil"/>
              <w:bottom w:val="nil"/>
              <w:right w:val="nil"/>
            </w:tcBorders>
            <w:shd w:val="clear" w:color="auto" w:fill="auto"/>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Connections (Market expansion)</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22.5</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20.1</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19.4</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25.5</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17.5</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18.8</w:t>
            </w:r>
          </w:p>
        </w:tc>
      </w:tr>
      <w:tr w:rsidR="00EA6434" w:rsidRPr="006250CD" w:rsidTr="00616B1C">
        <w:trPr>
          <w:trHeight w:val="450"/>
        </w:trPr>
        <w:tc>
          <w:tcPr>
            <w:tcW w:w="1363" w:type="pct"/>
            <w:tcBorders>
              <w:top w:val="nil"/>
              <w:left w:val="nil"/>
              <w:bottom w:val="nil"/>
              <w:right w:val="nil"/>
            </w:tcBorders>
            <w:shd w:val="clear" w:color="000000" w:fill="DBE5F1"/>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Mains replacement</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15.6</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24.0</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36.5</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45.5</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49.5</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70.8</w:t>
            </w:r>
          </w:p>
        </w:tc>
      </w:tr>
      <w:tr w:rsidR="00EA6434" w:rsidRPr="006250CD" w:rsidTr="00616B1C">
        <w:trPr>
          <w:trHeight w:val="450"/>
        </w:trPr>
        <w:tc>
          <w:tcPr>
            <w:tcW w:w="1363" w:type="pct"/>
            <w:tcBorders>
              <w:top w:val="nil"/>
              <w:left w:val="nil"/>
              <w:bottom w:val="nil"/>
              <w:right w:val="nil"/>
            </w:tcBorders>
            <w:shd w:val="clear" w:color="auto" w:fill="auto"/>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Meter replacement</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2.7</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2.2</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2.4</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3.6</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3.8</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3.6</w:t>
            </w:r>
          </w:p>
        </w:tc>
      </w:tr>
      <w:tr w:rsidR="00EA6434" w:rsidRPr="006250CD" w:rsidTr="00616B1C">
        <w:trPr>
          <w:trHeight w:val="450"/>
        </w:trPr>
        <w:tc>
          <w:tcPr>
            <w:tcW w:w="1363" w:type="pct"/>
            <w:tcBorders>
              <w:top w:val="nil"/>
              <w:left w:val="nil"/>
              <w:bottom w:val="nil"/>
              <w:right w:val="nil"/>
            </w:tcBorders>
            <w:shd w:val="clear" w:color="000000" w:fill="DBE5F1"/>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Augmentation</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1.3</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6.3</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15.2</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5.1</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5.4</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15.1</w:t>
            </w:r>
          </w:p>
        </w:tc>
      </w:tr>
      <w:tr w:rsidR="00EA6434" w:rsidRPr="006250CD" w:rsidTr="00616B1C">
        <w:trPr>
          <w:trHeight w:val="450"/>
        </w:trPr>
        <w:tc>
          <w:tcPr>
            <w:tcW w:w="1363" w:type="pct"/>
            <w:tcBorders>
              <w:top w:val="nil"/>
              <w:left w:val="nil"/>
              <w:bottom w:val="nil"/>
              <w:right w:val="nil"/>
            </w:tcBorders>
            <w:shd w:val="clear" w:color="auto" w:fill="auto"/>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Telemetry</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0.2</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0.2</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0.2</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0.3</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0.3</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0.5</w:t>
            </w:r>
          </w:p>
        </w:tc>
      </w:tr>
      <w:tr w:rsidR="00EA6434" w:rsidRPr="006250CD" w:rsidTr="00616B1C">
        <w:trPr>
          <w:trHeight w:val="450"/>
        </w:trPr>
        <w:tc>
          <w:tcPr>
            <w:tcW w:w="1363" w:type="pct"/>
            <w:tcBorders>
              <w:top w:val="nil"/>
              <w:left w:val="nil"/>
              <w:bottom w:val="nil"/>
              <w:right w:val="nil"/>
            </w:tcBorders>
            <w:shd w:val="clear" w:color="000000" w:fill="DBE5F1"/>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Regulators</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0.2</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0.3</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0.9</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2.7</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2.7</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0.7</w:t>
            </w:r>
          </w:p>
        </w:tc>
      </w:tr>
      <w:tr w:rsidR="00EA6434" w:rsidRPr="006250CD" w:rsidTr="00616B1C">
        <w:trPr>
          <w:trHeight w:val="450"/>
        </w:trPr>
        <w:tc>
          <w:tcPr>
            <w:tcW w:w="1363" w:type="pct"/>
            <w:tcBorders>
              <w:top w:val="nil"/>
              <w:left w:val="nil"/>
              <w:bottom w:val="nil"/>
              <w:right w:val="nil"/>
            </w:tcBorders>
            <w:shd w:val="clear" w:color="auto" w:fill="auto"/>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IT</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0.3</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0.1</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2.4</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6.8</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10.6</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2.2</w:t>
            </w:r>
          </w:p>
        </w:tc>
      </w:tr>
      <w:tr w:rsidR="00EA6434" w:rsidRPr="006250CD" w:rsidTr="00616B1C">
        <w:trPr>
          <w:trHeight w:val="450"/>
        </w:trPr>
        <w:tc>
          <w:tcPr>
            <w:tcW w:w="1363" w:type="pct"/>
            <w:tcBorders>
              <w:top w:val="nil"/>
              <w:left w:val="nil"/>
              <w:bottom w:val="nil"/>
              <w:right w:val="nil"/>
            </w:tcBorders>
            <w:shd w:val="clear" w:color="000000" w:fill="DBE5F1"/>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Other distribution system</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0.0</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1.6</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0.8</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3.2</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2.5</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1.7</w:t>
            </w:r>
          </w:p>
        </w:tc>
      </w:tr>
      <w:tr w:rsidR="00EA6434" w:rsidRPr="006250CD" w:rsidTr="00616B1C">
        <w:trPr>
          <w:trHeight w:val="450"/>
        </w:trPr>
        <w:tc>
          <w:tcPr>
            <w:tcW w:w="1363" w:type="pct"/>
            <w:tcBorders>
              <w:top w:val="nil"/>
              <w:left w:val="nil"/>
              <w:bottom w:val="nil"/>
              <w:right w:val="nil"/>
            </w:tcBorders>
            <w:shd w:val="clear" w:color="auto" w:fill="auto"/>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Other non</w:t>
            </w:r>
            <w:r w:rsidR="00E34C0D">
              <w:rPr>
                <w:rFonts w:eastAsia="Times New Roman" w:cs="Arial"/>
                <w:color w:val="000000"/>
                <w:sz w:val="16"/>
                <w:szCs w:val="16"/>
                <w:lang w:eastAsia="en-AU"/>
              </w:rPr>
              <w:t>–</w:t>
            </w:r>
            <w:r w:rsidRPr="006250CD">
              <w:rPr>
                <w:rFonts w:eastAsia="Times New Roman" w:cs="Arial"/>
                <w:color w:val="000000"/>
                <w:sz w:val="16"/>
                <w:szCs w:val="16"/>
                <w:lang w:eastAsia="en-AU"/>
              </w:rPr>
              <w:t>distribution system</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0.8</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0.0</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0.7</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0.6</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3.1</w:t>
            </w:r>
          </w:p>
        </w:tc>
        <w:tc>
          <w:tcPr>
            <w:tcW w:w="606" w:type="pct"/>
            <w:tcBorders>
              <w:top w:val="nil"/>
              <w:left w:val="nil"/>
              <w:bottom w:val="nil"/>
              <w:right w:val="nil"/>
            </w:tcBorders>
            <w:shd w:val="clear" w:color="auto" w:fill="auto"/>
            <w:vAlign w:val="center"/>
            <w:hideMark/>
          </w:tcPr>
          <w:p w:rsidR="00EA6434" w:rsidRPr="00851265" w:rsidRDefault="00EA6434" w:rsidP="00851265">
            <w:pPr>
              <w:rPr>
                <w:color w:val="000000"/>
                <w:sz w:val="16"/>
              </w:rPr>
            </w:pPr>
            <w:r w:rsidRPr="00851265">
              <w:rPr>
                <w:color w:val="000000"/>
                <w:sz w:val="16"/>
              </w:rPr>
              <w:t>2.3</w:t>
            </w:r>
          </w:p>
        </w:tc>
      </w:tr>
      <w:tr w:rsidR="00EA6434" w:rsidRPr="006250CD" w:rsidTr="00616B1C">
        <w:trPr>
          <w:trHeight w:val="450"/>
        </w:trPr>
        <w:tc>
          <w:tcPr>
            <w:tcW w:w="1363" w:type="pct"/>
            <w:tcBorders>
              <w:top w:val="nil"/>
              <w:left w:val="nil"/>
              <w:bottom w:val="nil"/>
              <w:right w:val="nil"/>
            </w:tcBorders>
            <w:shd w:val="clear" w:color="000000" w:fill="DBE5F1"/>
            <w:vAlign w:val="center"/>
            <w:hideMark/>
          </w:tcPr>
          <w:p w:rsidR="00EA6434" w:rsidRPr="006250CD" w:rsidRDefault="00EA6434"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Overheads</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0.0</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5.9</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7.5</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7.9</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9.2</w:t>
            </w:r>
          </w:p>
        </w:tc>
        <w:tc>
          <w:tcPr>
            <w:tcW w:w="606" w:type="pct"/>
            <w:tcBorders>
              <w:top w:val="nil"/>
              <w:left w:val="nil"/>
              <w:bottom w:val="nil"/>
              <w:right w:val="nil"/>
            </w:tcBorders>
            <w:shd w:val="clear" w:color="000000" w:fill="DBE5F1"/>
            <w:vAlign w:val="center"/>
            <w:hideMark/>
          </w:tcPr>
          <w:p w:rsidR="00EA6434" w:rsidRPr="00851265" w:rsidRDefault="00EA6434" w:rsidP="00851265">
            <w:pPr>
              <w:rPr>
                <w:color w:val="000000"/>
                <w:sz w:val="16"/>
              </w:rPr>
            </w:pPr>
            <w:r w:rsidRPr="00851265">
              <w:rPr>
                <w:color w:val="000000"/>
                <w:sz w:val="16"/>
              </w:rPr>
              <w:t>11.1</w:t>
            </w:r>
          </w:p>
        </w:tc>
      </w:tr>
      <w:tr w:rsidR="00851265" w:rsidRPr="006250CD" w:rsidTr="00616B1C">
        <w:trPr>
          <w:trHeight w:val="450"/>
        </w:trPr>
        <w:tc>
          <w:tcPr>
            <w:tcW w:w="1363" w:type="pct"/>
            <w:tcBorders>
              <w:top w:val="nil"/>
              <w:left w:val="nil"/>
              <w:bottom w:val="nil"/>
              <w:right w:val="nil"/>
            </w:tcBorders>
            <w:shd w:val="clear" w:color="auto" w:fill="auto"/>
            <w:vAlign w:val="center"/>
          </w:tcPr>
          <w:p w:rsidR="00851265" w:rsidRPr="006250CD" w:rsidRDefault="00851265" w:rsidP="009062F9">
            <w:pPr>
              <w:spacing w:before="0" w:line="240" w:lineRule="auto"/>
              <w:rPr>
                <w:rFonts w:eastAsia="Times New Roman" w:cs="Arial"/>
                <w:b/>
                <w:bCs/>
                <w:color w:val="000000"/>
                <w:sz w:val="16"/>
                <w:szCs w:val="16"/>
                <w:lang w:eastAsia="en-AU"/>
              </w:rPr>
            </w:pPr>
            <w:r w:rsidRPr="006250CD">
              <w:rPr>
                <w:rFonts w:eastAsia="Times New Roman" w:cs="Arial"/>
                <w:b/>
                <w:bCs/>
                <w:color w:val="000000"/>
                <w:sz w:val="16"/>
                <w:szCs w:val="16"/>
                <w:lang w:eastAsia="en-AU"/>
              </w:rPr>
              <w:t>GROSS TOTAL CAPITAL EXPENDITURE</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43.6</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60.7</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86.0</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101.3</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104.6</w:t>
            </w:r>
          </w:p>
        </w:tc>
        <w:tc>
          <w:tcPr>
            <w:tcW w:w="606" w:type="pct"/>
            <w:tcBorders>
              <w:top w:val="nil"/>
              <w:left w:val="nil"/>
              <w:bottom w:val="nil"/>
              <w:right w:val="nil"/>
            </w:tcBorders>
            <w:shd w:val="clear" w:color="auto" w:fill="auto"/>
            <w:vAlign w:val="center"/>
          </w:tcPr>
          <w:p w:rsidR="00851265" w:rsidRPr="00851265" w:rsidRDefault="00851265" w:rsidP="00851265">
            <w:pPr>
              <w:rPr>
                <w:b/>
                <w:bCs/>
                <w:sz w:val="16"/>
              </w:rPr>
            </w:pPr>
            <w:r w:rsidRPr="00851265">
              <w:rPr>
                <w:b/>
                <w:bCs/>
                <w:sz w:val="16"/>
              </w:rPr>
              <w:t>126.9</w:t>
            </w:r>
          </w:p>
        </w:tc>
      </w:tr>
      <w:tr w:rsidR="00851265" w:rsidRPr="006250CD" w:rsidTr="00616B1C">
        <w:trPr>
          <w:trHeight w:val="450"/>
        </w:trPr>
        <w:tc>
          <w:tcPr>
            <w:tcW w:w="1363" w:type="pct"/>
            <w:tcBorders>
              <w:top w:val="nil"/>
              <w:left w:val="nil"/>
              <w:bottom w:val="nil"/>
              <w:right w:val="nil"/>
            </w:tcBorders>
            <w:shd w:val="clear" w:color="000000" w:fill="DBE5F1"/>
            <w:vAlign w:val="center"/>
            <w:hideMark/>
          </w:tcPr>
          <w:p w:rsidR="00851265" w:rsidRPr="006250CD" w:rsidRDefault="00851265" w:rsidP="009062F9">
            <w:pPr>
              <w:spacing w:before="0" w:line="240" w:lineRule="auto"/>
              <w:rPr>
                <w:rFonts w:eastAsia="Times New Roman" w:cs="Arial"/>
                <w:color w:val="000000"/>
                <w:sz w:val="16"/>
                <w:szCs w:val="16"/>
                <w:lang w:eastAsia="en-AU"/>
              </w:rPr>
            </w:pPr>
            <w:r w:rsidRPr="006250CD">
              <w:rPr>
                <w:rFonts w:eastAsia="Times New Roman" w:cs="Arial"/>
                <w:color w:val="000000"/>
                <w:sz w:val="16"/>
                <w:szCs w:val="16"/>
                <w:lang w:eastAsia="en-AU"/>
              </w:rPr>
              <w:t>Contributions</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0.2</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0.3</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1.6</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0.6</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0.9</w:t>
            </w:r>
          </w:p>
        </w:tc>
        <w:tc>
          <w:tcPr>
            <w:tcW w:w="606" w:type="pct"/>
            <w:tcBorders>
              <w:top w:val="nil"/>
              <w:left w:val="nil"/>
              <w:bottom w:val="nil"/>
              <w:right w:val="nil"/>
            </w:tcBorders>
            <w:shd w:val="clear" w:color="000000" w:fill="DBE5F1"/>
            <w:vAlign w:val="center"/>
            <w:hideMark/>
          </w:tcPr>
          <w:p w:rsidR="00851265" w:rsidRPr="00851265" w:rsidRDefault="00851265" w:rsidP="00851265">
            <w:pPr>
              <w:rPr>
                <w:color w:val="000000"/>
                <w:sz w:val="16"/>
              </w:rPr>
            </w:pPr>
            <w:r w:rsidRPr="00851265">
              <w:rPr>
                <w:color w:val="000000"/>
                <w:sz w:val="16"/>
              </w:rPr>
              <w:t>0.2</w:t>
            </w:r>
          </w:p>
        </w:tc>
      </w:tr>
      <w:tr w:rsidR="00851265" w:rsidRPr="00851265" w:rsidTr="00851265">
        <w:trPr>
          <w:trHeight w:val="450"/>
        </w:trPr>
        <w:tc>
          <w:tcPr>
            <w:tcW w:w="1363" w:type="pct"/>
            <w:tcBorders>
              <w:top w:val="nil"/>
              <w:left w:val="nil"/>
              <w:bottom w:val="single" w:sz="8" w:space="0" w:color="1F497D"/>
              <w:right w:val="nil"/>
            </w:tcBorders>
            <w:shd w:val="clear" w:color="auto" w:fill="auto"/>
            <w:vAlign w:val="center"/>
          </w:tcPr>
          <w:p w:rsidR="00851265" w:rsidRPr="006250CD" w:rsidRDefault="00851265" w:rsidP="009062F9">
            <w:pPr>
              <w:spacing w:before="0" w:line="240" w:lineRule="auto"/>
              <w:rPr>
                <w:rFonts w:eastAsia="Times New Roman" w:cs="Arial"/>
                <w:b/>
                <w:bCs/>
                <w:color w:val="000000"/>
                <w:sz w:val="16"/>
                <w:szCs w:val="16"/>
                <w:lang w:eastAsia="en-AU"/>
              </w:rPr>
            </w:pPr>
            <w:r w:rsidRPr="006250CD">
              <w:rPr>
                <w:rFonts w:eastAsia="Times New Roman" w:cs="Arial"/>
                <w:b/>
                <w:bCs/>
                <w:color w:val="000000"/>
                <w:sz w:val="16"/>
                <w:szCs w:val="16"/>
                <w:lang w:eastAsia="en-AU"/>
              </w:rPr>
              <w:t>NET TOTAL CAPITAL EXPENDITURE</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43.4</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60.4</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84.4</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100.7</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103.7</w:t>
            </w:r>
          </w:p>
        </w:tc>
        <w:tc>
          <w:tcPr>
            <w:tcW w:w="606" w:type="pct"/>
            <w:tcBorders>
              <w:top w:val="nil"/>
              <w:left w:val="nil"/>
              <w:bottom w:val="single" w:sz="8" w:space="0" w:color="1F497D"/>
              <w:right w:val="nil"/>
            </w:tcBorders>
            <w:shd w:val="clear" w:color="auto" w:fill="auto"/>
            <w:vAlign w:val="center"/>
          </w:tcPr>
          <w:p w:rsidR="00851265" w:rsidRPr="00851265" w:rsidRDefault="00851265" w:rsidP="00851265">
            <w:pPr>
              <w:rPr>
                <w:b/>
                <w:bCs/>
                <w:sz w:val="16"/>
              </w:rPr>
            </w:pPr>
            <w:r w:rsidRPr="00851265">
              <w:rPr>
                <w:b/>
                <w:bCs/>
                <w:sz w:val="16"/>
              </w:rPr>
              <w:t>126.6</w:t>
            </w:r>
          </w:p>
        </w:tc>
      </w:tr>
    </w:tbl>
    <w:p w:rsidR="005C32B9" w:rsidRDefault="005C32B9" w:rsidP="004E2C1F">
      <w:pPr>
        <w:pStyle w:val="AERtablesource"/>
      </w:pPr>
      <w:r w:rsidRPr="00F61681">
        <w:t>Source:</w:t>
      </w:r>
      <w:r w:rsidRPr="00F61681">
        <w:tab/>
      </w:r>
      <w:r w:rsidR="004E2C1F">
        <w:t xml:space="preserve">AGN, </w:t>
      </w:r>
      <w:r w:rsidR="004E2C1F" w:rsidRPr="00721CBF">
        <w:rPr>
          <w:rStyle w:val="AERtextitalic"/>
        </w:rPr>
        <w:t>SA Access Arrangement Information</w:t>
      </w:r>
      <w:r w:rsidR="004E2C1F">
        <w:t xml:space="preserve">, July 2015, </w:t>
      </w:r>
      <w:r w:rsidR="004E2C1F" w:rsidRPr="00721CBF">
        <w:t xml:space="preserve">Attachment 8.8_SA Capex Model </w:t>
      </w:r>
      <w:r w:rsidR="00E34C0D">
        <w:t>–</w:t>
      </w:r>
      <w:r w:rsidR="00E34C0D" w:rsidRPr="00721CBF">
        <w:t xml:space="preserve"> </w:t>
      </w:r>
      <w:r w:rsidR="004E2C1F" w:rsidRPr="00721CBF">
        <w:t>Confidential Version</w:t>
      </w:r>
      <w:r w:rsidR="004E2C1F">
        <w:t>.xls</w:t>
      </w:r>
      <w:r w:rsidR="004E2C1F" w:rsidRPr="00DD4387">
        <w:t xml:space="preserve"> </w:t>
      </w:r>
      <w:r w:rsidRPr="00DD4387">
        <w:t>201</w:t>
      </w:r>
      <w:r w:rsidR="00554BA2">
        <w:t>6</w:t>
      </w:r>
      <w:r w:rsidRPr="00DD4387">
        <w:t>–</w:t>
      </w:r>
      <w:r>
        <w:t>2</w:t>
      </w:r>
      <w:r w:rsidR="00554BA2">
        <w:t>1</w:t>
      </w:r>
      <w:r w:rsidRPr="00DD4387">
        <w:t xml:space="preserve"> access arrangement period</w:t>
      </w:r>
      <w:r w:rsidR="00D019F4">
        <w:t>.</w:t>
      </w:r>
    </w:p>
    <w:p w:rsidR="005C32B9" w:rsidRDefault="005C32B9" w:rsidP="005C32B9">
      <w:pPr>
        <w:numPr>
          <w:ilvl w:val="0"/>
          <w:numId w:val="24"/>
        </w:numPr>
        <w:spacing w:before="0" w:after="240" w:line="288" w:lineRule="auto"/>
        <w:jc w:val="both"/>
      </w:pPr>
      <w:r>
        <w:t>AGN</w:t>
      </w:r>
      <w:r w:rsidRPr="00DD4387">
        <w:t xml:space="preserve"> proposed net total capex of $</w:t>
      </w:r>
      <w:r w:rsidR="009519EE">
        <w:t>6</w:t>
      </w:r>
      <w:r w:rsidR="00B03406">
        <w:t>87.3</w:t>
      </w:r>
      <w:r w:rsidR="009519EE" w:rsidRPr="00DD4387">
        <w:t xml:space="preserve"> </w:t>
      </w:r>
      <w:r w:rsidRPr="00DD4387">
        <w:t>million ($20</w:t>
      </w:r>
      <w:r w:rsidR="009519EE">
        <w:t>14–</w:t>
      </w:r>
      <w:r w:rsidR="009519EE" w:rsidRPr="00DD4387">
        <w:t>1</w:t>
      </w:r>
      <w:r w:rsidR="009519EE">
        <w:t>5</w:t>
      </w:r>
      <w:r w:rsidRPr="00DD4387">
        <w:t>) for the 201</w:t>
      </w:r>
      <w:r>
        <w:t>6</w:t>
      </w:r>
      <w:r w:rsidRPr="00DD4387">
        <w:t>–</w:t>
      </w:r>
      <w:r>
        <w:t>21</w:t>
      </w:r>
      <w:r w:rsidRPr="00DD4387">
        <w:t xml:space="preserve"> access arrangement period. This represents a real increase of </w:t>
      </w:r>
      <w:r w:rsidR="00584A88">
        <w:t>25</w:t>
      </w:r>
      <w:r w:rsidRPr="00DD4387">
        <w:t xml:space="preserve"> per cent over the </w:t>
      </w:r>
      <w:r>
        <w:t>amount</w:t>
      </w:r>
      <w:r w:rsidRPr="00DD4387">
        <w:t xml:space="preserve"> approved by the </w:t>
      </w:r>
      <w:r>
        <w:t>AER</w:t>
      </w:r>
      <w:r w:rsidRPr="00DD4387">
        <w:t xml:space="preserve"> for the 20</w:t>
      </w:r>
      <w:r w:rsidR="005B3D6E">
        <w:t>1</w:t>
      </w:r>
      <w:r w:rsidR="00D754F0">
        <w:t>1</w:t>
      </w:r>
      <w:r w:rsidRPr="00DD4387">
        <w:t>–1</w:t>
      </w:r>
      <w:r>
        <w:t>6</w:t>
      </w:r>
      <w:r w:rsidRPr="00DD4387">
        <w:t xml:space="preserve"> access arrangement </w:t>
      </w:r>
      <w:proofErr w:type="gramStart"/>
      <w:r w:rsidRPr="00DD4387">
        <w:t>period</w:t>
      </w:r>
      <w:proofErr w:type="gramEnd"/>
      <w:r w:rsidRPr="00DD4387">
        <w:t>.</w:t>
      </w:r>
    </w:p>
    <w:p w:rsidR="009D18A4" w:rsidRDefault="005C32B9">
      <w:pPr>
        <w:pStyle w:val="Caption"/>
        <w:rPr>
          <w:rFonts w:eastAsia="Calibri"/>
        </w:rPr>
      </w:pPr>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5</w:t>
      </w:r>
      <w:r w:rsidR="00D754F0">
        <w:rPr>
          <w:noProof/>
        </w:rPr>
        <w:fldChar w:fldCharType="end"/>
      </w:r>
      <w:r>
        <w:tab/>
      </w:r>
      <w:r>
        <w:rPr>
          <w:rFonts w:eastAsia="Calibri"/>
        </w:rPr>
        <w:t>AGN</w:t>
      </w:r>
      <w:r w:rsidRPr="00DD4387">
        <w:rPr>
          <w:rFonts w:eastAsia="Calibri"/>
        </w:rPr>
        <w:t xml:space="preserve"> proposed capital expenditure by category over the 201</w:t>
      </w:r>
      <w:r>
        <w:rPr>
          <w:rFonts w:eastAsia="Calibri"/>
        </w:rPr>
        <w:t>6–21</w:t>
      </w:r>
      <w:r w:rsidRPr="00DD4387">
        <w:rPr>
          <w:rFonts w:eastAsia="Calibri"/>
        </w:rPr>
        <w:t xml:space="preserve"> access arrangement period ($million, 20</w:t>
      </w:r>
      <w:r w:rsidR="00DE09E7">
        <w:rPr>
          <w:rFonts w:eastAsia="Calibri"/>
        </w:rPr>
        <w:t>14–</w:t>
      </w:r>
      <w:r w:rsidRPr="00DD4387">
        <w:rPr>
          <w:rFonts w:eastAsia="Calibri"/>
        </w:rPr>
        <w:t>1</w:t>
      </w:r>
      <w:r>
        <w:rPr>
          <w:rFonts w:eastAsia="Calibri"/>
        </w:rPr>
        <w:t>5</w:t>
      </w:r>
      <w:r w:rsidRPr="00DD4387">
        <w:rPr>
          <w:rFonts w:eastAsia="Calibri"/>
        </w:rPr>
        <w:t>)</w:t>
      </w:r>
    </w:p>
    <w:tbl>
      <w:tblPr>
        <w:tblW w:w="5000" w:type="pct"/>
        <w:tblLook w:val="04A0" w:firstRow="1" w:lastRow="0" w:firstColumn="1" w:lastColumn="0" w:noHBand="0" w:noVBand="1"/>
      </w:tblPr>
      <w:tblGrid>
        <w:gridCol w:w="2369"/>
        <w:gridCol w:w="1054"/>
        <w:gridCol w:w="1054"/>
        <w:gridCol w:w="1054"/>
        <w:gridCol w:w="1054"/>
        <w:gridCol w:w="1054"/>
        <w:gridCol w:w="1054"/>
      </w:tblGrid>
      <w:tr w:rsidR="006250CD" w:rsidRPr="006250CD" w:rsidTr="00616B1C">
        <w:trPr>
          <w:trHeight w:val="465"/>
        </w:trPr>
        <w:tc>
          <w:tcPr>
            <w:tcW w:w="1363"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rPr>
                <w:rFonts w:eastAsia="Times New Roman" w:cs="Arial"/>
                <w:b/>
                <w:bCs/>
                <w:color w:val="FFFFFF"/>
                <w:sz w:val="16"/>
                <w:szCs w:val="16"/>
                <w:lang w:eastAsia="en-AU"/>
              </w:rPr>
            </w:pPr>
            <w:r w:rsidRPr="006250CD">
              <w:rPr>
                <w:rFonts w:eastAsia="Times New Roman" w:cs="Arial"/>
                <w:b/>
                <w:bCs/>
                <w:color w:val="FFFFFF"/>
                <w:sz w:val="16"/>
                <w:szCs w:val="16"/>
                <w:lang w:eastAsia="en-AU"/>
              </w:rPr>
              <w:t> Category</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2016–17</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2017–18</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2018–19</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2019–20</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2020–21</w:t>
            </w:r>
          </w:p>
        </w:tc>
        <w:tc>
          <w:tcPr>
            <w:tcW w:w="606" w:type="pct"/>
            <w:tcBorders>
              <w:top w:val="nil"/>
              <w:left w:val="nil"/>
              <w:bottom w:val="nil"/>
              <w:right w:val="nil"/>
            </w:tcBorders>
            <w:shd w:val="clear" w:color="000000" w:fill="365F91"/>
            <w:vAlign w:val="center"/>
            <w:hideMark/>
          </w:tcPr>
          <w:p w:rsidR="006250CD" w:rsidRPr="006250CD" w:rsidRDefault="006250CD" w:rsidP="009062F9">
            <w:pPr>
              <w:keepNext/>
              <w:spacing w:before="0" w:line="240" w:lineRule="auto"/>
              <w:ind w:firstLineChars="100" w:firstLine="161"/>
              <w:rPr>
                <w:rFonts w:eastAsia="Times New Roman" w:cs="Arial"/>
                <w:b/>
                <w:bCs/>
                <w:color w:val="FFFFFF"/>
                <w:sz w:val="16"/>
                <w:szCs w:val="16"/>
                <w:lang w:eastAsia="en-AU"/>
              </w:rPr>
            </w:pPr>
            <w:r w:rsidRPr="006250CD">
              <w:rPr>
                <w:rFonts w:eastAsia="Times New Roman" w:cs="Arial"/>
                <w:b/>
                <w:bCs/>
                <w:color w:val="FFFFFF"/>
                <w:sz w:val="16"/>
                <w:szCs w:val="16"/>
                <w:lang w:eastAsia="en-AU"/>
              </w:rPr>
              <w:t>Total</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Mains replacement</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75.2</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74.1</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73.6</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75.8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71.3</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369.9</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Meter replacement</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4.2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4.0</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3.7</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2.9</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2.3</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17.1</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Augmentation</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1.6</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8.8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4.3</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2.3</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0.8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17.9</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Telemetry</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0.3</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0.1</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1.1</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Regulators</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2.6</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2.6</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2.7</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13.6</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IT</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11.0</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18.1</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14.5</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8.5</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7.6</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59.7</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Growth assets</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17.0</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16.1</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16.9</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22.6</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18.1</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90.6</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distribution system</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8.9</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7.5</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7.3</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6.8</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6.4</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37.0</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Other non</w:t>
            </w:r>
            <w:r w:rsidR="00E34C0D">
              <w:rPr>
                <w:rFonts w:eastAsia="Times New Roman" w:cs="Arial"/>
                <w:color w:val="000000"/>
                <w:sz w:val="16"/>
                <w:szCs w:val="16"/>
                <w:lang w:eastAsia="en-AU"/>
              </w:rPr>
              <w:t>–</w:t>
            </w:r>
            <w:r w:rsidRPr="006250CD">
              <w:rPr>
                <w:rFonts w:eastAsia="Times New Roman" w:cs="Arial"/>
                <w:color w:val="000000"/>
                <w:sz w:val="16"/>
                <w:szCs w:val="16"/>
                <w:lang w:eastAsia="en-AU"/>
              </w:rPr>
              <w:t>distribution system</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1.3</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1.0</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0.9</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0.9</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0.9</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color w:val="000000"/>
                <w:sz w:val="16"/>
                <w:szCs w:val="24"/>
              </w:rPr>
            </w:pPr>
            <w:r w:rsidRPr="00B03406">
              <w:rPr>
                <w:rFonts w:cs="Arial"/>
                <w:color w:val="000000"/>
                <w:sz w:val="16"/>
              </w:rPr>
              <w:t>5.0</w:t>
            </w:r>
          </w:p>
        </w:tc>
      </w:tr>
      <w:tr w:rsidR="00B03406" w:rsidRPr="006250CD" w:rsidTr="00616B1C">
        <w:trPr>
          <w:trHeight w:val="450"/>
        </w:trPr>
        <w:tc>
          <w:tcPr>
            <w:tcW w:w="1363" w:type="pct"/>
            <w:tcBorders>
              <w:top w:val="nil"/>
              <w:left w:val="nil"/>
              <w:bottom w:val="nil"/>
              <w:right w:val="nil"/>
            </w:tcBorders>
            <w:shd w:val="clear" w:color="000000" w:fill="DBE5F1"/>
            <w:vAlign w:val="center"/>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Pr>
                <w:rFonts w:eastAsia="Times New Roman" w:cs="Arial"/>
                <w:color w:val="000000"/>
                <w:sz w:val="16"/>
                <w:szCs w:val="16"/>
                <w:lang w:eastAsia="en-AU"/>
              </w:rPr>
              <w:t>Escalation</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0.7</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1.8</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2.8</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4.1</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5.5</w:t>
            </w:r>
          </w:p>
        </w:tc>
        <w:tc>
          <w:tcPr>
            <w:tcW w:w="606" w:type="pct"/>
            <w:tcBorders>
              <w:top w:val="nil"/>
              <w:left w:val="nil"/>
              <w:bottom w:val="nil"/>
              <w:right w:val="nil"/>
            </w:tcBorders>
            <w:shd w:val="clear" w:color="000000" w:fill="DBE5F1"/>
            <w:vAlign w:val="center"/>
          </w:tcPr>
          <w:p w:rsidR="00B03406" w:rsidRPr="00B03406" w:rsidRDefault="00B03406" w:rsidP="00B03406">
            <w:pPr>
              <w:rPr>
                <w:rFonts w:cs="Arial"/>
                <w:color w:val="000000"/>
                <w:sz w:val="16"/>
                <w:szCs w:val="24"/>
              </w:rPr>
            </w:pPr>
            <w:r w:rsidRPr="00B03406">
              <w:rPr>
                <w:rFonts w:cs="Arial"/>
                <w:color w:val="000000"/>
                <w:sz w:val="16"/>
              </w:rPr>
              <w:t>14.9</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Overheads</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11.8</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12.9</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12.2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12.3</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11.2</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60.4</w:t>
            </w:r>
          </w:p>
        </w:tc>
      </w:tr>
      <w:tr w:rsidR="00B03406" w:rsidRPr="006250CD" w:rsidTr="00616B1C">
        <w:trPr>
          <w:trHeight w:val="450"/>
        </w:trPr>
        <w:tc>
          <w:tcPr>
            <w:tcW w:w="1363" w:type="pct"/>
            <w:tcBorders>
              <w:top w:val="nil"/>
              <w:left w:val="nil"/>
              <w:bottom w:val="nil"/>
              <w:right w:val="nil"/>
            </w:tcBorders>
            <w:shd w:val="clear" w:color="auto" w:fill="auto"/>
            <w:vAlign w:val="center"/>
            <w:hideMark/>
          </w:tcPr>
          <w:p w:rsidR="00B03406" w:rsidRPr="006250CD" w:rsidRDefault="00B03406"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NET TOTAL CAPITAL EXPENDITURE</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134.7</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147.2</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139.2</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139.3</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126.8</w:t>
            </w:r>
          </w:p>
        </w:tc>
        <w:tc>
          <w:tcPr>
            <w:tcW w:w="606" w:type="pct"/>
            <w:tcBorders>
              <w:top w:val="nil"/>
              <w:left w:val="nil"/>
              <w:bottom w:val="nil"/>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687.3</w:t>
            </w:r>
          </w:p>
        </w:tc>
      </w:tr>
      <w:tr w:rsidR="00B03406" w:rsidRPr="006250CD" w:rsidTr="00616B1C">
        <w:trPr>
          <w:trHeight w:val="450"/>
        </w:trPr>
        <w:tc>
          <w:tcPr>
            <w:tcW w:w="1363" w:type="pct"/>
            <w:tcBorders>
              <w:top w:val="nil"/>
              <w:left w:val="nil"/>
              <w:bottom w:val="nil"/>
              <w:right w:val="nil"/>
            </w:tcBorders>
            <w:shd w:val="clear" w:color="000000" w:fill="DBE5F1"/>
            <w:vAlign w:val="center"/>
            <w:hideMark/>
          </w:tcPr>
          <w:p w:rsidR="00B03406" w:rsidRPr="006250CD" w:rsidRDefault="00B03406" w:rsidP="006250CD">
            <w:pPr>
              <w:spacing w:before="0" w:line="240" w:lineRule="auto"/>
              <w:ind w:firstLineChars="100" w:firstLine="160"/>
              <w:rPr>
                <w:rFonts w:eastAsia="Times New Roman" w:cs="Arial"/>
                <w:color w:val="000000"/>
                <w:sz w:val="16"/>
                <w:szCs w:val="16"/>
                <w:lang w:eastAsia="en-AU"/>
              </w:rPr>
            </w:pPr>
            <w:r w:rsidRPr="006250CD">
              <w:rPr>
                <w:rFonts w:eastAsia="Times New Roman" w:cs="Arial"/>
                <w:color w:val="000000"/>
                <w:sz w:val="16"/>
                <w:szCs w:val="16"/>
                <w:lang w:eastAsia="en-AU"/>
              </w:rPr>
              <w:t>Contributions</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0.6</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0.7</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0.7</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0.9</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0.7</w:t>
            </w:r>
          </w:p>
        </w:tc>
        <w:tc>
          <w:tcPr>
            <w:tcW w:w="606" w:type="pct"/>
            <w:tcBorders>
              <w:top w:val="nil"/>
              <w:left w:val="nil"/>
              <w:bottom w:val="nil"/>
              <w:right w:val="nil"/>
            </w:tcBorders>
            <w:shd w:val="clear" w:color="000000" w:fill="DBE5F1"/>
            <w:vAlign w:val="center"/>
            <w:hideMark/>
          </w:tcPr>
          <w:p w:rsidR="00B03406" w:rsidRPr="00B03406" w:rsidRDefault="00B03406" w:rsidP="00B03406">
            <w:pPr>
              <w:rPr>
                <w:rFonts w:cs="Arial"/>
                <w:color w:val="000000"/>
                <w:sz w:val="16"/>
                <w:szCs w:val="24"/>
              </w:rPr>
            </w:pPr>
            <w:r w:rsidRPr="00B03406">
              <w:rPr>
                <w:rFonts w:cs="Arial"/>
                <w:color w:val="000000"/>
                <w:sz w:val="16"/>
              </w:rPr>
              <w:t>3.6</w:t>
            </w:r>
          </w:p>
        </w:tc>
      </w:tr>
      <w:tr w:rsidR="00B03406" w:rsidRPr="006250CD" w:rsidTr="00616B1C">
        <w:trPr>
          <w:trHeight w:val="450"/>
        </w:trPr>
        <w:tc>
          <w:tcPr>
            <w:tcW w:w="1363" w:type="pct"/>
            <w:tcBorders>
              <w:top w:val="nil"/>
              <w:left w:val="nil"/>
              <w:bottom w:val="single" w:sz="8" w:space="0" w:color="1F497D"/>
              <w:right w:val="nil"/>
            </w:tcBorders>
            <w:shd w:val="clear" w:color="auto" w:fill="auto"/>
            <w:vAlign w:val="center"/>
            <w:hideMark/>
          </w:tcPr>
          <w:p w:rsidR="00B03406" w:rsidRPr="006250CD" w:rsidRDefault="00B03406" w:rsidP="006250CD">
            <w:pPr>
              <w:spacing w:before="0" w:line="240" w:lineRule="auto"/>
              <w:ind w:firstLineChars="100" w:firstLine="161"/>
              <w:rPr>
                <w:rFonts w:eastAsia="Times New Roman" w:cs="Arial"/>
                <w:b/>
                <w:bCs/>
                <w:color w:val="000000"/>
                <w:sz w:val="16"/>
                <w:szCs w:val="16"/>
                <w:lang w:eastAsia="en-AU"/>
              </w:rPr>
            </w:pPr>
            <w:r w:rsidRPr="006250CD">
              <w:rPr>
                <w:rFonts w:eastAsia="Times New Roman" w:cs="Arial"/>
                <w:b/>
                <w:bCs/>
                <w:color w:val="000000"/>
                <w:sz w:val="16"/>
                <w:szCs w:val="16"/>
                <w:lang w:eastAsia="en-AU"/>
              </w:rPr>
              <w:t>GROSS TOTAL CAPITAL EXPENDITURE</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135.4</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147.8</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139.9</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140.2</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127.5</w:t>
            </w:r>
          </w:p>
        </w:tc>
        <w:tc>
          <w:tcPr>
            <w:tcW w:w="606" w:type="pct"/>
            <w:tcBorders>
              <w:top w:val="nil"/>
              <w:left w:val="nil"/>
              <w:bottom w:val="single" w:sz="8" w:space="0" w:color="1F497D"/>
              <w:right w:val="nil"/>
            </w:tcBorders>
            <w:shd w:val="clear" w:color="auto" w:fill="auto"/>
            <w:vAlign w:val="center"/>
            <w:hideMark/>
          </w:tcPr>
          <w:p w:rsidR="00B03406" w:rsidRPr="00B03406" w:rsidRDefault="00B03406" w:rsidP="00B03406">
            <w:pPr>
              <w:rPr>
                <w:rFonts w:cs="Arial"/>
                <w:b/>
                <w:bCs/>
                <w:color w:val="000000"/>
                <w:sz w:val="16"/>
                <w:szCs w:val="24"/>
              </w:rPr>
            </w:pPr>
            <w:r w:rsidRPr="00B03406">
              <w:rPr>
                <w:rFonts w:cs="Arial"/>
                <w:b/>
                <w:bCs/>
                <w:color w:val="000000"/>
                <w:sz w:val="16"/>
              </w:rPr>
              <w:t>690.8</w:t>
            </w:r>
          </w:p>
        </w:tc>
      </w:tr>
    </w:tbl>
    <w:p w:rsidR="005C32B9" w:rsidRDefault="005C32B9" w:rsidP="005C32B9">
      <w:pPr>
        <w:pStyle w:val="AERtablesource"/>
      </w:pPr>
      <w:r w:rsidRPr="00F61681">
        <w:t>Source:</w:t>
      </w:r>
      <w:r w:rsidRPr="00F61681">
        <w:tab/>
      </w:r>
      <w:r w:rsidR="004E2C1F">
        <w:t xml:space="preserve">AGN, </w:t>
      </w:r>
      <w:r w:rsidR="00584A88">
        <w:rPr>
          <w:rStyle w:val="AERtextitalic"/>
        </w:rPr>
        <w:t>SA capex model updated in response to AER query AGN009</w:t>
      </w:r>
      <w:r w:rsidR="004E2C1F">
        <w:t xml:space="preserve">, </w:t>
      </w:r>
      <w:r w:rsidR="00584A88">
        <w:t xml:space="preserve">31 </w:t>
      </w:r>
      <w:r w:rsidR="004E2C1F">
        <w:t>July 2015</w:t>
      </w:r>
      <w:r w:rsidR="00584A88">
        <w:t>.</w:t>
      </w:r>
    </w:p>
    <w:p w:rsidR="005C32B9" w:rsidRDefault="00FB7FF8" w:rsidP="005C32B9">
      <w:r w:rsidRPr="00860E03">
        <w:t xml:space="preserve">The major components of the forecast gross total expenditure </w:t>
      </w:r>
      <w:r w:rsidR="00C64EBF">
        <w:t>over the 2016</w:t>
      </w:r>
      <w:r w:rsidR="005150DE">
        <w:t>–</w:t>
      </w:r>
      <w:r w:rsidR="00C64EBF">
        <w:t xml:space="preserve">21 access arrangement period </w:t>
      </w:r>
      <w:r w:rsidRPr="00860E03">
        <w:t>are</w:t>
      </w:r>
      <w:r>
        <w:t xml:space="preserve"> mains replacement (</w:t>
      </w:r>
      <w:r w:rsidR="005150DE">
        <w:t>55.3</w:t>
      </w:r>
      <w:r>
        <w:t xml:space="preserve"> per cent), growth assets (</w:t>
      </w:r>
      <w:r w:rsidR="005150DE">
        <w:t>13.5</w:t>
      </w:r>
      <w:r>
        <w:t xml:space="preserve"> per cent), overheads (</w:t>
      </w:r>
      <w:r w:rsidR="009519EE">
        <w:t>8.8</w:t>
      </w:r>
      <w:r>
        <w:t> per cent) and IT (8.</w:t>
      </w:r>
      <w:r w:rsidR="005150DE">
        <w:t>8</w:t>
      </w:r>
      <w:r>
        <w:t xml:space="preserve"> per cent)</w:t>
      </w:r>
      <w:r w:rsidR="00554BA2">
        <w:t xml:space="preserve">. This is set out in </w:t>
      </w:r>
      <w:r w:rsidR="005B6148">
        <w:fldChar w:fldCharType="begin"/>
      </w:r>
      <w:r w:rsidR="005B6148">
        <w:instrText xml:space="preserve"> REF  _Ref424750728 \* Lower \h  \* MERGEFORMAT </w:instrText>
      </w:r>
      <w:r w:rsidR="005B6148">
        <w:fldChar w:fldCharType="separate"/>
      </w:r>
      <w:r w:rsidR="004A23D8">
        <w:t xml:space="preserve">figure </w:t>
      </w:r>
      <w:r w:rsidR="004A23D8">
        <w:rPr>
          <w:noProof/>
        </w:rPr>
        <w:t>6.1</w:t>
      </w:r>
      <w:r w:rsidR="005B6148">
        <w:fldChar w:fldCharType="end"/>
      </w:r>
      <w:r w:rsidR="005B6148">
        <w:t>.</w:t>
      </w:r>
    </w:p>
    <w:p w:rsidR="00C50000" w:rsidRDefault="00C50000" w:rsidP="00C50000">
      <w:pPr>
        <w:pStyle w:val="Caption"/>
      </w:pPr>
      <w:bookmarkStart w:id="24" w:name="_Ref424750728"/>
      <w:proofErr w:type="gramStart"/>
      <w:r>
        <w:t xml:space="preserve">Figure </w:t>
      </w:r>
      <w:fldSimple w:instr=" STYLEREF 1 \s ">
        <w:r w:rsidR="00436517">
          <w:rPr>
            <w:noProof/>
          </w:rPr>
          <w:t>6</w:t>
        </w:r>
      </w:fldSimple>
      <w:r w:rsidR="00436517">
        <w:t>.</w:t>
      </w:r>
      <w:proofErr w:type="gramEnd"/>
      <w:r w:rsidR="00436517">
        <w:fldChar w:fldCharType="begin"/>
      </w:r>
      <w:r w:rsidR="00436517">
        <w:instrText xml:space="preserve"> SEQ Figure \* ARABIC \s 1 </w:instrText>
      </w:r>
      <w:r w:rsidR="00436517">
        <w:fldChar w:fldCharType="separate"/>
      </w:r>
      <w:r w:rsidR="00436517">
        <w:rPr>
          <w:noProof/>
        </w:rPr>
        <w:t>1</w:t>
      </w:r>
      <w:r w:rsidR="00436517">
        <w:fldChar w:fldCharType="end"/>
      </w:r>
      <w:bookmarkEnd w:id="24"/>
      <w:r>
        <w:tab/>
      </w:r>
      <w:bookmarkStart w:id="25" w:name="_Ref332192813"/>
      <w:r w:rsidRPr="0067512E">
        <w:t>Com</w:t>
      </w:r>
      <w:r>
        <w:t xml:space="preserve">position </w:t>
      </w:r>
      <w:r w:rsidRPr="0067512E">
        <w:t xml:space="preserve">of </w:t>
      </w:r>
      <w:r>
        <w:t>AGN's</w:t>
      </w:r>
      <w:r w:rsidRPr="00981872">
        <w:t xml:space="preserve"> total capex</w:t>
      </w:r>
      <w:r>
        <w:t xml:space="preserve"> for 2016–21 </w:t>
      </w:r>
      <w:bookmarkEnd w:id="25"/>
    </w:p>
    <w:p w:rsidR="00346F91" w:rsidRPr="00346F91" w:rsidRDefault="002926A9" w:rsidP="00346F91">
      <w:r>
        <w:rPr>
          <w:noProof/>
          <w:lang w:eastAsia="en-AU"/>
        </w:rPr>
        <w:drawing>
          <wp:inline distT="0" distB="0" distL="0" distR="0" wp14:anchorId="29688585" wp14:editId="29D71A48">
            <wp:extent cx="6271260" cy="419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260" cy="4191000"/>
                    </a:xfrm>
                    <a:prstGeom prst="rect">
                      <a:avLst/>
                    </a:prstGeom>
                    <a:noFill/>
                  </pic:spPr>
                </pic:pic>
              </a:graphicData>
            </a:graphic>
          </wp:inline>
        </w:drawing>
      </w:r>
    </w:p>
    <w:p w:rsidR="00346F91" w:rsidRPr="00346F91" w:rsidRDefault="00346F91" w:rsidP="00346F91">
      <w:pPr>
        <w:pStyle w:val="AERtablesource"/>
      </w:pPr>
      <w:r>
        <w:rPr>
          <w:rFonts w:eastAsia="Calibri"/>
        </w:rPr>
        <w:t xml:space="preserve">Source: </w:t>
      </w:r>
      <w:r>
        <w:rPr>
          <w:rFonts w:eastAsia="Calibri"/>
        </w:rPr>
        <w:tab/>
      </w:r>
      <w:r w:rsidRPr="00205A3C">
        <w:rPr>
          <w:rFonts w:eastAsia="Calibri"/>
        </w:rPr>
        <w:t>AER analysis</w:t>
      </w:r>
      <w:r>
        <w:rPr>
          <w:rFonts w:eastAsia="Calibri"/>
        </w:rPr>
        <w:t>.</w:t>
      </w:r>
    </w:p>
    <w:p w:rsidR="009A5113" w:rsidRDefault="009A5113" w:rsidP="009A5113">
      <w:pPr>
        <w:pStyle w:val="Heading2"/>
      </w:pPr>
      <w:bookmarkStart w:id="26" w:name="_Toc408404322"/>
      <w:bookmarkStart w:id="27" w:name="_Toc436053694"/>
      <w:r w:rsidRPr="0074565D">
        <w:t>AER’s assessment approach</w:t>
      </w:r>
      <w:bookmarkEnd w:id="26"/>
      <w:bookmarkEnd w:id="27"/>
    </w:p>
    <w:p w:rsidR="00346F91" w:rsidRDefault="00C64EBF" w:rsidP="00346F91">
      <w:r>
        <w:t>Under the NGR, w</w:t>
      </w:r>
      <w:r w:rsidR="00346F91" w:rsidRPr="00F745EE">
        <w:t xml:space="preserve">e </w:t>
      </w:r>
      <w:r>
        <w:t xml:space="preserve">are required to </w:t>
      </w:r>
      <w:r w:rsidR="00346F91" w:rsidRPr="00F745EE">
        <w:t xml:space="preserve">make two decisions regarding </w:t>
      </w:r>
      <w:r w:rsidR="00346F91">
        <w:t>A</w:t>
      </w:r>
      <w:r w:rsidR="00346F91" w:rsidRPr="00F745EE">
        <w:t xml:space="preserve">GN's capex. First, we are required to assess past </w:t>
      </w:r>
      <w:r w:rsidR="00046F5B">
        <w:t>capex</w:t>
      </w:r>
      <w:r w:rsidR="00046F5B" w:rsidRPr="00F745EE">
        <w:t xml:space="preserve"> </w:t>
      </w:r>
      <w:r w:rsidR="00346F91" w:rsidRPr="00F745EE">
        <w:t>and determine whether it meets the criteria set out in the NGR</w:t>
      </w:r>
      <w:r w:rsidR="008D3C1A">
        <w:t xml:space="preserve">, with approved capex </w:t>
      </w:r>
      <w:r w:rsidR="00346F91" w:rsidRPr="00F745EE">
        <w:t>added to the starting capital base.</w:t>
      </w:r>
      <w:r w:rsidR="00346F91" w:rsidRPr="00F745EE">
        <w:rPr>
          <w:rStyle w:val="FootnoteReference"/>
        </w:rPr>
        <w:footnoteReference w:id="4"/>
      </w:r>
      <w:r w:rsidR="00346F91" w:rsidRPr="00F745EE">
        <w:t xml:space="preserve"> Where capex meets these criteria, it is referred to as "conforming".</w:t>
      </w:r>
      <w:r w:rsidR="00346F91" w:rsidRPr="00F745EE">
        <w:rPr>
          <w:rStyle w:val="FootnoteReference"/>
        </w:rPr>
        <w:footnoteReference w:id="5"/>
      </w:r>
      <w:r w:rsidR="00346F91" w:rsidRPr="00F745EE">
        <w:t xml:space="preserve"> Secondly, we are required to assess </w:t>
      </w:r>
      <w:r w:rsidR="00346F91">
        <w:t>A</w:t>
      </w:r>
      <w:r w:rsidR="00346F91" w:rsidRPr="00F745EE">
        <w:t>GN's proposed forecast of required capex for the 201</w:t>
      </w:r>
      <w:r w:rsidR="00346F91">
        <w:t>6</w:t>
      </w:r>
      <w:r w:rsidR="00554BA2">
        <w:t>–</w:t>
      </w:r>
      <w:r w:rsidR="00346F91" w:rsidRPr="00F745EE">
        <w:t>2</w:t>
      </w:r>
      <w:r w:rsidR="00346F91">
        <w:t>1</w:t>
      </w:r>
      <w:r w:rsidR="00346F91" w:rsidRPr="00F745EE">
        <w:t xml:space="preserve"> </w:t>
      </w:r>
      <w:r w:rsidR="00554BA2">
        <w:t xml:space="preserve">access arrangement </w:t>
      </w:r>
      <w:r w:rsidR="00346F91" w:rsidRPr="00F745EE">
        <w:t>period</w:t>
      </w:r>
      <w:r w:rsidR="00346F91">
        <w:t xml:space="preserve"> to determine whether it is 'conforming</w:t>
      </w:r>
      <w:r w:rsidR="00346F91" w:rsidRPr="00F745EE">
        <w:t>.</w:t>
      </w:r>
      <w:r w:rsidR="00346F91">
        <w:t>'</w:t>
      </w:r>
      <w:r w:rsidR="00346F91" w:rsidRPr="00F745EE">
        <w:t xml:space="preserve"> The following sections set out our approach and the tools and techniques we employ in forming a view on these</w:t>
      </w:r>
      <w:r w:rsidR="00346F91">
        <w:t xml:space="preserve"> </w:t>
      </w:r>
      <w:r w:rsidR="00346F91" w:rsidRPr="00F745EE">
        <w:t xml:space="preserve">two </w:t>
      </w:r>
      <w:r w:rsidR="008D3C1A">
        <w:t>decisions</w:t>
      </w:r>
      <w:r w:rsidR="00346F91" w:rsidRPr="00F745EE">
        <w:t>. We also need to take into account timing issues associated with the lag between actual capex data being available and the need to forecast an opening capital base. This is explained in the next section.</w:t>
      </w:r>
    </w:p>
    <w:p w:rsidR="00A05144" w:rsidRPr="00F745EE" w:rsidRDefault="00A05144" w:rsidP="009062F9">
      <w:pPr>
        <w:pStyle w:val="Heading3"/>
        <w:keepNext/>
        <w:rPr>
          <w:rFonts w:eastAsia="Calibri"/>
        </w:rPr>
      </w:pPr>
      <w:bookmarkStart w:id="28" w:name="_Toc404675962"/>
      <w:bookmarkStart w:id="29" w:name="_Toc404676290"/>
      <w:bookmarkStart w:id="30" w:name="_Toc436053695"/>
      <w:r w:rsidRPr="00F745EE">
        <w:rPr>
          <w:rFonts w:eastAsia="Calibri"/>
        </w:rPr>
        <w:t xml:space="preserve">NGR </w:t>
      </w:r>
      <w:r w:rsidRPr="00A05144">
        <w:t>requirements</w:t>
      </w:r>
      <w:r w:rsidRPr="00F745EE">
        <w:rPr>
          <w:rFonts w:eastAsia="Calibri"/>
        </w:rPr>
        <w:t xml:space="preserve"> for conforming capital expenditure</w:t>
      </w:r>
      <w:bookmarkEnd w:id="28"/>
      <w:bookmarkEnd w:id="29"/>
      <w:bookmarkEnd w:id="30"/>
    </w:p>
    <w:p w:rsidR="00A05144" w:rsidRPr="00A05144" w:rsidRDefault="00A05144" w:rsidP="004E2C1F">
      <w:pPr>
        <w:pStyle w:val="AERbulletlistfirststyle"/>
        <w:numPr>
          <w:ilvl w:val="0"/>
          <w:numId w:val="0"/>
        </w:numPr>
      </w:pPr>
      <w:r w:rsidRPr="00A05144">
        <w:t>Capex is defined as costs and expenditure of a capital nature incurred to provide, or in providing, pipeline services</w:t>
      </w:r>
      <w:r w:rsidR="00BE7743">
        <w:t>.</w:t>
      </w:r>
      <w:r w:rsidR="00BE7743">
        <w:rPr>
          <w:rStyle w:val="FootnoteReference"/>
        </w:rPr>
        <w:footnoteReference w:id="6"/>
      </w:r>
      <w:r w:rsidR="00BE7743">
        <w:t xml:space="preserve"> It </w:t>
      </w:r>
      <w:r w:rsidRPr="00A05144">
        <w:t xml:space="preserve">is based on a forecast or estimate which </w:t>
      </w:r>
      <w:r w:rsidR="00BE7743">
        <w:t xml:space="preserve">must be </w:t>
      </w:r>
      <w:r w:rsidRPr="00A05144">
        <w:t>supported by a statement of the basis of the forecast or estimate.</w:t>
      </w:r>
      <w:r w:rsidR="00BE7743">
        <w:rPr>
          <w:rStyle w:val="FootnoteReference"/>
        </w:rPr>
        <w:footnoteReference w:id="7"/>
      </w:r>
      <w:r w:rsidRPr="00A05144">
        <w:t xml:space="preserve"> </w:t>
      </w:r>
      <w:r w:rsidR="00BE7743">
        <w:t>A</w:t>
      </w:r>
      <w:r w:rsidRPr="00A05144">
        <w:t>ny forecast or estimate submitted must:</w:t>
      </w:r>
    </w:p>
    <w:p w:rsidR="00A05144" w:rsidRPr="00A05144" w:rsidRDefault="00A05144" w:rsidP="004E2C1F">
      <w:pPr>
        <w:pStyle w:val="AERbulletlistfirststyle"/>
      </w:pPr>
      <w:r w:rsidRPr="00A05144">
        <w:t>be arrived at on a reasonable basis; and</w:t>
      </w:r>
    </w:p>
    <w:p w:rsidR="00A05144" w:rsidRPr="00A05144" w:rsidRDefault="00A05144" w:rsidP="004E2C1F">
      <w:pPr>
        <w:pStyle w:val="AERbulletlistfirststyle"/>
      </w:pPr>
      <w:r w:rsidRPr="00A05144">
        <w:t>represent the best forecast or estimate possible in the circumstances.</w:t>
      </w:r>
      <w:r w:rsidRPr="00A05144">
        <w:rPr>
          <w:rStyle w:val="FootnoteReference"/>
        </w:rPr>
        <w:footnoteReference w:id="8"/>
      </w:r>
    </w:p>
    <w:p w:rsidR="00A05144" w:rsidRPr="00A05144" w:rsidRDefault="00BE7743" w:rsidP="004E2C1F">
      <w:pPr>
        <w:pStyle w:val="AERbulletlistfirststyle"/>
        <w:numPr>
          <w:ilvl w:val="0"/>
          <w:numId w:val="0"/>
        </w:numPr>
      </w:pPr>
      <w:r>
        <w:t xml:space="preserve">Capex is conforming capital expenditure if it </w:t>
      </w:r>
      <w:r w:rsidR="00A05144" w:rsidRPr="00A05144">
        <w:t xml:space="preserve">conforms </w:t>
      </w:r>
      <w:proofErr w:type="gramStart"/>
      <w:r w:rsidR="00A05144" w:rsidRPr="00A05144">
        <w:t>with</w:t>
      </w:r>
      <w:proofErr w:type="gramEnd"/>
      <w:r w:rsidR="00A05144" w:rsidRPr="00A05144">
        <w:t xml:space="preserve"> the criteria in r</w:t>
      </w:r>
      <w:r w:rsidR="00D019F4">
        <w:t>ule</w:t>
      </w:r>
      <w:r w:rsidR="00A05144" w:rsidRPr="00A05144">
        <w:t xml:space="preserve"> 79 of the NGR. There are two essential criteria that must both be met under this rule:</w:t>
      </w:r>
    </w:p>
    <w:p w:rsidR="00A05144" w:rsidRPr="00A05144" w:rsidRDefault="00A05144" w:rsidP="004E2C1F">
      <w:pPr>
        <w:pStyle w:val="AERbulletlistfirststyle"/>
      </w:pPr>
      <w:r w:rsidRPr="00A05144">
        <w:t xml:space="preserve">The expenditure must be such as would be incurred by a prudent service provider acting efficiently, in accordance with good industry practice, to achieve the lowest sustainable cost of providing services; and </w:t>
      </w:r>
    </w:p>
    <w:p w:rsidR="00A05144" w:rsidRPr="00A05144" w:rsidRDefault="00A05144" w:rsidP="004E2C1F">
      <w:pPr>
        <w:pStyle w:val="AERbulletlistfirststyle"/>
      </w:pPr>
      <w:r w:rsidRPr="00A05144">
        <w:t>The expenditure must be justifiable on one of four grounds set out in r</w:t>
      </w:r>
      <w:r w:rsidR="00D019F4">
        <w:t>ule</w:t>
      </w:r>
      <w:r w:rsidRPr="00A05144">
        <w:t xml:space="preserve"> 79(2) of the NGR.</w:t>
      </w:r>
    </w:p>
    <w:p w:rsidR="00A05144" w:rsidRPr="00F745EE" w:rsidRDefault="00A05144" w:rsidP="00A05144">
      <w:r w:rsidRPr="00F745EE">
        <w:t>The four grounds set out in r</w:t>
      </w:r>
      <w:r w:rsidR="00D019F4">
        <w:t>ule</w:t>
      </w:r>
      <w:r w:rsidRPr="00F745EE">
        <w:t xml:space="preserve"> 79(2) of the NGR can be summarised as follows. The capex must either:</w:t>
      </w:r>
    </w:p>
    <w:p w:rsidR="00A05144" w:rsidRPr="00A05144" w:rsidRDefault="00A05144" w:rsidP="00A05144">
      <w:pPr>
        <w:pStyle w:val="AERbulletlistfirststyle"/>
      </w:pPr>
      <w:r w:rsidRPr="00A05144">
        <w:t>have an overall economic value that is positive</w:t>
      </w:r>
    </w:p>
    <w:p w:rsidR="00A05144" w:rsidRPr="00A05144" w:rsidRDefault="00A05144" w:rsidP="00A05144">
      <w:pPr>
        <w:pStyle w:val="AERbulletlistfirststyle"/>
      </w:pPr>
      <w:r w:rsidRPr="00A05144">
        <w:t xml:space="preserve">demonstrate an expected present value of the incremental revenue that exceeds the </w:t>
      </w:r>
      <w:r w:rsidR="00046F5B">
        <w:t>present value of the capex</w:t>
      </w:r>
    </w:p>
    <w:p w:rsidR="00A05144" w:rsidRPr="00A05144" w:rsidRDefault="00A05144" w:rsidP="00A05144">
      <w:pPr>
        <w:pStyle w:val="AERbulletlistfirststyle"/>
      </w:pPr>
      <w:r w:rsidRPr="00A05144">
        <w:t>be necessary to maintain and improve the safety of services, or maintain the integrity of services, or comply with a regulatory obligation or requirement, or maintain capacity to meet levels of demand existing at the time the capex is incurred, or</w:t>
      </w:r>
    </w:p>
    <w:p w:rsidR="00A05144" w:rsidRPr="00F745EE" w:rsidRDefault="00A05144" w:rsidP="00A05144">
      <w:pPr>
        <w:pStyle w:val="AERbulletlistfirststyle"/>
      </w:pPr>
      <w:r w:rsidRPr="00A05144">
        <w:t>be justifiable as a combination of the preceding two dot points.</w:t>
      </w:r>
    </w:p>
    <w:p w:rsidR="00A05144" w:rsidRPr="00F745EE" w:rsidRDefault="00A05144" w:rsidP="004E2C1F">
      <w:r w:rsidRPr="00F745EE">
        <w:t>Rule 79(3) of the NGR provides:</w:t>
      </w:r>
    </w:p>
    <w:p w:rsidR="00A05144" w:rsidRPr="00F745EE" w:rsidRDefault="00A05144" w:rsidP="00A05144">
      <w:pPr>
        <w:pStyle w:val="AERquoteindent1"/>
        <w:rPr>
          <w:rFonts w:eastAsia="Calibri"/>
        </w:rPr>
      </w:pPr>
      <w:r w:rsidRPr="00F745EE">
        <w:rPr>
          <w:rFonts w:eastAsia="Calibri"/>
        </w:rPr>
        <w:t>In deciding whether the overall economic value of capital expenditure is positive, consideration is to be given only to economic value directly accruing to the service provider, gas providers, users and end users.</w:t>
      </w:r>
    </w:p>
    <w:p w:rsidR="00A05144" w:rsidRPr="00F745EE" w:rsidRDefault="00A05144" w:rsidP="00A05144">
      <w:pPr>
        <w:numPr>
          <w:ilvl w:val="0"/>
          <w:numId w:val="24"/>
        </w:numPr>
        <w:spacing w:before="0" w:after="240" w:line="288" w:lineRule="auto"/>
        <w:jc w:val="both"/>
        <w:rPr>
          <w:rFonts w:eastAsia="Calibri"/>
        </w:rPr>
      </w:pPr>
      <w:r>
        <w:rPr>
          <w:rFonts w:eastAsia="Calibri"/>
        </w:rPr>
        <w:t>We have</w:t>
      </w:r>
      <w:r w:rsidRPr="00F745EE">
        <w:rPr>
          <w:rFonts w:eastAsia="Calibri"/>
        </w:rPr>
        <w:t xml:space="preserve"> limited discretion when making decisions under r</w:t>
      </w:r>
      <w:r w:rsidR="00D019F4">
        <w:rPr>
          <w:rFonts w:eastAsia="Calibri"/>
        </w:rPr>
        <w:t>ule</w:t>
      </w:r>
      <w:r w:rsidRPr="00F745EE">
        <w:rPr>
          <w:rFonts w:eastAsia="Calibri"/>
        </w:rPr>
        <w:t xml:space="preserve"> 79 of the NGR.</w:t>
      </w:r>
      <w:r w:rsidRPr="00F745EE">
        <w:rPr>
          <w:rStyle w:val="FootnoteReference"/>
          <w:rFonts w:eastAsia="Calibri"/>
        </w:rPr>
        <w:footnoteReference w:id="9"/>
      </w:r>
      <w:r w:rsidRPr="00F745EE">
        <w:rPr>
          <w:rFonts w:eastAsia="Calibri"/>
        </w:rPr>
        <w:t xml:space="preserve"> This means that </w:t>
      </w:r>
      <w:r>
        <w:rPr>
          <w:rFonts w:eastAsia="Calibri"/>
        </w:rPr>
        <w:t>we</w:t>
      </w:r>
      <w:r w:rsidRPr="00F745EE">
        <w:rPr>
          <w:rFonts w:eastAsia="Calibri"/>
        </w:rPr>
        <w:t xml:space="preserve"> must approve a particular element of the access arrangement proposal if </w:t>
      </w:r>
      <w:r>
        <w:rPr>
          <w:rFonts w:eastAsia="Calibri"/>
        </w:rPr>
        <w:t>we are</w:t>
      </w:r>
      <w:r w:rsidRPr="00F745EE">
        <w:rPr>
          <w:rFonts w:eastAsia="Calibri"/>
        </w:rPr>
        <w:t xml:space="preserve"> satisfied that </w:t>
      </w:r>
      <w:r w:rsidR="008D3C1A">
        <w:rPr>
          <w:rFonts w:eastAsia="Calibri"/>
        </w:rPr>
        <w:t xml:space="preserve">the </w:t>
      </w:r>
      <w:r w:rsidRPr="00F745EE">
        <w:rPr>
          <w:rFonts w:eastAsia="Calibri"/>
        </w:rPr>
        <w:t>element complies with the applicable requirements of the NGR and NGL and is consistent with any criteria set out in the NGR or NGL.</w:t>
      </w:r>
      <w:r w:rsidRPr="00F745EE">
        <w:rPr>
          <w:rStyle w:val="FootnoteReference"/>
          <w:rFonts w:eastAsia="Calibri"/>
        </w:rPr>
        <w:footnoteReference w:id="10"/>
      </w:r>
    </w:p>
    <w:p w:rsidR="00A05144" w:rsidRPr="00F745EE" w:rsidRDefault="00A05144" w:rsidP="005137F8">
      <w:pPr>
        <w:pStyle w:val="Heading3"/>
        <w:rPr>
          <w:rFonts w:eastAsia="Calibri"/>
        </w:rPr>
      </w:pPr>
      <w:bookmarkStart w:id="31" w:name="_Toc404675963"/>
      <w:bookmarkStart w:id="32" w:name="_Toc404676291"/>
      <w:bookmarkStart w:id="33" w:name="_Toc436053696"/>
      <w:r w:rsidRPr="00F745EE">
        <w:rPr>
          <w:rFonts w:eastAsia="Calibri"/>
        </w:rPr>
        <w:t>Assessment of conforming capital expenditure</w:t>
      </w:r>
      <w:r>
        <w:rPr>
          <w:rFonts w:eastAsia="Calibri"/>
        </w:rPr>
        <w:t xml:space="preserve"> in the previous period</w:t>
      </w:r>
      <w:bookmarkEnd w:id="31"/>
      <w:bookmarkEnd w:id="32"/>
      <w:bookmarkEnd w:id="33"/>
    </w:p>
    <w:p w:rsidR="00A05144" w:rsidRPr="00F745EE" w:rsidRDefault="00A05144" w:rsidP="00046F5B">
      <w:pPr>
        <w:rPr>
          <w:rStyle w:val="AERbody"/>
          <w:rFonts w:eastAsia="Calibri"/>
        </w:rPr>
      </w:pPr>
      <w:r w:rsidRPr="00F745EE">
        <w:rPr>
          <w:rStyle w:val="AERbody"/>
          <w:rFonts w:eastAsia="Calibri"/>
        </w:rPr>
        <w:t xml:space="preserve">In assessing </w:t>
      </w:r>
      <w:r>
        <w:rPr>
          <w:rStyle w:val="AERbody"/>
          <w:rFonts w:eastAsia="Calibri"/>
        </w:rPr>
        <w:t>A</w:t>
      </w:r>
      <w:r w:rsidRPr="00F745EE">
        <w:rPr>
          <w:rStyle w:val="AERbody"/>
          <w:rFonts w:eastAsia="Calibri"/>
        </w:rPr>
        <w:t xml:space="preserve">GN’s proposed capex in the earlier access arrangement period, we reviewed </w:t>
      </w:r>
      <w:r>
        <w:rPr>
          <w:rStyle w:val="AERbody"/>
          <w:rFonts w:eastAsia="Calibri"/>
        </w:rPr>
        <w:t>A</w:t>
      </w:r>
      <w:r w:rsidRPr="00F745EE">
        <w:rPr>
          <w:rStyle w:val="AERbody"/>
          <w:rFonts w:eastAsia="Calibri"/>
        </w:rPr>
        <w:t>GN's supporting material</w:t>
      </w:r>
      <w:r>
        <w:rPr>
          <w:rStyle w:val="AERbody"/>
          <w:rFonts w:eastAsia="Calibri"/>
        </w:rPr>
        <w:t>. This included information on A</w:t>
      </w:r>
      <w:r w:rsidRPr="00F745EE">
        <w:rPr>
          <w:rStyle w:val="AERbody"/>
          <w:rFonts w:eastAsia="Calibri"/>
        </w:rPr>
        <w:t>GN's reasoning and, where relevant, business cases, audited regulatory accounts, and other relevant information. This information helped us identify whether capex over the earlier access arrangement period was conforming capex and, in turn, whether that capex should be included in the opening capital base in accordance with r</w:t>
      </w:r>
      <w:r w:rsidR="00D019F4">
        <w:rPr>
          <w:rStyle w:val="AERbody"/>
          <w:rFonts w:eastAsia="Calibri"/>
        </w:rPr>
        <w:t>ule</w:t>
      </w:r>
      <w:r w:rsidRPr="00F745EE">
        <w:rPr>
          <w:rStyle w:val="AERbody"/>
          <w:rFonts w:eastAsia="Calibri"/>
        </w:rPr>
        <w:t xml:space="preserve"> 77(2)(b) of the NGR.</w:t>
      </w:r>
    </w:p>
    <w:p w:rsidR="00A05144" w:rsidRPr="00F745EE" w:rsidRDefault="00A05144" w:rsidP="004E2C1F">
      <w:r w:rsidRPr="00F745EE">
        <w:t xml:space="preserve">We do not approve certain information and forecasts provided by </w:t>
      </w:r>
      <w:r>
        <w:t>A</w:t>
      </w:r>
      <w:r w:rsidRPr="00F745EE">
        <w:t>GN if the information does not meet the requirements set out in the NGR.</w:t>
      </w:r>
      <w:r w:rsidRPr="00F745EE">
        <w:rPr>
          <w:rStyle w:val="FootnoteReference"/>
        </w:rPr>
        <w:footnoteReference w:id="11"/>
      </w:r>
      <w:r w:rsidRPr="00F745EE">
        <w:t xml:space="preserve"> </w:t>
      </w:r>
      <w:r>
        <w:t>We must</w:t>
      </w:r>
      <w:r w:rsidRPr="00F745EE">
        <w:t xml:space="preserve"> exercise </w:t>
      </w:r>
      <w:r>
        <w:t>our</w:t>
      </w:r>
      <w:r w:rsidRPr="00F745EE">
        <w:t xml:space="preserve"> economic regulatory functions in a manner that will or is likely to contribute to the achievement of the NGO.</w:t>
      </w:r>
      <w:r w:rsidRPr="00F745EE">
        <w:rPr>
          <w:rStyle w:val="FootnoteReference"/>
        </w:rPr>
        <w:footnoteReference w:id="12"/>
      </w:r>
      <w:r w:rsidRPr="00F745EE">
        <w:t xml:space="preserve"> For instance, having regard to the NGO, </w:t>
      </w:r>
      <w:r>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A05144" w:rsidRPr="00F745EE" w:rsidRDefault="00A05144" w:rsidP="004E2C1F">
      <w:pPr>
        <w:rPr>
          <w:rStyle w:val="AERbody"/>
        </w:rPr>
      </w:pPr>
      <w:r w:rsidRPr="00F745EE">
        <w:rPr>
          <w:rStyle w:val="AERbody"/>
        </w:rPr>
        <w:t>Although the capital base roll forward relates to the 201</w:t>
      </w:r>
      <w:r>
        <w:rPr>
          <w:rStyle w:val="AERbody"/>
        </w:rPr>
        <w:t>1</w:t>
      </w:r>
      <w:r w:rsidRPr="00F745EE">
        <w:rPr>
          <w:rStyle w:val="AERbody"/>
        </w:rPr>
        <w:t>–1</w:t>
      </w:r>
      <w:r>
        <w:rPr>
          <w:rStyle w:val="AERbody"/>
        </w:rPr>
        <w:t>6</w:t>
      </w:r>
      <w:r w:rsidRPr="00F745EE">
        <w:rPr>
          <w:rStyle w:val="AERbody"/>
        </w:rPr>
        <w:t xml:space="preserve"> access arrangement period, we are also required to adjust for the difference between actual and forecast capex in the capital base.</w:t>
      </w:r>
      <w:r w:rsidRPr="00F745EE">
        <w:rPr>
          <w:rStyle w:val="FootnoteReference"/>
        </w:rPr>
        <w:footnoteReference w:id="13"/>
      </w:r>
      <w:r w:rsidRPr="00F745EE">
        <w:rPr>
          <w:rStyle w:val="AERbody"/>
        </w:rPr>
        <w:t xml:space="preserve"> Generally, the final year of the previous access arrangement period is based on forecast capex (in this case, 20</w:t>
      </w:r>
      <w:r>
        <w:rPr>
          <w:rStyle w:val="AERbody"/>
        </w:rPr>
        <w:t>1</w:t>
      </w:r>
      <w:r w:rsidRPr="00F745EE">
        <w:rPr>
          <w:rStyle w:val="AERbody"/>
        </w:rPr>
        <w:t>0</w:t>
      </w:r>
      <w:r w:rsidR="00E34C0D">
        <w:rPr>
          <w:rStyle w:val="AERbody"/>
        </w:rPr>
        <w:t>–</w:t>
      </w:r>
      <w:r w:rsidRPr="00F745EE">
        <w:rPr>
          <w:rStyle w:val="AERbody"/>
        </w:rPr>
        <w:t>1</w:t>
      </w:r>
      <w:r>
        <w:rPr>
          <w:rStyle w:val="AERbody"/>
        </w:rPr>
        <w:t>1</w:t>
      </w:r>
      <w:r w:rsidRPr="00F745EE">
        <w:rPr>
          <w:rStyle w:val="AERbody"/>
        </w:rPr>
        <w:t>). Therefore, our assessment of conforming capex includes the regulatory years for 20</w:t>
      </w:r>
      <w:r>
        <w:rPr>
          <w:rStyle w:val="AERbody"/>
        </w:rPr>
        <w:t>1</w:t>
      </w:r>
      <w:r w:rsidRPr="00F745EE">
        <w:rPr>
          <w:rStyle w:val="AERbody"/>
        </w:rPr>
        <w:t>0–1</w:t>
      </w:r>
      <w:r>
        <w:rPr>
          <w:rStyle w:val="AERbody"/>
        </w:rPr>
        <w:t>5</w:t>
      </w:r>
      <w:r w:rsidRPr="00F745EE">
        <w:rPr>
          <w:rStyle w:val="AERbody"/>
        </w:rPr>
        <w:t>. This is because:</w:t>
      </w:r>
    </w:p>
    <w:p w:rsidR="00A05144" w:rsidRPr="002665C1" w:rsidRDefault="00A05144" w:rsidP="009062F9">
      <w:pPr>
        <w:pStyle w:val="AERbulletlistfirststyle"/>
        <w:rPr>
          <w:rStyle w:val="AERbody"/>
          <w:rFonts w:cstheme="minorBidi"/>
        </w:rPr>
      </w:pPr>
      <w:r w:rsidRPr="004A23D8">
        <w:rPr>
          <w:rStyle w:val="AERbody"/>
        </w:rPr>
        <w:t>2010–11 capex—when conducting the previous access arrangement review, we did not yet have actual capex for 2010–11. We therefore included in the capital base benchmark AGN's estimate of capex for 2010–11. Since actual capex is now available for 2010–11, we have assessed whether AGN’s actual capex for 2010–11 is conforming capex under the NGR.</w:t>
      </w:r>
      <w:r w:rsidRPr="009062F9">
        <w:rPr>
          <w:rStyle w:val="FootnoteReference"/>
          <w:vertAlign w:val="baseline"/>
        </w:rPr>
        <w:footnoteReference w:id="14"/>
      </w:r>
      <w:r w:rsidRPr="004A23D8">
        <w:rPr>
          <w:rStyle w:val="AERbody"/>
        </w:rPr>
        <w:t xml:space="preserve"> This conforming capex is now included in the capital base roll forward.</w:t>
      </w:r>
      <w:r w:rsidRPr="009062F9">
        <w:rPr>
          <w:rStyle w:val="FootnoteReference"/>
          <w:vertAlign w:val="baseline"/>
        </w:rPr>
        <w:footnoteReference w:id="15"/>
      </w:r>
    </w:p>
    <w:p w:rsidR="00A05144" w:rsidRPr="002665C1" w:rsidRDefault="00A05144" w:rsidP="009062F9">
      <w:pPr>
        <w:pStyle w:val="AERbulletlistfirststyle"/>
        <w:rPr>
          <w:rStyle w:val="AERbody"/>
          <w:rFonts w:cstheme="minorBidi"/>
        </w:rPr>
      </w:pPr>
      <w:r w:rsidRPr="004A23D8">
        <w:rPr>
          <w:rStyle w:val="AERbody"/>
        </w:rPr>
        <w:t>2011–15 capex—for this access arrangement review, we have the actual capex for 2011–15. We have assessed whether AGN’s actual capex for 2011–15 is conforming under the NGR for inclusion in the capital base roll forward.</w:t>
      </w:r>
      <w:r w:rsidRPr="009062F9">
        <w:rPr>
          <w:rStyle w:val="FootnoteReference"/>
          <w:vertAlign w:val="baseline"/>
        </w:rPr>
        <w:footnoteReference w:id="16"/>
      </w:r>
      <w:r w:rsidRPr="004A23D8">
        <w:rPr>
          <w:rStyle w:val="AERbody"/>
        </w:rPr>
        <w:t xml:space="preserve"> </w:t>
      </w:r>
    </w:p>
    <w:p w:rsidR="00A05144" w:rsidRPr="00F745EE" w:rsidRDefault="00A05144" w:rsidP="009062F9">
      <w:pPr>
        <w:pStyle w:val="AERbulletlistfirststyle"/>
        <w:rPr>
          <w:rStyle w:val="AERbody"/>
          <w:rFonts w:cstheme="minorBidi"/>
        </w:rPr>
      </w:pPr>
      <w:r w:rsidRPr="004A23D8">
        <w:rPr>
          <w:rStyle w:val="AERbody"/>
        </w:rPr>
        <w:t xml:space="preserve">2015–16 capex—for this access arrangement review, we do not yet have actual capex for 2015–16. We have therefore included in the capital base roll forward AGN's estimate of capex for 2015–16. At the next access arrangement review, we </w:t>
      </w:r>
      <w:r w:rsidRPr="009062F9">
        <w:t>will assess whether AGN’s actual capex for 2015–16 is conforming capex under the NGR</w:t>
      </w:r>
      <w:r w:rsidRPr="00F745EE">
        <w:rPr>
          <w:rStyle w:val="AERbody"/>
        </w:rPr>
        <w:t>.</w:t>
      </w:r>
      <w:r w:rsidRPr="00F745EE">
        <w:rPr>
          <w:rStyle w:val="FootnoteReference"/>
        </w:rPr>
        <w:footnoteReference w:id="17"/>
      </w:r>
      <w:r w:rsidRPr="00F745EE">
        <w:rPr>
          <w:rStyle w:val="AERbody"/>
        </w:rPr>
        <w:t xml:space="preserve"> </w:t>
      </w:r>
    </w:p>
    <w:p w:rsidR="00A05144" w:rsidRPr="00F745EE" w:rsidRDefault="00A05144" w:rsidP="009062F9">
      <w:pPr>
        <w:rPr>
          <w:rStyle w:val="AERbody"/>
        </w:rPr>
      </w:pPr>
      <w:r w:rsidRPr="00F745EE">
        <w:rPr>
          <w:rStyle w:val="AERbody"/>
          <w:rFonts w:eastAsia="Calibri"/>
        </w:rPr>
        <w:t xml:space="preserve">We assessed the key drivers for the capex to assess whether </w:t>
      </w:r>
      <w:r w:rsidR="00B765B2">
        <w:rPr>
          <w:rStyle w:val="AERbody"/>
          <w:rFonts w:eastAsia="Calibri"/>
        </w:rPr>
        <w:t>A</w:t>
      </w:r>
      <w:r w:rsidRPr="00F745EE">
        <w:rPr>
          <w:rStyle w:val="AERbody"/>
          <w:rFonts w:eastAsia="Calibri"/>
        </w:rPr>
        <w:t>GN’s proposed capex in the projected capital base complies with the capex criteria in r</w:t>
      </w:r>
      <w:r w:rsidR="00D019F4">
        <w:rPr>
          <w:rStyle w:val="AERbody"/>
          <w:rFonts w:eastAsia="Calibri"/>
        </w:rPr>
        <w:t>ule</w:t>
      </w:r>
      <w:r w:rsidRPr="00F745EE">
        <w:rPr>
          <w:rStyle w:val="AERbody"/>
          <w:rFonts w:eastAsia="Calibri"/>
        </w:rPr>
        <w:t xml:space="preserve"> 79(1) of the NGR. In doing so, we relied on the </w:t>
      </w:r>
      <w:r w:rsidRPr="00F745EE">
        <w:rPr>
          <w:rStyle w:val="AERbody"/>
        </w:rPr>
        <w:t>following information:</w:t>
      </w:r>
    </w:p>
    <w:p w:rsidR="00A05144" w:rsidRPr="00B765B2" w:rsidRDefault="00A05144" w:rsidP="00B765B2">
      <w:pPr>
        <w:pStyle w:val="AERbulletlistfirststyle"/>
      </w:pPr>
      <w:r w:rsidRPr="00B765B2">
        <w:t xml:space="preserve">The access arrangement information (AAI) </w:t>
      </w:r>
      <w:r w:rsidR="00E34C0D">
        <w:t>–</w:t>
      </w:r>
      <w:r w:rsidR="00E34C0D" w:rsidRPr="00B765B2">
        <w:t xml:space="preserve"> </w:t>
      </w:r>
      <w:r w:rsidRPr="00B765B2">
        <w:t xml:space="preserve">this document outlines </w:t>
      </w:r>
      <w:r w:rsidR="005137F8">
        <w:t>A</w:t>
      </w:r>
      <w:r w:rsidRPr="00B765B2">
        <w:t>GN's program of capital expenditure and describes the main drivers of increased capital expenditure</w:t>
      </w:r>
      <w:r w:rsidRPr="00B765B2">
        <w:rPr>
          <w:rStyle w:val="FootnoteReference"/>
        </w:rPr>
        <w:footnoteReference w:id="18"/>
      </w:r>
    </w:p>
    <w:p w:rsidR="00A05144" w:rsidRPr="00B765B2" w:rsidRDefault="00A05144" w:rsidP="00B765B2">
      <w:pPr>
        <w:pStyle w:val="AERbulletlistfirststyle"/>
      </w:pPr>
      <w:r w:rsidRPr="00B765B2">
        <w:t xml:space="preserve">The Asset Management Plan, </w:t>
      </w:r>
      <w:r w:rsidR="002D57F7">
        <w:t xml:space="preserve">Mains Replacement Plan, Capacity Management Plan, </w:t>
      </w:r>
      <w:r w:rsidRPr="00B765B2">
        <w:t>I</w:t>
      </w:r>
      <w:r w:rsidR="002D57F7">
        <w:t xml:space="preserve">nformation </w:t>
      </w:r>
      <w:r w:rsidRPr="00B765B2">
        <w:t>T</w:t>
      </w:r>
      <w:r w:rsidR="002D57F7">
        <w:t>echnology Plan</w:t>
      </w:r>
      <w:r w:rsidRPr="00B765B2">
        <w:t xml:space="preserve">, and </w:t>
      </w:r>
      <w:r w:rsidR="002D57F7">
        <w:t xml:space="preserve">other </w:t>
      </w:r>
      <w:r w:rsidRPr="00B765B2">
        <w:t>a</w:t>
      </w:r>
      <w:r w:rsidR="005C1036">
        <w:t>ttachments</w:t>
      </w:r>
      <w:r w:rsidRPr="00B765B2">
        <w:t xml:space="preserve"> which provided specific expenditure detail</w:t>
      </w:r>
      <w:r w:rsidRPr="00B765B2">
        <w:rPr>
          <w:rStyle w:val="FootnoteReference"/>
        </w:rPr>
        <w:footnoteReference w:id="19"/>
      </w:r>
    </w:p>
    <w:p w:rsidR="00A05144" w:rsidRPr="00B765B2" w:rsidRDefault="005C1036" w:rsidP="00B765B2">
      <w:pPr>
        <w:pStyle w:val="AERbulletlistfirststyle"/>
      </w:pPr>
      <w:r>
        <w:t>A</w:t>
      </w:r>
      <w:r w:rsidR="00A05144" w:rsidRPr="00B765B2">
        <w:t>GN</w:t>
      </w:r>
      <w:r w:rsidR="00046F5B">
        <w:t>’s</w:t>
      </w:r>
      <w:r w:rsidR="00A05144" w:rsidRPr="00B765B2">
        <w:t xml:space="preserve"> RIN template</w:t>
      </w:r>
      <w:r w:rsidR="00A05144" w:rsidRPr="00B765B2">
        <w:rPr>
          <w:rStyle w:val="FootnoteReference"/>
        </w:rPr>
        <w:footnoteReference w:id="20"/>
      </w:r>
    </w:p>
    <w:p w:rsidR="00A05144" w:rsidRPr="00B765B2" w:rsidRDefault="005C1036" w:rsidP="00B765B2">
      <w:pPr>
        <w:pStyle w:val="AERbulletlistfirststyle"/>
      </w:pPr>
      <w:r>
        <w:t>Business case</w:t>
      </w:r>
      <w:r w:rsidR="00A05144" w:rsidRPr="00B765B2">
        <w:t>s which detail expenditure requirements of specific projects</w:t>
      </w:r>
      <w:r w:rsidR="00A05144" w:rsidRPr="00B765B2">
        <w:rPr>
          <w:rStyle w:val="FootnoteReference"/>
        </w:rPr>
        <w:footnoteReference w:id="21"/>
      </w:r>
    </w:p>
    <w:p w:rsidR="00A05144" w:rsidRPr="00B765B2" w:rsidRDefault="005137F8" w:rsidP="00B765B2">
      <w:pPr>
        <w:pStyle w:val="AERbulletlistfirststyle"/>
      </w:pPr>
      <w:r>
        <w:t>A</w:t>
      </w:r>
      <w:r w:rsidR="00A05144" w:rsidRPr="00B765B2">
        <w:t>GN</w:t>
      </w:r>
      <w:r w:rsidR="00046F5B">
        <w:t>’s</w:t>
      </w:r>
      <w:r w:rsidR="00A05144" w:rsidRPr="00B765B2">
        <w:t xml:space="preserve"> tender and contract documentation</w:t>
      </w:r>
      <w:r w:rsidR="00A05144" w:rsidRPr="00B765B2">
        <w:rPr>
          <w:rStyle w:val="FootnoteReference"/>
        </w:rPr>
        <w:footnoteReference w:id="22"/>
      </w:r>
    </w:p>
    <w:p w:rsidR="00A05144" w:rsidRPr="00B765B2" w:rsidRDefault="005C1036" w:rsidP="00B765B2">
      <w:pPr>
        <w:pStyle w:val="AERbulletlistfirststyle"/>
      </w:pPr>
      <w:r>
        <w:t>AGN</w:t>
      </w:r>
      <w:r w:rsidR="00046F5B">
        <w:t>’s</w:t>
      </w:r>
      <w:r>
        <w:t xml:space="preserve"> c</w:t>
      </w:r>
      <w:r w:rsidR="00A05144" w:rsidRPr="00B765B2">
        <w:t>apex model.</w:t>
      </w:r>
      <w:r w:rsidR="00A05144" w:rsidRPr="00B765B2">
        <w:rPr>
          <w:rStyle w:val="FootnoteReference"/>
        </w:rPr>
        <w:footnoteReference w:id="23"/>
      </w:r>
    </w:p>
    <w:p w:rsidR="00C714BA" w:rsidRDefault="00C714BA" w:rsidP="00C714BA">
      <w:pPr>
        <w:pStyle w:val="AERbulletlistfirststyle"/>
        <w:numPr>
          <w:ilvl w:val="0"/>
          <w:numId w:val="0"/>
        </w:numPr>
      </w:pPr>
      <w:r>
        <w:t>We</w:t>
      </w:r>
      <w:r w:rsidRPr="00F745EE">
        <w:t xml:space="preserve"> assessed the prudency and efficiency of the proposed capex</w:t>
      </w:r>
      <w:r>
        <w:t>, to determine whether the capex is such as would be incurred by a prudent operator acting efficiently, in accordance with accepted good industry practice, to achieve the lowest sustainable cost of providing services</w:t>
      </w:r>
      <w:r w:rsidRPr="00F745EE">
        <w:t>.</w:t>
      </w:r>
      <w:r>
        <w:rPr>
          <w:rStyle w:val="FootnoteReference"/>
        </w:rPr>
        <w:footnoteReference w:id="24"/>
      </w:r>
      <w:r w:rsidRPr="00F745EE">
        <w:t xml:space="preserve"> </w:t>
      </w:r>
      <w:r>
        <w:t>W</w:t>
      </w:r>
      <w:r w:rsidRPr="00F745EE">
        <w:t xml:space="preserve">e </w:t>
      </w:r>
      <w:r>
        <w:t xml:space="preserve">also </w:t>
      </w:r>
      <w:r w:rsidRPr="00F745EE">
        <w:t>assessed whether the proposed capex is justified on one of the four grounds under NGR r</w:t>
      </w:r>
      <w:r w:rsidR="00D019F4">
        <w:t>ule</w:t>
      </w:r>
      <w:r w:rsidRPr="00F745EE">
        <w:t xml:space="preserve"> 79(2).</w:t>
      </w:r>
    </w:p>
    <w:p w:rsidR="00A05144" w:rsidRPr="00F745EE" w:rsidRDefault="00A05144" w:rsidP="004E2C1F">
      <w:r w:rsidRPr="00F745EE">
        <w:t>For analysis purposes the capex was broken into categories depending on whether the expenditure is driven by:</w:t>
      </w:r>
    </w:p>
    <w:p w:rsidR="00A05144" w:rsidRPr="004E2C1F" w:rsidRDefault="00A05144" w:rsidP="004E2C1F">
      <w:pPr>
        <w:pStyle w:val="AERbulletlistfirststyle"/>
      </w:pPr>
      <w:r w:rsidRPr="00046F5B">
        <w:t xml:space="preserve">Growth in demand </w:t>
      </w:r>
      <w:r w:rsidR="00E34C0D">
        <w:t>–</w:t>
      </w:r>
      <w:r w:rsidR="00E34C0D" w:rsidRPr="00046F5B">
        <w:t xml:space="preserve"> </w:t>
      </w:r>
      <w:r w:rsidRPr="00046F5B">
        <w:t>extensions, connections, augmentation</w:t>
      </w:r>
    </w:p>
    <w:p w:rsidR="00A05144" w:rsidRPr="00046F5B" w:rsidRDefault="00A05144" w:rsidP="004E2C1F">
      <w:pPr>
        <w:pStyle w:val="AERbulletlistfirststyle"/>
      </w:pPr>
      <w:r w:rsidRPr="00046F5B">
        <w:t xml:space="preserve">Replacement on the basis of asset life, obsolescence, safety or regulatory obligations </w:t>
      </w:r>
      <w:r w:rsidR="00E34C0D">
        <w:t>–</w:t>
      </w:r>
      <w:r w:rsidR="00E34C0D" w:rsidRPr="00046F5B">
        <w:t xml:space="preserve"> </w:t>
      </w:r>
      <w:r w:rsidRPr="00046F5B">
        <w:t>mains, services, meters, regulators, city gates, IT, SCADA, or</w:t>
      </w:r>
    </w:p>
    <w:p w:rsidR="00A05144" w:rsidRDefault="00A05144" w:rsidP="004E2C1F">
      <w:pPr>
        <w:pStyle w:val="AERbulletlistfirststyle"/>
      </w:pPr>
      <w:r w:rsidRPr="00046F5B">
        <w:t xml:space="preserve">Other </w:t>
      </w:r>
      <w:r w:rsidR="00E34C0D">
        <w:t>–</w:t>
      </w:r>
      <w:r w:rsidR="00E34C0D" w:rsidRPr="00046F5B">
        <w:t xml:space="preserve"> </w:t>
      </w:r>
      <w:r w:rsidRPr="00046F5B">
        <w:t xml:space="preserve">new regulatory or safety obligations, opex or reliability improvements. </w:t>
      </w:r>
    </w:p>
    <w:p w:rsidR="00984AB6" w:rsidRPr="00046F5B" w:rsidRDefault="00984AB6" w:rsidP="00984AB6">
      <w:pPr>
        <w:pStyle w:val="AERbulletlistfirststyle"/>
        <w:numPr>
          <w:ilvl w:val="0"/>
          <w:numId w:val="0"/>
        </w:numPr>
        <w:ind w:left="360"/>
      </w:pPr>
    </w:p>
    <w:p w:rsidR="00A05144" w:rsidRPr="009062F9" w:rsidRDefault="00A05144" w:rsidP="00A05144">
      <w:pPr>
        <w:numPr>
          <w:ilvl w:val="0"/>
          <w:numId w:val="24"/>
        </w:numPr>
        <w:spacing w:before="0" w:after="240" w:line="288" w:lineRule="auto"/>
        <w:jc w:val="both"/>
        <w:rPr>
          <w:rStyle w:val="AERbody"/>
        </w:rPr>
      </w:pPr>
      <w:r w:rsidRPr="009062F9">
        <w:rPr>
          <w:rStyle w:val="AERbody"/>
        </w:rPr>
        <w:t xml:space="preserve">For each category of expenditure the scope, timing and cost of the proposed expenditure was considered in order to form a view on the prudency and efficiency of the expenditure. </w:t>
      </w:r>
      <w:r w:rsidR="00BE7743" w:rsidRPr="009062F9">
        <w:rPr>
          <w:rStyle w:val="AERbody"/>
        </w:rPr>
        <w:t xml:space="preserve">Our </w:t>
      </w:r>
      <w:r w:rsidRPr="009062F9">
        <w:rPr>
          <w:rStyle w:val="AERbody"/>
        </w:rPr>
        <w:t xml:space="preserve">assessment also considered whether cost forecasts have been arrived at on a reasonable basis and represent the best forecast possible in the circumstances.  </w:t>
      </w:r>
    </w:p>
    <w:p w:rsidR="00A05144" w:rsidRDefault="00A05144" w:rsidP="005137F8">
      <w:pPr>
        <w:pStyle w:val="Heading3"/>
        <w:rPr>
          <w:rFonts w:eastAsia="Calibri"/>
        </w:rPr>
      </w:pPr>
      <w:bookmarkStart w:id="34" w:name="_Toc404675964"/>
      <w:bookmarkStart w:id="35" w:name="_Toc404676292"/>
      <w:bookmarkStart w:id="36" w:name="_Toc436053697"/>
      <w:r w:rsidRPr="00F745EE">
        <w:rPr>
          <w:rFonts w:eastAsia="Calibri"/>
        </w:rPr>
        <w:t>Assessing forecast capex for the 201</w:t>
      </w:r>
      <w:r w:rsidR="005137F8">
        <w:rPr>
          <w:rFonts w:eastAsia="Calibri"/>
        </w:rPr>
        <w:t>6</w:t>
      </w:r>
      <w:r w:rsidR="00046F5B">
        <w:rPr>
          <w:rFonts w:eastAsia="Calibri"/>
        </w:rPr>
        <w:t>–</w:t>
      </w:r>
      <w:r>
        <w:rPr>
          <w:rFonts w:eastAsia="Calibri"/>
        </w:rPr>
        <w:t>2</w:t>
      </w:r>
      <w:r w:rsidR="005137F8">
        <w:rPr>
          <w:rFonts w:eastAsia="Calibri"/>
        </w:rPr>
        <w:t>1</w:t>
      </w:r>
      <w:r w:rsidRPr="00F745EE">
        <w:rPr>
          <w:rFonts w:eastAsia="Calibri"/>
        </w:rPr>
        <w:t xml:space="preserve"> </w:t>
      </w:r>
      <w:r w:rsidR="00046F5B">
        <w:rPr>
          <w:rFonts w:eastAsia="Calibri"/>
        </w:rPr>
        <w:t xml:space="preserve">access arrangement </w:t>
      </w:r>
      <w:r w:rsidRPr="00F745EE">
        <w:rPr>
          <w:rFonts w:eastAsia="Calibri"/>
        </w:rPr>
        <w:t>period</w:t>
      </w:r>
      <w:bookmarkEnd w:id="34"/>
      <w:bookmarkEnd w:id="35"/>
      <w:bookmarkEnd w:id="36"/>
    </w:p>
    <w:p w:rsidR="00A05144" w:rsidRPr="00F745EE" w:rsidRDefault="00A05144" w:rsidP="005137F8">
      <w:r w:rsidRPr="00F745EE">
        <w:t xml:space="preserve">The following sections set out our approach to assessing </w:t>
      </w:r>
      <w:r w:rsidR="005137F8">
        <w:t>A</w:t>
      </w:r>
      <w:r w:rsidRPr="00F745EE">
        <w:t xml:space="preserve">GN's forecast </w:t>
      </w:r>
      <w:r>
        <w:t>capex for the 201</w:t>
      </w:r>
      <w:r w:rsidR="005137F8">
        <w:t>6</w:t>
      </w:r>
      <w:r w:rsidR="00046F5B">
        <w:t>–</w:t>
      </w:r>
      <w:r w:rsidRPr="00F745EE">
        <w:t>2</w:t>
      </w:r>
      <w:r w:rsidR="005137F8">
        <w:t>1</w:t>
      </w:r>
      <w:r w:rsidRPr="00F745EE">
        <w:t xml:space="preserve"> </w:t>
      </w:r>
      <w:r w:rsidR="00046F5B">
        <w:t xml:space="preserve">access arrangement </w:t>
      </w:r>
      <w:r w:rsidRPr="00F745EE">
        <w:t>period. Our tools and techniques cover:</w:t>
      </w:r>
    </w:p>
    <w:p w:rsidR="00A05144" w:rsidRPr="005137F8" w:rsidRDefault="00A05144" w:rsidP="005137F8">
      <w:pPr>
        <w:pStyle w:val="AERbulletlistfirststyle"/>
      </w:pPr>
      <w:r w:rsidRPr="005137F8">
        <w:t>assessing whether any outsourcing to third</w:t>
      </w:r>
      <w:r w:rsidR="00E34C0D">
        <w:t>–</w:t>
      </w:r>
      <w:r w:rsidRPr="005137F8">
        <w:t>parties reflect genuine arm's length arrangements</w:t>
      </w:r>
    </w:p>
    <w:p w:rsidR="00A05144" w:rsidRPr="005137F8" w:rsidRDefault="00A05144" w:rsidP="005137F8">
      <w:pPr>
        <w:pStyle w:val="AERbulletlistfirststyle"/>
      </w:pPr>
      <w:r w:rsidRPr="005137F8">
        <w:t>assessing historical expenditure under the revealed cost approach</w:t>
      </w:r>
    </w:p>
    <w:p w:rsidR="00A05144" w:rsidRPr="005137F8" w:rsidRDefault="00A05144" w:rsidP="005137F8">
      <w:pPr>
        <w:pStyle w:val="AERbulletlistfirststyle"/>
      </w:pPr>
      <w:r w:rsidRPr="005137F8">
        <w:t>how we compare costs against previous decisions we have made (benchmarking)</w:t>
      </w:r>
    </w:p>
    <w:p w:rsidR="00A05144" w:rsidRPr="005137F8" w:rsidRDefault="00A05144" w:rsidP="005137F8">
      <w:pPr>
        <w:pStyle w:val="AERbulletlistfirststyle"/>
      </w:pPr>
      <w:r w:rsidRPr="005137F8">
        <w:t>consideration of technical engineering advice</w:t>
      </w:r>
    </w:p>
    <w:p w:rsidR="00A05144" w:rsidRPr="00F745EE" w:rsidRDefault="00A05144" w:rsidP="005137F8">
      <w:pPr>
        <w:pStyle w:val="AERbulletlistfirststyle"/>
      </w:pPr>
      <w:r w:rsidRPr="005137F8">
        <w:t xml:space="preserve">determining the appropriate </w:t>
      </w:r>
      <w:r w:rsidR="00AA53B3">
        <w:t>estimate</w:t>
      </w:r>
      <w:r w:rsidR="00AA53B3" w:rsidRPr="005137F8">
        <w:t xml:space="preserve"> </w:t>
      </w:r>
      <w:r w:rsidRPr="005137F8">
        <w:t>for equity raising costs.</w:t>
      </w:r>
      <w:r w:rsidRPr="00F745EE">
        <w:t xml:space="preserve"> </w:t>
      </w:r>
    </w:p>
    <w:p w:rsidR="00A05144" w:rsidRPr="008368B6" w:rsidRDefault="00A05144" w:rsidP="004E2C1F">
      <w:pPr>
        <w:pStyle w:val="HeadingBoldItalic"/>
        <w:rPr>
          <w:rStyle w:val="AERtextitalic"/>
          <w:rFonts w:eastAsia="Calibri" w:cs="Times New Roman"/>
          <w:b w:val="0"/>
          <w:bCs w:val="0"/>
          <w:i/>
          <w:color w:val="auto"/>
          <w:sz w:val="22"/>
        </w:rPr>
      </w:pPr>
      <w:r w:rsidRPr="008368B6">
        <w:rPr>
          <w:rStyle w:val="AERtextitalic"/>
          <w:i/>
        </w:rPr>
        <w:t>Assessing competitive tender processes for outsourced activities</w:t>
      </w:r>
    </w:p>
    <w:p w:rsidR="00A05144" w:rsidRPr="00F745EE" w:rsidRDefault="00A05144" w:rsidP="003B3115">
      <w:r w:rsidRPr="00F745EE">
        <w:t xml:space="preserve">Outsourcing to specialist providers of a particular service is a common means by which businesses in the economy are able to gain access to economies of scale and scope and other efficiencies. </w:t>
      </w:r>
    </w:p>
    <w:p w:rsidR="00A05144" w:rsidRPr="00F745EE" w:rsidRDefault="00A05144" w:rsidP="003B3115">
      <w:r w:rsidRPr="00F745EE">
        <w:t xml:space="preserve">Where </w:t>
      </w:r>
      <w:r w:rsidR="005137F8">
        <w:t>A</w:t>
      </w:r>
      <w:r>
        <w:t>GN has</w:t>
      </w:r>
      <w:r w:rsidRPr="00F745EE">
        <w:t xml:space="preserve"> used tendered rates as the basis of proposed unit costs, </w:t>
      </w:r>
      <w:r>
        <w:t>we</w:t>
      </w:r>
      <w:r w:rsidRPr="00F745EE">
        <w:t xml:space="preserve"> relied on </w:t>
      </w:r>
      <w:r>
        <w:t>our</w:t>
      </w:r>
      <w:r w:rsidRPr="00F745EE">
        <w:t xml:space="preserve"> approach to assessing outsourcing arrangements.</w:t>
      </w:r>
      <w:r>
        <w:rPr>
          <w:rStyle w:val="FootnoteReference"/>
        </w:rPr>
        <w:footnoteReference w:id="25"/>
      </w:r>
      <w:r w:rsidRPr="00F745EE">
        <w:t xml:space="preserve"> The first stage of the conceptual framework is a 'presumption threshold' designed to be an initial filter to determine which contracts can be presumed to reflect efficient costs that would be incurred by a prudent operator.</w:t>
      </w:r>
      <w:r>
        <w:rPr>
          <w:rStyle w:val="FootnoteReference"/>
        </w:rPr>
        <w:footnoteReference w:id="26"/>
      </w:r>
      <w:r w:rsidRPr="00F745EE">
        <w:t xml:space="preserve"> </w:t>
      </w:r>
    </w:p>
    <w:p w:rsidR="00A05144" w:rsidRPr="00F745EE" w:rsidRDefault="00A05144" w:rsidP="003B3115">
      <w:r w:rsidRPr="00F745EE">
        <w:t xml:space="preserve">In undertaking this ‘presumption threshold’ assessment, </w:t>
      </w:r>
      <w:r>
        <w:t>we</w:t>
      </w:r>
      <w:r w:rsidRPr="00F745EE">
        <w:t xml:space="preserve"> consider:</w:t>
      </w:r>
    </w:p>
    <w:p w:rsidR="00A05144" w:rsidRPr="005911B2" w:rsidRDefault="00A05144" w:rsidP="003B3115">
      <w:pPr>
        <w:pStyle w:val="AERbulletlistfirststyle"/>
      </w:pPr>
      <w:r w:rsidRPr="00046F5B">
        <w:t>Did the service provider have an incentive to agree to non</w:t>
      </w:r>
      <w:r w:rsidR="00E34C0D">
        <w:t>–</w:t>
      </w:r>
      <w:r w:rsidRPr="00046F5B">
        <w:t>arm’s length terms at the time the contract was negotiated (or at its most recent re</w:t>
      </w:r>
      <w:r w:rsidR="00E34C0D">
        <w:t>–</w:t>
      </w:r>
      <w:r w:rsidRPr="00046F5B">
        <w:t>negotiation)?</w:t>
      </w:r>
    </w:p>
    <w:p w:rsidR="00A05144" w:rsidRPr="00046F5B" w:rsidRDefault="00A05144" w:rsidP="003B3115">
      <w:pPr>
        <w:pStyle w:val="AERbulletlistfirststyle"/>
      </w:pPr>
      <w:r w:rsidRPr="005911B2">
        <w:t>If yes, was a competiti</w:t>
      </w:r>
      <w:r w:rsidRPr="00046F5B">
        <w:t>ve open tender process conducted in a competitive market?</w:t>
      </w:r>
    </w:p>
    <w:p w:rsidR="00A05144" w:rsidRPr="00F745EE" w:rsidRDefault="00A05144" w:rsidP="003B3115">
      <w:r w:rsidRPr="00F745EE">
        <w:t>In the absence of an incentive to agree to non</w:t>
      </w:r>
      <w:r w:rsidR="00E34C0D">
        <w:t>–</w:t>
      </w:r>
      <w:r w:rsidRPr="00F745EE">
        <w:t xml:space="preserve">arm’s length terms, </w:t>
      </w:r>
      <w:r>
        <w:t>we</w:t>
      </w:r>
      <w:r w:rsidRPr="00F745EE">
        <w:t xml:space="preserve"> consider it reasonable to presume a contract price reflects efficient costs. </w:t>
      </w:r>
      <w:r>
        <w:t>We</w:t>
      </w:r>
      <w:r w:rsidRPr="00F745EE">
        <w:t xml:space="preserve"> also consider this presumption to be reasonable where an incentive to agree to non</w:t>
      </w:r>
      <w:r w:rsidR="00E34C0D">
        <w:t>–</w:t>
      </w:r>
      <w:r w:rsidRPr="00F745EE">
        <w:t>arm’s length terms exists but the contract was the outcome of a competitive open tender process in a competitive market.</w:t>
      </w:r>
      <w:r>
        <w:rPr>
          <w:rStyle w:val="FootnoteReference"/>
        </w:rPr>
        <w:footnoteReference w:id="27"/>
      </w:r>
    </w:p>
    <w:p w:rsidR="00A05144" w:rsidRPr="00F745EE" w:rsidRDefault="00A05144" w:rsidP="003B3115">
      <w:r w:rsidRPr="00F745EE">
        <w:t xml:space="preserve">Where an arrangement 'passes' the presumption threshold, </w:t>
      </w:r>
      <w:r>
        <w:t>we</w:t>
      </w:r>
      <w:r w:rsidRPr="00F745EE">
        <w:t xml:space="preserve"> consider the starting point for setting future expenditure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A05144" w:rsidRPr="008368B6" w:rsidRDefault="00A05144" w:rsidP="004E2C1F">
      <w:pPr>
        <w:pStyle w:val="HeadingBoldItalic"/>
        <w:rPr>
          <w:rStyle w:val="AERtextitalic"/>
          <w:rFonts w:eastAsiaTheme="minorHAnsi" w:cstheme="minorBidi"/>
          <w:b w:val="0"/>
          <w:bCs w:val="0"/>
          <w:i/>
          <w:color w:val="auto"/>
          <w:sz w:val="22"/>
        </w:rPr>
      </w:pPr>
      <w:r w:rsidRPr="008368B6">
        <w:rPr>
          <w:rStyle w:val="AERtextitalic"/>
          <w:i/>
        </w:rPr>
        <w:t>Revealed cost approach</w:t>
      </w:r>
    </w:p>
    <w:p w:rsidR="00A05144" w:rsidRPr="00F745EE" w:rsidRDefault="00A05144" w:rsidP="003B3115">
      <w:pPr>
        <w:rPr>
          <w:rStyle w:val="AERbody"/>
        </w:rPr>
      </w:pPr>
      <w:r w:rsidRPr="00F745EE">
        <w:t>The revealed cost approach considers information revealed by the past performance of a gas business. Under the ex</w:t>
      </w:r>
      <w:r w:rsidR="00E34C0D">
        <w:t>–</w:t>
      </w:r>
      <w:r w:rsidRPr="00F745EE">
        <w:t xml:space="preserve">ante regime, gas businesses are rewarded for spending less capex than allowed by the regulator. This incentive enables </w:t>
      </w:r>
      <w:r>
        <w:t>us</w:t>
      </w:r>
      <w:r w:rsidRPr="00F745EE">
        <w:t xml:space="preserve"> to place some reliance on the historical costs of a gas business when reviewing its forecast capex. </w:t>
      </w:r>
      <w:r>
        <w:rPr>
          <w:rStyle w:val="AERbody"/>
        </w:rPr>
        <w:t>We</w:t>
      </w:r>
      <w:r w:rsidRPr="00F745EE">
        <w:rPr>
          <w:rStyle w:val="AERbody"/>
        </w:rPr>
        <w:t xml:space="preserve"> used historical costs and volumes as an indicator of efficient costs and volumes for certain categories of capex</w:t>
      </w:r>
      <w:r w:rsidR="008D3C1A">
        <w:rPr>
          <w:rStyle w:val="AERbody"/>
        </w:rPr>
        <w:t xml:space="preserve"> in this draft decision</w:t>
      </w:r>
      <w:r w:rsidRPr="00F745EE">
        <w:rPr>
          <w:rStyle w:val="AERbody"/>
        </w:rPr>
        <w:t xml:space="preserve">. In particular, </w:t>
      </w:r>
      <w:r>
        <w:rPr>
          <w:rStyle w:val="AERbody"/>
        </w:rPr>
        <w:t>we</w:t>
      </w:r>
      <w:r w:rsidRPr="00F745EE">
        <w:rPr>
          <w:rStyle w:val="AERbody"/>
        </w:rPr>
        <w:t xml:space="preserve"> used historical total costs, unit costs and volumes in assessing connections, mains and services replacements, meter replacements, SCADA and IT. </w:t>
      </w:r>
    </w:p>
    <w:p w:rsidR="00A05144" w:rsidRPr="00F745EE" w:rsidRDefault="00A05144" w:rsidP="003B3115">
      <w:r w:rsidRPr="00F745EE">
        <w:t xml:space="preserve">The revealed cost approach is an accepted industry practice. Many </w:t>
      </w:r>
      <w:r w:rsidRPr="00F745EE">
        <w:rPr>
          <w:rStyle w:val="AERbody"/>
        </w:rPr>
        <w:t>gas businesses</w:t>
      </w:r>
      <w:r w:rsidRPr="00F745EE">
        <w:t xml:space="preserve">, including </w:t>
      </w:r>
      <w:r w:rsidR="000B3087">
        <w:t>A</w:t>
      </w:r>
      <w:r w:rsidRPr="00F745EE">
        <w:t xml:space="preserve">GN, have used this approach as a basis to forecast expenditure proposals. </w:t>
      </w:r>
      <w:r w:rsidR="008D3C1A">
        <w:t>We have also used t</w:t>
      </w:r>
      <w:r w:rsidRPr="00F745EE">
        <w:t>his approach previously in our assessment of access arrangement proposals for the Victorian gas businesses.</w:t>
      </w:r>
    </w:p>
    <w:p w:rsidR="00A05144" w:rsidRPr="008368B6" w:rsidRDefault="00A05144" w:rsidP="004E2C1F">
      <w:pPr>
        <w:pStyle w:val="HeadingBoldItalic"/>
        <w:rPr>
          <w:rStyle w:val="AERtextitalic"/>
          <w:rFonts w:eastAsiaTheme="minorHAnsi" w:cstheme="minorBidi"/>
          <w:b w:val="0"/>
          <w:bCs w:val="0"/>
          <w:i/>
          <w:color w:val="auto"/>
          <w:sz w:val="22"/>
        </w:rPr>
      </w:pPr>
      <w:r w:rsidRPr="008368B6">
        <w:rPr>
          <w:rStyle w:val="AERtextitalic"/>
          <w:i/>
        </w:rPr>
        <w:t>Benchmarking against the other businesses' proposed unit costs and volumes</w:t>
      </w:r>
    </w:p>
    <w:p w:rsidR="00A05144" w:rsidRPr="00F745EE" w:rsidRDefault="00A05144" w:rsidP="003B3115">
      <w:r>
        <w:t>We</w:t>
      </w:r>
      <w:r w:rsidRPr="00F745EE">
        <w:t xml:space="preserve"> also conducted comparative analysis of unit costs </w:t>
      </w:r>
      <w:r w:rsidR="000B3087">
        <w:t>A</w:t>
      </w:r>
      <w:r w:rsidRPr="00F745EE">
        <w:t xml:space="preserve">GN has used to develop its capex forecast. Comparing the costs incurred by one regulated entity against the costs incurred by other regulated entities in similar circumstances, and using the comparison to assess the efficiency and prudency of those costs, is known as 'benchmarking'. </w:t>
      </w:r>
      <w:r>
        <w:t>We</w:t>
      </w:r>
      <w:r w:rsidRPr="00F745EE">
        <w:t xml:space="preserve"> consider that the use of benchmarking to assess whether capex is conforming is consistent with the requirements of the NGR.</w:t>
      </w:r>
    </w:p>
    <w:p w:rsidR="00A05144" w:rsidRPr="00F745EE" w:rsidRDefault="00A05144" w:rsidP="003B3115">
      <w:pPr>
        <w:rPr>
          <w:rStyle w:val="AERbody"/>
        </w:rPr>
      </w:pPr>
      <w:r>
        <w:t>We</w:t>
      </w:r>
      <w:r w:rsidRPr="00F745EE">
        <w:t xml:space="preserve"> undertook high level benchmarking of a selection of </w:t>
      </w:r>
      <w:r w:rsidR="000B3087">
        <w:t>A</w:t>
      </w:r>
      <w:r w:rsidRPr="00F745EE">
        <w:t xml:space="preserve">GN‘s unit costs against similar unit costs of the Victorian gas businesses. </w:t>
      </w:r>
      <w:r w:rsidRPr="00F745EE">
        <w:rPr>
          <w:rStyle w:val="AERbody"/>
        </w:rPr>
        <w:t>Where required some adjustment for compositional difference was made. This comparison was used for assessing connections, mains and services replacements, meter renewals and upgrade and SCADA.</w:t>
      </w:r>
    </w:p>
    <w:p w:rsidR="00A05144" w:rsidRDefault="00A05144" w:rsidP="003B3115">
      <w:r w:rsidRPr="00F745EE">
        <w:t xml:space="preserve">Where this benchmarking indicated that </w:t>
      </w:r>
      <w:r w:rsidR="000B3087">
        <w:t>A</w:t>
      </w:r>
      <w:r w:rsidRPr="00F745EE">
        <w:t xml:space="preserve">GN's capex may not be efficient, </w:t>
      </w:r>
      <w:r>
        <w:t>we</w:t>
      </w:r>
      <w:r w:rsidRPr="00F745EE">
        <w:t xml:space="preserve"> undertook a detailed review of </w:t>
      </w:r>
      <w:r w:rsidR="000B3087">
        <w:t>A</w:t>
      </w:r>
      <w:r w:rsidRPr="00F745EE">
        <w:t xml:space="preserve">GN‘s proposal. </w:t>
      </w:r>
      <w:r>
        <w:t>Our</w:t>
      </w:r>
      <w:r w:rsidRPr="00F745EE">
        <w:t xml:space="preserve"> detailed review involved consideration of relevant documentation and the impact of factors expected to differ from the past and/or from the Victorian gas businesses. </w:t>
      </w:r>
    </w:p>
    <w:p w:rsidR="004E2C1F" w:rsidRPr="009062F9" w:rsidRDefault="00A05144" w:rsidP="009062F9">
      <w:pPr>
        <w:rPr>
          <w:rStyle w:val="AERbody"/>
        </w:rPr>
      </w:pPr>
      <w:r w:rsidRPr="009062F9">
        <w:rPr>
          <w:rStyle w:val="AERbody"/>
        </w:rPr>
        <w:t>We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We consider it likely that a prudent service provider, acting efficiently, would only change operating processes (from revealed, or otherwise efficient processes) if they are likely to result in efficiency gains (in the absence of any information to suggest other reasons for the change). Where we consider that future cost savings should result from capex investments, we have taken this int</w:t>
      </w:r>
      <w:r w:rsidR="000B3087" w:rsidRPr="009062F9">
        <w:rPr>
          <w:rStyle w:val="AERbody"/>
        </w:rPr>
        <w:t xml:space="preserve">o consideration in determining </w:t>
      </w:r>
      <w:r w:rsidR="00172166" w:rsidRPr="009062F9">
        <w:rPr>
          <w:rStyle w:val="AERbody"/>
        </w:rPr>
        <w:t>our alternative opex</w:t>
      </w:r>
      <w:r w:rsidRPr="009062F9">
        <w:rPr>
          <w:rStyle w:val="AERbody"/>
        </w:rPr>
        <w:t xml:space="preserve"> </w:t>
      </w:r>
      <w:r w:rsidR="00731F07" w:rsidRPr="009062F9">
        <w:rPr>
          <w:rStyle w:val="AERbody"/>
        </w:rPr>
        <w:t>estimate</w:t>
      </w:r>
      <w:r w:rsidRPr="009062F9">
        <w:rPr>
          <w:rStyle w:val="AERbody"/>
        </w:rPr>
        <w:t>.</w:t>
      </w:r>
    </w:p>
    <w:p w:rsidR="004E2C1F" w:rsidRPr="004E2C1F" w:rsidRDefault="00A05144" w:rsidP="004E2C1F">
      <w:pPr>
        <w:pStyle w:val="HeadingBoldItalic"/>
        <w:rPr>
          <w:rStyle w:val="AERtextitalic"/>
        </w:rPr>
      </w:pPr>
      <w:r w:rsidRPr="004E2C1F">
        <w:rPr>
          <w:rStyle w:val="AERtextitalic"/>
          <w:i/>
        </w:rPr>
        <w:t>Specialist technical advic</w:t>
      </w:r>
      <w:r w:rsidR="004E2C1F" w:rsidRPr="004E2C1F">
        <w:rPr>
          <w:rStyle w:val="AERtextitalic"/>
          <w:i/>
        </w:rPr>
        <w:t>e</w:t>
      </w:r>
    </w:p>
    <w:p w:rsidR="004E2C1F" w:rsidRPr="004E2C1F" w:rsidRDefault="00FB7FF8" w:rsidP="004E2C1F">
      <w:pPr>
        <w:pStyle w:val="HeadingBoldItalic"/>
        <w:rPr>
          <w:rFonts w:eastAsiaTheme="minorHAnsi" w:cstheme="minorBidi"/>
          <w:b w:val="0"/>
          <w:bCs w:val="0"/>
          <w:i w:val="0"/>
          <w:iCs w:val="0"/>
          <w:color w:val="auto"/>
          <w:sz w:val="22"/>
        </w:rPr>
      </w:pPr>
      <w:r w:rsidRPr="004E2C1F">
        <w:rPr>
          <w:rFonts w:eastAsiaTheme="minorHAnsi" w:cstheme="minorBidi"/>
          <w:b w:val="0"/>
          <w:bCs w:val="0"/>
          <w:i w:val="0"/>
          <w:iCs w:val="0"/>
          <w:color w:val="auto"/>
          <w:sz w:val="22"/>
        </w:rPr>
        <w:t>We drew on engineering and other technical expertise within the AER to assist with our review on the prudency and efficiency of AGN’s proposed</w:t>
      </w:r>
      <w:r w:rsidR="00E74CF1" w:rsidRPr="004E2C1F">
        <w:rPr>
          <w:rFonts w:eastAsiaTheme="minorHAnsi" w:cstheme="minorBidi"/>
          <w:b w:val="0"/>
          <w:bCs w:val="0"/>
          <w:i w:val="0"/>
          <w:iCs w:val="0"/>
          <w:color w:val="auto"/>
          <w:sz w:val="22"/>
        </w:rPr>
        <w:t xml:space="preserve"> mains replacement program.</w:t>
      </w:r>
    </w:p>
    <w:p w:rsidR="004E2C1F" w:rsidRDefault="00A05144" w:rsidP="004E2C1F">
      <w:r>
        <w:t>We</w:t>
      </w:r>
      <w:r w:rsidRPr="00F745EE">
        <w:t xml:space="preserve"> </w:t>
      </w:r>
      <w:r w:rsidR="000B3087">
        <w:t xml:space="preserve">also </w:t>
      </w:r>
      <w:r w:rsidRPr="00F745EE">
        <w:t>engaged an engineering consultant, Sleeman Consulting, to provide</w:t>
      </w:r>
      <w:r w:rsidR="00C714BA">
        <w:t xml:space="preserve"> us with</w:t>
      </w:r>
      <w:r w:rsidRPr="00F745EE">
        <w:t xml:space="preserve"> specialist technical advice on the prudency and efficiency of </w:t>
      </w:r>
      <w:r w:rsidR="000B3087">
        <w:t>A</w:t>
      </w:r>
      <w:r w:rsidRPr="00F745EE">
        <w:t xml:space="preserve">GN's proposed augmentation, </w:t>
      </w:r>
      <w:r w:rsidR="00512962">
        <w:t>regulators and valves, and other distribution system capex</w:t>
      </w:r>
      <w:r w:rsidRPr="00F745EE">
        <w:t>.</w:t>
      </w:r>
      <w:r w:rsidRPr="00F745EE">
        <w:rPr>
          <w:rStyle w:val="FootnoteReference"/>
        </w:rPr>
        <w:footnoteReference w:id="28"/>
      </w:r>
      <w:r w:rsidRPr="00F745EE">
        <w:t xml:space="preserve"> </w:t>
      </w:r>
    </w:p>
    <w:p w:rsidR="00A05144" w:rsidRPr="004E2C1F" w:rsidRDefault="00A05144" w:rsidP="004E2C1F">
      <w:pPr>
        <w:pStyle w:val="HeadingBoldItalic"/>
        <w:rPr>
          <w:rStyle w:val="AERtextitalic"/>
          <w:rFonts w:eastAsiaTheme="minorHAnsi" w:cstheme="minorBidi"/>
          <w:b w:val="0"/>
          <w:bCs w:val="0"/>
          <w:i/>
          <w:color w:val="auto"/>
          <w:sz w:val="22"/>
        </w:rPr>
      </w:pPr>
      <w:r w:rsidRPr="008368B6">
        <w:rPr>
          <w:rStyle w:val="AERtextitalic"/>
          <w:i/>
        </w:rPr>
        <w:t>Cash flow analysis for equity raising costs</w:t>
      </w:r>
    </w:p>
    <w:p w:rsidR="00346F91" w:rsidRPr="00346F91" w:rsidRDefault="00A05144" w:rsidP="00EF14A3">
      <w:r w:rsidRPr="00F745EE">
        <w:t xml:space="preserve">To determine the amount of equity raising costs, </w:t>
      </w:r>
      <w:r>
        <w:t>we have</w:t>
      </w:r>
      <w:r w:rsidRPr="00F745EE">
        <w:t xml:space="preserve"> undertaken an assessment of benchmark cash flows calculated in the PTRM. Under this method, a prudent service provider, acting efficiently, would first exhaust the cheapest sources of funding, such as internal cash flows, before using more </w:t>
      </w:r>
      <w:r w:rsidRPr="00C117EC">
        <w:rPr>
          <w:rStyle w:val="AERbody"/>
        </w:rPr>
        <w:t xml:space="preserve">expensive external sources of funding, such as equity financing. The cash flow modelling approach used by the AER incorporates this assumption to determine if any external equity financing would be required based on the AER’s capex forecast for </w:t>
      </w:r>
      <w:r w:rsidR="00B93699">
        <w:rPr>
          <w:rStyle w:val="AERbody"/>
        </w:rPr>
        <w:t>A</w:t>
      </w:r>
      <w:r w:rsidRPr="00C117EC">
        <w:rPr>
          <w:rStyle w:val="AERbody"/>
        </w:rPr>
        <w:t>GN. For further discussion see attachment 3,</w:t>
      </w:r>
      <w:r>
        <w:rPr>
          <w:rStyle w:val="AERbody"/>
        </w:rPr>
        <w:t xml:space="preserve"> section 3.4.1.</w:t>
      </w:r>
    </w:p>
    <w:p w:rsidR="005C0A7F" w:rsidRDefault="005C0A7F" w:rsidP="005C0A7F">
      <w:pPr>
        <w:pStyle w:val="Heading3"/>
      </w:pPr>
      <w:bookmarkStart w:id="37" w:name="_Toc436053698"/>
      <w:r>
        <w:t>Interrelationships</w:t>
      </w:r>
      <w:bookmarkEnd w:id="37"/>
    </w:p>
    <w:p w:rsidR="008C3133" w:rsidRPr="00553F2C" w:rsidRDefault="008C3133" w:rsidP="008C3133">
      <w:r w:rsidRPr="00553F2C">
        <w:t xml:space="preserve">In assessing </w:t>
      </w:r>
      <w:r>
        <w:t>AGN's</w:t>
      </w:r>
      <w:r w:rsidRPr="00553F2C">
        <w:t xml:space="preserve"> total forecast </w:t>
      </w:r>
      <w:r>
        <w:t>capex</w:t>
      </w:r>
      <w:r w:rsidRPr="00553F2C">
        <w:t xml:space="preserve"> we took into account other components of its proposal, including:</w:t>
      </w:r>
    </w:p>
    <w:p w:rsidR="008C3133" w:rsidRPr="008C3133" w:rsidRDefault="008C3133" w:rsidP="008C3133">
      <w:pPr>
        <w:pStyle w:val="AERbulletlistfirststyle"/>
      </w:pPr>
      <w:proofErr w:type="gramStart"/>
      <w:r w:rsidRPr="008C3133">
        <w:t>the</w:t>
      </w:r>
      <w:proofErr w:type="gramEnd"/>
      <w:r w:rsidRPr="008C3133">
        <w:t xml:space="preserve"> trade</w:t>
      </w:r>
      <w:r w:rsidR="00E34C0D">
        <w:t>–</w:t>
      </w:r>
      <w:r w:rsidRPr="008C3133">
        <w:t xml:space="preserve">off between potential capex and opex solutions in our assessment of </w:t>
      </w:r>
      <w:r>
        <w:t>A</w:t>
      </w:r>
      <w:r w:rsidRPr="008C3133">
        <w:t>GN's proposed capex.</w:t>
      </w:r>
    </w:p>
    <w:p w:rsidR="008C3133" w:rsidRPr="008C3133" w:rsidRDefault="008C3133" w:rsidP="008C3133">
      <w:pPr>
        <w:pStyle w:val="AERbulletlistfirststyle"/>
      </w:pPr>
      <w:r>
        <w:t xml:space="preserve">any change in the capitalisation policy applied between the current access arrangement and the 2016–21 access arrangement period. </w:t>
      </w:r>
    </w:p>
    <w:p w:rsidR="000171EB" w:rsidRDefault="009A5113" w:rsidP="009A5113">
      <w:pPr>
        <w:pStyle w:val="Heading2"/>
      </w:pPr>
      <w:bookmarkStart w:id="38" w:name="_Toc408404324"/>
      <w:bookmarkStart w:id="39" w:name="_Toc436053699"/>
      <w:r w:rsidRPr="0074565D">
        <w:t xml:space="preserve">Reasons for </w:t>
      </w:r>
      <w:r w:rsidR="00CF2C05">
        <w:t>draft</w:t>
      </w:r>
      <w:r w:rsidR="00651CB2" w:rsidRPr="0074565D">
        <w:t xml:space="preserve"> </w:t>
      </w:r>
      <w:r w:rsidRPr="0074565D">
        <w:t>decision</w:t>
      </w:r>
      <w:bookmarkEnd w:id="38"/>
      <w:bookmarkEnd w:id="39"/>
    </w:p>
    <w:p w:rsidR="0026109F" w:rsidRPr="00413233" w:rsidRDefault="009A5113" w:rsidP="0026109F">
      <w:pPr>
        <w:pStyle w:val="Heading3"/>
        <w:rPr>
          <w:rFonts w:eastAsia="Calibri"/>
        </w:rPr>
      </w:pPr>
      <w:r w:rsidRPr="0074565D">
        <w:t xml:space="preserve"> </w:t>
      </w:r>
      <w:bookmarkStart w:id="40" w:name="_Ref331418230"/>
      <w:bookmarkStart w:id="41" w:name="_Toc404675967"/>
      <w:bookmarkStart w:id="42" w:name="_Toc404676295"/>
      <w:bookmarkStart w:id="43" w:name="_Toc436053700"/>
      <w:r w:rsidR="0026109F" w:rsidRPr="00413233">
        <w:rPr>
          <w:rFonts w:eastAsia="Calibri"/>
        </w:rPr>
        <w:t>Conforming capital expenditure for 20</w:t>
      </w:r>
      <w:r w:rsidR="0026109F">
        <w:rPr>
          <w:rFonts w:eastAsia="Calibri"/>
        </w:rPr>
        <w:t>1</w:t>
      </w:r>
      <w:r w:rsidR="0026109F" w:rsidRPr="00413233">
        <w:rPr>
          <w:rFonts w:eastAsia="Calibri"/>
        </w:rPr>
        <w:t>0–1</w:t>
      </w:r>
      <w:bookmarkEnd w:id="40"/>
      <w:bookmarkEnd w:id="41"/>
      <w:bookmarkEnd w:id="42"/>
      <w:r w:rsidR="0026109F">
        <w:rPr>
          <w:rFonts w:eastAsia="Calibri"/>
        </w:rPr>
        <w:t>5</w:t>
      </w:r>
      <w:bookmarkEnd w:id="43"/>
    </w:p>
    <w:p w:rsidR="00D712DE" w:rsidRPr="00D712DE" w:rsidRDefault="00D712DE" w:rsidP="00D712DE">
      <w:r w:rsidRPr="00D712DE">
        <w:t>AGN has proposed net capex of $519.3 million for the 2010</w:t>
      </w:r>
      <w:r w:rsidR="005150DE">
        <w:t>–</w:t>
      </w:r>
      <w:r w:rsidRPr="00D712DE">
        <w:t>16 period, where capex in 2015</w:t>
      </w:r>
      <w:r w:rsidR="005150DE">
        <w:t>–</w:t>
      </w:r>
      <w:r w:rsidRPr="00D712DE">
        <w:t>16 is an estimate. Without the estimate of capex for 2015</w:t>
      </w:r>
      <w:r w:rsidR="005150DE">
        <w:t>–</w:t>
      </w:r>
      <w:r w:rsidRPr="00D712DE">
        <w:t>16, AGN has proposed $392</w:t>
      </w:r>
      <w:r w:rsidR="005150DE">
        <w:t>.6</w:t>
      </w:r>
      <w:r w:rsidRPr="00D712DE">
        <w:t xml:space="preserve"> million as conforming capex. We accept $392</w:t>
      </w:r>
      <w:r w:rsidR="005150DE">
        <w:t>.6</w:t>
      </w:r>
      <w:r w:rsidRPr="00D712DE">
        <w:t xml:space="preserve"> million as conforming capex for 2010</w:t>
      </w:r>
      <w:r w:rsidR="00E34C0D">
        <w:t>–</w:t>
      </w:r>
      <w:r w:rsidRPr="00D712DE">
        <w:t>15, and will assess whether capex incurred in 2015</w:t>
      </w:r>
      <w:r w:rsidR="00E34C0D">
        <w:t>–</w:t>
      </w:r>
      <w:r w:rsidRPr="00D712DE">
        <w:t>16 is conforming in the next review.</w:t>
      </w:r>
    </w:p>
    <w:p w:rsidR="0026109F" w:rsidRDefault="0026109F" w:rsidP="004E2C1F">
      <w:r>
        <w:t>In reaching this view we have considered the following factors:</w:t>
      </w:r>
    </w:p>
    <w:p w:rsidR="0026109F" w:rsidRPr="0026109F" w:rsidRDefault="00752052" w:rsidP="0026109F">
      <w:pPr>
        <w:pStyle w:val="AERbulletlistfirststyle"/>
      </w:pPr>
      <w:r>
        <w:t>A</w:t>
      </w:r>
      <w:r w:rsidR="0026109F" w:rsidRPr="0026109F">
        <w:t xml:space="preserve">GN's network capex was </w:t>
      </w:r>
      <w:r w:rsidR="00EF14A3">
        <w:t>$</w:t>
      </w:r>
      <w:r w:rsidR="00467988">
        <w:t>7.4</w:t>
      </w:r>
      <w:r w:rsidR="0026109F" w:rsidRPr="0026109F">
        <w:t xml:space="preserve"> million (</w:t>
      </w:r>
      <w:r>
        <w:t>1</w:t>
      </w:r>
      <w:r w:rsidR="00467988">
        <w:t>4.4</w:t>
      </w:r>
      <w:r w:rsidR="0026109F" w:rsidRPr="0026109F">
        <w:t xml:space="preserve"> per cent) </w:t>
      </w:r>
      <w:r>
        <w:t>und</w:t>
      </w:r>
      <w:r w:rsidR="0026109F" w:rsidRPr="0026109F">
        <w:t xml:space="preserve">er the </w:t>
      </w:r>
      <w:r>
        <w:t>ESCOSA</w:t>
      </w:r>
      <w:r w:rsidR="0026109F" w:rsidRPr="0026109F">
        <w:t xml:space="preserve"> approved amount of $</w:t>
      </w:r>
      <w:r w:rsidR="00467988">
        <w:t>51</w:t>
      </w:r>
      <w:r w:rsidR="0026109F" w:rsidRPr="0026109F">
        <w:t xml:space="preserve"> million </w:t>
      </w:r>
      <w:r w:rsidR="00467988">
        <w:t xml:space="preserve">($2014–15) </w:t>
      </w:r>
      <w:r w:rsidR="0026109F" w:rsidRPr="0026109F">
        <w:t>for 20</w:t>
      </w:r>
      <w:r>
        <w:t>1</w:t>
      </w:r>
      <w:r w:rsidR="0026109F" w:rsidRPr="0026109F">
        <w:t>0–1</w:t>
      </w:r>
      <w:r>
        <w:t>1</w:t>
      </w:r>
      <w:r w:rsidR="0026109F" w:rsidRPr="0026109F">
        <w:t>.</w:t>
      </w:r>
      <w:r>
        <w:rPr>
          <w:rStyle w:val="FootnoteReference"/>
        </w:rPr>
        <w:footnoteReference w:id="29"/>
      </w:r>
      <w:r w:rsidR="0026109F" w:rsidRPr="0026109F">
        <w:t xml:space="preserve"> </w:t>
      </w:r>
    </w:p>
    <w:p w:rsidR="0026109F" w:rsidRPr="0026109F" w:rsidRDefault="00D51540" w:rsidP="0026109F">
      <w:pPr>
        <w:pStyle w:val="AERbulletlistfirststyle"/>
      </w:pPr>
      <w:r>
        <w:t>A</w:t>
      </w:r>
      <w:r w:rsidR="0026109F" w:rsidRPr="0026109F">
        <w:t xml:space="preserve">GN's network capex was </w:t>
      </w:r>
      <w:r w:rsidR="008D3C1A">
        <w:t>$</w:t>
      </w:r>
      <w:r w:rsidR="00DD1FAA">
        <w:t>93</w:t>
      </w:r>
      <w:r w:rsidR="0026109F" w:rsidRPr="0026109F">
        <w:t xml:space="preserve"> million (</w:t>
      </w:r>
      <w:r w:rsidR="00DD1FAA">
        <w:t>20</w:t>
      </w:r>
      <w:r w:rsidR="0026109F" w:rsidRPr="0026109F">
        <w:t xml:space="preserve"> per cent) under the AER approved amount of $</w:t>
      </w:r>
      <w:r>
        <w:t>44</w:t>
      </w:r>
      <w:r w:rsidR="00ED3A7D">
        <w:t>5</w:t>
      </w:r>
      <w:r>
        <w:t>.</w:t>
      </w:r>
      <w:r w:rsidR="00ED3A7D">
        <w:t>4</w:t>
      </w:r>
      <w:r w:rsidR="0026109F" w:rsidRPr="0026109F">
        <w:t xml:space="preserve"> million for 201</w:t>
      </w:r>
      <w:r>
        <w:t>1</w:t>
      </w:r>
      <w:r w:rsidR="0026109F" w:rsidRPr="0026109F">
        <w:t>–1</w:t>
      </w:r>
      <w:r>
        <w:t>5</w:t>
      </w:r>
      <w:r w:rsidR="0026109F" w:rsidRPr="0026109F">
        <w:t>.</w:t>
      </w:r>
      <w:r w:rsidR="009F4F6B">
        <w:rPr>
          <w:rStyle w:val="FootnoteReference"/>
        </w:rPr>
        <w:footnoteReference w:id="30"/>
      </w:r>
    </w:p>
    <w:p w:rsidR="0026109F" w:rsidRPr="0026109F" w:rsidRDefault="005C5323" w:rsidP="0026109F">
      <w:pPr>
        <w:pStyle w:val="AERbulletlistfirststyle"/>
      </w:pPr>
      <w:r>
        <w:t>A</w:t>
      </w:r>
      <w:r w:rsidR="0026109F" w:rsidRPr="0026109F">
        <w:t xml:space="preserve">GN spent less than our forecast on its network in </w:t>
      </w:r>
      <w:r w:rsidR="00443854">
        <w:t>six</w:t>
      </w:r>
      <w:r w:rsidR="0026109F" w:rsidRPr="0026109F">
        <w:t xml:space="preserve"> out of </w:t>
      </w:r>
      <w:r w:rsidR="00443854">
        <w:t>nine</w:t>
      </w:r>
      <w:r w:rsidR="0026109F" w:rsidRPr="0026109F">
        <w:t xml:space="preserve"> categories </w:t>
      </w:r>
      <w:r w:rsidR="00EF14A3">
        <w:t xml:space="preserve">during the </w:t>
      </w:r>
      <w:r w:rsidR="0026109F" w:rsidRPr="0026109F">
        <w:t>201</w:t>
      </w:r>
      <w:r w:rsidR="00EF14A3">
        <w:t>0–</w:t>
      </w:r>
      <w:r w:rsidR="0026109F" w:rsidRPr="0026109F">
        <w:t>1</w:t>
      </w:r>
      <w:r>
        <w:t>5</w:t>
      </w:r>
      <w:r w:rsidR="00EF14A3">
        <w:t xml:space="preserve"> access arrangement period</w:t>
      </w:r>
      <w:r w:rsidR="0026109F" w:rsidRPr="0026109F">
        <w:t xml:space="preserve">. In </w:t>
      </w:r>
      <w:r w:rsidR="00443854">
        <w:t>five</w:t>
      </w:r>
      <w:r w:rsidR="0026109F" w:rsidRPr="0026109F">
        <w:t xml:space="preserve"> categories, the underspend was greater than 20 per cent below forecast </w:t>
      </w:r>
      <w:r>
        <w:t>(</w:t>
      </w:r>
      <w:proofErr w:type="gramStart"/>
      <w:r w:rsidR="0026109F" w:rsidRPr="0026109F">
        <w:t xml:space="preserve">see </w:t>
      </w:r>
      <w:proofErr w:type="gramEnd"/>
      <w:r>
        <w:fldChar w:fldCharType="begin"/>
      </w:r>
      <w:r>
        <w:instrText xml:space="preserve"> REF  _Ref426400581 \* Lower \h  \* MERGEFORMAT </w:instrText>
      </w:r>
      <w:r>
        <w:fldChar w:fldCharType="separate"/>
      </w:r>
      <w:r w:rsidR="00877C37">
        <w:fldChar w:fldCharType="begin"/>
      </w:r>
      <w:r w:rsidR="00877C37">
        <w:instrText xml:space="preserve"> REF _Ref435533257 \h </w:instrText>
      </w:r>
      <w:r w:rsidR="00877C37">
        <w:fldChar w:fldCharType="separate"/>
      </w:r>
      <w:r w:rsidR="00877C37">
        <w:t xml:space="preserve">Table </w:t>
      </w:r>
      <w:r w:rsidR="00877C37">
        <w:rPr>
          <w:noProof/>
        </w:rPr>
        <w:t>6</w:t>
      </w:r>
      <w:r w:rsidR="00877C37">
        <w:t>.</w:t>
      </w:r>
      <w:r w:rsidR="00877C37">
        <w:rPr>
          <w:noProof/>
        </w:rPr>
        <w:t>4</w:t>
      </w:r>
      <w:r w:rsidR="00877C37">
        <w:fldChar w:fldCharType="end"/>
      </w:r>
      <w:r>
        <w:fldChar w:fldCharType="end"/>
      </w:r>
      <w:r>
        <w:t>)</w:t>
      </w:r>
      <w:r w:rsidR="0026109F" w:rsidRPr="0026109F">
        <w:t>.</w:t>
      </w:r>
    </w:p>
    <w:p w:rsidR="0026109F" w:rsidRPr="0026109F" w:rsidRDefault="0026109F" w:rsidP="0026109F">
      <w:pPr>
        <w:pStyle w:val="AERbulletlistfirststyle"/>
      </w:pPr>
      <w:r w:rsidRPr="0026109F">
        <w:t xml:space="preserve">The largest underspends </w:t>
      </w:r>
      <w:r w:rsidR="00EF14A3">
        <w:t xml:space="preserve">in the </w:t>
      </w:r>
      <w:r w:rsidR="00EF14A3" w:rsidRPr="0026109F">
        <w:t>201</w:t>
      </w:r>
      <w:r w:rsidR="00EF14A3">
        <w:t>0–</w:t>
      </w:r>
      <w:r w:rsidR="00EF14A3" w:rsidRPr="0026109F">
        <w:t>1</w:t>
      </w:r>
      <w:r w:rsidR="00EF14A3">
        <w:t>5 access arrangement period</w:t>
      </w:r>
      <w:r w:rsidRPr="00F1261F">
        <w:rPr>
          <w:rStyle w:val="FootnoteReference"/>
        </w:rPr>
        <w:footnoteReference w:id="31"/>
      </w:r>
      <w:r w:rsidRPr="0026109F">
        <w:t xml:space="preserve"> occurred in the connections/</w:t>
      </w:r>
      <w:r w:rsidR="005C5323">
        <w:t>growth assets</w:t>
      </w:r>
      <w:r w:rsidRPr="0026109F">
        <w:t xml:space="preserve">, </w:t>
      </w:r>
      <w:r w:rsidR="005C5323">
        <w:t xml:space="preserve">other distribution, and </w:t>
      </w:r>
      <w:r w:rsidRPr="0026109F">
        <w:t>meter re</w:t>
      </w:r>
      <w:r w:rsidR="005C5323">
        <w:t>placement</w:t>
      </w:r>
      <w:r w:rsidRPr="0026109F">
        <w:t xml:space="preserve"> categories:</w:t>
      </w:r>
      <w:r w:rsidR="009040C9" w:rsidRPr="003526BB">
        <w:rPr>
          <w:rStyle w:val="FootnoteReference"/>
        </w:rPr>
        <w:footnoteReference w:id="32"/>
      </w:r>
      <w:r w:rsidRPr="0026109F">
        <w:t xml:space="preserve">  </w:t>
      </w:r>
    </w:p>
    <w:p w:rsidR="0026109F" w:rsidRPr="0026109F" w:rsidRDefault="0026109F" w:rsidP="00CB4EA2">
      <w:pPr>
        <w:pStyle w:val="AERbulletlistsecondstyle"/>
      </w:pPr>
      <w:r w:rsidRPr="0026109F">
        <w:t>In the connections/</w:t>
      </w:r>
      <w:r w:rsidR="005C5323">
        <w:t>growth assets</w:t>
      </w:r>
      <w:r w:rsidRPr="0026109F">
        <w:t xml:space="preserve"> category, </w:t>
      </w:r>
      <w:r w:rsidR="005C5323">
        <w:t>A</w:t>
      </w:r>
      <w:r w:rsidRPr="0026109F">
        <w:t>GN spent $</w:t>
      </w:r>
      <w:r w:rsidR="00443854">
        <w:t>57.7</w:t>
      </w:r>
      <w:r w:rsidRPr="0026109F">
        <w:t xml:space="preserve"> million less forecast due to a smaller volume of new connections occurring than was approved </w:t>
      </w:r>
    </w:p>
    <w:p w:rsidR="0026109F" w:rsidRPr="0026109F" w:rsidRDefault="0026109F" w:rsidP="00007A3F">
      <w:pPr>
        <w:pStyle w:val="AERbulletlistsecondstyle"/>
      </w:pPr>
      <w:r w:rsidRPr="0026109F">
        <w:t xml:space="preserve">In the </w:t>
      </w:r>
      <w:r w:rsidR="003526BB">
        <w:t xml:space="preserve">other distribution </w:t>
      </w:r>
      <w:r w:rsidRPr="0026109F">
        <w:t xml:space="preserve">category, </w:t>
      </w:r>
      <w:r w:rsidR="003526BB">
        <w:t>A</w:t>
      </w:r>
      <w:r w:rsidRPr="0026109F">
        <w:t>GN spent $</w:t>
      </w:r>
      <w:r w:rsidR="004972E4">
        <w:t>3</w:t>
      </w:r>
      <w:r w:rsidR="00443854">
        <w:t>4</w:t>
      </w:r>
      <w:r w:rsidRPr="0026109F">
        <w:t xml:space="preserve"> million less than forecast due </w:t>
      </w:r>
      <w:r w:rsidR="00007A3F">
        <w:t xml:space="preserve">a change in the costs captured in </w:t>
      </w:r>
      <w:r w:rsidR="00007A3F" w:rsidRPr="00007A3F">
        <w:t>this category</w:t>
      </w:r>
      <w:r w:rsidR="00007A3F">
        <w:t>. Formerly this category captured</w:t>
      </w:r>
      <w:r w:rsidR="00007A3F" w:rsidRPr="00007A3F">
        <w:t xml:space="preserve"> the costs of complying with new requirements for road works and reinstatement</w:t>
      </w:r>
      <w:r w:rsidR="00007A3F">
        <w:t xml:space="preserve">. These </w:t>
      </w:r>
      <w:r w:rsidR="00007A3F" w:rsidRPr="00007A3F">
        <w:t xml:space="preserve">costs </w:t>
      </w:r>
      <w:r w:rsidR="00007A3F">
        <w:t>wer</w:t>
      </w:r>
      <w:r w:rsidR="00007A3F" w:rsidRPr="00007A3F">
        <w:t xml:space="preserve">e instead allocated </w:t>
      </w:r>
      <w:r w:rsidR="00007A3F">
        <w:t xml:space="preserve">directly </w:t>
      </w:r>
      <w:r w:rsidR="00007A3F" w:rsidRPr="00007A3F">
        <w:t xml:space="preserve">to </w:t>
      </w:r>
      <w:r w:rsidR="00007A3F">
        <w:t xml:space="preserve">the </w:t>
      </w:r>
      <w:r w:rsidR="00007A3F" w:rsidRPr="00007A3F">
        <w:t>augmentation, growth and mains replacement</w:t>
      </w:r>
      <w:r w:rsidR="00007A3F">
        <w:t xml:space="preserve"> categories.</w:t>
      </w:r>
    </w:p>
    <w:p w:rsidR="004C1288" w:rsidRPr="0026109F" w:rsidRDefault="004C1288" w:rsidP="00007A3F">
      <w:pPr>
        <w:pStyle w:val="AERbulletlistsecondstyle"/>
      </w:pPr>
      <w:r>
        <w:t>In the meter replacement category, A</w:t>
      </w:r>
      <w:r w:rsidRPr="0026109F">
        <w:t>GN spent $</w:t>
      </w:r>
      <w:r w:rsidR="00443854">
        <w:t>4.0</w:t>
      </w:r>
      <w:r w:rsidR="00B13AD0">
        <w:t> </w:t>
      </w:r>
      <w:r w:rsidRPr="0026109F">
        <w:t xml:space="preserve">million less </w:t>
      </w:r>
      <w:r>
        <w:t xml:space="preserve">than </w:t>
      </w:r>
      <w:r w:rsidR="00B13AD0">
        <w:t xml:space="preserve">the AER’s </w:t>
      </w:r>
      <w:r w:rsidR="00731F07">
        <w:t>estimate</w:t>
      </w:r>
      <w:r w:rsidR="00731F07" w:rsidRPr="0026109F">
        <w:t xml:space="preserve"> </w:t>
      </w:r>
      <w:r w:rsidRPr="0026109F">
        <w:t xml:space="preserve">due to </w:t>
      </w:r>
      <w:r w:rsidR="00007A3F" w:rsidRPr="00007A3F">
        <w:t xml:space="preserve">lower volumes of domestic meters </w:t>
      </w:r>
      <w:r w:rsidR="00007A3F">
        <w:t xml:space="preserve">being </w:t>
      </w:r>
      <w:r w:rsidR="00007A3F" w:rsidRPr="00007A3F">
        <w:t xml:space="preserve">replaced than </w:t>
      </w:r>
      <w:r w:rsidR="00007A3F">
        <w:t>forecast</w:t>
      </w:r>
      <w:r w:rsidR="00007A3F" w:rsidRPr="00007A3F">
        <w:t xml:space="preserve">, </w:t>
      </w:r>
      <w:r w:rsidR="00007A3F">
        <w:t>which AGN submitted reflected</w:t>
      </w:r>
      <w:r w:rsidR="00007A3F" w:rsidRPr="00007A3F">
        <w:t xml:space="preserve"> an updated view of the required replacement program for various meter family types</w:t>
      </w:r>
      <w:r w:rsidR="00007A3F">
        <w:t>.</w:t>
      </w:r>
    </w:p>
    <w:p w:rsidR="0026109F" w:rsidRPr="0026109F" w:rsidRDefault="0026109F" w:rsidP="0026109F">
      <w:pPr>
        <w:pStyle w:val="AERbulletlistfirststyle"/>
      </w:pPr>
      <w:r w:rsidRPr="0026109F">
        <w:t xml:space="preserve">The largest overspends </w:t>
      </w:r>
      <w:r w:rsidR="00EF14A3">
        <w:t xml:space="preserve">in the </w:t>
      </w:r>
      <w:r w:rsidR="00EF14A3" w:rsidRPr="0026109F">
        <w:t>201</w:t>
      </w:r>
      <w:r w:rsidR="00EF14A3">
        <w:t>0–</w:t>
      </w:r>
      <w:r w:rsidR="00EF14A3" w:rsidRPr="0026109F">
        <w:t>1</w:t>
      </w:r>
      <w:r w:rsidR="00EF14A3">
        <w:t>5 access arrangement period</w:t>
      </w:r>
      <w:r w:rsidRPr="0026109F">
        <w:t xml:space="preserve"> occurred in </w:t>
      </w:r>
      <w:r w:rsidR="00CA303B" w:rsidRPr="0026109F">
        <w:t>information technology (IT)</w:t>
      </w:r>
      <w:r w:rsidR="000D5317">
        <w:t>,</w:t>
      </w:r>
      <w:r w:rsidR="00CA303B" w:rsidRPr="0026109F">
        <w:t xml:space="preserve"> </w:t>
      </w:r>
      <w:r w:rsidR="001A2564">
        <w:t>augmentation</w:t>
      </w:r>
      <w:r w:rsidRPr="0026109F">
        <w:t>, and re</w:t>
      </w:r>
      <w:r w:rsidR="001A2564">
        <w:t>gu</w:t>
      </w:r>
      <w:r w:rsidRPr="0026109F">
        <w:t>lat</w:t>
      </w:r>
      <w:r w:rsidR="001A2564">
        <w:t>ors</w:t>
      </w:r>
      <w:r w:rsidRPr="0026109F">
        <w:t xml:space="preserve"> categories:</w:t>
      </w:r>
      <w:r w:rsidR="00021039" w:rsidRPr="00CA303B">
        <w:rPr>
          <w:rStyle w:val="FootnoteReference"/>
        </w:rPr>
        <w:footnoteReference w:id="33"/>
      </w:r>
    </w:p>
    <w:p w:rsidR="009A5113" w:rsidRDefault="0026109F" w:rsidP="00CB4EA2">
      <w:pPr>
        <w:pStyle w:val="AERbulletlistsecondstyle"/>
      </w:pPr>
      <w:r w:rsidRPr="0026109F">
        <w:t xml:space="preserve">In the </w:t>
      </w:r>
      <w:r w:rsidR="00CA303B">
        <w:t>IT category, A</w:t>
      </w:r>
      <w:r w:rsidRPr="0026109F">
        <w:t>GN exceeded the forecast by $</w:t>
      </w:r>
      <w:r w:rsidR="00443854">
        <w:t>10.1</w:t>
      </w:r>
      <w:r w:rsidRPr="0026109F">
        <w:t xml:space="preserve"> million due to </w:t>
      </w:r>
      <w:r w:rsidR="00CB4EA2" w:rsidRPr="00CB4EA2">
        <w:t xml:space="preserve">the development and implementation of </w:t>
      </w:r>
      <w:r w:rsidR="00CB4EA2">
        <w:t>AGN’s</w:t>
      </w:r>
      <w:r w:rsidR="00CB4EA2" w:rsidRPr="00CB4EA2">
        <w:t xml:space="preserve"> Enterprise Asset Management (EAM) system, the requirements/complexity of </w:t>
      </w:r>
      <w:r w:rsidR="00CB4EA2">
        <w:t xml:space="preserve">which </w:t>
      </w:r>
      <w:r w:rsidR="00CB4EA2" w:rsidRPr="00CB4EA2">
        <w:t xml:space="preserve">was not </w:t>
      </w:r>
      <w:r w:rsidR="00CB4EA2">
        <w:t>forecast</w:t>
      </w:r>
      <w:r w:rsidR="00CB4EA2" w:rsidRPr="00CB4EA2">
        <w:t xml:space="preserve"> at the time the benchmarks were set</w:t>
      </w:r>
      <w:r w:rsidRPr="0026109F">
        <w:t>.</w:t>
      </w:r>
    </w:p>
    <w:p w:rsidR="00021039" w:rsidRDefault="00021039" w:rsidP="00021039">
      <w:pPr>
        <w:pStyle w:val="AERbulletlistsecondstyle"/>
      </w:pPr>
      <w:r w:rsidRPr="0026109F">
        <w:t xml:space="preserve">In the </w:t>
      </w:r>
      <w:r>
        <w:t>augmentation category, A</w:t>
      </w:r>
      <w:r w:rsidRPr="0026109F">
        <w:t>GN exceeded the forecast by $</w:t>
      </w:r>
      <w:r w:rsidR="00443854">
        <w:t>5.8</w:t>
      </w:r>
      <w:r w:rsidRPr="0026109F">
        <w:t xml:space="preserve"> million due to</w:t>
      </w:r>
      <w:r>
        <w:t xml:space="preserve"> </w:t>
      </w:r>
      <w:r w:rsidRPr="00021039">
        <w:t xml:space="preserve">the completion of additional augmentation projects </w:t>
      </w:r>
      <w:r>
        <w:t>than were forecast</w:t>
      </w:r>
      <w:r w:rsidRPr="00021039">
        <w:t xml:space="preserve">, </w:t>
      </w:r>
      <w:r>
        <w:t>including</w:t>
      </w:r>
      <w:r w:rsidRPr="00021039">
        <w:t xml:space="preserve"> projects in Tapley’s H</w:t>
      </w:r>
      <w:r>
        <w:t>ill Road, Gawler, and Salisbury.</w:t>
      </w:r>
    </w:p>
    <w:p w:rsidR="00021039" w:rsidRDefault="00021039" w:rsidP="00021039">
      <w:pPr>
        <w:pStyle w:val="AERbulletlistsecondstyle"/>
      </w:pPr>
      <w:r>
        <w:t>In the regulators category,</w:t>
      </w:r>
      <w:r w:rsidR="00443854">
        <w:t xml:space="preserve"> AGN exceeded the forecast by $3.6</w:t>
      </w:r>
      <w:r>
        <w:t xml:space="preserve"> million due to </w:t>
      </w:r>
      <w:r w:rsidRPr="00021039">
        <w:t>a new national design standard requiring more expensive components and installation costs,</w:t>
      </w:r>
      <w:r>
        <w:t xml:space="preserve"> </w:t>
      </w:r>
      <w:r w:rsidRPr="00021039">
        <w:t xml:space="preserve">increased decommissioning costs of existing regulators and valves due to greater traffic management requirements and higher than </w:t>
      </w:r>
      <w:r>
        <w:t>expected instances of asbestos.</w:t>
      </w:r>
    </w:p>
    <w:p w:rsidR="00D90F8C" w:rsidRPr="00413233" w:rsidRDefault="00D90F8C" w:rsidP="00D90F8C">
      <w:pPr>
        <w:pStyle w:val="Heading3"/>
        <w:rPr>
          <w:rFonts w:eastAsia="Calibri"/>
        </w:rPr>
      </w:pPr>
      <w:bookmarkStart w:id="44" w:name="_Toc404675968"/>
      <w:bookmarkStart w:id="45" w:name="_Toc404676296"/>
      <w:bookmarkStart w:id="46" w:name="_Ref433910799"/>
      <w:bookmarkStart w:id="47" w:name="_Toc436053701"/>
      <w:r w:rsidRPr="00413233">
        <w:rPr>
          <w:rFonts w:eastAsia="Calibri"/>
        </w:rPr>
        <w:t>Conforming capital expenditure for the 201</w:t>
      </w:r>
      <w:r w:rsidR="00D97DEE">
        <w:rPr>
          <w:rFonts w:eastAsia="Calibri"/>
        </w:rPr>
        <w:t>6</w:t>
      </w:r>
      <w:r w:rsidRPr="00413233">
        <w:rPr>
          <w:rFonts w:eastAsia="Calibri"/>
        </w:rPr>
        <w:t>–</w:t>
      </w:r>
      <w:r>
        <w:rPr>
          <w:rFonts w:eastAsia="Calibri"/>
        </w:rPr>
        <w:t>2</w:t>
      </w:r>
      <w:r w:rsidR="00D97DEE">
        <w:rPr>
          <w:rFonts w:eastAsia="Calibri"/>
        </w:rPr>
        <w:t>1</w:t>
      </w:r>
      <w:r w:rsidRPr="00413233">
        <w:rPr>
          <w:rFonts w:eastAsia="Calibri"/>
        </w:rPr>
        <w:t xml:space="preserve"> access arrangement period</w:t>
      </w:r>
      <w:bookmarkEnd w:id="44"/>
      <w:bookmarkEnd w:id="45"/>
      <w:bookmarkEnd w:id="46"/>
      <w:bookmarkEnd w:id="47"/>
    </w:p>
    <w:p w:rsidR="00D90F8C" w:rsidRPr="009062F9" w:rsidRDefault="004E2C1F" w:rsidP="009062F9">
      <w:pPr>
        <w:rPr>
          <w:rStyle w:val="AERbody"/>
        </w:rPr>
      </w:pPr>
      <w:r w:rsidRPr="009062F9">
        <w:rPr>
          <w:rStyle w:val="AERbody"/>
        </w:rPr>
        <w:t>The rest of this attachment sets out our analysis of the capex drivers in coming to our position to approve $</w:t>
      </w:r>
      <w:r w:rsidR="0036378E" w:rsidRPr="009062F9">
        <w:rPr>
          <w:rStyle w:val="AERbody"/>
        </w:rPr>
        <w:t>393.0</w:t>
      </w:r>
      <w:r w:rsidRPr="009062F9">
        <w:rPr>
          <w:rStyle w:val="AERbody"/>
        </w:rPr>
        <w:t xml:space="preserve"> million ($2014–15) of AGN's proposed $6</w:t>
      </w:r>
      <w:r w:rsidR="0036378E" w:rsidRPr="009062F9">
        <w:rPr>
          <w:rStyle w:val="AERbody"/>
        </w:rPr>
        <w:t>87.3</w:t>
      </w:r>
      <w:r w:rsidRPr="009062F9">
        <w:rPr>
          <w:rStyle w:val="AERbody"/>
        </w:rPr>
        <w:t xml:space="preserve"> million ($2014–15) total net capex for the 2016–21 access arrangement </w:t>
      </w:r>
      <w:proofErr w:type="gramStart"/>
      <w:r w:rsidRPr="009062F9">
        <w:rPr>
          <w:rStyle w:val="AERbody"/>
        </w:rPr>
        <w:t>period</w:t>
      </w:r>
      <w:proofErr w:type="gramEnd"/>
      <w:r w:rsidRPr="009062F9">
        <w:rPr>
          <w:rStyle w:val="AERbody"/>
        </w:rPr>
        <w:t xml:space="preserve"> as conforming capex under r</w:t>
      </w:r>
      <w:r w:rsidR="00D019F4" w:rsidRPr="009062F9">
        <w:rPr>
          <w:rStyle w:val="AERbody"/>
        </w:rPr>
        <w:t>ule</w:t>
      </w:r>
      <w:r w:rsidRPr="009062F9">
        <w:rPr>
          <w:rStyle w:val="AERbody"/>
        </w:rPr>
        <w:t xml:space="preserve"> 79(1) of the NGR. </w:t>
      </w:r>
    </w:p>
    <w:p w:rsidR="00D022DB" w:rsidRPr="009062F9" w:rsidRDefault="00D022DB" w:rsidP="009062F9">
      <w:pPr>
        <w:pStyle w:val="HeadingBoldBlue"/>
      </w:pPr>
      <w:bookmarkStart w:id="48" w:name="_Toc435534595"/>
      <w:r w:rsidRPr="009062F9">
        <w:t>Growth Assets (new connections capex)</w:t>
      </w:r>
      <w:bookmarkEnd w:id="48"/>
    </w:p>
    <w:p w:rsidR="00D022DB" w:rsidRDefault="00D022DB" w:rsidP="00D022DB">
      <w:r w:rsidRPr="00275734">
        <w:t xml:space="preserve">Distribution businesses have a regulatory obligation to </w:t>
      </w:r>
      <w:r>
        <w:t xml:space="preserve">make a connection offer to </w:t>
      </w:r>
      <w:r w:rsidRPr="00275734">
        <w:t xml:space="preserve">residential and commercial/industrial customers </w:t>
      </w:r>
      <w:r>
        <w:t xml:space="preserve">making application </w:t>
      </w:r>
      <w:r w:rsidRPr="00275734">
        <w:t xml:space="preserve">to </w:t>
      </w:r>
      <w:r>
        <w:t>connect to its</w:t>
      </w:r>
      <w:r w:rsidRPr="00275734">
        <w:t xml:space="preserve"> distribution network.</w:t>
      </w:r>
      <w:r>
        <w:rPr>
          <w:rStyle w:val="FootnoteReference"/>
        </w:rPr>
        <w:footnoteReference w:id="34"/>
      </w:r>
      <w:r w:rsidRPr="00275734">
        <w:t xml:space="preserve"> </w:t>
      </w:r>
    </w:p>
    <w:p w:rsidR="00D022DB" w:rsidRDefault="00D022DB" w:rsidP="00D022DB">
      <w:r>
        <w:t xml:space="preserve">The capex associated with these connections, which </w:t>
      </w:r>
      <w:r w:rsidRPr="00275734">
        <w:t>includes the cost of new mains, gas service pipe from the main to the meter</w:t>
      </w:r>
      <w:r>
        <w:t xml:space="preserve"> and the meter, generally differs depending on whether the connection is for a Tariff V customer or a Tariff D customer. Tariff V customers are categorised into existing homes, new estates, multi</w:t>
      </w:r>
      <w:r w:rsidR="00E34C0D">
        <w:t>–</w:t>
      </w:r>
      <w:r>
        <w:t>users and commercial/industrial customers who consume less than 10 TJ/year. Tariff D customers are major industrial customers who consume more than 10 TJ/year.</w:t>
      </w:r>
    </w:p>
    <w:p w:rsidR="00D022DB" w:rsidRDefault="00A377BE" w:rsidP="00D022DB">
      <w:r>
        <w:t>We have included $85.</w:t>
      </w:r>
      <w:r w:rsidR="005150DE">
        <w:t>4</w:t>
      </w:r>
      <w:r w:rsidR="00D022DB">
        <w:t xml:space="preserve"> million ($2015, unescalated direct costs) of connections</w:t>
      </w:r>
      <w:r w:rsidR="003A3495">
        <w:t xml:space="preserve"> net </w:t>
      </w:r>
      <w:r w:rsidR="00D022DB">
        <w:t xml:space="preserve">capex in our alternative capex estimate. </w:t>
      </w:r>
      <w:r w:rsidR="005911B2">
        <w:t xml:space="preserve">We consider that this amount is conforming capex that complies with </w:t>
      </w:r>
      <w:r w:rsidR="005911B2" w:rsidRPr="00035DA4">
        <w:t>r</w:t>
      </w:r>
      <w:r w:rsidR="00D019F4">
        <w:t>ule</w:t>
      </w:r>
      <w:r w:rsidR="005911B2" w:rsidRPr="00035DA4">
        <w:t xml:space="preserve"> 79(1) of the NGR</w:t>
      </w:r>
      <w:r w:rsidR="005911B2">
        <w:t xml:space="preserve">. </w:t>
      </w:r>
      <w:r w:rsidR="00D022DB">
        <w:t xml:space="preserve">This is lower than AGN's forecast </w:t>
      </w:r>
      <w:r w:rsidR="003A3495">
        <w:t>net capex</w:t>
      </w:r>
      <w:r w:rsidR="00D022DB">
        <w:t xml:space="preserve"> of </w:t>
      </w:r>
      <w:r w:rsidR="00D022DB" w:rsidRPr="006A3F2D">
        <w:t>$</w:t>
      </w:r>
      <w:r w:rsidR="0036378E">
        <w:t>90.6</w:t>
      </w:r>
      <w:r w:rsidR="00D022DB" w:rsidRPr="006A3F2D">
        <w:t xml:space="preserve"> million ($201</w:t>
      </w:r>
      <w:r w:rsidR="00D022DB">
        <w:t>5</w:t>
      </w:r>
      <w:r w:rsidR="00D022DB" w:rsidRPr="006A3F2D">
        <w:t xml:space="preserve">, </w:t>
      </w:r>
      <w:r w:rsidR="00D022DB">
        <w:t>unescalated direct costs</w:t>
      </w:r>
      <w:r w:rsidR="00D022DB" w:rsidRPr="006A3F2D">
        <w:t>)</w:t>
      </w:r>
      <w:r w:rsidR="00D022DB">
        <w:t>.</w:t>
      </w:r>
      <w:r w:rsidR="00D022DB" w:rsidRPr="006A3F2D">
        <w:rPr>
          <w:rStyle w:val="FootnoteReference"/>
        </w:rPr>
        <w:footnoteReference w:id="35"/>
      </w:r>
      <w:r w:rsidR="00D022DB">
        <w:t xml:space="preserve"> Our reduction of </w:t>
      </w:r>
      <w:r w:rsidR="0036378E">
        <w:t>5.8</w:t>
      </w:r>
      <w:r w:rsidR="00D022DB">
        <w:t xml:space="preserve"> per cent is largely driven by our </w:t>
      </w:r>
      <w:r w:rsidR="000E13DB">
        <w:t xml:space="preserve">position that capital expenditure for </w:t>
      </w:r>
      <w:r w:rsidR="00D022DB">
        <w:t>AGN’s proposed Two Wells extension</w:t>
      </w:r>
      <w:r w:rsidR="000E13DB">
        <w:t xml:space="preserve"> has not been justified</w:t>
      </w:r>
      <w:r w:rsidR="00D022DB">
        <w:t>.</w:t>
      </w:r>
      <w:r w:rsidR="00170E7F">
        <w:t xml:space="preserve"> </w:t>
      </w:r>
    </w:p>
    <w:p w:rsidR="00170E7F" w:rsidRDefault="00170E7F" w:rsidP="00D022DB">
      <w:r>
        <w:t>We have considered confidential material in coming to our posi</w:t>
      </w:r>
      <w:r w:rsidR="000E13DB">
        <w:t xml:space="preserve">tion. The </w:t>
      </w:r>
      <w:r>
        <w:t>confidential material is contained in Appendix A.</w:t>
      </w:r>
    </w:p>
    <w:p w:rsidR="00D022DB" w:rsidRPr="00C11CC5" w:rsidRDefault="00D022DB" w:rsidP="009062F9">
      <w:pPr>
        <w:pStyle w:val="Heading4"/>
        <w:keepNext/>
        <w:numPr>
          <w:ilvl w:val="0"/>
          <w:numId w:val="0"/>
        </w:numPr>
        <w:ind w:left="862" w:hanging="862"/>
        <w:rPr>
          <w:rStyle w:val="AERbody"/>
          <w:rFonts w:eastAsiaTheme="minorHAnsi" w:cstheme="minorBidi"/>
          <w:b w:val="0"/>
          <w:bCs w:val="0"/>
          <w:iCs w:val="0"/>
        </w:rPr>
      </w:pPr>
      <w:r w:rsidRPr="00C11CC5">
        <w:rPr>
          <w:rStyle w:val="AERbody"/>
        </w:rPr>
        <w:t>Volumes</w:t>
      </w:r>
    </w:p>
    <w:p w:rsidR="00C11CC5" w:rsidRDefault="00C11CC5" w:rsidP="00C11CC5">
      <w:r>
        <w:t xml:space="preserve">Upon reviewing AGN’s forecast for new connections, </w:t>
      </w:r>
      <w:r w:rsidR="00D84C5C">
        <w:t xml:space="preserve">our consultant, </w:t>
      </w:r>
      <w:r>
        <w:t xml:space="preserve">ACIL Allen </w:t>
      </w:r>
      <w:r w:rsidR="000E13DB">
        <w:t xml:space="preserve">advised us </w:t>
      </w:r>
      <w:r>
        <w:t>that it was satisfied that these forecasts are reasonable.</w:t>
      </w:r>
      <w:r>
        <w:rPr>
          <w:rStyle w:val="FootnoteReference"/>
        </w:rPr>
        <w:footnoteReference w:id="36"/>
      </w:r>
      <w:r>
        <w:t xml:space="preserve"> </w:t>
      </w:r>
      <w:r w:rsidR="000E13DB">
        <w:t xml:space="preserve">We have taken into account ACIL Allen’s advice, which we were persuaded by. </w:t>
      </w:r>
      <w:r w:rsidR="00623D5B">
        <w:t xml:space="preserve">In particular, we are satisfied that ACIL Allen’s comparative analysis of AGN’s forecasts with ABS data indicates that AGN’s </w:t>
      </w:r>
      <w:r w:rsidR="000E13DB">
        <w:t xml:space="preserve">new connections </w:t>
      </w:r>
      <w:r w:rsidR="00623D5B">
        <w:t>forecasts are not unreasonable.</w:t>
      </w:r>
      <w:r w:rsidR="00623D5B">
        <w:rPr>
          <w:rStyle w:val="FootnoteReference"/>
        </w:rPr>
        <w:footnoteReference w:id="37"/>
      </w:r>
      <w:r w:rsidR="00623D5B">
        <w:t xml:space="preserve"> </w:t>
      </w:r>
      <w:r w:rsidR="000E13DB">
        <w:t>We have therefore arrived at the conclusion that AGN’s forecast new connection volumes are consistent with rule 74 (2) of the NGR.</w:t>
      </w:r>
    </w:p>
    <w:p w:rsidR="00C11CC5" w:rsidRDefault="00C11CC5" w:rsidP="00C11CC5">
      <w:r w:rsidRPr="00122353">
        <w:t>Core Energy</w:t>
      </w:r>
      <w:r>
        <w:t xml:space="preserve"> which</w:t>
      </w:r>
      <w:r w:rsidRPr="00122353">
        <w:t xml:space="preserve"> </w:t>
      </w:r>
      <w:r>
        <w:t xml:space="preserve">produced AGN’s new connection volume forecasts, predict an increase in total new connection of 0.15 per cent, a fall of -0.70 per cent in new medium density/high rise connection, and an increase of 0.26 per cent </w:t>
      </w:r>
      <w:r w:rsidR="00DC5722">
        <w:t>in new estate (single detached</w:t>
      </w:r>
      <w:r>
        <w:t>) connections.</w:t>
      </w:r>
      <w:r w:rsidR="00D13AB2">
        <w:rPr>
          <w:rStyle w:val="FootnoteReference"/>
        </w:rPr>
        <w:footnoteReference w:id="38"/>
      </w:r>
    </w:p>
    <w:p w:rsidR="00D022DB" w:rsidRDefault="004A23D8" w:rsidP="00D022DB">
      <w:r>
        <w:fldChar w:fldCharType="begin"/>
      </w:r>
      <w:r>
        <w:instrText xml:space="preserve"> REF _Ref435531512 \h </w:instrText>
      </w:r>
      <w:r>
        <w:fldChar w:fldCharType="separate"/>
      </w:r>
      <w:r>
        <w:t xml:space="preserve">Figure </w:t>
      </w:r>
      <w:r>
        <w:rPr>
          <w:noProof/>
        </w:rPr>
        <w:t>6</w:t>
      </w:r>
      <w:r>
        <w:t>.</w:t>
      </w:r>
      <w:r>
        <w:rPr>
          <w:noProof/>
        </w:rPr>
        <w:t>2</w:t>
      </w:r>
      <w:r>
        <w:fldChar w:fldCharType="end"/>
      </w:r>
      <w:r>
        <w:t xml:space="preserve"> </w:t>
      </w:r>
      <w:r w:rsidR="00D022DB">
        <w:t>shows the historical trend in AGN’s new connections as well as its projections for the forecast period. As t</w:t>
      </w:r>
      <w:r w:rsidR="00DC5722">
        <w:t>he figure shows, new estate connections make up a significant proportion of total new connections, and show the most variability.</w:t>
      </w:r>
      <w:r w:rsidR="00C11CC5">
        <w:t xml:space="preserve"> </w:t>
      </w:r>
      <w:r w:rsidR="00D022DB">
        <w:t>There</w:t>
      </w:r>
      <w:r w:rsidR="00DC5722">
        <w:t xml:space="preserve"> appears to be</w:t>
      </w:r>
      <w:r w:rsidR="00D022DB">
        <w:t xml:space="preserve"> little change in the growth of new connections for all other individual connection types.</w:t>
      </w:r>
    </w:p>
    <w:p w:rsidR="004A23D8" w:rsidRDefault="004A23D8">
      <w:pPr>
        <w:pStyle w:val="Caption"/>
      </w:pPr>
      <w:bookmarkStart w:id="49" w:name="_Ref435531512"/>
      <w:r>
        <w:t xml:space="preserve">Figure </w:t>
      </w:r>
      <w:fldSimple w:instr=" STYLEREF 1 \s ">
        <w:r w:rsidR="00436517">
          <w:rPr>
            <w:noProof/>
          </w:rPr>
          <w:t>6</w:t>
        </w:r>
      </w:fldSimple>
      <w:r w:rsidR="00436517">
        <w:t>.</w:t>
      </w:r>
      <w:fldSimple w:instr=" SEQ Figure \* ARABIC \s 1 ">
        <w:r w:rsidR="00436517">
          <w:rPr>
            <w:noProof/>
          </w:rPr>
          <w:t>2</w:t>
        </w:r>
      </w:fldSimple>
      <w:bookmarkEnd w:id="49"/>
      <w:r w:rsidRPr="004A23D8">
        <w:t xml:space="preserve"> AGN’s historical and forecast connection volumes</w:t>
      </w:r>
    </w:p>
    <w:p w:rsidR="00D022DB" w:rsidRDefault="00D022DB" w:rsidP="00D022DB">
      <w:pPr>
        <w:pStyle w:val="HeadingBoldItalic"/>
        <w:rPr>
          <w:b w:val="0"/>
          <w:i w:val="0"/>
        </w:rPr>
      </w:pPr>
      <w:r>
        <w:rPr>
          <w:b w:val="0"/>
          <w:i w:val="0"/>
          <w:noProof/>
          <w:lang w:eastAsia="en-AU"/>
        </w:rPr>
        <w:drawing>
          <wp:inline distT="0" distB="0" distL="0" distR="0" wp14:anchorId="3C180344" wp14:editId="004209A5">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022DB" w:rsidRDefault="00D022DB" w:rsidP="00D022DB">
      <w:pPr>
        <w:pStyle w:val="AERtablesource"/>
      </w:pPr>
      <w:r w:rsidRPr="005630A4">
        <w:t>Source:</w:t>
      </w:r>
      <w:r w:rsidRPr="005630A4">
        <w:tab/>
      </w:r>
      <w:r>
        <w:t xml:space="preserve">AGN, </w:t>
      </w:r>
      <w:r w:rsidRPr="00721CBF">
        <w:rPr>
          <w:rStyle w:val="AERtextitalic"/>
        </w:rPr>
        <w:t>SA Access Arrangement Information</w:t>
      </w:r>
      <w:r>
        <w:t>,</w:t>
      </w:r>
      <w:r w:rsidR="00D84C5C">
        <w:t xml:space="preserve"> Attachment 14, </w:t>
      </w:r>
      <w:r>
        <w:t>July 2015,</w:t>
      </w:r>
      <w:r w:rsidRPr="00A24258">
        <w:t xml:space="preserve"> </w:t>
      </w:r>
      <w:r w:rsidR="005C265E">
        <w:t>p. 226.</w:t>
      </w:r>
    </w:p>
    <w:p w:rsidR="00D022DB" w:rsidRPr="00713EAD" w:rsidRDefault="00D022DB" w:rsidP="00D022DB">
      <w:pPr>
        <w:pStyle w:val="AERtablesource"/>
      </w:pPr>
      <w:r>
        <w:t>Note:</w:t>
      </w:r>
      <w:r>
        <w:tab/>
        <w:t>The new estates connection forecast includes the proposed Two Wells extension connections.</w:t>
      </w:r>
    </w:p>
    <w:p w:rsidR="00D022DB" w:rsidRDefault="00DC5722" w:rsidP="00D022DB">
      <w:r>
        <w:t xml:space="preserve">In deriving its forecast for new connections, Core Energy </w:t>
      </w:r>
      <w:r w:rsidR="00D022DB">
        <w:t xml:space="preserve">applies a </w:t>
      </w:r>
      <w:r>
        <w:t>gas connection</w:t>
      </w:r>
      <w:r w:rsidR="00D022DB">
        <w:t xml:space="preserve"> rate in new dwellings which falls</w:t>
      </w:r>
      <w:r w:rsidR="001447A6">
        <w:t xml:space="preserve"> from 75 per cent in 2015 (down</w:t>
      </w:r>
      <w:r w:rsidR="00D022DB">
        <w:t xml:space="preserve"> from 73 per cent the previous year) to 65 per cent by 2021.</w:t>
      </w:r>
      <w:r w:rsidR="00D022DB">
        <w:rPr>
          <w:rStyle w:val="FootnoteReference"/>
        </w:rPr>
        <w:footnoteReference w:id="39"/>
      </w:r>
      <w:r w:rsidR="00D022DB">
        <w:t xml:space="preserve"> This corresponds to a decrease in total new connection numbers from about 6400 to 5700 dwellings per year.</w:t>
      </w:r>
      <w:r w:rsidR="00D022DB" w:rsidRPr="0080261F">
        <w:rPr>
          <w:rStyle w:val="FootnoteReference"/>
        </w:rPr>
        <w:t xml:space="preserve"> </w:t>
      </w:r>
      <w:r w:rsidR="00D022DB">
        <w:rPr>
          <w:rStyle w:val="FootnoteReference"/>
        </w:rPr>
        <w:footnoteReference w:id="40"/>
      </w:r>
      <w:r w:rsidR="00D022DB">
        <w:t xml:space="preserve"> The apportionment of new estates versus MD/HR connections (88 per cent new estates and 12 per cent MD/HR) was determined based on the average split between the historical numbers of new estate and MD/HR connections between 2011 and 2014.</w:t>
      </w:r>
      <w:r w:rsidR="00D022DB">
        <w:rPr>
          <w:rStyle w:val="FootnoteReference"/>
        </w:rPr>
        <w:footnoteReference w:id="41"/>
      </w:r>
    </w:p>
    <w:p w:rsidR="00D022DB" w:rsidRPr="00DC5722" w:rsidRDefault="00D022DB" w:rsidP="00DC5722">
      <w:pPr>
        <w:pStyle w:val="Heading4"/>
        <w:numPr>
          <w:ilvl w:val="0"/>
          <w:numId w:val="0"/>
        </w:numPr>
        <w:ind w:left="864" w:hanging="864"/>
        <w:rPr>
          <w:rStyle w:val="AERbody"/>
        </w:rPr>
      </w:pPr>
      <w:r w:rsidRPr="00DC5722">
        <w:rPr>
          <w:rStyle w:val="AERbody"/>
        </w:rPr>
        <w:t>Unit rates</w:t>
      </w:r>
    </w:p>
    <w:p w:rsidR="00D022DB" w:rsidRDefault="00D022DB" w:rsidP="00D022DB">
      <w:r>
        <w:t>AGN forecast connection unit rates for mains, services and meters for each connection category.</w:t>
      </w:r>
      <w:r w:rsidR="00DC5722">
        <w:t xml:space="preserve"> As </w:t>
      </w:r>
      <w:r w:rsidR="004A23D8">
        <w:fldChar w:fldCharType="begin"/>
      </w:r>
      <w:r w:rsidR="004A23D8">
        <w:instrText xml:space="preserve"> REF _Ref435531597 \h </w:instrText>
      </w:r>
      <w:r w:rsidR="004A23D8">
        <w:fldChar w:fldCharType="separate"/>
      </w:r>
      <w:r w:rsidR="00D85ABF">
        <w:t xml:space="preserve">Table </w:t>
      </w:r>
      <w:r w:rsidR="00D85ABF">
        <w:rPr>
          <w:noProof/>
        </w:rPr>
        <w:t>6</w:t>
      </w:r>
      <w:r w:rsidR="00D85ABF">
        <w:t>.</w:t>
      </w:r>
      <w:r w:rsidR="00D85ABF">
        <w:rPr>
          <w:noProof/>
        </w:rPr>
        <w:t>6</w:t>
      </w:r>
      <w:r w:rsidR="004A23D8">
        <w:fldChar w:fldCharType="end"/>
      </w:r>
      <w:r w:rsidR="004A23D8">
        <w:t xml:space="preserve"> </w:t>
      </w:r>
      <w:r w:rsidR="00DC5722">
        <w:t>shows, for existing homes, multi</w:t>
      </w:r>
      <w:r w:rsidR="00E34C0D">
        <w:t>–</w:t>
      </w:r>
      <w:r w:rsidR="00DC5722">
        <w:t>user and industrial and commercial connections, AGN uses a 3</w:t>
      </w:r>
      <w:r w:rsidR="00E34C0D">
        <w:t>–</w:t>
      </w:r>
      <w:r w:rsidR="00DC5722">
        <w:t>year historical average to forecast the unit rate for some connection costs.</w:t>
      </w:r>
      <w:r w:rsidR="00DC5722" w:rsidRPr="00465FB5">
        <w:t xml:space="preserve"> </w:t>
      </w:r>
      <w:r w:rsidR="00DC5722">
        <w:t>We have assessed AGN’s proposed historical average calculations and agree applying it will result in the best forecast in the circumstances.</w:t>
      </w:r>
    </w:p>
    <w:p w:rsidR="00D022DB" w:rsidRDefault="004A23D8" w:rsidP="00D022DB">
      <w:pPr>
        <w:pStyle w:val="Caption"/>
      </w:pPr>
      <w:bookmarkStart w:id="50" w:name="_Ref435531597"/>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6</w:t>
      </w:r>
      <w:r w:rsidR="00D754F0">
        <w:rPr>
          <w:noProof/>
        </w:rPr>
        <w:fldChar w:fldCharType="end"/>
      </w:r>
      <w:bookmarkEnd w:id="50"/>
      <w:r w:rsidRPr="004A23D8">
        <w:t xml:space="preserve"> AGN forecasting method for each Tariff V connection type</w:t>
      </w:r>
    </w:p>
    <w:tbl>
      <w:tblPr>
        <w:tblStyle w:val="AERtable-numbers"/>
        <w:tblW w:w="0" w:type="auto"/>
        <w:tblLook w:val="04A0" w:firstRow="1" w:lastRow="0" w:firstColumn="1" w:lastColumn="0" w:noHBand="0" w:noVBand="1"/>
      </w:tblPr>
      <w:tblGrid>
        <w:gridCol w:w="2124"/>
        <w:gridCol w:w="2117"/>
        <w:gridCol w:w="2118"/>
        <w:gridCol w:w="2118"/>
      </w:tblGrid>
      <w:tr w:rsidR="00D022DB" w:rsidTr="00D02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D022DB" w:rsidRDefault="00D022DB" w:rsidP="00D022DB"/>
        </w:tc>
        <w:tc>
          <w:tcPr>
            <w:tcW w:w="2117" w:type="dxa"/>
          </w:tcPr>
          <w:p w:rsidR="00D022DB" w:rsidRDefault="00D022DB" w:rsidP="00D022DB">
            <w:pPr>
              <w:cnfStyle w:val="100000000000" w:firstRow="1" w:lastRow="0" w:firstColumn="0" w:lastColumn="0" w:oddVBand="0" w:evenVBand="0" w:oddHBand="0" w:evenHBand="0" w:firstRowFirstColumn="0" w:firstRowLastColumn="0" w:lastRowFirstColumn="0" w:lastRowLastColumn="0"/>
            </w:pPr>
            <w:r>
              <w:t>Mains</w:t>
            </w:r>
          </w:p>
        </w:tc>
        <w:tc>
          <w:tcPr>
            <w:tcW w:w="2118" w:type="dxa"/>
          </w:tcPr>
          <w:p w:rsidR="00D022DB" w:rsidRDefault="00D022DB" w:rsidP="00D022DB">
            <w:pPr>
              <w:cnfStyle w:val="100000000000" w:firstRow="1" w:lastRow="0" w:firstColumn="0" w:lastColumn="0" w:oddVBand="0" w:evenVBand="0" w:oddHBand="0" w:evenHBand="0" w:firstRowFirstColumn="0" w:firstRowLastColumn="0" w:lastRowFirstColumn="0" w:lastRowLastColumn="0"/>
            </w:pPr>
            <w:r>
              <w:t>Services (Inlets)</w:t>
            </w:r>
          </w:p>
        </w:tc>
        <w:tc>
          <w:tcPr>
            <w:tcW w:w="2118" w:type="dxa"/>
          </w:tcPr>
          <w:p w:rsidR="00D022DB" w:rsidRDefault="00D022DB" w:rsidP="00D022DB">
            <w:pPr>
              <w:cnfStyle w:val="100000000000" w:firstRow="1" w:lastRow="0" w:firstColumn="0" w:lastColumn="0" w:oddVBand="0" w:evenVBand="0" w:oddHBand="0" w:evenHBand="0" w:firstRowFirstColumn="0" w:firstRowLastColumn="0" w:lastRowFirstColumn="0" w:lastRowLastColumn="0"/>
            </w:pPr>
            <w:r>
              <w:t>Meters</w:t>
            </w:r>
          </w:p>
        </w:tc>
      </w:tr>
      <w:tr w:rsidR="00D022DB" w:rsidTr="00D022DB">
        <w:tc>
          <w:tcPr>
            <w:cnfStyle w:val="001000000000" w:firstRow="0" w:lastRow="0" w:firstColumn="1" w:lastColumn="0" w:oddVBand="0" w:evenVBand="0" w:oddHBand="0" w:evenHBand="0" w:firstRowFirstColumn="0" w:firstRowLastColumn="0" w:lastRowFirstColumn="0" w:lastRowLastColumn="0"/>
            <w:tcW w:w="2124" w:type="dxa"/>
          </w:tcPr>
          <w:p w:rsidR="00D022DB" w:rsidRDefault="00D022DB" w:rsidP="00D022DB">
            <w:r>
              <w:t>New estates</w:t>
            </w:r>
          </w:p>
        </w:tc>
        <w:tc>
          <w:tcPr>
            <w:tcW w:w="2117" w:type="dxa"/>
          </w:tcPr>
          <w:p w:rsidR="00D022DB" w:rsidRDefault="00D022DB" w:rsidP="00D022DB">
            <w:pPr>
              <w:cnfStyle w:val="000000000000" w:firstRow="0" w:lastRow="0" w:firstColumn="0" w:lastColumn="0" w:oddVBand="0" w:evenVBand="0" w:oddHBand="0" w:evenHBand="0" w:firstRowFirstColumn="0" w:firstRowLastColumn="0" w:lastRowFirstColumn="0" w:lastRowLastColumn="0"/>
            </w:pPr>
            <w:r>
              <w:t>2015 contract unit rates</w:t>
            </w:r>
          </w:p>
        </w:tc>
        <w:tc>
          <w:tcPr>
            <w:tcW w:w="2118" w:type="dxa"/>
          </w:tcPr>
          <w:p w:rsidR="00D022DB" w:rsidRDefault="00D022DB" w:rsidP="00D022DB">
            <w:pPr>
              <w:cnfStyle w:val="000000000000" w:firstRow="0" w:lastRow="0" w:firstColumn="0" w:lastColumn="0" w:oddVBand="0" w:evenVBand="0" w:oddHBand="0" w:evenHBand="0" w:firstRowFirstColumn="0" w:firstRowLastColumn="0" w:lastRowFirstColumn="0" w:lastRowLastColumn="0"/>
            </w:pPr>
            <w:r>
              <w:t>2015 contract unit rates</w:t>
            </w:r>
          </w:p>
        </w:tc>
        <w:tc>
          <w:tcPr>
            <w:tcW w:w="2118" w:type="dxa"/>
            <w:vAlign w:val="top"/>
          </w:tcPr>
          <w:p w:rsidR="00D022DB" w:rsidRDefault="00D022DB" w:rsidP="00D022DB">
            <w:pPr>
              <w:cnfStyle w:val="000000000000" w:firstRow="0" w:lastRow="0" w:firstColumn="0" w:lastColumn="0" w:oddVBand="0" w:evenVBand="0" w:oddHBand="0" w:evenHBand="0" w:firstRowFirstColumn="0" w:firstRowLastColumn="0" w:lastRowFirstColumn="0" w:lastRowLastColumn="0"/>
            </w:pPr>
            <w:r w:rsidRPr="00B720EA">
              <w:t>2015 contract unit rates</w:t>
            </w:r>
            <w:r w:rsidRPr="0032779B">
              <w:rPr>
                <w:vertAlign w:val="superscript"/>
              </w:rPr>
              <w:t>(a)</w:t>
            </w:r>
          </w:p>
        </w:tc>
      </w:tr>
      <w:tr w:rsidR="00D022DB" w:rsidTr="00D022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D022DB" w:rsidRDefault="00D022DB" w:rsidP="00D022DB">
            <w:r>
              <w:t>Existing homes</w:t>
            </w:r>
          </w:p>
        </w:tc>
        <w:tc>
          <w:tcPr>
            <w:tcW w:w="2117" w:type="dxa"/>
          </w:tcPr>
          <w:p w:rsidR="00D022DB" w:rsidRDefault="00D022DB">
            <w:pPr>
              <w:cnfStyle w:val="000000010000" w:firstRow="0" w:lastRow="0" w:firstColumn="0" w:lastColumn="0" w:oddVBand="0" w:evenVBand="0" w:oddHBand="0" w:evenHBand="1" w:firstRowFirstColumn="0" w:firstRowLastColumn="0" w:lastRowFirstColumn="0" w:lastRowLastColumn="0"/>
            </w:pPr>
            <w:r>
              <w:t>3 year weighted average (FY13</w:t>
            </w:r>
            <w:r w:rsidR="00E34C0D">
              <w:t>–</w:t>
            </w:r>
            <w:r>
              <w:t>FY15)</w:t>
            </w:r>
          </w:p>
        </w:tc>
        <w:tc>
          <w:tcPr>
            <w:tcW w:w="2118" w:type="dxa"/>
          </w:tcPr>
          <w:p w:rsidR="00D022DB" w:rsidRDefault="00D022DB">
            <w:pPr>
              <w:cnfStyle w:val="000000010000" w:firstRow="0" w:lastRow="0" w:firstColumn="0" w:lastColumn="0" w:oddVBand="0" w:evenVBand="0" w:oddHBand="0" w:evenHBand="1" w:firstRowFirstColumn="0" w:firstRowLastColumn="0" w:lastRowFirstColumn="0" w:lastRowLastColumn="0"/>
            </w:pPr>
            <w:r>
              <w:t>3 year weighted average (FY13</w:t>
            </w:r>
            <w:r w:rsidR="00E34C0D">
              <w:t>–</w:t>
            </w:r>
            <w:r>
              <w:t>FY15)</w:t>
            </w:r>
          </w:p>
        </w:tc>
        <w:tc>
          <w:tcPr>
            <w:tcW w:w="2118" w:type="dxa"/>
            <w:vAlign w:val="top"/>
          </w:tcPr>
          <w:p w:rsidR="00D022DB" w:rsidRDefault="00D022DB" w:rsidP="00D022DB">
            <w:pPr>
              <w:cnfStyle w:val="000000010000" w:firstRow="0" w:lastRow="0" w:firstColumn="0" w:lastColumn="0" w:oddVBand="0" w:evenVBand="0" w:oddHBand="0" w:evenHBand="1" w:firstRowFirstColumn="0" w:firstRowLastColumn="0" w:lastRowFirstColumn="0" w:lastRowLastColumn="0"/>
            </w:pPr>
            <w:r w:rsidRPr="00B720EA">
              <w:t>2015 contract unit rates</w:t>
            </w:r>
            <w:r w:rsidRPr="0032779B">
              <w:rPr>
                <w:vertAlign w:val="superscript"/>
              </w:rPr>
              <w:t>(a)</w:t>
            </w:r>
          </w:p>
        </w:tc>
      </w:tr>
      <w:tr w:rsidR="00D022DB" w:rsidTr="00D022DB">
        <w:tc>
          <w:tcPr>
            <w:cnfStyle w:val="001000000000" w:firstRow="0" w:lastRow="0" w:firstColumn="1" w:lastColumn="0" w:oddVBand="0" w:evenVBand="0" w:oddHBand="0" w:evenHBand="0" w:firstRowFirstColumn="0" w:firstRowLastColumn="0" w:lastRowFirstColumn="0" w:lastRowLastColumn="0"/>
            <w:tcW w:w="2124" w:type="dxa"/>
          </w:tcPr>
          <w:p w:rsidR="00D022DB" w:rsidRDefault="00D022DB" w:rsidP="00D022DB">
            <w:r>
              <w:t>Industrial and commercial</w:t>
            </w:r>
          </w:p>
        </w:tc>
        <w:tc>
          <w:tcPr>
            <w:tcW w:w="2117" w:type="dxa"/>
          </w:tcPr>
          <w:p w:rsidR="00D022DB" w:rsidRDefault="00D022DB">
            <w:pPr>
              <w:cnfStyle w:val="000000000000" w:firstRow="0" w:lastRow="0" w:firstColumn="0" w:lastColumn="0" w:oddVBand="0" w:evenVBand="0" w:oddHBand="0" w:evenHBand="0" w:firstRowFirstColumn="0" w:firstRowLastColumn="0" w:lastRowFirstColumn="0" w:lastRowLastColumn="0"/>
            </w:pPr>
            <w:r>
              <w:t>3 year weighted average (FY13</w:t>
            </w:r>
            <w:r w:rsidR="00E34C0D">
              <w:t>–</w:t>
            </w:r>
            <w:r>
              <w:t>FY15)</w:t>
            </w:r>
          </w:p>
        </w:tc>
        <w:tc>
          <w:tcPr>
            <w:tcW w:w="2118" w:type="dxa"/>
          </w:tcPr>
          <w:p w:rsidR="00D022DB" w:rsidRDefault="00D022DB">
            <w:pPr>
              <w:cnfStyle w:val="000000000000" w:firstRow="0" w:lastRow="0" w:firstColumn="0" w:lastColumn="0" w:oddVBand="0" w:evenVBand="0" w:oddHBand="0" w:evenHBand="0" w:firstRowFirstColumn="0" w:firstRowLastColumn="0" w:lastRowFirstColumn="0" w:lastRowLastColumn="0"/>
            </w:pPr>
            <w:r>
              <w:t>3 year weighted average (FY13</w:t>
            </w:r>
            <w:r w:rsidR="00E34C0D">
              <w:t>–</w:t>
            </w:r>
            <w:r>
              <w:t>FY15)</w:t>
            </w:r>
          </w:p>
        </w:tc>
        <w:tc>
          <w:tcPr>
            <w:tcW w:w="2118" w:type="dxa"/>
          </w:tcPr>
          <w:p w:rsidR="00D022DB" w:rsidRDefault="00D022DB">
            <w:pPr>
              <w:cnfStyle w:val="000000000000" w:firstRow="0" w:lastRow="0" w:firstColumn="0" w:lastColumn="0" w:oddVBand="0" w:evenVBand="0" w:oddHBand="0" w:evenHBand="0" w:firstRowFirstColumn="0" w:firstRowLastColumn="0" w:lastRowFirstColumn="0" w:lastRowLastColumn="0"/>
            </w:pPr>
            <w:r>
              <w:t>3 year weighted average (FY13</w:t>
            </w:r>
            <w:r w:rsidR="00E34C0D">
              <w:t>–</w:t>
            </w:r>
            <w:r>
              <w:t>FY15)</w:t>
            </w:r>
          </w:p>
        </w:tc>
      </w:tr>
      <w:tr w:rsidR="00D022DB" w:rsidTr="00D022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D022DB" w:rsidRDefault="00D022DB" w:rsidP="00D022DB">
            <w:r>
              <w:t>Multi user</w:t>
            </w:r>
          </w:p>
        </w:tc>
        <w:tc>
          <w:tcPr>
            <w:tcW w:w="2117" w:type="dxa"/>
          </w:tcPr>
          <w:p w:rsidR="00D022DB" w:rsidRDefault="00D022DB" w:rsidP="00D022DB">
            <w:pPr>
              <w:cnfStyle w:val="000000010000" w:firstRow="0" w:lastRow="0" w:firstColumn="0" w:lastColumn="0" w:oddVBand="0" w:evenVBand="0" w:oddHBand="0" w:evenHBand="1" w:firstRowFirstColumn="0" w:firstRowLastColumn="0" w:lastRowFirstColumn="0" w:lastRowLastColumn="0"/>
            </w:pPr>
            <w:r>
              <w:t>N/A</w:t>
            </w:r>
          </w:p>
        </w:tc>
        <w:tc>
          <w:tcPr>
            <w:tcW w:w="2118" w:type="dxa"/>
          </w:tcPr>
          <w:p w:rsidR="00D022DB" w:rsidRDefault="00D022DB">
            <w:pPr>
              <w:cnfStyle w:val="000000010000" w:firstRow="0" w:lastRow="0" w:firstColumn="0" w:lastColumn="0" w:oddVBand="0" w:evenVBand="0" w:oddHBand="0" w:evenHBand="1" w:firstRowFirstColumn="0" w:firstRowLastColumn="0" w:lastRowFirstColumn="0" w:lastRowLastColumn="0"/>
            </w:pPr>
            <w:r>
              <w:t>3 year weighted average (FY13</w:t>
            </w:r>
            <w:r w:rsidR="00E34C0D">
              <w:t>–</w:t>
            </w:r>
            <w:r>
              <w:t>FY15)</w:t>
            </w:r>
          </w:p>
        </w:tc>
        <w:tc>
          <w:tcPr>
            <w:tcW w:w="2118" w:type="dxa"/>
          </w:tcPr>
          <w:p w:rsidR="00D022DB" w:rsidRDefault="00D022DB" w:rsidP="00D022DB">
            <w:pPr>
              <w:cnfStyle w:val="000000010000" w:firstRow="0" w:lastRow="0" w:firstColumn="0" w:lastColumn="0" w:oddVBand="0" w:evenVBand="0" w:oddHBand="0" w:evenHBand="1" w:firstRowFirstColumn="0" w:firstRowLastColumn="0" w:lastRowFirstColumn="0" w:lastRowLastColumn="0"/>
            </w:pPr>
            <w:r>
              <w:t>2015 contract unit rates</w:t>
            </w:r>
            <w:r w:rsidRPr="0032779B">
              <w:rPr>
                <w:vertAlign w:val="superscript"/>
              </w:rPr>
              <w:t>(a)</w:t>
            </w:r>
          </w:p>
        </w:tc>
      </w:tr>
    </w:tbl>
    <w:p w:rsidR="00D022DB" w:rsidRDefault="00D022DB" w:rsidP="00D022DB">
      <w:pPr>
        <w:pStyle w:val="AERtablesource"/>
      </w:pPr>
      <w:r>
        <w:t xml:space="preserve">Source: </w:t>
      </w:r>
      <w:r>
        <w:tab/>
      </w:r>
      <w:r w:rsidRPr="005951D9">
        <w:t xml:space="preserve">AGN, </w:t>
      </w:r>
      <w:r w:rsidRPr="009062F9">
        <w:rPr>
          <w:rStyle w:val="Emphasis"/>
        </w:rPr>
        <w:t>SA Access Arrangement Information</w:t>
      </w:r>
      <w:r w:rsidRPr="005951D9">
        <w:t>, July 2015, Attachment 8.6 SA Unit Rates 300615, p</w:t>
      </w:r>
      <w:r>
        <w:t>p</w:t>
      </w:r>
      <w:r w:rsidRPr="005951D9">
        <w:t>.</w:t>
      </w:r>
      <w:r w:rsidR="00D019F4">
        <w:t xml:space="preserve"> </w:t>
      </w:r>
      <w:r w:rsidRPr="005951D9">
        <w:t>4.</w:t>
      </w:r>
    </w:p>
    <w:p w:rsidR="00D022DB" w:rsidRDefault="00D022DB" w:rsidP="00D022DB">
      <w:pPr>
        <w:pStyle w:val="AERtablesource"/>
      </w:pPr>
      <w:r>
        <w:t>Note:</w:t>
      </w:r>
      <w:r>
        <w:tab/>
        <w:t>N/A means not applicable.</w:t>
      </w:r>
    </w:p>
    <w:p w:rsidR="00D022DB" w:rsidRPr="0032779B" w:rsidRDefault="00D022DB" w:rsidP="00D022DB">
      <w:pPr>
        <w:pStyle w:val="AERtablesource"/>
      </w:pPr>
      <w:r w:rsidRPr="0032779B">
        <w:tab/>
        <w:t>(</w:t>
      </w:r>
      <w:r>
        <w:t xml:space="preserve">a) AGN forecast meter unit rates for residential meters as a single unit rate – meter connection domestic </w:t>
      </w:r>
    </w:p>
    <w:p w:rsidR="00D022DB" w:rsidRPr="00F54818" w:rsidRDefault="00D022DB" w:rsidP="00D022DB">
      <w:pPr>
        <w:rPr>
          <w:rStyle w:val="AERtextitalic"/>
          <w:b/>
          <w:i w:val="0"/>
        </w:rPr>
      </w:pPr>
      <w:r w:rsidRPr="00F54818">
        <w:rPr>
          <w:rStyle w:val="AERtextitalic"/>
          <w:b/>
          <w:i w:val="0"/>
        </w:rPr>
        <w:t>New estate connections</w:t>
      </w:r>
    </w:p>
    <w:p w:rsidR="00D022DB" w:rsidRDefault="00D022DB" w:rsidP="00D022DB">
      <w:r>
        <w:t xml:space="preserve">AGN’s forecast method for new estate connections is based on contract unit rates. </w:t>
      </w:r>
    </w:p>
    <w:p w:rsidR="00D022DB" w:rsidRDefault="00D022DB" w:rsidP="00D022DB">
      <w:r>
        <w:t xml:space="preserve">We are satisfied with some aspects of the forecast approach, namely the competitively tendered processes that have resulted in the unit rates for mains, services and meters. However, we do not consider that applying construction and labour escalation to the </w:t>
      </w:r>
      <w:r w:rsidRPr="007763E3">
        <w:t>contractor labour compo</w:t>
      </w:r>
      <w:r>
        <w:t>nent of these unit rates would result in estimates that are arrived at on a reasonable basis. We note that the underlying contracts do not provide for any real construction, labour or material escalation.</w:t>
      </w:r>
    </w:p>
    <w:p w:rsidR="00D022DB" w:rsidRPr="00F54818" w:rsidRDefault="00D022DB" w:rsidP="00D022DB">
      <w:pPr>
        <w:rPr>
          <w:i/>
        </w:rPr>
      </w:pPr>
      <w:r w:rsidRPr="00F54818">
        <w:rPr>
          <w:i/>
        </w:rPr>
        <w:t>Competitive tendered contracts</w:t>
      </w:r>
      <w:r>
        <w:rPr>
          <w:i/>
        </w:rPr>
        <w:t xml:space="preserve"> and meter contract unit rates build up</w:t>
      </w:r>
    </w:p>
    <w:p w:rsidR="00652113" w:rsidRDefault="00652113" w:rsidP="00652113">
      <w:r>
        <w:t>AGN indicated that contractor rates for mains and services changed due to:</w:t>
      </w:r>
      <w:r w:rsidRPr="006A3F2D">
        <w:rPr>
          <w:rStyle w:val="FootnoteReference"/>
        </w:rPr>
        <w:footnoteReference w:id="42"/>
      </w:r>
      <w:r>
        <w:t xml:space="preserve"> </w:t>
      </w:r>
    </w:p>
    <w:p w:rsidR="00652113" w:rsidRDefault="00652113" w:rsidP="00652113">
      <w:pPr>
        <w:pStyle w:val="AERbulletlistfirststyle"/>
      </w:pPr>
      <w:r>
        <w:t>higher civil construction costs associated with increased scope and increased width of common service trenches (i.e. contractors are now required to work in wider trenches, because common trench standards have changed in order to accommodate additional telecommunication services)</w:t>
      </w:r>
    </w:p>
    <w:p w:rsidR="00652113" w:rsidRDefault="00652113" w:rsidP="00652113">
      <w:pPr>
        <w:pStyle w:val="AERbulletlistfirststyle"/>
      </w:pPr>
      <w:r>
        <w:t>changes to the way in which the DPTI standard trenching specifications are applied, with some councils now requiring full spoil removal and replacement for any trenching works in council roads</w:t>
      </w:r>
    </w:p>
    <w:p w:rsidR="00652113" w:rsidRDefault="00652113" w:rsidP="00652113">
      <w:pPr>
        <w:pStyle w:val="AERbulletlistfirststyle"/>
      </w:pPr>
      <w:r>
        <w:t>the trend towards a higher proportion of new homes being built in urban infill areas, driven by the South Australian Government Strategic Plan. Under this plan, the ratio of urban infill to Greenfield development is expected to increase from historical levels below 50:50 to the plan target of 70:30.</w:t>
      </w:r>
      <w:r w:rsidRPr="00742F9B">
        <w:t xml:space="preserve"> </w:t>
      </w:r>
      <w:r>
        <w:t>Contractor, traffic control and reinstatement costs associated with work completed in established areas</w:t>
      </w:r>
      <w:r w:rsidRPr="00742F9B">
        <w:t xml:space="preserve"> </w:t>
      </w:r>
      <w:r>
        <w:t>are higher than greenfield new estates; and</w:t>
      </w:r>
    </w:p>
    <w:p w:rsidR="00652113" w:rsidRPr="00D272BC" w:rsidRDefault="00652113" w:rsidP="00652113">
      <w:pPr>
        <w:pStyle w:val="AERbulletlistfirststyle"/>
      </w:pPr>
      <w:r w:rsidRPr="00D272BC">
        <w:t>expected increases in administrative and safety standards (in particular specialist traffic control).</w:t>
      </w:r>
      <w:r w:rsidRPr="00D272BC">
        <w:rPr>
          <w:rStyle w:val="FootnoteReference"/>
        </w:rPr>
        <w:t xml:space="preserve"> </w:t>
      </w:r>
    </w:p>
    <w:p w:rsidR="00D022DB" w:rsidRDefault="00D022DB" w:rsidP="00D022DB">
      <w:r>
        <w:t>We requested that AGN provide the build up from the contract unit rates to the aggregated unit rates submitted.</w:t>
      </w:r>
      <w:r>
        <w:rPr>
          <w:rStyle w:val="FootnoteReference"/>
        </w:rPr>
        <w:footnoteReference w:id="43"/>
      </w:r>
      <w:r>
        <w:t xml:space="preserve"> We are satisfied with </w:t>
      </w:r>
      <w:r w:rsidR="00623D5B">
        <w:t xml:space="preserve">the prudency of the unit rates and how these costs were aggregated, </w:t>
      </w:r>
      <w:r>
        <w:t>upon verifying the numbers provided by AGN.</w:t>
      </w:r>
      <w:r>
        <w:rPr>
          <w:rStyle w:val="FootnoteReference"/>
        </w:rPr>
        <w:footnoteReference w:id="44"/>
      </w:r>
      <w:r>
        <w:t xml:space="preserve"> </w:t>
      </w:r>
    </w:p>
    <w:p w:rsidR="00D022DB" w:rsidRPr="00B63CBA" w:rsidRDefault="00D022DB" w:rsidP="00D022DB">
      <w:pPr>
        <w:rPr>
          <w:i/>
        </w:rPr>
      </w:pPr>
      <w:r w:rsidRPr="00B63CBA">
        <w:rPr>
          <w:i/>
        </w:rPr>
        <w:t>Construction and labour escalation</w:t>
      </w:r>
    </w:p>
    <w:p w:rsidR="00D54237" w:rsidRDefault="00D54237" w:rsidP="00D54237">
      <w:r>
        <w:t xml:space="preserve">AGN’s application of construction and labour escalation to its new estate mains, services and meters unit rate forecasts is not consistent with AGN’s contracts for these elements. </w:t>
      </w:r>
    </w:p>
    <w:p w:rsidR="00D54237" w:rsidRDefault="00D54237" w:rsidP="00D54237">
      <w:r w:rsidRPr="007763E3">
        <w:t xml:space="preserve">In some instances businesses rely on historical costs. In these instances, it may be reasonable to expect that real </w:t>
      </w:r>
      <w:r>
        <w:t>construction</w:t>
      </w:r>
      <w:r w:rsidRPr="007763E3">
        <w:t xml:space="preserve"> and labour escalation may apply to forecasts. This is because these contracts are based on past costs which do not have a real cost escalation applied. However, where contracts are based on forecast project costs, the real </w:t>
      </w:r>
      <w:r>
        <w:t>construction</w:t>
      </w:r>
      <w:r w:rsidRPr="007763E3">
        <w:t xml:space="preserve"> and labour escalation set out in the contracts should apply. The basis of the forecast is a known amount of escalation.</w:t>
      </w:r>
    </w:p>
    <w:p w:rsidR="00D54237" w:rsidRPr="001438AA" w:rsidRDefault="00D54237" w:rsidP="00D54237">
      <w:r>
        <w:t xml:space="preserve">Given </w:t>
      </w:r>
      <w:r w:rsidRPr="007763E3">
        <w:t>the contract</w:t>
      </w:r>
      <w:r>
        <w:t>s</w:t>
      </w:r>
      <w:r w:rsidR="005B1819">
        <w:t xml:space="preserve"> stipulate a known amount of escalation</w:t>
      </w:r>
      <w:r>
        <w:t>, we have adjusted AGN’s proposed real construction and labour escalation</w:t>
      </w:r>
      <w:r w:rsidR="00B6075C">
        <w:t xml:space="preserve"> to the contractor labour component of the units costs</w:t>
      </w:r>
      <w:r>
        <w:t>.</w:t>
      </w:r>
      <w:r w:rsidRPr="007763E3">
        <w:t xml:space="preserve"> </w:t>
      </w:r>
      <w:r>
        <w:t xml:space="preserve">To apply AGN’s proposed escalation would be </w:t>
      </w:r>
      <w:r w:rsidRPr="007763E3">
        <w:t>inefficient</w:t>
      </w:r>
      <w:r>
        <w:t xml:space="preserve"> and</w:t>
      </w:r>
      <w:r w:rsidRPr="007763E3">
        <w:t xml:space="preserve"> over</w:t>
      </w:r>
      <w:r w:rsidR="00E34C0D">
        <w:t>–</w:t>
      </w:r>
      <w:r w:rsidRPr="007763E3">
        <w:t>estima</w:t>
      </w:r>
      <w:r w:rsidR="00B6075C">
        <w:t xml:space="preserve">te </w:t>
      </w:r>
      <w:r>
        <w:t>the forecast project costs</w:t>
      </w:r>
      <w:r w:rsidR="00623D5B">
        <w:t>, given that the contracts only provide for certain known amount of escalation</w:t>
      </w:r>
      <w:r>
        <w:t>. It would also not represent the best possible forecast in the circumstances.</w:t>
      </w:r>
    </w:p>
    <w:p w:rsidR="00D022DB" w:rsidRPr="00B96FCE" w:rsidRDefault="00D022DB" w:rsidP="00D022DB">
      <w:pPr>
        <w:rPr>
          <w:rFonts w:eastAsiaTheme="majorEastAsia" w:cstheme="majorBidi"/>
          <w:b/>
          <w:bCs/>
          <w:i/>
          <w:iCs/>
          <w:color w:val="51626F"/>
          <w:sz w:val="24"/>
        </w:rPr>
      </w:pPr>
      <w:r w:rsidRPr="00B96FCE">
        <w:rPr>
          <w:rFonts w:eastAsiaTheme="majorEastAsia" w:cstheme="majorBidi"/>
          <w:b/>
          <w:bCs/>
          <w:i/>
          <w:iCs/>
          <w:color w:val="51626F"/>
          <w:sz w:val="24"/>
        </w:rPr>
        <w:t>Two Wells high pressure mains extension</w:t>
      </w:r>
    </w:p>
    <w:p w:rsidR="00D022DB" w:rsidRDefault="00D022DB" w:rsidP="00D022DB">
      <w:pPr>
        <w:pStyle w:val="ListParagraph"/>
        <w:numPr>
          <w:ilvl w:val="0"/>
          <w:numId w:val="24"/>
        </w:numPr>
      </w:pPr>
      <w:r>
        <w:t>AGN proposed a 9</w:t>
      </w:r>
      <w:r w:rsidR="00D54237">
        <w:t xml:space="preserve"> </w:t>
      </w:r>
      <w:r>
        <w:t>km high pressure extension of its network to Two Wells, costing $5.0 million ($2016, unescalated direct costs, excluding overheads) in 2019</w:t>
      </w:r>
      <w:r w:rsidR="00E34C0D">
        <w:t>–</w:t>
      </w:r>
      <w:r>
        <w:t>20.</w:t>
      </w:r>
      <w:r w:rsidR="005B1819">
        <w:rPr>
          <w:rStyle w:val="FootnoteReference"/>
        </w:rPr>
        <w:footnoteReference w:id="45"/>
      </w:r>
      <w:r>
        <w:t xml:space="preserve"> We have not included this amount in our capex forecast as we consider that this new extensions capex is not justified under rule 79(2)</w:t>
      </w:r>
      <w:r w:rsidR="00BD7DCC" w:rsidRPr="00BD7DCC">
        <w:t xml:space="preserve"> </w:t>
      </w:r>
      <w:r w:rsidR="00BD7DCC">
        <w:t>of the NGR</w:t>
      </w:r>
      <w:r>
        <w:t>.</w:t>
      </w:r>
    </w:p>
    <w:p w:rsidR="00D022DB" w:rsidRDefault="00D022DB" w:rsidP="00D022DB">
      <w:pPr>
        <w:pStyle w:val="ListParagraph"/>
        <w:numPr>
          <w:ilvl w:val="0"/>
          <w:numId w:val="24"/>
        </w:numPr>
      </w:pPr>
      <w:r>
        <w:t xml:space="preserve">We requested AGN to provide the cost build up for the mains, the NPV analysis to establish whether the proposed extension would be at least revenue neutral, and independent evidence regarding the expected </w:t>
      </w:r>
      <w:r w:rsidRPr="000D3DEC">
        <w:t>the forecast number of housing and commercial plots, the percentage of plots taking</w:t>
      </w:r>
      <w:r w:rsidR="00E34C0D">
        <w:t>–</w:t>
      </w:r>
      <w:r w:rsidRPr="000D3DEC">
        <w:t>up gas, and the timing of the development of the housing and commercial plots</w:t>
      </w:r>
      <w:r>
        <w:t>.</w:t>
      </w:r>
      <w:r>
        <w:rPr>
          <w:rStyle w:val="FootnoteReference"/>
        </w:rPr>
        <w:footnoteReference w:id="46"/>
      </w:r>
    </w:p>
    <w:p w:rsidR="00D022DB" w:rsidRDefault="00D022DB" w:rsidP="00D022DB">
      <w:r>
        <w:t xml:space="preserve">AGN provided a 2011 Connor Holmes report as independent evidence of </w:t>
      </w:r>
      <w:r w:rsidRPr="000D3DEC">
        <w:t xml:space="preserve">the forecast number </w:t>
      </w:r>
      <w:r>
        <w:t>of housing and commercial plots</w:t>
      </w:r>
      <w:r w:rsidRPr="000D3DEC">
        <w:t xml:space="preserve"> and the timing of the development of the housing and commercial plots</w:t>
      </w:r>
      <w:r>
        <w:t>. The report indicates that there could be between 2,440 (low scenario) and 3,260 (high scenario) dwellings.</w:t>
      </w:r>
      <w:r>
        <w:rPr>
          <w:rStyle w:val="FootnoteReference"/>
        </w:rPr>
        <w:footnoteReference w:id="47"/>
      </w:r>
    </w:p>
    <w:p w:rsidR="00D022DB" w:rsidRDefault="00D022DB" w:rsidP="00D022DB">
      <w:r>
        <w:t>We reviewed the cost build up and NPV analysis provided by AGN.</w:t>
      </w:r>
      <w:r>
        <w:rPr>
          <w:rStyle w:val="FootnoteReference"/>
        </w:rPr>
        <w:footnoteReference w:id="48"/>
      </w:r>
      <w:r>
        <w:t xml:space="preserve"> Some of the assumptions were inconsistent with other aspects of AGN’s proposal, including:</w:t>
      </w:r>
    </w:p>
    <w:p w:rsidR="00D022DB" w:rsidRDefault="00D022DB" w:rsidP="00D022DB">
      <w:pPr>
        <w:pStyle w:val="AERbulletlistfirststyle"/>
      </w:pPr>
      <w:r>
        <w:t>the demand per connection (AGN assumed 12.5 GJ pa for domestic and 263 GJ pa in the Two Wells analysis but forecast 8.27 GJ pa and 194.7 GJ pa in its demand forecasts for new estates)</w:t>
      </w:r>
    </w:p>
    <w:p w:rsidR="00D022DB" w:rsidRDefault="00D022DB" w:rsidP="00D022DB">
      <w:pPr>
        <w:pStyle w:val="AERbulletlistfirststyle"/>
      </w:pPr>
      <w:r>
        <w:t>the revenue assumptions per connection</w:t>
      </w:r>
    </w:p>
    <w:p w:rsidR="00D022DB" w:rsidRDefault="00D022DB" w:rsidP="00D022DB">
      <w:pPr>
        <w:pStyle w:val="AERbulletlistfirststyle"/>
      </w:pPr>
      <w:r>
        <w:t xml:space="preserve">the domestic penetration rate (AGN assumed 95 per cent in the Two Wells analysis but forecast </w:t>
      </w:r>
      <w:r w:rsidR="00B43CA7">
        <w:t>a much lower penetration rate for</w:t>
      </w:r>
      <w:r>
        <w:t xml:space="preserve"> new connections forecast for new estates).</w:t>
      </w:r>
    </w:p>
    <w:p w:rsidR="00D022DB" w:rsidRPr="00D022DB" w:rsidRDefault="00D022DB" w:rsidP="00D022DB">
      <w:r>
        <w:t>We note that correcting these inconsistent assumptions results in a negative NPV outcome over a 20 year period. Furthermore, we consider that a 10 year period, at a maximum, should be applied for revenue to be recovered from industrial and commercial connections</w:t>
      </w:r>
      <w:r w:rsidR="00483ACC">
        <w:t>. In our view,</w:t>
      </w:r>
      <w:r w:rsidR="00623D5B">
        <w:t xml:space="preserve"> this </w:t>
      </w:r>
      <w:r w:rsidR="00483ACC">
        <w:t xml:space="preserve">is a </w:t>
      </w:r>
      <w:r w:rsidR="00623D5B">
        <w:t xml:space="preserve">more reasonable assumption </w:t>
      </w:r>
      <w:r w:rsidR="00483ACC">
        <w:t xml:space="preserve">taking into account </w:t>
      </w:r>
      <w:r w:rsidR="00623D5B">
        <w:t xml:space="preserve">the </w:t>
      </w:r>
      <w:r w:rsidR="0002162A">
        <w:t>standard connection life for these customers</w:t>
      </w:r>
      <w:r>
        <w:t xml:space="preserve">. We have therefore concluded that the proposed </w:t>
      </w:r>
      <w:r w:rsidR="00483ACC">
        <w:t xml:space="preserve">capex for the </w:t>
      </w:r>
      <w:r>
        <w:t xml:space="preserve">high pressure extension is not conforming capex </w:t>
      </w:r>
      <w:r w:rsidR="00483ACC">
        <w:t xml:space="preserve">because it is </w:t>
      </w:r>
      <w:r>
        <w:t>not justified under rule 79(2)(b) of the NGR.</w:t>
      </w:r>
    </w:p>
    <w:p w:rsidR="00D356F1" w:rsidRPr="00D85ABF" w:rsidRDefault="00213022" w:rsidP="00D85ABF">
      <w:pPr>
        <w:pStyle w:val="HeadingBoldBlue"/>
      </w:pPr>
      <w:bookmarkStart w:id="51" w:name="_Toc435534596"/>
      <w:r w:rsidRPr="00D85ABF">
        <w:t>Capital c</w:t>
      </w:r>
      <w:r w:rsidR="00D356F1" w:rsidRPr="00D85ABF">
        <w:t>ontributions</w:t>
      </w:r>
      <w:bookmarkEnd w:id="51"/>
    </w:p>
    <w:p w:rsidR="00D356F1" w:rsidRDefault="00D356F1" w:rsidP="000D0C6D">
      <w:r>
        <w:t>Where a connection is not a standard connection, as specified in the NGR and/or AGN’s access arrangement, AGN can seek a contribution from the customer.</w:t>
      </w:r>
    </w:p>
    <w:p w:rsidR="00A377BE" w:rsidRDefault="00A377BE" w:rsidP="000D0C6D">
      <w:r>
        <w:t>AGN has proposed contributions expenditure of $3.</w:t>
      </w:r>
      <w:r w:rsidR="005150DE">
        <w:t>6</w:t>
      </w:r>
      <w:r>
        <w:t xml:space="preserve"> million. </w:t>
      </w:r>
      <w:r w:rsidR="00E8556A">
        <w:t xml:space="preserve">AGN </w:t>
      </w:r>
      <w:r>
        <w:t>forecast its capital contributions by applying the five year average (2009–14) of the historically o</w:t>
      </w:r>
      <w:r w:rsidR="00E8556A">
        <w:t xml:space="preserve">bserved ratio of contributions to connection capex, </w:t>
      </w:r>
      <w:r>
        <w:t>to forecast connections capex.</w:t>
      </w:r>
      <w:r>
        <w:rPr>
          <w:rStyle w:val="FootnoteReference"/>
        </w:rPr>
        <w:footnoteReference w:id="49"/>
      </w:r>
      <w:r>
        <w:t xml:space="preserve"> </w:t>
      </w:r>
    </w:p>
    <w:p w:rsidR="00D356F1" w:rsidRDefault="00D356F1" w:rsidP="000D0C6D">
      <w:r>
        <w:t>Based on the information before us, we are satisfied that this amount is the best estimate in the circumstances.</w:t>
      </w:r>
    </w:p>
    <w:p w:rsidR="00920B04" w:rsidRPr="00D85ABF" w:rsidRDefault="00920B04" w:rsidP="00D85ABF">
      <w:pPr>
        <w:pStyle w:val="HeadingBoldBlue"/>
      </w:pPr>
      <w:bookmarkStart w:id="52" w:name="_Toc435534597"/>
      <w:r w:rsidRPr="00D85ABF">
        <w:t>Augmentation</w:t>
      </w:r>
      <w:bookmarkEnd w:id="52"/>
    </w:p>
    <w:p w:rsidR="00957695" w:rsidRDefault="00957695" w:rsidP="00957695">
      <w:r w:rsidRPr="008B68B8">
        <w:t>Network augmentation capex is directed at increasing the capacity of the existing network to meet the demand of existing and future customers. Augmentation capex is required to maintain gas pressure and minimise the risk of gas outages.</w:t>
      </w:r>
      <w:r>
        <w:t xml:space="preserve"> AGN stated its augmentation capex </w:t>
      </w:r>
      <w:r w:rsidR="0002162A">
        <w:t xml:space="preserve">is </w:t>
      </w:r>
      <w:r>
        <w:t>necessary under the NGR.</w:t>
      </w:r>
      <w:r>
        <w:rPr>
          <w:rStyle w:val="FootnoteReference"/>
        </w:rPr>
        <w:footnoteReference w:id="50"/>
      </w:r>
    </w:p>
    <w:p w:rsidR="00957695" w:rsidRDefault="00957695" w:rsidP="00957695">
      <w:r>
        <w:t xml:space="preserve">We </w:t>
      </w:r>
      <w:r w:rsidR="005C27D6">
        <w:t xml:space="preserve">have </w:t>
      </w:r>
      <w:r>
        <w:t>include</w:t>
      </w:r>
      <w:r w:rsidR="005C27D6">
        <w:t>d</w:t>
      </w:r>
      <w:r w:rsidRPr="00035DA4">
        <w:t xml:space="preserve"> $</w:t>
      </w:r>
      <w:r>
        <w:t xml:space="preserve">4.1 </w:t>
      </w:r>
      <w:r w:rsidRPr="00035DA4">
        <w:t>million ($201</w:t>
      </w:r>
      <w:r>
        <w:t>4–15</w:t>
      </w:r>
      <w:r w:rsidRPr="00035DA4">
        <w:t>, unescalated direct costs) of augmentation capex in o</w:t>
      </w:r>
      <w:r>
        <w:t xml:space="preserve">ur capex </w:t>
      </w:r>
      <w:r w:rsidR="0002162A">
        <w:t xml:space="preserve">forecast in this draft decision </w:t>
      </w:r>
      <w:r w:rsidR="004E0E06">
        <w:t>compared to AGN’s proposed amount of $17.9 million (</w:t>
      </w:r>
      <w:r w:rsidR="004E0E06" w:rsidRPr="00035DA4">
        <w:t>$201</w:t>
      </w:r>
      <w:r w:rsidR="004E0E06">
        <w:t>4–15</w:t>
      </w:r>
      <w:r w:rsidR="004E0E06" w:rsidRPr="00035DA4">
        <w:t>, unescalated direct costs)</w:t>
      </w:r>
      <w:r w:rsidRPr="00035DA4">
        <w:t>. We consider this capex complies with r</w:t>
      </w:r>
      <w:r w:rsidR="00D019F4">
        <w:t>ule</w:t>
      </w:r>
      <w:r w:rsidRPr="00035DA4">
        <w:t xml:space="preserve"> 79(1) of the NGR for the following reasons:</w:t>
      </w:r>
    </w:p>
    <w:p w:rsidR="00957695" w:rsidRDefault="00957695" w:rsidP="00957695">
      <w:pPr>
        <w:pStyle w:val="AERbulletlistfirststyle"/>
      </w:pPr>
      <w:r w:rsidRPr="00035DA4">
        <w:t xml:space="preserve">we consider </w:t>
      </w:r>
      <w:r w:rsidR="003A3495">
        <w:t>that the proposed capex for four</w:t>
      </w:r>
      <w:r w:rsidRPr="00035DA4">
        <w:t xml:space="preserve"> smaller scale augmentation projects totalling $</w:t>
      </w:r>
      <w:r>
        <w:t>4.1</w:t>
      </w:r>
      <w:r w:rsidRPr="00035DA4">
        <w:t xml:space="preserve"> million ($201</w:t>
      </w:r>
      <w:r>
        <w:t>4–15</w:t>
      </w:r>
      <w:r w:rsidRPr="00035DA4">
        <w:t>, unescalated direct costs)</w:t>
      </w:r>
      <w:r>
        <w:t xml:space="preserve"> </w:t>
      </w:r>
      <w:r w:rsidRPr="00035DA4">
        <w:t>are justif</w:t>
      </w:r>
      <w:r w:rsidR="0002162A">
        <w:t>ied</w:t>
      </w:r>
      <w:r w:rsidRPr="00035DA4">
        <w:t xml:space="preserve"> and necessary </w:t>
      </w:r>
      <w:r>
        <w:t>under the NGR</w:t>
      </w:r>
      <w:r w:rsidRPr="00035DA4">
        <w:t>.</w:t>
      </w:r>
      <w:r>
        <w:rPr>
          <w:rStyle w:val="FootnoteReference"/>
        </w:rPr>
        <w:footnoteReference w:id="51"/>
      </w:r>
    </w:p>
    <w:p w:rsidR="00957695" w:rsidRDefault="003A3495" w:rsidP="00957695">
      <w:pPr>
        <w:pStyle w:val="AERbulletlistfirststyle"/>
      </w:pPr>
      <w:r>
        <w:t xml:space="preserve">we do not </w:t>
      </w:r>
      <w:r w:rsidR="00957695">
        <w:t>consider</w:t>
      </w:r>
      <w:r>
        <w:t xml:space="preserve"> that the proposed capex for</w:t>
      </w:r>
      <w:r w:rsidR="00957695">
        <w:t xml:space="preserve"> two significant project—Southern Transmission Pipeline </w:t>
      </w:r>
      <w:r>
        <w:t xml:space="preserve">(SA21) and Murray Bridge (SA71) totalling $10.5 million </w:t>
      </w:r>
      <w:r w:rsidRPr="00035DA4">
        <w:t>($201</w:t>
      </w:r>
      <w:r>
        <w:t>4–15</w:t>
      </w:r>
      <w:r w:rsidRPr="00035DA4">
        <w:t>, unescalated direct costs)</w:t>
      </w:r>
      <w:r>
        <w:t xml:space="preserve"> — </w:t>
      </w:r>
      <w:r w:rsidR="00957695">
        <w:t>are</w:t>
      </w:r>
      <w:r>
        <w:t xml:space="preserve"> conforming capex because they are not justified</w:t>
      </w:r>
      <w:r w:rsidR="00957695">
        <w:t xml:space="preserve"> in the </w:t>
      </w:r>
      <w:r w:rsidR="008E581B">
        <w:t>2016–21 access arrangement period</w:t>
      </w:r>
      <w:r w:rsidR="00957695">
        <w:t>. This results in a reduction to AGN’s capex forecast.</w:t>
      </w:r>
    </w:p>
    <w:p w:rsidR="00957695" w:rsidRDefault="00957695" w:rsidP="00957695">
      <w:pPr>
        <w:pStyle w:val="AERbulletlistfirststyle"/>
      </w:pPr>
      <w:r>
        <w:t>we consider</w:t>
      </w:r>
      <w:r w:rsidR="003A3495">
        <w:t xml:space="preserve"> that</w:t>
      </w:r>
      <w:r>
        <w:t xml:space="preserve"> the </w:t>
      </w:r>
      <w:r w:rsidR="003A3495">
        <w:t xml:space="preserve">capex for the </w:t>
      </w:r>
      <w:r>
        <w:t>project, ‘Pittin</w:t>
      </w:r>
      <w:r w:rsidR="003A3495">
        <w:t xml:space="preserve">g issues under sleeves’ (SA21a) totalling $3.3 million </w:t>
      </w:r>
      <w:r w:rsidR="003A3495" w:rsidRPr="00035DA4">
        <w:t>($201</w:t>
      </w:r>
      <w:r w:rsidR="003A3495">
        <w:t>4–15</w:t>
      </w:r>
      <w:r w:rsidR="003A3495" w:rsidRPr="00035DA4">
        <w:t>, unescalated direct costs)</w:t>
      </w:r>
      <w:r>
        <w:t xml:space="preserve"> is an opex item. We have therefore included this project in our assessment of AGN’s opex forecast (see attachment 7). This results in a reduction to AGN’s capex forecast.</w:t>
      </w:r>
      <w:r w:rsidR="004E0E06">
        <w:t xml:space="preserve"> </w:t>
      </w:r>
    </w:p>
    <w:p w:rsidR="00957695" w:rsidRDefault="00957695" w:rsidP="00957695">
      <w:r>
        <w:t xml:space="preserve">We assessed AGN's augmentation projects by considering the timing of the proposed works, the capacity benefit resulting from the augmentation solution and whether the input cost of each project </w:t>
      </w:r>
      <w:r w:rsidR="00BF07D3">
        <w:t>is that which a prudent service provider acting efficiently, in accordance with accepted good industry practice, to achieve the lowest sustainable cost of providing services would incur.</w:t>
      </w:r>
      <w:r w:rsidR="00BF07D3">
        <w:rPr>
          <w:rStyle w:val="FootnoteReference"/>
        </w:rPr>
        <w:footnoteReference w:id="52"/>
      </w:r>
      <w:r w:rsidR="00BF07D3">
        <w:t xml:space="preserve"> In undertaking this assessment we sought advice from Sleeman Consulting, who examined the business cases submitted by AGN and requested further information from AGN.</w:t>
      </w:r>
    </w:p>
    <w:p w:rsidR="00957695" w:rsidRDefault="00957695" w:rsidP="00957695">
      <w:r>
        <w:t>In assessing the prudency and efficiency of the proposed projects, we and Sleeman Consulting considered:</w:t>
      </w:r>
      <w:r>
        <w:rPr>
          <w:rStyle w:val="FootnoteReference"/>
        </w:rPr>
        <w:footnoteReference w:id="53"/>
      </w:r>
      <w:r>
        <w:t xml:space="preserve"> </w:t>
      </w:r>
    </w:p>
    <w:p w:rsidR="00957695" w:rsidRDefault="00BD7DCC" w:rsidP="00957695">
      <w:pPr>
        <w:pStyle w:val="AERbulletlistfirststyle"/>
      </w:pPr>
      <w:r>
        <w:t xml:space="preserve">the </w:t>
      </w:r>
      <w:r w:rsidR="00957695">
        <w:t>capacity shortfall and/or projected growth demonstrating the requirement for the augmentation</w:t>
      </w:r>
    </w:p>
    <w:p w:rsidR="00957695" w:rsidRDefault="00957695" w:rsidP="00957695">
      <w:pPr>
        <w:pStyle w:val="AERbulletlistfirststyle"/>
      </w:pPr>
      <w:r>
        <w:t>whether AGN considered alternative options to address the issue</w:t>
      </w:r>
    </w:p>
    <w:p w:rsidR="00957695" w:rsidRDefault="00BD7DCC" w:rsidP="00957695">
      <w:pPr>
        <w:pStyle w:val="AERbulletlistfirststyle"/>
      </w:pPr>
      <w:r>
        <w:t xml:space="preserve">the </w:t>
      </w:r>
      <w:r w:rsidR="00957695">
        <w:t>prudency of the timing of the proposed augmentation</w:t>
      </w:r>
    </w:p>
    <w:p w:rsidR="00957695" w:rsidRDefault="00BD7DCC" w:rsidP="00957695">
      <w:pPr>
        <w:pStyle w:val="AERbulletlistfirststyle"/>
      </w:pPr>
      <w:r>
        <w:t xml:space="preserve">the </w:t>
      </w:r>
      <w:r w:rsidR="00957695">
        <w:t>prudency and efficiency of the scale of the proposed augmentation</w:t>
      </w:r>
    </w:p>
    <w:p w:rsidR="00957695" w:rsidRDefault="00BD7DCC" w:rsidP="00957695">
      <w:pPr>
        <w:pStyle w:val="AERbulletlistfirststyle"/>
      </w:pPr>
      <w:r>
        <w:t xml:space="preserve">the </w:t>
      </w:r>
      <w:r w:rsidR="00957695">
        <w:t>efficiency of the proposed project costs.</w:t>
      </w:r>
    </w:p>
    <w:p w:rsidR="00957695" w:rsidRDefault="00957695" w:rsidP="00957695">
      <w:r>
        <w:t>Three projects make up $13.8 million (or 77 per cent) of AGN’s augmentation capex forecast of $17.9 million (</w:t>
      </w:r>
      <w:r w:rsidRPr="00035DA4">
        <w:t>$201</w:t>
      </w:r>
      <w:r>
        <w:t>4–15</w:t>
      </w:r>
      <w:r w:rsidRPr="00035DA4">
        <w:t>, unescalated direct costs)</w:t>
      </w:r>
      <w:r>
        <w:t>. Our assessment focused largely on these three projects, which we set out below.</w:t>
      </w:r>
    </w:p>
    <w:p w:rsidR="00957695" w:rsidRDefault="00957695" w:rsidP="00957695">
      <w:pPr>
        <w:pStyle w:val="HeadingBoldItalic"/>
      </w:pPr>
      <w:r>
        <w:t>Southern Transmission Pipeline (SA21)</w:t>
      </w:r>
    </w:p>
    <w:p w:rsidR="00957695" w:rsidRDefault="00BF07D3" w:rsidP="00957695">
      <w:r>
        <w:t>We are not satisfied that the proposed capex for the Southern Transmission Pipeline augmentation (SA21) is conforming capex that complies with rule 79. In coming to this view we took into account the advice we received from Sleeman Consulting which we found to be persuasive</w:t>
      </w:r>
      <w:r w:rsidR="00957695">
        <w:t>.</w:t>
      </w:r>
      <w:r w:rsidR="00957695">
        <w:rPr>
          <w:rStyle w:val="FootnoteReference"/>
        </w:rPr>
        <w:footnoteReference w:id="54"/>
      </w:r>
    </w:p>
    <w:p w:rsidR="00957695" w:rsidRDefault="00957695" w:rsidP="00957695">
      <w:r>
        <w:t>AGN proposed to replace this 5.2km pipeline because it detected corrosion at 20 joints it recently excavated. AGN stated the level of corrosion varied in depth up to 2.4mm.</w:t>
      </w:r>
      <w:r>
        <w:rPr>
          <w:rStyle w:val="FootnoteReference"/>
        </w:rPr>
        <w:footnoteReference w:id="55"/>
      </w:r>
    </w:p>
    <w:p w:rsidR="00957695" w:rsidRDefault="00957695" w:rsidP="00957695">
      <w:r>
        <w:t xml:space="preserve">Based on </w:t>
      </w:r>
      <w:r w:rsidR="00BD7DCC">
        <w:t xml:space="preserve">the </w:t>
      </w:r>
      <w:r>
        <w:t>available evidence, Sleeman Consulting considered the levels of corrosion AGN found in its survey are considerably below threshold levels that would necessitate capital works. This means the pipeline will remain fit for purpose, and that a burst failure is unlikely.</w:t>
      </w:r>
      <w:r>
        <w:rPr>
          <w:rStyle w:val="FootnoteReference"/>
        </w:rPr>
        <w:footnoteReference w:id="56"/>
      </w:r>
      <w:r>
        <w:t xml:space="preserve"> AGN itself considered a burst rupture of the pipeline is ‘highly unlikely’.</w:t>
      </w:r>
      <w:r>
        <w:rPr>
          <w:rStyle w:val="FootnoteReference"/>
        </w:rPr>
        <w:footnoteReference w:id="57"/>
      </w:r>
      <w:r>
        <w:t xml:space="preserve"> Hence, we agree with Sleeman Consulting that this project is not required in the 2016</w:t>
      </w:r>
      <w:r w:rsidR="00BD7DCC">
        <w:t>–</w:t>
      </w:r>
      <w:r>
        <w:t xml:space="preserve">21 </w:t>
      </w:r>
      <w:r w:rsidR="00BD7DCC">
        <w:t xml:space="preserve">access arrangement </w:t>
      </w:r>
      <w:r>
        <w:t xml:space="preserve">period. </w:t>
      </w:r>
    </w:p>
    <w:p w:rsidR="00957695" w:rsidRDefault="00BF07D3" w:rsidP="00957695">
      <w:r>
        <w:t xml:space="preserve">Sleeman Consulting also recommended the </w:t>
      </w:r>
      <w:r w:rsidR="00957695">
        <w:t>ongoing monitoring of this pipeline, which AGN can incorporate into its SA21a project (see below).</w:t>
      </w:r>
      <w:r w:rsidR="00957695">
        <w:rPr>
          <w:rStyle w:val="FootnoteReference"/>
        </w:rPr>
        <w:footnoteReference w:id="58"/>
      </w:r>
      <w:r w:rsidR="00957695">
        <w:t xml:space="preserve"> This would enable AGN to determine a more optimal time to replace (or perform other work on) the pipeline.</w:t>
      </w:r>
    </w:p>
    <w:p w:rsidR="00957695" w:rsidRDefault="00957695" w:rsidP="00957695">
      <w:pPr>
        <w:pStyle w:val="HeadingBoldItalic"/>
      </w:pPr>
      <w:r>
        <w:t>Murray Bridge augmentation (SA71)</w:t>
      </w:r>
    </w:p>
    <w:p w:rsidR="00957695" w:rsidRDefault="00BF07D3" w:rsidP="00957695">
      <w:r>
        <w:t>We are not satisfied that the proposed capex for the Murray Bridge augmentation (SA71) is conforming capex</w:t>
      </w:r>
      <w:r w:rsidRPr="00F87F8D">
        <w:t xml:space="preserve"> </w:t>
      </w:r>
      <w:r>
        <w:t>that complies with rule 79. In coming to this view we took into account the advice we received from Sleeman Consulting which we found to be persuasive.</w:t>
      </w:r>
      <w:r w:rsidR="00957695">
        <w:rPr>
          <w:rStyle w:val="FootnoteReference"/>
        </w:rPr>
        <w:footnoteReference w:id="59"/>
      </w:r>
    </w:p>
    <w:p w:rsidR="00957695" w:rsidRDefault="00957695" w:rsidP="00957695">
      <w:r w:rsidRPr="00820AF4">
        <w:t>AGN proposed to construct a 2km pipeline to complement an existing pipeline. AGN stated the existing pipeline is operating close to full capacity and, with organic growth within Murray Bridge, will require an augmentation to the network.</w:t>
      </w:r>
      <w:r>
        <w:rPr>
          <w:rStyle w:val="FootnoteReference"/>
        </w:rPr>
        <w:footnoteReference w:id="60"/>
      </w:r>
      <w:r w:rsidRPr="00820AF4">
        <w:t xml:space="preserve"> </w:t>
      </w:r>
    </w:p>
    <w:p w:rsidR="00957695" w:rsidRDefault="00957695" w:rsidP="00957695">
      <w:r>
        <w:t>AGN expects 250–300 new connections per year due to new developments in the Murray Bridge township. This would increase the peak hour growth within the township from 50 m3/hr per year to about 100m3/hr per year.</w:t>
      </w:r>
      <w:r>
        <w:rPr>
          <w:rStyle w:val="FootnoteReference"/>
        </w:rPr>
        <w:footnoteReference w:id="61"/>
      </w:r>
      <w:r>
        <w:t xml:space="preserve"> We agree with </w:t>
      </w:r>
      <w:r w:rsidRPr="00820AF4">
        <w:t xml:space="preserve">Sleeman Consulting </w:t>
      </w:r>
      <w:r>
        <w:t xml:space="preserve">that </w:t>
      </w:r>
      <w:r w:rsidRPr="00820AF4">
        <w:t>AGN's growth assumptions are excessive</w:t>
      </w:r>
      <w:r>
        <w:t xml:space="preserve"> given there are only about 400 residential customers within the Murray Bridge township.</w:t>
      </w:r>
      <w:r w:rsidR="00AA76FC">
        <w:t xml:space="preserve"> </w:t>
      </w:r>
      <w:r w:rsidR="00384C04">
        <w:t>Importantly,</w:t>
      </w:r>
      <w:r w:rsidR="00AA76FC">
        <w:t xml:space="preserve"> the </w:t>
      </w:r>
      <w:r w:rsidR="00384C04">
        <w:t xml:space="preserve">township </w:t>
      </w:r>
      <w:r w:rsidR="00AA76FC">
        <w:t xml:space="preserve">has </w:t>
      </w:r>
      <w:r w:rsidR="00384C04">
        <w:t xml:space="preserve">grown by </w:t>
      </w:r>
      <w:r w:rsidR="00AA76FC">
        <w:t xml:space="preserve">33 new connections </w:t>
      </w:r>
      <w:r w:rsidR="00384C04">
        <w:t xml:space="preserve">per year, on average, </w:t>
      </w:r>
      <w:r w:rsidR="00AA76FC">
        <w:t>between 2005 and 2014</w:t>
      </w:r>
      <w:r w:rsidR="00384C04">
        <w:t>, with 52 being the largest number of new connections in any one year</w:t>
      </w:r>
      <w:r w:rsidR="00AA76FC">
        <w:t>.</w:t>
      </w:r>
      <w:r w:rsidR="00AA76FC">
        <w:rPr>
          <w:rStyle w:val="FootnoteReference"/>
        </w:rPr>
        <w:footnoteReference w:id="62"/>
      </w:r>
      <w:r>
        <w:t xml:space="preserve"> </w:t>
      </w:r>
      <w:r w:rsidR="00384C04">
        <w:t xml:space="preserve">These are well below the </w:t>
      </w:r>
      <w:r w:rsidR="00C80C80">
        <w:t xml:space="preserve">annual </w:t>
      </w:r>
      <w:r w:rsidR="00384C04">
        <w:t xml:space="preserve">forecasts AGN used to justify the project. </w:t>
      </w:r>
      <w:r>
        <w:t>In addition, the growth in gas connections would be lower as not all potential customers will connect to gas.</w:t>
      </w:r>
      <w:r>
        <w:rPr>
          <w:rStyle w:val="FootnoteReference"/>
        </w:rPr>
        <w:footnoteReference w:id="63"/>
      </w:r>
      <w:r w:rsidRPr="00820AF4">
        <w:t xml:space="preserve"> </w:t>
      </w:r>
    </w:p>
    <w:p w:rsidR="00957695" w:rsidRDefault="00362D1B" w:rsidP="00957695">
      <w:r>
        <w:t>Based on the available information, w</w:t>
      </w:r>
      <w:r w:rsidR="004E0E06" w:rsidRPr="00820AF4">
        <w:t>e agree with Sleeman Consulting’s position</w:t>
      </w:r>
      <w:r w:rsidR="004E0E06">
        <w:t xml:space="preserve"> that</w:t>
      </w:r>
      <w:r w:rsidR="00957695" w:rsidRPr="00820AF4">
        <w:t xml:space="preserve"> the pipeline can operate at considerably higher pressure than its current pressure of 1.65MPa</w:t>
      </w:r>
      <w:r w:rsidR="004E0E06">
        <w:t xml:space="preserve">, such that </w:t>
      </w:r>
      <w:r w:rsidR="004E0E06" w:rsidRPr="00820AF4">
        <w:t xml:space="preserve">construction of the new pipeline will </w:t>
      </w:r>
      <w:r w:rsidR="004E0E06">
        <w:t xml:space="preserve">not </w:t>
      </w:r>
      <w:r w:rsidR="004E0E06" w:rsidRPr="00820AF4">
        <w:t xml:space="preserve">be necessary in the </w:t>
      </w:r>
      <w:r w:rsidR="00BD7DCC">
        <w:t xml:space="preserve">2016–21 access arrangement </w:t>
      </w:r>
      <w:r w:rsidR="004E0E06" w:rsidRPr="00820AF4">
        <w:t>period.</w:t>
      </w:r>
      <w:r w:rsidR="00957695">
        <w:rPr>
          <w:rStyle w:val="FootnoteReference"/>
        </w:rPr>
        <w:footnoteReference w:id="64"/>
      </w:r>
      <w:r w:rsidR="00957695" w:rsidRPr="00820AF4">
        <w:t xml:space="preserve"> </w:t>
      </w:r>
    </w:p>
    <w:p w:rsidR="00957695" w:rsidRDefault="00957695" w:rsidP="00957695">
      <w:pPr>
        <w:pStyle w:val="HeadingBoldItalic"/>
      </w:pPr>
      <w:r>
        <w:t>Pitting issues under sleeves (SA21a)</w:t>
      </w:r>
    </w:p>
    <w:p w:rsidR="00957695" w:rsidRDefault="00957695" w:rsidP="00957695">
      <w:r>
        <w:t xml:space="preserve">We consider </w:t>
      </w:r>
      <w:r w:rsidR="00BF07D3">
        <w:t xml:space="preserve">that </w:t>
      </w:r>
      <w:r>
        <w:t xml:space="preserve">the proposed </w:t>
      </w:r>
      <w:r w:rsidR="00BF07D3">
        <w:t xml:space="preserve">capex for the </w:t>
      </w:r>
      <w:r>
        <w:t xml:space="preserve">project, ‘Pitting issues under sleeves’ (SA21a), is an opex item. We have </w:t>
      </w:r>
      <w:r w:rsidR="00BD7DCC">
        <w:t xml:space="preserve">assessed </w:t>
      </w:r>
      <w:r>
        <w:t xml:space="preserve">this project </w:t>
      </w:r>
      <w:r w:rsidR="00BD7DCC">
        <w:t xml:space="preserve">as part of </w:t>
      </w:r>
      <w:r>
        <w:t>our assessment of AGN’s opex forecast</w:t>
      </w:r>
      <w:r w:rsidR="00A5141E">
        <w:t xml:space="preserve"> where we adjusted our base year opex to account for the reclassification of this project</w:t>
      </w:r>
      <w:r>
        <w:t xml:space="preserve"> (see attachment 7).</w:t>
      </w:r>
    </w:p>
    <w:p w:rsidR="00957695" w:rsidRDefault="00957695" w:rsidP="00957695">
      <w:r w:rsidRPr="00002013">
        <w:t xml:space="preserve">Following from </w:t>
      </w:r>
      <w:r>
        <w:t xml:space="preserve">the </w:t>
      </w:r>
      <w:r w:rsidRPr="00002013">
        <w:t>SA21</w:t>
      </w:r>
      <w:r>
        <w:t xml:space="preserve"> project (see above)</w:t>
      </w:r>
      <w:r w:rsidRPr="00002013">
        <w:t>, AGN proposed to undertake exploratory excavations to check for corrosion on field</w:t>
      </w:r>
      <w:r w:rsidR="00E34C0D">
        <w:t>–</w:t>
      </w:r>
      <w:r w:rsidRPr="00002013">
        <w:t>welded joints on transmission pipelines in its network.</w:t>
      </w:r>
      <w:r>
        <w:rPr>
          <w:rStyle w:val="FootnoteReference"/>
        </w:rPr>
        <w:footnoteReference w:id="65"/>
      </w:r>
      <w:r w:rsidRPr="00002013">
        <w:t xml:space="preserve"> Its expenditure forecast includes provision for repair of 10 per cent of excavated joints.</w:t>
      </w:r>
      <w:r>
        <w:rPr>
          <w:rStyle w:val="FootnoteReference"/>
        </w:rPr>
        <w:footnoteReference w:id="66"/>
      </w:r>
      <w:r w:rsidRPr="00002013">
        <w:t xml:space="preserve"> </w:t>
      </w:r>
    </w:p>
    <w:p w:rsidR="00957695" w:rsidRPr="00EA18D2" w:rsidRDefault="00957695" w:rsidP="00957695">
      <w:r>
        <w:t>The CCP</w:t>
      </w:r>
      <w:r w:rsidRPr="00002013">
        <w:t xml:space="preserve"> </w:t>
      </w:r>
      <w:r>
        <w:t>asked whether this project is a maintenance activity (opex)</w:t>
      </w:r>
      <w:r w:rsidRPr="00002013">
        <w:t>.</w:t>
      </w:r>
      <w:r>
        <w:rPr>
          <w:rStyle w:val="FootnoteReference"/>
        </w:rPr>
        <w:footnoteReference w:id="67"/>
      </w:r>
      <w:r w:rsidRPr="00002013">
        <w:t xml:space="preserve"> We consider this item should be assessed as opex given that </w:t>
      </w:r>
      <w:r w:rsidR="00BF07D3">
        <w:t>t</w:t>
      </w:r>
      <w:r w:rsidRPr="00002013">
        <w:t>he majority of this expenditure relates to inspection</w:t>
      </w:r>
      <w:r w:rsidR="00E34C0D">
        <w:t>–</w:t>
      </w:r>
      <w:r w:rsidRPr="00002013">
        <w:t>type work. Where AGN needs to repair joints,</w:t>
      </w:r>
      <w:r>
        <w:t xml:space="preserve"> </w:t>
      </w:r>
      <w:r w:rsidR="00C17266">
        <w:t xml:space="preserve">we </w:t>
      </w:r>
      <w:r w:rsidR="00BD7DCC">
        <w:t xml:space="preserve">agree </w:t>
      </w:r>
      <w:r w:rsidR="00C17266">
        <w:t xml:space="preserve">with </w:t>
      </w:r>
      <w:r>
        <w:t xml:space="preserve">Sleeman Consulting </w:t>
      </w:r>
      <w:r w:rsidR="00C17266">
        <w:t>that the</w:t>
      </w:r>
      <w:r w:rsidRPr="00002013">
        <w:t xml:space="preserve"> work </w:t>
      </w:r>
      <w:r>
        <w:t xml:space="preserve">AGN would perform </w:t>
      </w:r>
      <w:r w:rsidRPr="00002013">
        <w:t>does not materially alter the productive capacity of the pipeline</w:t>
      </w:r>
      <w:r>
        <w:t xml:space="preserve"> and is, therefore, an operating and maintenance activity</w:t>
      </w:r>
      <w:r w:rsidRPr="00002013">
        <w:t>.</w:t>
      </w:r>
      <w:r>
        <w:rPr>
          <w:rStyle w:val="FootnoteReference"/>
        </w:rPr>
        <w:footnoteReference w:id="68"/>
      </w:r>
    </w:p>
    <w:p w:rsidR="00920B04" w:rsidRPr="00D85ABF" w:rsidRDefault="00920B04" w:rsidP="00D85ABF">
      <w:pPr>
        <w:pStyle w:val="HeadingBoldBlue"/>
      </w:pPr>
      <w:bookmarkStart w:id="53" w:name="_Toc435534598"/>
      <w:r w:rsidRPr="00D85ABF">
        <w:t>Mains replacement</w:t>
      </w:r>
      <w:bookmarkEnd w:id="53"/>
    </w:p>
    <w:p w:rsidR="00EE3629" w:rsidRDefault="00EE3629" w:rsidP="00EE3629">
      <w:pPr>
        <w:rPr>
          <w:lang w:eastAsia="en-AU"/>
        </w:rPr>
      </w:pPr>
      <w:r w:rsidRPr="005F493A">
        <w:t xml:space="preserve">Distribution mains are the pipes which convey gas to service pipes at each end user point. </w:t>
      </w:r>
      <w:r>
        <w:t xml:space="preserve">AGN’s </w:t>
      </w:r>
      <w:r w:rsidRPr="005F493A">
        <w:t>distribution mains replacement program consists of proactive and reactive replacement programs</w:t>
      </w:r>
      <w:r>
        <w:t xml:space="preserve">. It involves the replacement of </w:t>
      </w:r>
      <w:r w:rsidRPr="005F493A">
        <w:rPr>
          <w:rFonts w:eastAsia="Calibri"/>
        </w:rPr>
        <w:t xml:space="preserve">aging cast iron </w:t>
      </w:r>
      <w:r>
        <w:rPr>
          <w:rFonts w:eastAsia="Calibri"/>
        </w:rPr>
        <w:t xml:space="preserve">(CI) and unprotected steel pipe (UPS) mains as well as newer </w:t>
      </w:r>
      <w:r w:rsidRPr="00013BA0">
        <w:rPr>
          <w:lang w:eastAsia="en-AU"/>
        </w:rPr>
        <w:t>high density polyethylene</w:t>
      </w:r>
      <w:r>
        <w:rPr>
          <w:lang w:eastAsia="en-AU"/>
        </w:rPr>
        <w:t xml:space="preserve"> (HDPE) mains. </w:t>
      </w:r>
    </w:p>
    <w:p w:rsidR="00EE3629" w:rsidRDefault="00EE3629" w:rsidP="00EE3629">
      <w:r>
        <w:t>We have included $167.7 million ($2015, unescalated direct costs) of mains replacement</w:t>
      </w:r>
      <w:r w:rsidRPr="00F75FD3">
        <w:t xml:space="preserve"> </w:t>
      </w:r>
      <w:r>
        <w:t xml:space="preserve">capex in our alternative estimate in this draft decision. This is 54.7 per cent less than AGN's proposed forecast expenditure of </w:t>
      </w:r>
      <w:r w:rsidRPr="006A3F2D">
        <w:t>$</w:t>
      </w:r>
      <w:r>
        <w:t>369.9</w:t>
      </w:r>
      <w:r w:rsidRPr="006A3F2D">
        <w:t xml:space="preserve"> million ($201</w:t>
      </w:r>
      <w:r>
        <w:t>5</w:t>
      </w:r>
      <w:r w:rsidRPr="006A3F2D">
        <w:t>, unescalated direct costs)</w:t>
      </w:r>
      <w:r>
        <w:t xml:space="preserve"> for its mains replacement program</w:t>
      </w:r>
      <w:r>
        <w:rPr>
          <w:lang w:eastAsia="en-AU"/>
        </w:rPr>
        <w:t>.</w:t>
      </w:r>
      <w:r w:rsidRPr="006A3F2D">
        <w:rPr>
          <w:rStyle w:val="FootnoteReference"/>
        </w:rPr>
        <w:footnoteReference w:id="69"/>
      </w:r>
      <w:r>
        <w:t xml:space="preserve"> </w:t>
      </w:r>
    </w:p>
    <w:p w:rsidR="00EE3629" w:rsidRDefault="00EE3629" w:rsidP="00EE3629">
      <w:r w:rsidRPr="007C7E79">
        <w:t xml:space="preserve">We have undertaken a technical review of </w:t>
      </w:r>
      <w:r>
        <w:t>the mains replacement program,</w:t>
      </w:r>
      <w:r w:rsidRPr="007C7E79">
        <w:t xml:space="preserve"> which has drawn on internal engin</w:t>
      </w:r>
      <w:r>
        <w:t>eering and technical expertise.</w:t>
      </w:r>
      <w:r w:rsidR="00835EBF">
        <w:t xml:space="preserve"> Our technical analysis is set out in the confidential appendix (Appendix A).</w:t>
      </w:r>
    </w:p>
    <w:p w:rsidR="00EE3629" w:rsidRDefault="00EE3629" w:rsidP="00EE3629">
      <w:pPr>
        <w:pStyle w:val="ListParagraph"/>
        <w:numPr>
          <w:ilvl w:val="0"/>
          <w:numId w:val="0"/>
        </w:numPr>
      </w:pPr>
      <w:r>
        <w:t xml:space="preserve">For the reasons below, based on the information before us, we are not satisfied that AGN’s proposed forecast capex of $369.9 million for its mains replacement program, and the associated target of 1273 kilometres of main pipes to be replaced, is conforming capex that complies with rule 79. </w:t>
      </w:r>
    </w:p>
    <w:p w:rsidR="00EE3629" w:rsidRDefault="00EE3629" w:rsidP="00EE3629">
      <w:pPr>
        <w:pStyle w:val="ListParagraph"/>
        <w:numPr>
          <w:ilvl w:val="0"/>
          <w:numId w:val="0"/>
        </w:numPr>
      </w:pPr>
      <w:r>
        <w:t>The information that AGN has provided us does not support or demonstrate that its proposal is</w:t>
      </w:r>
      <w:r w:rsidRPr="00035C77">
        <w:t xml:space="preserve"> prudent or efficient.</w:t>
      </w:r>
      <w:r>
        <w:t xml:space="preserve"> In particular, AGN did not provide a rigorous (quantitative) risk assessment to establish that its proposed rate of mains replacement over the 2016</w:t>
      </w:r>
      <w:r w:rsidR="00E34C0D">
        <w:t>–</w:t>
      </w:r>
      <w:r>
        <w:t xml:space="preserve">21 </w:t>
      </w:r>
      <w:proofErr w:type="gramStart"/>
      <w:r>
        <w:t>period</w:t>
      </w:r>
      <w:proofErr w:type="gramEnd"/>
      <w:r>
        <w:t xml:space="preserve"> is prudent and efficient. Rather, its assessment identifies what it terms ‘hazards’ and proceeds on the basis that they will occur and have significant impacts. We consider a rigorous risk assessment that measures the likelihood and impact of a hazard occurring is necessary in determining whether proposed investment is prudent and efficient. This is especially the case where, as here, there are no regulatory or legislative obligations that require AGN to replace mains at the rate it has proposed over the 2016</w:t>
      </w:r>
      <w:r w:rsidR="00E34C0D">
        <w:t>–</w:t>
      </w:r>
      <w:r>
        <w:t>21 period.</w:t>
      </w:r>
    </w:p>
    <w:p w:rsidR="00EE3629" w:rsidRDefault="00EE3629" w:rsidP="00EE3629">
      <w:r w:rsidRPr="00035C77">
        <w:t xml:space="preserve">We </w:t>
      </w:r>
      <w:r>
        <w:t xml:space="preserve">have </w:t>
      </w:r>
      <w:r w:rsidRPr="00035C77">
        <w:t>not</w:t>
      </w:r>
      <w:r>
        <w:t xml:space="preserve"> adopted</w:t>
      </w:r>
      <w:r w:rsidRPr="00035C77">
        <w:t xml:space="preserve"> AGN’s proposed mains replacem</w:t>
      </w:r>
      <w:r>
        <w:t xml:space="preserve">ent expenditure and have therefore determined an alternative estimate. Our alternative estimate does not identify the specific allocation of capex across the three types of mains pipe replaced (CI, UPS or HDPE). Since we have not been provided with a rigorous risk assessment, we have used the limited information and data before us to derive an alternative estimate of the kilometre of main pipes we consider would be more efficient than what AGN has proposed to replace during the 2016–21 access arrangement period. </w:t>
      </w:r>
    </w:p>
    <w:p w:rsidR="00EE3629" w:rsidRDefault="00EE3629" w:rsidP="00EE3629">
      <w:r>
        <w:t>Since we do not have the information to undertake a rigorous risk assessment, we have based our alternative estimate on the kilometre of main pipes we consider would be efficient to replace during the 2016–21 access arrangement period. To derive our alternative capex estimate, we have reduced AGN’s proposed capex for mains replacement by our percentage reduction in total kilometres. This approach means we have applied AGN’s unit rates across all categories of mains replacement and our reduction reflects our view regarding prudent and efficient volumes of mains replacement.</w:t>
      </w:r>
    </w:p>
    <w:p w:rsidR="00EE3629" w:rsidRDefault="00EE3629" w:rsidP="00EE3629">
      <w:r>
        <w:t>We note, however, that there are some remaining concerns</w:t>
      </w:r>
      <w:r w:rsidRPr="008D79E5">
        <w:t xml:space="preserve"> </w:t>
      </w:r>
      <w:r>
        <w:t xml:space="preserve">that we have with AGN’s proposed unit rates. These are set out in the confidential appendix (Appendix A). We invite AGN to address these concerns as part of its revised proposal. </w:t>
      </w:r>
    </w:p>
    <w:p w:rsidR="00EE3629" w:rsidRDefault="00EE3629" w:rsidP="00EE3629">
      <w:pPr>
        <w:pStyle w:val="ListParagraph"/>
        <w:numPr>
          <w:ilvl w:val="0"/>
          <w:numId w:val="0"/>
        </w:numPr>
      </w:pPr>
      <w:r>
        <w:t>We discuss below our assessment of AGN’s proposal and the other material submitted by AGN and how we determined our alternative estimate.</w:t>
      </w:r>
    </w:p>
    <w:p w:rsidR="00EE3629" w:rsidRDefault="00EE3629" w:rsidP="00EE3629">
      <w:pPr>
        <w:pStyle w:val="HeadingBoldItalic"/>
      </w:pPr>
      <w:r>
        <w:t>AGN’s proposal</w:t>
      </w:r>
    </w:p>
    <w:p w:rsidR="00EE3629" w:rsidRPr="00CE4E8E" w:rsidRDefault="00EE3629" w:rsidP="00EE3629">
      <w:pPr>
        <w:pStyle w:val="AERbulletlistfirststyle"/>
        <w:numPr>
          <w:ilvl w:val="0"/>
          <w:numId w:val="0"/>
        </w:numPr>
        <w:rPr>
          <w:lang w:eastAsia="en-AU"/>
        </w:rPr>
      </w:pPr>
      <w:r w:rsidRPr="00CE4E8E">
        <w:rPr>
          <w:lang w:eastAsia="en-AU"/>
        </w:rPr>
        <w:t>AGN</w:t>
      </w:r>
      <w:r>
        <w:rPr>
          <w:lang w:eastAsia="en-AU"/>
        </w:rPr>
        <w:t xml:space="preserve"> proposed </w:t>
      </w:r>
      <w:r w:rsidRPr="00CE4E8E">
        <w:rPr>
          <w:lang w:eastAsia="en-AU"/>
        </w:rPr>
        <w:t xml:space="preserve">forecast mains replacement </w:t>
      </w:r>
      <w:r w:rsidRPr="00E77990">
        <w:rPr>
          <w:lang w:eastAsia="en-AU"/>
        </w:rPr>
        <w:t>expenditure of $3</w:t>
      </w:r>
      <w:r>
        <w:rPr>
          <w:lang w:eastAsia="en-AU"/>
        </w:rPr>
        <w:t>69.</w:t>
      </w:r>
      <w:r w:rsidRPr="00E77990">
        <w:rPr>
          <w:lang w:eastAsia="en-AU"/>
        </w:rPr>
        <w:t>9 million ($201</w:t>
      </w:r>
      <w:r>
        <w:rPr>
          <w:lang w:eastAsia="en-AU"/>
        </w:rPr>
        <w:t>5</w:t>
      </w:r>
      <w:r w:rsidRPr="00CE4E8E">
        <w:rPr>
          <w:lang w:eastAsia="en-AU"/>
        </w:rPr>
        <w:t xml:space="preserve">, </w:t>
      </w:r>
      <w:proofErr w:type="spellStart"/>
      <w:r w:rsidRPr="00CE4E8E">
        <w:rPr>
          <w:lang w:eastAsia="en-AU"/>
        </w:rPr>
        <w:t>unescalated</w:t>
      </w:r>
      <w:proofErr w:type="spellEnd"/>
      <w:r w:rsidRPr="00CE4E8E">
        <w:rPr>
          <w:lang w:eastAsia="en-AU"/>
        </w:rPr>
        <w:t xml:space="preserve">, excluding overheads). </w:t>
      </w:r>
      <w:r>
        <w:rPr>
          <w:lang w:eastAsia="en-AU"/>
        </w:rPr>
        <w:t xml:space="preserve">As </w:t>
      </w:r>
      <w:r w:rsidR="00436517">
        <w:rPr>
          <w:lang w:eastAsia="en-AU"/>
        </w:rPr>
        <w:fldChar w:fldCharType="begin"/>
      </w:r>
      <w:r w:rsidR="00436517">
        <w:rPr>
          <w:lang w:eastAsia="en-AU"/>
        </w:rPr>
        <w:instrText xml:space="preserve"> REF _Ref435531850 \h </w:instrText>
      </w:r>
      <w:r w:rsidR="00436517">
        <w:rPr>
          <w:lang w:eastAsia="en-AU"/>
        </w:rPr>
      </w:r>
      <w:r w:rsidR="00436517">
        <w:rPr>
          <w:lang w:eastAsia="en-AU"/>
        </w:rPr>
        <w:fldChar w:fldCharType="separate"/>
      </w:r>
      <w:r w:rsidR="00436517">
        <w:t xml:space="preserve">Table </w:t>
      </w:r>
      <w:r w:rsidR="00436517">
        <w:rPr>
          <w:noProof/>
        </w:rPr>
        <w:t>6</w:t>
      </w:r>
      <w:r w:rsidR="00436517">
        <w:t>.</w:t>
      </w:r>
      <w:r w:rsidR="00436517">
        <w:rPr>
          <w:noProof/>
        </w:rPr>
        <w:t>7</w:t>
      </w:r>
      <w:r w:rsidR="00436517">
        <w:rPr>
          <w:lang w:eastAsia="en-AU"/>
        </w:rPr>
        <w:fldChar w:fldCharType="end"/>
      </w:r>
      <w:r w:rsidR="00436517">
        <w:rPr>
          <w:lang w:eastAsia="en-AU"/>
        </w:rPr>
        <w:t xml:space="preserve"> </w:t>
      </w:r>
      <w:r>
        <w:rPr>
          <w:lang w:eastAsia="en-AU"/>
        </w:rPr>
        <w:t>shows, t</w:t>
      </w:r>
      <w:r w:rsidRPr="00CE4E8E">
        <w:rPr>
          <w:lang w:eastAsia="en-AU"/>
        </w:rPr>
        <w:t xml:space="preserve">his expenditure </w:t>
      </w:r>
      <w:r>
        <w:rPr>
          <w:lang w:eastAsia="en-AU"/>
        </w:rPr>
        <w:t>includes</w:t>
      </w:r>
      <w:r w:rsidRPr="00CE4E8E">
        <w:rPr>
          <w:lang w:eastAsia="en-AU"/>
        </w:rPr>
        <w:t>:</w:t>
      </w:r>
      <w:r>
        <w:rPr>
          <w:rStyle w:val="FootnoteReference"/>
        </w:rPr>
        <w:footnoteReference w:id="70"/>
      </w:r>
    </w:p>
    <w:p w:rsidR="00EE3629" w:rsidRPr="00CE4E8E" w:rsidRDefault="00EE3629" w:rsidP="00EE3629">
      <w:pPr>
        <w:pStyle w:val="AERbulletlistfirststyle"/>
      </w:pPr>
      <w:r w:rsidRPr="00CE4E8E">
        <w:t>Proactive ‘block’ replacement</w:t>
      </w:r>
      <w:r w:rsidRPr="00CE4E8E">
        <w:rPr>
          <w:rStyle w:val="FootnoteReference"/>
        </w:rPr>
        <w:footnoteReference w:id="71"/>
      </w:r>
      <w:r w:rsidRPr="00CE4E8E">
        <w:rPr>
          <w:vertAlign w:val="superscript"/>
        </w:rPr>
        <w:t xml:space="preserve"> </w:t>
      </w:r>
      <w:r w:rsidRPr="00CE4E8E">
        <w:t xml:space="preserve">of aging cast iron and unprotected steel (CI and UPS) </w:t>
      </w:r>
    </w:p>
    <w:p w:rsidR="00EE3629" w:rsidRPr="00CE4E8E" w:rsidRDefault="00EE3629" w:rsidP="00EE3629">
      <w:pPr>
        <w:pStyle w:val="AERbulletlistfirststyle"/>
      </w:pPr>
      <w:r w:rsidRPr="00CE4E8E">
        <w:t>Proactive replacement of high density polyethylene (HDPE) (class 250 and class 575)</w:t>
      </w:r>
    </w:p>
    <w:p w:rsidR="00EE3629" w:rsidRPr="00CE4E8E" w:rsidRDefault="00EE3629" w:rsidP="00EE3629">
      <w:pPr>
        <w:pStyle w:val="AERbulletlistfirststyle"/>
      </w:pPr>
      <w:r w:rsidRPr="00CE4E8E">
        <w:t>Proactive replacement of CI and UPS for services post 2004</w:t>
      </w:r>
      <w:r w:rsidR="00E34C0D">
        <w:t>–</w:t>
      </w:r>
      <w:r w:rsidRPr="00CE4E8E">
        <w:t xml:space="preserve">12 </w:t>
      </w:r>
    </w:p>
    <w:p w:rsidR="00EE3629" w:rsidRPr="00CE4E8E" w:rsidRDefault="00EE3629" w:rsidP="00EE3629">
      <w:pPr>
        <w:pStyle w:val="AERbulletlistfirststyle"/>
      </w:pPr>
      <w:r w:rsidRPr="00CE4E8E">
        <w:t>Proactive replacement of medium pressure (MP) CI and UPS trunk mains</w:t>
      </w:r>
    </w:p>
    <w:p w:rsidR="00EE3629" w:rsidRPr="00CE4E8E" w:rsidRDefault="00EE3629" w:rsidP="00EE3629">
      <w:pPr>
        <w:pStyle w:val="AERbulletlistfirststyle"/>
      </w:pPr>
      <w:r w:rsidRPr="00CE4E8E">
        <w:t xml:space="preserve">Reactive </w:t>
      </w:r>
      <w:r>
        <w:t>piece meal</w:t>
      </w:r>
      <w:r w:rsidRPr="00CE4E8E">
        <w:t xml:space="preserve"> replacement of CI and UPS mains and services.</w:t>
      </w:r>
    </w:p>
    <w:p w:rsidR="00EE3629" w:rsidRDefault="00436517" w:rsidP="00EE3629">
      <w:pPr>
        <w:pStyle w:val="Caption"/>
      </w:pPr>
      <w:bookmarkStart w:id="54" w:name="_Ref435531850"/>
      <w:proofErr w:type="gramStart"/>
      <w:r>
        <w:t xml:space="preserve">Table </w:t>
      </w:r>
      <w:proofErr w:type="gramEnd"/>
      <w:r w:rsidR="00D754F0">
        <w:fldChar w:fldCharType="begin"/>
      </w:r>
      <w:r w:rsidR="00D754F0">
        <w:instrText xml:space="preserve"> STYLEREF 1 \s </w:instrText>
      </w:r>
      <w:r w:rsidR="00D754F0">
        <w:fldChar w:fldCharType="separate"/>
      </w:r>
      <w:r w:rsidR="00D85ABF">
        <w:rPr>
          <w:noProof/>
        </w:rPr>
        <w:t>6</w:t>
      </w:r>
      <w:r w:rsidR="00D754F0">
        <w:rPr>
          <w:noProof/>
        </w:rPr>
        <w:fldChar w:fldCharType="end"/>
      </w:r>
      <w:proofErr w:type="gramStart"/>
      <w:r w:rsidR="00D85ABF">
        <w:t>.</w:t>
      </w:r>
      <w:proofErr w:type="gramEnd"/>
      <w:r w:rsidR="00D754F0">
        <w:fldChar w:fldCharType="begin"/>
      </w:r>
      <w:r w:rsidR="00D754F0">
        <w:instrText xml:space="preserve"> SEQ Table \* ARABIC \s 1 </w:instrText>
      </w:r>
      <w:r w:rsidR="00D754F0">
        <w:fldChar w:fldCharType="separate"/>
      </w:r>
      <w:r w:rsidR="00D85ABF">
        <w:rPr>
          <w:noProof/>
        </w:rPr>
        <w:t>7</w:t>
      </w:r>
      <w:r w:rsidR="00D754F0">
        <w:rPr>
          <w:noProof/>
        </w:rPr>
        <w:fldChar w:fldCharType="end"/>
      </w:r>
      <w:bookmarkEnd w:id="54"/>
      <w:r w:rsidRPr="00436517">
        <w:t xml:space="preserve"> AGN proposed mains replacement programs ($2015, unescalated direct costs, excluding overheads)</w:t>
      </w:r>
    </w:p>
    <w:tbl>
      <w:tblPr>
        <w:tblStyle w:val="AERtable-numbers"/>
        <w:tblW w:w="8693" w:type="dxa"/>
        <w:tblLayout w:type="fixed"/>
        <w:tblLook w:val="04A0" w:firstRow="1" w:lastRow="0" w:firstColumn="1" w:lastColumn="0" w:noHBand="0" w:noVBand="1"/>
      </w:tblPr>
      <w:tblGrid>
        <w:gridCol w:w="1963"/>
        <w:gridCol w:w="961"/>
        <w:gridCol w:w="961"/>
        <w:gridCol w:w="962"/>
        <w:gridCol w:w="961"/>
        <w:gridCol w:w="961"/>
        <w:gridCol w:w="962"/>
        <w:gridCol w:w="962"/>
      </w:tblGrid>
      <w:tr w:rsidR="00EE3629" w:rsidTr="00EE3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rsidR="00EE3629" w:rsidRDefault="00EE3629" w:rsidP="00EE3629">
            <w:pPr>
              <w:keepNext/>
            </w:pPr>
          </w:p>
        </w:tc>
        <w:tc>
          <w:tcPr>
            <w:tcW w:w="961"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rsidRPr="00C309F4">
              <w:t>201</w:t>
            </w:r>
            <w:r>
              <w:t>6</w:t>
            </w:r>
            <w:r w:rsidRPr="00C309F4">
              <w:t>–1</w:t>
            </w:r>
            <w:r>
              <w:t>7</w:t>
            </w:r>
          </w:p>
        </w:tc>
        <w:tc>
          <w:tcPr>
            <w:tcW w:w="961"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rsidRPr="00C309F4">
              <w:t>201</w:t>
            </w:r>
            <w:r>
              <w:t>7</w:t>
            </w:r>
            <w:r w:rsidRPr="00C309F4">
              <w:t>–1</w:t>
            </w:r>
            <w:r>
              <w:t>8</w:t>
            </w:r>
          </w:p>
        </w:tc>
        <w:tc>
          <w:tcPr>
            <w:tcW w:w="962"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rsidRPr="00C309F4">
              <w:t>201</w:t>
            </w:r>
            <w:r>
              <w:t>8</w:t>
            </w:r>
            <w:r w:rsidRPr="00C309F4">
              <w:t>–1</w:t>
            </w:r>
            <w:r>
              <w:t>9</w:t>
            </w:r>
          </w:p>
        </w:tc>
        <w:tc>
          <w:tcPr>
            <w:tcW w:w="961"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rsidRPr="00C309F4">
              <w:t>201</w:t>
            </w:r>
            <w:r>
              <w:t>9</w:t>
            </w:r>
            <w:r w:rsidRPr="00C309F4">
              <w:t>–</w:t>
            </w:r>
            <w:r>
              <w:t>20</w:t>
            </w:r>
          </w:p>
        </w:tc>
        <w:tc>
          <w:tcPr>
            <w:tcW w:w="961"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rsidRPr="00C309F4">
              <w:t>20</w:t>
            </w:r>
            <w:r>
              <w:t>20</w:t>
            </w:r>
            <w:r w:rsidRPr="00C309F4">
              <w:t>–</w:t>
            </w:r>
            <w:r>
              <w:t>2</w:t>
            </w:r>
            <w:r w:rsidRPr="00C309F4">
              <w:t>1</w:t>
            </w:r>
          </w:p>
        </w:tc>
        <w:tc>
          <w:tcPr>
            <w:tcW w:w="962" w:type="dxa"/>
          </w:tcPr>
          <w:p w:rsidR="00EE3629" w:rsidRDefault="00EE3629" w:rsidP="00EE3629">
            <w:pPr>
              <w:keepNext/>
              <w:cnfStyle w:val="100000000000" w:firstRow="1" w:lastRow="0" w:firstColumn="0" w:lastColumn="0" w:oddVBand="0" w:evenVBand="0" w:oddHBand="0" w:evenHBand="0" w:firstRowFirstColumn="0" w:firstRowLastColumn="0" w:lastRowFirstColumn="0" w:lastRowLastColumn="0"/>
            </w:pPr>
            <w:r>
              <w:t>Total km</w:t>
            </w:r>
          </w:p>
        </w:tc>
        <w:tc>
          <w:tcPr>
            <w:tcW w:w="962" w:type="dxa"/>
            <w:vAlign w:val="top"/>
          </w:tcPr>
          <w:p w:rsidR="00EE3629" w:rsidRPr="00C309F4" w:rsidRDefault="00EE3629" w:rsidP="00EE3629">
            <w:pPr>
              <w:keepNext/>
              <w:cnfStyle w:val="100000000000" w:firstRow="1" w:lastRow="0" w:firstColumn="0" w:lastColumn="0" w:oddVBand="0" w:evenVBand="0" w:oddHBand="0" w:evenHBand="0" w:firstRowFirstColumn="0" w:firstRowLastColumn="0" w:lastRowFirstColumn="0" w:lastRowLastColumn="0"/>
            </w:pPr>
            <w:r>
              <w:t>Total</w:t>
            </w:r>
          </w:p>
        </w:tc>
      </w:tr>
      <w:tr w:rsidR="00EE3629" w:rsidTr="00EE3629">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AC4D05" w:rsidRDefault="00EE3629" w:rsidP="00EE3629">
            <w:pPr>
              <w:keepNext/>
            </w:pPr>
            <w:r w:rsidRPr="00AC4D05">
              <w:t>CI/UPS block replacement</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37.7</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38.8</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36.4</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36.0</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31.5</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t>796.5</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180.4</w:t>
            </w:r>
          </w:p>
        </w:tc>
      </w:tr>
      <w:tr w:rsidR="00EE3629" w:rsidTr="00EE3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AC4D05" w:rsidRDefault="00EE3629">
            <w:pPr>
              <w:keepNext/>
            </w:pPr>
            <w:r w:rsidRPr="00AC4D05">
              <w:t xml:space="preserve">Services </w:t>
            </w:r>
            <w:r>
              <w:t>r</w:t>
            </w:r>
            <w:r w:rsidRPr="00AC4D05">
              <w:t>eplacement post 2004</w:t>
            </w:r>
            <w:r w:rsidR="00E34C0D">
              <w:t>–</w:t>
            </w:r>
            <w:r w:rsidRPr="00AC4D05">
              <w:t>12 CI/UPS block replacement</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2.9</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2.9</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2.9</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2.9</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2.9</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t>n/a</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14.4</w:t>
            </w:r>
          </w:p>
        </w:tc>
      </w:tr>
      <w:tr w:rsidR="00EE3629" w:rsidTr="00EE3629">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AC4D05" w:rsidRDefault="00EE3629" w:rsidP="00EE3629">
            <w:pPr>
              <w:keepNext/>
            </w:pPr>
            <w:r w:rsidRPr="00AC4D05">
              <w:t>HDPE mains replacement</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23.2</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23.2</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25.3</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28.1</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28.1</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t>401</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127.9</w:t>
            </w:r>
          </w:p>
        </w:tc>
      </w:tr>
      <w:tr w:rsidR="00EE3629" w:rsidTr="00EE3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AC4D05" w:rsidRDefault="00EE3629" w:rsidP="00EE3629">
            <w:pPr>
              <w:keepNext/>
            </w:pPr>
            <w:r w:rsidRPr="00AC4D05">
              <w:t>MP trunk mains replacement</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10.0</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8.1</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8.1</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8.1</w:t>
            </w:r>
          </w:p>
        </w:tc>
        <w:tc>
          <w:tcPr>
            <w:tcW w:w="961"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8.1</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t>62</w:t>
            </w:r>
          </w:p>
        </w:tc>
        <w:tc>
          <w:tcPr>
            <w:tcW w:w="962" w:type="dxa"/>
            <w:vAlign w:val="top"/>
          </w:tcPr>
          <w:p w:rsidR="00EE3629" w:rsidRPr="00A37B0C" w:rsidRDefault="00EE3629" w:rsidP="00EE3629">
            <w:pPr>
              <w:keepNext/>
              <w:cnfStyle w:val="000000010000" w:firstRow="0" w:lastRow="0" w:firstColumn="0" w:lastColumn="0" w:oddVBand="0" w:evenVBand="0" w:oddHBand="0" w:evenHBand="1" w:firstRowFirstColumn="0" w:firstRowLastColumn="0" w:lastRowFirstColumn="0" w:lastRowLastColumn="0"/>
            </w:pPr>
            <w:r w:rsidRPr="00A37B0C">
              <w:t>42.5</w:t>
            </w:r>
          </w:p>
        </w:tc>
      </w:tr>
      <w:tr w:rsidR="00EE3629" w:rsidTr="00EE3629">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AC4D05" w:rsidRDefault="00EE3629" w:rsidP="00EE3629">
            <w:pPr>
              <w:keepNext/>
            </w:pPr>
            <w:r>
              <w:t>Piece meal</w:t>
            </w:r>
            <w:r w:rsidRPr="00AC4D05">
              <w:t xml:space="preserve"> mains and services replacement</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1.4</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1.1</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0.9</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0.7</w:t>
            </w:r>
          </w:p>
        </w:tc>
        <w:tc>
          <w:tcPr>
            <w:tcW w:w="961"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0.7</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t>13.5</w:t>
            </w:r>
          </w:p>
        </w:tc>
        <w:tc>
          <w:tcPr>
            <w:tcW w:w="962" w:type="dxa"/>
            <w:vAlign w:val="top"/>
          </w:tcPr>
          <w:p w:rsidR="00EE3629" w:rsidRPr="00A37B0C" w:rsidRDefault="00EE3629" w:rsidP="00EE3629">
            <w:pPr>
              <w:keepNext/>
              <w:cnfStyle w:val="000000000000" w:firstRow="0" w:lastRow="0" w:firstColumn="0" w:lastColumn="0" w:oddVBand="0" w:evenVBand="0" w:oddHBand="0" w:evenHBand="0" w:firstRowFirstColumn="0" w:firstRowLastColumn="0" w:lastRowFirstColumn="0" w:lastRowLastColumn="0"/>
            </w:pPr>
            <w:r w:rsidRPr="00A37B0C">
              <w:t>4.8</w:t>
            </w:r>
          </w:p>
        </w:tc>
      </w:tr>
      <w:tr w:rsidR="00EE3629" w:rsidRPr="00E77990" w:rsidTr="00EE3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Align w:val="top"/>
          </w:tcPr>
          <w:p w:rsidR="00EE3629" w:rsidRPr="00CE4E8E" w:rsidRDefault="00EE3629" w:rsidP="00EE3629">
            <w:pPr>
              <w:keepNext/>
              <w:rPr>
                <w:b/>
              </w:rPr>
            </w:pPr>
            <w:r w:rsidRPr="00CE4E8E">
              <w:rPr>
                <w:b/>
              </w:rPr>
              <w:t>Total</w:t>
            </w:r>
          </w:p>
        </w:tc>
        <w:tc>
          <w:tcPr>
            <w:tcW w:w="961"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75.2</w:t>
            </w:r>
          </w:p>
        </w:tc>
        <w:tc>
          <w:tcPr>
            <w:tcW w:w="961"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74.1</w:t>
            </w:r>
          </w:p>
        </w:tc>
        <w:tc>
          <w:tcPr>
            <w:tcW w:w="962"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73.6</w:t>
            </w:r>
          </w:p>
        </w:tc>
        <w:tc>
          <w:tcPr>
            <w:tcW w:w="961"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75.8</w:t>
            </w:r>
          </w:p>
        </w:tc>
        <w:tc>
          <w:tcPr>
            <w:tcW w:w="961"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71.3</w:t>
            </w:r>
          </w:p>
        </w:tc>
        <w:tc>
          <w:tcPr>
            <w:tcW w:w="962" w:type="dxa"/>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E77990">
              <w:rPr>
                <w:b/>
              </w:rPr>
              <w:t>1273km</w:t>
            </w:r>
          </w:p>
        </w:tc>
        <w:tc>
          <w:tcPr>
            <w:tcW w:w="962" w:type="dxa"/>
            <w:vAlign w:val="top"/>
          </w:tcPr>
          <w:p w:rsidR="00EE3629" w:rsidRPr="00CE4E8E" w:rsidRDefault="00EE3629" w:rsidP="00EE3629">
            <w:pPr>
              <w:keepNext/>
              <w:cnfStyle w:val="000000010000" w:firstRow="0" w:lastRow="0" w:firstColumn="0" w:lastColumn="0" w:oddVBand="0" w:evenVBand="0" w:oddHBand="0" w:evenHBand="1" w:firstRowFirstColumn="0" w:firstRowLastColumn="0" w:lastRowFirstColumn="0" w:lastRowLastColumn="0"/>
              <w:rPr>
                <w:b/>
              </w:rPr>
            </w:pPr>
            <w:r w:rsidRPr="00CE4E8E">
              <w:rPr>
                <w:b/>
              </w:rPr>
              <w:t>369.9</w:t>
            </w:r>
          </w:p>
        </w:tc>
      </w:tr>
    </w:tbl>
    <w:p w:rsidR="00EE3629" w:rsidRDefault="00EE3629" w:rsidP="00EE3629">
      <w:pPr>
        <w:pStyle w:val="AERtablesource"/>
        <w:keepNext/>
      </w:pPr>
      <w:r>
        <w:t xml:space="preserve">Source: </w:t>
      </w:r>
      <w:r>
        <w:tab/>
        <w:t xml:space="preserve">AGN, </w:t>
      </w:r>
      <w:r w:rsidRPr="002634AB">
        <w:rPr>
          <w:i/>
        </w:rPr>
        <w:t>Access Arrangement Information, Attachment 8.2, Mains Replacement Plan</w:t>
      </w:r>
      <w:r>
        <w:t xml:space="preserve">, </w:t>
      </w:r>
      <w:r w:rsidRPr="002634AB">
        <w:rPr>
          <w:i/>
        </w:rPr>
        <w:t>2016/17 to 2020/21</w:t>
      </w:r>
      <w:r>
        <w:t xml:space="preserve">, July 2015, </w:t>
      </w:r>
      <w:r w:rsidR="002665C1">
        <w:t>p</w:t>
      </w:r>
      <w:r>
        <w:t>p. 38</w:t>
      </w:r>
      <w:r w:rsidR="00E34C0D">
        <w:t>–</w:t>
      </w:r>
      <w:r>
        <w:t>9</w:t>
      </w:r>
    </w:p>
    <w:p w:rsidR="00EE3629" w:rsidRDefault="00EE3629" w:rsidP="009062F9">
      <w:pPr>
        <w:pStyle w:val="AERtablesource"/>
        <w:keepNext/>
        <w:numPr>
          <w:ilvl w:val="2"/>
          <w:numId w:val="24"/>
        </w:numPr>
        <w:tabs>
          <w:tab w:val="clear" w:pos="720"/>
          <w:tab w:val="clear" w:pos="794"/>
          <w:tab w:val="left" w:pos="851"/>
        </w:tabs>
        <w:ind w:left="798" w:hanging="441"/>
      </w:pPr>
      <w:r>
        <w:t>This block replacement relates to service replacements in multi</w:t>
      </w:r>
      <w:r w:rsidR="00E34C0D">
        <w:t>–</w:t>
      </w:r>
      <w:r>
        <w:t>user sites not undertaken in 2004</w:t>
      </w:r>
      <w:r w:rsidR="00E34C0D">
        <w:t>–</w:t>
      </w:r>
      <w:r>
        <w:t xml:space="preserve">12. These were deferred because of their complexity, and time required </w:t>
      </w:r>
      <w:proofErr w:type="gramStart"/>
      <w:r>
        <w:t>to replace</w:t>
      </w:r>
      <w:proofErr w:type="gramEnd"/>
      <w:r>
        <w:t xml:space="preserve"> them such that these sites could be replaced as a contract package on a stand</w:t>
      </w:r>
      <w:r w:rsidR="00E34C0D">
        <w:t>–</w:t>
      </w:r>
      <w:r>
        <w:t>alone basis (AGN, Access Arrangement Information, Attachment 8.2, Mains Replacement Plan</w:t>
      </w:r>
      <w:r w:rsidRPr="002634AB">
        <w:rPr>
          <w:i/>
        </w:rPr>
        <w:t>, 2016/17 to 2020/21</w:t>
      </w:r>
      <w:r>
        <w:t>, July 2015, p. 18).</w:t>
      </w:r>
    </w:p>
    <w:p w:rsidR="00EE3629" w:rsidRDefault="00EE3629" w:rsidP="00EE3629">
      <w:r>
        <w:t>The proposed capex amount of $369.9 million involves replacing 1273 km of mains.</w:t>
      </w:r>
      <w:r w:rsidRPr="005F039B">
        <w:t xml:space="preserve"> </w:t>
      </w:r>
      <w:r>
        <w:t>The proposed kilometres of mains to be replaced compared to the current and previous periods are set out in Figure 6.3.</w:t>
      </w:r>
    </w:p>
    <w:p w:rsidR="00EE3629" w:rsidRDefault="00EE3629" w:rsidP="00EE3629">
      <w:r>
        <w:t>Over the 2016–21 access arrangement period, AGN proposed to replace the remaining 862 km</w:t>
      </w:r>
      <w:r>
        <w:rPr>
          <w:rStyle w:val="FootnoteReference"/>
        </w:rPr>
        <w:footnoteReference w:id="72"/>
      </w:r>
      <w:r>
        <w:t xml:space="preserve"> of CI and UPS mains in the network, and to commence a new HDPE program replacing 411 km of mains.</w:t>
      </w:r>
      <w:r>
        <w:rPr>
          <w:rStyle w:val="FootnoteReference"/>
        </w:rPr>
        <w:footnoteReference w:id="73"/>
      </w:r>
      <w:r>
        <w:t xml:space="preserve"> The proposed kilometres of mains replacement is about 8 per cent higher than the 1,172 km of mains that AGN expected to replace in the 2010–15 access arrangement period.</w:t>
      </w:r>
      <w:r w:rsidRPr="002173E4">
        <w:t xml:space="preserve"> </w:t>
      </w:r>
      <w:r>
        <w:t xml:space="preserve">While most of the replacement relates to CI and UPS mains, approximately 100 km of HDPE mains was also replaced in the latter half of the 2010–15 access arrangement period. This is illustrated in </w:t>
      </w:r>
      <w:r w:rsidR="00436517">
        <w:fldChar w:fldCharType="begin"/>
      </w:r>
      <w:r w:rsidR="00436517">
        <w:instrText xml:space="preserve"> REF _Ref435531934 \h </w:instrText>
      </w:r>
      <w:r w:rsidR="00436517">
        <w:fldChar w:fldCharType="separate"/>
      </w:r>
      <w:r w:rsidR="00436517">
        <w:t xml:space="preserve">Figure </w:t>
      </w:r>
      <w:r w:rsidR="00436517">
        <w:rPr>
          <w:noProof/>
        </w:rPr>
        <w:t>6</w:t>
      </w:r>
      <w:r w:rsidR="00436517">
        <w:t>.</w:t>
      </w:r>
      <w:r w:rsidR="00436517">
        <w:rPr>
          <w:noProof/>
        </w:rPr>
        <w:t>3</w:t>
      </w:r>
      <w:r w:rsidR="00436517">
        <w:fldChar w:fldCharType="end"/>
      </w:r>
      <w:r>
        <w:t>.</w:t>
      </w:r>
    </w:p>
    <w:p w:rsidR="00436517" w:rsidRDefault="00436517">
      <w:pPr>
        <w:pStyle w:val="Caption"/>
      </w:pPr>
      <w:bookmarkStart w:id="55" w:name="_Ref435531934"/>
      <w:r>
        <w:t xml:space="preserve">Figure </w:t>
      </w:r>
      <w:fldSimple w:instr=" STYLEREF 1 \s ">
        <w:r>
          <w:rPr>
            <w:noProof/>
          </w:rPr>
          <w:t>6</w:t>
        </w:r>
      </w:fldSimple>
      <w:r>
        <w:t>.</w:t>
      </w:r>
      <w:fldSimple w:instr=" SEQ Figure \* ARABIC \s 1 ">
        <w:r>
          <w:rPr>
            <w:noProof/>
          </w:rPr>
          <w:t>3</w:t>
        </w:r>
      </w:fldSimple>
      <w:bookmarkEnd w:id="55"/>
      <w:r w:rsidRPr="00436517">
        <w:t xml:space="preserve"> AGN proposed CI/UPS and HDPE mains replacement volumes</w:t>
      </w:r>
    </w:p>
    <w:p w:rsidR="00EE3629" w:rsidRDefault="00EE3629" w:rsidP="00EE3629">
      <w:pPr>
        <w:keepNext/>
      </w:pPr>
      <w:r w:rsidRPr="00D74527">
        <w:rPr>
          <w:noProof/>
          <w:lang w:eastAsia="en-AU"/>
        </w:rPr>
        <w:drawing>
          <wp:inline distT="0" distB="0" distL="0" distR="0" wp14:anchorId="0078AC6D" wp14:editId="307B8EE4">
            <wp:extent cx="5731510" cy="341563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415637"/>
                    </a:xfrm>
                    <a:prstGeom prst="rect">
                      <a:avLst/>
                    </a:prstGeom>
                  </pic:spPr>
                </pic:pic>
              </a:graphicData>
            </a:graphic>
          </wp:inline>
        </w:drawing>
      </w:r>
    </w:p>
    <w:p w:rsidR="00EE3629" w:rsidRDefault="00EE3629" w:rsidP="009062F9">
      <w:pPr>
        <w:pStyle w:val="AERtablesource"/>
      </w:pPr>
      <w:r>
        <w:t>Source:</w:t>
      </w:r>
      <w:r>
        <w:tab/>
        <w:t xml:space="preserve">AGN, </w:t>
      </w:r>
      <w:r w:rsidRPr="00721CBF">
        <w:rPr>
          <w:rStyle w:val="AERtextitalic"/>
        </w:rPr>
        <w:t>SA Access Arrangement Information</w:t>
      </w:r>
      <w:r>
        <w:t>, July 2015, p.</w:t>
      </w:r>
      <w:r w:rsidR="00D019F4">
        <w:t xml:space="preserve"> </w:t>
      </w:r>
      <w:r>
        <w:t>134.</w:t>
      </w:r>
    </w:p>
    <w:p w:rsidR="00EE3629" w:rsidRDefault="00EE3629" w:rsidP="00EE3629">
      <w:r>
        <w:t>AGN’s proposed replacement of remaining CI and UPS mains continues its replacement program from the last two access arrangement periods.</w:t>
      </w:r>
      <w:r w:rsidRPr="003E695A">
        <w:t xml:space="preserve"> </w:t>
      </w:r>
      <w:r>
        <w:t>AGN has indicated that it is committed to replacing</w:t>
      </w:r>
      <w:r w:rsidRPr="006C5B3F">
        <w:t xml:space="preserve"> </w:t>
      </w:r>
      <w:r>
        <w:t>all CI and UPS mains by 2020/21, and that its proposed volume (kilometres) reflects this target.</w:t>
      </w:r>
    </w:p>
    <w:p w:rsidR="00EE3629" w:rsidRDefault="00EE3629" w:rsidP="00EE3629">
      <w:r>
        <w:t>The HDPE mains replacement is a new program that we have not considered in previous access arrangement reviews. HDPE was used for gas reticulation within South Australia (and elsewhere in Australia and around the world) between the early 1970s until the late 1990s. During that time, the type of HDPE was known as class 250 and class 575. A newer generation of medium density polyethylene (MDPE) was used from the late 1990s and is still in use. MDPE improved pipe properties when compared to the earlier high density materials, and were used in pipes due to its improved flexibility, ductility, slow crack growth resistance and crack propagation resistance.</w:t>
      </w:r>
      <w:r>
        <w:rPr>
          <w:rStyle w:val="FootnoteReference"/>
        </w:rPr>
        <w:footnoteReference w:id="74"/>
      </w:r>
    </w:p>
    <w:p w:rsidR="00EE3629" w:rsidRDefault="00EE3629" w:rsidP="00EE3629">
      <w:pPr>
        <w:pStyle w:val="AERbulletlistfirststyle"/>
        <w:numPr>
          <w:ilvl w:val="0"/>
          <w:numId w:val="0"/>
        </w:numPr>
      </w:pPr>
      <w:r>
        <w:t xml:space="preserve">AGN submitted that there was concern around the integrity of the HDPE mains, with increasing evidence that these mains are susceptible to sudden brittle crack failures under certain conditions. </w:t>
      </w:r>
    </w:p>
    <w:p w:rsidR="00EE3629" w:rsidRDefault="00EE3629" w:rsidP="00EE3629">
      <w:r>
        <w:t>AGN submitted that the older HDPE mains (class 250), installed from the early 1970s, have become brittle to the extent that fractures occur in service or when undertaking repairs. Class 575 was installed from the early 1980s and is also becoming brittle over time, But, AGN submitted that its younger age means that the concern with class 575 is more related to the combination of brittleness and any defects that may have affected the pipe during the installation of service.</w:t>
      </w:r>
      <w:r>
        <w:rPr>
          <w:rStyle w:val="FootnoteReference"/>
        </w:rPr>
        <w:footnoteReference w:id="75"/>
      </w:r>
    </w:p>
    <w:p w:rsidR="00EE3629" w:rsidRDefault="00EE3629" w:rsidP="00EE3629">
      <w:pPr>
        <w:pStyle w:val="AERbulletlistfirststyle"/>
        <w:numPr>
          <w:ilvl w:val="0"/>
          <w:numId w:val="0"/>
        </w:numPr>
      </w:pPr>
      <w:r>
        <w:t xml:space="preserve">From its analysis, AGN has concluded that all class 250 HDPE mains should be replaced by 2020/21, while </w:t>
      </w:r>
      <w:r w:rsidR="00E345C4">
        <w:t xml:space="preserve">some </w:t>
      </w:r>
      <w:r>
        <w:t>class 575 mains should be replaced</w:t>
      </w:r>
      <w:r w:rsidR="00E345C4">
        <w:t>.</w:t>
      </w:r>
      <w:r>
        <w:rPr>
          <w:rStyle w:val="FootnoteReference"/>
        </w:rPr>
        <w:footnoteReference w:id="76"/>
      </w:r>
    </w:p>
    <w:p w:rsidR="00EE3629" w:rsidRDefault="00EE3629" w:rsidP="00EE3629">
      <w:pPr>
        <w:pStyle w:val="HeadingBoldItalic"/>
      </w:pPr>
      <w:r>
        <w:t>Our assessment</w:t>
      </w:r>
    </w:p>
    <w:p w:rsidR="00EE3629" w:rsidRPr="00CE4E8E" w:rsidRDefault="00EE3629" w:rsidP="00EE3629">
      <w:pPr>
        <w:pStyle w:val="AERbulletlistfirststyle"/>
        <w:numPr>
          <w:ilvl w:val="0"/>
          <w:numId w:val="0"/>
        </w:numPr>
      </w:pPr>
      <w:r w:rsidRPr="00CE4E8E">
        <w:t xml:space="preserve">In support of </w:t>
      </w:r>
      <w:r>
        <w:t>its</w:t>
      </w:r>
      <w:r w:rsidRPr="00CE4E8E">
        <w:t xml:space="preserve"> proposed mains replacement program, AGN provided:</w:t>
      </w:r>
    </w:p>
    <w:p w:rsidR="00EE3629" w:rsidRPr="00CE4E8E" w:rsidRDefault="00EE3629" w:rsidP="00EE3629">
      <w:pPr>
        <w:pStyle w:val="AERbulletlistfirststyle"/>
      </w:pPr>
      <w:r w:rsidRPr="00CE4E8E">
        <w:t>a Mains Replacement Plan;</w:t>
      </w:r>
    </w:p>
    <w:p w:rsidR="00EE3629" w:rsidRPr="00CE4E8E" w:rsidRDefault="00EE3629" w:rsidP="00EE3629">
      <w:pPr>
        <w:pStyle w:val="AERbulletlistfirststyle"/>
      </w:pPr>
      <w:r w:rsidRPr="00CE4E8E">
        <w:t>an Asset Management Plan;</w:t>
      </w:r>
    </w:p>
    <w:p w:rsidR="00EE3629" w:rsidRPr="00CE4E8E" w:rsidRDefault="00EE3629" w:rsidP="00EE3629">
      <w:pPr>
        <w:pStyle w:val="AERbulletlistfirststyle"/>
      </w:pPr>
      <w:r w:rsidRPr="00CE4E8E">
        <w:t xml:space="preserve">a business case ‘SA 54 Risk Management of HDPE’; </w:t>
      </w:r>
    </w:p>
    <w:p w:rsidR="00EE3629" w:rsidRDefault="00EE3629" w:rsidP="00EE3629">
      <w:pPr>
        <w:pStyle w:val="AERbulletlistfirststyle"/>
      </w:pPr>
      <w:r w:rsidRPr="00A32B43">
        <w:t>a HDPE risk mode</w:t>
      </w:r>
      <w:r>
        <w:t>l; and</w:t>
      </w:r>
    </w:p>
    <w:p w:rsidR="00EE3629" w:rsidRDefault="00EE3629" w:rsidP="00EE3629">
      <w:pPr>
        <w:pStyle w:val="AERbulletlistfirststyle"/>
      </w:pPr>
      <w:r>
        <w:t xml:space="preserve">in response to information requests, historical leakage data, and data on its installed mains and data relating to any costs that have been realised due to mains failure. </w:t>
      </w:r>
    </w:p>
    <w:p w:rsidR="00EE3629" w:rsidRDefault="00EE3629" w:rsidP="00EE3629">
      <w:pPr>
        <w:pStyle w:val="AERbulletlistfirststyle"/>
        <w:numPr>
          <w:ilvl w:val="0"/>
          <w:numId w:val="0"/>
        </w:numPr>
      </w:pPr>
      <w:r>
        <w:t>Our assessment of this material is provided below.</w:t>
      </w:r>
    </w:p>
    <w:p w:rsidR="00EE3629" w:rsidRDefault="00EE3629" w:rsidP="00EE3629">
      <w:pPr>
        <w:rPr>
          <w:rFonts w:ascii="Times New Roman" w:eastAsia="Times New Roman" w:hAnsi="Times New Roman" w:cs="Times New Roman"/>
          <w:b/>
          <w:sz w:val="24"/>
          <w:szCs w:val="24"/>
        </w:rPr>
      </w:pPr>
      <w:r w:rsidRPr="00CE4E8E">
        <w:rPr>
          <w:b/>
        </w:rPr>
        <w:t xml:space="preserve">Historical trend of leakage from main pipes </w:t>
      </w:r>
    </w:p>
    <w:p w:rsidR="00EE3629" w:rsidRDefault="00EE3629" w:rsidP="00EE3629">
      <w:r>
        <w:t>Leakage surveys are the key proactive maintenance strategy to manage leakage and determine the condition and reliability of the gas distribution network. ‘High consequence’ locations are surveyed more frequently. APA Group, which manages the network for AGN, reports the results of the leakage survey to the Office of the Technical Regulator (OTR) annually as part of its Key Performance Indicators (KPIs).</w:t>
      </w:r>
      <w:r>
        <w:rPr>
          <w:rStyle w:val="FootnoteReference"/>
        </w:rPr>
        <w:footnoteReference w:id="77"/>
      </w:r>
      <w:r>
        <w:t xml:space="preserve"> </w:t>
      </w:r>
    </w:p>
    <w:p w:rsidR="00EE3629" w:rsidRPr="00CE4E8E" w:rsidRDefault="00EE3629" w:rsidP="00EE3629">
      <w:pPr>
        <w:pStyle w:val="AERbulletlistsecondstyle"/>
        <w:numPr>
          <w:ilvl w:val="0"/>
          <w:numId w:val="0"/>
        </w:numPr>
      </w:pPr>
      <w:r>
        <w:t xml:space="preserve">The leakage historical </w:t>
      </w:r>
      <w:r w:rsidRPr="00CE4E8E">
        <w:t>data</w:t>
      </w:r>
      <w:r w:rsidRPr="00626A97">
        <w:rPr>
          <w:vertAlign w:val="superscript"/>
        </w:rPr>
        <w:footnoteReference w:id="78"/>
      </w:r>
      <w:r w:rsidRPr="00CE4E8E">
        <w:t xml:space="preserve"> </w:t>
      </w:r>
      <w:r w:rsidRPr="008321AB">
        <w:t>provided by AGN</w:t>
      </w:r>
      <w:r w:rsidRPr="00A32B43">
        <w:t xml:space="preserve"> </w:t>
      </w:r>
      <w:r>
        <w:t xml:space="preserve">indicates </w:t>
      </w:r>
      <w:r w:rsidR="00E345C4">
        <w:t>that o</w:t>
      </w:r>
      <w:r w:rsidRPr="00CE4E8E">
        <w:t>ver 2005 to 2007</w:t>
      </w:r>
      <w:r>
        <w:t xml:space="preserve"> </w:t>
      </w:r>
      <w:r w:rsidRPr="00CE4E8E">
        <w:t>there was an increase in leakage ra</w:t>
      </w:r>
      <w:r>
        <w:t xml:space="preserve">tes, which may have been due an accelerated decline in </w:t>
      </w:r>
      <w:r w:rsidR="00E345C4">
        <w:t xml:space="preserve">main </w:t>
      </w:r>
      <w:r>
        <w:t>pipes. This may be a reason for AGN’s major CI and UPS mains replacement in the 2010–15 access arrangement period.</w:t>
      </w:r>
      <w:r>
        <w:rPr>
          <w:rStyle w:val="FootnoteReference"/>
        </w:rPr>
        <w:footnoteReference w:id="79"/>
      </w:r>
      <w:r>
        <w:t xml:space="preserve"> There is also </w:t>
      </w:r>
      <w:r w:rsidRPr="00CE4E8E">
        <w:t>a significant ongoing decline in t</w:t>
      </w:r>
      <w:r w:rsidRPr="00A32B43">
        <w:t>he annual leakage rate from 200</w:t>
      </w:r>
      <w:r>
        <w:t>9</w:t>
      </w:r>
      <w:r w:rsidRPr="00CE4E8E">
        <w:t xml:space="preserve"> to 2014</w:t>
      </w:r>
      <w:r>
        <w:t xml:space="preserve">, </w:t>
      </w:r>
      <w:r w:rsidRPr="00CE4E8E">
        <w:t>especially since 2010. Across this same period the leakages per kilometre of pipe have been declining at a rate of about 200 l</w:t>
      </w:r>
      <w:r w:rsidRPr="00AC1CCD">
        <w:t>eaks per year</w:t>
      </w:r>
      <w:r>
        <w:t xml:space="preserve">. </w:t>
      </w:r>
      <w:r w:rsidRPr="00CE4E8E">
        <w:t>Part of this decline may be attributed to AGN’s increased frequency of leakage surveys (resulting in increased leak identification and repair)</w:t>
      </w:r>
      <w:r>
        <w:t>,</w:t>
      </w:r>
      <w:r w:rsidRPr="00CE4E8E">
        <w:t xml:space="preserve"> and to the CI and UPS mains replacement</w:t>
      </w:r>
      <w:r>
        <w:t xml:space="preserve"> undertaken in the 2010–15 access arrangement period</w:t>
      </w:r>
      <w:r w:rsidRPr="00CE4E8E">
        <w:t>.</w:t>
      </w:r>
    </w:p>
    <w:p w:rsidR="00EE3629" w:rsidRPr="00CE4E8E" w:rsidRDefault="00EE3629" w:rsidP="00EE3629">
      <w:r w:rsidRPr="00CE4E8E">
        <w:t xml:space="preserve">AGN also provided information </w:t>
      </w:r>
      <w:r>
        <w:t>that</w:t>
      </w:r>
      <w:r w:rsidRPr="00CE4E8E">
        <w:t xml:space="preserve"> </w:t>
      </w:r>
      <w:r>
        <w:t xml:space="preserve">it submits </w:t>
      </w:r>
      <w:r w:rsidRPr="00CE4E8E">
        <w:t>show</w:t>
      </w:r>
      <w:r>
        <w:t>s</w:t>
      </w:r>
      <w:r w:rsidRPr="00CE4E8E">
        <w:t xml:space="preserve"> the leakage rate of HDPE pipes is likely to increase</w:t>
      </w:r>
      <w:r>
        <w:t>. This may be</w:t>
      </w:r>
      <w:r w:rsidRPr="00CE4E8E">
        <w:t xml:space="preserve"> due to brittle cracking at stress points such as where the pipe has been squeezed</w:t>
      </w:r>
      <w:r w:rsidR="00E34C0D">
        <w:t>–</w:t>
      </w:r>
      <w:r w:rsidRPr="00CE4E8E">
        <w:t xml:space="preserve">off during laying and </w:t>
      </w:r>
      <w:r>
        <w:t>has been subject to</w:t>
      </w:r>
      <w:r w:rsidRPr="00CE4E8E">
        <w:t xml:space="preserve"> subsequent repair works. </w:t>
      </w:r>
      <w:r>
        <w:t>AGN submits that there is</w:t>
      </w:r>
      <w:r w:rsidRPr="00CE4E8E">
        <w:t xml:space="preserve"> independent evidence of similar brittle cracking failures occurring in other </w:t>
      </w:r>
      <w:r>
        <w:t xml:space="preserve">overseas </w:t>
      </w:r>
      <w:r w:rsidRPr="00CE4E8E">
        <w:t>networks.</w:t>
      </w:r>
      <w:r>
        <w:rPr>
          <w:rStyle w:val="FootnoteReference"/>
        </w:rPr>
        <w:footnoteReference w:id="80"/>
      </w:r>
    </w:p>
    <w:p w:rsidR="00EE3629" w:rsidRPr="00CE4E8E" w:rsidRDefault="00EE3629" w:rsidP="00EE3629">
      <w:r w:rsidRPr="00CE4E8E">
        <w:t xml:space="preserve">In support of its </w:t>
      </w:r>
      <w:r>
        <w:t>submission that</w:t>
      </w:r>
      <w:r w:rsidRPr="00CE4E8E">
        <w:t xml:space="preserve"> HDPE leakage events are likely to increase over the next 5 to 10 years</w:t>
      </w:r>
      <w:r>
        <w:t>,</w:t>
      </w:r>
      <w:r w:rsidRPr="00CE4E8E">
        <w:t xml:space="preserve"> AGN </w:t>
      </w:r>
      <w:r>
        <w:t xml:space="preserve">also </w:t>
      </w:r>
      <w:r w:rsidRPr="00CE4E8E">
        <w:t>provided information in its M</w:t>
      </w:r>
      <w:r>
        <w:t xml:space="preserve">ains </w:t>
      </w:r>
      <w:r w:rsidRPr="00CE4E8E">
        <w:t>R</w:t>
      </w:r>
      <w:r>
        <w:t xml:space="preserve">eplacement </w:t>
      </w:r>
      <w:r w:rsidRPr="00CE4E8E">
        <w:t>P</w:t>
      </w:r>
      <w:r>
        <w:t>lan,</w:t>
      </w:r>
      <w:r w:rsidRPr="00CE4E8E">
        <w:t xml:space="preserve"> including graphs that indicate the expected impact on HDPE pipe failure.</w:t>
      </w:r>
      <w:r w:rsidRPr="00CE4E8E">
        <w:rPr>
          <w:vertAlign w:val="superscript"/>
        </w:rPr>
        <w:footnoteReference w:id="81"/>
      </w:r>
      <w:r w:rsidRPr="00CE4E8E">
        <w:t xml:space="preserve"> </w:t>
      </w:r>
      <w:r>
        <w:t xml:space="preserve">We recognise the issue of </w:t>
      </w:r>
      <w:r w:rsidRPr="00CE4E8E">
        <w:t>cracking at stress points in certain types of HDPE</w:t>
      </w:r>
      <w:r>
        <w:t>. However</w:t>
      </w:r>
      <w:r w:rsidRPr="00CE4E8E">
        <w:t xml:space="preserve">, the information provided by AGN does not </w:t>
      </w:r>
      <w:r>
        <w:t>establish</w:t>
      </w:r>
      <w:r w:rsidRPr="00CE4E8E">
        <w:t xml:space="preserve"> the actual impact on </w:t>
      </w:r>
      <w:r>
        <w:t>its</w:t>
      </w:r>
      <w:r w:rsidRPr="00CE4E8E">
        <w:t xml:space="preserve"> network</w:t>
      </w:r>
      <w:r>
        <w:t xml:space="preserve"> or </w:t>
      </w:r>
      <w:r w:rsidRPr="00CE4E8E">
        <w:t xml:space="preserve">the extent </w:t>
      </w:r>
      <w:r>
        <w:t>to which its HDPE mains</w:t>
      </w:r>
      <w:r w:rsidRPr="00CE4E8E">
        <w:t xml:space="preserve"> pipe would be subject to failure.</w:t>
      </w:r>
      <w:r w:rsidRPr="008561A5">
        <w:rPr>
          <w:rStyle w:val="FootnoteReference"/>
        </w:rPr>
        <w:t xml:space="preserve"> </w:t>
      </w:r>
      <w:r>
        <w:rPr>
          <w:rStyle w:val="FootnoteReference"/>
        </w:rPr>
        <w:footnoteReference w:id="82"/>
      </w:r>
      <w:r w:rsidRPr="00CE4E8E">
        <w:t xml:space="preserve"> </w:t>
      </w:r>
      <w:r>
        <w:t>T</w:t>
      </w:r>
      <w:r w:rsidRPr="00CE4E8E">
        <w:t>he</w:t>
      </w:r>
      <w:r>
        <w:t xml:space="preserve"> series of</w:t>
      </w:r>
      <w:r w:rsidRPr="00CE4E8E">
        <w:t xml:space="preserve"> </w:t>
      </w:r>
      <w:r>
        <w:t>graphs</w:t>
      </w:r>
      <w:r w:rsidRPr="00CE4E8E">
        <w:t xml:space="preserve"> provided by AGN</w:t>
      </w:r>
      <w:r>
        <w:t xml:space="preserve"> have no scale information. They appear to be indicative rather than representing a known numerical relationship. Consequently, the graphs provided by AGN have not satisfied us of the veracity of its submissions.</w:t>
      </w:r>
    </w:p>
    <w:p w:rsidR="00EE3629" w:rsidRDefault="00EE3629" w:rsidP="00EE3629">
      <w:r w:rsidRPr="00CE4E8E">
        <w:t xml:space="preserve">In summary, we acknowledge that leaks in AGN’s mains pipes </w:t>
      </w:r>
      <w:r>
        <w:t xml:space="preserve">may </w:t>
      </w:r>
      <w:r w:rsidRPr="00CE4E8E">
        <w:t>n</w:t>
      </w:r>
      <w:r>
        <w:t>eed to be addressed for CI, UPS</w:t>
      </w:r>
      <w:r w:rsidRPr="00CE4E8E">
        <w:t xml:space="preserve"> and HDPE</w:t>
      </w:r>
      <w:r>
        <w:t xml:space="preserve"> main pipes</w:t>
      </w:r>
      <w:r w:rsidRPr="00CE4E8E">
        <w:t xml:space="preserve">. </w:t>
      </w:r>
      <w:r>
        <w:t>We have examined the information before us to assess whether the rate of replacement</w:t>
      </w:r>
      <w:r w:rsidRPr="00CE4E8E">
        <w:t xml:space="preserve"> </w:t>
      </w:r>
      <w:r>
        <w:t xml:space="preserve">during the 2016–21 access arrangement period </w:t>
      </w:r>
      <w:r w:rsidRPr="00CE4E8E">
        <w:t xml:space="preserve">is </w:t>
      </w:r>
      <w:r>
        <w:t>conforming capex that complies with rule 79</w:t>
      </w:r>
      <w:r w:rsidRPr="00CE4E8E">
        <w:t>.</w:t>
      </w:r>
    </w:p>
    <w:p w:rsidR="00EE3629" w:rsidRPr="00CE4E8E" w:rsidRDefault="00EE3629" w:rsidP="00EE3629">
      <w:pPr>
        <w:rPr>
          <w:b/>
        </w:rPr>
      </w:pPr>
      <w:r w:rsidRPr="00CE4E8E">
        <w:rPr>
          <w:b/>
        </w:rPr>
        <w:t>Assessment of the prudency and efficiency of the investment</w:t>
      </w:r>
    </w:p>
    <w:p w:rsidR="00EE3629" w:rsidRDefault="00EE3629" w:rsidP="00EE3629">
      <w:r>
        <w:t>As we noted above, AGN’s proposal is based on its target to replace all CI and UPS mains by 2020/21. This is different to the situation relating to other recent AER decisions on mains replacement. For example, CI and UPS mains replacement in our 2012 Victorian Gas Reviews were associated with discharging regulatory obligations imposed by the Energy Safe Victoria. However, there is no legislative or regulatory obligation on AGN to replace these mains by 2020/21. At the same time, we note that AGN also submitted that its mains replacement program is on track to reduce public risk (leaks) and unaccounted for gas (UAFG) and improve system capacity. In particular, AGN submitted:</w:t>
      </w:r>
      <w:r>
        <w:rPr>
          <w:rStyle w:val="FootnoteReference"/>
        </w:rPr>
        <w:footnoteReference w:id="83"/>
      </w:r>
    </w:p>
    <w:p w:rsidR="00EE3629" w:rsidRDefault="00EE3629" w:rsidP="00EE3629">
      <w:pPr>
        <w:pStyle w:val="AERbulletlistfirststyle"/>
      </w:pPr>
      <w:r>
        <w:t xml:space="preserve">while the current CI and UPS program has been effective to date, the leak rate per kilometre of mains is about three times that of the remaining </w:t>
      </w:r>
      <w:r w:rsidRPr="009F5FCE">
        <w:t xml:space="preserve">polyethylene </w:t>
      </w:r>
      <w:r>
        <w:t>network. Therefore, AGN submits that continuing the replacement program to reduce the leak rate to that of the remaining network is prudent</w:t>
      </w:r>
    </w:p>
    <w:p w:rsidR="00EE3629" w:rsidRDefault="00EE3629" w:rsidP="00EE3629">
      <w:pPr>
        <w:pStyle w:val="AERbulletlistfirststyle"/>
      </w:pPr>
      <w:r>
        <w:t>while there has been a significant reduction in UAFG, completion of the CI and UPS replacement program is expected to reduce UAFG levels even further</w:t>
      </w:r>
    </w:p>
    <w:p w:rsidR="00EE3629" w:rsidRPr="009F5FCE" w:rsidRDefault="00EE3629" w:rsidP="00EE3629">
      <w:pPr>
        <w:pStyle w:val="AERbulletlistfirststyle"/>
      </w:pPr>
      <w:r>
        <w:t>the CI and UPS are considered at the end of their useful lives with escalating leaks and UAFG if the program is curtailed.</w:t>
      </w:r>
    </w:p>
    <w:p w:rsidR="00EE3629" w:rsidRDefault="00EE3629" w:rsidP="00EE3629">
      <w:r>
        <w:t>We recognise the benefits of the mains replacement program in the 2010–15 access arrangement period. However, AGN did not provide a risk based assessment of its proposed replacement of the remaining CI and UPS during the 2016–21 access arrangement period. A rigorous risk assessment is necessary to determining whether the level of expenditure associated with its mains replacement program is prudent and efficient and, in turn, satisfying us that it is conforming capex that complies with rule 79.</w:t>
      </w:r>
    </w:p>
    <w:p w:rsidR="00EE3629" w:rsidRPr="00CE4E8E" w:rsidRDefault="00EE3629" w:rsidP="00EE3629">
      <w:pPr>
        <w:pStyle w:val="AERbulletlistfirststyle"/>
        <w:numPr>
          <w:ilvl w:val="0"/>
          <w:numId w:val="0"/>
        </w:numPr>
      </w:pPr>
      <w:r>
        <w:t>The CI and UPS mains replacement program in the 2010–15 access arrangement period</w:t>
      </w:r>
      <w:r w:rsidDel="00324984">
        <w:t xml:space="preserve"> </w:t>
      </w:r>
      <w:r>
        <w:t xml:space="preserve">was justified on evidence supporting an accelerated decay in these pipes. However, that evidence does not indicate whether </w:t>
      </w:r>
      <w:r w:rsidRPr="002267FB">
        <w:t>it is prudent and efficient to replace the remaining 862 km of CI and UPS main pipes by 2020/21</w:t>
      </w:r>
      <w:r>
        <w:t>. In particular, we note APA Group’s comments that ‘this plan [its Mains Replacement Program] prioritises replacement of mains that are assessed as posing the highest risk’.</w:t>
      </w:r>
      <w:r w:rsidRPr="007E47A1">
        <w:rPr>
          <w:rStyle w:val="FootnoteReference"/>
        </w:rPr>
        <w:t xml:space="preserve"> </w:t>
      </w:r>
      <w:r>
        <w:rPr>
          <w:rStyle w:val="FootnoteReference"/>
        </w:rPr>
        <w:footnoteReference w:id="84"/>
      </w:r>
      <w:r>
        <w:t xml:space="preserve"> As </w:t>
      </w:r>
      <w:r w:rsidRPr="00035C77">
        <w:t>CI and UPS ha</w:t>
      </w:r>
      <w:r>
        <w:t>ve</w:t>
      </w:r>
      <w:r w:rsidRPr="00035C77">
        <w:t xml:space="preserve"> been replaced based on risk, the </w:t>
      </w:r>
      <w:r>
        <w:t xml:space="preserve">highest risks pipes should have already been replaced. In turn, the </w:t>
      </w:r>
      <w:r w:rsidRPr="00035C77">
        <w:t xml:space="preserve">remaining CI and UPS </w:t>
      </w:r>
      <w:r>
        <w:t xml:space="preserve">should </w:t>
      </w:r>
      <w:r w:rsidRPr="00035C77">
        <w:t xml:space="preserve">be of </w:t>
      </w:r>
      <w:r>
        <w:t xml:space="preserve">relatively </w:t>
      </w:r>
      <w:r w:rsidRPr="00035C77">
        <w:t xml:space="preserve">lower risk and </w:t>
      </w:r>
      <w:r>
        <w:t xml:space="preserve">the efficient and prudent </w:t>
      </w:r>
      <w:r w:rsidRPr="00035C77">
        <w:t>rate of replacement should decline.</w:t>
      </w:r>
      <w:r>
        <w:t xml:space="preserve"> Business SA and the CCP made similar observations in their submissions.</w:t>
      </w:r>
      <w:r>
        <w:rPr>
          <w:rStyle w:val="FootnoteReference"/>
        </w:rPr>
        <w:footnoteReference w:id="85"/>
      </w:r>
      <w:r>
        <w:t xml:space="preserve"> </w:t>
      </w:r>
    </w:p>
    <w:p w:rsidR="00EE3629" w:rsidRPr="00CE4E8E" w:rsidRDefault="00EE3629" w:rsidP="00EE3629">
      <w:r w:rsidRPr="00CE4E8E">
        <w:t xml:space="preserve">In support of its proposed HDPE mains replacement program, AGN </w:t>
      </w:r>
      <w:r>
        <w:t>provided</w:t>
      </w:r>
      <w:r w:rsidRPr="00CE4E8E">
        <w:t xml:space="preserve"> preliminary </w:t>
      </w:r>
      <w:r>
        <w:t xml:space="preserve">risk </w:t>
      </w:r>
      <w:r w:rsidRPr="00CE4E8E">
        <w:t>model</w:t>
      </w:r>
      <w:r>
        <w:t>ling,</w:t>
      </w:r>
      <w:r w:rsidRPr="00CE4E8E">
        <w:rPr>
          <w:vertAlign w:val="superscript"/>
        </w:rPr>
        <w:footnoteReference w:id="86"/>
      </w:r>
      <w:r w:rsidRPr="00CE4E8E">
        <w:t xml:space="preserve"> and </w:t>
      </w:r>
      <w:r>
        <w:t>submitted that</w:t>
      </w:r>
      <w:r w:rsidRPr="00CE4E8E">
        <w:t xml:space="preserve"> ‘further significant development of the risk model, will inform annual asset management strategies’</w:t>
      </w:r>
      <w:r w:rsidRPr="00CE4E8E">
        <w:rPr>
          <w:vertAlign w:val="superscript"/>
        </w:rPr>
        <w:footnoteReference w:id="87"/>
      </w:r>
      <w:r w:rsidRPr="0006218C">
        <w:t xml:space="preserve">. </w:t>
      </w:r>
      <w:r>
        <w:t>AGN</w:t>
      </w:r>
      <w:r w:rsidRPr="00CE4E8E">
        <w:t xml:space="preserve"> note</w:t>
      </w:r>
      <w:r>
        <w:t>d</w:t>
      </w:r>
      <w:r w:rsidRPr="00CE4E8E">
        <w:t xml:space="preserve"> that the model ‘takes into account a number of factors in order to determine those parts of the HDPE network that should be replaced.’</w:t>
      </w:r>
      <w:r w:rsidRPr="000F2A11">
        <w:rPr>
          <w:rStyle w:val="AERsuperscript"/>
        </w:rPr>
        <w:footnoteReference w:id="88"/>
      </w:r>
      <w:r w:rsidRPr="00CE4E8E">
        <w:rPr>
          <w:vertAlign w:val="superscript"/>
        </w:rPr>
        <w:t xml:space="preserve"> </w:t>
      </w:r>
    </w:p>
    <w:p w:rsidR="00EE3629" w:rsidRDefault="00EE3629" w:rsidP="00EE3629">
      <w:r>
        <w:t>Our review of the current HDPE model below demonstrates that it does not adequately identify or assess the relevant</w:t>
      </w:r>
      <w:r w:rsidRPr="00CE4E8E">
        <w:t xml:space="preserve"> risk</w:t>
      </w:r>
      <w:r>
        <w:t>s. In particular, the model does not demonstrate that the rate at which AGN is proposing to replace its HDPE mains over the access arrangement period is a prudent and efficient investment. We note several stakeholders expressed concern about consumers paying more than necessary to fund the HDPE and CI and UPS main pipes over the access arrangement period.</w:t>
      </w:r>
      <w:r>
        <w:rPr>
          <w:rStyle w:val="FootnoteReference"/>
        </w:rPr>
        <w:footnoteReference w:id="89"/>
      </w:r>
    </w:p>
    <w:p w:rsidR="00EE3629" w:rsidRDefault="00EE3629" w:rsidP="00EE3629">
      <w:r>
        <w:t>AGN’s</w:t>
      </w:r>
      <w:r w:rsidRPr="00CE4E8E">
        <w:t xml:space="preserve"> HDPE</w:t>
      </w:r>
      <w:r>
        <w:t xml:space="preserve"> </w:t>
      </w:r>
      <w:r w:rsidRPr="00CE4E8E">
        <w:t>model ranks those suburbs with a history of squeeze off failures (130 suburbs) based on a number of factors (i.e. squeeze</w:t>
      </w:r>
      <w:r w:rsidR="00E34C0D">
        <w:t>–</w:t>
      </w:r>
      <w:r w:rsidRPr="00CE4E8E">
        <w:t>offs, pressure, soil type, housing construction). For instance, suburbs with cottages with a footing construction close to the front of the property boundary were assessed as having the highest factor.</w:t>
      </w:r>
      <w:r w:rsidRPr="008D4509">
        <w:rPr>
          <w:rStyle w:val="FootnoteReference"/>
        </w:rPr>
        <w:t xml:space="preserve"> </w:t>
      </w:r>
      <w:r>
        <w:rPr>
          <w:rStyle w:val="FootnoteReference"/>
        </w:rPr>
        <w:footnoteReference w:id="90"/>
      </w:r>
      <w:r w:rsidRPr="00CE4E8E">
        <w:t xml:space="preserve"> The factors in the model describe a ‘hazard’ (something that could cause harm). These factors do not describe a risk. This distinction is important. </w:t>
      </w:r>
      <w:r>
        <w:t>We consider a</w:t>
      </w:r>
      <w:r w:rsidRPr="00CE4E8E">
        <w:t xml:space="preserve"> risk</w:t>
      </w:r>
      <w:r>
        <w:t xml:space="preserve"> assessment should analyse</w:t>
      </w:r>
      <w:r w:rsidRPr="00CE4E8E">
        <w:t xml:space="preserve"> the </w:t>
      </w:r>
      <w:r>
        <w:t>probability</w:t>
      </w:r>
      <w:r w:rsidRPr="00CE4E8E">
        <w:t xml:space="preserve">, high or low, that any hazard will cause somebody harm. A </w:t>
      </w:r>
      <w:r>
        <w:t>rigorous</w:t>
      </w:r>
      <w:r w:rsidRPr="00CE4E8E">
        <w:t xml:space="preserve"> risk assessment would </w:t>
      </w:r>
      <w:r>
        <w:t xml:space="preserve">generally therefore </w:t>
      </w:r>
      <w:r w:rsidRPr="00CE4E8E">
        <w:t>take account of the ‘</w:t>
      </w:r>
      <w:r>
        <w:t>probability</w:t>
      </w:r>
      <w:r w:rsidRPr="00CE4E8E">
        <w:t xml:space="preserve">’ (usually measured as frequency of events) and the </w:t>
      </w:r>
      <w:r>
        <w:t>impact</w:t>
      </w:r>
      <w:r w:rsidRPr="00CE4E8E">
        <w:t xml:space="preserve"> (in monetary terms) of that harm occurring. </w:t>
      </w:r>
      <w:r>
        <w:t>In contrast, the HDPE</w:t>
      </w:r>
      <w:r w:rsidRPr="00CE4E8E">
        <w:t xml:space="preserve"> model assumes that </w:t>
      </w:r>
      <w:r>
        <w:t>all</w:t>
      </w:r>
      <w:r w:rsidRPr="00CE4E8E">
        <w:t xml:space="preserve"> ‘hazards’ identified </w:t>
      </w:r>
      <w:r>
        <w:t>will</w:t>
      </w:r>
      <w:r w:rsidRPr="00CE4E8E">
        <w:t xml:space="preserve"> be realised (as no analysis of the likely frequency of events is provided)</w:t>
      </w:r>
      <w:r>
        <w:t>, and essentially prioritises</w:t>
      </w:r>
      <w:r w:rsidRPr="00CE4E8E">
        <w:t xml:space="preserve"> areas </w:t>
      </w:r>
      <w:r>
        <w:t>of the network for replacement. As such, the model as currently specified does not provide sufficient evidence for us to accept AGN’s forecast of its HDPE mains replacement.</w:t>
      </w:r>
    </w:p>
    <w:p w:rsidR="00EE3629" w:rsidRDefault="00EE3629" w:rsidP="00EE3629">
      <w:r>
        <w:t xml:space="preserve">The absence of a rigorous risk assessment ultimately also means that AGN’s HDPE model potentially overestimates </w:t>
      </w:r>
      <w:r w:rsidRPr="00CE4E8E">
        <w:t xml:space="preserve">the </w:t>
      </w:r>
      <w:r>
        <w:t xml:space="preserve">prudent and </w:t>
      </w:r>
      <w:r w:rsidRPr="00CE4E8E">
        <w:t xml:space="preserve">efficient </w:t>
      </w:r>
      <w:r>
        <w:t xml:space="preserve">amount of </w:t>
      </w:r>
      <w:r w:rsidRPr="00CE4E8E">
        <w:t>kilometre</w:t>
      </w:r>
      <w:r>
        <w:t>s</w:t>
      </w:r>
      <w:r w:rsidRPr="00CE4E8E">
        <w:t xml:space="preserve"> of mains to be replaced.</w:t>
      </w:r>
      <w:r>
        <w:t xml:space="preserve"> </w:t>
      </w:r>
      <w:r w:rsidRPr="00CE4E8E">
        <w:t xml:space="preserve">In its business case </w:t>
      </w:r>
      <w:r w:rsidRPr="00D12775">
        <w:t>for HDPE</w:t>
      </w:r>
      <w:r>
        <w:t xml:space="preserve">, </w:t>
      </w:r>
      <w:r w:rsidRPr="00CE4E8E">
        <w:t xml:space="preserve">AGN </w:t>
      </w:r>
      <w:r>
        <w:t>proposed</w:t>
      </w:r>
      <w:r w:rsidRPr="00CE4E8E">
        <w:t xml:space="preserve"> </w:t>
      </w:r>
      <w:r>
        <w:t xml:space="preserve">the </w:t>
      </w:r>
      <w:r w:rsidRPr="00CE4E8E">
        <w:t>option of implementing an integrity management program for HDPE pipes combined with a replacement program</w:t>
      </w:r>
      <w:r>
        <w:t>.</w:t>
      </w:r>
      <w:r w:rsidRPr="00CE4E8E">
        <w:rPr>
          <w:vertAlign w:val="superscript"/>
        </w:rPr>
        <w:footnoteReference w:id="91"/>
      </w:r>
      <w:r>
        <w:rPr>
          <w:vertAlign w:val="superscript"/>
        </w:rPr>
        <w:t xml:space="preserve"> </w:t>
      </w:r>
      <w:r>
        <w:t>H</w:t>
      </w:r>
      <w:r w:rsidRPr="00CE4E8E">
        <w:t xml:space="preserve">owever, </w:t>
      </w:r>
      <w:r>
        <w:t>this is not a substitute for a rigorous risk assessment.</w:t>
      </w:r>
    </w:p>
    <w:p w:rsidR="00EE3629" w:rsidRDefault="00EE3629" w:rsidP="00EE3629">
      <w:r>
        <w:t>For these reasons, we are not satisfied that AGN’s proposed expenditure is conforming capex that satisfies rule 79</w:t>
      </w:r>
      <w:r w:rsidRPr="00CE4E8E">
        <w:t xml:space="preserve">. </w:t>
      </w:r>
      <w:r>
        <w:t xml:space="preserve">Therefore, as we discuss below, we have determined an </w:t>
      </w:r>
      <w:r w:rsidRPr="00CE4E8E">
        <w:t>alternative estimate</w:t>
      </w:r>
      <w:r>
        <w:t xml:space="preserve"> using what information is before us.</w:t>
      </w:r>
      <w:r w:rsidRPr="00CE4E8E" w:rsidDel="006E5E40">
        <w:t xml:space="preserve"> </w:t>
      </w:r>
      <w:r>
        <w:t xml:space="preserve">. </w:t>
      </w:r>
    </w:p>
    <w:p w:rsidR="00EE3629" w:rsidRDefault="00EE3629" w:rsidP="00EE3629">
      <w:pPr>
        <w:pStyle w:val="HeadingBoldItalic"/>
        <w:rPr>
          <w:rFonts w:eastAsia="Times New Roman"/>
        </w:rPr>
      </w:pPr>
      <w:r>
        <w:rPr>
          <w:rFonts w:eastAsia="Times New Roman"/>
        </w:rPr>
        <w:t>Basis of our alternative estimate</w:t>
      </w:r>
    </w:p>
    <w:p w:rsidR="00EE3629" w:rsidRPr="00042DE7" w:rsidRDefault="00EE3629" w:rsidP="00EE3629">
      <w:pPr>
        <w:rPr>
          <w:rFonts w:asciiTheme="minorHAnsi" w:hAnsiTheme="minorHAnsi"/>
          <w:color w:val="70635A" w:themeColor="dark2"/>
        </w:rPr>
      </w:pPr>
      <w:r>
        <w:t>Our alternative estimate for mains replacement capex over the 2016–21 access arrangement period</w:t>
      </w:r>
      <w:r w:rsidDel="00324984">
        <w:t xml:space="preserve"> </w:t>
      </w:r>
      <w:r>
        <w:t>is $167.7 million. This represents the replacement of 577 kilometres of main pipes over the 2016</w:t>
      </w:r>
      <w:r w:rsidR="00E34C0D">
        <w:t>–</w:t>
      </w:r>
      <w:r>
        <w:t xml:space="preserve">21 access arrangement </w:t>
      </w:r>
      <w:proofErr w:type="gramStart"/>
      <w:r>
        <w:t>period</w:t>
      </w:r>
      <w:proofErr w:type="gramEnd"/>
      <w:r>
        <w:t xml:space="preserve">. We have determined our alternative estimate based on the information and data before us. To derive our alternative capex estimate, we reduced AGN’s proposed capex for mains replacement by our percentage reduction in total kilometres. This approach means we have applied AGN’s unit rates across all categories of mains replacement and our reduction reflects our view regarding </w:t>
      </w:r>
      <w:r w:rsidR="00D00052">
        <w:t xml:space="preserve">prudent and efficient </w:t>
      </w:r>
      <w:r>
        <w:t>volumes of mains replacement.</w:t>
      </w:r>
      <w:r w:rsidRPr="00780E98">
        <w:t xml:space="preserve"> </w:t>
      </w:r>
    </w:p>
    <w:p w:rsidR="00EE3629" w:rsidRPr="00CE4E8E" w:rsidRDefault="00EE3629" w:rsidP="00EE3629">
      <w:r>
        <w:t xml:space="preserve">Our approved capex amount does not distinguish </w:t>
      </w:r>
      <w:r w:rsidRPr="00A56D38">
        <w:t xml:space="preserve">between the pipe type </w:t>
      </w:r>
      <w:r>
        <w:t xml:space="preserve">(CI, UPS or HDPE class 250 of 575) to be </w:t>
      </w:r>
      <w:r w:rsidRPr="00A56D38">
        <w:t>replaced</w:t>
      </w:r>
      <w:r>
        <w:t>. We consider that a prudent operator acting efficiently</w:t>
      </w:r>
      <w:r w:rsidRPr="00CE4E8E">
        <w:t xml:space="preserve"> </w:t>
      </w:r>
      <w:r>
        <w:t xml:space="preserve">would prioritise replacement of </w:t>
      </w:r>
      <w:r w:rsidRPr="00CE4E8E">
        <w:t>main</w:t>
      </w:r>
      <w:r>
        <w:t>s</w:t>
      </w:r>
      <w:r w:rsidRPr="00CE4E8E">
        <w:t xml:space="preserve"> based on a risk assessment across all pipe types. </w:t>
      </w:r>
      <w:r>
        <w:t>We recognise that t</w:t>
      </w:r>
      <w:r w:rsidRPr="00CE4E8E">
        <w:t xml:space="preserve">he level of risk can vary across the different pipe types depending on several factors such as pressure of the pipes, and location of the pipes which has nothing to do with the pipe type. For instance, we </w:t>
      </w:r>
      <w:r>
        <w:t>recognise</w:t>
      </w:r>
      <w:r w:rsidRPr="00CE4E8E">
        <w:t xml:space="preserve"> that:</w:t>
      </w:r>
    </w:p>
    <w:p w:rsidR="00EE3629" w:rsidRPr="00CE4E8E" w:rsidRDefault="00EE3629" w:rsidP="00EE3629">
      <w:pPr>
        <w:pStyle w:val="ListParagraph"/>
        <w:numPr>
          <w:ilvl w:val="0"/>
          <w:numId w:val="48"/>
        </w:numPr>
        <w:spacing w:line="240" w:lineRule="auto"/>
      </w:pPr>
      <w:r>
        <w:t>The higher pressure on HDPE mains means that,</w:t>
      </w:r>
      <w:r w:rsidRPr="00CE4E8E">
        <w:t xml:space="preserve"> while </w:t>
      </w:r>
      <w:r>
        <w:t xml:space="preserve">they have </w:t>
      </w:r>
      <w:r w:rsidRPr="00CE4E8E">
        <w:t>better leakage rat</w:t>
      </w:r>
      <w:r>
        <w:t>es than CI and UPS</w:t>
      </w:r>
      <w:r w:rsidRPr="00CE4E8E">
        <w:t xml:space="preserve">, </w:t>
      </w:r>
      <w:r>
        <w:t xml:space="preserve">they </w:t>
      </w:r>
      <w:r w:rsidRPr="00CE4E8E">
        <w:t>carry more risk</w:t>
      </w:r>
    </w:p>
    <w:p w:rsidR="00EE3629" w:rsidRDefault="00EE3629" w:rsidP="00EE3629">
      <w:pPr>
        <w:pStyle w:val="ListParagraph"/>
        <w:numPr>
          <w:ilvl w:val="0"/>
          <w:numId w:val="48"/>
        </w:numPr>
        <w:spacing w:line="240" w:lineRule="auto"/>
      </w:pPr>
      <w:r w:rsidRPr="00CE4E8E">
        <w:t>CI and UPS mains for block replacement are mostly low pressure</w:t>
      </w:r>
      <w:r>
        <w:t xml:space="preserve"> and </w:t>
      </w:r>
      <w:r w:rsidRPr="00CE4E8E">
        <w:t>carry less risk</w:t>
      </w:r>
      <w:r>
        <w:t>,</w:t>
      </w:r>
      <w:r w:rsidRPr="00CE4E8E">
        <w:t xml:space="preserve"> especially of a major consequence</w:t>
      </w:r>
      <w:r>
        <w:t>. This is because</w:t>
      </w:r>
      <w:r w:rsidRPr="00CE4E8E">
        <w:t xml:space="preserve"> the manner of the leak is likely to </w:t>
      </w:r>
      <w:r>
        <w:t>result in</w:t>
      </w:r>
      <w:r w:rsidRPr="00CE4E8E">
        <w:t xml:space="preserve"> a slow release of gas</w:t>
      </w:r>
    </w:p>
    <w:p w:rsidR="00EE3629" w:rsidRPr="00CE4E8E" w:rsidRDefault="00EE3629" w:rsidP="00EE3629">
      <w:pPr>
        <w:pStyle w:val="ListParagraph"/>
        <w:numPr>
          <w:ilvl w:val="0"/>
          <w:numId w:val="48"/>
        </w:numPr>
        <w:spacing w:line="240" w:lineRule="auto"/>
      </w:pPr>
      <w:r w:rsidRPr="00CE4E8E">
        <w:t>CI and UPS main</w:t>
      </w:r>
      <w:r>
        <w:t>s</w:t>
      </w:r>
      <w:r w:rsidRPr="00CE4E8E">
        <w:t xml:space="preserve"> located in the CBD </w:t>
      </w:r>
      <w:r>
        <w:t>are</w:t>
      </w:r>
      <w:r w:rsidRPr="00CE4E8E">
        <w:t xml:space="preserve"> likely to be deemed high risk given the high population density that exists there</w:t>
      </w:r>
      <w:r>
        <w:t xml:space="preserve">. However, the </w:t>
      </w:r>
      <w:r w:rsidRPr="00CE4E8E">
        <w:t xml:space="preserve">leakage rates in these areas are low, as the CI is of a high grade, with most leaks coming from the joints. </w:t>
      </w:r>
    </w:p>
    <w:p w:rsidR="00EE3629" w:rsidRDefault="00EE3629" w:rsidP="00EE3629">
      <w:r w:rsidRPr="00CE4E8E">
        <w:t xml:space="preserve">We consider that AGN is best placed to undertake a risk assessment which draws on all the information it has on mains pipes to determine what pipes should be replaced first. In this regard, </w:t>
      </w:r>
      <w:r>
        <w:t xml:space="preserve">we consider that within the overall </w:t>
      </w:r>
      <w:r w:rsidRPr="00AC1B5F">
        <w:t>approved</w:t>
      </w:r>
      <w:r>
        <w:t xml:space="preserve"> efficient capex </w:t>
      </w:r>
      <w:r w:rsidRPr="00AC1B5F">
        <w:t>for mains replacement</w:t>
      </w:r>
      <w:r>
        <w:t xml:space="preserve">, it is up to AGN to allocate its capex </w:t>
      </w:r>
      <w:r w:rsidRPr="00CE4E8E">
        <w:t>where necessary.</w:t>
      </w:r>
    </w:p>
    <w:p w:rsidR="00EE3629" w:rsidRDefault="00EE3629" w:rsidP="00EE3629">
      <w:r>
        <w:t>In coming to our alternative estimate, we had regard to the expectation that a prudent business seeking to allocate</w:t>
      </w:r>
      <w:r w:rsidRPr="00035C77">
        <w:t xml:space="preserve"> investme</w:t>
      </w:r>
      <w:r>
        <w:t xml:space="preserve">nt to maximise hazard reduction would </w:t>
      </w:r>
      <w:r w:rsidRPr="00035C77">
        <w:t>replac</w:t>
      </w:r>
      <w:r>
        <w:t>e</w:t>
      </w:r>
      <w:r w:rsidRPr="00035C77">
        <w:t xml:space="preserve"> th</w:t>
      </w:r>
      <w:r>
        <w:t>e</w:t>
      </w:r>
      <w:r w:rsidRPr="00035C77">
        <w:t xml:space="preserve"> pipes with the highest rate of leakage first.</w:t>
      </w:r>
      <w:r w:rsidRPr="008E551E">
        <w:t xml:space="preserve"> </w:t>
      </w:r>
      <w:r>
        <w:t>With this in mind, we have reviewed the data available to</w:t>
      </w:r>
      <w:r w:rsidRPr="00035C77">
        <w:t xml:space="preserve"> </w:t>
      </w:r>
      <w:r>
        <w:t>us to</w:t>
      </w:r>
      <w:r w:rsidRPr="00035C77">
        <w:t xml:space="preserve"> calculat</w:t>
      </w:r>
      <w:r>
        <w:t xml:space="preserve">e </w:t>
      </w:r>
      <w:r w:rsidRPr="00035C77">
        <w:t xml:space="preserve">the rate of leaks </w:t>
      </w:r>
      <w:r>
        <w:t>per kilometre</w:t>
      </w:r>
      <w:r w:rsidRPr="00035C77">
        <w:t xml:space="preserve"> of main by suburb over the period from 2005 to 2014</w:t>
      </w:r>
      <w:r>
        <w:t xml:space="preserve">. Our review reveals that </w:t>
      </w:r>
      <w:r w:rsidRPr="00035C77">
        <w:t>AGN’s</w:t>
      </w:r>
      <w:r>
        <w:t xml:space="preserve"> proposed 1273 kilometres of mains replacement</w:t>
      </w:r>
      <w:r w:rsidRPr="00035C77">
        <w:t xml:space="preserve"> </w:t>
      </w:r>
      <w:r>
        <w:t>assumes</w:t>
      </w:r>
      <w:r w:rsidR="00E21C3B">
        <w:t xml:space="preserve"> a</w:t>
      </w:r>
      <w:r>
        <w:t xml:space="preserve"> </w:t>
      </w:r>
      <w:r w:rsidR="00E21C3B">
        <w:t>certain percentage</w:t>
      </w:r>
      <w:r w:rsidRPr="00035C77">
        <w:t xml:space="preserve"> reduction in leak</w:t>
      </w:r>
      <w:r>
        <w:t>s</w:t>
      </w:r>
      <w:r w:rsidR="00E21C3B">
        <w:rPr>
          <w:rStyle w:val="FootnoteReference"/>
        </w:rPr>
        <w:footnoteReference w:id="92"/>
      </w:r>
      <w:r>
        <w:t xml:space="preserve"> over the 20</w:t>
      </w:r>
      <w:r w:rsidR="00E21C3B">
        <w:t xml:space="preserve">16–21 access arrangement period. </w:t>
      </w:r>
      <w:r>
        <w:t xml:space="preserve">The information before us does not support or justify </w:t>
      </w:r>
      <w:r w:rsidR="00E21C3B">
        <w:t>AGN’s assumed</w:t>
      </w:r>
      <w:r w:rsidRPr="00035C77">
        <w:t xml:space="preserve"> </w:t>
      </w:r>
      <w:r w:rsidR="00E21C3B">
        <w:t xml:space="preserve">percentage </w:t>
      </w:r>
      <w:r w:rsidRPr="00035C77">
        <w:t>reduction</w:t>
      </w:r>
      <w:r>
        <w:t xml:space="preserve"> in leaks over the 2016</w:t>
      </w:r>
      <w:r w:rsidR="00E34C0D">
        <w:t>–</w:t>
      </w:r>
      <w:r>
        <w:t xml:space="preserve">21 access arrangement </w:t>
      </w:r>
      <w:proofErr w:type="gramStart"/>
      <w:r>
        <w:t>period</w:t>
      </w:r>
      <w:proofErr w:type="gramEnd"/>
      <w:r>
        <w:t xml:space="preserve">. In particular, as noted above, there is no regulatory or legislative obligation that requires AGN to commit to its proposed kilometres of mains replacement (or assumed leakage rate reduction) over the 2016–21 access arrangement period. Further, the </w:t>
      </w:r>
      <w:r w:rsidR="00E21C3B">
        <w:t>AGN’s assumed percentage</w:t>
      </w:r>
      <w:r>
        <w:t xml:space="preserve"> reduction in leaks far exceeds the </w:t>
      </w:r>
      <w:r w:rsidR="00E21C3B">
        <w:t xml:space="preserve">historical average </w:t>
      </w:r>
      <w:r w:rsidRPr="003C517B">
        <w:t>reduction in leakage incident rate from 2007 to 2014</w:t>
      </w:r>
      <w:r>
        <w:t>.</w:t>
      </w:r>
      <w:r>
        <w:rPr>
          <w:rStyle w:val="FootnoteReference"/>
        </w:rPr>
        <w:footnoteReference w:id="93"/>
      </w:r>
    </w:p>
    <w:p w:rsidR="00EE3629" w:rsidRDefault="00EE3629" w:rsidP="00EE3629">
      <w:pPr>
        <w:pStyle w:val="AERbulletlistfirststyle"/>
        <w:numPr>
          <w:ilvl w:val="0"/>
          <w:numId w:val="0"/>
        </w:numPr>
      </w:pPr>
      <w:r>
        <w:t xml:space="preserve">Using AGN’s leakage data, </w:t>
      </w:r>
      <w:r w:rsidR="00E21C3B">
        <w:t xml:space="preserve">AGN’s assumed </w:t>
      </w:r>
      <w:r>
        <w:t xml:space="preserve">leakage reduction rate comes to an estimate of 1273 kilometre of mains replacement, at a cost of $369.9 million. Applying an assumed 25 per cent reduction in leaks translates to 577 kilometres of mains replacement. Reducing AGN’s capex by the percentage reduction in total kilometres of mains replacement results in our alternative capex estimate of $167.7 million. </w:t>
      </w:r>
    </w:p>
    <w:p w:rsidR="00EE3629" w:rsidRDefault="00EE3629" w:rsidP="00EE3629">
      <w:pPr>
        <w:pStyle w:val="AERbulletlistfirststyle"/>
        <w:numPr>
          <w:ilvl w:val="0"/>
          <w:numId w:val="0"/>
        </w:numPr>
      </w:pPr>
      <w:r>
        <w:t>In coming to our position, ideally, we would derive an alternative estimate based on a cost benefit analysis. This information is not available to us, and we accept that this kind of analysis may be difficult to undertake. Given the limited information available to us, we have drawn on historical leakage reduction rates.</w:t>
      </w:r>
    </w:p>
    <w:p w:rsidR="00EE3629" w:rsidRDefault="00EE3629" w:rsidP="00EE3629">
      <w:pPr>
        <w:pStyle w:val="AERbulletlistfirststyle"/>
        <w:numPr>
          <w:ilvl w:val="0"/>
          <w:numId w:val="0"/>
        </w:numPr>
      </w:pPr>
      <w:r>
        <w:t>In this regard, we note that AGN significantly stepped up investment in pipeline replacement after 2010</w:t>
      </w:r>
      <w:r w:rsidR="00E34C0D">
        <w:t>–</w:t>
      </w:r>
      <w:r>
        <w:t xml:space="preserve">11 to historically high levels. Even with the high levels of investment leakage rates only fell </w:t>
      </w:r>
      <w:r w:rsidR="00D00052">
        <w:t xml:space="preserve">by a certain level </w:t>
      </w:r>
      <w:r>
        <w:t>from 20</w:t>
      </w:r>
      <w:r w:rsidR="00DA03DF">
        <w:t>0</w:t>
      </w:r>
      <w:r>
        <w:t>7 to 2014.</w:t>
      </w:r>
      <w:r w:rsidR="00D00052">
        <w:rPr>
          <w:rStyle w:val="FootnoteReference"/>
        </w:rPr>
        <w:footnoteReference w:id="94"/>
      </w:r>
      <w:r>
        <w:t xml:space="preserve"> </w:t>
      </w:r>
    </w:p>
    <w:p w:rsidR="00EE3629" w:rsidRDefault="00EE3629" w:rsidP="00EE3629">
      <w:pPr>
        <w:pStyle w:val="AERbulletlistfirststyle"/>
        <w:numPr>
          <w:ilvl w:val="0"/>
          <w:numId w:val="0"/>
        </w:numPr>
      </w:pPr>
      <w:r>
        <w:t xml:space="preserve">One option for us would be to adopt investment levels consistent with achieving the historical reduction in leakage. On balance, we consider there is case to adopt a more cautious approach and accommodate a higher level of mains replacement. There are two reasons for this. </w:t>
      </w:r>
    </w:p>
    <w:p w:rsidR="00EE3629" w:rsidRDefault="00EE3629" w:rsidP="00EE3629">
      <w:pPr>
        <w:pStyle w:val="AERbulletlistfirststyle"/>
        <w:numPr>
          <w:ilvl w:val="0"/>
          <w:numId w:val="0"/>
        </w:numPr>
      </w:pPr>
      <w:r>
        <w:t xml:space="preserve">Firstly, leakage associated with HDPE pipes is emerging as a new issue. HDPE pipes typically run at higher pressure than CI and UPS pipes and are more prone to sudden failure. This combination increases the probability that leakage events will cause harm compared to CI and UPS main pipes.  </w:t>
      </w:r>
    </w:p>
    <w:p w:rsidR="00EE3629" w:rsidRDefault="00EE3629" w:rsidP="00EE3629">
      <w:pPr>
        <w:pStyle w:val="AERbulletlistfirststyle"/>
        <w:numPr>
          <w:ilvl w:val="0"/>
          <w:numId w:val="0"/>
        </w:numPr>
      </w:pPr>
      <w:r>
        <w:t xml:space="preserve">Secondly, the main pipes will continue to deteriorate over the period as they age. There is some uncertainty about the rate of deterioration going forward. The pipes could deteriorate faster than historically with corresponding increases in leakage rates. In this scenario, additional investment would be required to achieve a given reduction in leakage rates. </w:t>
      </w:r>
    </w:p>
    <w:p w:rsidR="00EE3629" w:rsidRDefault="00EE3629" w:rsidP="00EE3629">
      <w:pPr>
        <w:pStyle w:val="AERbulletlistfirststyle"/>
        <w:numPr>
          <w:ilvl w:val="0"/>
          <w:numId w:val="0"/>
        </w:numPr>
      </w:pPr>
      <w:r>
        <w:t>Our approach in deriving our alternative estimate is to adopt a point</w:t>
      </w:r>
      <w:r w:rsidR="00D00052">
        <w:t xml:space="preserve"> that takes account of the historical average leakage reduction </w:t>
      </w:r>
      <w:r>
        <w:t>and AGN’s proposal. On the basis of the information available to us, we consider that a capex amount of $167.7 million is conforming capex that complies with rule 79. In particular, we consider that this amount would be incurred by a prudent service provider, acting efficiently, in accordance with accepted good industry practice, to achieve the lowest sustainable cost of providing services.</w:t>
      </w:r>
    </w:p>
    <w:p w:rsidR="00EE3629" w:rsidRPr="00EE3629" w:rsidRDefault="00EE3629" w:rsidP="00EE3629">
      <w:r w:rsidRPr="002634AB">
        <w:t xml:space="preserve">We invite </w:t>
      </w:r>
      <w:r>
        <w:t xml:space="preserve">AGN in its revised proposal to address the issues raised above and to include the necessary material, particularly a rigorous risk assessment, to demonstrate and justify the extent to which its proposed capex for mains replacement is conforming capex that complies with rule 79. </w:t>
      </w:r>
    </w:p>
    <w:p w:rsidR="002574C2" w:rsidRDefault="002574C2" w:rsidP="002574C2">
      <w:pPr>
        <w:pStyle w:val="HeadingBoldItalic"/>
      </w:pPr>
      <w:r>
        <w:t xml:space="preserve">Proposed capex for camera inspections in HDPE main pipes </w:t>
      </w:r>
    </w:p>
    <w:p w:rsidR="002574C2" w:rsidRDefault="002574C2" w:rsidP="002574C2">
      <w:r>
        <w:rPr>
          <w:lang w:eastAsia="en-AU"/>
        </w:rPr>
        <w:t>AGN also proposed $11.3 million for an in</w:t>
      </w:r>
      <w:r w:rsidR="00E34C0D">
        <w:rPr>
          <w:lang w:eastAsia="en-AU"/>
        </w:rPr>
        <w:t>–</w:t>
      </w:r>
      <w:r>
        <w:rPr>
          <w:lang w:eastAsia="en-AU"/>
        </w:rPr>
        <w:t xml:space="preserve">line </w:t>
      </w:r>
      <w:r>
        <w:t>camera for HDPE main pipe inspections, to provide a means to detect squeeze off sites and mitigate brittle cracking in HDPE main pipes.</w:t>
      </w:r>
      <w:r w:rsidR="005508EC">
        <w:rPr>
          <w:rStyle w:val="FootnoteReference"/>
        </w:rPr>
        <w:footnoteReference w:id="95"/>
      </w:r>
      <w:r>
        <w:t xml:space="preserve"> </w:t>
      </w:r>
      <w:r w:rsidR="006A5CDF">
        <w:t>The defeats are then excavated and reinforced with stainless steel clips (which are clamped around the pipe).</w:t>
      </w:r>
      <w:r w:rsidR="006A5CDF">
        <w:rPr>
          <w:rStyle w:val="FootnoteReference"/>
        </w:rPr>
        <w:footnoteReference w:id="96"/>
      </w:r>
      <w:r w:rsidR="006A5CDF">
        <w:t xml:space="preserve"> </w:t>
      </w:r>
    </w:p>
    <w:p w:rsidR="007D3258" w:rsidRDefault="002574C2" w:rsidP="000979B9">
      <w:r>
        <w:t xml:space="preserve">We asked AGN to provide a business case for the HDPE camera. AGN did not provide a business case, but </w:t>
      </w:r>
      <w:r w:rsidR="008D6AB8">
        <w:t xml:space="preserve">it did </w:t>
      </w:r>
      <w:r>
        <w:t>comment on how the HDPE camera forms part of its prudent risk management strategy.</w:t>
      </w:r>
      <w:r>
        <w:rPr>
          <w:rStyle w:val="FootnoteReference"/>
        </w:rPr>
        <w:footnoteReference w:id="97"/>
      </w:r>
      <w:r>
        <w:t xml:space="preserve"> </w:t>
      </w:r>
      <w:r w:rsidR="008D6AB8">
        <w:t xml:space="preserve">Whilst we recognise </w:t>
      </w:r>
      <w:r>
        <w:t>that the HDPE camera could assist in deferring mains replacement at a relatively low cost</w:t>
      </w:r>
      <w:r w:rsidR="008D6AB8">
        <w:t>,</w:t>
      </w:r>
      <w:r>
        <w:t xml:space="preserve"> </w:t>
      </w:r>
      <w:r w:rsidR="008D6AB8">
        <w:t xml:space="preserve">we cannot be satisfied </w:t>
      </w:r>
      <w:r>
        <w:t>AGN</w:t>
      </w:r>
      <w:r w:rsidR="008D6AB8">
        <w:t>’s</w:t>
      </w:r>
      <w:r>
        <w:t xml:space="preserve"> proposed cost estimate of $11.3 million for this equipment</w:t>
      </w:r>
      <w:r w:rsidR="008D6AB8">
        <w:t xml:space="preserve"> in the absence of a business case or a cost</w:t>
      </w:r>
      <w:r w:rsidR="00E34C0D">
        <w:t>–</w:t>
      </w:r>
      <w:r w:rsidR="008D6AB8">
        <w:t>benefit analysis</w:t>
      </w:r>
      <w:r>
        <w:t xml:space="preserve">. </w:t>
      </w:r>
      <w:r w:rsidR="008D6AB8">
        <w:t>W</w:t>
      </w:r>
      <w:r>
        <w:t xml:space="preserve">e have </w:t>
      </w:r>
      <w:r w:rsidR="008D6AB8">
        <w:t xml:space="preserve">therefore </w:t>
      </w:r>
      <w:r>
        <w:t xml:space="preserve">not included this amount in our </w:t>
      </w:r>
      <w:r w:rsidR="008D6AB8">
        <w:t xml:space="preserve">alternative </w:t>
      </w:r>
      <w:r>
        <w:t xml:space="preserve">capex estimate as we are not </w:t>
      </w:r>
      <w:r w:rsidR="008D6AB8">
        <w:t>satisfied it is conforming capex that satisfies rule 79</w:t>
      </w:r>
      <w:r>
        <w:t>.</w:t>
      </w:r>
    </w:p>
    <w:p w:rsidR="00920B04" w:rsidRPr="00D85ABF" w:rsidRDefault="00920B04" w:rsidP="00D85ABF">
      <w:pPr>
        <w:pStyle w:val="HeadingBoldBlue"/>
      </w:pPr>
      <w:bookmarkStart w:id="56" w:name="_Toc435534599"/>
      <w:r w:rsidRPr="00D85ABF">
        <w:t>Meter replacement</w:t>
      </w:r>
      <w:bookmarkEnd w:id="56"/>
    </w:p>
    <w:p w:rsidR="00957695" w:rsidRDefault="00957695" w:rsidP="00957695">
      <w:r>
        <w:t>Meter renewal is an ongoing activity which is necessary to ensure that gas meters in the field are replaced when they fail to accurately read data. AGN stated it requires capex on its meter replacement program to meet obligations under the Gas Measurement Management Plan and the Gas Metering Code (NGR, r</w:t>
      </w:r>
      <w:r w:rsidR="000D5BA7">
        <w:t>ule</w:t>
      </w:r>
      <w:r>
        <w:t xml:space="preserve"> 79(2)(c)(iii)).</w:t>
      </w:r>
      <w:r>
        <w:rPr>
          <w:rStyle w:val="FootnoteReference"/>
        </w:rPr>
        <w:footnoteReference w:id="98"/>
      </w:r>
    </w:p>
    <w:p w:rsidR="00957695" w:rsidRDefault="00957695" w:rsidP="00957695">
      <w:r>
        <w:t xml:space="preserve">We are satisfied AGN’s capex forecast for meter replacement is </w:t>
      </w:r>
      <w:r w:rsidR="00826C3D">
        <w:t xml:space="preserve">conforming capex that complies with </w:t>
      </w:r>
      <w:r w:rsidR="00C17266">
        <w:t>rule 79</w:t>
      </w:r>
      <w:r>
        <w:t>.</w:t>
      </w:r>
      <w:r w:rsidR="00826C3D">
        <w:rPr>
          <w:rStyle w:val="FootnoteReference"/>
        </w:rPr>
        <w:footnoteReference w:id="99"/>
      </w:r>
      <w:r>
        <w:t xml:space="preserve"> We have included $17.1 million ($2014–15, unescalated direct costs) of meter replacement expenditure in our alternative capex forecast.</w:t>
      </w:r>
    </w:p>
    <w:p w:rsidR="00957695" w:rsidRDefault="00957695" w:rsidP="00957695">
      <w:r>
        <w:t>AGN calculated meter replacement expenditure for two general classes of meters: domestic meters, and industrial and commercial meters. It derived expenditure using forecast unit rates and volumes.</w:t>
      </w:r>
      <w:r w:rsidR="0024058F">
        <w:t xml:space="preserve"> </w:t>
      </w:r>
    </w:p>
    <w:p w:rsidR="0024058F" w:rsidRDefault="0024058F" w:rsidP="00957695">
      <w:r>
        <w:t xml:space="preserve">We </w:t>
      </w:r>
      <w:r w:rsidR="008D6AB8">
        <w:t xml:space="preserve">consider </w:t>
      </w:r>
      <w:r>
        <w:t>that:</w:t>
      </w:r>
    </w:p>
    <w:p w:rsidR="0024058F" w:rsidRDefault="0024058F" w:rsidP="0024058F">
      <w:pPr>
        <w:pStyle w:val="AERbulletlistfirststyle"/>
      </w:pPr>
      <w:r>
        <w:t>AGN’s unit rates for domestic meters</w:t>
      </w:r>
      <w:r>
        <w:rPr>
          <w:rStyle w:val="FootnoteReference"/>
        </w:rPr>
        <w:footnoteReference w:id="100"/>
      </w:r>
      <w:r>
        <w:t xml:space="preserve"> </w:t>
      </w:r>
      <w:r w:rsidR="00957695">
        <w:t>compares favourably against the unit rates for domestic meter replacement in NSW, Victoria and the ACT</w:t>
      </w:r>
      <w:r w:rsidRPr="0024058F">
        <w:rPr>
          <w:rStyle w:val="FootnoteReference"/>
        </w:rPr>
        <w:t xml:space="preserve"> </w:t>
      </w:r>
      <w:r>
        <w:rPr>
          <w:rStyle w:val="FootnoteReference"/>
        </w:rPr>
        <w:footnoteReference w:id="101"/>
      </w:r>
    </w:p>
    <w:p w:rsidR="0024058F" w:rsidRDefault="0024058F" w:rsidP="0024058F">
      <w:pPr>
        <w:pStyle w:val="AERbulletlistfirststyle"/>
      </w:pPr>
      <w:r w:rsidRPr="008F0086">
        <w:t xml:space="preserve">AGN's unit </w:t>
      </w:r>
      <w:r>
        <w:t xml:space="preserve">rate </w:t>
      </w:r>
      <w:r w:rsidRPr="008F0086">
        <w:t xml:space="preserve">forecasts </w:t>
      </w:r>
      <w:r>
        <w:t>for industrial and commercial meter replacement are reasonable</w:t>
      </w:r>
    </w:p>
    <w:p w:rsidR="0024058F" w:rsidRDefault="0024058F" w:rsidP="0024058F">
      <w:pPr>
        <w:pStyle w:val="AERbulletlistfirststyle"/>
      </w:pPr>
      <w:proofErr w:type="gramStart"/>
      <w:r>
        <w:t>the</w:t>
      </w:r>
      <w:proofErr w:type="gramEnd"/>
      <w:r>
        <w:t xml:space="preserve"> large volume increase in domestic meter replacements in the first three years of the 2016–21 </w:t>
      </w:r>
      <w:r w:rsidR="008D6AB8">
        <w:t xml:space="preserve">access arrangement </w:t>
      </w:r>
      <w:r>
        <w:t xml:space="preserve">period, as well as </w:t>
      </w:r>
      <w:r w:rsidRPr="008348CC">
        <w:t xml:space="preserve">in </w:t>
      </w:r>
      <w:r>
        <w:t>the last two years of the 2011–16 period is justified</w:t>
      </w:r>
      <w:r w:rsidRPr="0024058F">
        <w:t xml:space="preserve"> </w:t>
      </w:r>
      <w:r>
        <w:t>as the end of meter lives align with installation date..</w:t>
      </w:r>
      <w:r>
        <w:rPr>
          <w:rStyle w:val="FootnoteReference"/>
        </w:rPr>
        <w:footnoteReference w:id="102"/>
      </w:r>
      <w:r>
        <w:t xml:space="preserve"> AGN</w:t>
      </w:r>
      <w:r w:rsidRPr="008F0086">
        <w:t xml:space="preserve"> </w:t>
      </w:r>
      <w:r w:rsidR="009626B2">
        <w:t xml:space="preserve">notes </w:t>
      </w:r>
      <w:r w:rsidRPr="008F0086">
        <w:t xml:space="preserve">its </w:t>
      </w:r>
      <w:r w:rsidR="009626B2">
        <w:t>volume forecasts had</w:t>
      </w:r>
      <w:r w:rsidRPr="008F0086">
        <w:t xml:space="preserve"> regard to</w:t>
      </w:r>
      <w:r>
        <w:t xml:space="preserve"> state</w:t>
      </w:r>
      <w:r w:rsidR="00E34C0D">
        <w:t>–</w:t>
      </w:r>
      <w:r>
        <w:t>based standards</w:t>
      </w:r>
      <w:r w:rsidR="009626B2">
        <w:t xml:space="preserve"> </w:t>
      </w:r>
      <w:r w:rsidR="00BF07D3">
        <w:t xml:space="preserve">for </w:t>
      </w:r>
      <w:r w:rsidR="009626B2">
        <w:t>meter replacements, and that</w:t>
      </w:r>
      <w:r>
        <w:t xml:space="preserve"> the rise was due to the coincident increase in the number of meter types coming up for changeover in these years.</w:t>
      </w:r>
      <w:r w:rsidRPr="0024058F">
        <w:rPr>
          <w:rStyle w:val="FootnoteReference"/>
        </w:rPr>
        <w:t xml:space="preserve"> </w:t>
      </w:r>
      <w:r>
        <w:rPr>
          <w:rStyle w:val="FootnoteReference"/>
        </w:rPr>
        <w:footnoteReference w:id="103"/>
      </w:r>
      <w:r w:rsidR="009626B2">
        <w:t xml:space="preserve"> We also agree with AGN that a degree of oversight is provided by the OTR in relation to its meter replacement activities</w:t>
      </w:r>
      <w:r w:rsidR="009626B2">
        <w:rPr>
          <w:rStyle w:val="FootnoteReference"/>
        </w:rPr>
        <w:footnoteReference w:id="104"/>
      </w:r>
    </w:p>
    <w:p w:rsidR="00957695" w:rsidRPr="00957695" w:rsidRDefault="00957695" w:rsidP="00957695">
      <w:r>
        <w:t xml:space="preserve">For these reasons, we consider AGN’s </w:t>
      </w:r>
      <w:r w:rsidR="009626B2">
        <w:t>forecast capex</w:t>
      </w:r>
      <w:r>
        <w:t xml:space="preserve"> for meter replacement </w:t>
      </w:r>
      <w:r w:rsidR="00826C3D">
        <w:t>is conforming capex that complies with rule 79</w:t>
      </w:r>
      <w:r>
        <w:t>.</w:t>
      </w:r>
    </w:p>
    <w:p w:rsidR="00920B04" w:rsidRPr="00D85ABF" w:rsidRDefault="00920B04" w:rsidP="00D85ABF">
      <w:pPr>
        <w:pStyle w:val="HeadingBoldBlue"/>
      </w:pPr>
      <w:bookmarkStart w:id="57" w:name="_Toc435534600"/>
      <w:r w:rsidRPr="00D85ABF">
        <w:t>Telemetry (SCADA)</w:t>
      </w:r>
      <w:bookmarkEnd w:id="57"/>
    </w:p>
    <w:p w:rsidR="00957695" w:rsidRDefault="00957695" w:rsidP="00957695">
      <w:r w:rsidRPr="00CD3A5E">
        <w:t xml:space="preserve">AGN </w:t>
      </w:r>
      <w:r>
        <w:t xml:space="preserve">stated it </w:t>
      </w:r>
      <w:r w:rsidRPr="00CD3A5E">
        <w:t xml:space="preserve">relies on telemetry systems </w:t>
      </w:r>
      <w:r>
        <w:t>to monitor</w:t>
      </w:r>
      <w:r w:rsidRPr="00CD3A5E">
        <w:t xml:space="preserve"> network conditions </w:t>
      </w:r>
      <w:r>
        <w:t xml:space="preserve">in real </w:t>
      </w:r>
      <w:r w:rsidRPr="00CD3A5E">
        <w:t>time and, in some cases, for the remote control of gas flows and pressures to optimise system performance and maximise safety</w:t>
      </w:r>
      <w:r>
        <w:t xml:space="preserve">. </w:t>
      </w:r>
      <w:r w:rsidRPr="00CD3A5E">
        <w:t>These works will reduce the risk of major supply interruption (</w:t>
      </w:r>
      <w:r>
        <w:t>NGR, r</w:t>
      </w:r>
      <w:r w:rsidR="000D5BA7">
        <w:t>ule</w:t>
      </w:r>
      <w:r w:rsidRPr="00CD3A5E">
        <w:t xml:space="preserve"> 79(2)(c)(i)) and provide more accurate, reliable and timely pressure data to better inform network capacity models (</w:t>
      </w:r>
      <w:r>
        <w:t>NGR, r</w:t>
      </w:r>
      <w:r w:rsidR="000D5BA7">
        <w:t>ule</w:t>
      </w:r>
      <w:r>
        <w:t xml:space="preserve"> </w:t>
      </w:r>
      <w:r w:rsidRPr="00CD3A5E">
        <w:t>79(2)(c)(ii)).</w:t>
      </w:r>
      <w:r>
        <w:rPr>
          <w:rStyle w:val="FootnoteReference"/>
        </w:rPr>
        <w:footnoteReference w:id="105"/>
      </w:r>
    </w:p>
    <w:p w:rsidR="00957695" w:rsidRPr="00957695" w:rsidRDefault="00957695" w:rsidP="00957695">
      <w:r w:rsidRPr="006E1959">
        <w:t xml:space="preserve">We are satisfied AGN’s capex forecast for </w:t>
      </w:r>
      <w:r>
        <w:t>telemetry</w:t>
      </w:r>
      <w:r w:rsidRPr="006E1959">
        <w:t xml:space="preserve"> is required</w:t>
      </w:r>
      <w:r w:rsidR="00BF07D3">
        <w:t xml:space="preserve"> conforming capex that complies with rule 79</w:t>
      </w:r>
      <w:r w:rsidRPr="006E1959">
        <w:t>.</w:t>
      </w:r>
      <w:r>
        <w:rPr>
          <w:rStyle w:val="FootnoteReference"/>
        </w:rPr>
        <w:footnoteReference w:id="106"/>
      </w:r>
      <w:r>
        <w:t xml:space="preserve"> We have included $1</w:t>
      </w:r>
      <w:r w:rsidRPr="006E1959">
        <w:t xml:space="preserve">.1 million ($2014–15, unescalated direct costs) of </w:t>
      </w:r>
      <w:r>
        <w:t xml:space="preserve">telemetry </w:t>
      </w:r>
      <w:r w:rsidRPr="006E1959">
        <w:t>expenditure in our alternative capex forecast.</w:t>
      </w:r>
      <w:r>
        <w:t xml:space="preserve"> </w:t>
      </w:r>
    </w:p>
    <w:p w:rsidR="00920B04" w:rsidRPr="00D85ABF" w:rsidRDefault="00920B04" w:rsidP="00D85ABF">
      <w:pPr>
        <w:pStyle w:val="HeadingBoldBlue"/>
      </w:pPr>
      <w:bookmarkStart w:id="58" w:name="_Toc435534601"/>
      <w:r w:rsidRPr="00D85ABF">
        <w:t>I</w:t>
      </w:r>
      <w:r w:rsidR="009359D4" w:rsidRPr="00D85ABF">
        <w:t>nformation technology</w:t>
      </w:r>
      <w:bookmarkEnd w:id="58"/>
    </w:p>
    <w:p w:rsidR="009359D4" w:rsidRDefault="00E8556A" w:rsidP="009359D4">
      <w:r>
        <w:t>AGN proposed $</w:t>
      </w:r>
      <w:r w:rsidR="0036378E">
        <w:t>66</w:t>
      </w:r>
      <w:r>
        <w:t>.7 million ($2014</w:t>
      </w:r>
      <w:r w:rsidR="00D51050">
        <w:t>–</w:t>
      </w:r>
      <w:r>
        <w:t>15</w:t>
      </w:r>
      <w:r w:rsidR="00D51050">
        <w:t>, including cost escalation and overheads</w:t>
      </w:r>
      <w:r>
        <w:t>)</w:t>
      </w:r>
      <w:r w:rsidR="009359D4">
        <w:t xml:space="preserve"> for IT capex.</w:t>
      </w:r>
      <w:r w:rsidR="009359D4">
        <w:rPr>
          <w:rStyle w:val="FootnoteReference"/>
        </w:rPr>
        <w:footnoteReference w:id="107"/>
      </w:r>
      <w:r w:rsidR="009359D4">
        <w:t xml:space="preserve"> This is an increase of $42.7 million or 178 per cent from the </w:t>
      </w:r>
      <w:r w:rsidR="00826C3D">
        <w:t>2010–1</w:t>
      </w:r>
      <w:r w:rsidR="008E581B">
        <w:t>6</w:t>
      </w:r>
      <w:r w:rsidR="00826C3D">
        <w:t xml:space="preserve"> </w:t>
      </w:r>
      <w:r w:rsidR="009359D4">
        <w:t xml:space="preserve">period. It is also 5.5 times our approved forecast for the </w:t>
      </w:r>
      <w:r w:rsidR="00826C3D">
        <w:t>2010–1</w:t>
      </w:r>
      <w:r w:rsidR="008E581B">
        <w:t>6</w:t>
      </w:r>
      <w:r w:rsidR="009359D4">
        <w:t>.</w:t>
      </w:r>
      <w:r w:rsidR="009359D4">
        <w:rPr>
          <w:rStyle w:val="FootnoteReference"/>
        </w:rPr>
        <w:footnoteReference w:id="108"/>
      </w:r>
      <w:r w:rsidR="00D81BAF">
        <w:t xml:space="preserve"> AGN’s unescalated, direct capex forecast for IT is $59.7 million ($2014–15).</w:t>
      </w:r>
    </w:p>
    <w:p w:rsidR="009359D4" w:rsidRDefault="009359D4" w:rsidP="009359D4">
      <w:r>
        <w:t>Our decision is to approve $37.</w:t>
      </w:r>
      <w:r w:rsidR="0036378E">
        <w:t>9</w:t>
      </w:r>
      <w:r>
        <w:t xml:space="preserve"> million ($2014</w:t>
      </w:r>
      <w:r w:rsidR="00D81BAF">
        <w:t>–</w:t>
      </w:r>
      <w:r>
        <w:t>15</w:t>
      </w:r>
      <w:r w:rsidR="00D81BAF">
        <w:t>, unescalated direct costs</w:t>
      </w:r>
      <w:r>
        <w:t>) o</w:t>
      </w:r>
      <w:r w:rsidR="00E8556A">
        <w:t>f AGN’s proposed IT capex of $59</w:t>
      </w:r>
      <w:r>
        <w:t>.7 million ($2014</w:t>
      </w:r>
      <w:r w:rsidR="00D81BAF">
        <w:t>–</w:t>
      </w:r>
      <w:r>
        <w:t>15</w:t>
      </w:r>
      <w:r w:rsidR="00D81BAF">
        <w:t>, unescalated direct costs</w:t>
      </w:r>
      <w:r>
        <w:t>) for the 2016–21 access arrangement period. We have included this amount for non</w:t>
      </w:r>
      <w:r w:rsidR="00E34C0D">
        <w:t>–</w:t>
      </w:r>
      <w:r>
        <w:t xml:space="preserve">network IT capex in our estimate of total capex, which we consider </w:t>
      </w:r>
      <w:r w:rsidR="00826C3D">
        <w:t>is conforming capex that complies with rule 79</w:t>
      </w:r>
      <w:r>
        <w:t>.</w:t>
      </w:r>
    </w:p>
    <w:p w:rsidR="009359D4" w:rsidRDefault="009359D4" w:rsidP="009359D4">
      <w:r>
        <w:t>AGN had proposed a capex program of nine projects. AGN stated that these projects are to complete the nationalisation of IT systems that AGN commenced in the current period, to mitigate the risks associated with core business systems, enable the effective and efficient delivery of Reference Services, and ensure compliance with regulatory obligations.</w:t>
      </w:r>
      <w:r>
        <w:rPr>
          <w:rStyle w:val="FootnoteReference"/>
        </w:rPr>
        <w:footnoteReference w:id="109"/>
      </w:r>
    </w:p>
    <w:p w:rsidR="009359D4" w:rsidRDefault="009626B2" w:rsidP="009359D4">
      <w:r>
        <w:t>AGN’s proposed</w:t>
      </w:r>
      <w:r w:rsidR="009359D4">
        <w:t xml:space="preserve"> large increase in expenditure </w:t>
      </w:r>
      <w:r w:rsidR="00572A8B">
        <w:t xml:space="preserve">is </w:t>
      </w:r>
      <w:r w:rsidR="009359D4">
        <w:t xml:space="preserve">driven by the stage of the IT lifecycle that </w:t>
      </w:r>
      <w:r w:rsidR="00826C3D">
        <w:t xml:space="preserve">it </w:t>
      </w:r>
      <w:r w:rsidR="009359D4">
        <w:t xml:space="preserve">is in. We have conducted individual project reviews to examine the drivers of this change and to determine whether the proposed expenditure </w:t>
      </w:r>
      <w:r w:rsidR="00826C3D">
        <w:t>is conforming capex that complies with rule 79</w:t>
      </w:r>
      <w:r w:rsidR="009359D4">
        <w:t xml:space="preserve">. </w:t>
      </w:r>
    </w:p>
    <w:p w:rsidR="009359D4" w:rsidRDefault="009359D4" w:rsidP="009359D4">
      <w:r>
        <w:t xml:space="preserve">The Consumer Challenge Panel (CCP) submitted that it has concerns regarding the deliverability of the IT program given that it is more than twice the expenditure in the </w:t>
      </w:r>
      <w:r w:rsidR="00826C3D">
        <w:t>2010–1</w:t>
      </w:r>
      <w:r w:rsidR="008E581B">
        <w:t>6</w:t>
      </w:r>
      <w:r w:rsidR="00826C3D">
        <w:t xml:space="preserve"> </w:t>
      </w:r>
      <w:r>
        <w:t>period. The CCP also questioned the need for such a large program, given the pressure on gas prices for consumers as a result of the proposed mains replacement program and also given that much of the IT expenditure appears discretionary.</w:t>
      </w:r>
      <w:r>
        <w:rPr>
          <w:rStyle w:val="FootnoteReference"/>
        </w:rPr>
        <w:footnoteReference w:id="110"/>
      </w:r>
      <w:r>
        <w:t xml:space="preserve"> BusinessSA expressed concerns about the large increase in IT spending compared to the current period. It did not support the increase in expenditure when there is declining consumption and slowing connection rates, unless there is clear evidence that consumers will get tangible savings as a result.</w:t>
      </w:r>
      <w:r>
        <w:rPr>
          <w:rStyle w:val="FootnoteReference"/>
        </w:rPr>
        <w:footnoteReference w:id="111"/>
      </w:r>
      <w:r>
        <w:t xml:space="preserve"> The Energy Consumers Coalition of South Australia (ECCSA) submitted that AGN has not shown how its IT program will benefit consumers. It noted that consumers are relatively content with the quality of current services. ECCSA argued that projects should only be approved if they result in a net benefit from opex reduction in less than four years.</w:t>
      </w:r>
      <w:r>
        <w:rPr>
          <w:rStyle w:val="FootnoteReference"/>
        </w:rPr>
        <w:footnoteReference w:id="112"/>
      </w:r>
      <w:r>
        <w:t xml:space="preserve"> </w:t>
      </w:r>
    </w:p>
    <w:p w:rsidR="009626B2" w:rsidRDefault="009359D4" w:rsidP="009359D4">
      <w:r>
        <w:t xml:space="preserve">As to deliverability, we note that the program is part of a national IT program across AGN’s networks that should </w:t>
      </w:r>
      <w:r w:rsidR="00826C3D">
        <w:t xml:space="preserve">benefit from </w:t>
      </w:r>
      <w:r>
        <w:t xml:space="preserve">economies of scale and scope. </w:t>
      </w:r>
      <w:r w:rsidR="00826C3D">
        <w:t xml:space="preserve">In assessing </w:t>
      </w:r>
      <w:r>
        <w:t xml:space="preserve">whether </w:t>
      </w:r>
      <w:r w:rsidR="00826C3D">
        <w:t xml:space="preserve">the proposed IT capex is conforming capex that complies with </w:t>
      </w:r>
      <w:r>
        <w:t>rule 79</w:t>
      </w:r>
      <w:r w:rsidR="00826C3D">
        <w:t xml:space="preserve">, we have </w:t>
      </w:r>
      <w:r>
        <w:t>examine</w:t>
      </w:r>
      <w:r w:rsidR="00826C3D">
        <w:t>d</w:t>
      </w:r>
      <w:r>
        <w:t xml:space="preserve"> the economic value of the proposed expenditure. The expenditure we have included in our </w:t>
      </w:r>
      <w:r w:rsidR="00731F07">
        <w:t>alternative capex estimate</w:t>
      </w:r>
      <w:r>
        <w:t xml:space="preserve"> is</w:t>
      </w:r>
      <w:r w:rsidR="009626B2">
        <w:t>:</w:t>
      </w:r>
    </w:p>
    <w:p w:rsidR="009626B2" w:rsidRDefault="00826C3D" w:rsidP="001E2DEB">
      <w:pPr>
        <w:pStyle w:val="AERbulletlistfirststyle"/>
      </w:pPr>
      <w:r>
        <w:t xml:space="preserve">is </w:t>
      </w:r>
      <w:r w:rsidR="009359D4">
        <w:t xml:space="preserve">justified </w:t>
      </w:r>
      <w:r w:rsidR="009626B2">
        <w:t xml:space="preserve">under </w:t>
      </w:r>
      <w:r>
        <w:t xml:space="preserve">rule </w:t>
      </w:r>
      <w:r w:rsidR="009626B2">
        <w:t xml:space="preserve">79(2), </w:t>
      </w:r>
      <w:r w:rsidR="009359D4">
        <w:t>because the economic value is positive or it is necessary to maintain or improve the safety of services, maintain the integrity of services, or comply with regulatory obligations</w:t>
      </w:r>
      <w:r w:rsidR="009626B2">
        <w:t>;</w:t>
      </w:r>
    </w:p>
    <w:p w:rsidR="009626B2" w:rsidRDefault="009359D4" w:rsidP="001E2DEB">
      <w:pPr>
        <w:pStyle w:val="AERbulletlistfirststyle"/>
      </w:pPr>
      <w:r>
        <w:t xml:space="preserve">would be incurred by a prudent service provider acting efficiently, in accordance with good industry practice, to achieve the lowest sustainable cost of providing services. </w:t>
      </w:r>
    </w:p>
    <w:p w:rsidR="009359D4" w:rsidRPr="003631D1" w:rsidRDefault="009359D4" w:rsidP="009359D4">
      <w:pPr>
        <w:rPr>
          <w:highlight w:val="yellow"/>
        </w:rPr>
      </w:pPr>
      <w:r>
        <w:t>Origin submitted that we should ensure that the costs of this upgrade are allocated on a per user basis across all of AGN’s networks, regulated and unregulated.</w:t>
      </w:r>
      <w:r>
        <w:rPr>
          <w:rStyle w:val="FootnoteReference"/>
        </w:rPr>
        <w:footnoteReference w:id="113"/>
      </w:r>
      <w:r>
        <w:t xml:space="preserve"> In our assessment, where projects are part of a national program, we examined whether the allocation to AGN’s South Australia network was made on the appropriate basis (customer number, network size, or another metric).</w:t>
      </w:r>
    </w:p>
    <w:p w:rsidR="009359D4" w:rsidRDefault="009359D4" w:rsidP="009359D4">
      <w:pPr>
        <w:pStyle w:val="HeadingBoldItalic"/>
      </w:pPr>
      <w:r>
        <w:t>Individual project reviews</w:t>
      </w:r>
    </w:p>
    <w:p w:rsidR="009359D4" w:rsidRDefault="009359D4" w:rsidP="009359D4">
      <w:r>
        <w:t xml:space="preserve">We reviewed AGN’s nine proposed IT projects to assess whether the proposed capex </w:t>
      </w:r>
      <w:r w:rsidR="0049131C">
        <w:t xml:space="preserve">is conforming capex that complies with </w:t>
      </w:r>
      <w:r>
        <w:t>rule 79. We reviewed AGN’s documentation on IT expenditure, including its Information Technology Plan, businesses cases and responses to our information requests. Of the nine proposed projects</w:t>
      </w:r>
      <w:r w:rsidR="0049131C">
        <w:t>,</w:t>
      </w:r>
      <w:r>
        <w:t xml:space="preserve"> we </w:t>
      </w:r>
      <w:r w:rsidR="0049131C">
        <w:t>consider that the capex associated with the following projects</w:t>
      </w:r>
      <w:r>
        <w:t xml:space="preserve"> </w:t>
      </w:r>
      <w:r w:rsidR="0049131C">
        <w:t>is conforming capex that complies with rule 79</w:t>
      </w:r>
      <w:r>
        <w:t xml:space="preserve">: Applications renewal, Geospatial information system, SCADA IT, Development of digital capabilities and Infrastructure upgrades. </w:t>
      </w:r>
    </w:p>
    <w:p w:rsidR="00D87983" w:rsidRPr="001E2DEB" w:rsidRDefault="00D87983" w:rsidP="009359D4">
      <w:pPr>
        <w:pStyle w:val="ListParagraph"/>
        <w:numPr>
          <w:ilvl w:val="0"/>
          <w:numId w:val="0"/>
        </w:numPr>
        <w:tabs>
          <w:tab w:val="clear" w:pos="340"/>
        </w:tabs>
        <w:rPr>
          <w:b/>
        </w:rPr>
      </w:pPr>
      <w:r w:rsidRPr="001E2DEB">
        <w:rPr>
          <w:b/>
        </w:rPr>
        <w:t>Applications renewal project</w:t>
      </w:r>
    </w:p>
    <w:p w:rsidR="001E2DEB" w:rsidRDefault="009359D4" w:rsidP="009359D4">
      <w:pPr>
        <w:pStyle w:val="ListParagraph"/>
        <w:numPr>
          <w:ilvl w:val="0"/>
          <w:numId w:val="0"/>
        </w:numPr>
        <w:tabs>
          <w:tab w:val="clear" w:pos="340"/>
        </w:tabs>
      </w:pPr>
      <w:r>
        <w:t>AGN has proposed $17.7 million ($2014</w:t>
      </w:r>
      <w:r w:rsidR="00E34C0D">
        <w:t>–</w:t>
      </w:r>
      <w:r>
        <w:t>15) of capex for its Applications renewal project. This project provides for upgrade of key applications across the access arrangement period.</w:t>
      </w:r>
      <w:r>
        <w:rPr>
          <w:rStyle w:val="FootnoteReference"/>
        </w:rPr>
        <w:footnoteReference w:id="114"/>
      </w:r>
      <w:r>
        <w:t xml:space="preserve"> AGN submitted that these upgrades will “ensure that AGN can maintain reliable, compliant and efficient business processes and systems and preserve the on</w:t>
      </w:r>
      <w:r w:rsidR="00E34C0D">
        <w:t>–</w:t>
      </w:r>
      <w:r>
        <w:t>going integrity of services”.</w:t>
      </w:r>
      <w:r>
        <w:rPr>
          <w:rStyle w:val="FootnoteReference"/>
        </w:rPr>
        <w:footnoteReference w:id="115"/>
      </w:r>
      <w:r>
        <w:t xml:space="preserve"> </w:t>
      </w:r>
    </w:p>
    <w:p w:rsidR="009359D4" w:rsidRDefault="009359D4" w:rsidP="009359D4">
      <w:pPr>
        <w:pStyle w:val="ListParagraph"/>
        <w:numPr>
          <w:ilvl w:val="0"/>
          <w:numId w:val="0"/>
        </w:numPr>
        <w:tabs>
          <w:tab w:val="clear" w:pos="340"/>
        </w:tabs>
      </w:pPr>
      <w:r>
        <w:t xml:space="preserve">We are satisfied that this capex is justified as necessary under rule </w:t>
      </w:r>
      <w:r w:rsidR="001E2DEB">
        <w:t xml:space="preserve">79(2)(c). </w:t>
      </w:r>
      <w:r>
        <w:t>AGN has estimated the costs of this project using historic actual costs for similar projects. We are satisfied that this capex would be incurred by a prudent serv</w:t>
      </w:r>
      <w:r w:rsidR="001E2DEB">
        <w:t>ice provider acting efficiently</w:t>
      </w:r>
      <w:r w:rsidR="0049131C">
        <w:t xml:space="preserve"> and that it is conforming capex that complies with rule 79</w:t>
      </w:r>
      <w:r w:rsidR="001E2DEB">
        <w:t>.</w:t>
      </w:r>
      <w:r w:rsidR="001E2DEB">
        <w:rPr>
          <w:rStyle w:val="FootnoteReference"/>
        </w:rPr>
        <w:footnoteReference w:id="116"/>
      </w:r>
      <w:r w:rsidR="001E2DEB">
        <w:t xml:space="preserve"> </w:t>
      </w:r>
      <w:r w:rsidR="0049131C">
        <w:t>W</w:t>
      </w:r>
      <w:r>
        <w:t xml:space="preserve">e have included </w:t>
      </w:r>
      <w:r w:rsidR="0049131C">
        <w:t xml:space="preserve">this </w:t>
      </w:r>
      <w:r>
        <w:t xml:space="preserve">amount in our </w:t>
      </w:r>
      <w:r w:rsidR="0049131C">
        <w:t>alternative capex estimate</w:t>
      </w:r>
      <w:r>
        <w:t>.</w:t>
      </w:r>
    </w:p>
    <w:p w:rsidR="00D87983" w:rsidRPr="001E2DEB" w:rsidRDefault="00D87983" w:rsidP="009359D4">
      <w:pPr>
        <w:rPr>
          <w:b/>
        </w:rPr>
      </w:pPr>
      <w:r w:rsidRPr="001E2DEB">
        <w:rPr>
          <w:b/>
        </w:rPr>
        <w:t>Geospatial information system project</w:t>
      </w:r>
    </w:p>
    <w:p w:rsidR="009359D4" w:rsidRDefault="009359D4" w:rsidP="009359D4">
      <w:r>
        <w:t>AGN has proposed $15.0 million ($2014</w:t>
      </w:r>
      <w:r w:rsidR="00E34C0D">
        <w:t>–</w:t>
      </w:r>
      <w:r>
        <w:t>15) of capex for its Geospatial information system project. It has also proposed opex for this project which is discussed in Attachment 7. This project provides for the upgrade of AGN’s geospatial information system (GIS) which has been out of vendor support since 2010.</w:t>
      </w:r>
      <w:r>
        <w:rPr>
          <w:rStyle w:val="FootnoteReference"/>
        </w:rPr>
        <w:footnoteReference w:id="117"/>
      </w:r>
      <w:r>
        <w:t xml:space="preserve"> Based on AGN’s supplied documentation it </w:t>
      </w:r>
      <w:r w:rsidR="00324C27">
        <w:t xml:space="preserve">is </w:t>
      </w:r>
      <w:r>
        <w:t>necessary to upgrade the GIS because it is no longer vendor supported and increasingly requires manual workarounds to maintain functionality.</w:t>
      </w:r>
      <w:r>
        <w:rPr>
          <w:rStyle w:val="FootnoteReference"/>
        </w:rPr>
        <w:footnoteReference w:id="118"/>
      </w:r>
      <w:r>
        <w:t xml:space="preserve"> AGN’s GIS upgrade is part of a national upgrade. The costs apportioned to South Australia are 40 per cent for procurement, development and planning, and 100 per cent for the South Australian deliver and close portion.</w:t>
      </w:r>
      <w:r>
        <w:rPr>
          <w:rStyle w:val="FootnoteReference"/>
        </w:rPr>
        <w:footnoteReference w:id="119"/>
      </w:r>
      <w:r>
        <w:t xml:space="preserve"> This apportionment of costs is based on South Australia accounting for 40% of customers for this project. We are satisfied that this is an</w:t>
      </w:r>
      <w:r w:rsidR="001E2DEB">
        <w:t xml:space="preserve"> appropriate division of costs and </w:t>
      </w:r>
      <w:r w:rsidR="00E128EE">
        <w:t xml:space="preserve">that AGN’s proposed capex is conforming capex that complies with </w:t>
      </w:r>
      <w:r w:rsidR="001E2DEB">
        <w:t>rule 79 of the NGR.</w:t>
      </w:r>
      <w:r w:rsidR="001E2DEB">
        <w:rPr>
          <w:rStyle w:val="FootnoteReference"/>
        </w:rPr>
        <w:footnoteReference w:id="120"/>
      </w:r>
      <w:r w:rsidR="001E2DEB">
        <w:t xml:space="preserve"> </w:t>
      </w:r>
      <w:r w:rsidR="00E128EE">
        <w:t>W</w:t>
      </w:r>
      <w:r w:rsidR="001E2DEB">
        <w:t xml:space="preserve">e have included </w:t>
      </w:r>
      <w:r w:rsidR="00E128EE">
        <w:t xml:space="preserve">this </w:t>
      </w:r>
      <w:r w:rsidR="001E2DEB">
        <w:t xml:space="preserve">amount in our </w:t>
      </w:r>
      <w:r w:rsidR="00E128EE">
        <w:t xml:space="preserve">alternative </w:t>
      </w:r>
      <w:r w:rsidR="001E2DEB">
        <w:t xml:space="preserve">capex </w:t>
      </w:r>
      <w:r w:rsidR="00E128EE">
        <w:t>estimate</w:t>
      </w:r>
      <w:r w:rsidR="001E2DEB">
        <w:t>.</w:t>
      </w:r>
    </w:p>
    <w:p w:rsidR="00D87983" w:rsidRPr="001E2DEB" w:rsidRDefault="00D87983" w:rsidP="009359D4">
      <w:pPr>
        <w:rPr>
          <w:b/>
        </w:rPr>
      </w:pPr>
      <w:r w:rsidRPr="001E2DEB">
        <w:rPr>
          <w:b/>
        </w:rPr>
        <w:t>SCADA IT</w:t>
      </w:r>
    </w:p>
    <w:p w:rsidR="00D87983" w:rsidRDefault="009359D4" w:rsidP="009359D4">
      <w:r>
        <w:t>AGN has proposed $3.3 million ($2014</w:t>
      </w:r>
      <w:r w:rsidR="00E34C0D">
        <w:t>–</w:t>
      </w:r>
      <w:r>
        <w:t>15) for SCADA IT. This project is an upgrade of the SCADA system to AGN’s national standard and replacement of the South Australian Historian system with an SA specific module on the Networks Interval Metering Data System application. Based on AGN’s supplied documentation, these upgrades are necessary due to the Historian system reaching a capacity constraint in 2017 and the non</w:t>
      </w:r>
      <w:r w:rsidR="00E34C0D">
        <w:t>–</w:t>
      </w:r>
      <w:r>
        <w:t>standard SA specific SCADA implementation.</w:t>
      </w:r>
      <w:r>
        <w:rPr>
          <w:rStyle w:val="FootnoteReference"/>
        </w:rPr>
        <w:footnoteReference w:id="121"/>
      </w:r>
      <w:r>
        <w:t xml:space="preserve"> We are satisfied that </w:t>
      </w:r>
      <w:r w:rsidR="001E2DEB">
        <w:t xml:space="preserve">its proposed capex is </w:t>
      </w:r>
      <w:r w:rsidR="002B589E">
        <w:t xml:space="preserve">conforming capex that complies </w:t>
      </w:r>
      <w:r w:rsidR="001E2DEB">
        <w:t>with rule 79 of the NGR.</w:t>
      </w:r>
      <w:r w:rsidR="001E2DEB">
        <w:rPr>
          <w:rStyle w:val="FootnoteReference"/>
        </w:rPr>
        <w:footnoteReference w:id="122"/>
      </w:r>
      <w:r w:rsidR="001E2DEB">
        <w:t xml:space="preserve"> </w:t>
      </w:r>
      <w:r w:rsidR="002B589E">
        <w:t>W</w:t>
      </w:r>
      <w:r>
        <w:t xml:space="preserve">e have </w:t>
      </w:r>
      <w:r w:rsidR="002B589E">
        <w:t xml:space="preserve">therefore </w:t>
      </w:r>
      <w:r>
        <w:t xml:space="preserve">included </w:t>
      </w:r>
      <w:r w:rsidR="002B589E">
        <w:t xml:space="preserve">AGN’s proposal for SCADA IT </w:t>
      </w:r>
      <w:r>
        <w:t xml:space="preserve">in our </w:t>
      </w:r>
      <w:r w:rsidR="002B589E">
        <w:t xml:space="preserve">alternative </w:t>
      </w:r>
      <w:r>
        <w:t xml:space="preserve">capex </w:t>
      </w:r>
      <w:r w:rsidR="002B589E">
        <w:t xml:space="preserve">estimate </w:t>
      </w:r>
      <w:r>
        <w:t>for this project.</w:t>
      </w:r>
    </w:p>
    <w:p w:rsidR="00D87983" w:rsidRPr="001E2DEB" w:rsidRDefault="00D87983" w:rsidP="009359D4">
      <w:pPr>
        <w:rPr>
          <w:b/>
        </w:rPr>
      </w:pPr>
      <w:r w:rsidRPr="001E2DEB">
        <w:rPr>
          <w:b/>
        </w:rPr>
        <w:t>Development of digital capabilities project</w:t>
      </w:r>
    </w:p>
    <w:p w:rsidR="009359D4" w:rsidRDefault="009359D4" w:rsidP="009359D4">
      <w:r>
        <w:t>AGN has proposed $0.9 million ($2015</w:t>
      </w:r>
      <w:r w:rsidR="00E34C0D">
        <w:t>–</w:t>
      </w:r>
      <w:r>
        <w:t>15) for its Development of digital capabilities project. It has also proposed opex for this project which is discussed in Attachment 7. This project is to establish a digital platform for AGN to deliver online digital services and communications for customers and stakeholders.</w:t>
      </w:r>
      <w:r>
        <w:rPr>
          <w:rStyle w:val="FootnoteReference"/>
        </w:rPr>
        <w:footnoteReference w:id="123"/>
      </w:r>
      <w:r>
        <w:t xml:space="preserve"> AGN, through its customer engagement program, found that stakeholders were not satisfied with its digital presence. AGN engaged consultants to develop a strategic plan for its online presence, which AGN is implementing with this project.</w:t>
      </w:r>
      <w:r>
        <w:rPr>
          <w:rStyle w:val="FootnoteReference"/>
        </w:rPr>
        <w:footnoteReference w:id="124"/>
      </w:r>
      <w:r>
        <w:t xml:space="preserve"> AGN submitted that this capex is necessary to maintain the integrity of its services. This project is for all of AGN’s businesses nationally. The costs proposed by AGN represent 36 per cent of the national costs.</w:t>
      </w:r>
      <w:r>
        <w:rPr>
          <w:rStyle w:val="FootnoteReference"/>
        </w:rPr>
        <w:footnoteReference w:id="125"/>
      </w:r>
      <w:r>
        <w:t xml:space="preserve"> AGN’s South Australian network has approximately 36 per cent of AGN’s customers. </w:t>
      </w:r>
      <w:r w:rsidR="001E2DEB">
        <w:t xml:space="preserve">We are satisfied that its proposed capex is </w:t>
      </w:r>
      <w:r w:rsidR="00E128EE">
        <w:t xml:space="preserve">conforming capex that complies </w:t>
      </w:r>
      <w:r w:rsidR="001E2DEB">
        <w:t>with rule 79 of the NGR.</w:t>
      </w:r>
      <w:r w:rsidR="001E2DEB">
        <w:rPr>
          <w:rStyle w:val="FootnoteReference"/>
        </w:rPr>
        <w:footnoteReference w:id="126"/>
      </w:r>
      <w:r w:rsidR="001E2DEB">
        <w:t xml:space="preserve"> </w:t>
      </w:r>
      <w:r w:rsidR="002B589E">
        <w:t>W</w:t>
      </w:r>
      <w:r>
        <w:t>e have</w:t>
      </w:r>
      <w:r w:rsidR="002B589E">
        <w:t xml:space="preserve"> therefore</w:t>
      </w:r>
      <w:r>
        <w:t xml:space="preserve"> included </w:t>
      </w:r>
      <w:r w:rsidR="002B589E">
        <w:t xml:space="preserve">AGN’s proposal for its Development of digital capabilities </w:t>
      </w:r>
      <w:r>
        <w:t xml:space="preserve">project in our </w:t>
      </w:r>
      <w:r w:rsidR="00E128EE">
        <w:t>alternative capex estimate</w:t>
      </w:r>
      <w:r>
        <w:t>.</w:t>
      </w:r>
    </w:p>
    <w:p w:rsidR="00D87983" w:rsidRPr="001E2DEB" w:rsidRDefault="00D87983" w:rsidP="009062F9">
      <w:pPr>
        <w:keepNext/>
        <w:rPr>
          <w:b/>
        </w:rPr>
      </w:pPr>
      <w:r w:rsidRPr="001E2DEB">
        <w:rPr>
          <w:b/>
        </w:rPr>
        <w:t>Infrastructure upgrades</w:t>
      </w:r>
    </w:p>
    <w:p w:rsidR="009359D4" w:rsidRDefault="009359D4" w:rsidP="009359D4">
      <w:r>
        <w:t>AGN has proposed $1.0 million ($2014</w:t>
      </w:r>
      <w:r w:rsidR="00E34C0D">
        <w:t>–</w:t>
      </w:r>
      <w:r>
        <w:t xml:space="preserve">15) for </w:t>
      </w:r>
      <w:r w:rsidR="00E128EE">
        <w:t>i</w:t>
      </w:r>
      <w:r>
        <w:t>nfrastructure upgrades. This project involves upgrading desktop computers and telephony infrastructure.</w:t>
      </w:r>
      <w:r>
        <w:rPr>
          <w:rStyle w:val="FootnoteReference"/>
        </w:rPr>
        <w:footnoteReference w:id="127"/>
      </w:r>
      <w:r>
        <w:t xml:space="preserve"> The existing desktop operating platform is six years old and is typically refreshed on a 3</w:t>
      </w:r>
      <w:r w:rsidR="00E34C0D">
        <w:t>–</w:t>
      </w:r>
      <w:r>
        <w:t>7 year cycle. The existing telephony system is over ten years old and AGN submitted that it is increasingly difficult to source spare parts for the system.</w:t>
      </w:r>
      <w:r>
        <w:rPr>
          <w:rStyle w:val="FootnoteReference"/>
        </w:rPr>
        <w:footnoteReference w:id="128"/>
      </w:r>
      <w:r>
        <w:t xml:space="preserve"> Based o</w:t>
      </w:r>
      <w:r w:rsidR="001E2DEB">
        <w:t xml:space="preserve">n AGN’s submitted documentation, we are satisfied that its proposed capex is </w:t>
      </w:r>
      <w:r w:rsidR="00E128EE">
        <w:t xml:space="preserve">conforming capex that complies </w:t>
      </w:r>
      <w:r w:rsidR="001E2DEB">
        <w:t>with rule 79 of the NGR.</w:t>
      </w:r>
      <w:r w:rsidR="001E2DEB">
        <w:rPr>
          <w:rStyle w:val="FootnoteReference"/>
        </w:rPr>
        <w:footnoteReference w:id="129"/>
      </w:r>
      <w:r>
        <w:t xml:space="preserve"> </w:t>
      </w:r>
      <w:r w:rsidR="002B589E">
        <w:t>We have therefore included AGN’s proposal for its infrastructure upgrades in our alternative capex estimate</w:t>
      </w:r>
      <w:r>
        <w:t xml:space="preserve">. </w:t>
      </w:r>
    </w:p>
    <w:p w:rsidR="00D87983" w:rsidRPr="001E2DEB" w:rsidRDefault="00D87983" w:rsidP="009359D4">
      <w:pPr>
        <w:rPr>
          <w:b/>
        </w:rPr>
      </w:pPr>
      <w:r w:rsidRPr="001E2DEB">
        <w:rPr>
          <w:b/>
        </w:rPr>
        <w:t>Mobility IT</w:t>
      </w:r>
    </w:p>
    <w:p w:rsidR="001E2DEB" w:rsidRDefault="009359D4" w:rsidP="009359D4">
      <w:r>
        <w:t>AGN has proposed $9.0 million ($2014</w:t>
      </w:r>
      <w:r w:rsidR="00E34C0D">
        <w:t>–</w:t>
      </w:r>
      <w:r>
        <w:t>15) for its Mobility IT project. It has also proposed opex for this project which is discussed in Attachment 7. This project involves automating current paper</w:t>
      </w:r>
      <w:r w:rsidR="00E34C0D">
        <w:t>–</w:t>
      </w:r>
      <w:r>
        <w:t xml:space="preserve">based and manual processes and integrating mobile devices into the field work force. We are not satisfied that </w:t>
      </w:r>
      <w:r w:rsidR="002B589E">
        <w:t xml:space="preserve">the proposed capex for </w:t>
      </w:r>
      <w:r>
        <w:t xml:space="preserve">this project is necessary to maintain and improve safety of services, to maintain the integrity of services or to comply with regulatory obligations. </w:t>
      </w:r>
    </w:p>
    <w:p w:rsidR="009359D4" w:rsidRDefault="009359D4" w:rsidP="009359D4">
      <w:r>
        <w:t>Based on AGN’s documentation, this project appears discretionary because while it does provide improvements over the current paper based system, there are not significant problems with the current system</w:t>
      </w:r>
      <w:r w:rsidR="00324C27">
        <w:t xml:space="preserve"> to justify a step increase in costs</w:t>
      </w:r>
      <w:r>
        <w:t>.</w:t>
      </w:r>
      <w:r>
        <w:rPr>
          <w:rStyle w:val="FootnoteReference"/>
        </w:rPr>
        <w:footnoteReference w:id="130"/>
      </w:r>
      <w:r>
        <w:t xml:space="preserve"> AGN has rated the risk from not doing this project as a priority 3 (on a scale of 1 to 4, with 1 being greatest risk). The risk after completing this project is priority 4.</w:t>
      </w:r>
      <w:r>
        <w:rPr>
          <w:rStyle w:val="FootnoteReference"/>
        </w:rPr>
        <w:footnoteReference w:id="131"/>
      </w:r>
      <w:r>
        <w:t xml:space="preserve"> This project generate</w:t>
      </w:r>
      <w:r w:rsidR="00324C27">
        <w:t>s</w:t>
      </w:r>
      <w:r>
        <w:t xml:space="preserve"> some ongoing cost savings for AGN, but it does not have a net positive economic value. </w:t>
      </w:r>
      <w:r w:rsidR="002B589E">
        <w:t>We are not satisfied that this capex is conforming capex because it is not justified under rule 79(2) of the NGR. We have therefore not included AGN’s proposal for its mobility IT project in our alternative capex estimate.</w:t>
      </w:r>
    </w:p>
    <w:p w:rsidR="00D87983" w:rsidRPr="001E2DEB" w:rsidRDefault="00D87983" w:rsidP="009359D4">
      <w:pPr>
        <w:rPr>
          <w:b/>
        </w:rPr>
      </w:pPr>
      <w:r w:rsidRPr="001E2DEB">
        <w:rPr>
          <w:b/>
        </w:rPr>
        <w:t>Business Intelligence project</w:t>
      </w:r>
    </w:p>
    <w:p w:rsidR="001E2DEB" w:rsidRDefault="009359D4" w:rsidP="009359D4">
      <w:r>
        <w:t>AGN has proposed $8.6 million ($2014</w:t>
      </w:r>
      <w:r w:rsidR="00E34C0D">
        <w:t>–</w:t>
      </w:r>
      <w:r>
        <w:t>15) for its Business intelligence project. This project involves increasing data analysis and improved reporting through integration of various data sources within the AGN IT suite.</w:t>
      </w:r>
      <w:r w:rsidRPr="00AA23B0">
        <w:t xml:space="preserve"> </w:t>
      </w:r>
      <w:r>
        <w:t xml:space="preserve">We are not satisfied that </w:t>
      </w:r>
      <w:r w:rsidR="002B589E">
        <w:t xml:space="preserve">the proposed capex for </w:t>
      </w:r>
      <w:r>
        <w:t>this project is necessary to maintain and improve safety of services, to maintain the integrity of services and to comply with regulatory obligations.</w:t>
      </w:r>
    </w:p>
    <w:p w:rsidR="009359D4" w:rsidRDefault="009359D4" w:rsidP="009359D4">
      <w:r>
        <w:t xml:space="preserve">Based on AGN’s documentation, </w:t>
      </w:r>
      <w:r w:rsidR="00324C27">
        <w:t xml:space="preserve">our draft decision is that </w:t>
      </w:r>
      <w:r>
        <w:t xml:space="preserve">this project </w:t>
      </w:r>
      <w:r w:rsidR="00324C27">
        <w:t xml:space="preserve">is </w:t>
      </w:r>
      <w:r>
        <w:t xml:space="preserve">discretionary </w:t>
      </w:r>
      <w:r w:rsidR="00324C27">
        <w:t xml:space="preserve">in nature </w:t>
      </w:r>
      <w:r>
        <w:t>because while it does provide improvements in data analysis and usage, AGN has not identified deficiencies in these areas that require addressing.</w:t>
      </w:r>
      <w:r>
        <w:rPr>
          <w:rStyle w:val="FootnoteReference"/>
        </w:rPr>
        <w:footnoteReference w:id="132"/>
      </w:r>
      <w:r>
        <w:t xml:space="preserve"> AGN has rated the risk from not doing this project as a priority 3 (on a scale of 1 to 4, with 1 being greatest risk). The risk after completing the project is unchanged at priority 3.</w:t>
      </w:r>
      <w:r>
        <w:rPr>
          <w:rStyle w:val="FootnoteReference"/>
        </w:rPr>
        <w:footnoteReference w:id="133"/>
      </w:r>
      <w:r>
        <w:t xml:space="preserve"> This project does generate some ongoing cost savings for AGN, but it does not have a net positive economic value so is not justified under rule 79(2)(a). </w:t>
      </w:r>
      <w:r w:rsidR="002B589E">
        <w:t>As we are not satisfied that this capex is conforming capex because it is not justified under rule 79</w:t>
      </w:r>
      <w:r w:rsidR="000D5BA7">
        <w:t>,</w:t>
      </w:r>
      <w:r w:rsidR="002B589E">
        <w:t xml:space="preserve"> we have therefore not included AGN’s proposal for its business intelligence project in our alternative capex estimate.</w:t>
      </w:r>
    </w:p>
    <w:p w:rsidR="00D87983" w:rsidRPr="001E2DEB" w:rsidRDefault="00D87983" w:rsidP="009359D4">
      <w:pPr>
        <w:rPr>
          <w:b/>
        </w:rPr>
      </w:pPr>
      <w:r w:rsidRPr="001E2DEB">
        <w:rPr>
          <w:b/>
        </w:rPr>
        <w:t>Remote meter reading trial</w:t>
      </w:r>
    </w:p>
    <w:p w:rsidR="000957E7" w:rsidRDefault="009359D4" w:rsidP="009359D4">
      <w:r>
        <w:t>AGN has proposed $2.5 million ($2014</w:t>
      </w:r>
      <w:r w:rsidR="00E34C0D">
        <w:t>–</w:t>
      </w:r>
      <w:r>
        <w:t>15) for its Remote meter reading trial. It has also proposed opex for this project which is discussed in Attachment 7. This project involves trialling automated meter reading for sites that have historically had poor access (mainly due to customer security and privacy concerns) and in a new subdivision in the early stages of development.</w:t>
      </w:r>
      <w:r>
        <w:rPr>
          <w:rStyle w:val="FootnoteReference"/>
        </w:rPr>
        <w:footnoteReference w:id="134"/>
      </w:r>
      <w:r>
        <w:t xml:space="preserve"> AGN submitted that this project is justified because it is necessary to comply with the regulatory obligation that an actual meter read must be carried out each year.</w:t>
      </w:r>
      <w:r>
        <w:rPr>
          <w:rStyle w:val="FootnoteReference"/>
        </w:rPr>
        <w:footnoteReference w:id="135"/>
      </w:r>
      <w:r>
        <w:t xml:space="preserve"> </w:t>
      </w:r>
    </w:p>
    <w:p w:rsidR="009359D4" w:rsidRDefault="009359D4" w:rsidP="009359D4">
      <w:r>
        <w:t>We are not satisfied that this</w:t>
      </w:r>
      <w:r w:rsidR="002B589E">
        <w:t xml:space="preserve"> proposed capex is justified. W</w:t>
      </w:r>
      <w:r>
        <w:t xml:space="preserve">hile AGN must carry out an actual meter read annually, under the National Energy Customer Framework, customers must provide AGN with safe and unhindered access to allow AGN to read their meters. The Government of South Australia submitted that it was concerned that this project would lead to gas consumers across the network funding meter changes to address </w:t>
      </w:r>
      <w:r w:rsidR="00324C27">
        <w:t>site</w:t>
      </w:r>
      <w:r w:rsidR="00E34C0D">
        <w:t>–</w:t>
      </w:r>
      <w:r>
        <w:t>specific problems, and therefore did not support this project.</w:t>
      </w:r>
      <w:r>
        <w:rPr>
          <w:rStyle w:val="FootnoteReference"/>
        </w:rPr>
        <w:footnoteReference w:id="136"/>
      </w:r>
      <w:r>
        <w:t xml:space="preserve"> We agree with this submission</w:t>
      </w:r>
      <w:r w:rsidR="00324C27">
        <w:t xml:space="preserve"> that where there are site</w:t>
      </w:r>
      <w:r w:rsidR="00E34C0D">
        <w:t>–</w:t>
      </w:r>
      <w:r w:rsidR="00324C27">
        <w:t>specific problems, the associated costs should be borne by the specific customers</w:t>
      </w:r>
      <w:r>
        <w:t xml:space="preserve">. </w:t>
      </w:r>
    </w:p>
    <w:p w:rsidR="009359D4" w:rsidRDefault="009359D4" w:rsidP="009359D4">
      <w:r>
        <w:t>AGN also submitted that this project was consistent the insights from its stakeholder engagement.</w:t>
      </w:r>
      <w:r>
        <w:rPr>
          <w:rStyle w:val="FootnoteReference"/>
        </w:rPr>
        <w:footnoteReference w:id="137"/>
      </w:r>
      <w:r>
        <w:t xml:space="preserve"> </w:t>
      </w:r>
      <w:r w:rsidR="00324C27">
        <w:t>However,</w:t>
      </w:r>
      <w:r>
        <w:t xml:space="preserve"> AGN’s willingness to pay survey found that only 44% of customers were willing to pay $3 per year for remote meter reading.</w:t>
      </w:r>
      <w:r>
        <w:rPr>
          <w:rStyle w:val="FootnoteReference"/>
        </w:rPr>
        <w:footnoteReference w:id="138"/>
      </w:r>
      <w:r>
        <w:t xml:space="preserve"> On this basis, AGN scaled down its planned roll out of remote meter reading devices to the trial that is proposal in their Access Arrangement Information. </w:t>
      </w:r>
      <w:r w:rsidR="00324C27">
        <w:t xml:space="preserve">Nevertheless, as </w:t>
      </w:r>
      <w:r>
        <w:t xml:space="preserve">we are not satisfied that this project is justified under rule 79(2), we have not included it in our </w:t>
      </w:r>
      <w:r w:rsidR="002B589E">
        <w:t>alternative capex estimate.</w:t>
      </w:r>
    </w:p>
    <w:p w:rsidR="00D87983" w:rsidRPr="000957E7" w:rsidRDefault="00D87983" w:rsidP="009359D4">
      <w:pPr>
        <w:rPr>
          <w:b/>
        </w:rPr>
      </w:pPr>
      <w:r w:rsidRPr="000957E7">
        <w:rPr>
          <w:b/>
        </w:rPr>
        <w:t>Industry change projects</w:t>
      </w:r>
    </w:p>
    <w:p w:rsidR="009359D4" w:rsidRDefault="009359D4" w:rsidP="009359D4">
      <w:r>
        <w:t>AGN has proposed $1.8 million ($2014</w:t>
      </w:r>
      <w:r w:rsidR="00E34C0D">
        <w:t>–</w:t>
      </w:r>
      <w:r>
        <w:t>15) for Industry change projects. This project is for the costs associated with potential, but not yet determined, AEMO changes to the Retail Market Procedures. AGN stated that the costs are expected to fall below the threshold for a pass through and therefore AGN needs an allowance to cover these costs.</w:t>
      </w:r>
      <w:r>
        <w:rPr>
          <w:rStyle w:val="FootnoteReference"/>
        </w:rPr>
        <w:footnoteReference w:id="139"/>
      </w:r>
      <w:r>
        <w:t xml:space="preserve"> AGN submitted that this project is justified because it is necessary to maintain the integrity of services in the changing IT environment and to comply with a regulatory obligation.</w:t>
      </w:r>
      <w:r>
        <w:rPr>
          <w:rStyle w:val="FootnoteReference"/>
        </w:rPr>
        <w:footnoteReference w:id="140"/>
      </w:r>
      <w:r>
        <w:t xml:space="preserve"> As there is no specific regulatory requirement made at this time, we are not satisfied that this capex is necessary. </w:t>
      </w:r>
      <w:r w:rsidR="00324C27">
        <w:t xml:space="preserve">Therefore, we have not included an allowance for this project in our total </w:t>
      </w:r>
      <w:r w:rsidR="002E51E4">
        <w:t xml:space="preserve">alternative </w:t>
      </w:r>
      <w:r w:rsidR="00324C27">
        <w:t xml:space="preserve">capex </w:t>
      </w:r>
      <w:r w:rsidR="002E51E4">
        <w:t>estimate</w:t>
      </w:r>
      <w:r w:rsidR="00324C27">
        <w:t xml:space="preserve">. </w:t>
      </w:r>
      <w:r>
        <w:t xml:space="preserve">If, when the changes to the Retail Market Procedures are announced, AGN finds that their costs to comply will be material, they may be able to recover these costs through a pass through for a regulatory change event. </w:t>
      </w:r>
    </w:p>
    <w:p w:rsidR="009359D4" w:rsidRPr="009359D4" w:rsidRDefault="009359D4" w:rsidP="009359D4">
      <w:r>
        <w:t>In summary, we do not accept AGN’s IT capex forecast. Instead we have included an amount</w:t>
      </w:r>
      <w:r w:rsidR="002E51E4">
        <w:t xml:space="preserve"> of $37.85 million in our alternative capex estimate </w:t>
      </w:r>
      <w:r w:rsidR="00CF19B2">
        <w:t>that we consider is conforming capex that complies with rule 79</w:t>
      </w:r>
      <w:r>
        <w:t>.</w:t>
      </w:r>
    </w:p>
    <w:p w:rsidR="00957695" w:rsidRPr="00D85ABF" w:rsidRDefault="00957695" w:rsidP="00D85ABF">
      <w:pPr>
        <w:pStyle w:val="HeadingBoldBlue"/>
      </w:pPr>
      <w:bookmarkStart w:id="59" w:name="_Toc435534602"/>
      <w:r w:rsidRPr="00D85ABF">
        <w:t>Regulators and valves</w:t>
      </w:r>
      <w:bookmarkEnd w:id="59"/>
    </w:p>
    <w:p w:rsidR="00957695" w:rsidRDefault="00957695" w:rsidP="00957695">
      <w:r>
        <w:t>AGN stated regulator stations and valves play a critical role in regulating gas pressures and flows.</w:t>
      </w:r>
      <w:r>
        <w:rPr>
          <w:rStyle w:val="FootnoteReference"/>
        </w:rPr>
        <w:footnoteReference w:id="141"/>
      </w:r>
      <w:r>
        <w:t xml:space="preserve"> AGN stated its forecast expenditure of $13.6 million ($2014–15, unescalated direct costs) for this category is necessary to maintain and improve the safety of services and to main</w:t>
      </w:r>
      <w:r w:rsidR="000957E7">
        <w:t>tain the integrity of services</w:t>
      </w:r>
      <w:r>
        <w:t>.</w:t>
      </w:r>
      <w:r>
        <w:rPr>
          <w:rStyle w:val="FootnoteReference"/>
        </w:rPr>
        <w:footnoteReference w:id="142"/>
      </w:r>
    </w:p>
    <w:p w:rsidR="00957695" w:rsidRDefault="00957695" w:rsidP="00957695">
      <w:r>
        <w:t>We</w:t>
      </w:r>
      <w:r w:rsidR="00D87983">
        <w:t xml:space="preserve"> have</w:t>
      </w:r>
      <w:r>
        <w:t xml:space="preserve"> include</w:t>
      </w:r>
      <w:r w:rsidR="00D87983">
        <w:t>d</w:t>
      </w:r>
      <w:r w:rsidR="002E51E4">
        <w:t xml:space="preserve"> the proposed capex of</w:t>
      </w:r>
      <w:r w:rsidRPr="00035DA4">
        <w:t xml:space="preserve"> $</w:t>
      </w:r>
      <w:r>
        <w:t xml:space="preserve">11.0 </w:t>
      </w:r>
      <w:r w:rsidRPr="00035DA4">
        <w:t>million ($201</w:t>
      </w:r>
      <w:r>
        <w:t>4–15</w:t>
      </w:r>
      <w:r w:rsidR="002E51E4">
        <w:t>, unescalated direct costs) for</w:t>
      </w:r>
      <w:r w:rsidRPr="00035DA4">
        <w:t xml:space="preserve"> </w:t>
      </w:r>
      <w:r>
        <w:t xml:space="preserve">regulators and valves </w:t>
      </w:r>
      <w:r w:rsidRPr="00035DA4">
        <w:t>capex in o</w:t>
      </w:r>
      <w:r>
        <w:t>ur capex forecast</w:t>
      </w:r>
      <w:r w:rsidR="000957E7">
        <w:t xml:space="preserve">. </w:t>
      </w:r>
      <w:r w:rsidRPr="00035DA4">
        <w:t>We consider this capex complies with r</w:t>
      </w:r>
      <w:r w:rsidR="00D019F4">
        <w:t>ule</w:t>
      </w:r>
      <w:r w:rsidRPr="00035DA4">
        <w:t xml:space="preserve"> 79(1) of the NGR for the following reasons:</w:t>
      </w:r>
    </w:p>
    <w:p w:rsidR="00957695" w:rsidRDefault="00957695" w:rsidP="00957695">
      <w:pPr>
        <w:pStyle w:val="AERbulletlistfirststyle"/>
      </w:pPr>
      <w:r>
        <w:t>we consider regulators and valves projects</w:t>
      </w:r>
      <w:r w:rsidRPr="00035DA4">
        <w:t xml:space="preserve"> totalling $</w:t>
      </w:r>
      <w:r>
        <w:t>11.0</w:t>
      </w:r>
      <w:r w:rsidRPr="00035DA4">
        <w:t xml:space="preserve"> million ($201</w:t>
      </w:r>
      <w:r>
        <w:t>4–15</w:t>
      </w:r>
      <w:r w:rsidRPr="00035DA4">
        <w:t>, unescalated direct costs)</w:t>
      </w:r>
      <w:r>
        <w:t xml:space="preserve"> </w:t>
      </w:r>
      <w:r w:rsidRPr="00035DA4">
        <w:t xml:space="preserve">are justifiable and necessary </w:t>
      </w:r>
      <w:r>
        <w:t>under the NGR</w:t>
      </w:r>
      <w:r w:rsidRPr="00035DA4">
        <w:t>.</w:t>
      </w:r>
      <w:r>
        <w:rPr>
          <w:rStyle w:val="FootnoteReference"/>
        </w:rPr>
        <w:footnoteReference w:id="143"/>
      </w:r>
    </w:p>
    <w:p w:rsidR="00957695" w:rsidRDefault="00957695" w:rsidP="00957695">
      <w:pPr>
        <w:pStyle w:val="AERbulletlistfirststyle"/>
      </w:pPr>
      <w:r>
        <w:t xml:space="preserve">we consider the proposed project, ‘Relocation of meters’ (SA75) should not be included in the calculation of Reference Tariffs. This results in a $2.3 million </w:t>
      </w:r>
      <w:r w:rsidRPr="00035DA4">
        <w:t>($201</w:t>
      </w:r>
      <w:r>
        <w:t>4–15</w:t>
      </w:r>
      <w:r w:rsidRPr="00035DA4">
        <w:t>, unescalated direct costs)</w:t>
      </w:r>
      <w:r>
        <w:t xml:space="preserve"> reduction to AGN’s capex forecast.</w:t>
      </w:r>
    </w:p>
    <w:p w:rsidR="00957695" w:rsidRDefault="00957695" w:rsidP="00957695">
      <w:pPr>
        <w:pStyle w:val="AERbulletlistfirststyle"/>
      </w:pPr>
      <w:r>
        <w:t xml:space="preserve">we consider the proposed project, ‘Valve corrosion protection’ (SA09), is an opex item. We have therefore included this project in our assessment of AGN’s opex forecast (see attachment 7). This results in a $0.3 million </w:t>
      </w:r>
      <w:r w:rsidRPr="00035DA4">
        <w:t>($201</w:t>
      </w:r>
      <w:r>
        <w:t>4–15</w:t>
      </w:r>
      <w:r w:rsidRPr="00035DA4">
        <w:t>, unescalated direct costs)</w:t>
      </w:r>
      <w:r>
        <w:t xml:space="preserve"> reduction to AGN’s capex forecast.</w:t>
      </w:r>
    </w:p>
    <w:p w:rsidR="00957695" w:rsidRDefault="00957695" w:rsidP="00957695">
      <w:r>
        <w:t xml:space="preserve">In undertaking our assessment of other distribution system capex, we sought </w:t>
      </w:r>
      <w:r w:rsidR="002E51E4">
        <w:t xml:space="preserve">advice </w:t>
      </w:r>
      <w:r>
        <w:t>from Sleeman Consulting</w:t>
      </w:r>
      <w:r w:rsidR="002E51E4">
        <w:t xml:space="preserve"> who </w:t>
      </w:r>
      <w:r>
        <w:t>examined the business cases and requested further information from AGN. We discuss the reasons for adjusting certain projects within this capex category below.</w:t>
      </w:r>
    </w:p>
    <w:p w:rsidR="00957695" w:rsidRDefault="00957695" w:rsidP="00957695">
      <w:pPr>
        <w:pStyle w:val="HeadingBoldItalic"/>
      </w:pPr>
      <w:r>
        <w:t>Below ground regulators (SA22)</w:t>
      </w:r>
    </w:p>
    <w:p w:rsidR="00957695" w:rsidRDefault="00957695" w:rsidP="00957695">
      <w:r>
        <w:t>We are satisfied AGN’s forecast expenditure of $5.0 million ($2014–15, unescalated direct costs) for the SA22 project is conforming capex</w:t>
      </w:r>
      <w:r w:rsidR="002E51E4">
        <w:t xml:space="preserve"> that complies with rule 79</w:t>
      </w:r>
      <w:r>
        <w:t>.</w:t>
      </w:r>
      <w:r>
        <w:rPr>
          <w:rStyle w:val="FootnoteReference"/>
        </w:rPr>
        <w:footnoteReference w:id="144"/>
      </w:r>
    </w:p>
    <w:p w:rsidR="00A0281F" w:rsidRDefault="002E51E4" w:rsidP="00A0281F">
      <w:r>
        <w:t xml:space="preserve">We were persuaded by </w:t>
      </w:r>
      <w:r w:rsidRPr="00967DDA">
        <w:t>Sleeman Consulting</w:t>
      </w:r>
      <w:r>
        <w:t>’s advice</w:t>
      </w:r>
      <w:r w:rsidRPr="00967DDA">
        <w:t xml:space="preserve"> </w:t>
      </w:r>
      <w:r>
        <w:t xml:space="preserve">that </w:t>
      </w:r>
      <w:r w:rsidRPr="00967DDA">
        <w:t>the volumes and expenditures</w:t>
      </w:r>
      <w:r>
        <w:t xml:space="preserve"> associated with this project are reasonable</w:t>
      </w:r>
      <w:r w:rsidR="00A0281F" w:rsidRPr="00967DDA">
        <w:t>.</w:t>
      </w:r>
      <w:r w:rsidR="00A0281F">
        <w:rPr>
          <w:rStyle w:val="FootnoteReference"/>
        </w:rPr>
        <w:footnoteReference w:id="145"/>
      </w:r>
      <w:r w:rsidR="00A0281F" w:rsidRPr="00967DDA">
        <w:t xml:space="preserve"> We </w:t>
      </w:r>
      <w:r w:rsidR="00A0281F">
        <w:t xml:space="preserve">agree with </w:t>
      </w:r>
      <w:r w:rsidR="00A0281F" w:rsidRPr="00967DDA">
        <w:t xml:space="preserve">Sleeman Consulting's advice. </w:t>
      </w:r>
    </w:p>
    <w:p w:rsidR="00957695" w:rsidRDefault="00957695" w:rsidP="00957695">
      <w:r w:rsidRPr="00967DDA">
        <w:t>AGN proposed to replace 15 below ground regulators which are near the end of their working lives</w:t>
      </w:r>
      <w:r w:rsidR="00B03737">
        <w:t>.</w:t>
      </w:r>
      <w:r w:rsidR="00550554">
        <w:t xml:space="preserve"> </w:t>
      </w:r>
      <w:r w:rsidRPr="00967DDA">
        <w:t>This is the continuation of a program the AER approved in the previous review.</w:t>
      </w:r>
      <w:r>
        <w:rPr>
          <w:rStyle w:val="FootnoteReference"/>
        </w:rPr>
        <w:footnoteReference w:id="146"/>
      </w:r>
      <w:r w:rsidRPr="00967DDA">
        <w:t xml:space="preserve"> </w:t>
      </w:r>
      <w:r w:rsidR="00B03737">
        <w:t>We assess that it is prudent to replace 15 below ground regulators over the 2016</w:t>
      </w:r>
      <w:r w:rsidR="00E34C0D">
        <w:t>–</w:t>
      </w:r>
      <w:r w:rsidR="00B03737">
        <w:t xml:space="preserve">21 access arrangement period due to asset deterioration. </w:t>
      </w:r>
      <w:r w:rsidR="00B03737" w:rsidRPr="00967DDA">
        <w:t>We note AGN proposed to replace 26 below ground regulators, which we accepted, in the previous review.</w:t>
      </w:r>
      <w:r w:rsidR="00B03737">
        <w:rPr>
          <w:rStyle w:val="FootnoteReference"/>
        </w:rPr>
        <w:footnoteReference w:id="147"/>
      </w:r>
      <w:r w:rsidR="00B03737" w:rsidRPr="00967DDA">
        <w:t xml:space="preserve"> AGN stated it expects to have finished replacing 21 below ground regulators in the 2011</w:t>
      </w:r>
      <w:r w:rsidR="00E34C0D">
        <w:t>–</w:t>
      </w:r>
      <w:r w:rsidR="00B03737" w:rsidRPr="00967DDA">
        <w:t xml:space="preserve">16 </w:t>
      </w:r>
      <w:proofErr w:type="gramStart"/>
      <w:r w:rsidR="00B03737" w:rsidRPr="00967DDA">
        <w:t>period</w:t>
      </w:r>
      <w:proofErr w:type="gramEnd"/>
      <w:r w:rsidR="00B03737" w:rsidRPr="00967DDA">
        <w:t>.</w:t>
      </w:r>
      <w:r w:rsidR="00B03737">
        <w:rPr>
          <w:rStyle w:val="FootnoteReference"/>
        </w:rPr>
        <w:footnoteReference w:id="148"/>
      </w:r>
      <w:r w:rsidR="00B03737">
        <w:t xml:space="preserve"> </w:t>
      </w:r>
      <w:r w:rsidR="00362D1B" w:rsidRPr="00967DDA">
        <w:t>This is 80 per cent of the volume it forecast, which we consider is a reasonable variance.</w:t>
      </w:r>
      <w:r w:rsidR="004625C6">
        <w:t xml:space="preserve"> </w:t>
      </w:r>
      <w:r w:rsidR="00A0281F">
        <w:t xml:space="preserve">We consider AGN provided reasonable explanations for the variance. </w:t>
      </w:r>
      <w:r w:rsidR="00BC561C">
        <w:t>AGN stated it was not able to complete the program in the 2011–16 period because the work was more complex than it originally anticipated. For example, the unexpected presence of asbestos coated pipe</w:t>
      </w:r>
      <w:r w:rsidR="00A0281F">
        <w:t xml:space="preserve"> increased construction time in some sites. There was also difficulty in site selection and associated lengthy third</w:t>
      </w:r>
      <w:r w:rsidR="00E34C0D">
        <w:t>–</w:t>
      </w:r>
      <w:r w:rsidR="00A0281F">
        <w:t>party negotiations.</w:t>
      </w:r>
      <w:r w:rsidR="00A0281F">
        <w:rPr>
          <w:rStyle w:val="FootnoteReference"/>
        </w:rPr>
        <w:footnoteReference w:id="149"/>
      </w:r>
    </w:p>
    <w:p w:rsidR="00957695" w:rsidRDefault="00957695" w:rsidP="00957695">
      <w:pPr>
        <w:pStyle w:val="HeadingBoldItalic"/>
      </w:pPr>
      <w:r>
        <w:t>Relocation of meters (SA75)</w:t>
      </w:r>
    </w:p>
    <w:p w:rsidR="00957695" w:rsidRDefault="00957695" w:rsidP="00957695">
      <w:r>
        <w:t xml:space="preserve">We consider the proposed </w:t>
      </w:r>
      <w:r w:rsidR="002E51E4">
        <w:t xml:space="preserve">capex for the </w:t>
      </w:r>
      <w:r>
        <w:t>project, ‘Relocation of meters’ (SA75) should not be included in the calculation of Reference Tariffs.</w:t>
      </w:r>
    </w:p>
    <w:p w:rsidR="00957695" w:rsidRDefault="00957695" w:rsidP="00957695">
      <w:r>
        <w:t>In the 201</w:t>
      </w:r>
      <w:r w:rsidR="00BC561C">
        <w:t>1</w:t>
      </w:r>
      <w:r w:rsidR="008E581B">
        <w:t>–</w:t>
      </w:r>
      <w:r>
        <w:t>16 period, requesting customers paid for meter relocation services. However, some customers elected to not proceed to avoid the cost of the relocation. In some cases, this left the meters in a potentially vulnerable location. AGN therefore proposed to include customer</w:t>
      </w:r>
      <w:r w:rsidR="00E34C0D">
        <w:t>–</w:t>
      </w:r>
      <w:r>
        <w:t>requested meter relocations in Reference Tariffs.</w:t>
      </w:r>
      <w:r>
        <w:rPr>
          <w:rStyle w:val="FootnoteReference"/>
        </w:rPr>
        <w:footnoteReference w:id="150"/>
      </w:r>
      <w:r>
        <w:t xml:space="preserve"> </w:t>
      </w:r>
    </w:p>
    <w:p w:rsidR="00957695" w:rsidRDefault="00957695" w:rsidP="00957695">
      <w:r>
        <w:t>We consider customers requesting this service should bear the cost, consistent with the approach in the 201</w:t>
      </w:r>
      <w:r w:rsidR="008E581B">
        <w:t>0–</w:t>
      </w:r>
      <w:r>
        <w:t>16 period. We therefore do not consider it appropriate to include this in the calculation of Reference Tariffs.</w:t>
      </w:r>
    </w:p>
    <w:p w:rsidR="00957695" w:rsidRDefault="00957695" w:rsidP="00957695">
      <w:r>
        <w:t>The CCP and Alternative Technology Association submitted that this project did not receive overwhelming support in AGN's WTP study.</w:t>
      </w:r>
      <w:r>
        <w:rPr>
          <w:rStyle w:val="FootnoteReference"/>
        </w:rPr>
        <w:footnoteReference w:id="151"/>
      </w:r>
      <w:r>
        <w:t xml:space="preserve"> The CCP also suggested AGN may have under</w:t>
      </w:r>
      <w:r w:rsidR="00E34C0D">
        <w:t>–</w:t>
      </w:r>
      <w:r>
        <w:t>represented the unit cost of this project in its WTP study (or over</w:t>
      </w:r>
      <w:r w:rsidR="00E34C0D">
        <w:t>–</w:t>
      </w:r>
      <w:r>
        <w:t>estimated it in their business case).</w:t>
      </w:r>
      <w:r>
        <w:rPr>
          <w:rStyle w:val="FootnoteReference"/>
        </w:rPr>
        <w:footnoteReference w:id="152"/>
      </w:r>
      <w:r>
        <w:t xml:space="preserve"> The SA Government </w:t>
      </w:r>
      <w:r w:rsidR="008E581B">
        <w:t xml:space="preserve">stated that </w:t>
      </w:r>
      <w:r>
        <w:t>it does not object to this project being in Reference Tariffs as long as it is a once</w:t>
      </w:r>
      <w:r w:rsidR="00E34C0D">
        <w:t>–</w:t>
      </w:r>
      <w:r>
        <w:t xml:space="preserve">off project to resolve legacy issues. However, </w:t>
      </w:r>
      <w:r w:rsidR="00CF19B2">
        <w:t xml:space="preserve">the SA Government </w:t>
      </w:r>
      <w:r>
        <w:t xml:space="preserve">also </w:t>
      </w:r>
      <w:r w:rsidR="008E581B">
        <w:t xml:space="preserve">stated that </w:t>
      </w:r>
      <w:r>
        <w:t>it was reasonable that the cost of this program was not recovered from Reference Tariffs.</w:t>
      </w:r>
      <w:r>
        <w:rPr>
          <w:rStyle w:val="FootnoteReference"/>
        </w:rPr>
        <w:footnoteReference w:id="153"/>
      </w:r>
    </w:p>
    <w:p w:rsidR="00957695" w:rsidRDefault="00957695" w:rsidP="00957695">
      <w:pPr>
        <w:pStyle w:val="HeadingBoldItalic"/>
      </w:pPr>
      <w:r>
        <w:t>I&amp;C meter sets (SA33)</w:t>
      </w:r>
    </w:p>
    <w:p w:rsidR="00957695" w:rsidRDefault="00957695" w:rsidP="00957695">
      <w:r>
        <w:t>We are satisfied AGN’s forecast expenditure of $2.0 million ($2014–15, unescalated direct costs) for the SA33 project is conforming capex</w:t>
      </w:r>
      <w:r w:rsidR="008E581B">
        <w:t xml:space="preserve"> that complies with rule 79</w:t>
      </w:r>
      <w:r>
        <w:t>.</w:t>
      </w:r>
      <w:r>
        <w:rPr>
          <w:rStyle w:val="FootnoteReference"/>
        </w:rPr>
        <w:footnoteReference w:id="154"/>
      </w:r>
    </w:p>
    <w:p w:rsidR="00957695" w:rsidRDefault="00957695" w:rsidP="00957695">
      <w:r w:rsidRPr="00967DDA">
        <w:t>AGN proposed to upgrade the metering sites for 24 demand customers (&gt;10TJ) because of non</w:t>
      </w:r>
      <w:r w:rsidR="00E34C0D">
        <w:t>–</w:t>
      </w:r>
      <w:r w:rsidRPr="00967DDA">
        <w:t>compliance with current safety requirements.</w:t>
      </w:r>
      <w:r>
        <w:rPr>
          <w:rStyle w:val="FootnoteReference"/>
        </w:rPr>
        <w:footnoteReference w:id="155"/>
      </w:r>
      <w:r w:rsidRPr="00967DDA">
        <w:t xml:space="preserve"> We agree with Sleeman Consulting that this project is reasonable and prudent</w:t>
      </w:r>
      <w:r w:rsidR="002A1F6E">
        <w:t>. This project will ensure AGN complies with current standards, avoid the reuse of degraded equipment,</w:t>
      </w:r>
      <w:r w:rsidRPr="00967DDA">
        <w:t xml:space="preserve"> and would ensure safety at customer sites.</w:t>
      </w:r>
      <w:r>
        <w:rPr>
          <w:rStyle w:val="FootnoteReference"/>
        </w:rPr>
        <w:footnoteReference w:id="156"/>
      </w:r>
      <w:r w:rsidR="002E51E4">
        <w:t xml:space="preserve"> Taking into account </w:t>
      </w:r>
      <w:r w:rsidR="002E51E4" w:rsidRPr="00967DDA">
        <w:t>Sleeman Consulting</w:t>
      </w:r>
      <w:r w:rsidR="002E51E4">
        <w:t>’s advice, we agree</w:t>
      </w:r>
      <w:r w:rsidR="002E51E4" w:rsidRPr="00967DDA">
        <w:t xml:space="preserve"> that this project is reasonable and prudent</w:t>
      </w:r>
      <w:r w:rsidR="002E51E4">
        <w:t>.</w:t>
      </w:r>
    </w:p>
    <w:p w:rsidR="00957695" w:rsidRDefault="00957695" w:rsidP="00957695">
      <w:pPr>
        <w:pStyle w:val="HeadingBoldItalic"/>
      </w:pPr>
      <w:r>
        <w:t>Valve corrosion protection (SA09)</w:t>
      </w:r>
    </w:p>
    <w:p w:rsidR="00957695" w:rsidRDefault="00957695" w:rsidP="00957695">
      <w:r>
        <w:t>We consider the proposed</w:t>
      </w:r>
      <w:r w:rsidR="002E51E4">
        <w:t xml:space="preserve"> capex for the </w:t>
      </w:r>
      <w:r>
        <w:t>project, ‘Pitting issues under sleeves’ (SA21a), is an opex item. We have therefore included this project in our assessment of AGN’s opex forecast</w:t>
      </w:r>
      <w:r w:rsidR="00A5141E">
        <w:t xml:space="preserve"> where we are not satisfied AGN requires additional funding for this work</w:t>
      </w:r>
      <w:r>
        <w:t xml:space="preserve"> (see attachment 7).</w:t>
      </w:r>
    </w:p>
    <w:p w:rsidR="00957695" w:rsidRPr="00957695" w:rsidRDefault="00957695" w:rsidP="00957695">
      <w:r w:rsidRPr="00967DDA">
        <w:t>This project involves blasting valves with significant corrosion and coating them to protect from further corrosion.</w:t>
      </w:r>
      <w:r>
        <w:rPr>
          <w:rStyle w:val="FootnoteReference"/>
        </w:rPr>
        <w:footnoteReference w:id="157"/>
      </w:r>
      <w:r w:rsidRPr="00967DDA">
        <w:t xml:space="preserve"> This is a continuation of a program that AGN proposed in the current access arrangement period, which we accepted. In our draft and final decision for the previous access arrangement review, we included this project in </w:t>
      </w:r>
      <w:r w:rsidR="00172166">
        <w:t>our alternative</w:t>
      </w:r>
      <w:r w:rsidRPr="00967DDA">
        <w:t xml:space="preserve"> opex </w:t>
      </w:r>
      <w:r w:rsidR="00731F07">
        <w:t>estimate</w:t>
      </w:r>
      <w:r w:rsidRPr="00967DDA">
        <w:t>.</w:t>
      </w:r>
      <w:r>
        <w:rPr>
          <w:rStyle w:val="FootnoteReference"/>
        </w:rPr>
        <w:footnoteReference w:id="158"/>
      </w:r>
      <w:r w:rsidRPr="00967DDA">
        <w:t xml:space="preserve"> AGN, then Envestra, agreed with this classification in its revised proposal.</w:t>
      </w:r>
      <w:r>
        <w:rPr>
          <w:rStyle w:val="FootnoteReference"/>
        </w:rPr>
        <w:footnoteReference w:id="159"/>
      </w:r>
      <w:r w:rsidRPr="00967DDA">
        <w:t xml:space="preserve"> </w:t>
      </w:r>
      <w:r>
        <w:t>The CCP</w:t>
      </w:r>
      <w:r w:rsidRPr="00002013">
        <w:t xml:space="preserve"> </w:t>
      </w:r>
      <w:r>
        <w:t>also asked whether this project is a maintenance activity (opex)</w:t>
      </w:r>
      <w:r w:rsidRPr="00002013">
        <w:t>.</w:t>
      </w:r>
      <w:r>
        <w:rPr>
          <w:rStyle w:val="FootnoteReference"/>
        </w:rPr>
        <w:footnoteReference w:id="160"/>
      </w:r>
      <w:r w:rsidRPr="00002013">
        <w:t xml:space="preserve"> </w:t>
      </w:r>
      <w:r w:rsidRPr="00967DDA">
        <w:t>We therefore consider we should assess this project as opex.</w:t>
      </w:r>
    </w:p>
    <w:p w:rsidR="00957695" w:rsidRPr="00D85ABF" w:rsidRDefault="00957695" w:rsidP="00D85ABF">
      <w:pPr>
        <w:pStyle w:val="HeadingBoldBlue"/>
      </w:pPr>
      <w:bookmarkStart w:id="60" w:name="_Ref433787938"/>
      <w:bookmarkStart w:id="61" w:name="_Toc435534603"/>
      <w:r w:rsidRPr="00D85ABF">
        <w:t>Other distribution system</w:t>
      </w:r>
      <w:bookmarkEnd w:id="60"/>
      <w:bookmarkEnd w:id="61"/>
    </w:p>
    <w:p w:rsidR="00957695" w:rsidRDefault="00957695" w:rsidP="00957695">
      <w:r w:rsidRPr="00CB4378">
        <w:t>This c</w:t>
      </w:r>
      <w:r>
        <w:t>ategory captures distribution system capex that do not fall into the categories we discussed above. AGN provided the justification</w:t>
      </w:r>
      <w:r w:rsidR="00D87983">
        <w:t xml:space="preserve"> of its proposed $37 million for other distribution system capex</w:t>
      </w:r>
      <w:r>
        <w:t>, including the assessment against NGR requirements and its stakeholder program, in the business case for each project.</w:t>
      </w:r>
      <w:r>
        <w:rPr>
          <w:rStyle w:val="FootnoteReference"/>
        </w:rPr>
        <w:footnoteReference w:id="161"/>
      </w:r>
    </w:p>
    <w:p w:rsidR="002E51E4" w:rsidRDefault="002E51E4" w:rsidP="002E51E4">
      <w:r>
        <w:t>We have included</w:t>
      </w:r>
      <w:r w:rsidRPr="00035DA4">
        <w:t xml:space="preserve"> $</w:t>
      </w:r>
      <w:r>
        <w:t xml:space="preserve">10.0 </w:t>
      </w:r>
      <w:r w:rsidRPr="00035DA4">
        <w:t>million ($201</w:t>
      </w:r>
      <w:r>
        <w:t>4–15</w:t>
      </w:r>
      <w:r w:rsidRPr="00035DA4">
        <w:t xml:space="preserve">, unescalated direct costs) of </w:t>
      </w:r>
      <w:r>
        <w:t>other distribution system</w:t>
      </w:r>
      <w:r w:rsidRPr="00035DA4">
        <w:t xml:space="preserve"> capex in o</w:t>
      </w:r>
      <w:r>
        <w:t xml:space="preserve">ur alternative capex estimate. </w:t>
      </w:r>
      <w:r w:rsidRPr="00035DA4">
        <w:t xml:space="preserve">We consider this capex </w:t>
      </w:r>
      <w:r>
        <w:t xml:space="preserve">is conforming capex that </w:t>
      </w:r>
      <w:r w:rsidRPr="00035DA4">
        <w:t>complies with r</w:t>
      </w:r>
      <w:r w:rsidR="00D019F4">
        <w:t>ule</w:t>
      </w:r>
      <w:r w:rsidRPr="00035DA4">
        <w:t xml:space="preserve"> 79(1) of the NGR for the following reasons:</w:t>
      </w:r>
    </w:p>
    <w:p w:rsidR="002E51E4" w:rsidRDefault="002E51E4" w:rsidP="002E51E4">
      <w:pPr>
        <w:pStyle w:val="AERbulletlistfirststyle"/>
      </w:pPr>
      <w:r>
        <w:t>we consider the proposed capex for the 5</w:t>
      </w:r>
      <w:r w:rsidRPr="00035DA4">
        <w:t xml:space="preserve"> smaller scale augmentation projects totalling $</w:t>
      </w:r>
      <w:r>
        <w:t>4.1</w:t>
      </w:r>
      <w:r w:rsidRPr="00035DA4">
        <w:t xml:space="preserve"> million ($201</w:t>
      </w:r>
      <w:r>
        <w:t>4–15</w:t>
      </w:r>
      <w:r w:rsidRPr="00035DA4">
        <w:t>, unescalated direct costs)</w:t>
      </w:r>
      <w:r>
        <w:t xml:space="preserve"> is</w:t>
      </w:r>
      <w:r w:rsidRPr="00035DA4">
        <w:t xml:space="preserve"> </w:t>
      </w:r>
      <w:r>
        <w:t xml:space="preserve">conforming capex that complies with rule 79 because it is </w:t>
      </w:r>
      <w:r w:rsidRPr="00035DA4">
        <w:t>justifi</w:t>
      </w:r>
      <w:r>
        <w:t>ed</w:t>
      </w:r>
      <w:r>
        <w:rPr>
          <w:rStyle w:val="FootnoteReference"/>
        </w:rPr>
        <w:footnoteReference w:id="162"/>
      </w:r>
    </w:p>
    <w:p w:rsidR="002E51E4" w:rsidRDefault="002E51E4" w:rsidP="002E51E4">
      <w:pPr>
        <w:pStyle w:val="AERbulletlistfirststyle"/>
      </w:pPr>
      <w:r>
        <w:t xml:space="preserve">we do not consider the proposed capex for several proposed projects totalling $25.5 million </w:t>
      </w:r>
      <w:r w:rsidRPr="00035DA4">
        <w:t>($201</w:t>
      </w:r>
      <w:r>
        <w:t>4–15</w:t>
      </w:r>
      <w:r w:rsidRPr="00035DA4">
        <w:t>, unescalated direct costs)</w:t>
      </w:r>
      <w:r>
        <w:t xml:space="preserve"> is conforming capex (which we discuss in more detail below). </w:t>
      </w:r>
    </w:p>
    <w:p w:rsidR="002E51E4" w:rsidRDefault="002E51E4" w:rsidP="002E51E4">
      <w:pPr>
        <w:pStyle w:val="AERbulletlistfirststyle"/>
      </w:pPr>
      <w:proofErr w:type="gramStart"/>
      <w:r>
        <w:t>we</w:t>
      </w:r>
      <w:proofErr w:type="gramEnd"/>
      <w:r>
        <w:t xml:space="preserve"> consider the proposed capex for the project, ‘</w:t>
      </w:r>
      <w:r w:rsidR="00D019F4">
        <w:t>Non–compliant</w:t>
      </w:r>
      <w:r>
        <w:t xml:space="preserve"> meter installations’ (SA32), totalling $1.4 million </w:t>
      </w:r>
      <w:r w:rsidRPr="00035DA4">
        <w:t>($201</w:t>
      </w:r>
      <w:r>
        <w:t>4–15</w:t>
      </w:r>
      <w:r w:rsidRPr="00035DA4">
        <w:t>, unescalated direct costs)</w:t>
      </w:r>
      <w:r>
        <w:t xml:space="preserve"> is an opex item. We have therefore included this project in our assessment of AGN’s opex forecast (see attachment 7). </w:t>
      </w:r>
    </w:p>
    <w:p w:rsidR="002E51E4" w:rsidRDefault="002E51E4" w:rsidP="002E51E4">
      <w:r>
        <w:t>In undertaking our assessment of other distribution system capex, we sought advice from Sleeman Consulting, who examined the business cases submitted by AGN and requested further information from AGN. We discuss the reasons for adjusting certain projects within this capex category below.</w:t>
      </w:r>
    </w:p>
    <w:p w:rsidR="00957695" w:rsidRDefault="00957695" w:rsidP="00957695">
      <w:r>
        <w:t>We note t</w:t>
      </w:r>
      <w:r w:rsidRPr="00A01C5A">
        <w:t>he Energy Consumers Coalition of SA also questioned the need for the projects in 'Other distribution system' given AGN already received funding for many of them in the current access arrangement period.</w:t>
      </w:r>
      <w:r>
        <w:rPr>
          <w:rStyle w:val="FootnoteReference"/>
        </w:rPr>
        <w:footnoteReference w:id="163"/>
      </w:r>
    </w:p>
    <w:p w:rsidR="00957695" w:rsidRDefault="00957695" w:rsidP="00957695">
      <w:pPr>
        <w:pStyle w:val="HeadingBoldItalic"/>
      </w:pPr>
      <w:r>
        <w:t>HDPE live camera inspection and repairs (SA52)</w:t>
      </w:r>
    </w:p>
    <w:p w:rsidR="00957695" w:rsidRDefault="00957695" w:rsidP="00957695">
      <w:r>
        <w:t>We are not satisfied the AGN’s forecast expenditure of $11.</w:t>
      </w:r>
      <w:r w:rsidR="00B03737">
        <w:t>3</w:t>
      </w:r>
      <w:r>
        <w:t xml:space="preserve"> million ($2014–15, unescalated direct costs) for the SA52 project is conforming capex</w:t>
      </w:r>
      <w:r w:rsidR="00CF19B2">
        <w:t xml:space="preserve"> that complies with rule 79</w:t>
      </w:r>
      <w:r>
        <w:t xml:space="preserve">. The discussion on </w:t>
      </w:r>
      <w:r w:rsidRPr="00A01C5A">
        <w:t>AGN’s mains replacement program</w:t>
      </w:r>
      <w:r>
        <w:t xml:space="preserve"> contains our assessment of this project</w:t>
      </w:r>
      <w:r w:rsidRPr="00A01C5A">
        <w:t>.</w:t>
      </w:r>
    </w:p>
    <w:p w:rsidR="00957695" w:rsidRDefault="00957695" w:rsidP="00957695">
      <w:pPr>
        <w:pStyle w:val="HeadingBoldItalic"/>
      </w:pPr>
      <w:r>
        <w:t>Fire safety valves (SA31)</w:t>
      </w:r>
    </w:p>
    <w:p w:rsidR="00957695" w:rsidRDefault="00957695" w:rsidP="00957695">
      <w:r>
        <w:t xml:space="preserve">We are not satisfied AGN’s forecast expenditure </w:t>
      </w:r>
      <w:r w:rsidR="005C5F9A">
        <w:t xml:space="preserve">of </w:t>
      </w:r>
      <w:r>
        <w:t>$10.5 million</w:t>
      </w:r>
      <w:r w:rsidR="005C5F9A">
        <w:t xml:space="preserve"> (</w:t>
      </w:r>
      <w:r>
        <w:t>$2014–15 unescalated direct costs) for the fire safety valves project (SA31) is conforming capex</w:t>
      </w:r>
      <w:r w:rsidR="00CF19B2" w:rsidRPr="00CF19B2">
        <w:t xml:space="preserve"> </w:t>
      </w:r>
      <w:r w:rsidR="00CF19B2">
        <w:t>that complies with rule 79</w:t>
      </w:r>
      <w:r>
        <w:t xml:space="preserve">. Based on advice from Sleeman Consulting, </w:t>
      </w:r>
      <w:r w:rsidR="005C5F9A">
        <w:t>we consider that</w:t>
      </w:r>
      <w:r>
        <w:t xml:space="preserve"> </w:t>
      </w:r>
      <w:r w:rsidR="00C754BC">
        <w:t>$</w:t>
      </w:r>
      <w:r>
        <w:t>5</w:t>
      </w:r>
      <w:r w:rsidR="00B03737">
        <w:t>2</w:t>
      </w:r>
      <w:r w:rsidR="00C754BC">
        <w:t>0 000</w:t>
      </w:r>
      <w:r>
        <w:t xml:space="preserve"> ($2014–15 unescalated direct costs) is conforming capex for this project.</w:t>
      </w:r>
      <w:r>
        <w:rPr>
          <w:rStyle w:val="FootnoteReference"/>
        </w:rPr>
        <w:footnoteReference w:id="164"/>
      </w:r>
      <w:r w:rsidR="00B03737">
        <w:t xml:space="preserve"> Our draft decision is to include </w:t>
      </w:r>
      <w:r w:rsidR="00C754BC">
        <w:t xml:space="preserve">$520 000 </w:t>
      </w:r>
      <w:r w:rsidR="00A0281F">
        <w:t xml:space="preserve">($2014–15 unescalated direct costs) </w:t>
      </w:r>
      <w:r w:rsidR="00C754BC">
        <w:t>as conforming capex.</w:t>
      </w:r>
    </w:p>
    <w:p w:rsidR="00957695" w:rsidRDefault="00957695" w:rsidP="00957695">
      <w:r w:rsidRPr="00A01C5A">
        <w:t>The capex proposed involves continuing the current program of installing fire safety valves in bushfire risk areas</w:t>
      </w:r>
      <w:r>
        <w:t>.</w:t>
      </w:r>
      <w:r w:rsidRPr="00A01C5A">
        <w:t xml:space="preserve"> </w:t>
      </w:r>
      <w:r>
        <w:t xml:space="preserve">AGN </w:t>
      </w:r>
      <w:r w:rsidRPr="00A01C5A">
        <w:t xml:space="preserve">also </w:t>
      </w:r>
      <w:r>
        <w:t xml:space="preserve">proposed </w:t>
      </w:r>
      <w:r w:rsidRPr="00A01C5A">
        <w:t>to expand the program to install the valves in other areas (non</w:t>
      </w:r>
      <w:r w:rsidR="00E34C0D">
        <w:t>–</w:t>
      </w:r>
      <w:r w:rsidRPr="00A01C5A">
        <w:t>bush fire prone areas).</w:t>
      </w:r>
      <w:r>
        <w:t xml:space="preserve"> We discuss these components below.</w:t>
      </w:r>
    </w:p>
    <w:p w:rsidR="00957695" w:rsidRDefault="00957695" w:rsidP="00957695">
      <w:r w:rsidRPr="00A01C5A">
        <w:t>In the previous review, AGN proposed to install fire safety valves in</w:t>
      </w:r>
      <w:r>
        <w:t xml:space="preserve"> approximately</w:t>
      </w:r>
      <w:r w:rsidRPr="00A01C5A">
        <w:t xml:space="preserve"> 14,0</w:t>
      </w:r>
      <w:r>
        <w:t>00</w:t>
      </w:r>
      <w:r w:rsidRPr="00A01C5A">
        <w:t xml:space="preserve"> connections in bushfire risk areas, which we accepted.</w:t>
      </w:r>
      <w:r>
        <w:rPr>
          <w:rStyle w:val="FootnoteReference"/>
        </w:rPr>
        <w:footnoteReference w:id="165"/>
      </w:r>
      <w:r w:rsidRPr="00A01C5A">
        <w:t xml:space="preserve"> AGN </w:t>
      </w:r>
      <w:r w:rsidR="008E581B">
        <w:t xml:space="preserve">submitted that </w:t>
      </w:r>
      <w:r w:rsidRPr="00A01C5A">
        <w:t>it expects to have installed 4,800 units in the 201</w:t>
      </w:r>
      <w:r w:rsidR="008E581B">
        <w:t>0–</w:t>
      </w:r>
      <w:r w:rsidRPr="00A01C5A">
        <w:t>16 period, and proposed to complete the remaining 9,900 units in the 2016–17 year.</w:t>
      </w:r>
      <w:r>
        <w:rPr>
          <w:rStyle w:val="FootnoteReference"/>
        </w:rPr>
        <w:footnoteReference w:id="166"/>
      </w:r>
      <w:r w:rsidRPr="00A01C5A">
        <w:t xml:space="preserve"> </w:t>
      </w:r>
    </w:p>
    <w:p w:rsidR="00957695" w:rsidRDefault="00957695" w:rsidP="00957695">
      <w:r w:rsidRPr="00A01C5A">
        <w:t>Sleeman Consulting recommended reducing the volumes forecast for these installations to 1,000 installations per annum, reflecting the annual rate AGN achieved in recent years.</w:t>
      </w:r>
      <w:r>
        <w:rPr>
          <w:rStyle w:val="FootnoteReference"/>
        </w:rPr>
        <w:footnoteReference w:id="167"/>
      </w:r>
      <w:r w:rsidRPr="00A01C5A">
        <w:t xml:space="preserve"> We consider that the number of actual installations AGN has undertaken in the current period</w:t>
      </w:r>
      <w:r w:rsidR="00D13F89">
        <w:t xml:space="preserve"> is </w:t>
      </w:r>
      <w:r w:rsidRPr="00A01C5A">
        <w:t>efficient</w:t>
      </w:r>
      <w:r>
        <w:t xml:space="preserve">. </w:t>
      </w:r>
      <w:r w:rsidR="00C754BC">
        <w:t>We also expect that AGN would have undertaken more installations if there was a safety concern. In this regard, we consider that the actual number of installations it undertook over the current period</w:t>
      </w:r>
      <w:r>
        <w:t xml:space="preserve"> reveals,</w:t>
      </w:r>
      <w:r w:rsidRPr="00A01C5A">
        <w:t xml:space="preserve"> from a risk basis, the </w:t>
      </w:r>
      <w:r>
        <w:t xml:space="preserve">efficient </w:t>
      </w:r>
      <w:r w:rsidRPr="00A01C5A">
        <w:t>number of installations to be undertaken from a safety</w:t>
      </w:r>
      <w:r w:rsidR="00466507">
        <w:t xml:space="preserve"> and service integrity</w:t>
      </w:r>
      <w:r w:rsidRPr="00A01C5A">
        <w:t xml:space="preserve"> perspective.</w:t>
      </w:r>
      <w:r>
        <w:t xml:space="preserve"> </w:t>
      </w:r>
      <w:r w:rsidR="00C754BC">
        <w:t xml:space="preserve">AGN also did not provide convincing evidence that an increase in the installation rate from the current period is warranted. </w:t>
      </w:r>
      <w:r>
        <w:t xml:space="preserve">We </w:t>
      </w:r>
      <w:r w:rsidR="00C754BC">
        <w:t xml:space="preserve">therefore </w:t>
      </w:r>
      <w:r>
        <w:t>agree</w:t>
      </w:r>
      <w:r w:rsidRPr="00A01C5A">
        <w:t xml:space="preserve"> with Sleeman Consulting that an amount of $52</w:t>
      </w:r>
      <w:r>
        <w:t>0</w:t>
      </w:r>
      <w:r w:rsidR="00742729">
        <w:t xml:space="preserve"> </w:t>
      </w:r>
      <w:r w:rsidRPr="00A01C5A">
        <w:t>000 is reasonable for the continued installation of fire safety values in bushfire prone areas</w:t>
      </w:r>
      <w:r w:rsidR="00C754BC" w:rsidRPr="00C754BC">
        <w:t xml:space="preserve"> </w:t>
      </w:r>
      <w:r w:rsidR="00C754BC" w:rsidRPr="00A01C5A">
        <w:t>f</w:t>
      </w:r>
      <w:r w:rsidR="00C754BC">
        <w:t>or the 2016–21 access arrangement period</w:t>
      </w:r>
      <w:r w:rsidRPr="00A01C5A">
        <w:t xml:space="preserve">. </w:t>
      </w:r>
    </w:p>
    <w:p w:rsidR="00957695" w:rsidRDefault="00957695" w:rsidP="00957695">
      <w:r w:rsidRPr="00A01C5A">
        <w:t>We do not accept that capex is required for the expanded program to install the valves in other ar</w:t>
      </w:r>
      <w:r>
        <w:t>eas (non</w:t>
      </w:r>
      <w:r w:rsidR="00E34C0D">
        <w:t>–</w:t>
      </w:r>
      <w:r>
        <w:t>bush fire prone areas)</w:t>
      </w:r>
      <w:r w:rsidRPr="00A01C5A">
        <w:t>.</w:t>
      </w:r>
      <w:r>
        <w:rPr>
          <w:rStyle w:val="FootnoteReference"/>
        </w:rPr>
        <w:footnoteReference w:id="168"/>
      </w:r>
      <w:r w:rsidRPr="00A01C5A">
        <w:t xml:space="preserve"> More specifically, the expanded program involves installing valves to 1) approximately 800 domestic properties where gas meters are in proximity to brush fences, and 2) all new (8,500 per annum) and changeover (16,000 to 37,000 per annum) domestic meter installations. </w:t>
      </w:r>
    </w:p>
    <w:p w:rsidR="00957695" w:rsidRDefault="008E581B" w:rsidP="00957695">
      <w:r>
        <w:t>T</w:t>
      </w:r>
      <w:r w:rsidR="00957695" w:rsidRPr="00A01C5A">
        <w:t xml:space="preserve">hese </w:t>
      </w:r>
      <w:r w:rsidR="00957695">
        <w:t xml:space="preserve">additions to the rollout of fire safety valves </w:t>
      </w:r>
      <w:r w:rsidR="00957695" w:rsidRPr="00A01C5A">
        <w:t>are</w:t>
      </w:r>
      <w:r w:rsidR="005C5F9A">
        <w:t xml:space="preserve"> not</w:t>
      </w:r>
      <w:r w:rsidR="00957695" w:rsidRPr="00A01C5A">
        <w:t xml:space="preserve"> </w:t>
      </w:r>
      <w:r w:rsidR="00957695">
        <w:t>conforming capex under the NGR</w:t>
      </w:r>
      <w:r w:rsidR="00957695" w:rsidRPr="00A01C5A">
        <w:t>.</w:t>
      </w:r>
      <w:r w:rsidR="00957695">
        <w:rPr>
          <w:rStyle w:val="FootnoteReference"/>
        </w:rPr>
        <w:footnoteReference w:id="169"/>
      </w:r>
      <w:r w:rsidR="00957695" w:rsidRPr="00A01C5A">
        <w:t xml:space="preserve"> Sleeman Consulting considers the risk of damage from a brush fence fire to be very low, and street access remains available for isolation of the domestic service.</w:t>
      </w:r>
      <w:r w:rsidR="00957695">
        <w:rPr>
          <w:rStyle w:val="FootnoteReference"/>
        </w:rPr>
        <w:footnoteReference w:id="170"/>
      </w:r>
      <w:r w:rsidR="00957695" w:rsidRPr="00A01C5A">
        <w:t xml:space="preserve"> Regarding domestic meter installations, Sleeman Consulting </w:t>
      </w:r>
      <w:r w:rsidR="005C5F9A">
        <w:t xml:space="preserve">advised </w:t>
      </w:r>
      <w:r w:rsidR="00957695" w:rsidRPr="00A01C5A">
        <w:t>that internal fires pose the greater risk, whereas fire safety valves protect from external fires (where the risk of a fire in a non</w:t>
      </w:r>
      <w:r w:rsidR="00E34C0D">
        <w:t>–</w:t>
      </w:r>
      <w:r w:rsidR="00957695" w:rsidRPr="00A01C5A">
        <w:t>bush fire prone area is low).</w:t>
      </w:r>
      <w:r w:rsidR="00957695">
        <w:rPr>
          <w:rStyle w:val="FootnoteReference"/>
        </w:rPr>
        <w:footnoteReference w:id="171"/>
      </w:r>
      <w:r w:rsidR="00957695" w:rsidRPr="00A01C5A">
        <w:t xml:space="preserve"> The SA Government also questioned the need to expand the roll</w:t>
      </w:r>
      <w:r w:rsidR="00E34C0D">
        <w:t>–</w:t>
      </w:r>
      <w:r w:rsidR="00957695" w:rsidRPr="00A01C5A">
        <w:t>out to meters near brush fences and the meter changeovers.</w:t>
      </w:r>
      <w:r w:rsidR="00957695" w:rsidRPr="006703F8">
        <w:t xml:space="preserve"> </w:t>
      </w:r>
      <w:r w:rsidR="00957695" w:rsidRPr="00A01C5A">
        <w:t xml:space="preserve">The SA Government noted the risk of not carrying out this work is ‘moderate’ </w:t>
      </w:r>
      <w:r w:rsidR="00957695">
        <w:rPr>
          <w:rStyle w:val="FootnoteReference"/>
        </w:rPr>
        <w:footnoteReference w:id="172"/>
      </w:r>
      <w:r w:rsidR="00957695" w:rsidRPr="00A01C5A">
        <w:t xml:space="preserve"> </w:t>
      </w:r>
    </w:p>
    <w:p w:rsidR="00957695" w:rsidRDefault="00957695" w:rsidP="00957695">
      <w:pPr>
        <w:pStyle w:val="HeadingBoldItalic"/>
      </w:pPr>
      <w:r>
        <w:t>Replacement of exposed PE service pipe (SA28)</w:t>
      </w:r>
    </w:p>
    <w:p w:rsidR="00957695" w:rsidRDefault="00957695" w:rsidP="00957695">
      <w:r>
        <w:t xml:space="preserve">We are not satisfied AGN’s forecast expenditure </w:t>
      </w:r>
      <w:r w:rsidR="005C5F9A">
        <w:t xml:space="preserve">of </w:t>
      </w:r>
      <w:r>
        <w:t>$7.1 million</w:t>
      </w:r>
      <w:r w:rsidR="005C5F9A">
        <w:t xml:space="preserve"> (</w:t>
      </w:r>
      <w:r>
        <w:t>$2014–15 unescalated direct costs) for the SA21 project is conforming capex. Based on advice from Sleeman Consulting, we consider $4.3 million ($2014–15 unescalated direct costs) is conforming capex for this project.</w:t>
      </w:r>
      <w:r>
        <w:rPr>
          <w:rStyle w:val="FootnoteReference"/>
        </w:rPr>
        <w:footnoteReference w:id="173"/>
      </w:r>
    </w:p>
    <w:p w:rsidR="00957695" w:rsidRDefault="00957695" w:rsidP="00957695">
      <w:r w:rsidRPr="00A01C5A">
        <w:t>AGN proposed to continue a program, commenced in 2013, to replace above</w:t>
      </w:r>
      <w:r w:rsidR="00E34C0D">
        <w:t>–</w:t>
      </w:r>
      <w:r w:rsidRPr="00A01C5A">
        <w:t xml:space="preserve">ground polyethylene pipe in the lead up to domestic meters. AGN proposed to replace </w:t>
      </w:r>
      <w:r>
        <w:t>3</w:t>
      </w:r>
      <w:r w:rsidRPr="00A01C5A">
        <w:t xml:space="preserve">,000 units per annum in the </w:t>
      </w:r>
      <w:r w:rsidR="008E581B">
        <w:t>2016–21 access arrangement period</w:t>
      </w:r>
      <w:r w:rsidRPr="00A01C5A">
        <w:t>.</w:t>
      </w:r>
      <w:r>
        <w:rPr>
          <w:rStyle w:val="FootnoteReference"/>
        </w:rPr>
        <w:footnoteReference w:id="174"/>
      </w:r>
      <w:r w:rsidRPr="00A01C5A">
        <w:t xml:space="preserve"> Sleeman Consulting considered the program is justified, but recommended reducing the replacemen</w:t>
      </w:r>
      <w:r>
        <w:t>t rate to 2,000 units per annum</w:t>
      </w:r>
      <w:r w:rsidR="002A1F6E">
        <w:t xml:space="preserve"> based on the historical replacement rate of approximately 1,700 units per annum.</w:t>
      </w:r>
      <w:r>
        <w:rPr>
          <w:rStyle w:val="FootnoteReference"/>
        </w:rPr>
        <w:footnoteReference w:id="175"/>
      </w:r>
      <w:r w:rsidRPr="00A01C5A">
        <w:t xml:space="preserve"> </w:t>
      </w:r>
      <w:r>
        <w:t>We consider the replacement rate of 2,000 units per annum is justified under NGR rules 79(2)(c)(i) and (ii) given it is</w:t>
      </w:r>
      <w:r w:rsidRPr="00A01C5A">
        <w:t xml:space="preserve"> slightly above historical rates</w:t>
      </w:r>
      <w:r>
        <w:t xml:space="preserve"> of approximately 1,700 units per annum.</w:t>
      </w:r>
      <w:r w:rsidR="002A1F6E">
        <w:t xml:space="preserve"> Similar to the SA31 project we discussed above, we consider that the actual number of replacements it undertook over the current period reveals,</w:t>
      </w:r>
      <w:r w:rsidR="002A1F6E" w:rsidRPr="00A01C5A">
        <w:t xml:space="preserve"> from a risk basis, the </w:t>
      </w:r>
      <w:r w:rsidR="002A1F6E">
        <w:t xml:space="preserve">efficient </w:t>
      </w:r>
      <w:r w:rsidR="002A1F6E" w:rsidRPr="00A01C5A">
        <w:t xml:space="preserve">number to be undertaken from a safety </w:t>
      </w:r>
      <w:r w:rsidR="002A1F6E">
        <w:t xml:space="preserve">and service integrity </w:t>
      </w:r>
      <w:r w:rsidR="002A1F6E" w:rsidRPr="00A01C5A">
        <w:t>perspective.</w:t>
      </w:r>
      <w:r w:rsidR="002A1F6E">
        <w:t xml:space="preserve"> AGN also did not provide convincing evidence that an increase in the replacement rate from the current period is warranted.</w:t>
      </w:r>
    </w:p>
    <w:p w:rsidR="00957695" w:rsidRDefault="00957695" w:rsidP="00957695">
      <w:r w:rsidRPr="00A01C5A">
        <w:t>Sleeman Consulting considered AGN's unit cost forecast were reasonable, although it should exclude the cost of fire safety valves (see also assessment of project SA31). This reduces the unit cost of each job.</w:t>
      </w:r>
      <w:r>
        <w:rPr>
          <w:rStyle w:val="FootnoteReference"/>
        </w:rPr>
        <w:footnoteReference w:id="176"/>
      </w:r>
      <w:r w:rsidRPr="00A01C5A">
        <w:t xml:space="preserve"> We agree with Sleeman Consulting’s recommendation</w:t>
      </w:r>
      <w:r>
        <w:t xml:space="preserve"> as it reflects efficient costs</w:t>
      </w:r>
      <w:r w:rsidRPr="00A01C5A">
        <w:t>.</w:t>
      </w:r>
      <w:r>
        <w:rPr>
          <w:rStyle w:val="FootnoteReference"/>
        </w:rPr>
        <w:footnoteReference w:id="177"/>
      </w:r>
    </w:p>
    <w:p w:rsidR="00957695" w:rsidRDefault="00957695" w:rsidP="00957695">
      <w:pPr>
        <w:pStyle w:val="HeadingBoldItalic"/>
      </w:pPr>
      <w:r>
        <w:t>Sleeved railway crossings (SA10)</w:t>
      </w:r>
    </w:p>
    <w:p w:rsidR="00957695" w:rsidRDefault="00957695" w:rsidP="00957695">
      <w:r>
        <w:t xml:space="preserve">We are not satisfied AGN’s forecast expenditure </w:t>
      </w:r>
      <w:r w:rsidR="005C5F9A">
        <w:t xml:space="preserve">of </w:t>
      </w:r>
      <w:r>
        <w:t>$2.2 million</w:t>
      </w:r>
      <w:r w:rsidR="005C5F9A">
        <w:t xml:space="preserve"> (</w:t>
      </w:r>
      <w:r>
        <w:t>$2014–15 unescalated direct costs) for the SA10 project is conforming capex. Based on advice from Sleeman Consulting, we consider</w:t>
      </w:r>
      <w:r w:rsidR="002E51E4">
        <w:t xml:space="preserve"> that the proposed capex of</w:t>
      </w:r>
      <w:r>
        <w:t xml:space="preserve"> $1.0 million ($2014–15 unescalated direct costs) is conforming capex</w:t>
      </w:r>
      <w:r w:rsidR="002E51E4">
        <w:t xml:space="preserve"> that complies with rule 79</w:t>
      </w:r>
      <w:r>
        <w:t>.</w:t>
      </w:r>
      <w:r>
        <w:rPr>
          <w:rStyle w:val="FootnoteReference"/>
        </w:rPr>
        <w:footnoteReference w:id="178"/>
      </w:r>
    </w:p>
    <w:p w:rsidR="00957695" w:rsidRDefault="00957695" w:rsidP="00957695">
      <w:r w:rsidRPr="00A01C5A">
        <w:t>In the previous review, AGN proposed to inspect and repair 81 sleeved railway crossings, which we accepted.</w:t>
      </w:r>
      <w:r>
        <w:rPr>
          <w:rStyle w:val="FootnoteReference"/>
        </w:rPr>
        <w:footnoteReference w:id="179"/>
      </w:r>
      <w:r w:rsidRPr="00A01C5A">
        <w:t xml:space="preserve"> AGN stated it expects to have finished replacing 26 sleeved railway crossings in the 2011</w:t>
      </w:r>
      <w:r w:rsidR="00E34C0D">
        <w:t>–</w:t>
      </w:r>
      <w:r w:rsidRPr="00A01C5A">
        <w:t xml:space="preserve">16 </w:t>
      </w:r>
      <w:proofErr w:type="gramStart"/>
      <w:r w:rsidRPr="00A01C5A">
        <w:t>period</w:t>
      </w:r>
      <w:proofErr w:type="gramEnd"/>
      <w:r w:rsidRPr="00A01C5A">
        <w:t xml:space="preserve">. AGN proposed to complete the remaining 55 units in the </w:t>
      </w:r>
      <w:r w:rsidR="008E581B">
        <w:t>2016–21 access arrangement period</w:t>
      </w:r>
      <w:r w:rsidRPr="00A01C5A">
        <w:t xml:space="preserve"> at a rate of 11 units per annum. AGN states that the inspection and repair work is required to maintain the safety and integrity of the network.</w:t>
      </w:r>
      <w:r>
        <w:rPr>
          <w:rStyle w:val="FootnoteReference"/>
        </w:rPr>
        <w:footnoteReference w:id="180"/>
      </w:r>
      <w:r w:rsidRPr="00A01C5A">
        <w:t xml:space="preserve"> </w:t>
      </w:r>
    </w:p>
    <w:p w:rsidR="00742729" w:rsidRDefault="00957695" w:rsidP="00957695">
      <w:r w:rsidRPr="00A01C5A">
        <w:t xml:space="preserve">Sleeman Consulting recommended reducing the volumes forecast for these </w:t>
      </w:r>
      <w:r w:rsidR="00742729">
        <w:t xml:space="preserve">inspections and repair </w:t>
      </w:r>
      <w:r w:rsidRPr="00A01C5A">
        <w:t>to five per annum, reflecting the annual rate AGN achieved in recent years.</w:t>
      </w:r>
      <w:r>
        <w:rPr>
          <w:rStyle w:val="FootnoteReference"/>
        </w:rPr>
        <w:footnoteReference w:id="181"/>
      </w:r>
      <w:r w:rsidRPr="00A01C5A">
        <w:t xml:space="preserve"> </w:t>
      </w:r>
      <w:r w:rsidR="00742729" w:rsidRPr="00A01C5A">
        <w:t xml:space="preserve">We consider that the number of </w:t>
      </w:r>
      <w:r w:rsidR="00742729">
        <w:t>inspections and repair work</w:t>
      </w:r>
      <w:r w:rsidR="00742729" w:rsidRPr="00A01C5A">
        <w:t xml:space="preserve"> AGN has undertaken in the current period</w:t>
      </w:r>
      <w:r w:rsidR="00742729">
        <w:t xml:space="preserve"> is </w:t>
      </w:r>
      <w:r w:rsidR="00742729" w:rsidRPr="00A01C5A">
        <w:t>efficient</w:t>
      </w:r>
      <w:r w:rsidR="00742729">
        <w:t>. We also expect that AGN would have undertaken more work if there was a safety concern. In this regard, we consider that the actual number of inspections and repair it undertook over the current period reveals,</w:t>
      </w:r>
      <w:r w:rsidR="00742729" w:rsidRPr="00A01C5A">
        <w:t xml:space="preserve"> from a risk basis, the </w:t>
      </w:r>
      <w:r w:rsidR="00742729">
        <w:t xml:space="preserve">efficient </w:t>
      </w:r>
      <w:r w:rsidR="00742729" w:rsidRPr="00A01C5A">
        <w:t xml:space="preserve">number of installations to be undertaken from a safety </w:t>
      </w:r>
      <w:r w:rsidR="00466507">
        <w:t xml:space="preserve">and service integrity </w:t>
      </w:r>
      <w:r w:rsidR="00742729" w:rsidRPr="00A01C5A">
        <w:t>perspective.</w:t>
      </w:r>
    </w:p>
    <w:p w:rsidR="00957695" w:rsidRDefault="00957695" w:rsidP="00957695">
      <w:r>
        <w:t>We therefore consider th</w:t>
      </w:r>
      <w:r w:rsidR="00742729">
        <w:t>at</w:t>
      </w:r>
      <w:r>
        <w:t xml:space="preserve"> this</w:t>
      </w:r>
      <w:r w:rsidR="00742729">
        <w:t xml:space="preserve"> expenditure</w:t>
      </w:r>
      <w:r>
        <w:t xml:space="preserve"> is justified under NGR rules 79(2)(c)(i) and (ii) given it is</w:t>
      </w:r>
      <w:r w:rsidRPr="00A01C5A">
        <w:t xml:space="preserve"> </w:t>
      </w:r>
      <w:r>
        <w:t xml:space="preserve">consistent with </w:t>
      </w:r>
      <w:r w:rsidRPr="00A01C5A">
        <w:t>historical rates</w:t>
      </w:r>
      <w:r>
        <w:t xml:space="preserve">. Sleeman </w:t>
      </w:r>
      <w:r w:rsidR="002E51E4">
        <w:t xml:space="preserve">Consulting </w:t>
      </w:r>
      <w:r>
        <w:t>also noted AGN’s inspection program to date has not identified any major corrosion problems.</w:t>
      </w:r>
      <w:r>
        <w:rPr>
          <w:rStyle w:val="FootnoteReference"/>
        </w:rPr>
        <w:footnoteReference w:id="182"/>
      </w:r>
    </w:p>
    <w:p w:rsidR="00957695" w:rsidRDefault="00957695" w:rsidP="00957695">
      <w:r w:rsidRPr="00A01C5A">
        <w:t>Therefore, we consider $1</w:t>
      </w:r>
      <w:r>
        <w:t>.0</w:t>
      </w:r>
      <w:r w:rsidRPr="00A01C5A">
        <w:t xml:space="preserve"> million (based on 5 units per year) is the best estimate </w:t>
      </w:r>
      <w:r>
        <w:t>for this work</w:t>
      </w:r>
      <w:r w:rsidRPr="00A01C5A">
        <w:t xml:space="preserve"> in the next period. </w:t>
      </w:r>
    </w:p>
    <w:p w:rsidR="00957695" w:rsidRDefault="00957695" w:rsidP="00957695">
      <w:pPr>
        <w:pStyle w:val="HeadingBoldItalic"/>
      </w:pPr>
      <w:r>
        <w:t>Non</w:t>
      </w:r>
      <w:r w:rsidR="00E34C0D">
        <w:t>–</w:t>
      </w:r>
      <w:r>
        <w:t>compliant meter installations (SA32)</w:t>
      </w:r>
    </w:p>
    <w:p w:rsidR="00957695" w:rsidRDefault="00957695" w:rsidP="00957695">
      <w:r>
        <w:t xml:space="preserve">We consider </w:t>
      </w:r>
      <w:r w:rsidR="002E51E4">
        <w:t xml:space="preserve">that </w:t>
      </w:r>
      <w:r>
        <w:t>the proposed</w:t>
      </w:r>
      <w:r w:rsidR="002E51E4">
        <w:t xml:space="preserve"> capex for the</w:t>
      </w:r>
      <w:r>
        <w:t xml:space="preserve"> project, ‘Non</w:t>
      </w:r>
      <w:r w:rsidR="00E34C0D">
        <w:t>–</w:t>
      </w:r>
      <w:r>
        <w:t xml:space="preserve">compliant meter installations’ (SA32), is an opex item. We have therefore included this project in our assessment of AGN’s opex </w:t>
      </w:r>
      <w:r w:rsidR="00A5141E">
        <w:t xml:space="preserve">where we adjusted our base year opex to account for the reclassification of this project </w:t>
      </w:r>
      <w:r>
        <w:t>forecast (see attachment 7).</w:t>
      </w:r>
    </w:p>
    <w:p w:rsidR="00957695" w:rsidRDefault="00957695" w:rsidP="00957695">
      <w:r>
        <w:t>AGN proposed to relocate 726 meters located inside buildings. The installation of these meters is a legacy of past practices and is now non</w:t>
      </w:r>
      <w:r w:rsidR="00E34C0D">
        <w:t>–</w:t>
      </w:r>
      <w:r>
        <w:t>compliant with Australian Gas Distribution Code AS4645.1:2008.</w:t>
      </w:r>
      <w:r>
        <w:rPr>
          <w:rStyle w:val="FootnoteReference"/>
        </w:rPr>
        <w:footnoteReference w:id="183"/>
      </w:r>
      <w:r>
        <w:t xml:space="preserve"> </w:t>
      </w:r>
    </w:p>
    <w:p w:rsidR="00957695" w:rsidRPr="00957695" w:rsidRDefault="00957695" w:rsidP="00957695">
      <w:r>
        <w:t>The CCP</w:t>
      </w:r>
      <w:r w:rsidRPr="00002013">
        <w:t xml:space="preserve"> </w:t>
      </w:r>
      <w:r>
        <w:t>asked whether this project is a maintenance activity (opex)</w:t>
      </w:r>
      <w:r w:rsidRPr="00002013">
        <w:t>.</w:t>
      </w:r>
      <w:r>
        <w:rPr>
          <w:rStyle w:val="FootnoteReference"/>
        </w:rPr>
        <w:footnoteReference w:id="184"/>
      </w:r>
      <w:r w:rsidRPr="00002013">
        <w:t xml:space="preserve"> </w:t>
      </w:r>
      <w:r>
        <w:t>We consider these works do not materially alter the productive capacity of the assets. We therefore consider we should assess this project as opex.</w:t>
      </w:r>
    </w:p>
    <w:p w:rsidR="00920B04" w:rsidRPr="00D85ABF" w:rsidRDefault="00920B04" w:rsidP="00D85ABF">
      <w:pPr>
        <w:pStyle w:val="HeadingBoldBlue"/>
      </w:pPr>
      <w:bookmarkStart w:id="62" w:name="_Ref433910808"/>
      <w:bookmarkStart w:id="63" w:name="_Toc435534604"/>
      <w:r w:rsidRPr="00D85ABF">
        <w:t>Other non</w:t>
      </w:r>
      <w:r w:rsidR="00E34C0D" w:rsidRPr="00D85ABF">
        <w:t>–</w:t>
      </w:r>
      <w:r w:rsidRPr="00D85ABF">
        <w:t>distribution system</w:t>
      </w:r>
      <w:bookmarkEnd w:id="62"/>
      <w:bookmarkEnd w:id="63"/>
    </w:p>
    <w:p w:rsidR="00957695" w:rsidRDefault="00957695" w:rsidP="00957695">
      <w:r w:rsidRPr="00CD3A5E">
        <w:t xml:space="preserve">AGN </w:t>
      </w:r>
      <w:r>
        <w:t>stated this category covers capex that does not relate directly to the distribution system infrastructure. AGN provided justification in the business case for each project.</w:t>
      </w:r>
      <w:r>
        <w:rPr>
          <w:rStyle w:val="FootnoteReference"/>
        </w:rPr>
        <w:footnoteReference w:id="185"/>
      </w:r>
    </w:p>
    <w:p w:rsidR="00957695" w:rsidRPr="00957695" w:rsidRDefault="00957695" w:rsidP="00957695">
      <w:r w:rsidRPr="00957695">
        <w:t>We are satisfied AGN’s capex forecast for other non</w:t>
      </w:r>
      <w:r w:rsidR="00E34C0D">
        <w:t>–</w:t>
      </w:r>
      <w:r w:rsidRPr="00957695">
        <w:t xml:space="preserve">distribution system capex is </w:t>
      </w:r>
      <w:r w:rsidR="002E51E4">
        <w:t>conforming capex that complies with rule 79</w:t>
      </w:r>
      <w:r w:rsidRPr="00957695">
        <w:t>.</w:t>
      </w:r>
      <w:r w:rsidRPr="00957695">
        <w:rPr>
          <w:rStyle w:val="FootnoteReference"/>
        </w:rPr>
        <w:footnoteReference w:id="186"/>
      </w:r>
      <w:r w:rsidRPr="00957695">
        <w:t xml:space="preserve"> We have included $5.0 million ($2014–15, unescalated direct costs) of expenditure in our alternative capex forecast.</w:t>
      </w:r>
    </w:p>
    <w:p w:rsidR="00920B04" w:rsidRPr="00D85ABF" w:rsidRDefault="00920B04" w:rsidP="00D85ABF">
      <w:pPr>
        <w:pStyle w:val="HeadingBoldBlue"/>
      </w:pPr>
      <w:bookmarkStart w:id="64" w:name="_Toc435534605"/>
      <w:r w:rsidRPr="00D85ABF">
        <w:t>Overheads</w:t>
      </w:r>
      <w:bookmarkEnd w:id="64"/>
    </w:p>
    <w:p w:rsidR="003619F0" w:rsidRDefault="003619F0" w:rsidP="003619F0">
      <w:r>
        <w:t>We have not included AGN’s proposed overheads expenditure of $6</w:t>
      </w:r>
      <w:r w:rsidR="0056603C">
        <w:t>0.4</w:t>
      </w:r>
      <w:r>
        <w:t xml:space="preserve"> million ($2014–15) in our alternative capex</w:t>
      </w:r>
      <w:r w:rsidR="002E2351">
        <w:t xml:space="preserve"> estimate</w:t>
      </w:r>
      <w:r>
        <w:t xml:space="preserve">. This is because we consider that it </w:t>
      </w:r>
      <w:r w:rsidR="002E2351">
        <w:t>is not conforming capex that complies with rule 79</w:t>
      </w:r>
      <w:r>
        <w:t>.</w:t>
      </w:r>
      <w:r>
        <w:rPr>
          <w:rStyle w:val="FootnoteReference"/>
        </w:rPr>
        <w:footnoteReference w:id="187"/>
      </w:r>
      <w:r>
        <w:t xml:space="preserve"> Instead we have included </w:t>
      </w:r>
      <w:r w:rsidR="000957E7">
        <w:t>$4</w:t>
      </w:r>
      <w:r w:rsidR="0056603C">
        <w:t>6.8</w:t>
      </w:r>
      <w:r w:rsidR="000957E7">
        <w:t xml:space="preserve"> </w:t>
      </w:r>
      <w:r>
        <w:t xml:space="preserve">million ($2014–15) for overheads in our alternative </w:t>
      </w:r>
      <w:r w:rsidR="002E2351">
        <w:t>capex estimate</w:t>
      </w:r>
      <w:r w:rsidR="002E2351" w:rsidDel="002E2351">
        <w:t xml:space="preserve"> </w:t>
      </w:r>
      <w:r>
        <w:t xml:space="preserve">for the 2016–21 access arrangement period. </w:t>
      </w:r>
    </w:p>
    <w:p w:rsidR="003619F0" w:rsidRDefault="003619F0" w:rsidP="003619F0">
      <w:r>
        <w:t xml:space="preserve">Overheads are costs </w:t>
      </w:r>
      <w:r w:rsidR="002E2351">
        <w:t xml:space="preserve">that </w:t>
      </w:r>
      <w:r>
        <w:t xml:space="preserve">are not directly attributable to the </w:t>
      </w:r>
      <w:r w:rsidR="002E2351">
        <w:t xml:space="preserve">output of </w:t>
      </w:r>
      <w:r>
        <w:t xml:space="preserve">distribution businesses but are necessary to support </w:t>
      </w:r>
      <w:r w:rsidR="002E2351">
        <w:t xml:space="preserve">their </w:t>
      </w:r>
      <w:r>
        <w:t>operations. Examples of overhead costs include network planning, procurement and human resources.</w:t>
      </w:r>
    </w:p>
    <w:p w:rsidR="003619F0" w:rsidRDefault="003619F0" w:rsidP="003619F0">
      <w:r>
        <w:t>AGN’s capitalised overhead forecast is based on applying an average overhead rate of 9.6 per cent</w:t>
      </w:r>
      <w:r>
        <w:rPr>
          <w:rStyle w:val="FootnoteReference"/>
        </w:rPr>
        <w:footnoteReference w:id="188"/>
      </w:r>
      <w:r>
        <w:t xml:space="preserve"> to the total forecast direct escalated capex. While the proposed average overhead rate of 9.6 per cent is broadly in line with other gas businesses, we consider that a better forecast of overheads would take account of the fixed and variable proportion of overheads.</w:t>
      </w:r>
    </w:p>
    <w:p w:rsidR="003619F0" w:rsidRDefault="003619F0" w:rsidP="003619F0">
      <w:r>
        <w:t xml:space="preserve">We consider that overhead costs are not likely to increase (or decrease) in direct proportion to AGN’s capex. Instead overhead costs would only partly relate to the level of capex as these costs contain certain fixed costs which are incurred regardless of the level of capex spend. </w:t>
      </w:r>
      <w:r w:rsidR="002E2351">
        <w:t>In response to an information request</w:t>
      </w:r>
      <w:r>
        <w:t>, AGN provided an analysis of the historical fixed and variable proportions of each of its overhead costs in the 2013–14 year</w:t>
      </w:r>
      <w:r w:rsidR="00B00FF9">
        <w:t>.</w:t>
      </w:r>
      <w:r w:rsidR="00B00FF9" w:rsidRPr="004C1288">
        <w:rPr>
          <w:rStyle w:val="FootnoteReference"/>
        </w:rPr>
        <w:footnoteReference w:id="189"/>
      </w:r>
      <w:r w:rsidR="00D356F1">
        <w:t xml:space="preserve"> </w:t>
      </w:r>
      <w:r>
        <w:t>We reviewed AGN’s split of fixed and variable capitalised o</w:t>
      </w:r>
      <w:r w:rsidR="000957E7">
        <w:t xml:space="preserve">verhead components for 2013–14, </w:t>
      </w:r>
      <w:r w:rsidR="00D356F1">
        <w:t xml:space="preserve">which indicates and </w:t>
      </w:r>
      <w:r>
        <w:t xml:space="preserve">overhead split consisting of </w:t>
      </w:r>
      <w:r w:rsidR="005C5F9A">
        <w:t xml:space="preserve">approximately </w:t>
      </w:r>
      <w:r>
        <w:t xml:space="preserve">80 per cent fixed costs and 20 per cent variable costs. </w:t>
      </w:r>
    </w:p>
    <w:p w:rsidR="00920B04" w:rsidRDefault="003619F0" w:rsidP="00920B04">
      <w:r>
        <w:t>Using this information, we applied a modified base</w:t>
      </w:r>
      <w:r w:rsidR="00E34C0D">
        <w:t>–</w:t>
      </w:r>
      <w:r>
        <w:t>step</w:t>
      </w:r>
      <w:r w:rsidR="00E34C0D">
        <w:t>–</w:t>
      </w:r>
      <w:r>
        <w:t xml:space="preserve">trend </w:t>
      </w:r>
      <w:proofErr w:type="gramStart"/>
      <w:r>
        <w:t>approach,</w:t>
      </w:r>
      <w:proofErr w:type="gramEnd"/>
      <w:r>
        <w:t xml:space="preserve"> similar to what was applied in the NSW and Victorian access arrangement review decisions.</w:t>
      </w:r>
      <w:r>
        <w:rPr>
          <w:rStyle w:val="FootnoteReference"/>
        </w:rPr>
        <w:footnoteReference w:id="190"/>
      </w:r>
      <w:r>
        <w:t xml:space="preserve"> This approach takes an average of the past </w:t>
      </w:r>
      <w:r w:rsidR="000957E7">
        <w:t xml:space="preserve">four </w:t>
      </w:r>
      <w:r>
        <w:t>years of ac</w:t>
      </w:r>
      <w:r w:rsidR="005D3CE8">
        <w:t>tual overhead data (2011–15</w:t>
      </w:r>
      <w:r>
        <w:t xml:space="preserve">) to derive a </w:t>
      </w:r>
      <w:r w:rsidR="005C5F9A">
        <w:t>‘</w:t>
      </w:r>
      <w:r>
        <w:t>base</w:t>
      </w:r>
      <w:r w:rsidR="005C5F9A">
        <w:t>’</w:t>
      </w:r>
      <w:r>
        <w:t xml:space="preserve"> year. </w:t>
      </w:r>
      <w:r w:rsidR="00D356F1">
        <w:t>For each forecast year of the access arrangement period, we scaled the variable components of these overheads by the size of the capex program and then applied a real cost escalation to the total overhead amount.</w:t>
      </w:r>
      <w:r w:rsidR="00D356F1" w:rsidRPr="00D356F1">
        <w:rPr>
          <w:rStyle w:val="FootnoteReference"/>
        </w:rPr>
        <w:t xml:space="preserve"> </w:t>
      </w:r>
      <w:r w:rsidR="00D356F1">
        <w:rPr>
          <w:rStyle w:val="FootnoteReference"/>
        </w:rPr>
        <w:footnoteReference w:id="191"/>
      </w:r>
      <w:r w:rsidR="00D356F1">
        <w:t xml:space="preserve"> </w:t>
      </w:r>
    </w:p>
    <w:p w:rsidR="0068549D" w:rsidRPr="00F55F97" w:rsidRDefault="0068549D" w:rsidP="00F55F97">
      <w:pPr>
        <w:pStyle w:val="Heading3"/>
      </w:pPr>
      <w:bookmarkStart w:id="65" w:name="_Toc433282204"/>
      <w:bookmarkStart w:id="66" w:name="_Toc435534606"/>
      <w:bookmarkStart w:id="67" w:name="_Toc436053702"/>
      <w:r w:rsidRPr="00F55F97">
        <w:t>Labour escalation</w:t>
      </w:r>
      <w:bookmarkEnd w:id="65"/>
      <w:bookmarkEnd w:id="66"/>
      <w:bookmarkEnd w:id="67"/>
      <w:r w:rsidRPr="00F55F97">
        <w:t xml:space="preserve"> </w:t>
      </w:r>
    </w:p>
    <w:p w:rsidR="00515CF8" w:rsidRPr="00E20DD2" w:rsidRDefault="00515CF8" w:rsidP="00515CF8">
      <w:pPr>
        <w:pStyle w:val="AERbulletlistfirststyle"/>
        <w:numPr>
          <w:ilvl w:val="0"/>
          <w:numId w:val="24"/>
        </w:numPr>
      </w:pPr>
      <w:r w:rsidRPr="00E20DD2">
        <w:t xml:space="preserve">AGN applied real labour cost escalators to </w:t>
      </w:r>
      <w:r>
        <w:t xml:space="preserve">its capex </w:t>
      </w:r>
      <w:r w:rsidRPr="00E20DD2">
        <w:t>forecast</w:t>
      </w:r>
      <w:r>
        <w:t>s</w:t>
      </w:r>
      <w:r w:rsidR="002E51E4">
        <w:t xml:space="preserve">. </w:t>
      </w:r>
      <w:r>
        <w:t xml:space="preserve">To develop its labour cost escalators </w:t>
      </w:r>
      <w:r w:rsidRPr="00E20DD2">
        <w:t>AGN used an average of the BIS Shrapnel forecasts in Electricity, Gas, Water and Waste Services industry in South Australia and forecasts prepared by Deloitte Access Economics as part of the AER’s Preliminary decision for SA Power Networks.</w:t>
      </w:r>
      <w:r w:rsidRPr="00E20DD2">
        <w:rPr>
          <w:rStyle w:val="FootnoteReference"/>
        </w:rPr>
        <w:footnoteReference w:id="192"/>
      </w:r>
      <w:r w:rsidRPr="00E20DD2">
        <w:t xml:space="preserve">  </w:t>
      </w:r>
    </w:p>
    <w:p w:rsidR="00515CF8" w:rsidRDefault="0068549D" w:rsidP="00515CF8">
      <w:pPr>
        <w:numPr>
          <w:ilvl w:val="0"/>
          <w:numId w:val="24"/>
        </w:numPr>
      </w:pPr>
      <w:r w:rsidRPr="00B502D9">
        <w:t>We do not consider that</w:t>
      </w:r>
      <w:r w:rsidR="00515CF8">
        <w:t xml:space="preserve"> AGN’s proposed labour cost escalation is the best estimate in the circumstances. We have</w:t>
      </w:r>
      <w:r w:rsidR="00515CF8" w:rsidRPr="002D30B0">
        <w:t xml:space="preserve"> </w:t>
      </w:r>
      <w:r w:rsidR="00515CF8">
        <w:t>substitut</w:t>
      </w:r>
      <w:r w:rsidR="00515CF8" w:rsidRPr="002D30B0">
        <w:t xml:space="preserve">ed </w:t>
      </w:r>
      <w:r w:rsidR="00515CF8">
        <w:t xml:space="preserve">our estimate of </w:t>
      </w:r>
      <w:r w:rsidR="00515CF8" w:rsidRPr="002D30B0">
        <w:t xml:space="preserve">the labour escalation </w:t>
      </w:r>
      <w:r w:rsidR="00515CF8">
        <w:t xml:space="preserve">in place of </w:t>
      </w:r>
      <w:r w:rsidR="00515CF8" w:rsidRPr="002D30B0">
        <w:t xml:space="preserve">that proposed by </w:t>
      </w:r>
      <w:r w:rsidR="00515CF8">
        <w:t>AGN</w:t>
      </w:r>
      <w:r w:rsidR="00515CF8" w:rsidRPr="002D30B0">
        <w:t>.</w:t>
      </w:r>
      <w:r w:rsidR="00515CF8" w:rsidRPr="00515CF8">
        <w:t xml:space="preserve"> </w:t>
      </w:r>
      <w:r w:rsidR="00515CF8">
        <w:t xml:space="preserve">Our reason for this is detailed in Attachment 7. </w:t>
      </w:r>
      <w:r w:rsidR="00515CF8" w:rsidRPr="00B502D9">
        <w:t xml:space="preserve"> </w:t>
      </w:r>
    </w:p>
    <w:p w:rsidR="00B83BF5" w:rsidRDefault="00B83BF5" w:rsidP="00B83BF5">
      <w:pPr>
        <w:pStyle w:val="Heading2"/>
      </w:pPr>
      <w:bookmarkStart w:id="68" w:name="_Toc436053703"/>
      <w:r>
        <w:t>Revisions</w:t>
      </w:r>
      <w:bookmarkEnd w:id="68"/>
    </w:p>
    <w:p w:rsidR="00745513" w:rsidRDefault="00B83BF5" w:rsidP="00474EC7">
      <w:r>
        <w:t>We require the following revisions to make the access arrangement proposal acceptable:</w:t>
      </w:r>
    </w:p>
    <w:p w:rsidR="00B83BF5" w:rsidRDefault="00B83BF5" w:rsidP="00B83BF5">
      <w:pPr>
        <w:pStyle w:val="AERrevisionbox"/>
        <w:sectPr w:rsidR="00B83BF5"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pPr>
      <w:r>
        <w:t xml:space="preserve">Revision 6.1: Make all amendments necessary to reflect our draft decision on conforming capex for 2016–21, as set out in </w:t>
      </w:r>
      <w:r>
        <w:fldChar w:fldCharType="begin"/>
      </w:r>
      <w:r>
        <w:instrText xml:space="preserve"> REF _Ref435695435 \h  \* MERGEFORMAT </w:instrText>
      </w:r>
      <w:r>
        <w:fldChar w:fldCharType="separate"/>
      </w:r>
      <w:r>
        <w:t xml:space="preserve">Table </w:t>
      </w:r>
      <w:r>
        <w:rPr>
          <w:noProof/>
        </w:rPr>
        <w:t>6</w:t>
      </w:r>
      <w:r>
        <w:t>.</w:t>
      </w:r>
      <w:r>
        <w:rPr>
          <w:noProof/>
        </w:rPr>
        <w:t>2</w:t>
      </w:r>
      <w:r>
        <w:fldChar w:fldCharType="end"/>
      </w:r>
      <w:r>
        <w:t>.</w:t>
      </w:r>
    </w:p>
    <w:p w:rsidR="00745513" w:rsidRDefault="00787A64" w:rsidP="00331DFD">
      <w:pPr>
        <w:pStyle w:val="Heading7"/>
        <w:rPr>
          <w:rStyle w:val="Strong"/>
          <w:b/>
          <w:bCs/>
        </w:rPr>
      </w:pPr>
      <w:bookmarkStart w:id="69" w:name="_Toc436053704"/>
      <w:r>
        <w:rPr>
          <w:rStyle w:val="Strong"/>
          <w:b/>
          <w:bCs/>
        </w:rPr>
        <w:t>C</w:t>
      </w:r>
      <w:r w:rsidR="00331DFD" w:rsidRPr="00331DFD">
        <w:rPr>
          <w:rStyle w:val="Strong"/>
          <w:b/>
          <w:bCs/>
        </w:rPr>
        <w:t>onfidential appendix</w:t>
      </w:r>
      <w:bookmarkEnd w:id="69"/>
    </w:p>
    <w:sectPr w:rsidR="00745513" w:rsidSect="009062F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97" w:rsidRPr="00290C63" w:rsidRDefault="00F55F97" w:rsidP="00290C63">
      <w:r>
        <w:separator/>
      </w:r>
    </w:p>
    <w:p w:rsidR="00F55F97" w:rsidRDefault="00F55F97"/>
  </w:endnote>
  <w:endnote w:type="continuationSeparator" w:id="0">
    <w:p w:rsidR="00F55F97" w:rsidRPr="00290C63" w:rsidRDefault="00F55F97" w:rsidP="00290C63">
      <w:r>
        <w:continuationSeparator/>
      </w:r>
    </w:p>
    <w:p w:rsidR="00F55F97" w:rsidRDefault="00F55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97" w:rsidRDefault="00F55F9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55F97" w:rsidRDefault="00F55F97">
    <w:pPr>
      <w:pStyle w:val="Footer"/>
    </w:pPr>
  </w:p>
  <w:p w:rsidR="00F55F97" w:rsidRDefault="00F55F9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9590"/>
      <w:docPartObj>
        <w:docPartGallery w:val="Page Numbers (Bottom of Page)"/>
        <w:docPartUnique/>
      </w:docPartObj>
    </w:sdtPr>
    <w:sdtEndPr/>
    <w:sdtContent>
      <w:p w:rsidR="00F55F97" w:rsidRPr="00CA52A2" w:rsidRDefault="00F55F97" w:rsidP="00CA52A2">
        <w:pPr>
          <w:pStyle w:val="Footer"/>
        </w:pPr>
        <w:r w:rsidRPr="00CA52A2">
          <w:fldChar w:fldCharType="begin"/>
        </w:r>
        <w:r>
          <w:instrText xml:space="preserve"> PAGE   \* MERGEFORMAT </w:instrText>
        </w:r>
        <w:r w:rsidRPr="00CA52A2">
          <w:fldChar w:fldCharType="separate"/>
        </w:r>
        <w:r w:rsidR="00133306">
          <w:rPr>
            <w:noProof/>
          </w:rPr>
          <w:t>6-30</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Draft decision: Australian Gas Networks Access Arrangement 2016</w:t>
        </w:r>
        <w:r w:rsidRPr="00CA52A2">
          <w:t>–</w:t>
        </w:r>
        <w:r>
          <w:t>21</w:t>
        </w:r>
      </w:p>
    </w:sdtContent>
  </w:sdt>
  <w:p w:rsidR="00F55F97" w:rsidRDefault="00F55F9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97" w:rsidRPr="00290C63" w:rsidRDefault="00F55F97" w:rsidP="00290C63">
      <w:r>
        <w:separator/>
      </w:r>
    </w:p>
    <w:p w:rsidR="00F55F97" w:rsidRDefault="00F55F97"/>
  </w:footnote>
  <w:footnote w:type="continuationSeparator" w:id="0">
    <w:p w:rsidR="00F55F97" w:rsidRPr="00290C63" w:rsidRDefault="00F55F97" w:rsidP="00290C63">
      <w:r>
        <w:continuationSeparator/>
      </w:r>
    </w:p>
    <w:p w:rsidR="00F55F97" w:rsidRDefault="00F55F97"/>
  </w:footnote>
  <w:footnote w:id="1">
    <w:p w:rsidR="00F55F97" w:rsidRDefault="00F55F97" w:rsidP="00583B28">
      <w:pPr>
        <w:pStyle w:val="FootnoteText"/>
      </w:pPr>
      <w:r>
        <w:rPr>
          <w:rStyle w:val="FootnoteReference"/>
        </w:rPr>
        <w:footnoteRef/>
      </w:r>
      <w:r>
        <w:t xml:space="preserve"> </w:t>
      </w:r>
      <w:r>
        <w:tab/>
        <w:t xml:space="preserve">AGN, </w:t>
      </w:r>
      <w:r w:rsidRPr="00721CBF">
        <w:rPr>
          <w:rStyle w:val="AERtextitalic"/>
        </w:rPr>
        <w:t>SA Access Arrangement Information</w:t>
      </w:r>
      <w:r>
        <w:t xml:space="preserve">, July 2015, </w:t>
      </w:r>
      <w:r w:rsidRPr="00721CBF">
        <w:t>Attachment 8.8_SA Capex Model - Confidential Version</w:t>
      </w:r>
      <w:r>
        <w:t>.xls.</w:t>
      </w:r>
    </w:p>
  </w:footnote>
  <w:footnote w:id="2">
    <w:p w:rsidR="00F55F97" w:rsidRDefault="00F55F97" w:rsidP="00583B28">
      <w:pPr>
        <w:pStyle w:val="FootnoteText"/>
      </w:pPr>
      <w:r>
        <w:rPr>
          <w:rStyle w:val="FootnoteReference"/>
        </w:rPr>
        <w:footnoteRef/>
      </w:r>
      <w:r>
        <w:t xml:space="preserve"> </w:t>
      </w:r>
      <w:r>
        <w:tab/>
        <w:t>This capex category includes distribution system capex that does not fall into any of the other capex categories.</w:t>
      </w:r>
    </w:p>
  </w:footnote>
  <w:footnote w:id="3">
    <w:p w:rsidR="00F55F97" w:rsidRDefault="00F55F97">
      <w:pPr>
        <w:pStyle w:val="FootnoteText"/>
      </w:pPr>
      <w:r>
        <w:rPr>
          <w:rStyle w:val="FootnoteReference"/>
        </w:rPr>
        <w:footnoteRef/>
      </w:r>
      <w:r>
        <w:t xml:space="preserve"> This includes the capital amount approved by ESCOSA for 2010–11.</w:t>
      </w:r>
    </w:p>
  </w:footnote>
  <w:footnote w:id="4">
    <w:p w:rsidR="00F55F97" w:rsidRDefault="00F55F97" w:rsidP="00346F91">
      <w:pPr>
        <w:pStyle w:val="FootnoteText"/>
      </w:pPr>
      <w:r>
        <w:rPr>
          <w:rStyle w:val="FootnoteReference"/>
        </w:rPr>
        <w:footnoteRef/>
      </w:r>
      <w:r>
        <w:t xml:space="preserve"> </w:t>
      </w:r>
      <w:r>
        <w:tab/>
        <w:t>NGR, r. 77(2</w:t>
      </w:r>
      <w:proofErr w:type="gramStart"/>
      <w:r>
        <w:t>)(</w:t>
      </w:r>
      <w:proofErr w:type="gramEnd"/>
      <w:r>
        <w:t>b).</w:t>
      </w:r>
    </w:p>
  </w:footnote>
  <w:footnote w:id="5">
    <w:p w:rsidR="00F55F97" w:rsidRDefault="00F55F97" w:rsidP="00346F91">
      <w:pPr>
        <w:pStyle w:val="FootnoteText"/>
      </w:pPr>
      <w:r>
        <w:rPr>
          <w:rStyle w:val="FootnoteReference"/>
        </w:rPr>
        <w:footnoteRef/>
      </w:r>
      <w:r>
        <w:t xml:space="preserve"> </w:t>
      </w:r>
      <w:r>
        <w:tab/>
        <w:t>NGR, r. 79.</w:t>
      </w:r>
    </w:p>
  </w:footnote>
  <w:footnote w:id="6">
    <w:p w:rsidR="00F55F97" w:rsidRDefault="00F55F97">
      <w:pPr>
        <w:pStyle w:val="FootnoteText"/>
      </w:pPr>
      <w:r>
        <w:rPr>
          <w:rStyle w:val="FootnoteReference"/>
        </w:rPr>
        <w:footnoteRef/>
      </w:r>
      <w:r>
        <w:t xml:space="preserve"> </w:t>
      </w:r>
      <w:r>
        <w:tab/>
      </w:r>
      <w:proofErr w:type="gramStart"/>
      <w:r>
        <w:t>NGR, r. 69.</w:t>
      </w:r>
      <w:proofErr w:type="gramEnd"/>
    </w:p>
  </w:footnote>
  <w:footnote w:id="7">
    <w:p w:rsidR="00F55F97" w:rsidRDefault="00F55F97">
      <w:pPr>
        <w:pStyle w:val="FootnoteText"/>
      </w:pPr>
      <w:r>
        <w:rPr>
          <w:rStyle w:val="FootnoteReference"/>
        </w:rPr>
        <w:footnoteRef/>
      </w:r>
      <w:r>
        <w:t xml:space="preserve"> </w:t>
      </w:r>
      <w:r>
        <w:tab/>
        <w:t xml:space="preserve">NGR, </w:t>
      </w:r>
      <w:r w:rsidRPr="00A05144">
        <w:t>r. 74(1)</w:t>
      </w:r>
      <w:r>
        <w:t>.</w:t>
      </w:r>
    </w:p>
  </w:footnote>
  <w:footnote w:id="8">
    <w:p w:rsidR="00F55F97" w:rsidRDefault="00F55F97" w:rsidP="00A05144">
      <w:pPr>
        <w:pStyle w:val="FootnoteText"/>
      </w:pPr>
      <w:r>
        <w:rPr>
          <w:rStyle w:val="FootnoteReference"/>
        </w:rPr>
        <w:footnoteRef/>
      </w:r>
      <w:r>
        <w:t xml:space="preserve"> </w:t>
      </w:r>
      <w:r>
        <w:tab/>
      </w:r>
      <w:r>
        <w:rPr>
          <w:rFonts w:eastAsia="Calibri"/>
        </w:rPr>
        <w:t>NGR, r. 74(2).</w:t>
      </w:r>
    </w:p>
  </w:footnote>
  <w:footnote w:id="9">
    <w:p w:rsidR="00F55F97" w:rsidRDefault="00F55F97" w:rsidP="00A05144">
      <w:pPr>
        <w:pStyle w:val="FootnoteText"/>
      </w:pPr>
      <w:r>
        <w:rPr>
          <w:rStyle w:val="FootnoteReference"/>
        </w:rPr>
        <w:footnoteRef/>
      </w:r>
      <w:r>
        <w:t xml:space="preserve"> </w:t>
      </w:r>
      <w:r>
        <w:tab/>
        <w:t>NGR, r. 79(6).</w:t>
      </w:r>
    </w:p>
  </w:footnote>
  <w:footnote w:id="10">
    <w:p w:rsidR="00F55F97" w:rsidRDefault="00F55F97" w:rsidP="00A05144">
      <w:pPr>
        <w:pStyle w:val="FootnoteText"/>
      </w:pPr>
      <w:r>
        <w:rPr>
          <w:rStyle w:val="FootnoteReference"/>
        </w:rPr>
        <w:footnoteRef/>
      </w:r>
      <w:r>
        <w:t xml:space="preserve"> </w:t>
      </w:r>
      <w:r>
        <w:tab/>
        <w:t>NGR, r. 40(2).</w:t>
      </w:r>
    </w:p>
  </w:footnote>
  <w:footnote w:id="11">
    <w:p w:rsidR="00F55F97" w:rsidRDefault="00F55F97" w:rsidP="00A05144">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F55F97" w:rsidRDefault="00F55F97" w:rsidP="00A05144">
      <w:pPr>
        <w:pStyle w:val="FootnoteText"/>
      </w:pPr>
      <w:r>
        <w:rPr>
          <w:rFonts w:eastAsia="Calibri"/>
        </w:rPr>
        <w:tab/>
        <w:t>other things.</w:t>
      </w:r>
    </w:p>
  </w:footnote>
  <w:footnote w:id="12">
    <w:p w:rsidR="00F55F97" w:rsidRDefault="00F55F97" w:rsidP="00A05144">
      <w:pPr>
        <w:pStyle w:val="FootnoteText"/>
      </w:pPr>
      <w:r>
        <w:rPr>
          <w:rStyle w:val="FootnoteReference"/>
        </w:rPr>
        <w:footnoteRef/>
      </w:r>
      <w:r>
        <w:t xml:space="preserve"> </w:t>
      </w:r>
      <w:r>
        <w:tab/>
      </w:r>
      <w:r>
        <w:rPr>
          <w:rFonts w:eastAsia="Calibri"/>
        </w:rPr>
        <w:t>NGL, s. 28(1).</w:t>
      </w:r>
    </w:p>
  </w:footnote>
  <w:footnote w:id="13">
    <w:p w:rsidR="00F55F97" w:rsidRDefault="00F55F97" w:rsidP="00A05144">
      <w:pPr>
        <w:pStyle w:val="FootnoteText"/>
      </w:pPr>
      <w:r>
        <w:rPr>
          <w:rStyle w:val="FootnoteReference"/>
        </w:rPr>
        <w:footnoteRef/>
      </w:r>
      <w:r>
        <w:t xml:space="preserve"> </w:t>
      </w:r>
      <w:r>
        <w:tab/>
        <w:t>NGR, r. 77(2)(a).</w:t>
      </w:r>
    </w:p>
  </w:footnote>
  <w:footnote w:id="14">
    <w:p w:rsidR="00F55F97" w:rsidRDefault="00F55F97" w:rsidP="00A05144">
      <w:pPr>
        <w:pStyle w:val="FootnoteText"/>
      </w:pPr>
      <w:r>
        <w:rPr>
          <w:rStyle w:val="FootnoteReference"/>
        </w:rPr>
        <w:footnoteRef/>
      </w:r>
      <w:r>
        <w:t xml:space="preserve"> </w:t>
      </w:r>
      <w:r>
        <w:tab/>
        <w:t>NGR, r. 79.</w:t>
      </w:r>
    </w:p>
  </w:footnote>
  <w:footnote w:id="15">
    <w:p w:rsidR="00F55F97" w:rsidRDefault="00F55F97" w:rsidP="00A05144">
      <w:pPr>
        <w:pStyle w:val="FootnoteText"/>
      </w:pPr>
      <w:r>
        <w:rPr>
          <w:rStyle w:val="FootnoteReference"/>
        </w:rPr>
        <w:footnoteRef/>
      </w:r>
      <w:r>
        <w:t xml:space="preserve"> </w:t>
      </w:r>
      <w:r>
        <w:tab/>
        <w:t>NGR, r. 77(2)(b).</w:t>
      </w:r>
    </w:p>
  </w:footnote>
  <w:footnote w:id="16">
    <w:p w:rsidR="00F55F97" w:rsidRDefault="00F55F97" w:rsidP="00A05144">
      <w:pPr>
        <w:pStyle w:val="FootnoteText"/>
      </w:pPr>
      <w:r>
        <w:rPr>
          <w:rStyle w:val="FootnoteReference"/>
        </w:rPr>
        <w:footnoteRef/>
      </w:r>
      <w:r>
        <w:t xml:space="preserve"> </w:t>
      </w:r>
      <w:r>
        <w:tab/>
        <w:t>NGR, r. 77(2</w:t>
      </w:r>
      <w:proofErr w:type="gramStart"/>
      <w:r>
        <w:t>)(</w:t>
      </w:r>
      <w:proofErr w:type="gramEnd"/>
      <w:r>
        <w:t>b), 79r.</w:t>
      </w:r>
    </w:p>
  </w:footnote>
  <w:footnote w:id="17">
    <w:p w:rsidR="00F55F97" w:rsidRDefault="00F55F97" w:rsidP="00A05144">
      <w:pPr>
        <w:pStyle w:val="FootnoteText"/>
      </w:pPr>
      <w:r>
        <w:rPr>
          <w:rStyle w:val="FootnoteReference"/>
        </w:rPr>
        <w:footnoteRef/>
      </w:r>
      <w:r>
        <w:t xml:space="preserve"> </w:t>
      </w:r>
      <w:r>
        <w:tab/>
        <w:t>NGR, r. 79.</w:t>
      </w:r>
    </w:p>
  </w:footnote>
  <w:footnote w:id="18">
    <w:p w:rsidR="00F55F97" w:rsidRDefault="00F55F97" w:rsidP="00A05144">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w:t>
      </w:r>
    </w:p>
  </w:footnote>
  <w:footnote w:id="19">
    <w:p w:rsidR="00F55F97" w:rsidRDefault="00F55F97" w:rsidP="00A05144">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Attachments 8.1, 8.2, 8.3, 8.4, 8.5, 8.6, 8.7</w:t>
      </w:r>
      <w:r>
        <w:rPr>
          <w:rStyle w:val="AERtextitalic"/>
        </w:rPr>
        <w:t>.</w:t>
      </w:r>
    </w:p>
  </w:footnote>
  <w:footnote w:id="20">
    <w:p w:rsidR="00F55F97" w:rsidRDefault="00F55F97" w:rsidP="00A05144">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xml:space="preserve">, </w:t>
      </w:r>
      <w:r w:rsidRPr="008F158B">
        <w:t>MASTER Final RIN - AGN SA - Regulatory temp</w:t>
      </w:r>
      <w:r>
        <w:t>lates (Revised CC) – CONFIDENTIAL.xls</w:t>
      </w:r>
      <w:r>
        <w:rPr>
          <w:rStyle w:val="AERtextitalic"/>
        </w:rPr>
        <w:t>.</w:t>
      </w:r>
    </w:p>
  </w:footnote>
  <w:footnote w:id="21">
    <w:p w:rsidR="00F55F97" w:rsidRDefault="00F55F97" w:rsidP="00A05144">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xml:space="preserve">, </w:t>
      </w:r>
      <w:r w:rsidRPr="008F158B">
        <w:t>Attachment 7.1_Business Cases</w:t>
      </w:r>
      <w:r>
        <w:t>.pdf.</w:t>
      </w:r>
    </w:p>
  </w:footnote>
  <w:footnote w:id="22">
    <w:p w:rsidR="00F55F97" w:rsidRDefault="00F55F97" w:rsidP="00A05144">
      <w:pPr>
        <w:pStyle w:val="FootnoteText"/>
      </w:pPr>
      <w:r>
        <w:rPr>
          <w:rStyle w:val="FootnoteReference"/>
        </w:rPr>
        <w:footnoteRef/>
      </w:r>
      <w:r>
        <w:t xml:space="preserve"> </w:t>
      </w:r>
      <w:r>
        <w:tab/>
      </w:r>
      <w:proofErr w:type="gramStart"/>
      <w:r>
        <w:t xml:space="preserve">AGN, </w:t>
      </w:r>
      <w:r w:rsidRPr="00E14E22">
        <w:rPr>
          <w:i/>
        </w:rPr>
        <w:t>SA Access Arrangement Information</w:t>
      </w:r>
      <w:r>
        <w:t>,</w:t>
      </w:r>
      <w:r w:rsidRPr="00007A3F">
        <w:t xml:space="preserve"> J</w:t>
      </w:r>
      <w:r>
        <w:t>uly</w:t>
      </w:r>
      <w:r w:rsidRPr="00007A3F">
        <w:t xml:space="preserve"> 2015</w:t>
      </w:r>
      <w:r>
        <w:t>, Attachment 8.6, Appendices 1a, 1b, 2a, 2b, 3a–3e, 5a, 6a.</w:t>
      </w:r>
      <w:proofErr w:type="gramEnd"/>
    </w:p>
  </w:footnote>
  <w:footnote w:id="23">
    <w:p w:rsidR="00F55F97" w:rsidRDefault="00F55F97" w:rsidP="00A05144">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w:t>
      </w:r>
      <w:r w:rsidRPr="000A5673">
        <w:t xml:space="preserve"> Attachment 8.8_SA Capex Model - Confidential Version</w:t>
      </w:r>
      <w:r>
        <w:t>.xls.</w:t>
      </w:r>
    </w:p>
  </w:footnote>
  <w:footnote w:id="24">
    <w:p w:rsidR="00F55F97" w:rsidRDefault="00F55F97" w:rsidP="00C714BA">
      <w:pPr>
        <w:pStyle w:val="FootnoteText"/>
      </w:pPr>
      <w:r>
        <w:rPr>
          <w:rStyle w:val="FootnoteReference"/>
        </w:rPr>
        <w:footnoteRef/>
      </w:r>
      <w:r>
        <w:t xml:space="preserve"> </w:t>
      </w:r>
      <w:r>
        <w:tab/>
        <w:t>NGR, r. 79(1</w:t>
      </w:r>
      <w:proofErr w:type="gramStart"/>
      <w:r>
        <w:t>)(</w:t>
      </w:r>
      <w:proofErr w:type="gramEnd"/>
      <w:r>
        <w:t>a).</w:t>
      </w:r>
    </w:p>
  </w:footnote>
  <w:footnote w:id="25">
    <w:p w:rsidR="00F55F97" w:rsidRDefault="00F55F97" w:rsidP="00A05144">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26">
    <w:p w:rsidR="00F55F97" w:rsidRDefault="00F55F97" w:rsidP="00A05144">
      <w:pPr>
        <w:pStyle w:val="FootnoteText"/>
      </w:pPr>
      <w:r>
        <w:rPr>
          <w:rStyle w:val="FootnoteReference"/>
        </w:rPr>
        <w:footnoteRef/>
      </w:r>
      <w:r>
        <w:t xml:space="preserve"> </w:t>
      </w:r>
      <w:r>
        <w:tab/>
        <w:t>NGR, r. 71(1).</w:t>
      </w:r>
    </w:p>
  </w:footnote>
  <w:footnote w:id="27">
    <w:p w:rsidR="00F55F97" w:rsidRDefault="00F55F97" w:rsidP="00A05144">
      <w:pPr>
        <w:pStyle w:val="FootnoteText"/>
      </w:pPr>
      <w:r>
        <w:rPr>
          <w:rStyle w:val="FootnoteReference"/>
        </w:rPr>
        <w:footnoteRef/>
      </w:r>
      <w:r>
        <w:t xml:space="preserve"> </w:t>
      </w:r>
      <w:r>
        <w:tab/>
        <w:t>NGR, r. 71(1).</w:t>
      </w:r>
    </w:p>
  </w:footnote>
  <w:footnote w:id="28">
    <w:p w:rsidR="00F55F97" w:rsidRDefault="00F55F97" w:rsidP="00A05144">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w:t>
      </w:r>
    </w:p>
  </w:footnote>
  <w:footnote w:id="29">
    <w:p w:rsidR="00F55F97" w:rsidRDefault="00F55F97">
      <w:pPr>
        <w:pStyle w:val="FootnoteText"/>
      </w:pPr>
      <w:r>
        <w:rPr>
          <w:rStyle w:val="FootnoteReference"/>
        </w:rPr>
        <w:footnoteRef/>
      </w:r>
      <w:r>
        <w:t xml:space="preserve"> </w:t>
      </w:r>
      <w:r>
        <w:tab/>
      </w:r>
      <w:r w:rsidRPr="00752052">
        <w:t>Envestra</w:t>
      </w:r>
      <w:r>
        <w:t xml:space="preserve">, </w:t>
      </w:r>
      <w:r w:rsidRPr="009062F9">
        <w:rPr>
          <w:rStyle w:val="Emphasis"/>
        </w:rPr>
        <w:t>South Australia Access Arrangement Information</w:t>
      </w:r>
      <w:r>
        <w:t>,</w:t>
      </w:r>
      <w:r w:rsidRPr="00752052">
        <w:t xml:space="preserve"> 1 October 2010, </w:t>
      </w:r>
      <w:r>
        <w:t xml:space="preserve">Table 3.6, </w:t>
      </w:r>
      <w:r w:rsidRPr="00752052">
        <w:t>p.</w:t>
      </w:r>
      <w:r>
        <w:t xml:space="preserve"> </w:t>
      </w:r>
      <w:r w:rsidRPr="00752052">
        <w:t>36</w:t>
      </w:r>
      <w:r>
        <w:t xml:space="preserve">; AGN, </w:t>
      </w:r>
      <w:r w:rsidRPr="009062F9">
        <w:rPr>
          <w:rStyle w:val="Emphasis"/>
        </w:rPr>
        <w:t>SA Access Arrangement Information</w:t>
      </w:r>
      <w:r>
        <w:t>,</w:t>
      </w:r>
      <w:r w:rsidRPr="00007A3F">
        <w:t xml:space="preserve"> J</w:t>
      </w:r>
      <w:r>
        <w:t>uly</w:t>
      </w:r>
      <w:r w:rsidRPr="00007A3F">
        <w:t xml:space="preserve"> 2015</w:t>
      </w:r>
      <w:r>
        <w:t xml:space="preserve">, </w:t>
      </w:r>
      <w:r w:rsidRPr="009F4F6B">
        <w:t xml:space="preserve">MASTER Final RIN - AGN SA - Regulatory templates (Revised CC) </w:t>
      </w:r>
      <w:r>
        <w:t>–</w:t>
      </w:r>
      <w:r w:rsidRPr="009F4F6B">
        <w:t xml:space="preserve"> CONFIDEN</w:t>
      </w:r>
      <w:r>
        <w:t>TIAL.xls</w:t>
      </w:r>
      <w:r w:rsidRPr="00752052">
        <w:t>.</w:t>
      </w:r>
    </w:p>
  </w:footnote>
  <w:footnote w:id="30">
    <w:p w:rsidR="00F55F97" w:rsidRDefault="00F55F97">
      <w:pPr>
        <w:pStyle w:val="FootnoteText"/>
      </w:pPr>
      <w:r>
        <w:rPr>
          <w:rStyle w:val="FootnoteReference"/>
        </w:rPr>
        <w:footnoteRef/>
      </w:r>
      <w:r>
        <w:t xml:space="preserve"> </w:t>
      </w:r>
      <w:r>
        <w:tab/>
      </w:r>
      <w:proofErr w:type="gramStart"/>
      <w:r>
        <w:t xml:space="preserve">AER, </w:t>
      </w:r>
      <w:r w:rsidRPr="009062F9">
        <w:rPr>
          <w:rStyle w:val="Emphasis"/>
        </w:rPr>
        <w:t>Access arrangement final decision – Envestra (SA),</w:t>
      </w:r>
      <w:r w:rsidRPr="009F4F6B">
        <w:t xml:space="preserve"> June 2011</w:t>
      </w:r>
      <w:r>
        <w:t>, Table 3.11,</w:t>
      </w:r>
      <w:r w:rsidRPr="009F4F6B">
        <w:t xml:space="preserve"> p.</w:t>
      </w:r>
      <w:r>
        <w:t xml:space="preserve"> </w:t>
      </w:r>
      <w:r w:rsidRPr="009F4F6B">
        <w:t>30.</w:t>
      </w:r>
      <w:proofErr w:type="gramEnd"/>
    </w:p>
  </w:footnote>
  <w:footnote w:id="31">
    <w:p w:rsidR="00F55F97" w:rsidRDefault="00F55F97" w:rsidP="0026109F">
      <w:pPr>
        <w:pStyle w:val="FootnoteText"/>
      </w:pPr>
      <w:r>
        <w:rPr>
          <w:rStyle w:val="FootnoteReference"/>
        </w:rPr>
        <w:footnoteRef/>
      </w:r>
      <w:r>
        <w:t xml:space="preserve"> </w:t>
      </w:r>
      <w:r>
        <w:tab/>
        <w:t>Only the 2011–15 period comparison by category has been presented as the ESCOSA decision was not made on the same category basis and was not in the same level of detail as the AER 2011–16 Access Arrangement Decision.</w:t>
      </w:r>
    </w:p>
  </w:footnote>
  <w:footnote w:id="32">
    <w:p w:rsidR="00F55F97" w:rsidRDefault="00F55F97" w:rsidP="009040C9">
      <w:pPr>
        <w:pStyle w:val="FootnoteText"/>
      </w:pPr>
      <w:r>
        <w:rPr>
          <w:rStyle w:val="FootnoteReference"/>
        </w:rPr>
        <w:footnoteRef/>
      </w:r>
      <w:r>
        <w:t xml:space="preserve"> </w:t>
      </w:r>
      <w:r>
        <w:tab/>
        <w:t xml:space="preserve">AGN, </w:t>
      </w:r>
      <w:r w:rsidRPr="009062F9">
        <w:rPr>
          <w:rStyle w:val="Emphasis"/>
        </w:rPr>
        <w:t>SA Access Arrangement Information</w:t>
      </w:r>
      <w:r>
        <w:t>,</w:t>
      </w:r>
      <w:r w:rsidRPr="00007A3F">
        <w:t xml:space="preserve"> J</w:t>
      </w:r>
      <w:r>
        <w:t>uly</w:t>
      </w:r>
      <w:r w:rsidRPr="00007A3F">
        <w:t xml:space="preserve"> 2015</w:t>
      </w:r>
      <w:r>
        <w:t>, p. 78.</w:t>
      </w:r>
    </w:p>
  </w:footnote>
  <w:footnote w:id="33">
    <w:p w:rsidR="00F55F97" w:rsidRDefault="00F55F97" w:rsidP="00021039">
      <w:pPr>
        <w:pStyle w:val="FootnoteText"/>
      </w:pPr>
      <w:r>
        <w:rPr>
          <w:rStyle w:val="FootnoteReference"/>
        </w:rPr>
        <w:footnoteRef/>
      </w:r>
      <w:r>
        <w:t xml:space="preserve"> </w:t>
      </w:r>
      <w:r>
        <w:tab/>
        <w:t xml:space="preserve">AGN, </w:t>
      </w:r>
      <w:r w:rsidRPr="009062F9">
        <w:rPr>
          <w:rStyle w:val="Emphasis"/>
        </w:rPr>
        <w:t>SA Access Arrangement Information</w:t>
      </w:r>
      <w:r>
        <w:t>,</w:t>
      </w:r>
      <w:r w:rsidRPr="00007A3F">
        <w:t xml:space="preserve"> J</w:t>
      </w:r>
      <w:r>
        <w:t>uly</w:t>
      </w:r>
      <w:r w:rsidRPr="00007A3F">
        <w:t xml:space="preserve"> 2015</w:t>
      </w:r>
      <w:r>
        <w:t>, p. 78.</w:t>
      </w:r>
    </w:p>
  </w:footnote>
  <w:footnote w:id="34">
    <w:p w:rsidR="00F55F97" w:rsidRDefault="00F55F97" w:rsidP="00D022DB">
      <w:pPr>
        <w:pStyle w:val="FootnoteText"/>
      </w:pPr>
      <w:r>
        <w:rPr>
          <w:rStyle w:val="FootnoteReference"/>
        </w:rPr>
        <w:footnoteRef/>
      </w:r>
      <w:r>
        <w:t xml:space="preserve"> </w:t>
      </w:r>
      <w:r>
        <w:tab/>
      </w:r>
      <w:proofErr w:type="gramStart"/>
      <w:r>
        <w:t>NGR, r. 119S, for basic and standard connections and NGR, r. 119V, for negotiated connections.</w:t>
      </w:r>
      <w:proofErr w:type="gramEnd"/>
    </w:p>
  </w:footnote>
  <w:footnote w:id="35">
    <w:p w:rsidR="00F55F97" w:rsidRDefault="00F55F97" w:rsidP="00D022DB">
      <w:pPr>
        <w:pStyle w:val="FootnoteText"/>
      </w:pPr>
      <w:r>
        <w:rPr>
          <w:rStyle w:val="FootnoteReference"/>
        </w:rPr>
        <w:footnoteRef/>
      </w:r>
      <w:r>
        <w:t xml:space="preserve"> </w:t>
      </w:r>
      <w:r>
        <w:tab/>
        <w:t xml:space="preserve">AGN, </w:t>
      </w:r>
      <w:r w:rsidRPr="00721CBF">
        <w:rPr>
          <w:rStyle w:val="AERtextitalic"/>
        </w:rPr>
        <w:t>SA Access Arrangement Information</w:t>
      </w:r>
      <w:r>
        <w:t xml:space="preserve">, July 2015, </w:t>
      </w:r>
      <w:r w:rsidRPr="00721CBF">
        <w:t>Attachment 8.8_SA Capex Model - Confidential Version</w:t>
      </w:r>
      <w:r>
        <w:t>.xls.</w:t>
      </w:r>
    </w:p>
  </w:footnote>
  <w:footnote w:id="36">
    <w:p w:rsidR="00F55F97" w:rsidRDefault="00F55F97" w:rsidP="00C11CC5">
      <w:pPr>
        <w:pStyle w:val="FootnoteText"/>
      </w:pPr>
      <w:r>
        <w:rPr>
          <w:rStyle w:val="FootnoteReference"/>
        </w:rPr>
        <w:footnoteRef/>
      </w:r>
      <w:r>
        <w:t xml:space="preserve"> </w:t>
      </w:r>
      <w:r>
        <w:tab/>
        <w:t xml:space="preserve">ACIL Allen, </w:t>
      </w:r>
      <w:r w:rsidRPr="009062F9">
        <w:rPr>
          <w:rStyle w:val="Emphasis"/>
        </w:rPr>
        <w:t>Review of demand forecasts for the AGN SA Gas Network</w:t>
      </w:r>
      <w:r>
        <w:t>, 5 November 2015.</w:t>
      </w:r>
    </w:p>
  </w:footnote>
  <w:footnote w:id="37">
    <w:p w:rsidR="00F55F97" w:rsidRDefault="00F55F97">
      <w:pPr>
        <w:pStyle w:val="FootnoteText"/>
      </w:pPr>
      <w:r>
        <w:rPr>
          <w:rStyle w:val="FootnoteReference"/>
        </w:rPr>
        <w:footnoteRef/>
      </w:r>
      <w:r>
        <w:t xml:space="preserve"> </w:t>
      </w:r>
      <w:r>
        <w:tab/>
        <w:t xml:space="preserve">ACIL Allen, </w:t>
      </w:r>
      <w:r w:rsidRPr="009062F9">
        <w:rPr>
          <w:rStyle w:val="Emphasis"/>
        </w:rPr>
        <w:t>Review of demand forecasts for the AGN SA Gas Network</w:t>
      </w:r>
      <w:r>
        <w:t>, 5 November 2015, pp. 33–4.</w:t>
      </w:r>
    </w:p>
  </w:footnote>
  <w:footnote w:id="38">
    <w:p w:rsidR="00F55F97" w:rsidRDefault="00F55F97">
      <w:pPr>
        <w:pStyle w:val="FootnoteText"/>
      </w:pPr>
      <w:r>
        <w:rPr>
          <w:rStyle w:val="FootnoteReference"/>
        </w:rPr>
        <w:footnoteRef/>
      </w:r>
      <w:r>
        <w:t xml:space="preserve"> </w:t>
      </w:r>
      <w:r>
        <w:tab/>
        <w:t xml:space="preserve">AGN, </w:t>
      </w:r>
      <w:r w:rsidRPr="000E13DB">
        <w:rPr>
          <w:i/>
        </w:rPr>
        <w:t>SA Access Arrangement Information 2016</w:t>
      </w:r>
      <w:r>
        <w:rPr>
          <w:i/>
        </w:rPr>
        <w:t>–</w:t>
      </w:r>
      <w:r w:rsidRPr="000E13DB">
        <w:rPr>
          <w:i/>
        </w:rPr>
        <w:t>21</w:t>
      </w:r>
      <w:r>
        <w:t>, Attachment 14, July 2015, p. 241.</w:t>
      </w:r>
    </w:p>
  </w:footnote>
  <w:footnote w:id="39">
    <w:p w:rsidR="00F55F97" w:rsidRDefault="00F55F97" w:rsidP="00D022DB">
      <w:pPr>
        <w:pStyle w:val="FootnoteText"/>
      </w:pPr>
      <w:r>
        <w:rPr>
          <w:rStyle w:val="FootnoteReference"/>
        </w:rPr>
        <w:footnoteRef/>
      </w:r>
      <w:r>
        <w:t xml:space="preserve"> </w:t>
      </w:r>
      <w:r>
        <w:tab/>
        <w:t xml:space="preserve">Core Energy, </w:t>
      </w:r>
      <w:r w:rsidRPr="009062F9">
        <w:rPr>
          <w:rStyle w:val="Emphasis"/>
        </w:rPr>
        <w:t>Gas Demand Forecasts</w:t>
      </w:r>
      <w:r>
        <w:t xml:space="preserve">, p. 99. </w:t>
      </w:r>
    </w:p>
  </w:footnote>
  <w:footnote w:id="40">
    <w:p w:rsidR="00F55F97" w:rsidRDefault="00F55F97" w:rsidP="00D022DB">
      <w:pPr>
        <w:pStyle w:val="FootnoteText"/>
      </w:pPr>
      <w:r>
        <w:rPr>
          <w:rStyle w:val="FootnoteReference"/>
        </w:rPr>
        <w:footnoteRef/>
      </w:r>
      <w:r>
        <w:t xml:space="preserve"> </w:t>
      </w:r>
      <w:r>
        <w:tab/>
        <w:t xml:space="preserve">Core Energy, </w:t>
      </w:r>
      <w:r w:rsidRPr="009062F9">
        <w:rPr>
          <w:rStyle w:val="Emphasis"/>
        </w:rPr>
        <w:t>Gas Demand Forecasts</w:t>
      </w:r>
      <w:r>
        <w:t>, p. 99.</w:t>
      </w:r>
    </w:p>
  </w:footnote>
  <w:footnote w:id="41">
    <w:p w:rsidR="00F55F97" w:rsidRDefault="00F55F97" w:rsidP="00D022DB">
      <w:pPr>
        <w:pStyle w:val="FootnoteText"/>
      </w:pPr>
      <w:r>
        <w:rPr>
          <w:rStyle w:val="FootnoteReference"/>
        </w:rPr>
        <w:footnoteRef/>
      </w:r>
      <w:r>
        <w:t xml:space="preserve"> </w:t>
      </w:r>
      <w:r>
        <w:tab/>
        <w:t xml:space="preserve">Core Energy, </w:t>
      </w:r>
      <w:r w:rsidRPr="009062F9">
        <w:rPr>
          <w:rStyle w:val="Emphasis"/>
        </w:rPr>
        <w:t>Gas Demand Forecasts</w:t>
      </w:r>
      <w:r>
        <w:t>, p. 99.</w:t>
      </w:r>
    </w:p>
  </w:footnote>
  <w:footnote w:id="42">
    <w:p w:rsidR="00F55F97" w:rsidRDefault="00F55F97" w:rsidP="00652113">
      <w:pPr>
        <w:pStyle w:val="FootnoteText"/>
      </w:pPr>
      <w:r>
        <w:rPr>
          <w:rStyle w:val="FootnoteReference"/>
        </w:rPr>
        <w:footnoteRef/>
      </w:r>
      <w:r>
        <w:t xml:space="preserve"> </w:t>
      </w:r>
      <w:r>
        <w:tab/>
        <w:t xml:space="preserve">AGN, </w:t>
      </w:r>
      <w:r w:rsidRPr="00721CBF">
        <w:rPr>
          <w:rStyle w:val="AERtextitalic"/>
        </w:rPr>
        <w:t>SA Access Arrangement Information</w:t>
      </w:r>
      <w:r>
        <w:t xml:space="preserve">, July 2015, </w:t>
      </w:r>
      <w:r w:rsidRPr="005951D9">
        <w:t>Attac</w:t>
      </w:r>
      <w:r>
        <w:t xml:space="preserve">hment 8.6 SA Unit Rates 300615, </w:t>
      </w:r>
      <w:r w:rsidRPr="005951D9">
        <w:t>p</w:t>
      </w:r>
      <w:r>
        <w:t>p</w:t>
      </w:r>
      <w:r w:rsidRPr="005951D9">
        <w:t>.</w:t>
      </w:r>
      <w:r>
        <w:t xml:space="preserve"> 6 and 12.</w:t>
      </w:r>
    </w:p>
  </w:footnote>
  <w:footnote w:id="43">
    <w:p w:rsidR="00F55F97" w:rsidRDefault="00F55F97" w:rsidP="00D022DB">
      <w:pPr>
        <w:pStyle w:val="FootnoteText"/>
      </w:pPr>
      <w:r>
        <w:rPr>
          <w:rStyle w:val="FootnoteReference"/>
        </w:rPr>
        <w:footnoteRef/>
      </w:r>
      <w:r>
        <w:t xml:space="preserve"> </w:t>
      </w:r>
      <w:r>
        <w:tab/>
        <w:t xml:space="preserve">AER, </w:t>
      </w:r>
      <w:r w:rsidRPr="009062F9">
        <w:rPr>
          <w:rStyle w:val="Emphasis"/>
        </w:rPr>
        <w:t>Information request AER Australian Gas Networks 006 – Connections</w:t>
      </w:r>
      <w:r>
        <w:t xml:space="preserve">, sent 23 July 2015, questions 1 and 3. </w:t>
      </w:r>
    </w:p>
  </w:footnote>
  <w:footnote w:id="44">
    <w:p w:rsidR="00F55F97" w:rsidRDefault="00F55F97" w:rsidP="00D022DB">
      <w:pPr>
        <w:pStyle w:val="FootnoteText"/>
      </w:pPr>
      <w:r>
        <w:rPr>
          <w:rStyle w:val="FootnoteReference"/>
        </w:rPr>
        <w:footnoteRef/>
      </w:r>
      <w:r>
        <w:t xml:space="preserve"> </w:t>
      </w:r>
      <w:r>
        <w:tab/>
        <w:t xml:space="preserve">AGN, </w:t>
      </w:r>
      <w:r w:rsidRPr="009062F9">
        <w:rPr>
          <w:rStyle w:val="Emphasis"/>
        </w:rPr>
        <w:t>Response to Information request AER Australian Gas Networks 006 – Connections</w:t>
      </w:r>
      <w:r>
        <w:t xml:space="preserve">, received 29 July 2015, </w:t>
      </w:r>
      <w:r w:rsidRPr="00A636BD">
        <w:t xml:space="preserve">Question 1 </w:t>
      </w:r>
      <w:r>
        <w:t>&amp; 3_CONFIDENTIAL.xls.</w:t>
      </w:r>
    </w:p>
  </w:footnote>
  <w:footnote w:id="45">
    <w:p w:rsidR="00F55F97" w:rsidRDefault="00F55F97">
      <w:pPr>
        <w:pStyle w:val="FootnoteText"/>
      </w:pPr>
      <w:r>
        <w:rPr>
          <w:rStyle w:val="FootnoteReference"/>
        </w:rPr>
        <w:footnoteRef/>
      </w:r>
      <w:r>
        <w:tab/>
        <w:t xml:space="preserve">AGN, </w:t>
      </w:r>
      <w:r w:rsidRPr="00483ACC">
        <w:rPr>
          <w:i/>
        </w:rPr>
        <w:t>SA Access Arrangement Information 2016</w:t>
      </w:r>
      <w:r>
        <w:rPr>
          <w:i/>
        </w:rPr>
        <w:t>–</w:t>
      </w:r>
      <w:r w:rsidRPr="00483ACC">
        <w:rPr>
          <w:i/>
        </w:rPr>
        <w:t>21</w:t>
      </w:r>
      <w:r>
        <w:t>, Attachment 8, p. 142.</w:t>
      </w:r>
    </w:p>
  </w:footnote>
  <w:footnote w:id="46">
    <w:p w:rsidR="00F55F97" w:rsidRDefault="00F55F97" w:rsidP="00D022DB">
      <w:pPr>
        <w:pStyle w:val="FootnoteText"/>
      </w:pPr>
      <w:r>
        <w:rPr>
          <w:rStyle w:val="FootnoteReference"/>
        </w:rPr>
        <w:footnoteRef/>
      </w:r>
      <w:r>
        <w:t xml:space="preserve"> </w:t>
      </w:r>
      <w:r>
        <w:tab/>
        <w:t xml:space="preserve">AER, </w:t>
      </w:r>
      <w:r w:rsidRPr="009062F9">
        <w:rPr>
          <w:rStyle w:val="Emphasis"/>
        </w:rPr>
        <w:t>Information request AER Australian Gas Networks 002 – Two Wells</w:t>
      </w:r>
      <w:r>
        <w:t>, sent 17 July 2015.</w:t>
      </w:r>
    </w:p>
  </w:footnote>
  <w:footnote w:id="47">
    <w:p w:rsidR="00F55F97" w:rsidRDefault="00F55F97" w:rsidP="00D022DB">
      <w:pPr>
        <w:pStyle w:val="FootnoteText"/>
      </w:pPr>
      <w:r>
        <w:rPr>
          <w:rStyle w:val="FootnoteReference"/>
        </w:rPr>
        <w:footnoteRef/>
      </w:r>
      <w:r>
        <w:t xml:space="preserve"> </w:t>
      </w:r>
      <w:r>
        <w:tab/>
        <w:t xml:space="preserve">AGN, </w:t>
      </w:r>
      <w:r w:rsidRPr="009062F9">
        <w:rPr>
          <w:rStyle w:val="Emphasis"/>
        </w:rPr>
        <w:t>Response to Information request AER Australian Gas Networks 002 – Two Wells</w:t>
      </w:r>
      <w:r>
        <w:t xml:space="preserve">, received 23 July 2015, </w:t>
      </w:r>
      <w:r w:rsidRPr="00DE30C9">
        <w:t>Attachment 2 - Connor Holmes SIPC_Attachment_B_Report_11_6_2_-_Two_Wells_Residential_Development_Plan1</w:t>
      </w:r>
      <w:r>
        <w:t>.pdf, p. 30.</w:t>
      </w:r>
    </w:p>
  </w:footnote>
  <w:footnote w:id="48">
    <w:p w:rsidR="00F55F97" w:rsidRDefault="00F55F97" w:rsidP="00D022DB">
      <w:pPr>
        <w:pStyle w:val="FootnoteText"/>
      </w:pPr>
      <w:r>
        <w:rPr>
          <w:rStyle w:val="FootnoteReference"/>
        </w:rPr>
        <w:footnoteRef/>
      </w:r>
      <w:r>
        <w:t xml:space="preserve"> </w:t>
      </w:r>
      <w:r>
        <w:tab/>
        <w:t xml:space="preserve">AGN, </w:t>
      </w:r>
      <w:r w:rsidRPr="009062F9">
        <w:rPr>
          <w:rStyle w:val="Emphasis"/>
        </w:rPr>
        <w:t>Response to Information request AER Australian Gas Networks 002 – Two Wells</w:t>
      </w:r>
      <w:r>
        <w:t xml:space="preserve">, received 23 July 2015, </w:t>
      </w:r>
      <w:r w:rsidRPr="00DE30C9">
        <w:t>Attachment 1c - Cashflow model and assumptio</w:t>
      </w:r>
      <w:r>
        <w:t>ns CONFIDENTIAL.xls.</w:t>
      </w:r>
    </w:p>
  </w:footnote>
  <w:footnote w:id="49">
    <w:p w:rsidR="00F55F97" w:rsidRDefault="00F55F97">
      <w:pPr>
        <w:pStyle w:val="FootnoteText"/>
      </w:pPr>
      <w:r>
        <w:rPr>
          <w:rStyle w:val="FootnoteReference"/>
        </w:rPr>
        <w:footnoteRef/>
      </w:r>
      <w:r>
        <w:t xml:space="preserve"> </w:t>
      </w:r>
      <w:r>
        <w:tab/>
        <w:t xml:space="preserve">AGN, </w:t>
      </w:r>
      <w:r w:rsidRPr="009062F9">
        <w:rPr>
          <w:rStyle w:val="Emphasis"/>
        </w:rPr>
        <w:t>Email to the AER re customer contributions</w:t>
      </w:r>
      <w:r>
        <w:t>, 15 July 2015.</w:t>
      </w:r>
    </w:p>
  </w:footnote>
  <w:footnote w:id="50">
    <w:p w:rsidR="00F55F97" w:rsidRDefault="00F55F97" w:rsidP="00957695">
      <w:pPr>
        <w:pStyle w:val="FootnoteText"/>
      </w:pPr>
      <w:r>
        <w:rPr>
          <w:rStyle w:val="FootnoteReference"/>
        </w:rPr>
        <w:footnoteRef/>
      </w:r>
      <w:r>
        <w:t xml:space="preserve"> </w:t>
      </w:r>
      <w:r>
        <w:tab/>
        <w:t>NGR, r. 79(2</w:t>
      </w:r>
      <w:proofErr w:type="gramStart"/>
      <w:r>
        <w:t>)(</w:t>
      </w:r>
      <w:proofErr w:type="gramEnd"/>
      <w:r>
        <w:t>c).</w:t>
      </w:r>
    </w:p>
  </w:footnote>
  <w:footnote w:id="51">
    <w:p w:rsidR="00F55F97" w:rsidRDefault="00F55F97" w:rsidP="00957695">
      <w:pPr>
        <w:pStyle w:val="FootnoteText"/>
      </w:pPr>
      <w:r>
        <w:rPr>
          <w:rStyle w:val="FootnoteReference"/>
        </w:rPr>
        <w:footnoteRef/>
      </w:r>
      <w:r>
        <w:t xml:space="preserve"> </w:t>
      </w:r>
      <w:r>
        <w:tab/>
        <w:t>NGR, r. 79(2</w:t>
      </w:r>
      <w:proofErr w:type="gramStart"/>
      <w:r>
        <w:t>)(</w:t>
      </w:r>
      <w:proofErr w:type="gramEnd"/>
      <w:r>
        <w:t>c).</w:t>
      </w:r>
    </w:p>
  </w:footnote>
  <w:footnote w:id="52">
    <w:p w:rsidR="00F55F97" w:rsidRDefault="00F55F97" w:rsidP="00BF07D3">
      <w:pPr>
        <w:pStyle w:val="FootnoteText"/>
      </w:pPr>
      <w:r>
        <w:rPr>
          <w:rStyle w:val="FootnoteReference"/>
        </w:rPr>
        <w:footnoteRef/>
      </w:r>
      <w:r>
        <w:t xml:space="preserve"> </w:t>
      </w:r>
      <w:r>
        <w:tab/>
      </w:r>
      <w:r w:rsidRPr="00B7059F">
        <w:t>NGR, r. 79(1)(a).</w:t>
      </w:r>
    </w:p>
  </w:footnote>
  <w:footnote w:id="53">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w:t>
      </w:r>
    </w:p>
  </w:footnote>
  <w:footnote w:id="54">
    <w:p w:rsidR="00F55F97" w:rsidRDefault="00F55F97" w:rsidP="00957695">
      <w:pPr>
        <w:pStyle w:val="FootnoteText"/>
      </w:pPr>
      <w:r>
        <w:rPr>
          <w:rStyle w:val="FootnoteReference"/>
        </w:rPr>
        <w:footnoteRef/>
      </w:r>
      <w:r>
        <w:t xml:space="preserve"> </w:t>
      </w:r>
      <w:r>
        <w:tab/>
        <w:t>NGR, r. 79(2</w:t>
      </w:r>
      <w:proofErr w:type="gramStart"/>
      <w:r>
        <w:t>)(</w:t>
      </w:r>
      <w:proofErr w:type="gramEnd"/>
      <w:r>
        <w:t xml:space="preserve">c)(i) and (ii). AGN, </w:t>
      </w:r>
      <w:r w:rsidRPr="008D76D9">
        <w:rPr>
          <w:rStyle w:val="AERtextitalic"/>
        </w:rPr>
        <w:t>Access arrangement information: Attachment 7.1: Business cases: Business case – SA21</w:t>
      </w:r>
      <w:r>
        <w:t>, July 2015, p. 7.</w:t>
      </w:r>
    </w:p>
  </w:footnote>
  <w:footnote w:id="55">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SA21</w:t>
      </w:r>
      <w:r>
        <w:t>, July 2015, p. 2.</w:t>
      </w:r>
    </w:p>
  </w:footnote>
  <w:footnote w:id="56">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2.2.</w:t>
      </w:r>
    </w:p>
  </w:footnote>
  <w:footnote w:id="57">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SA21</w:t>
      </w:r>
      <w:r>
        <w:t>, July 2015, pp. 2–3.</w:t>
      </w:r>
    </w:p>
  </w:footnote>
  <w:footnote w:id="58">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2.2.</w:t>
      </w:r>
    </w:p>
  </w:footnote>
  <w:footnote w:id="59">
    <w:p w:rsidR="00F55F97" w:rsidRDefault="00F55F97" w:rsidP="00957695">
      <w:pPr>
        <w:pStyle w:val="FootnoteText"/>
      </w:pPr>
      <w:r>
        <w:rPr>
          <w:rStyle w:val="FootnoteReference"/>
        </w:rPr>
        <w:footnoteRef/>
      </w:r>
      <w:r>
        <w:t xml:space="preserve"> </w:t>
      </w:r>
      <w:r>
        <w:tab/>
        <w:t xml:space="preserve">NGR, </w:t>
      </w:r>
      <w:proofErr w:type="spellStart"/>
      <w:proofErr w:type="gramStart"/>
      <w:r>
        <w:t>rr</w:t>
      </w:r>
      <w:proofErr w:type="spellEnd"/>
      <w:proofErr w:type="gramEnd"/>
      <w:r>
        <w:t>. 79(2</w:t>
      </w:r>
      <w:proofErr w:type="gramStart"/>
      <w:r>
        <w:t>)(</w:t>
      </w:r>
      <w:proofErr w:type="gramEnd"/>
      <w:r>
        <w:t>c)(</w:t>
      </w:r>
      <w:proofErr w:type="spellStart"/>
      <w:r>
        <w:t>i</w:t>
      </w:r>
      <w:proofErr w:type="spellEnd"/>
      <w:r>
        <w:t xml:space="preserve">), 79(2)(c)(ii); AGN, </w:t>
      </w:r>
      <w:r w:rsidRPr="008D76D9">
        <w:rPr>
          <w:rStyle w:val="AERtextitalic"/>
        </w:rPr>
        <w:t>Access arrangement information: Attachment 7.1: Business cases: Business case – SA</w:t>
      </w:r>
      <w:r>
        <w:rPr>
          <w:rStyle w:val="AERtextitalic"/>
        </w:rPr>
        <w:t>7</w:t>
      </w:r>
      <w:r w:rsidRPr="008D76D9">
        <w:rPr>
          <w:rStyle w:val="AERtextitalic"/>
        </w:rPr>
        <w:t>1</w:t>
      </w:r>
      <w:r>
        <w:t>, July 2015, p. 5.</w:t>
      </w:r>
    </w:p>
  </w:footnote>
  <w:footnote w:id="60">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7</w:t>
      </w:r>
      <w:r w:rsidRPr="008D76D9">
        <w:rPr>
          <w:rStyle w:val="AERtextitalic"/>
        </w:rPr>
        <w:t>1</w:t>
      </w:r>
      <w:r>
        <w:t>, July 2015, pp. 1–2.</w:t>
      </w:r>
    </w:p>
  </w:footnote>
  <w:footnote w:id="61">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7</w:t>
      </w:r>
      <w:r w:rsidRPr="008D76D9">
        <w:rPr>
          <w:rStyle w:val="AERtextitalic"/>
        </w:rPr>
        <w:t>1</w:t>
      </w:r>
      <w:r>
        <w:t>, July 2015, pp. 1–2.</w:t>
      </w:r>
    </w:p>
  </w:footnote>
  <w:footnote w:id="62">
    <w:p w:rsidR="00F55F97" w:rsidRDefault="00F55F97">
      <w:pPr>
        <w:pStyle w:val="FootnoteText"/>
      </w:pPr>
      <w:r>
        <w:rPr>
          <w:rStyle w:val="FootnoteReference"/>
        </w:rPr>
        <w:footnoteRef/>
      </w:r>
      <w:r>
        <w:t xml:space="preserve"> </w:t>
      </w:r>
      <w:r>
        <w:tab/>
        <w:t xml:space="preserve">AGN, </w:t>
      </w:r>
      <w:r w:rsidRPr="008D76D9">
        <w:rPr>
          <w:rStyle w:val="AERtextitalic"/>
        </w:rPr>
        <w:t xml:space="preserve">Access arrangement information: Attachment </w:t>
      </w:r>
      <w:r>
        <w:rPr>
          <w:rStyle w:val="AERtextitalic"/>
        </w:rPr>
        <w:t>8</w:t>
      </w:r>
      <w:r w:rsidRPr="008D76D9">
        <w:rPr>
          <w:rStyle w:val="AERtextitalic"/>
        </w:rPr>
        <w:t xml:space="preserve">.1: </w:t>
      </w:r>
      <w:r>
        <w:rPr>
          <w:rStyle w:val="AERtextitalic"/>
        </w:rPr>
        <w:t>AMP</w:t>
      </w:r>
      <w:r>
        <w:t>, July 2015, p. 62.</w:t>
      </w:r>
    </w:p>
  </w:footnote>
  <w:footnote w:id="63">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2.4.</w:t>
      </w:r>
    </w:p>
  </w:footnote>
  <w:footnote w:id="64">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2.4.</w:t>
      </w:r>
    </w:p>
  </w:footnote>
  <w:footnote w:id="65">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2</w:t>
      </w:r>
      <w:r w:rsidRPr="008D76D9">
        <w:rPr>
          <w:rStyle w:val="AERtextitalic"/>
        </w:rPr>
        <w:t>1</w:t>
      </w:r>
      <w:r>
        <w:rPr>
          <w:rStyle w:val="AERtextitalic"/>
        </w:rPr>
        <w:t>a</w:t>
      </w:r>
      <w:r>
        <w:t>, July 2015, pp. 1–3.</w:t>
      </w:r>
    </w:p>
  </w:footnote>
  <w:footnote w:id="66">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2</w:t>
      </w:r>
      <w:r w:rsidRPr="008D76D9">
        <w:rPr>
          <w:rStyle w:val="AERtextitalic"/>
        </w:rPr>
        <w:t>1</w:t>
      </w:r>
      <w:r>
        <w:rPr>
          <w:rStyle w:val="AERtextitalic"/>
        </w:rPr>
        <w:t>a</w:t>
      </w:r>
      <w:r>
        <w:t>, July 2015, p. 5.</w:t>
      </w:r>
    </w:p>
  </w:footnote>
  <w:footnote w:id="67">
    <w:p w:rsidR="00F55F97" w:rsidRDefault="00F55F97" w:rsidP="00957695">
      <w:pPr>
        <w:pStyle w:val="FootnoteText"/>
      </w:pPr>
      <w:r>
        <w:rPr>
          <w:rStyle w:val="FootnoteReference"/>
        </w:rPr>
        <w:footnoteRef/>
      </w:r>
      <w:r>
        <w:t xml:space="preserve"> </w:t>
      </w:r>
      <w:r>
        <w:tab/>
        <w:t xml:space="preserve">CCP, </w:t>
      </w:r>
      <w:r w:rsidRPr="007A019C">
        <w:rPr>
          <w:rStyle w:val="AERtextitalic"/>
        </w:rPr>
        <w:t>Advice to AER from Consumer Challenge Panel sub</w:t>
      </w:r>
      <w:r>
        <w:rPr>
          <w:rStyle w:val="AERtextitalic"/>
        </w:rPr>
        <w:t>–</w:t>
      </w:r>
      <w:r w:rsidRPr="007A019C">
        <w:rPr>
          <w:rStyle w:val="AERtextitalic"/>
        </w:rPr>
        <w:t>panel 8 regarding Australian Gas Networks’ (SA) Access arrangement 2016</w:t>
      </w:r>
      <w:r>
        <w:rPr>
          <w:rStyle w:val="AERtextitalic"/>
        </w:rPr>
        <w:t>–</w:t>
      </w:r>
      <w:r w:rsidRPr="007A019C">
        <w:rPr>
          <w:rStyle w:val="AERtextitalic"/>
        </w:rPr>
        <w:t>2021 proposal</w:t>
      </w:r>
      <w:r>
        <w:t>, 25 August 2015, p. 14.</w:t>
      </w:r>
    </w:p>
  </w:footnote>
  <w:footnote w:id="68">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xml:space="preserve">, 18 November 2015, section 2.3; AGN, </w:t>
      </w:r>
      <w:r w:rsidRPr="009B7B0C">
        <w:rPr>
          <w:rStyle w:val="AERtextitalic"/>
        </w:rPr>
        <w:t>Response to AER Australian Gas Networks 007 – Augmentation, Regulators &amp; Other</w:t>
      </w:r>
      <w:r>
        <w:t>, 4 August 2015, p. 3.</w:t>
      </w:r>
    </w:p>
  </w:footnote>
  <w:footnote w:id="69">
    <w:p w:rsidR="00F55F97" w:rsidRDefault="00F55F97" w:rsidP="00EE3629">
      <w:pPr>
        <w:pStyle w:val="FootnoteText"/>
      </w:pPr>
      <w:r>
        <w:rPr>
          <w:rStyle w:val="FootnoteReference"/>
        </w:rPr>
        <w:footnoteRef/>
      </w:r>
      <w:r>
        <w:t xml:space="preserve"> </w:t>
      </w:r>
      <w:r>
        <w:tab/>
        <w:t xml:space="preserve">AGN, </w:t>
      </w:r>
      <w:r w:rsidRPr="002634AB">
        <w:rPr>
          <w:i/>
        </w:rPr>
        <w:t>Access Arrangement Information, Attachment 8.2, Mains Replacement Plan</w:t>
      </w:r>
      <w:r>
        <w:t xml:space="preserve">, </w:t>
      </w:r>
      <w:r w:rsidRPr="002634AB">
        <w:rPr>
          <w:i/>
        </w:rPr>
        <w:t>2016/17 to 2020/21</w:t>
      </w:r>
      <w:r>
        <w:t>, July 2015, p. 38.</w:t>
      </w:r>
    </w:p>
  </w:footnote>
  <w:footnote w:id="70">
    <w:p w:rsidR="00F55F97" w:rsidRDefault="00F55F97" w:rsidP="00EE3629">
      <w:pPr>
        <w:pStyle w:val="FootnoteText"/>
      </w:pPr>
      <w:r>
        <w:rPr>
          <w:rStyle w:val="FootnoteReference"/>
        </w:rPr>
        <w:footnoteRef/>
      </w:r>
      <w:r>
        <w:t xml:space="preserve"> </w:t>
      </w:r>
      <w:r>
        <w:tab/>
        <w:t xml:space="preserve">AGN, </w:t>
      </w:r>
      <w:r w:rsidRPr="002634AB">
        <w:rPr>
          <w:i/>
        </w:rPr>
        <w:t>Access Arrangement Information, Attachment 8.2, Mains Replacement Plan, 2016/17 to 2020/21</w:t>
      </w:r>
      <w:r>
        <w:t>, July 2015, pp. 38–9.</w:t>
      </w:r>
    </w:p>
  </w:footnote>
  <w:footnote w:id="71">
    <w:p w:rsidR="00F55F97" w:rsidRDefault="00F55F97" w:rsidP="00EE3629">
      <w:pPr>
        <w:pStyle w:val="FootnoteText"/>
      </w:pPr>
      <w:r>
        <w:rPr>
          <w:rStyle w:val="FootnoteReference"/>
        </w:rPr>
        <w:footnoteRef/>
      </w:r>
      <w:r>
        <w:t xml:space="preserve"> </w:t>
      </w:r>
      <w:r>
        <w:tab/>
        <w:t>Block replacement is a planned program where, to achieve least coast, tenders are let for parcels of work.</w:t>
      </w:r>
    </w:p>
  </w:footnote>
  <w:footnote w:id="72">
    <w:p w:rsidR="00F55F97" w:rsidRDefault="00F55F97" w:rsidP="00EE3629">
      <w:pPr>
        <w:pStyle w:val="FootnoteText"/>
      </w:pPr>
      <w:r>
        <w:rPr>
          <w:rStyle w:val="FootnoteReference"/>
        </w:rPr>
        <w:footnoteRef/>
      </w:r>
      <w:r>
        <w:tab/>
        <w:t>Block replacement (796.5km)+ MP trunk main (62km) +ad hoc (3.5km) = 862km.</w:t>
      </w:r>
    </w:p>
  </w:footnote>
  <w:footnote w:id="73">
    <w:p w:rsidR="00F55F97" w:rsidRDefault="00F55F97" w:rsidP="00EE3629">
      <w:pPr>
        <w:pStyle w:val="FootnoteText"/>
      </w:pPr>
      <w:r>
        <w:rPr>
          <w:rStyle w:val="FootnoteReference"/>
        </w:rPr>
        <w:footnoteRef/>
      </w:r>
      <w:r>
        <w:t xml:space="preserve"> </w:t>
      </w:r>
      <w:r>
        <w:tab/>
        <w:t>This involves replacing all MP class 250 HDPE mains by 2020/21 (260km) and HP class 575 HDPE mains (141km) in a number of locations, and ad hoc replacement (10km).</w:t>
      </w:r>
    </w:p>
  </w:footnote>
  <w:footnote w:id="74">
    <w:p w:rsidR="00F55F97" w:rsidRDefault="00F55F97" w:rsidP="00EE3629">
      <w:pPr>
        <w:pStyle w:val="FootnoteText"/>
      </w:pPr>
      <w:r>
        <w:rPr>
          <w:rStyle w:val="FootnoteReference"/>
        </w:rPr>
        <w:footnoteRef/>
      </w:r>
      <w:r>
        <w:t xml:space="preserve"> </w:t>
      </w:r>
      <w:r>
        <w:tab/>
      </w:r>
      <w:proofErr w:type="spellStart"/>
      <w:r>
        <w:t>Vinidex</w:t>
      </w:r>
      <w:proofErr w:type="spellEnd"/>
      <w:r>
        <w:t xml:space="preserve">, Polyethylene properties, </w:t>
      </w:r>
      <w:hyperlink r:id="rId1" w:history="1">
        <w:r w:rsidRPr="009062F9">
          <w:t>http://www.vinidex.com.au/technical/material-properties/polyethylene-properties/</w:t>
        </w:r>
      </w:hyperlink>
      <w:r w:rsidRPr="00436517">
        <w:t>,</w:t>
      </w:r>
      <w:r>
        <w:t xml:space="preserve"> accessed 7 August 2015.</w:t>
      </w:r>
    </w:p>
  </w:footnote>
  <w:footnote w:id="75">
    <w:p w:rsidR="00F55F97" w:rsidRDefault="00F55F97" w:rsidP="00EE3629">
      <w:pPr>
        <w:pStyle w:val="FootnoteText"/>
      </w:pPr>
      <w:r>
        <w:rPr>
          <w:rStyle w:val="FootnoteReference"/>
        </w:rPr>
        <w:footnoteRef/>
      </w:r>
      <w:r>
        <w:tab/>
        <w:t xml:space="preserve">AGN, </w:t>
      </w:r>
      <w:r w:rsidRPr="009C128A">
        <w:rPr>
          <w:i/>
        </w:rPr>
        <w:t>Access Arrangement Information, Attachment 8.2, Mains Replacement Plan</w:t>
      </w:r>
      <w:r>
        <w:t xml:space="preserve">, </w:t>
      </w:r>
      <w:r w:rsidRPr="009C128A">
        <w:rPr>
          <w:i/>
        </w:rPr>
        <w:t>2016/17 to 2020/21</w:t>
      </w:r>
      <w:r>
        <w:t>, July 2015, p. 24.</w:t>
      </w:r>
    </w:p>
  </w:footnote>
  <w:footnote w:id="76">
    <w:p w:rsidR="00F55F97" w:rsidRDefault="00F55F97" w:rsidP="009062F9">
      <w:pPr>
        <w:pStyle w:val="FootnoteText"/>
        <w:ind w:left="336" w:hanging="336"/>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 p. 24.</w:t>
      </w:r>
    </w:p>
  </w:footnote>
  <w:footnote w:id="77">
    <w:p w:rsidR="00F55F97" w:rsidRDefault="00F55F97" w:rsidP="00EE3629">
      <w:pPr>
        <w:pStyle w:val="FootnoteText"/>
      </w:pPr>
      <w:r>
        <w:rPr>
          <w:rStyle w:val="FootnoteReference"/>
        </w:rPr>
        <w:footnoteRef/>
      </w:r>
      <w:r>
        <w:t xml:space="preserve"> </w:t>
      </w:r>
      <w:r>
        <w:tab/>
        <w:t xml:space="preserve">Government of South Australia, </w:t>
      </w:r>
      <w:r w:rsidRPr="002C6D0C">
        <w:rPr>
          <w:i/>
        </w:rPr>
        <w:t>Annual Report of the Technical Regulator, Gas 2013</w:t>
      </w:r>
      <w:r>
        <w:rPr>
          <w:i/>
        </w:rPr>
        <w:t>–</w:t>
      </w:r>
      <w:r w:rsidRPr="002C6D0C">
        <w:rPr>
          <w:i/>
        </w:rPr>
        <w:t>14</w:t>
      </w:r>
      <w:r>
        <w:t>, p. 15.</w:t>
      </w:r>
    </w:p>
  </w:footnote>
  <w:footnote w:id="78">
    <w:p w:rsidR="00F55F97" w:rsidRDefault="00F55F97" w:rsidP="00EE3629">
      <w:pPr>
        <w:pStyle w:val="FootnoteText"/>
      </w:pPr>
      <w:r>
        <w:rPr>
          <w:rStyle w:val="FootnoteReference"/>
        </w:rPr>
        <w:footnoteRef/>
      </w:r>
      <w:r>
        <w:t xml:space="preserve"> </w:t>
      </w:r>
      <w:r>
        <w:tab/>
      </w:r>
      <w:r w:rsidRPr="0093000C">
        <w:t>AGN (maximo4-southaustralia_envestra June 2015 AER 0.1.xls)</w:t>
      </w:r>
      <w:r>
        <w:t>.</w:t>
      </w:r>
    </w:p>
  </w:footnote>
  <w:footnote w:id="79">
    <w:p w:rsidR="00F55F97" w:rsidRDefault="00F55F97" w:rsidP="00EE3629">
      <w:pPr>
        <w:pStyle w:val="FootnoteText"/>
      </w:pPr>
      <w:r>
        <w:rPr>
          <w:rStyle w:val="FootnoteReference"/>
        </w:rPr>
        <w:footnoteRef/>
      </w:r>
      <w:r>
        <w:t xml:space="preserve"> </w:t>
      </w:r>
      <w:r>
        <w:tab/>
        <w:t xml:space="preserve">Filenote of conversation between AER and OTR staff, 13 October 2015; Minister for Mineral Resources and Energy, </w:t>
      </w:r>
      <w:r w:rsidRPr="009062F9">
        <w:rPr>
          <w:rStyle w:val="Emphasis"/>
        </w:rPr>
        <w:t>Submission on AGN SA Access Arrangement Proposal 2016–2021</w:t>
      </w:r>
      <w:r>
        <w:t>, p. 2.</w:t>
      </w:r>
    </w:p>
  </w:footnote>
  <w:footnote w:id="80">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xml:space="preserve">, July 2015, </w:t>
      </w:r>
      <w:r w:rsidRPr="00B2684C">
        <w:t>p</w:t>
      </w:r>
      <w:r>
        <w:t>. 24.</w:t>
      </w:r>
    </w:p>
  </w:footnote>
  <w:footnote w:id="81">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xml:space="preserve">, July 2015, </w:t>
      </w:r>
      <w:r w:rsidRPr="00B2684C">
        <w:t>p</w:t>
      </w:r>
      <w:r>
        <w:t>p</w:t>
      </w:r>
      <w:r w:rsidRPr="00B2684C">
        <w:t>. 4</w:t>
      </w:r>
      <w:r>
        <w:t>4–45</w:t>
      </w:r>
      <w:r w:rsidRPr="00B2684C">
        <w:t>.</w:t>
      </w:r>
    </w:p>
  </w:footnote>
  <w:footnote w:id="82">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xml:space="preserve">, July 2015, </w:t>
      </w:r>
      <w:r w:rsidRPr="00B2684C">
        <w:t>p</w:t>
      </w:r>
      <w:r>
        <w:t>47; and Asset Data and HDPE Risk Model, 19 August 2015, p. 15.</w:t>
      </w:r>
    </w:p>
  </w:footnote>
  <w:footnote w:id="83">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 p. 25.</w:t>
      </w:r>
    </w:p>
  </w:footnote>
  <w:footnote w:id="84">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 p. 11.</w:t>
      </w:r>
    </w:p>
  </w:footnote>
  <w:footnote w:id="85">
    <w:p w:rsidR="00F55F97" w:rsidRDefault="00F55F97" w:rsidP="00EE3629">
      <w:pPr>
        <w:pStyle w:val="FootnoteText"/>
      </w:pPr>
      <w:r>
        <w:rPr>
          <w:rStyle w:val="FootnoteReference"/>
        </w:rPr>
        <w:footnoteRef/>
      </w:r>
      <w:r>
        <w:t xml:space="preserve"> </w:t>
      </w:r>
      <w:r>
        <w:tab/>
        <w:t xml:space="preserve">Business SA, </w:t>
      </w:r>
      <w:r w:rsidRPr="009062F9">
        <w:rPr>
          <w:rStyle w:val="Emphasis"/>
        </w:rPr>
        <w:t>Submission to the Australian Energy Regulator on Australian Gas Networks Access Arrangement (2016–21)</w:t>
      </w:r>
      <w:r>
        <w:t xml:space="preserve">, August 2015, p. 6, Consumer Challenge Panel, </w:t>
      </w:r>
      <w:r w:rsidRPr="009062F9">
        <w:rPr>
          <w:rStyle w:val="Emphasis"/>
        </w:rPr>
        <w:t>Advice to AER from Consumer Challenge Panel sub–panel 8 regarding Australian Gas Networks (SA) Access Arrangement 2016–2021 Proposal</w:t>
      </w:r>
      <w:r>
        <w:t>, pp. 13–4.</w:t>
      </w:r>
    </w:p>
  </w:footnote>
  <w:footnote w:id="86">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w:t>
      </w:r>
      <w:r w:rsidRPr="000E4051">
        <w:t xml:space="preserve"> p. </w:t>
      </w:r>
      <w:r>
        <w:t>24</w:t>
      </w:r>
      <w:r w:rsidRPr="000E4051">
        <w:t>.</w:t>
      </w:r>
    </w:p>
  </w:footnote>
  <w:footnote w:id="87">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w:t>
      </w:r>
      <w:r w:rsidRPr="000E4051">
        <w:t xml:space="preserve">, p. </w:t>
      </w:r>
      <w:r>
        <w:t>24</w:t>
      </w:r>
      <w:r w:rsidRPr="000E4051">
        <w:t>.</w:t>
      </w:r>
    </w:p>
  </w:footnote>
  <w:footnote w:id="88">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xml:space="preserve">, July 2015, </w:t>
      </w:r>
      <w:r w:rsidRPr="000E4051">
        <w:t xml:space="preserve">p. </w:t>
      </w:r>
      <w:r>
        <w:t>24</w:t>
      </w:r>
      <w:r w:rsidRPr="000E4051">
        <w:t>.</w:t>
      </w:r>
    </w:p>
  </w:footnote>
  <w:footnote w:id="89">
    <w:p w:rsidR="00F55F97" w:rsidRDefault="00F55F97" w:rsidP="00EE3629">
      <w:pPr>
        <w:pStyle w:val="FootnoteText"/>
      </w:pPr>
      <w:r>
        <w:rPr>
          <w:rStyle w:val="FootnoteReference"/>
        </w:rPr>
        <w:footnoteRef/>
      </w:r>
      <w:r>
        <w:t xml:space="preserve"> </w:t>
      </w:r>
      <w:r>
        <w:tab/>
        <w:t xml:space="preserve">Consumer Challenge Panel, </w:t>
      </w:r>
      <w:r w:rsidRPr="009062F9">
        <w:rPr>
          <w:rStyle w:val="Emphasis"/>
        </w:rPr>
        <w:t>Advice to AER from Consumer Challenge Panel sub–panel 8 regarding Australian Gas Networks (SA) Access Arrangement 2016–2021 Proposal</w:t>
      </w:r>
      <w:r>
        <w:t xml:space="preserve">, pp. 12–3; Energy Consumers Coalition of SA, </w:t>
      </w:r>
      <w:r w:rsidRPr="009062F9">
        <w:rPr>
          <w:rStyle w:val="Emphasis"/>
        </w:rPr>
        <w:t>AER Review of AGN proposal 2015, August 2015</w:t>
      </w:r>
      <w:r>
        <w:t xml:space="preserve">, p. 25–7; SACOSS, </w:t>
      </w:r>
      <w:r w:rsidRPr="009062F9">
        <w:rPr>
          <w:rStyle w:val="Emphasis"/>
        </w:rPr>
        <w:t>Submission on AGN’s regulatory proposal for the 2016</w:t>
      </w:r>
      <w:r>
        <w:rPr>
          <w:rStyle w:val="Emphasis"/>
        </w:rPr>
        <w:t>–</w:t>
      </w:r>
      <w:r w:rsidRPr="009062F9">
        <w:rPr>
          <w:rStyle w:val="Emphasis"/>
        </w:rPr>
        <w:t>2021 Access Arrangement period</w:t>
      </w:r>
      <w:r>
        <w:t xml:space="preserve">, 8 August 2015, p. 5.; Business SA, </w:t>
      </w:r>
      <w:r w:rsidRPr="009062F9">
        <w:rPr>
          <w:rStyle w:val="Emphasis"/>
        </w:rPr>
        <w:t>Submission to AER on proposed Australian Gas Networks Access Arrangement (2016</w:t>
      </w:r>
      <w:r>
        <w:rPr>
          <w:rStyle w:val="Emphasis"/>
        </w:rPr>
        <w:t>–</w:t>
      </w:r>
      <w:r w:rsidRPr="009062F9">
        <w:rPr>
          <w:rStyle w:val="Emphasis"/>
        </w:rPr>
        <w:t>21),</w:t>
      </w:r>
      <w:r>
        <w:t xml:space="preserve"> 10 August 2015, p. 6.</w:t>
      </w:r>
    </w:p>
  </w:footnote>
  <w:footnote w:id="90">
    <w:p w:rsidR="00F55F97" w:rsidRDefault="00F55F97" w:rsidP="00EE3629">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 p. 47.</w:t>
      </w:r>
    </w:p>
  </w:footnote>
  <w:footnote w:id="91">
    <w:p w:rsidR="00F55F97" w:rsidRDefault="00F55F97" w:rsidP="00EE3629">
      <w:pPr>
        <w:pStyle w:val="FootnoteText"/>
      </w:pPr>
      <w:r>
        <w:rPr>
          <w:rStyle w:val="FootnoteReference"/>
        </w:rPr>
        <w:footnoteRef/>
      </w:r>
      <w:r>
        <w:t xml:space="preserve"> </w:t>
      </w:r>
      <w:r>
        <w:tab/>
        <w:t xml:space="preserve">AGN, </w:t>
      </w:r>
      <w:r w:rsidRPr="009C128A">
        <w:rPr>
          <w:i/>
        </w:rPr>
        <w:t>Access Arrange</w:t>
      </w:r>
      <w:r>
        <w:rPr>
          <w:i/>
        </w:rPr>
        <w:t>ment Information, Attachment 7.1</w:t>
      </w:r>
      <w:r w:rsidRPr="009C128A">
        <w:rPr>
          <w:i/>
        </w:rPr>
        <w:t xml:space="preserve">, </w:t>
      </w:r>
      <w:r>
        <w:rPr>
          <w:i/>
        </w:rPr>
        <w:t>Business Cases</w:t>
      </w:r>
      <w:r>
        <w:t xml:space="preserve">, </w:t>
      </w:r>
      <w:r w:rsidRPr="00E16D32">
        <w:t>SA 54 Risk Management of HDPE</w:t>
      </w:r>
      <w:r>
        <w:t>, p. 1.</w:t>
      </w:r>
    </w:p>
  </w:footnote>
  <w:footnote w:id="92">
    <w:p w:rsidR="00F55F97" w:rsidRDefault="00F55F97">
      <w:pPr>
        <w:pStyle w:val="FootnoteText"/>
      </w:pPr>
      <w:r>
        <w:rPr>
          <w:rStyle w:val="FootnoteReference"/>
        </w:rPr>
        <w:footnoteRef/>
      </w:r>
      <w:r>
        <w:t xml:space="preserve"> See the confidential appendix (Appendix A) for the assumed percentage reduction value.</w:t>
      </w:r>
    </w:p>
  </w:footnote>
  <w:footnote w:id="93">
    <w:p w:rsidR="00F55F97" w:rsidRPr="0002162A" w:rsidRDefault="00F55F97" w:rsidP="00EE3629">
      <w:pPr>
        <w:pStyle w:val="FootnoteText"/>
      </w:pPr>
      <w:r>
        <w:rPr>
          <w:rStyle w:val="FootnoteReference"/>
        </w:rPr>
        <w:footnoteRef/>
      </w:r>
      <w:r>
        <w:rPr>
          <w:color w:val="1F497D"/>
        </w:rPr>
        <w:t xml:space="preserve"> </w:t>
      </w:r>
      <w:r w:rsidR="00D85ABF">
        <w:tab/>
      </w:r>
      <w:r w:rsidRPr="00E21C3B">
        <w:t>See the confidential appendix (Appendix A) for the historical average reduction in leaks.</w:t>
      </w:r>
    </w:p>
  </w:footnote>
  <w:footnote w:id="94">
    <w:p w:rsidR="00F55F97" w:rsidRDefault="00F55F97">
      <w:pPr>
        <w:pStyle w:val="FootnoteText"/>
      </w:pPr>
      <w:r>
        <w:rPr>
          <w:rStyle w:val="FootnoteReference"/>
        </w:rPr>
        <w:footnoteRef/>
      </w:r>
      <w:r>
        <w:t xml:space="preserve"> </w:t>
      </w:r>
      <w:r>
        <w:tab/>
      </w:r>
      <w:r w:rsidRPr="00E21C3B">
        <w:t>See the confidential appendix (Appendix A) for the historical average reduction in leaks.</w:t>
      </w:r>
    </w:p>
  </w:footnote>
  <w:footnote w:id="95">
    <w:p w:rsidR="00F55F97" w:rsidRDefault="00F55F97">
      <w:pPr>
        <w:pStyle w:val="FootnoteText"/>
      </w:pPr>
      <w:r>
        <w:rPr>
          <w:rStyle w:val="FootnoteReference"/>
        </w:rPr>
        <w:footnoteRef/>
      </w:r>
      <w:r>
        <w:t xml:space="preserve"> </w:t>
      </w:r>
      <w:r>
        <w:tab/>
        <w:t xml:space="preserve">AGN, </w:t>
      </w:r>
      <w:r w:rsidRPr="009C128A">
        <w:rPr>
          <w:i/>
        </w:rPr>
        <w:t>Access Arrange</w:t>
      </w:r>
      <w:r>
        <w:rPr>
          <w:i/>
        </w:rPr>
        <w:t>ment Information, Attachment 7.1</w:t>
      </w:r>
      <w:r w:rsidRPr="009C128A">
        <w:rPr>
          <w:i/>
        </w:rPr>
        <w:t xml:space="preserve">, </w:t>
      </w:r>
      <w:r>
        <w:rPr>
          <w:i/>
        </w:rPr>
        <w:t>Business Cases</w:t>
      </w:r>
      <w:r>
        <w:t>, SA 52: HDPE camera investigation and repair, p. 9.</w:t>
      </w:r>
    </w:p>
  </w:footnote>
  <w:footnote w:id="96">
    <w:p w:rsidR="00F55F97" w:rsidRDefault="00F55F97">
      <w:pPr>
        <w:pStyle w:val="FootnoteText"/>
      </w:pPr>
      <w:r>
        <w:rPr>
          <w:rStyle w:val="FootnoteReference"/>
        </w:rPr>
        <w:footnoteRef/>
      </w:r>
      <w:r>
        <w:t xml:space="preserve"> </w:t>
      </w:r>
      <w:r>
        <w:tab/>
        <w:t xml:space="preserve">AGN, </w:t>
      </w:r>
      <w:r w:rsidRPr="009C128A">
        <w:rPr>
          <w:i/>
        </w:rPr>
        <w:t>Access Arrangement Information, Attachment 8.2, Mains Replacement Plan</w:t>
      </w:r>
      <w:r>
        <w:t xml:space="preserve">, </w:t>
      </w:r>
      <w:r w:rsidRPr="009C128A">
        <w:rPr>
          <w:i/>
        </w:rPr>
        <w:t>2016/17 to 2020/21</w:t>
      </w:r>
      <w:r>
        <w:t>, July 2015, p. 37.</w:t>
      </w:r>
    </w:p>
  </w:footnote>
  <w:footnote w:id="97">
    <w:p w:rsidR="00F55F97" w:rsidRDefault="00F55F97" w:rsidP="002574C2">
      <w:pPr>
        <w:pStyle w:val="FootnoteText"/>
      </w:pPr>
      <w:r>
        <w:rPr>
          <w:rStyle w:val="FootnoteReference"/>
        </w:rPr>
        <w:footnoteRef/>
      </w:r>
      <w:r>
        <w:t xml:space="preserve"> </w:t>
      </w:r>
      <w:r>
        <w:tab/>
      </w:r>
      <w:proofErr w:type="gramStart"/>
      <w:r>
        <w:t xml:space="preserve">AER, </w:t>
      </w:r>
      <w:r w:rsidRPr="009062F9">
        <w:rPr>
          <w:rStyle w:val="Emphasis"/>
        </w:rPr>
        <w:t>Info request to AGN from the AE</w:t>
      </w:r>
      <w:r>
        <w:rPr>
          <w:rStyle w:val="Emphasis"/>
        </w:rPr>
        <w:t>R</w:t>
      </w:r>
      <w:r w:rsidRPr="009062F9">
        <w:rPr>
          <w:rStyle w:val="Emphasis"/>
        </w:rPr>
        <w:t xml:space="preserve"> no. 23</w:t>
      </w:r>
      <w:r>
        <w:t>, 18 September 2015.</w:t>
      </w:r>
      <w:proofErr w:type="gramEnd"/>
    </w:p>
  </w:footnote>
  <w:footnote w:id="98">
    <w:p w:rsidR="00F55F97" w:rsidRDefault="00F55F97" w:rsidP="00957695">
      <w:pPr>
        <w:pStyle w:val="FootnoteText"/>
      </w:pPr>
      <w:r>
        <w:rPr>
          <w:rStyle w:val="FootnoteReference"/>
        </w:rPr>
        <w:footnoteRef/>
      </w:r>
      <w:r>
        <w:t xml:space="preserve"> </w:t>
      </w:r>
      <w:r>
        <w:tab/>
        <w:t>AGN,</w:t>
      </w:r>
      <w:r w:rsidRPr="00D63C2C">
        <w:rPr>
          <w:rStyle w:val="AERtextitalic"/>
        </w:rPr>
        <w:t xml:space="preserve"> </w:t>
      </w:r>
      <w:r w:rsidRPr="00346150">
        <w:rPr>
          <w:rStyle w:val="AERtextitalic"/>
        </w:rPr>
        <w:t>Access arrangement information for Australian Gas Networks’ South Australian Natural Gas distribution network</w:t>
      </w:r>
      <w:r>
        <w:t>, July 2015, p. 143.</w:t>
      </w:r>
    </w:p>
  </w:footnote>
  <w:footnote w:id="99">
    <w:p w:rsidR="00F55F97" w:rsidRDefault="00F55F97">
      <w:pPr>
        <w:pStyle w:val="FootnoteText"/>
      </w:pPr>
      <w:r>
        <w:rPr>
          <w:rStyle w:val="FootnoteReference"/>
        </w:rPr>
        <w:footnoteRef/>
      </w:r>
      <w:r>
        <w:t xml:space="preserve"> </w:t>
      </w:r>
      <w:r>
        <w:tab/>
        <w:t>Specifically, NGR, r. 79(2)(c)(iii).</w:t>
      </w:r>
    </w:p>
  </w:footnote>
  <w:footnote w:id="100">
    <w:p w:rsidR="00F55F97" w:rsidRDefault="00F55F97" w:rsidP="0024058F">
      <w:pPr>
        <w:pStyle w:val="FootnoteText"/>
      </w:pPr>
      <w:r>
        <w:rPr>
          <w:rStyle w:val="FootnoteReference"/>
        </w:rPr>
        <w:footnoteRef/>
      </w:r>
      <w:r>
        <w:t xml:space="preserve"> </w:t>
      </w:r>
      <w:r>
        <w:tab/>
        <w:t xml:space="preserve">AGN, </w:t>
      </w:r>
      <w:r w:rsidRPr="008F0086">
        <w:rPr>
          <w:rStyle w:val="AERtextitalic"/>
        </w:rPr>
        <w:t>Access arrangement information: Attachment 8.6: Unit rates</w:t>
      </w:r>
      <w:r>
        <w:t>, July 2015, p. 20.</w:t>
      </w:r>
    </w:p>
  </w:footnote>
  <w:footnote w:id="101">
    <w:p w:rsidR="00F55F97" w:rsidRDefault="00F55F97" w:rsidP="0024058F">
      <w:pPr>
        <w:pStyle w:val="FootnoteText"/>
      </w:pPr>
      <w:r>
        <w:rPr>
          <w:rStyle w:val="FootnoteReference"/>
        </w:rPr>
        <w:footnoteRef/>
      </w:r>
      <w:r>
        <w:t xml:space="preserve"> </w:t>
      </w:r>
      <w:r>
        <w:tab/>
        <w:t>These unit rates are confidential, so we do not reproduce it here.</w:t>
      </w:r>
    </w:p>
  </w:footnote>
  <w:footnote w:id="102">
    <w:p w:rsidR="00F55F97" w:rsidRDefault="00F55F97" w:rsidP="0024058F">
      <w:pPr>
        <w:pStyle w:val="FootnoteText"/>
      </w:pPr>
      <w:r>
        <w:rPr>
          <w:rStyle w:val="FootnoteReference"/>
        </w:rPr>
        <w:footnoteRef/>
      </w:r>
      <w:r>
        <w:t xml:space="preserve"> </w:t>
      </w:r>
      <w:r>
        <w:tab/>
        <w:t xml:space="preserve">AER, </w:t>
      </w:r>
      <w:r w:rsidRPr="008348CC">
        <w:rPr>
          <w:rStyle w:val="AERtextitalic"/>
        </w:rPr>
        <w:t>Information request – AER Aust</w:t>
      </w:r>
      <w:r w:rsidR="00DD336A">
        <w:rPr>
          <w:rStyle w:val="AERtextitalic"/>
        </w:rPr>
        <w:t>ralian</w:t>
      </w:r>
      <w:r w:rsidRPr="008348CC">
        <w:rPr>
          <w:rStyle w:val="AERtextitalic"/>
        </w:rPr>
        <w:t xml:space="preserve"> Gas Networks 022 – Meters and regulators</w:t>
      </w:r>
      <w:r>
        <w:t xml:space="preserve">, 8 September 2015. AGN, </w:t>
      </w:r>
      <w:r w:rsidRPr="008F0086">
        <w:rPr>
          <w:rStyle w:val="AERtextitalic"/>
        </w:rPr>
        <w:t>Access arrangement information: Attachment 8.</w:t>
      </w:r>
      <w:r>
        <w:rPr>
          <w:rStyle w:val="AERtextitalic"/>
        </w:rPr>
        <w:t>1</w:t>
      </w:r>
      <w:r w:rsidRPr="008F0086">
        <w:rPr>
          <w:rStyle w:val="AERtextitalic"/>
        </w:rPr>
        <w:t xml:space="preserve">: </w:t>
      </w:r>
      <w:r>
        <w:rPr>
          <w:rStyle w:val="AERtextitalic"/>
        </w:rPr>
        <w:t>Asset management plan</w:t>
      </w:r>
      <w:r>
        <w:t>, July 2015, p. 93.In those years, volumes are over 30,000 units compared to an average of about 22,000 units for the other years in the two access arrangement periods.</w:t>
      </w:r>
    </w:p>
  </w:footnote>
  <w:footnote w:id="103">
    <w:p w:rsidR="00F55F97" w:rsidRDefault="00F55F97" w:rsidP="0024058F">
      <w:pPr>
        <w:pStyle w:val="FootnoteText"/>
      </w:pPr>
      <w:r>
        <w:rPr>
          <w:rStyle w:val="FootnoteReference"/>
        </w:rPr>
        <w:footnoteRef/>
      </w:r>
      <w:r>
        <w:t xml:space="preserve"> </w:t>
      </w:r>
      <w:r>
        <w:tab/>
        <w:t xml:space="preserve">AGN, </w:t>
      </w:r>
      <w:r w:rsidRPr="00BB1A87">
        <w:rPr>
          <w:rStyle w:val="AERtextitalic"/>
        </w:rPr>
        <w:t>Response to AER Australian Gas Networks 022 – Meters and Regulators</w:t>
      </w:r>
      <w:r>
        <w:t>, 18 September 2015, p. 3.</w:t>
      </w:r>
    </w:p>
  </w:footnote>
  <w:footnote w:id="104">
    <w:p w:rsidR="00F55F97" w:rsidRDefault="00F55F97" w:rsidP="009626B2">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pp. 142–143.</w:t>
      </w:r>
    </w:p>
  </w:footnote>
  <w:footnote w:id="105">
    <w:p w:rsidR="00F55F97" w:rsidRDefault="00F55F97" w:rsidP="00957695">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 143.</w:t>
      </w:r>
    </w:p>
  </w:footnote>
  <w:footnote w:id="106">
    <w:p w:rsidR="00F55F97" w:rsidRDefault="00F55F97" w:rsidP="00957695">
      <w:pPr>
        <w:pStyle w:val="FootnoteText"/>
      </w:pPr>
      <w:r>
        <w:rPr>
          <w:rStyle w:val="FootnoteReference"/>
        </w:rPr>
        <w:footnoteRef/>
      </w:r>
      <w:r>
        <w:t xml:space="preserve"> </w:t>
      </w:r>
      <w:r>
        <w:tab/>
        <w:t>NGR, r. 79(2</w:t>
      </w:r>
      <w:proofErr w:type="gramStart"/>
      <w:r>
        <w:t>)(</w:t>
      </w:r>
      <w:proofErr w:type="gramEnd"/>
      <w:r>
        <w:t>c)(</w:t>
      </w:r>
      <w:proofErr w:type="spellStart"/>
      <w:r>
        <w:t>i</w:t>
      </w:r>
      <w:proofErr w:type="spellEnd"/>
      <w:r>
        <w:t>), 79(2)(c) (ii).</w:t>
      </w:r>
    </w:p>
  </w:footnote>
  <w:footnote w:id="107">
    <w:p w:rsidR="00F55F97" w:rsidRDefault="00F55F97" w:rsidP="009359D4">
      <w:pPr>
        <w:pStyle w:val="FootnoteText"/>
      </w:pPr>
      <w:r>
        <w:rPr>
          <w:rStyle w:val="FootnoteReference"/>
        </w:rPr>
        <w:footnoteRef/>
      </w:r>
      <w:r>
        <w:t xml:space="preserve"> </w:t>
      </w:r>
      <w:r>
        <w:tab/>
        <w:t xml:space="preserve">AGN, </w:t>
      </w:r>
      <w:r>
        <w:rPr>
          <w:rStyle w:val="AERtextitalic"/>
        </w:rPr>
        <w:t>Access Arrangement Information for Australian Gas Networks’ South Australian Gas Distribution Network</w:t>
      </w:r>
      <w:r>
        <w:t>, July 2015, p. 151.</w:t>
      </w:r>
    </w:p>
  </w:footnote>
  <w:footnote w:id="108">
    <w:p w:rsidR="00F55F97" w:rsidRDefault="00F55F97" w:rsidP="009359D4">
      <w:pPr>
        <w:pStyle w:val="FootnoteText"/>
      </w:pPr>
      <w:r>
        <w:rPr>
          <w:rStyle w:val="FootnoteReference"/>
        </w:rPr>
        <w:footnoteRef/>
      </w:r>
      <w:r>
        <w:t xml:space="preserve"> </w:t>
      </w:r>
      <w:r>
        <w:tab/>
        <w:t xml:space="preserve">AGN, </w:t>
      </w:r>
      <w:r>
        <w:rPr>
          <w:rStyle w:val="AERtextitalic"/>
        </w:rPr>
        <w:t>Access Arrangement Information for Australian Gas Networks’ South Australian Gas Distribution Network</w:t>
      </w:r>
      <w:r>
        <w:t>, July 2015, p. 77.</w:t>
      </w:r>
    </w:p>
  </w:footnote>
  <w:footnote w:id="109">
    <w:p w:rsidR="00F55F97" w:rsidRDefault="00F55F97" w:rsidP="009359D4">
      <w:pPr>
        <w:pStyle w:val="FootnoteText"/>
      </w:pPr>
      <w:r>
        <w:rPr>
          <w:rStyle w:val="FootnoteReference"/>
        </w:rPr>
        <w:footnoteRef/>
      </w:r>
      <w:r>
        <w:t xml:space="preserve"> </w:t>
      </w:r>
      <w:r>
        <w:tab/>
        <w:t xml:space="preserve">AGN, </w:t>
      </w:r>
      <w:r>
        <w:rPr>
          <w:rStyle w:val="AERtextitalic"/>
        </w:rPr>
        <w:t>Access Arrangement Information for Australian Gas Networks’ South Australian Gas Distribution Network</w:t>
      </w:r>
      <w:r>
        <w:t>, July 2015, p. 137.</w:t>
      </w:r>
    </w:p>
  </w:footnote>
  <w:footnote w:id="110">
    <w:p w:rsidR="00F55F97" w:rsidRDefault="00F55F97" w:rsidP="009359D4">
      <w:pPr>
        <w:pStyle w:val="FootnoteText"/>
      </w:pPr>
      <w:r>
        <w:rPr>
          <w:rStyle w:val="FootnoteReference"/>
        </w:rPr>
        <w:footnoteRef/>
      </w:r>
      <w:r>
        <w:t xml:space="preserve"> </w:t>
      </w:r>
      <w:r>
        <w:tab/>
      </w:r>
      <w:r>
        <w:rPr>
          <w:rFonts w:cs="Arial"/>
        </w:rPr>
        <w:t>Consumer Challenge Panel</w:t>
      </w:r>
      <w:r w:rsidRPr="00F45464">
        <w:rPr>
          <w:rFonts w:cs="Arial"/>
        </w:rPr>
        <w:t xml:space="preserve">, </w:t>
      </w:r>
      <w:r w:rsidRPr="001F4A77">
        <w:rPr>
          <w:rFonts w:cs="Arial"/>
          <w:i/>
        </w:rPr>
        <w:t>Advice to AER from Consumer Challenge Panel sub</w:t>
      </w:r>
      <w:r>
        <w:rPr>
          <w:rFonts w:cs="Arial"/>
          <w:i/>
        </w:rPr>
        <w:t>–</w:t>
      </w:r>
      <w:r w:rsidRPr="001F4A77">
        <w:rPr>
          <w:rFonts w:cs="Arial"/>
          <w:i/>
        </w:rPr>
        <w:t>panel 8 regarding Australian Gas Networks’ (SA) Access Arrangement 2016</w:t>
      </w:r>
      <w:r>
        <w:rPr>
          <w:rFonts w:cs="Arial"/>
          <w:i/>
        </w:rPr>
        <w:t>–</w:t>
      </w:r>
      <w:r w:rsidRPr="001F4A77">
        <w:rPr>
          <w:rFonts w:cs="Arial"/>
          <w:i/>
        </w:rPr>
        <w:t>2021 Proposal</w:t>
      </w:r>
      <w:r w:rsidRPr="00F45464">
        <w:rPr>
          <w:rFonts w:cs="Arial"/>
        </w:rPr>
        <w:t>,</w:t>
      </w:r>
      <w:r w:rsidRPr="001F4A77">
        <w:rPr>
          <w:rFonts w:cs="Arial"/>
        </w:rPr>
        <w:t xml:space="preserve"> 25 August 2015</w:t>
      </w:r>
      <w:r w:rsidRPr="00F45464">
        <w:rPr>
          <w:rFonts w:cs="Arial"/>
        </w:rPr>
        <w:t>, p. 13.</w:t>
      </w:r>
    </w:p>
  </w:footnote>
  <w:footnote w:id="111">
    <w:p w:rsidR="00F55F97" w:rsidRDefault="00F55F97" w:rsidP="009359D4">
      <w:pPr>
        <w:pStyle w:val="FootnoteText"/>
      </w:pPr>
      <w:r>
        <w:rPr>
          <w:rStyle w:val="FootnoteReference"/>
        </w:rPr>
        <w:footnoteRef/>
      </w:r>
      <w:r>
        <w:t xml:space="preserve"> </w:t>
      </w:r>
      <w:r>
        <w:tab/>
      </w:r>
      <w:r w:rsidRPr="007D14E9">
        <w:t>Business SA</w:t>
      </w:r>
      <w:r>
        <w:t xml:space="preserve">, </w:t>
      </w:r>
      <w:r w:rsidRPr="007D14E9">
        <w:rPr>
          <w:i/>
        </w:rPr>
        <w:t>Submission to AER on proposed Australian Gas Networks Access Arrangement (2016</w:t>
      </w:r>
      <w:r>
        <w:rPr>
          <w:i/>
        </w:rPr>
        <w:t>–</w:t>
      </w:r>
      <w:r w:rsidRPr="007D14E9">
        <w:rPr>
          <w:i/>
        </w:rPr>
        <w:t>21)</w:t>
      </w:r>
      <w:r>
        <w:t>,</w:t>
      </w:r>
      <w:r w:rsidRPr="007D14E9">
        <w:t xml:space="preserve"> 10 August 2015</w:t>
      </w:r>
      <w:r>
        <w:t>, p. 6.</w:t>
      </w:r>
    </w:p>
  </w:footnote>
  <w:footnote w:id="112">
    <w:p w:rsidR="00F55F97" w:rsidRDefault="00F55F97" w:rsidP="009359D4">
      <w:pPr>
        <w:pStyle w:val="FootnoteText"/>
      </w:pPr>
      <w:r>
        <w:rPr>
          <w:rStyle w:val="FootnoteReference"/>
        </w:rPr>
        <w:footnoteRef/>
      </w:r>
      <w:r>
        <w:t xml:space="preserve"> </w:t>
      </w:r>
      <w:r>
        <w:tab/>
      </w:r>
      <w:r w:rsidRPr="007D14E9">
        <w:t>ECCSA</w:t>
      </w:r>
      <w:r>
        <w:t xml:space="preserve">, </w:t>
      </w:r>
      <w:r w:rsidRPr="007D14E9">
        <w:rPr>
          <w:i/>
        </w:rPr>
        <w:t>Australian Energy Regulator SA Gas Distribution Revenue Reset AGN Application response</w:t>
      </w:r>
      <w:r>
        <w:t>,</w:t>
      </w:r>
      <w:r w:rsidRPr="007D14E9">
        <w:t xml:space="preserve"> 16</w:t>
      </w:r>
      <w:r>
        <w:t> </w:t>
      </w:r>
      <w:r w:rsidRPr="007D14E9">
        <w:t>August</w:t>
      </w:r>
      <w:r>
        <w:t> </w:t>
      </w:r>
      <w:r w:rsidRPr="007D14E9">
        <w:t>2015</w:t>
      </w:r>
      <w:r>
        <w:t>, pp. 27–28</w:t>
      </w:r>
    </w:p>
    <w:p w:rsidR="00F55F97" w:rsidRPr="00962732" w:rsidRDefault="00F55F97" w:rsidP="009359D4">
      <w:pPr>
        <w:pStyle w:val="FootnoteText"/>
        <w:rPr>
          <w:vanish/>
          <w:specVanish/>
        </w:rPr>
      </w:pPr>
    </w:p>
  </w:footnote>
  <w:footnote w:id="113">
    <w:p w:rsidR="00F55F97" w:rsidRDefault="00F55F97" w:rsidP="009359D4">
      <w:pPr>
        <w:pStyle w:val="FootnoteText"/>
      </w:pPr>
      <w:r>
        <w:rPr>
          <w:rStyle w:val="FootnoteReference"/>
        </w:rPr>
        <w:footnoteRef/>
      </w:r>
      <w:r>
        <w:t xml:space="preserve"> </w:t>
      </w:r>
      <w:r>
        <w:tab/>
      </w:r>
      <w:r w:rsidRPr="00F45464">
        <w:rPr>
          <w:rFonts w:cs="Arial"/>
        </w:rPr>
        <w:t xml:space="preserve">Origin, </w:t>
      </w:r>
      <w:r w:rsidRPr="001F4A77">
        <w:rPr>
          <w:rFonts w:cs="Arial"/>
          <w:i/>
        </w:rPr>
        <w:t>Submission on AGN 2016</w:t>
      </w:r>
      <w:r>
        <w:rPr>
          <w:rFonts w:cs="Arial"/>
          <w:i/>
        </w:rPr>
        <w:t>–</w:t>
      </w:r>
      <w:r w:rsidRPr="001F4A77">
        <w:rPr>
          <w:rFonts w:cs="Arial"/>
          <w:i/>
        </w:rPr>
        <w:t>21 Access Arrangement Proposal for it</w:t>
      </w:r>
      <w:r w:rsidRPr="00F45464">
        <w:rPr>
          <w:rFonts w:cs="Arial"/>
          <w:i/>
        </w:rPr>
        <w:t>s SA Gas Distribution Network</w:t>
      </w:r>
      <w:r w:rsidRPr="00F45464">
        <w:rPr>
          <w:rFonts w:cs="Arial"/>
        </w:rPr>
        <w:t xml:space="preserve">, </w:t>
      </w:r>
      <w:r w:rsidRPr="001F4A77">
        <w:rPr>
          <w:rFonts w:cs="Arial"/>
        </w:rPr>
        <w:t>10 August 2015</w:t>
      </w:r>
      <w:r w:rsidRPr="00F45464">
        <w:rPr>
          <w:rFonts w:cs="Arial"/>
        </w:rPr>
        <w:t>, p. 4.</w:t>
      </w:r>
    </w:p>
  </w:footnote>
  <w:footnote w:id="114">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pp. 247</w:t>
      </w:r>
      <w:r>
        <w:t>–</w:t>
      </w:r>
      <w:r w:rsidRPr="00057814">
        <w:t>264</w:t>
      </w:r>
      <w:r>
        <w:t>.</w:t>
      </w:r>
    </w:p>
  </w:footnote>
  <w:footnote w:id="115">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7C34C4">
        <w:t>,</w:t>
      </w:r>
      <w:r w:rsidRPr="00057814">
        <w:t xml:space="preserve"> </w:t>
      </w:r>
      <w:r>
        <w:t xml:space="preserve">July 2015, </w:t>
      </w:r>
      <w:r w:rsidRPr="00057814">
        <w:t>p. 248.</w:t>
      </w:r>
    </w:p>
  </w:footnote>
  <w:footnote w:id="116">
    <w:p w:rsidR="00F55F97" w:rsidRDefault="00F55F97">
      <w:pPr>
        <w:pStyle w:val="FootnoteText"/>
      </w:pPr>
      <w:r>
        <w:rPr>
          <w:rStyle w:val="FootnoteReference"/>
        </w:rPr>
        <w:footnoteRef/>
      </w:r>
      <w:r>
        <w:t xml:space="preserve"> </w:t>
      </w:r>
      <w:r>
        <w:tab/>
        <w:t>NGR, r. 79(1</w:t>
      </w:r>
      <w:proofErr w:type="gramStart"/>
      <w:r>
        <w:t>)(</w:t>
      </w:r>
      <w:proofErr w:type="gramEnd"/>
      <w:r>
        <w:t>a).</w:t>
      </w:r>
    </w:p>
  </w:footnote>
  <w:footnote w:id="117">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pp. 265</w:t>
      </w:r>
      <w:r>
        <w:t>–</w:t>
      </w:r>
      <w:r w:rsidRPr="00057814">
        <w:t>276</w:t>
      </w:r>
      <w:r>
        <w:t>.</w:t>
      </w:r>
    </w:p>
  </w:footnote>
  <w:footnote w:id="118">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w:t>
      </w:r>
      <w:r>
        <w:t>. 268.</w:t>
      </w:r>
    </w:p>
  </w:footnote>
  <w:footnote w:id="119">
    <w:p w:rsidR="00F55F97" w:rsidRPr="00B721BD" w:rsidRDefault="00F55F97" w:rsidP="009359D4">
      <w:pPr>
        <w:pStyle w:val="FootnoteText"/>
        <w:rPr>
          <w:rStyle w:val="AERtextitalic"/>
          <w:i w:val="0"/>
        </w:rPr>
      </w:pPr>
      <w:r>
        <w:rPr>
          <w:rStyle w:val="FootnoteReference"/>
        </w:rPr>
        <w:footnoteRef/>
      </w:r>
      <w:r>
        <w:t xml:space="preserve"> </w:t>
      </w:r>
      <w:r>
        <w:tab/>
        <w:t xml:space="preserve">AGN, </w:t>
      </w:r>
      <w:r>
        <w:rPr>
          <w:rStyle w:val="AERtextitalic"/>
        </w:rPr>
        <w:t>Response to AER Information Request 017</w:t>
      </w:r>
      <w:r w:rsidRPr="00B721BD">
        <w:t xml:space="preserve">, </w:t>
      </w:r>
      <w:r>
        <w:t xml:space="preserve">4 September 2015, </w:t>
      </w:r>
      <w:r w:rsidRPr="00B721BD">
        <w:t>p. 15.</w:t>
      </w:r>
    </w:p>
  </w:footnote>
  <w:footnote w:id="120">
    <w:p w:rsidR="00F55F97" w:rsidRDefault="00F55F97">
      <w:pPr>
        <w:pStyle w:val="FootnoteText"/>
      </w:pPr>
      <w:r>
        <w:rPr>
          <w:rStyle w:val="FootnoteReference"/>
        </w:rPr>
        <w:footnoteRef/>
      </w:r>
      <w:r>
        <w:t xml:space="preserve"> </w:t>
      </w:r>
      <w:r>
        <w:tab/>
        <w:t xml:space="preserve">NGR, </w:t>
      </w:r>
      <w:proofErr w:type="spellStart"/>
      <w:proofErr w:type="gramStart"/>
      <w:r>
        <w:t>rr</w:t>
      </w:r>
      <w:proofErr w:type="spellEnd"/>
      <w:proofErr w:type="gramEnd"/>
      <w:r>
        <w:t>. 79(1) (a), 79(2</w:t>
      </w:r>
      <w:proofErr w:type="gramStart"/>
      <w:r>
        <w:t>)(</w:t>
      </w:r>
      <w:proofErr w:type="gramEnd"/>
      <w:r>
        <w:t>ii).</w:t>
      </w:r>
    </w:p>
  </w:footnote>
  <w:footnote w:id="121">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pp. 305–314.</w:t>
      </w:r>
    </w:p>
  </w:footnote>
  <w:footnote w:id="122">
    <w:p w:rsidR="00F55F97" w:rsidRDefault="00F55F97">
      <w:pPr>
        <w:pStyle w:val="FootnoteText"/>
      </w:pPr>
      <w:r>
        <w:rPr>
          <w:rStyle w:val="FootnoteReference"/>
        </w:rPr>
        <w:footnoteRef/>
      </w:r>
      <w:r>
        <w:t xml:space="preserve"> </w:t>
      </w:r>
      <w:r>
        <w:tab/>
        <w:t>NGR, rr. 79(1) (a), 79(2</w:t>
      </w:r>
      <w:proofErr w:type="gramStart"/>
      <w:r>
        <w:t>)(</w:t>
      </w:r>
      <w:proofErr w:type="gramEnd"/>
      <w:r>
        <w:t>ii).</w:t>
      </w:r>
    </w:p>
  </w:footnote>
  <w:footnote w:id="123">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pp. 421–431.</w:t>
      </w:r>
    </w:p>
  </w:footnote>
  <w:footnote w:id="124">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 421.</w:t>
      </w:r>
    </w:p>
  </w:footnote>
  <w:footnote w:id="125">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 429.</w:t>
      </w:r>
    </w:p>
  </w:footnote>
  <w:footnote w:id="126">
    <w:p w:rsidR="00F55F97" w:rsidRDefault="00F55F97" w:rsidP="001E2DEB">
      <w:pPr>
        <w:pStyle w:val="FootnoteText"/>
      </w:pPr>
      <w:r>
        <w:rPr>
          <w:rStyle w:val="FootnoteReference"/>
        </w:rPr>
        <w:footnoteRef/>
      </w:r>
      <w:r>
        <w:t xml:space="preserve"> </w:t>
      </w:r>
      <w:r>
        <w:tab/>
        <w:t>NGR, rr. 79(1) (a), 79(2</w:t>
      </w:r>
      <w:proofErr w:type="gramStart"/>
      <w:r>
        <w:t>)(</w:t>
      </w:r>
      <w:proofErr w:type="gramEnd"/>
      <w:r>
        <w:t>ii).</w:t>
      </w:r>
    </w:p>
  </w:footnote>
  <w:footnote w:id="127">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pp. 393–401.</w:t>
      </w:r>
    </w:p>
  </w:footnote>
  <w:footnote w:id="128">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Cases.pdf</w:t>
      </w:r>
      <w:r>
        <w:t>, July 2015, p. 394.</w:t>
      </w:r>
    </w:p>
  </w:footnote>
  <w:footnote w:id="129">
    <w:p w:rsidR="00F55F97" w:rsidRDefault="00F55F97" w:rsidP="001E2DEB">
      <w:pPr>
        <w:pStyle w:val="FootnoteText"/>
      </w:pPr>
      <w:r>
        <w:rPr>
          <w:rStyle w:val="FootnoteReference"/>
        </w:rPr>
        <w:footnoteRef/>
      </w:r>
      <w:r>
        <w:t xml:space="preserve"> </w:t>
      </w:r>
      <w:r>
        <w:tab/>
        <w:t>NGR, rr. 79(1) (a), 79(2</w:t>
      </w:r>
      <w:proofErr w:type="gramStart"/>
      <w:r>
        <w:t>)(</w:t>
      </w:r>
      <w:proofErr w:type="gramEnd"/>
      <w:r>
        <w:t>ii).</w:t>
      </w:r>
    </w:p>
  </w:footnote>
  <w:footnote w:id="130">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 xml:space="preserve">pp. </w:t>
      </w:r>
      <w:r>
        <w:t>277–290.</w:t>
      </w:r>
    </w:p>
  </w:footnote>
  <w:footnote w:id="131">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w:t>
      </w:r>
      <w:r>
        <w:t>. 290.</w:t>
      </w:r>
    </w:p>
  </w:footnote>
  <w:footnote w:id="132">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 xml:space="preserve">pp. </w:t>
      </w:r>
      <w:r>
        <w:t>291–304.</w:t>
      </w:r>
    </w:p>
  </w:footnote>
  <w:footnote w:id="133">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w:t>
      </w:r>
      <w:r>
        <w:t>. 304.</w:t>
      </w:r>
    </w:p>
  </w:footnote>
  <w:footnote w:id="134">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 xml:space="preserve">pp. </w:t>
      </w:r>
      <w:r>
        <w:t>319–320.</w:t>
      </w:r>
    </w:p>
  </w:footnote>
  <w:footnote w:id="135">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 xml:space="preserve">, </w:t>
      </w:r>
      <w:r>
        <w:t xml:space="preserve">July 2015, </w:t>
      </w:r>
      <w:r w:rsidRPr="00057814">
        <w:t>p</w:t>
      </w:r>
      <w:r>
        <w:t>. 324.</w:t>
      </w:r>
    </w:p>
  </w:footnote>
  <w:footnote w:id="136">
    <w:p w:rsidR="00F55F97" w:rsidRPr="005F3459" w:rsidRDefault="00F55F97" w:rsidP="009359D4">
      <w:pPr>
        <w:pStyle w:val="FootnoteText"/>
        <w:rPr>
          <w:rStyle w:val="AERtextitalic"/>
          <w:i w:val="0"/>
        </w:rPr>
      </w:pPr>
      <w:r>
        <w:rPr>
          <w:rStyle w:val="FootnoteReference"/>
        </w:rPr>
        <w:footnoteRef/>
      </w:r>
      <w:r>
        <w:t xml:space="preserve"> </w:t>
      </w:r>
      <w:r>
        <w:tab/>
        <w:t xml:space="preserve">Government of South Australia, </w:t>
      </w:r>
      <w:r>
        <w:rPr>
          <w:rStyle w:val="AERtextitalic"/>
        </w:rPr>
        <w:t>Submission on AGN SA Access Arrangement Proposal 2016–2021</w:t>
      </w:r>
      <w:r w:rsidRPr="005F3459">
        <w:t>, p. 5.</w:t>
      </w:r>
    </w:p>
  </w:footnote>
  <w:footnote w:id="137">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w:t>
      </w:r>
      <w:r w:rsidRPr="00CD3D0C">
        <w:t xml:space="preserve"> </w:t>
      </w:r>
      <w:r>
        <w:t>July 2015,</w:t>
      </w:r>
      <w:r w:rsidRPr="00057814">
        <w:t xml:space="preserve"> p</w:t>
      </w:r>
      <w:r>
        <w:t>. 320.</w:t>
      </w:r>
    </w:p>
  </w:footnote>
  <w:footnote w:id="138">
    <w:p w:rsidR="00F55F97" w:rsidRPr="007E076C" w:rsidRDefault="00F55F97" w:rsidP="009359D4">
      <w:pPr>
        <w:pStyle w:val="FootnoteText"/>
        <w:rPr>
          <w:rStyle w:val="AERtextitalic"/>
        </w:rPr>
      </w:pPr>
      <w:r>
        <w:rPr>
          <w:rStyle w:val="FootnoteReference"/>
        </w:rPr>
        <w:footnoteRef/>
      </w:r>
      <w:r>
        <w:t xml:space="preserve"> </w:t>
      </w:r>
      <w:r>
        <w:tab/>
        <w:t xml:space="preserve">AGN, </w:t>
      </w:r>
      <w:r>
        <w:rPr>
          <w:rStyle w:val="AERtextitalic"/>
        </w:rPr>
        <w:t>Access Arrangement Information for Australian Gas Networks’ South Australian Gas Distribution Network</w:t>
      </w:r>
      <w:r w:rsidRPr="007E076C">
        <w:t>, July 2015, p. 63</w:t>
      </w:r>
      <w:r>
        <w:rPr>
          <w:rStyle w:val="AERtextitalic"/>
        </w:rPr>
        <w:t>.</w:t>
      </w:r>
    </w:p>
  </w:footnote>
  <w:footnote w:id="139">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w:t>
      </w:r>
      <w:r w:rsidRPr="00CD3D0C">
        <w:t xml:space="preserve"> </w:t>
      </w:r>
      <w:r>
        <w:t>July 2015,</w:t>
      </w:r>
      <w:r w:rsidRPr="00057814">
        <w:t xml:space="preserve"> p</w:t>
      </w:r>
      <w:r>
        <w:t>. 336.</w:t>
      </w:r>
    </w:p>
  </w:footnote>
  <w:footnote w:id="140">
    <w:p w:rsidR="00F55F97" w:rsidRDefault="00F55F97" w:rsidP="009359D4">
      <w:pPr>
        <w:pStyle w:val="FootnoteText"/>
      </w:pPr>
      <w:r>
        <w:rPr>
          <w:rStyle w:val="FootnoteReference"/>
        </w:rPr>
        <w:footnoteRef/>
      </w:r>
      <w:r>
        <w:t xml:space="preserve"> </w:t>
      </w:r>
      <w:r>
        <w:tab/>
        <w:t xml:space="preserve">AGN, </w:t>
      </w:r>
      <w:r>
        <w:rPr>
          <w:rStyle w:val="AERtextitalic"/>
        </w:rPr>
        <w:t>Attachment 7.1_Business Cases.</w:t>
      </w:r>
      <w:r w:rsidRPr="007C34C4">
        <w:rPr>
          <w:rStyle w:val="AERtextitalic"/>
        </w:rPr>
        <w:t>pdf</w:t>
      </w:r>
      <w:r w:rsidRPr="00057814">
        <w:t>,</w:t>
      </w:r>
      <w:r w:rsidRPr="00CD3D0C">
        <w:t xml:space="preserve"> </w:t>
      </w:r>
      <w:r>
        <w:t>July 2015,</w:t>
      </w:r>
      <w:r w:rsidRPr="00057814">
        <w:t xml:space="preserve"> p</w:t>
      </w:r>
      <w:r>
        <w:t>. 342.</w:t>
      </w:r>
    </w:p>
  </w:footnote>
  <w:footnote w:id="141">
    <w:p w:rsidR="00F55F97" w:rsidRDefault="00F55F97" w:rsidP="00957695">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 145.</w:t>
      </w:r>
    </w:p>
  </w:footnote>
  <w:footnote w:id="142">
    <w:p w:rsidR="00F55F97" w:rsidRDefault="00F55F97" w:rsidP="00957695">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 146.</w:t>
      </w:r>
    </w:p>
  </w:footnote>
  <w:footnote w:id="143">
    <w:p w:rsidR="00F55F97" w:rsidRDefault="00F55F97" w:rsidP="00957695">
      <w:pPr>
        <w:pStyle w:val="FootnoteText"/>
      </w:pPr>
      <w:r>
        <w:rPr>
          <w:rStyle w:val="FootnoteReference"/>
        </w:rPr>
        <w:footnoteRef/>
      </w:r>
      <w:r>
        <w:t xml:space="preserve"> </w:t>
      </w:r>
      <w:r>
        <w:tab/>
        <w:t>NGR, rr. 79(2</w:t>
      </w:r>
      <w:proofErr w:type="gramStart"/>
      <w:r>
        <w:t>)(</w:t>
      </w:r>
      <w:proofErr w:type="gramEnd"/>
      <w:r>
        <w:t>c)(i), 79(2)(c) (ii).</w:t>
      </w:r>
    </w:p>
  </w:footnote>
  <w:footnote w:id="144">
    <w:p w:rsidR="00F55F97" w:rsidRDefault="00F55F97" w:rsidP="00957695">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 (ii).</w:t>
      </w:r>
    </w:p>
  </w:footnote>
  <w:footnote w:id="145">
    <w:p w:rsidR="00F55F97" w:rsidRDefault="00F55F97" w:rsidP="00A0281F">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3.2.</w:t>
      </w:r>
    </w:p>
  </w:footnote>
  <w:footnote w:id="146">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22</w:t>
      </w:r>
      <w:r>
        <w:t>, July 2015, pp. 2–3.</w:t>
      </w:r>
    </w:p>
  </w:footnote>
  <w:footnote w:id="147">
    <w:p w:rsidR="00F55F97" w:rsidRDefault="00F55F97" w:rsidP="00B03737">
      <w:pPr>
        <w:pStyle w:val="FootnoteText"/>
      </w:pPr>
      <w:r>
        <w:rPr>
          <w:rStyle w:val="FootnoteReference"/>
        </w:rPr>
        <w:footnoteRef/>
      </w:r>
      <w:r>
        <w:t xml:space="preserve"> </w:t>
      </w:r>
      <w:r>
        <w:tab/>
        <w:t xml:space="preserve">AER, </w:t>
      </w:r>
      <w:r w:rsidRPr="000721D1">
        <w:rPr>
          <w:rStyle w:val="AERtextitalic"/>
        </w:rPr>
        <w:t>Draft decision: Envestra Ltd Access arrangement proposal for the SA gas network 1 July 2011 – 30 June 2016</w:t>
      </w:r>
      <w:r>
        <w:t xml:space="preserve">, February 2011, p. 37; Envestra, </w:t>
      </w:r>
      <w:r w:rsidRPr="00E73D2E">
        <w:rPr>
          <w:rStyle w:val="AERtextitalic"/>
        </w:rPr>
        <w:t>South Australian access arrangement information: Public version</w:t>
      </w:r>
      <w:r>
        <w:t xml:space="preserve">, 1 October 2010, p. 105; AER, </w:t>
      </w:r>
      <w:r w:rsidRPr="00E73D2E">
        <w:rPr>
          <w:rStyle w:val="AERtextitalic"/>
        </w:rPr>
        <w:t>Final decision: Envestra Ltd access arrangement proposal for the SA gas network 1 July 2011 – 30 June 2016</w:t>
      </w:r>
      <w:r>
        <w:t xml:space="preserve">, June 2011, p. 30; Envestra, </w:t>
      </w:r>
      <w:r w:rsidRPr="00E73D2E">
        <w:rPr>
          <w:rStyle w:val="AERtextitalic"/>
        </w:rPr>
        <w:t>South Australian access arrangement information: Public version</w:t>
      </w:r>
      <w:r>
        <w:t>, 23 March 2011, p. 108.</w:t>
      </w:r>
    </w:p>
  </w:footnote>
  <w:footnote w:id="148">
    <w:p w:rsidR="00F55F97" w:rsidRDefault="00F55F97" w:rsidP="00B03737">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22</w:t>
      </w:r>
      <w:r>
        <w:t>, July 2015, pp. 2–3.</w:t>
      </w:r>
    </w:p>
  </w:footnote>
  <w:footnote w:id="149">
    <w:p w:rsidR="00F55F97" w:rsidRDefault="00F55F97">
      <w:pPr>
        <w:pStyle w:val="FootnoteText"/>
      </w:pPr>
      <w:r>
        <w:rPr>
          <w:rStyle w:val="FootnoteReference"/>
        </w:rPr>
        <w:footnoteRef/>
      </w:r>
      <w:r>
        <w:t xml:space="preserve"> </w:t>
      </w:r>
      <w:r>
        <w:tab/>
        <w:t>AGN, Response: AER Australian Gas Networks 022 – Meters and regulators, 18 September 2015, pp. 1–2.</w:t>
      </w:r>
    </w:p>
  </w:footnote>
  <w:footnote w:id="150">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75</w:t>
      </w:r>
      <w:r>
        <w:t>, July 2015, p. 2.</w:t>
      </w:r>
    </w:p>
  </w:footnote>
  <w:footnote w:id="151">
    <w:p w:rsidR="00F55F97" w:rsidRDefault="00F55F97" w:rsidP="00957695">
      <w:pPr>
        <w:pStyle w:val="FootnoteText"/>
      </w:pPr>
      <w:r>
        <w:rPr>
          <w:rStyle w:val="FootnoteReference"/>
        </w:rPr>
        <w:footnoteRef/>
      </w:r>
      <w:r>
        <w:t xml:space="preserve"> </w:t>
      </w:r>
      <w:r>
        <w:tab/>
        <w:t xml:space="preserve">CCP, </w:t>
      </w:r>
      <w:r w:rsidRPr="007A019C">
        <w:rPr>
          <w:rStyle w:val="AERtextitalic"/>
        </w:rPr>
        <w:t>Advice to AER from Consumer Challenge Panel sub</w:t>
      </w:r>
      <w:r>
        <w:rPr>
          <w:rStyle w:val="AERtextitalic"/>
        </w:rPr>
        <w:t>–</w:t>
      </w:r>
      <w:r w:rsidRPr="007A019C">
        <w:rPr>
          <w:rStyle w:val="AERtextitalic"/>
        </w:rPr>
        <w:t>panel 8 regarding Australian Gas Networks’ (SA) Access arrangement 2016</w:t>
      </w:r>
      <w:r>
        <w:rPr>
          <w:rStyle w:val="AERtextitalic"/>
        </w:rPr>
        <w:t>–</w:t>
      </w:r>
      <w:r w:rsidRPr="007A019C">
        <w:rPr>
          <w:rStyle w:val="AERtextitalic"/>
        </w:rPr>
        <w:t>2021 proposal</w:t>
      </w:r>
      <w:r>
        <w:t xml:space="preserve">, 25 August 2015, p. 14; Alternative Technology Association, </w:t>
      </w:r>
      <w:r w:rsidRPr="009C7EE6">
        <w:rPr>
          <w:rStyle w:val="AERtextitalic"/>
        </w:rPr>
        <w:t>Submission on Australian Gas Networks (South Australia) access arrangement proposal 2016–21</w:t>
      </w:r>
      <w:r>
        <w:t>, 10 August 2015, p. 10.</w:t>
      </w:r>
    </w:p>
  </w:footnote>
  <w:footnote w:id="152">
    <w:p w:rsidR="00F55F97" w:rsidRDefault="00F55F97" w:rsidP="00957695">
      <w:pPr>
        <w:pStyle w:val="FootnoteText"/>
      </w:pPr>
      <w:r>
        <w:rPr>
          <w:rStyle w:val="FootnoteReference"/>
        </w:rPr>
        <w:footnoteRef/>
      </w:r>
      <w:r>
        <w:t xml:space="preserve"> </w:t>
      </w:r>
      <w:r>
        <w:tab/>
        <w:t xml:space="preserve">CCP, </w:t>
      </w:r>
      <w:r w:rsidRPr="007A019C">
        <w:rPr>
          <w:rStyle w:val="AERtextitalic"/>
        </w:rPr>
        <w:t>Advice to AER from Consumer Challenge Panel sub</w:t>
      </w:r>
      <w:r>
        <w:rPr>
          <w:rStyle w:val="AERtextitalic"/>
        </w:rPr>
        <w:t>–</w:t>
      </w:r>
      <w:r w:rsidRPr="007A019C">
        <w:rPr>
          <w:rStyle w:val="AERtextitalic"/>
        </w:rPr>
        <w:t>panel 8 regarding Australian Gas Networks’ (SA) Access arrangement 2016</w:t>
      </w:r>
      <w:r>
        <w:rPr>
          <w:rStyle w:val="AERtextitalic"/>
        </w:rPr>
        <w:t>–</w:t>
      </w:r>
      <w:r w:rsidRPr="007A019C">
        <w:rPr>
          <w:rStyle w:val="AERtextitalic"/>
        </w:rPr>
        <w:t>2021 proposal</w:t>
      </w:r>
      <w:r>
        <w:t>, 25 August 2015, p. 14.</w:t>
      </w:r>
    </w:p>
  </w:footnote>
  <w:footnote w:id="153">
    <w:p w:rsidR="00F55F97" w:rsidRDefault="00F55F97" w:rsidP="00957695">
      <w:pPr>
        <w:pStyle w:val="FootnoteText"/>
      </w:pPr>
      <w:r>
        <w:rPr>
          <w:rStyle w:val="FootnoteReference"/>
        </w:rPr>
        <w:footnoteRef/>
      </w:r>
      <w:r>
        <w:t xml:space="preserve"> </w:t>
      </w:r>
      <w:r>
        <w:tab/>
        <w:t xml:space="preserve">SA Government, </w:t>
      </w:r>
      <w:r w:rsidRPr="006703F8">
        <w:rPr>
          <w:rStyle w:val="AERtextitalic"/>
        </w:rPr>
        <w:t>Submission on Australian Gas Networks SA access arrangement proposal 2016–21</w:t>
      </w:r>
      <w:r>
        <w:t>, 21 August 2015, p. 4.</w:t>
      </w:r>
    </w:p>
  </w:footnote>
  <w:footnote w:id="154">
    <w:p w:rsidR="00F55F97" w:rsidRDefault="00F55F97" w:rsidP="00957695">
      <w:pPr>
        <w:pStyle w:val="FootnoteText"/>
      </w:pPr>
      <w:r>
        <w:rPr>
          <w:rStyle w:val="FootnoteReference"/>
        </w:rPr>
        <w:footnoteRef/>
      </w:r>
      <w:r>
        <w:t xml:space="preserve"> </w:t>
      </w:r>
      <w:r>
        <w:tab/>
        <w:t>NGR, r. 79(2)(c)(i).</w:t>
      </w:r>
    </w:p>
  </w:footnote>
  <w:footnote w:id="155">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33</w:t>
      </w:r>
      <w:r>
        <w:t>, July 2015, pp. 1–2.</w:t>
      </w:r>
    </w:p>
  </w:footnote>
  <w:footnote w:id="156">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3.4.</w:t>
      </w:r>
    </w:p>
  </w:footnote>
  <w:footnote w:id="157">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09</w:t>
      </w:r>
      <w:r>
        <w:t>, July 2015, pp. 2–4.</w:t>
      </w:r>
    </w:p>
  </w:footnote>
  <w:footnote w:id="158">
    <w:p w:rsidR="00F55F97" w:rsidRDefault="00F55F97" w:rsidP="00957695">
      <w:pPr>
        <w:pStyle w:val="FootnoteText"/>
      </w:pPr>
      <w:r>
        <w:rPr>
          <w:rStyle w:val="FootnoteReference"/>
        </w:rPr>
        <w:footnoteRef/>
      </w:r>
      <w:r>
        <w:t xml:space="preserve"> </w:t>
      </w:r>
      <w:r>
        <w:tab/>
        <w:t xml:space="preserve">AER, </w:t>
      </w:r>
      <w:r w:rsidRPr="000721D1">
        <w:rPr>
          <w:rStyle w:val="AERtextitalic"/>
        </w:rPr>
        <w:t>Draft decision: Envestra Ltd Access arrangement proposal for the SA gas network 1 July 2011 – 30 June 2016</w:t>
      </w:r>
      <w:r>
        <w:t xml:space="preserve">, February 2011, p. 37; Envestra, </w:t>
      </w:r>
      <w:r w:rsidRPr="00E73D2E">
        <w:rPr>
          <w:rStyle w:val="AERtextitalic"/>
        </w:rPr>
        <w:t>South Australian access arrangement information: Public version</w:t>
      </w:r>
      <w:r>
        <w:t xml:space="preserve">, 1 October 2010, p. 105; AER, </w:t>
      </w:r>
      <w:r w:rsidRPr="00E73D2E">
        <w:rPr>
          <w:rStyle w:val="AERtextitalic"/>
        </w:rPr>
        <w:t>Final decision: Envestra Ltd access arrangement proposal for the SA gas network 1 July 2011 – 30 June 2016</w:t>
      </w:r>
      <w:r>
        <w:t>, June 2011, p. 19.</w:t>
      </w:r>
    </w:p>
  </w:footnote>
  <w:footnote w:id="159">
    <w:p w:rsidR="00F55F97" w:rsidRDefault="00F55F97" w:rsidP="00957695">
      <w:pPr>
        <w:pStyle w:val="FootnoteText"/>
      </w:pPr>
      <w:r>
        <w:rPr>
          <w:rStyle w:val="FootnoteReference"/>
        </w:rPr>
        <w:footnoteRef/>
      </w:r>
      <w:r>
        <w:t xml:space="preserve"> </w:t>
      </w:r>
      <w:r>
        <w:tab/>
        <w:t xml:space="preserve">Envestra, </w:t>
      </w:r>
      <w:r w:rsidRPr="00E73D2E">
        <w:rPr>
          <w:rStyle w:val="AERtextitalic"/>
        </w:rPr>
        <w:t>South Australian access arrangement information:</w:t>
      </w:r>
      <w:r>
        <w:rPr>
          <w:rStyle w:val="AERtextitalic"/>
        </w:rPr>
        <w:t xml:space="preserve"> Attachment 7–7:</w:t>
      </w:r>
      <w:r w:rsidRPr="00E73D2E">
        <w:rPr>
          <w:rStyle w:val="AERtextitalic"/>
        </w:rPr>
        <w:t xml:space="preserve"> Public version</w:t>
      </w:r>
      <w:r>
        <w:t>, 23 March 2011, p. 1.</w:t>
      </w:r>
    </w:p>
  </w:footnote>
  <w:footnote w:id="160">
    <w:p w:rsidR="00F55F97" w:rsidRDefault="00F55F97" w:rsidP="00957695">
      <w:pPr>
        <w:pStyle w:val="FootnoteText"/>
      </w:pPr>
      <w:r>
        <w:rPr>
          <w:rStyle w:val="FootnoteReference"/>
        </w:rPr>
        <w:footnoteRef/>
      </w:r>
      <w:r>
        <w:t xml:space="preserve"> </w:t>
      </w:r>
      <w:r>
        <w:tab/>
        <w:t xml:space="preserve">CCP, </w:t>
      </w:r>
      <w:r w:rsidRPr="007A019C">
        <w:rPr>
          <w:rStyle w:val="AERtextitalic"/>
        </w:rPr>
        <w:t>Advice to AER from Consumer Challenge Panel sub</w:t>
      </w:r>
      <w:r>
        <w:rPr>
          <w:rStyle w:val="AERtextitalic"/>
        </w:rPr>
        <w:t>–</w:t>
      </w:r>
      <w:r w:rsidRPr="007A019C">
        <w:rPr>
          <w:rStyle w:val="AERtextitalic"/>
        </w:rPr>
        <w:t>panel 8 regarding Australian Gas Networks’ (SA) Access arrangement 2016</w:t>
      </w:r>
      <w:r>
        <w:rPr>
          <w:rStyle w:val="AERtextitalic"/>
        </w:rPr>
        <w:t>–</w:t>
      </w:r>
      <w:r w:rsidRPr="007A019C">
        <w:rPr>
          <w:rStyle w:val="AERtextitalic"/>
        </w:rPr>
        <w:t>2021 proposal</w:t>
      </w:r>
      <w:r>
        <w:t>, 25 August 2015, p. 14.</w:t>
      </w:r>
    </w:p>
  </w:footnote>
  <w:footnote w:id="161">
    <w:p w:rsidR="00F55F97" w:rsidRDefault="00F55F97" w:rsidP="00957695">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 147.</w:t>
      </w:r>
    </w:p>
  </w:footnote>
  <w:footnote w:id="162">
    <w:p w:rsidR="00F55F97" w:rsidRDefault="00F55F97" w:rsidP="002E51E4">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 (ii).</w:t>
      </w:r>
    </w:p>
  </w:footnote>
  <w:footnote w:id="163">
    <w:p w:rsidR="00F55F97" w:rsidRDefault="00F55F97" w:rsidP="00957695">
      <w:pPr>
        <w:pStyle w:val="FootnoteText"/>
      </w:pPr>
      <w:r>
        <w:rPr>
          <w:rStyle w:val="FootnoteReference"/>
        </w:rPr>
        <w:footnoteRef/>
      </w:r>
      <w:r>
        <w:t xml:space="preserve"> </w:t>
      </w:r>
      <w:r>
        <w:tab/>
        <w:t xml:space="preserve">Energy Consumers Coalition of SA, </w:t>
      </w:r>
      <w:r w:rsidRPr="009432B8">
        <w:rPr>
          <w:rStyle w:val="AERtextitalic"/>
        </w:rPr>
        <w:t>Submission: SA gas distribution revenue reset</w:t>
      </w:r>
      <w:r>
        <w:t>, August 2015, p. 29.</w:t>
      </w:r>
    </w:p>
  </w:footnote>
  <w:footnote w:id="164">
    <w:p w:rsidR="00F55F97" w:rsidRDefault="00F55F97" w:rsidP="00957695">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 (ii).</w:t>
      </w:r>
    </w:p>
  </w:footnote>
  <w:footnote w:id="165">
    <w:p w:rsidR="00F55F97" w:rsidRDefault="00F55F97" w:rsidP="00957695">
      <w:pPr>
        <w:pStyle w:val="FootnoteText"/>
      </w:pPr>
      <w:r>
        <w:rPr>
          <w:rStyle w:val="FootnoteReference"/>
        </w:rPr>
        <w:footnoteRef/>
      </w:r>
      <w:r>
        <w:t xml:space="preserve"> </w:t>
      </w:r>
      <w:r>
        <w:tab/>
        <w:t xml:space="preserve">AER, </w:t>
      </w:r>
      <w:r w:rsidRPr="000721D1">
        <w:rPr>
          <w:rStyle w:val="AERtextitalic"/>
        </w:rPr>
        <w:t>Draft decision: Envestra Ltd Access arrangement proposal for the SA gas network 1 July 2011 – 30 June 2016</w:t>
      </w:r>
      <w:r>
        <w:t xml:space="preserve">, February 2011, p. 39; Envestra, </w:t>
      </w:r>
      <w:r w:rsidRPr="00E73D2E">
        <w:rPr>
          <w:rStyle w:val="AERtextitalic"/>
        </w:rPr>
        <w:t>South Australian access arrangement information: Public version</w:t>
      </w:r>
      <w:r>
        <w:t xml:space="preserve">, 1 October 2010, p. 108; Envestra, </w:t>
      </w:r>
      <w:r w:rsidRPr="00E73D2E">
        <w:rPr>
          <w:rStyle w:val="AERtextitalic"/>
        </w:rPr>
        <w:t>South Australian access arrangement information</w:t>
      </w:r>
      <w:r>
        <w:rPr>
          <w:rStyle w:val="AERtextitalic"/>
        </w:rPr>
        <w:t>: Business case S43</w:t>
      </w:r>
      <w:r>
        <w:t>, 1 October 2010 (Confidential);</w:t>
      </w:r>
      <w:r w:rsidRPr="00F81F60">
        <w:t xml:space="preserve"> </w:t>
      </w:r>
      <w:r>
        <w:t xml:space="preserve">AER, </w:t>
      </w:r>
      <w:r w:rsidRPr="00E73D2E">
        <w:rPr>
          <w:rStyle w:val="AERtextitalic"/>
        </w:rPr>
        <w:t>Final decision: Envestra Ltd access arrangement proposal for the SA gas network 1 July 2011 – 30 June 2016</w:t>
      </w:r>
      <w:r>
        <w:t xml:space="preserve">, June 2011, p. 30; Envestra, </w:t>
      </w:r>
      <w:r w:rsidRPr="00E73D2E">
        <w:rPr>
          <w:rStyle w:val="AERtextitalic"/>
        </w:rPr>
        <w:t>South Australian access arrangement information: Public version</w:t>
      </w:r>
      <w:r>
        <w:t>, 23 March 2011, p. 111.</w:t>
      </w:r>
    </w:p>
  </w:footnote>
  <w:footnote w:id="166">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3</w:t>
      </w:r>
      <w:r w:rsidRPr="008D76D9">
        <w:rPr>
          <w:rStyle w:val="AERtextitalic"/>
        </w:rPr>
        <w:t>1</w:t>
      </w:r>
      <w:r>
        <w:t>, July 2015, p. 3.</w:t>
      </w:r>
    </w:p>
  </w:footnote>
  <w:footnote w:id="167">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4.2.</w:t>
      </w:r>
    </w:p>
  </w:footnote>
  <w:footnote w:id="168">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3</w:t>
      </w:r>
      <w:r w:rsidRPr="008D76D9">
        <w:rPr>
          <w:rStyle w:val="AERtextitalic"/>
        </w:rPr>
        <w:t>1</w:t>
      </w:r>
      <w:r>
        <w:t>, July 2015, pp. 3, 8.</w:t>
      </w:r>
    </w:p>
  </w:footnote>
  <w:footnote w:id="169">
    <w:p w:rsidR="00F55F97" w:rsidRDefault="00F55F97" w:rsidP="00957695">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79(2)(c)(ii).</w:t>
      </w:r>
    </w:p>
  </w:footnote>
  <w:footnote w:id="170">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4.2.</w:t>
      </w:r>
    </w:p>
  </w:footnote>
  <w:footnote w:id="171">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4.2.</w:t>
      </w:r>
    </w:p>
  </w:footnote>
  <w:footnote w:id="172">
    <w:p w:rsidR="00F55F97" w:rsidRDefault="00F55F97" w:rsidP="00957695">
      <w:pPr>
        <w:pStyle w:val="FootnoteText"/>
      </w:pPr>
      <w:r>
        <w:rPr>
          <w:rStyle w:val="FootnoteReference"/>
        </w:rPr>
        <w:footnoteRef/>
      </w:r>
      <w:r>
        <w:t xml:space="preserve"> </w:t>
      </w:r>
      <w:r>
        <w:tab/>
        <w:t xml:space="preserve">SA Government, </w:t>
      </w:r>
      <w:r w:rsidRPr="006703F8">
        <w:rPr>
          <w:rStyle w:val="AERtextitalic"/>
        </w:rPr>
        <w:t>Submission on Australian Gas Networks SA access arrangement proposal 2016–21</w:t>
      </w:r>
      <w:r>
        <w:t>, 21 August 2015, p. 4.</w:t>
      </w:r>
    </w:p>
  </w:footnote>
  <w:footnote w:id="173">
    <w:p w:rsidR="00F55F97" w:rsidRDefault="00F55F97" w:rsidP="00957695">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 (ii).</w:t>
      </w:r>
    </w:p>
  </w:footnote>
  <w:footnote w:id="174">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28</w:t>
      </w:r>
      <w:r>
        <w:t>, July 2015, pp. 2 and 6.</w:t>
      </w:r>
    </w:p>
  </w:footnote>
  <w:footnote w:id="175">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4.3.</w:t>
      </w:r>
    </w:p>
  </w:footnote>
  <w:footnote w:id="176">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4.3.</w:t>
      </w:r>
    </w:p>
  </w:footnote>
  <w:footnote w:id="177">
    <w:p w:rsidR="00F55F97" w:rsidRDefault="00F55F97" w:rsidP="00957695">
      <w:pPr>
        <w:pStyle w:val="FootnoteText"/>
      </w:pPr>
      <w:r>
        <w:rPr>
          <w:rStyle w:val="FootnoteReference"/>
        </w:rPr>
        <w:footnoteRef/>
      </w:r>
      <w:r>
        <w:t xml:space="preserve"> </w:t>
      </w:r>
      <w:r>
        <w:tab/>
        <w:t>NGR, r. 79(1)(a).</w:t>
      </w:r>
    </w:p>
  </w:footnote>
  <w:footnote w:id="178">
    <w:p w:rsidR="00F55F97" w:rsidRDefault="00F55F97" w:rsidP="00957695">
      <w:pPr>
        <w:pStyle w:val="FootnoteText"/>
      </w:pPr>
      <w:r>
        <w:rPr>
          <w:rStyle w:val="FootnoteReference"/>
        </w:rPr>
        <w:footnoteRef/>
      </w:r>
      <w:r>
        <w:t xml:space="preserve"> </w:t>
      </w:r>
      <w:r>
        <w:tab/>
        <w:t>NGR, rr. 79(2</w:t>
      </w:r>
      <w:proofErr w:type="gramStart"/>
      <w:r>
        <w:t>)(</w:t>
      </w:r>
      <w:proofErr w:type="gramEnd"/>
      <w:r>
        <w:t>c)(</w:t>
      </w:r>
      <w:proofErr w:type="spellStart"/>
      <w:r>
        <w:t>i</w:t>
      </w:r>
      <w:proofErr w:type="spellEnd"/>
      <w:r>
        <w:t>), 79(2)(c)(ii).</w:t>
      </w:r>
    </w:p>
  </w:footnote>
  <w:footnote w:id="179">
    <w:p w:rsidR="00F55F97" w:rsidRDefault="00F55F97" w:rsidP="00957695">
      <w:pPr>
        <w:pStyle w:val="FootnoteText"/>
      </w:pPr>
      <w:r>
        <w:rPr>
          <w:rStyle w:val="FootnoteReference"/>
        </w:rPr>
        <w:footnoteRef/>
      </w:r>
      <w:r>
        <w:t xml:space="preserve"> </w:t>
      </w:r>
      <w:r>
        <w:tab/>
        <w:t xml:space="preserve">AER, </w:t>
      </w:r>
      <w:r w:rsidRPr="000721D1">
        <w:rPr>
          <w:rStyle w:val="AERtextitalic"/>
        </w:rPr>
        <w:t>Draft decision: Envestra Ltd Access arrangement proposal for the SA gas network 1 July 2011 – 30 June 2016</w:t>
      </w:r>
      <w:r>
        <w:t xml:space="preserve">, February 2011, p. 39; Envestra, </w:t>
      </w:r>
      <w:r w:rsidRPr="00E73D2E">
        <w:rPr>
          <w:rStyle w:val="AERtextitalic"/>
        </w:rPr>
        <w:t>South Australian access arrangement information: Public version</w:t>
      </w:r>
      <w:r>
        <w:t xml:space="preserve">, 1 October 2010, p. 108; AER, </w:t>
      </w:r>
      <w:r w:rsidRPr="00E73D2E">
        <w:rPr>
          <w:rStyle w:val="AERtextitalic"/>
        </w:rPr>
        <w:t>Final decision: Envestra Ltd access arrangement proposal for the SA gas network 1 July 2011 – 30 June 2016</w:t>
      </w:r>
      <w:r>
        <w:t xml:space="preserve">, June 2011, p. 30; Envestra, </w:t>
      </w:r>
      <w:r w:rsidRPr="00E73D2E">
        <w:rPr>
          <w:rStyle w:val="AERtextitalic"/>
        </w:rPr>
        <w:t>South Australian access arrangement information: Public version</w:t>
      </w:r>
      <w:r>
        <w:t>, 23 March 2011, p. 111.</w:t>
      </w:r>
    </w:p>
  </w:footnote>
  <w:footnote w:id="180">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10</w:t>
      </w:r>
      <w:r>
        <w:t>, July 2015, pp. 2–6.</w:t>
      </w:r>
    </w:p>
  </w:footnote>
  <w:footnote w:id="181">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4.4.</w:t>
      </w:r>
    </w:p>
  </w:footnote>
  <w:footnote w:id="182">
    <w:p w:rsidR="00F55F97" w:rsidRDefault="00F55F97" w:rsidP="00957695">
      <w:pPr>
        <w:pStyle w:val="FootnoteText"/>
      </w:pPr>
      <w:r>
        <w:rPr>
          <w:rStyle w:val="FootnoteReference"/>
        </w:rPr>
        <w:footnoteRef/>
      </w:r>
      <w:r>
        <w:t xml:space="preserve"> </w:t>
      </w:r>
      <w:r>
        <w:tab/>
        <w:t xml:space="preserve">Sleeman Consulting, </w:t>
      </w:r>
      <w:r w:rsidRPr="00BE6055">
        <w:rPr>
          <w:rStyle w:val="AERtextitalic"/>
        </w:rPr>
        <w:t>Australian Gas Networks access arrangement 2016/17 to 2020/21: Review of capex forecasts for selected projects</w:t>
      </w:r>
      <w:r>
        <w:t>, 18 November 2015, section 4.4.</w:t>
      </w:r>
    </w:p>
  </w:footnote>
  <w:footnote w:id="183">
    <w:p w:rsidR="00F55F97" w:rsidRDefault="00F55F97" w:rsidP="00957695">
      <w:pPr>
        <w:pStyle w:val="FootnoteText"/>
      </w:pPr>
      <w:r>
        <w:rPr>
          <w:rStyle w:val="FootnoteReference"/>
        </w:rPr>
        <w:footnoteRef/>
      </w:r>
      <w:r>
        <w:t xml:space="preserve"> </w:t>
      </w:r>
      <w:r>
        <w:tab/>
        <w:t xml:space="preserve">AGN, </w:t>
      </w:r>
      <w:r w:rsidRPr="008D76D9">
        <w:rPr>
          <w:rStyle w:val="AERtextitalic"/>
        </w:rPr>
        <w:t>Access arrangement information: Attachment 7.1: Business cases: Business case – SA</w:t>
      </w:r>
      <w:r>
        <w:rPr>
          <w:rStyle w:val="AERtextitalic"/>
        </w:rPr>
        <w:t>32</w:t>
      </w:r>
      <w:r>
        <w:t>, July 2015, pp. 1–2.</w:t>
      </w:r>
    </w:p>
  </w:footnote>
  <w:footnote w:id="184">
    <w:p w:rsidR="00F55F97" w:rsidRDefault="00F55F97" w:rsidP="00957695">
      <w:pPr>
        <w:pStyle w:val="FootnoteText"/>
      </w:pPr>
      <w:r>
        <w:rPr>
          <w:rStyle w:val="FootnoteReference"/>
        </w:rPr>
        <w:footnoteRef/>
      </w:r>
      <w:r>
        <w:t xml:space="preserve"> </w:t>
      </w:r>
      <w:r>
        <w:tab/>
        <w:t xml:space="preserve">CCP, </w:t>
      </w:r>
      <w:r w:rsidRPr="007A019C">
        <w:rPr>
          <w:rStyle w:val="AERtextitalic"/>
        </w:rPr>
        <w:t>Advice to AER from Consumer Challenge Panel sub</w:t>
      </w:r>
      <w:r>
        <w:rPr>
          <w:rStyle w:val="AERtextitalic"/>
        </w:rPr>
        <w:t>–</w:t>
      </w:r>
      <w:r w:rsidRPr="007A019C">
        <w:rPr>
          <w:rStyle w:val="AERtextitalic"/>
        </w:rPr>
        <w:t>panel 8 regarding Australian Gas Networks’ (SA) Access arrangement 2016</w:t>
      </w:r>
      <w:r>
        <w:rPr>
          <w:rStyle w:val="AERtextitalic"/>
        </w:rPr>
        <w:t>–</w:t>
      </w:r>
      <w:r w:rsidRPr="007A019C">
        <w:rPr>
          <w:rStyle w:val="AERtextitalic"/>
        </w:rPr>
        <w:t>2021 proposal</w:t>
      </w:r>
      <w:r>
        <w:t>, 25 August 2015, p. 14.</w:t>
      </w:r>
    </w:p>
  </w:footnote>
  <w:footnote w:id="185">
    <w:p w:rsidR="00F55F97" w:rsidRDefault="00F55F97" w:rsidP="00957695">
      <w:pPr>
        <w:pStyle w:val="FootnoteText"/>
      </w:pPr>
      <w:r>
        <w:rPr>
          <w:rStyle w:val="FootnoteReference"/>
        </w:rPr>
        <w:footnoteRef/>
      </w:r>
      <w:r>
        <w:t xml:space="preserve"> </w:t>
      </w:r>
      <w:r>
        <w:tab/>
        <w:t xml:space="preserve">AGN, </w:t>
      </w:r>
      <w:r w:rsidRPr="00346150">
        <w:rPr>
          <w:rStyle w:val="AERtextitalic"/>
        </w:rPr>
        <w:t>Access arrangement information for Australian Gas Networks’ South Australian Natural Gas distribution network</w:t>
      </w:r>
      <w:r>
        <w:t>, July 2015, p. 148.</w:t>
      </w:r>
    </w:p>
  </w:footnote>
  <w:footnote w:id="186">
    <w:p w:rsidR="00F55F97" w:rsidRDefault="00F55F97" w:rsidP="00957695">
      <w:pPr>
        <w:pStyle w:val="FootnoteText"/>
      </w:pPr>
      <w:r>
        <w:rPr>
          <w:rStyle w:val="FootnoteReference"/>
        </w:rPr>
        <w:footnoteRef/>
      </w:r>
      <w:r>
        <w:t xml:space="preserve"> </w:t>
      </w:r>
      <w:r>
        <w:tab/>
        <w:t>NGR, rr. 79(1</w:t>
      </w:r>
      <w:proofErr w:type="gramStart"/>
      <w:r>
        <w:t>)(</w:t>
      </w:r>
      <w:proofErr w:type="gramEnd"/>
      <w:r>
        <w:t>a), 79(2)(c)(</w:t>
      </w:r>
      <w:proofErr w:type="spellStart"/>
      <w:r>
        <w:t>i</w:t>
      </w:r>
      <w:proofErr w:type="spellEnd"/>
      <w:r>
        <w:t>), 79(2)(c)(ii).</w:t>
      </w:r>
    </w:p>
  </w:footnote>
  <w:footnote w:id="187">
    <w:p w:rsidR="00F55F97" w:rsidRDefault="00F55F97" w:rsidP="003619F0">
      <w:pPr>
        <w:pStyle w:val="FootnoteText"/>
      </w:pPr>
      <w:r>
        <w:rPr>
          <w:rStyle w:val="FootnoteReference"/>
        </w:rPr>
        <w:footnoteRef/>
      </w:r>
      <w:r>
        <w:t xml:space="preserve"> </w:t>
      </w:r>
      <w:r>
        <w:tab/>
        <w:t>NGR, rr. 74(2), 79(1</w:t>
      </w:r>
      <w:proofErr w:type="gramStart"/>
      <w:r>
        <w:t>)(</w:t>
      </w:r>
      <w:proofErr w:type="gramEnd"/>
      <w:r>
        <w:t>a).</w:t>
      </w:r>
    </w:p>
  </w:footnote>
  <w:footnote w:id="188">
    <w:p w:rsidR="00F55F97" w:rsidRDefault="00F55F97" w:rsidP="003619F0">
      <w:pPr>
        <w:pStyle w:val="FootnoteText"/>
      </w:pPr>
      <w:r>
        <w:rPr>
          <w:rStyle w:val="FootnoteReference"/>
        </w:rPr>
        <w:footnoteRef/>
      </w:r>
      <w:r>
        <w:t xml:space="preserve"> </w:t>
      </w:r>
      <w:r>
        <w:tab/>
        <w:t xml:space="preserve">AGN estimated the average proportion of actual overhead costs incurred over 2011–12, 2012–13, and 2013–14. </w:t>
      </w:r>
    </w:p>
  </w:footnote>
  <w:footnote w:id="189">
    <w:p w:rsidR="00F55F97" w:rsidRDefault="00F55F97" w:rsidP="00B00FF9">
      <w:pPr>
        <w:pStyle w:val="FootnoteText"/>
      </w:pPr>
      <w:r>
        <w:rPr>
          <w:rStyle w:val="FootnoteReference"/>
        </w:rPr>
        <w:footnoteRef/>
      </w:r>
      <w:r>
        <w:t xml:space="preserve"> </w:t>
      </w:r>
      <w:r>
        <w:tab/>
        <w:t xml:space="preserve">AGN, </w:t>
      </w:r>
      <w:r w:rsidRPr="00D356F1">
        <w:rPr>
          <w:i/>
        </w:rPr>
        <w:t>Response to Information request AER Australian Gas Networks 012 – Capitalised overheads</w:t>
      </w:r>
      <w:r>
        <w:t>, received 19 August 2015, p. 2.</w:t>
      </w:r>
    </w:p>
  </w:footnote>
  <w:footnote w:id="190">
    <w:p w:rsidR="00F55F97" w:rsidRDefault="00F55F97" w:rsidP="003619F0">
      <w:pPr>
        <w:pStyle w:val="FootnoteText"/>
      </w:pPr>
      <w:r>
        <w:rPr>
          <w:rStyle w:val="FootnoteReference"/>
        </w:rPr>
        <w:footnoteRef/>
      </w:r>
      <w:r>
        <w:t xml:space="preserve"> </w:t>
      </w:r>
      <w:r>
        <w:tab/>
        <w:t xml:space="preserve">AER, </w:t>
      </w:r>
      <w:r w:rsidRPr="003619F0">
        <w:rPr>
          <w:i/>
        </w:rPr>
        <w:t>Final decision, Jemena Gas Networks (NSW) access arrangement 2015–20, Attachment 6 – Capital expenditure,</w:t>
      </w:r>
      <w:r>
        <w:t xml:space="preserve"> June 2015, p. 6–44; AER, </w:t>
      </w:r>
      <w:r w:rsidRPr="003619F0">
        <w:rPr>
          <w:i/>
        </w:rPr>
        <w:t>Access arrangement final decision, SPI Networks (Gas) Pty Ltd 2013–17, Part 4: Confidential appendix,</w:t>
      </w:r>
      <w:r>
        <w:t xml:space="preserve"> March 2013; AER, </w:t>
      </w:r>
      <w:r w:rsidRPr="003619F0">
        <w:rPr>
          <w:i/>
        </w:rPr>
        <w:t>Access arrangement final decision, Envestra (Gas) Networks 2013–17, Confidential appendix</w:t>
      </w:r>
      <w:r>
        <w:t xml:space="preserve">, March 2013.  </w:t>
      </w:r>
    </w:p>
  </w:footnote>
  <w:footnote w:id="191">
    <w:p w:rsidR="00F55F97" w:rsidRDefault="00F55F97" w:rsidP="00D356F1">
      <w:pPr>
        <w:pStyle w:val="FootnoteText"/>
      </w:pPr>
      <w:r>
        <w:rPr>
          <w:rStyle w:val="FootnoteReference"/>
        </w:rPr>
        <w:footnoteRef/>
      </w:r>
      <w:r>
        <w:t xml:space="preserve"> </w:t>
      </w:r>
      <w:r>
        <w:tab/>
        <w:t xml:space="preserve">With capex expansion calculated as the difference between our direct capex </w:t>
      </w:r>
      <w:proofErr w:type="gramStart"/>
      <w:r>
        <w:t>estimate</w:t>
      </w:r>
      <w:proofErr w:type="gramEnd"/>
      <w:r>
        <w:t xml:space="preserve"> compared to the 4 year average historical direct capex estimate.</w:t>
      </w:r>
    </w:p>
  </w:footnote>
  <w:footnote w:id="192">
    <w:p w:rsidR="00F55F97" w:rsidRDefault="00F55F97" w:rsidP="00515CF8">
      <w:pPr>
        <w:pStyle w:val="FootnoteText"/>
      </w:pPr>
      <w:r>
        <w:rPr>
          <w:rStyle w:val="FootnoteReference"/>
        </w:rPr>
        <w:footnoteRef/>
      </w:r>
      <w:r>
        <w:t xml:space="preserve"> </w:t>
      </w:r>
      <w:r>
        <w:tab/>
      </w:r>
      <w:r w:rsidRPr="000C7273">
        <w:t xml:space="preserve">AGN state this averaging approach was adopted by them based upon the AER’s Preliminary Decision for SA Power Networks. See Australian Gas Networks, </w:t>
      </w:r>
      <w:r w:rsidRPr="000C7273">
        <w:rPr>
          <w:i/>
        </w:rPr>
        <w:t>Access Arrangement Information for Australian Gas Networks South Australian Natural Gas Distribution Network</w:t>
      </w:r>
      <w:r w:rsidRPr="000C7273">
        <w:t>, July 2015, pp. 121</w:t>
      </w:r>
      <w:r>
        <w:t>–</w:t>
      </w:r>
      <w:r w:rsidRPr="000C7273">
        <w:t>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97" w:rsidRDefault="0013330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55F9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97" w:rsidRDefault="0013330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29238AE"/>
    <w:multiLevelType w:val="hybridMultilevel"/>
    <w:tmpl w:val="329270B0"/>
    <w:lvl w:ilvl="0" w:tplc="9F1EBC4E">
      <w:start w:val="1"/>
      <w:numFmt w:val="decimal"/>
      <w:lvlText w:val="%1."/>
      <w:lvlJc w:val="left"/>
      <w:pPr>
        <w:ind w:left="720" w:hanging="360"/>
      </w:pPr>
      <w:rPr>
        <w:rFonts w:asciiTheme="minorHAnsi" w:hAnsiTheme="minorHAnsi" w:cstheme="minorHAnsi" w:hint="default"/>
        <w:b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8387E54"/>
    <w:multiLevelType w:val="hybridMultilevel"/>
    <w:tmpl w:val="00F65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BCE549E"/>
    <w:multiLevelType w:val="hybridMultilevel"/>
    <w:tmpl w:val="F6D27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714E75"/>
    <w:multiLevelType w:val="hybridMultilevel"/>
    <w:tmpl w:val="5E626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1626CC3"/>
    <w:multiLevelType w:val="hybridMultilevel"/>
    <w:tmpl w:val="E0F22E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18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D6B2003"/>
    <w:multiLevelType w:val="hybridMultilevel"/>
    <w:tmpl w:val="A6AA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8D076A"/>
    <w:multiLevelType w:val="hybridMultilevel"/>
    <w:tmpl w:val="27F065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nsid w:val="329257E9"/>
    <w:multiLevelType w:val="multilevel"/>
    <w:tmpl w:val="90EC2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0">
    <w:nsid w:val="43500BBE"/>
    <w:multiLevelType w:val="hybridMultilevel"/>
    <w:tmpl w:val="6A06D9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4F4666B0"/>
    <w:multiLevelType w:val="multilevel"/>
    <w:tmpl w:val="53149CE0"/>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0"/>
        </w:tabs>
        <w:ind w:left="0" w:hanging="851"/>
      </w:pPr>
    </w:lvl>
    <w:lvl w:ilvl="2">
      <w:start w:val="1"/>
      <w:numFmt w:val="decimal"/>
      <w:lvlText w:val="%1%2.%3"/>
      <w:lvlJc w:val="left"/>
      <w:pPr>
        <w:tabs>
          <w:tab w:val="num" w:pos="851"/>
        </w:tabs>
        <w:ind w:left="851" w:hanging="851"/>
      </w:pPr>
    </w:lvl>
    <w:lvl w:ilvl="3">
      <w:start w:val="1"/>
      <w:numFmt w:val="decimal"/>
      <w:lvlText w:val="%2.%3.%4"/>
      <w:lvlJc w:val="left"/>
      <w:pPr>
        <w:tabs>
          <w:tab w:val="num" w:pos="0"/>
        </w:tabs>
        <w:ind w:left="0" w:hanging="851"/>
      </w:pPr>
    </w:lvl>
    <w:lvl w:ilvl="4">
      <w:start w:val="1"/>
      <w:numFmt w:val="upperLetter"/>
      <w:lvlRestart w:val="1"/>
      <w:lvlText w:val="%5"/>
      <w:lvlJc w:val="left"/>
      <w:pPr>
        <w:tabs>
          <w:tab w:val="num" w:pos="0"/>
        </w:tabs>
        <w:ind w:left="0" w:hanging="851"/>
      </w:pPr>
    </w:lvl>
    <w:lvl w:ilvl="5">
      <w:start w:val="1"/>
      <w:numFmt w:val="decimal"/>
      <w:lvlText w:val="%5.%6"/>
      <w:lvlJc w:val="left"/>
      <w:pPr>
        <w:tabs>
          <w:tab w:val="num" w:pos="0"/>
        </w:tabs>
        <w:ind w:left="0" w:hanging="851"/>
      </w:pPr>
    </w:lvl>
    <w:lvl w:ilvl="6">
      <w:start w:val="1"/>
      <w:numFmt w:val="decimal"/>
      <w:lvlText w:val="%5.%6.%7"/>
      <w:lvlJc w:val="left"/>
      <w:pPr>
        <w:tabs>
          <w:tab w:val="num" w:pos="0"/>
        </w:tabs>
        <w:ind w:left="0" w:hanging="851"/>
      </w:pPr>
    </w:lvl>
    <w:lvl w:ilvl="7">
      <w:start w:val="1"/>
      <w:numFmt w:val="none"/>
      <w:lvlRestart w:val="0"/>
      <w:lvlText w:val=""/>
      <w:lvlJc w:val="left"/>
      <w:pPr>
        <w:tabs>
          <w:tab w:val="num" w:pos="0"/>
        </w:tabs>
        <w:ind w:left="0" w:firstLine="0"/>
      </w:pPr>
    </w:lvl>
    <w:lvl w:ilvl="8">
      <w:start w:val="1"/>
      <w:numFmt w:val="none"/>
      <w:lvlRestart w:val="0"/>
      <w:lvlText w:val=""/>
      <w:lvlJc w:val="left"/>
      <w:pPr>
        <w:ind w:left="0" w:firstLine="0"/>
      </w:pPr>
    </w:lvl>
  </w:abstractNum>
  <w:abstractNum w:abstractNumId="3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5B7C63D8"/>
    <w:multiLevelType w:val="hybridMultilevel"/>
    <w:tmpl w:val="4F8C2BFE"/>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8">
    <w:nsid w:val="5ECE4384"/>
    <w:multiLevelType w:val="multilevel"/>
    <w:tmpl w:val="A6AEF5F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63201EED"/>
    <w:multiLevelType w:val="hybridMultilevel"/>
    <w:tmpl w:val="5008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1">
    <w:nsid w:val="6844594B"/>
    <w:multiLevelType w:val="hybridMultilevel"/>
    <w:tmpl w:val="ACE66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5922D85"/>
    <w:multiLevelType w:val="hybridMultilevel"/>
    <w:tmpl w:val="9C32C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AEF67FF"/>
    <w:multiLevelType w:val="multilevel"/>
    <w:tmpl w:val="6F72D1AA"/>
    <w:lvl w:ilvl="0">
      <w:start w:val="1"/>
      <w:numFmt w:val="decimal"/>
      <w:lvlText w:val="%1."/>
      <w:lvlJc w:val="left"/>
      <w:pPr>
        <w:tabs>
          <w:tab w:val="num" w:pos="357"/>
        </w:tabs>
        <w:ind w:left="357" w:hanging="357"/>
      </w:pPr>
      <w:rPr>
        <w:rFonts w:ascii="Times New Roman" w:eastAsiaTheme="minorHAnsi" w:hAnsi="Times New Roman" w:cs="Times New Roman"/>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27"/>
  </w:num>
  <w:num w:numId="14">
    <w:abstractNumId w:val="13"/>
  </w:num>
  <w:num w:numId="15">
    <w:abstractNumId w:val="16"/>
  </w:num>
  <w:num w:numId="16">
    <w:abstractNumId w:val="31"/>
  </w:num>
  <w:num w:numId="17">
    <w:abstractNumId w:val="12"/>
  </w:num>
  <w:num w:numId="18">
    <w:abstractNumId w:val="20"/>
  </w:num>
  <w:num w:numId="19">
    <w:abstractNumId w:val="32"/>
  </w:num>
  <w:num w:numId="20">
    <w:abstractNumId w:val="42"/>
  </w:num>
  <w:num w:numId="21">
    <w:abstractNumId w:val="36"/>
  </w:num>
  <w:num w:numId="22">
    <w:abstractNumId w:val="33"/>
  </w:num>
  <w:num w:numId="23">
    <w:abstractNumId w:val="23"/>
  </w:num>
  <w:num w:numId="24">
    <w:abstractNumId w:val="35"/>
  </w:num>
  <w:num w:numId="25">
    <w:abstractNumId w:val="38"/>
  </w:num>
  <w:num w:numId="26">
    <w:abstractNumId w:val="26"/>
  </w:num>
  <w:num w:numId="27">
    <w:abstractNumId w:val="1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10"/>
  </w:num>
  <w:num w:numId="32">
    <w:abstractNumId w:val="41"/>
  </w:num>
  <w:num w:numId="33">
    <w:abstractNumId w:val="21"/>
  </w:num>
  <w:num w:numId="34">
    <w:abstractNumId w:val="9"/>
  </w:num>
  <w:num w:numId="35">
    <w:abstractNumId w:val="43"/>
  </w:num>
  <w:num w:numId="36">
    <w:abstractNumId w:val="17"/>
  </w:num>
  <w:num w:numId="37">
    <w:abstractNumId w:val="15"/>
  </w:num>
  <w:num w:numId="38">
    <w:abstractNumId w:val="45"/>
  </w:num>
  <w:num w:numId="39">
    <w:abstractNumId w:val="44"/>
  </w:num>
  <w:num w:numId="40">
    <w:abstractNumId w:val="25"/>
  </w:num>
  <w:num w:numId="41">
    <w:abstractNumId w:val="45"/>
  </w:num>
  <w:num w:numId="42">
    <w:abstractNumId w:val="29"/>
  </w:num>
  <w:num w:numId="43">
    <w:abstractNumId w:val="22"/>
  </w:num>
  <w:num w:numId="44">
    <w:abstractNumId w:val="39"/>
  </w:num>
  <w:num w:numId="45">
    <w:abstractNumId w:val="34"/>
  </w:num>
  <w:num w:numId="46">
    <w:abstractNumId w:val="18"/>
  </w:num>
  <w:num w:numId="47">
    <w:abstractNumId w:val="30"/>
  </w:num>
  <w:num w:numId="48">
    <w:abstractNumId w:val="37"/>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hl8Eu0RzuF3sKCTX80nfJLIvuR2Z9H5RI+ED1HvdRk=" w:saltValue="wb89rjPl0w96XwQTaEbrS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2001"/>
    <w:rsid w:val="000078AC"/>
    <w:rsid w:val="00007A3F"/>
    <w:rsid w:val="00010286"/>
    <w:rsid w:val="000171EB"/>
    <w:rsid w:val="00021039"/>
    <w:rsid w:val="00021202"/>
    <w:rsid w:val="0002162A"/>
    <w:rsid w:val="00021C2B"/>
    <w:rsid w:val="0002517F"/>
    <w:rsid w:val="00026495"/>
    <w:rsid w:val="00027262"/>
    <w:rsid w:val="000330DB"/>
    <w:rsid w:val="0003365A"/>
    <w:rsid w:val="0003578C"/>
    <w:rsid w:val="000401AF"/>
    <w:rsid w:val="0004299B"/>
    <w:rsid w:val="00042F30"/>
    <w:rsid w:val="00046F5B"/>
    <w:rsid w:val="0006074E"/>
    <w:rsid w:val="0006218C"/>
    <w:rsid w:val="00063247"/>
    <w:rsid w:val="00065123"/>
    <w:rsid w:val="0006566A"/>
    <w:rsid w:val="00070F9F"/>
    <w:rsid w:val="0007137B"/>
    <w:rsid w:val="00085663"/>
    <w:rsid w:val="00085EBF"/>
    <w:rsid w:val="00091B15"/>
    <w:rsid w:val="000957E7"/>
    <w:rsid w:val="0009628A"/>
    <w:rsid w:val="000979B9"/>
    <w:rsid w:val="000A3020"/>
    <w:rsid w:val="000A5673"/>
    <w:rsid w:val="000A6C7B"/>
    <w:rsid w:val="000B3087"/>
    <w:rsid w:val="000B51A8"/>
    <w:rsid w:val="000C2B40"/>
    <w:rsid w:val="000D06C1"/>
    <w:rsid w:val="000D0C6D"/>
    <w:rsid w:val="000D122C"/>
    <w:rsid w:val="000D285B"/>
    <w:rsid w:val="000D3016"/>
    <w:rsid w:val="000D5317"/>
    <w:rsid w:val="000D5BA7"/>
    <w:rsid w:val="000E04FA"/>
    <w:rsid w:val="000E0EE2"/>
    <w:rsid w:val="000E13DB"/>
    <w:rsid w:val="000E1819"/>
    <w:rsid w:val="000E4821"/>
    <w:rsid w:val="000E6C72"/>
    <w:rsid w:val="000E6D04"/>
    <w:rsid w:val="000E767B"/>
    <w:rsid w:val="000E7AB0"/>
    <w:rsid w:val="000F0B2B"/>
    <w:rsid w:val="000F16DF"/>
    <w:rsid w:val="000F3E72"/>
    <w:rsid w:val="000F48B1"/>
    <w:rsid w:val="00103A67"/>
    <w:rsid w:val="00104FA4"/>
    <w:rsid w:val="00116BE0"/>
    <w:rsid w:val="00116EB2"/>
    <w:rsid w:val="00124609"/>
    <w:rsid w:val="00126A4C"/>
    <w:rsid w:val="00133306"/>
    <w:rsid w:val="00134AE5"/>
    <w:rsid w:val="00141318"/>
    <w:rsid w:val="00142AB6"/>
    <w:rsid w:val="001447A6"/>
    <w:rsid w:val="0014573B"/>
    <w:rsid w:val="001573E4"/>
    <w:rsid w:val="00160756"/>
    <w:rsid w:val="0016443E"/>
    <w:rsid w:val="00170760"/>
    <w:rsid w:val="00170E7F"/>
    <w:rsid w:val="00172166"/>
    <w:rsid w:val="0017232E"/>
    <w:rsid w:val="00172350"/>
    <w:rsid w:val="00174102"/>
    <w:rsid w:val="001754EE"/>
    <w:rsid w:val="00180157"/>
    <w:rsid w:val="00185CB9"/>
    <w:rsid w:val="00186F77"/>
    <w:rsid w:val="00187F03"/>
    <w:rsid w:val="0019108A"/>
    <w:rsid w:val="001926A4"/>
    <w:rsid w:val="00192A7E"/>
    <w:rsid w:val="00192AD5"/>
    <w:rsid w:val="001A08C2"/>
    <w:rsid w:val="001A2564"/>
    <w:rsid w:val="001A65E4"/>
    <w:rsid w:val="001A74B2"/>
    <w:rsid w:val="001B45A0"/>
    <w:rsid w:val="001B5253"/>
    <w:rsid w:val="001B7D00"/>
    <w:rsid w:val="001D055E"/>
    <w:rsid w:val="001D790F"/>
    <w:rsid w:val="001E1A6A"/>
    <w:rsid w:val="001E2DEB"/>
    <w:rsid w:val="001F05A4"/>
    <w:rsid w:val="001F180F"/>
    <w:rsid w:val="001F492E"/>
    <w:rsid w:val="001F6DA3"/>
    <w:rsid w:val="002010BC"/>
    <w:rsid w:val="002016E7"/>
    <w:rsid w:val="00201F98"/>
    <w:rsid w:val="00202E03"/>
    <w:rsid w:val="0020478D"/>
    <w:rsid w:val="0020492C"/>
    <w:rsid w:val="00205596"/>
    <w:rsid w:val="00205A33"/>
    <w:rsid w:val="00212946"/>
    <w:rsid w:val="00213022"/>
    <w:rsid w:val="002131E5"/>
    <w:rsid w:val="00217E9B"/>
    <w:rsid w:val="00223C8D"/>
    <w:rsid w:val="00224DB9"/>
    <w:rsid w:val="00227DCE"/>
    <w:rsid w:val="00227FFE"/>
    <w:rsid w:val="002319C0"/>
    <w:rsid w:val="0023276C"/>
    <w:rsid w:val="00233775"/>
    <w:rsid w:val="0024058F"/>
    <w:rsid w:val="002450A2"/>
    <w:rsid w:val="00247012"/>
    <w:rsid w:val="0024752A"/>
    <w:rsid w:val="00251745"/>
    <w:rsid w:val="00251EC1"/>
    <w:rsid w:val="002574C2"/>
    <w:rsid w:val="0026109F"/>
    <w:rsid w:val="00263AC0"/>
    <w:rsid w:val="00263CC6"/>
    <w:rsid w:val="00264264"/>
    <w:rsid w:val="002657C7"/>
    <w:rsid w:val="0026615A"/>
    <w:rsid w:val="002665C1"/>
    <w:rsid w:val="0026772D"/>
    <w:rsid w:val="002708EF"/>
    <w:rsid w:val="002749B5"/>
    <w:rsid w:val="00277692"/>
    <w:rsid w:val="0028089F"/>
    <w:rsid w:val="0028130B"/>
    <w:rsid w:val="002842F5"/>
    <w:rsid w:val="00285326"/>
    <w:rsid w:val="002857E2"/>
    <w:rsid w:val="00286874"/>
    <w:rsid w:val="00290C63"/>
    <w:rsid w:val="002926A9"/>
    <w:rsid w:val="002937EE"/>
    <w:rsid w:val="00296B65"/>
    <w:rsid w:val="002A1F6E"/>
    <w:rsid w:val="002A7DEF"/>
    <w:rsid w:val="002B1003"/>
    <w:rsid w:val="002B573C"/>
    <w:rsid w:val="002B589E"/>
    <w:rsid w:val="002B7F49"/>
    <w:rsid w:val="002C233C"/>
    <w:rsid w:val="002C2CB0"/>
    <w:rsid w:val="002D43E4"/>
    <w:rsid w:val="002D46F2"/>
    <w:rsid w:val="002D57F7"/>
    <w:rsid w:val="002D67DB"/>
    <w:rsid w:val="002D72E8"/>
    <w:rsid w:val="002E1322"/>
    <w:rsid w:val="002E2351"/>
    <w:rsid w:val="002E3176"/>
    <w:rsid w:val="002E51E4"/>
    <w:rsid w:val="002E7B22"/>
    <w:rsid w:val="002F6F7E"/>
    <w:rsid w:val="002F7986"/>
    <w:rsid w:val="00301B11"/>
    <w:rsid w:val="00301B40"/>
    <w:rsid w:val="003029EE"/>
    <w:rsid w:val="0030370B"/>
    <w:rsid w:val="00303908"/>
    <w:rsid w:val="00305CC8"/>
    <w:rsid w:val="00307F6D"/>
    <w:rsid w:val="0031477B"/>
    <w:rsid w:val="003177A2"/>
    <w:rsid w:val="003220DB"/>
    <w:rsid w:val="00324984"/>
    <w:rsid w:val="00324C27"/>
    <w:rsid w:val="003271B5"/>
    <w:rsid w:val="0032779B"/>
    <w:rsid w:val="00327A1E"/>
    <w:rsid w:val="00331264"/>
    <w:rsid w:val="00331DFD"/>
    <w:rsid w:val="00334C8D"/>
    <w:rsid w:val="003425AF"/>
    <w:rsid w:val="003428E0"/>
    <w:rsid w:val="00342F4C"/>
    <w:rsid w:val="00343A18"/>
    <w:rsid w:val="00344473"/>
    <w:rsid w:val="003454FD"/>
    <w:rsid w:val="00346F91"/>
    <w:rsid w:val="003518B3"/>
    <w:rsid w:val="003526BB"/>
    <w:rsid w:val="00357A06"/>
    <w:rsid w:val="003619F0"/>
    <w:rsid w:val="00362D1B"/>
    <w:rsid w:val="0036378E"/>
    <w:rsid w:val="00364830"/>
    <w:rsid w:val="003800C6"/>
    <w:rsid w:val="003823E4"/>
    <w:rsid w:val="003846F1"/>
    <w:rsid w:val="00384C04"/>
    <w:rsid w:val="003931A7"/>
    <w:rsid w:val="00394B73"/>
    <w:rsid w:val="003A091C"/>
    <w:rsid w:val="003A3055"/>
    <w:rsid w:val="003A3495"/>
    <w:rsid w:val="003A49D5"/>
    <w:rsid w:val="003B2815"/>
    <w:rsid w:val="003B2CDE"/>
    <w:rsid w:val="003B3115"/>
    <w:rsid w:val="003B484F"/>
    <w:rsid w:val="003B7FBA"/>
    <w:rsid w:val="003C517B"/>
    <w:rsid w:val="003D0EAF"/>
    <w:rsid w:val="003D211C"/>
    <w:rsid w:val="003E066C"/>
    <w:rsid w:val="003F174D"/>
    <w:rsid w:val="003F7442"/>
    <w:rsid w:val="00406985"/>
    <w:rsid w:val="00413269"/>
    <w:rsid w:val="00414154"/>
    <w:rsid w:val="00414A34"/>
    <w:rsid w:val="00415F31"/>
    <w:rsid w:val="00423A77"/>
    <w:rsid w:val="00426BEC"/>
    <w:rsid w:val="00435074"/>
    <w:rsid w:val="00436517"/>
    <w:rsid w:val="00443854"/>
    <w:rsid w:val="0045777E"/>
    <w:rsid w:val="004625C6"/>
    <w:rsid w:val="00466507"/>
    <w:rsid w:val="00467988"/>
    <w:rsid w:val="00470B78"/>
    <w:rsid w:val="00474EC7"/>
    <w:rsid w:val="00480B4B"/>
    <w:rsid w:val="00483ACC"/>
    <w:rsid w:val="00485DC4"/>
    <w:rsid w:val="0049131C"/>
    <w:rsid w:val="0049601C"/>
    <w:rsid w:val="004972E4"/>
    <w:rsid w:val="004A23D8"/>
    <w:rsid w:val="004A2B28"/>
    <w:rsid w:val="004A43D1"/>
    <w:rsid w:val="004B14C5"/>
    <w:rsid w:val="004B355D"/>
    <w:rsid w:val="004B4412"/>
    <w:rsid w:val="004C1288"/>
    <w:rsid w:val="004C348C"/>
    <w:rsid w:val="004C5788"/>
    <w:rsid w:val="004D34ED"/>
    <w:rsid w:val="004D4C87"/>
    <w:rsid w:val="004D55BA"/>
    <w:rsid w:val="004E0E06"/>
    <w:rsid w:val="004E22EC"/>
    <w:rsid w:val="004E2C1F"/>
    <w:rsid w:val="004F6A0E"/>
    <w:rsid w:val="00501162"/>
    <w:rsid w:val="005057B0"/>
    <w:rsid w:val="00512962"/>
    <w:rsid w:val="00512C7B"/>
    <w:rsid w:val="005137F8"/>
    <w:rsid w:val="005150DE"/>
    <w:rsid w:val="00515CF8"/>
    <w:rsid w:val="00530128"/>
    <w:rsid w:val="00531EF7"/>
    <w:rsid w:val="00532467"/>
    <w:rsid w:val="005328B0"/>
    <w:rsid w:val="00537FD6"/>
    <w:rsid w:val="00541D6F"/>
    <w:rsid w:val="00550554"/>
    <w:rsid w:val="005508EC"/>
    <w:rsid w:val="00554BA2"/>
    <w:rsid w:val="005630A4"/>
    <w:rsid w:val="00564A4D"/>
    <w:rsid w:val="0056588A"/>
    <w:rsid w:val="0056603C"/>
    <w:rsid w:val="00567BA5"/>
    <w:rsid w:val="00571B35"/>
    <w:rsid w:val="00571D57"/>
    <w:rsid w:val="00572A8B"/>
    <w:rsid w:val="00574B0E"/>
    <w:rsid w:val="00577A09"/>
    <w:rsid w:val="00580072"/>
    <w:rsid w:val="005829C2"/>
    <w:rsid w:val="00583B28"/>
    <w:rsid w:val="00584A88"/>
    <w:rsid w:val="00584D8F"/>
    <w:rsid w:val="00586819"/>
    <w:rsid w:val="00587364"/>
    <w:rsid w:val="005911B2"/>
    <w:rsid w:val="005951D9"/>
    <w:rsid w:val="0059704C"/>
    <w:rsid w:val="005A0C13"/>
    <w:rsid w:val="005A0CCB"/>
    <w:rsid w:val="005A404D"/>
    <w:rsid w:val="005A70FD"/>
    <w:rsid w:val="005A76FB"/>
    <w:rsid w:val="005B1819"/>
    <w:rsid w:val="005B1E3C"/>
    <w:rsid w:val="005B3D6E"/>
    <w:rsid w:val="005B3FB7"/>
    <w:rsid w:val="005B49E1"/>
    <w:rsid w:val="005B6148"/>
    <w:rsid w:val="005B704A"/>
    <w:rsid w:val="005C0766"/>
    <w:rsid w:val="005C0A7F"/>
    <w:rsid w:val="005C1036"/>
    <w:rsid w:val="005C1614"/>
    <w:rsid w:val="005C1ADF"/>
    <w:rsid w:val="005C265E"/>
    <w:rsid w:val="005C26CC"/>
    <w:rsid w:val="005C27D6"/>
    <w:rsid w:val="005C32B9"/>
    <w:rsid w:val="005C44D0"/>
    <w:rsid w:val="005C4C9C"/>
    <w:rsid w:val="005C5323"/>
    <w:rsid w:val="005C5F9A"/>
    <w:rsid w:val="005D38AF"/>
    <w:rsid w:val="005D3CE8"/>
    <w:rsid w:val="005D6F16"/>
    <w:rsid w:val="005D7B16"/>
    <w:rsid w:val="005D7BA2"/>
    <w:rsid w:val="005E0592"/>
    <w:rsid w:val="005E30AC"/>
    <w:rsid w:val="005E36C2"/>
    <w:rsid w:val="005F13AA"/>
    <w:rsid w:val="006007DE"/>
    <w:rsid w:val="00601638"/>
    <w:rsid w:val="00610EF9"/>
    <w:rsid w:val="00612F4F"/>
    <w:rsid w:val="00615C6B"/>
    <w:rsid w:val="00616B1C"/>
    <w:rsid w:val="00621DCE"/>
    <w:rsid w:val="00623D5B"/>
    <w:rsid w:val="006250CD"/>
    <w:rsid w:val="00626979"/>
    <w:rsid w:val="00632D6D"/>
    <w:rsid w:val="00642C3E"/>
    <w:rsid w:val="00651C3A"/>
    <w:rsid w:val="00651CB2"/>
    <w:rsid w:val="00652113"/>
    <w:rsid w:val="00654DA1"/>
    <w:rsid w:val="006560CA"/>
    <w:rsid w:val="0066104A"/>
    <w:rsid w:val="00663DAD"/>
    <w:rsid w:val="00665649"/>
    <w:rsid w:val="006672AA"/>
    <w:rsid w:val="0067561E"/>
    <w:rsid w:val="006759A5"/>
    <w:rsid w:val="00675E20"/>
    <w:rsid w:val="00676679"/>
    <w:rsid w:val="0067668A"/>
    <w:rsid w:val="00677AB3"/>
    <w:rsid w:val="00683C89"/>
    <w:rsid w:val="00683FCF"/>
    <w:rsid w:val="0068549D"/>
    <w:rsid w:val="00686863"/>
    <w:rsid w:val="00687DC2"/>
    <w:rsid w:val="00691D9A"/>
    <w:rsid w:val="0069380E"/>
    <w:rsid w:val="0069380F"/>
    <w:rsid w:val="006A130A"/>
    <w:rsid w:val="006A233F"/>
    <w:rsid w:val="006A5480"/>
    <w:rsid w:val="006A5CDF"/>
    <w:rsid w:val="006B2395"/>
    <w:rsid w:val="006B33BD"/>
    <w:rsid w:val="006B45A4"/>
    <w:rsid w:val="006B4CF9"/>
    <w:rsid w:val="006B785B"/>
    <w:rsid w:val="006B7AC8"/>
    <w:rsid w:val="006C1736"/>
    <w:rsid w:val="006C4798"/>
    <w:rsid w:val="006C57B3"/>
    <w:rsid w:val="006D447C"/>
    <w:rsid w:val="006D5303"/>
    <w:rsid w:val="006D550F"/>
    <w:rsid w:val="006F03F2"/>
    <w:rsid w:val="006F05F7"/>
    <w:rsid w:val="006F0DDC"/>
    <w:rsid w:val="006F3AD1"/>
    <w:rsid w:val="006F3FC8"/>
    <w:rsid w:val="006F45CF"/>
    <w:rsid w:val="006F7D03"/>
    <w:rsid w:val="0070011E"/>
    <w:rsid w:val="00701CAB"/>
    <w:rsid w:val="00707563"/>
    <w:rsid w:val="0071186E"/>
    <w:rsid w:val="00712957"/>
    <w:rsid w:val="00712D70"/>
    <w:rsid w:val="00713EAD"/>
    <w:rsid w:val="00721CBF"/>
    <w:rsid w:val="0072348C"/>
    <w:rsid w:val="00724A37"/>
    <w:rsid w:val="00730069"/>
    <w:rsid w:val="007303AA"/>
    <w:rsid w:val="007303C3"/>
    <w:rsid w:val="00731F07"/>
    <w:rsid w:val="007320A3"/>
    <w:rsid w:val="00741C46"/>
    <w:rsid w:val="00741D98"/>
    <w:rsid w:val="00741E23"/>
    <w:rsid w:val="00742729"/>
    <w:rsid w:val="007429BE"/>
    <w:rsid w:val="00743223"/>
    <w:rsid w:val="00743505"/>
    <w:rsid w:val="00745513"/>
    <w:rsid w:val="00746E01"/>
    <w:rsid w:val="00747EEA"/>
    <w:rsid w:val="00752052"/>
    <w:rsid w:val="007542DA"/>
    <w:rsid w:val="0075667F"/>
    <w:rsid w:val="00757364"/>
    <w:rsid w:val="00757BDF"/>
    <w:rsid w:val="00757CC1"/>
    <w:rsid w:val="007609D0"/>
    <w:rsid w:val="00763E5D"/>
    <w:rsid w:val="00767740"/>
    <w:rsid w:val="0077062F"/>
    <w:rsid w:val="00772D38"/>
    <w:rsid w:val="00776B48"/>
    <w:rsid w:val="00777EE6"/>
    <w:rsid w:val="00782514"/>
    <w:rsid w:val="00782EEA"/>
    <w:rsid w:val="00783E82"/>
    <w:rsid w:val="0078409C"/>
    <w:rsid w:val="00787A64"/>
    <w:rsid w:val="007A00AC"/>
    <w:rsid w:val="007A652E"/>
    <w:rsid w:val="007B186E"/>
    <w:rsid w:val="007B2C72"/>
    <w:rsid w:val="007C1C53"/>
    <w:rsid w:val="007C331B"/>
    <w:rsid w:val="007C74BB"/>
    <w:rsid w:val="007C7993"/>
    <w:rsid w:val="007D0DA1"/>
    <w:rsid w:val="007D1CE1"/>
    <w:rsid w:val="007D2866"/>
    <w:rsid w:val="007D3258"/>
    <w:rsid w:val="007D456E"/>
    <w:rsid w:val="007E4904"/>
    <w:rsid w:val="007E4CB5"/>
    <w:rsid w:val="007F066B"/>
    <w:rsid w:val="007F213A"/>
    <w:rsid w:val="007F73A9"/>
    <w:rsid w:val="007F7486"/>
    <w:rsid w:val="007F75C4"/>
    <w:rsid w:val="0080261F"/>
    <w:rsid w:val="008033C4"/>
    <w:rsid w:val="00806C88"/>
    <w:rsid w:val="0081034E"/>
    <w:rsid w:val="00810FBA"/>
    <w:rsid w:val="00821C15"/>
    <w:rsid w:val="008221F2"/>
    <w:rsid w:val="00824C00"/>
    <w:rsid w:val="00825985"/>
    <w:rsid w:val="00826C3D"/>
    <w:rsid w:val="008308F8"/>
    <w:rsid w:val="00832980"/>
    <w:rsid w:val="008344F6"/>
    <w:rsid w:val="00834AA4"/>
    <w:rsid w:val="0083510F"/>
    <w:rsid w:val="00835EBF"/>
    <w:rsid w:val="008408C5"/>
    <w:rsid w:val="00846DAB"/>
    <w:rsid w:val="00851209"/>
    <w:rsid w:val="00851265"/>
    <w:rsid w:val="0085722A"/>
    <w:rsid w:val="00864B35"/>
    <w:rsid w:val="0086792E"/>
    <w:rsid w:val="008768E9"/>
    <w:rsid w:val="008776BF"/>
    <w:rsid w:val="00877C37"/>
    <w:rsid w:val="00882481"/>
    <w:rsid w:val="008837AC"/>
    <w:rsid w:val="00885646"/>
    <w:rsid w:val="008A3B40"/>
    <w:rsid w:val="008A3F13"/>
    <w:rsid w:val="008A587D"/>
    <w:rsid w:val="008A7017"/>
    <w:rsid w:val="008B35CD"/>
    <w:rsid w:val="008B5FCC"/>
    <w:rsid w:val="008B7544"/>
    <w:rsid w:val="008C08A9"/>
    <w:rsid w:val="008C3133"/>
    <w:rsid w:val="008C3374"/>
    <w:rsid w:val="008C5486"/>
    <w:rsid w:val="008C708B"/>
    <w:rsid w:val="008D1661"/>
    <w:rsid w:val="008D3C1A"/>
    <w:rsid w:val="008D4509"/>
    <w:rsid w:val="008D6800"/>
    <w:rsid w:val="008D6AB8"/>
    <w:rsid w:val="008D7414"/>
    <w:rsid w:val="008E52A0"/>
    <w:rsid w:val="008E581B"/>
    <w:rsid w:val="008E7031"/>
    <w:rsid w:val="008E77DE"/>
    <w:rsid w:val="008F07A3"/>
    <w:rsid w:val="008F158B"/>
    <w:rsid w:val="008F34DD"/>
    <w:rsid w:val="009001B6"/>
    <w:rsid w:val="00900E1B"/>
    <w:rsid w:val="00901C3C"/>
    <w:rsid w:val="0090270C"/>
    <w:rsid w:val="009040C9"/>
    <w:rsid w:val="00904AAB"/>
    <w:rsid w:val="009062F9"/>
    <w:rsid w:val="00911E5B"/>
    <w:rsid w:val="009144FE"/>
    <w:rsid w:val="00915D35"/>
    <w:rsid w:val="00920B04"/>
    <w:rsid w:val="009233EE"/>
    <w:rsid w:val="009272AD"/>
    <w:rsid w:val="009277DC"/>
    <w:rsid w:val="00932D11"/>
    <w:rsid w:val="009352CE"/>
    <w:rsid w:val="009359D4"/>
    <w:rsid w:val="009424B6"/>
    <w:rsid w:val="009460AA"/>
    <w:rsid w:val="00950742"/>
    <w:rsid w:val="009508A3"/>
    <w:rsid w:val="00951978"/>
    <w:rsid w:val="009519EE"/>
    <w:rsid w:val="00956850"/>
    <w:rsid w:val="00956F85"/>
    <w:rsid w:val="00957695"/>
    <w:rsid w:val="00961A4A"/>
    <w:rsid w:val="009626B2"/>
    <w:rsid w:val="009643FA"/>
    <w:rsid w:val="009661DE"/>
    <w:rsid w:val="00983C25"/>
    <w:rsid w:val="00984AB6"/>
    <w:rsid w:val="00985077"/>
    <w:rsid w:val="009856B7"/>
    <w:rsid w:val="00985C86"/>
    <w:rsid w:val="009A0B29"/>
    <w:rsid w:val="009A323B"/>
    <w:rsid w:val="009A5113"/>
    <w:rsid w:val="009A5FC3"/>
    <w:rsid w:val="009B2269"/>
    <w:rsid w:val="009B2634"/>
    <w:rsid w:val="009B2DB2"/>
    <w:rsid w:val="009B6F84"/>
    <w:rsid w:val="009B74B0"/>
    <w:rsid w:val="009C650B"/>
    <w:rsid w:val="009D18A4"/>
    <w:rsid w:val="009D32D7"/>
    <w:rsid w:val="009D3906"/>
    <w:rsid w:val="009D6B46"/>
    <w:rsid w:val="009E080B"/>
    <w:rsid w:val="009E7649"/>
    <w:rsid w:val="009E7EA6"/>
    <w:rsid w:val="009F0B0A"/>
    <w:rsid w:val="009F4940"/>
    <w:rsid w:val="009F4F6B"/>
    <w:rsid w:val="009F5BA1"/>
    <w:rsid w:val="00A0281F"/>
    <w:rsid w:val="00A029FE"/>
    <w:rsid w:val="00A02A88"/>
    <w:rsid w:val="00A0300B"/>
    <w:rsid w:val="00A05144"/>
    <w:rsid w:val="00A0562E"/>
    <w:rsid w:val="00A06085"/>
    <w:rsid w:val="00A0726D"/>
    <w:rsid w:val="00A23192"/>
    <w:rsid w:val="00A24258"/>
    <w:rsid w:val="00A265FE"/>
    <w:rsid w:val="00A30FA6"/>
    <w:rsid w:val="00A32B43"/>
    <w:rsid w:val="00A32FBB"/>
    <w:rsid w:val="00A377BE"/>
    <w:rsid w:val="00A428EE"/>
    <w:rsid w:val="00A4478A"/>
    <w:rsid w:val="00A44852"/>
    <w:rsid w:val="00A4650A"/>
    <w:rsid w:val="00A46CAC"/>
    <w:rsid w:val="00A50502"/>
    <w:rsid w:val="00A5141E"/>
    <w:rsid w:val="00A548C5"/>
    <w:rsid w:val="00A57D04"/>
    <w:rsid w:val="00A60A26"/>
    <w:rsid w:val="00A60C78"/>
    <w:rsid w:val="00A61598"/>
    <w:rsid w:val="00A6588E"/>
    <w:rsid w:val="00A65E35"/>
    <w:rsid w:val="00A72411"/>
    <w:rsid w:val="00A84A99"/>
    <w:rsid w:val="00A84F46"/>
    <w:rsid w:val="00A8660B"/>
    <w:rsid w:val="00A871F4"/>
    <w:rsid w:val="00A910D5"/>
    <w:rsid w:val="00A92023"/>
    <w:rsid w:val="00A94880"/>
    <w:rsid w:val="00AA39BD"/>
    <w:rsid w:val="00AA53B3"/>
    <w:rsid w:val="00AA76FC"/>
    <w:rsid w:val="00AB6C48"/>
    <w:rsid w:val="00AC1A6D"/>
    <w:rsid w:val="00AC1B2C"/>
    <w:rsid w:val="00AC1B5F"/>
    <w:rsid w:val="00AC1CCD"/>
    <w:rsid w:val="00AC287B"/>
    <w:rsid w:val="00AC3264"/>
    <w:rsid w:val="00AE1BF1"/>
    <w:rsid w:val="00AE327F"/>
    <w:rsid w:val="00AE5539"/>
    <w:rsid w:val="00AF0DD2"/>
    <w:rsid w:val="00B00FF9"/>
    <w:rsid w:val="00B0209D"/>
    <w:rsid w:val="00B022D8"/>
    <w:rsid w:val="00B03406"/>
    <w:rsid w:val="00B03737"/>
    <w:rsid w:val="00B07CEA"/>
    <w:rsid w:val="00B123C0"/>
    <w:rsid w:val="00B13048"/>
    <w:rsid w:val="00B13AD0"/>
    <w:rsid w:val="00B16E69"/>
    <w:rsid w:val="00B1716D"/>
    <w:rsid w:val="00B17A1D"/>
    <w:rsid w:val="00B207A0"/>
    <w:rsid w:val="00B25ED0"/>
    <w:rsid w:val="00B30A25"/>
    <w:rsid w:val="00B40CAA"/>
    <w:rsid w:val="00B43CA7"/>
    <w:rsid w:val="00B43E17"/>
    <w:rsid w:val="00B514DD"/>
    <w:rsid w:val="00B51C1D"/>
    <w:rsid w:val="00B51F3F"/>
    <w:rsid w:val="00B52AF0"/>
    <w:rsid w:val="00B5494D"/>
    <w:rsid w:val="00B561BD"/>
    <w:rsid w:val="00B56E03"/>
    <w:rsid w:val="00B6075C"/>
    <w:rsid w:val="00B61EDF"/>
    <w:rsid w:val="00B70645"/>
    <w:rsid w:val="00B757A6"/>
    <w:rsid w:val="00B765B2"/>
    <w:rsid w:val="00B770CE"/>
    <w:rsid w:val="00B8080B"/>
    <w:rsid w:val="00B82223"/>
    <w:rsid w:val="00B83BF5"/>
    <w:rsid w:val="00B87BA5"/>
    <w:rsid w:val="00B87C39"/>
    <w:rsid w:val="00B92E53"/>
    <w:rsid w:val="00B93699"/>
    <w:rsid w:val="00B9562D"/>
    <w:rsid w:val="00BA3A8A"/>
    <w:rsid w:val="00BA4665"/>
    <w:rsid w:val="00BA60AD"/>
    <w:rsid w:val="00BA6A69"/>
    <w:rsid w:val="00BA7A8B"/>
    <w:rsid w:val="00BB2FB2"/>
    <w:rsid w:val="00BB3304"/>
    <w:rsid w:val="00BB3FD7"/>
    <w:rsid w:val="00BB5711"/>
    <w:rsid w:val="00BB7528"/>
    <w:rsid w:val="00BC119F"/>
    <w:rsid w:val="00BC5257"/>
    <w:rsid w:val="00BC561C"/>
    <w:rsid w:val="00BC5FA2"/>
    <w:rsid w:val="00BD310B"/>
    <w:rsid w:val="00BD3446"/>
    <w:rsid w:val="00BD5011"/>
    <w:rsid w:val="00BD7DCC"/>
    <w:rsid w:val="00BE1F1B"/>
    <w:rsid w:val="00BE22C9"/>
    <w:rsid w:val="00BE479D"/>
    <w:rsid w:val="00BE47B5"/>
    <w:rsid w:val="00BE5BF1"/>
    <w:rsid w:val="00BE7743"/>
    <w:rsid w:val="00BF07D3"/>
    <w:rsid w:val="00C04223"/>
    <w:rsid w:val="00C11CC5"/>
    <w:rsid w:val="00C17266"/>
    <w:rsid w:val="00C25FA6"/>
    <w:rsid w:val="00C275C4"/>
    <w:rsid w:val="00C3122F"/>
    <w:rsid w:val="00C34E6D"/>
    <w:rsid w:val="00C35B26"/>
    <w:rsid w:val="00C42ACA"/>
    <w:rsid w:val="00C50000"/>
    <w:rsid w:val="00C538A9"/>
    <w:rsid w:val="00C53B5A"/>
    <w:rsid w:val="00C54F5A"/>
    <w:rsid w:val="00C5522C"/>
    <w:rsid w:val="00C569B4"/>
    <w:rsid w:val="00C56A3E"/>
    <w:rsid w:val="00C64EBF"/>
    <w:rsid w:val="00C67A92"/>
    <w:rsid w:val="00C70916"/>
    <w:rsid w:val="00C714BA"/>
    <w:rsid w:val="00C7497E"/>
    <w:rsid w:val="00C754BC"/>
    <w:rsid w:val="00C80C80"/>
    <w:rsid w:val="00C84560"/>
    <w:rsid w:val="00C84DFD"/>
    <w:rsid w:val="00C84F52"/>
    <w:rsid w:val="00C86679"/>
    <w:rsid w:val="00C976E7"/>
    <w:rsid w:val="00CA303B"/>
    <w:rsid w:val="00CA489E"/>
    <w:rsid w:val="00CA52A2"/>
    <w:rsid w:val="00CB0279"/>
    <w:rsid w:val="00CB4E03"/>
    <w:rsid w:val="00CB4EA2"/>
    <w:rsid w:val="00CB666B"/>
    <w:rsid w:val="00CC7F1D"/>
    <w:rsid w:val="00CD30B9"/>
    <w:rsid w:val="00CE484B"/>
    <w:rsid w:val="00CE5833"/>
    <w:rsid w:val="00CF0DEE"/>
    <w:rsid w:val="00CF19B2"/>
    <w:rsid w:val="00CF2C05"/>
    <w:rsid w:val="00CF476B"/>
    <w:rsid w:val="00CF5E4A"/>
    <w:rsid w:val="00CF6EDE"/>
    <w:rsid w:val="00CF7458"/>
    <w:rsid w:val="00D00052"/>
    <w:rsid w:val="00D006AE"/>
    <w:rsid w:val="00D019F4"/>
    <w:rsid w:val="00D01CF0"/>
    <w:rsid w:val="00D01EFD"/>
    <w:rsid w:val="00D022DB"/>
    <w:rsid w:val="00D0442A"/>
    <w:rsid w:val="00D12775"/>
    <w:rsid w:val="00D13AB2"/>
    <w:rsid w:val="00D13F89"/>
    <w:rsid w:val="00D1539A"/>
    <w:rsid w:val="00D17683"/>
    <w:rsid w:val="00D22C47"/>
    <w:rsid w:val="00D356F1"/>
    <w:rsid w:val="00D45694"/>
    <w:rsid w:val="00D51050"/>
    <w:rsid w:val="00D511C3"/>
    <w:rsid w:val="00D51540"/>
    <w:rsid w:val="00D54237"/>
    <w:rsid w:val="00D61388"/>
    <w:rsid w:val="00D61A54"/>
    <w:rsid w:val="00D64DEA"/>
    <w:rsid w:val="00D712DE"/>
    <w:rsid w:val="00D7168E"/>
    <w:rsid w:val="00D71E57"/>
    <w:rsid w:val="00D7208B"/>
    <w:rsid w:val="00D73CBD"/>
    <w:rsid w:val="00D754F0"/>
    <w:rsid w:val="00D75AA2"/>
    <w:rsid w:val="00D75E22"/>
    <w:rsid w:val="00D80893"/>
    <w:rsid w:val="00D816D2"/>
    <w:rsid w:val="00D81BAF"/>
    <w:rsid w:val="00D84854"/>
    <w:rsid w:val="00D848B4"/>
    <w:rsid w:val="00D84C5C"/>
    <w:rsid w:val="00D85ABF"/>
    <w:rsid w:val="00D8790B"/>
    <w:rsid w:val="00D87983"/>
    <w:rsid w:val="00D90F8C"/>
    <w:rsid w:val="00D92CF1"/>
    <w:rsid w:val="00D92D38"/>
    <w:rsid w:val="00D950F5"/>
    <w:rsid w:val="00D97DEE"/>
    <w:rsid w:val="00DA03DF"/>
    <w:rsid w:val="00DA4752"/>
    <w:rsid w:val="00DA61F3"/>
    <w:rsid w:val="00DA6B93"/>
    <w:rsid w:val="00DB093C"/>
    <w:rsid w:val="00DB0F93"/>
    <w:rsid w:val="00DB1A67"/>
    <w:rsid w:val="00DB5074"/>
    <w:rsid w:val="00DB5343"/>
    <w:rsid w:val="00DB5B21"/>
    <w:rsid w:val="00DC5722"/>
    <w:rsid w:val="00DC7954"/>
    <w:rsid w:val="00DC7981"/>
    <w:rsid w:val="00DD1FAA"/>
    <w:rsid w:val="00DD336A"/>
    <w:rsid w:val="00DD697C"/>
    <w:rsid w:val="00DD703D"/>
    <w:rsid w:val="00DD73FB"/>
    <w:rsid w:val="00DE09E7"/>
    <w:rsid w:val="00DE1093"/>
    <w:rsid w:val="00DE4EFA"/>
    <w:rsid w:val="00DE5520"/>
    <w:rsid w:val="00DE563D"/>
    <w:rsid w:val="00DE565A"/>
    <w:rsid w:val="00DE5B98"/>
    <w:rsid w:val="00DE5E2E"/>
    <w:rsid w:val="00DE7300"/>
    <w:rsid w:val="00DE772C"/>
    <w:rsid w:val="00DF312A"/>
    <w:rsid w:val="00E04818"/>
    <w:rsid w:val="00E06442"/>
    <w:rsid w:val="00E06BCF"/>
    <w:rsid w:val="00E1001C"/>
    <w:rsid w:val="00E128EE"/>
    <w:rsid w:val="00E13901"/>
    <w:rsid w:val="00E14400"/>
    <w:rsid w:val="00E14E22"/>
    <w:rsid w:val="00E20286"/>
    <w:rsid w:val="00E21C3B"/>
    <w:rsid w:val="00E224CF"/>
    <w:rsid w:val="00E22AC9"/>
    <w:rsid w:val="00E23993"/>
    <w:rsid w:val="00E2416D"/>
    <w:rsid w:val="00E257D6"/>
    <w:rsid w:val="00E25B8C"/>
    <w:rsid w:val="00E27195"/>
    <w:rsid w:val="00E328FF"/>
    <w:rsid w:val="00E345C4"/>
    <w:rsid w:val="00E34C0D"/>
    <w:rsid w:val="00E37D65"/>
    <w:rsid w:val="00E51D65"/>
    <w:rsid w:val="00E56785"/>
    <w:rsid w:val="00E6200B"/>
    <w:rsid w:val="00E65C85"/>
    <w:rsid w:val="00E66199"/>
    <w:rsid w:val="00E711C7"/>
    <w:rsid w:val="00E74CF1"/>
    <w:rsid w:val="00E755EC"/>
    <w:rsid w:val="00E7624D"/>
    <w:rsid w:val="00E77990"/>
    <w:rsid w:val="00E77EE6"/>
    <w:rsid w:val="00E8556A"/>
    <w:rsid w:val="00E85927"/>
    <w:rsid w:val="00E87158"/>
    <w:rsid w:val="00E96853"/>
    <w:rsid w:val="00E9695D"/>
    <w:rsid w:val="00EA1DB3"/>
    <w:rsid w:val="00EA3C4D"/>
    <w:rsid w:val="00EA3D42"/>
    <w:rsid w:val="00EA513C"/>
    <w:rsid w:val="00EA6434"/>
    <w:rsid w:val="00EA6B1B"/>
    <w:rsid w:val="00EB2475"/>
    <w:rsid w:val="00EB25D4"/>
    <w:rsid w:val="00EB5BC8"/>
    <w:rsid w:val="00EB606C"/>
    <w:rsid w:val="00EB6E9E"/>
    <w:rsid w:val="00EC04F1"/>
    <w:rsid w:val="00ED0EC2"/>
    <w:rsid w:val="00ED16D6"/>
    <w:rsid w:val="00ED3A7D"/>
    <w:rsid w:val="00ED6BCE"/>
    <w:rsid w:val="00ED7323"/>
    <w:rsid w:val="00EE183E"/>
    <w:rsid w:val="00EE28F3"/>
    <w:rsid w:val="00EE2E01"/>
    <w:rsid w:val="00EE3629"/>
    <w:rsid w:val="00EE50D1"/>
    <w:rsid w:val="00EE77FA"/>
    <w:rsid w:val="00EF14A3"/>
    <w:rsid w:val="00EF31F4"/>
    <w:rsid w:val="00EF351B"/>
    <w:rsid w:val="00EF5110"/>
    <w:rsid w:val="00F02D48"/>
    <w:rsid w:val="00F03137"/>
    <w:rsid w:val="00F0334E"/>
    <w:rsid w:val="00F03C8F"/>
    <w:rsid w:val="00F10411"/>
    <w:rsid w:val="00F1261F"/>
    <w:rsid w:val="00F13A54"/>
    <w:rsid w:val="00F15882"/>
    <w:rsid w:val="00F171E0"/>
    <w:rsid w:val="00F2036D"/>
    <w:rsid w:val="00F20BD3"/>
    <w:rsid w:val="00F21F8E"/>
    <w:rsid w:val="00F2526A"/>
    <w:rsid w:val="00F35786"/>
    <w:rsid w:val="00F373A5"/>
    <w:rsid w:val="00F47559"/>
    <w:rsid w:val="00F47DAF"/>
    <w:rsid w:val="00F51A8D"/>
    <w:rsid w:val="00F55F97"/>
    <w:rsid w:val="00F61176"/>
    <w:rsid w:val="00F644D4"/>
    <w:rsid w:val="00F64C7B"/>
    <w:rsid w:val="00F65A92"/>
    <w:rsid w:val="00F65B25"/>
    <w:rsid w:val="00F6635B"/>
    <w:rsid w:val="00F66932"/>
    <w:rsid w:val="00F676DD"/>
    <w:rsid w:val="00F71667"/>
    <w:rsid w:val="00F72336"/>
    <w:rsid w:val="00F75A26"/>
    <w:rsid w:val="00F76706"/>
    <w:rsid w:val="00F768C8"/>
    <w:rsid w:val="00F80CCF"/>
    <w:rsid w:val="00F81B8D"/>
    <w:rsid w:val="00F83FAD"/>
    <w:rsid w:val="00F84D5F"/>
    <w:rsid w:val="00F8653A"/>
    <w:rsid w:val="00F9004E"/>
    <w:rsid w:val="00F92349"/>
    <w:rsid w:val="00F942AB"/>
    <w:rsid w:val="00F952A0"/>
    <w:rsid w:val="00FA3C7F"/>
    <w:rsid w:val="00FB1CDF"/>
    <w:rsid w:val="00FB401A"/>
    <w:rsid w:val="00FB4402"/>
    <w:rsid w:val="00FB54E3"/>
    <w:rsid w:val="00FB60FE"/>
    <w:rsid w:val="00FB74E2"/>
    <w:rsid w:val="00FB7FF8"/>
    <w:rsid w:val="00FC41C1"/>
    <w:rsid w:val="00FC46DB"/>
    <w:rsid w:val="00FC71DC"/>
    <w:rsid w:val="00FD2ED2"/>
    <w:rsid w:val="00FD5614"/>
    <w:rsid w:val="00FD5E78"/>
    <w:rsid w:val="00FE0BE1"/>
    <w:rsid w:val="00FE1123"/>
    <w:rsid w:val="00FE1DE9"/>
    <w:rsid w:val="00FE2084"/>
    <w:rsid w:val="00FE36AF"/>
    <w:rsid w:val="00FE39C2"/>
    <w:rsid w:val="00FE3C32"/>
    <w:rsid w:val="00FE3E27"/>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776BF"/>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212946"/>
    <w:rPr>
      <w:rFonts w:ascii="Arial" w:hAnsi="Arial"/>
    </w:rPr>
  </w:style>
  <w:style w:type="paragraph" w:customStyle="1" w:styleId="Bulletpoint">
    <w:name w:val="Bullet point"/>
    <w:basedOn w:val="ListBullet"/>
    <w:qFormat/>
    <w:rsid w:val="00D12775"/>
    <w:pPr>
      <w:numPr>
        <w:numId w:val="0"/>
      </w:numPr>
      <w:spacing w:line="240" w:lineRule="auto"/>
      <w:ind w:left="360" w:hanging="3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776BF"/>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ListParagraphChar">
    <w:name w:val="List Paragraph Char"/>
    <w:link w:val="ListParagraph"/>
    <w:uiPriority w:val="34"/>
    <w:rsid w:val="00212946"/>
    <w:rPr>
      <w:rFonts w:ascii="Arial" w:hAnsi="Arial"/>
    </w:rPr>
  </w:style>
  <w:style w:type="paragraph" w:customStyle="1" w:styleId="Bulletpoint">
    <w:name w:val="Bullet point"/>
    <w:basedOn w:val="ListBullet"/>
    <w:qFormat/>
    <w:rsid w:val="00D12775"/>
    <w:pPr>
      <w:numPr>
        <w:numId w:val="0"/>
      </w:numPr>
      <w:spacing w:line="240" w:lineRule="auto"/>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707">
      <w:bodyDiv w:val="1"/>
      <w:marLeft w:val="0"/>
      <w:marRight w:val="0"/>
      <w:marTop w:val="0"/>
      <w:marBottom w:val="0"/>
      <w:divBdr>
        <w:top w:val="none" w:sz="0" w:space="0" w:color="auto"/>
        <w:left w:val="none" w:sz="0" w:space="0" w:color="auto"/>
        <w:bottom w:val="none" w:sz="0" w:space="0" w:color="auto"/>
        <w:right w:val="none" w:sz="0" w:space="0" w:color="auto"/>
      </w:divBdr>
    </w:div>
    <w:div w:id="209460805">
      <w:bodyDiv w:val="1"/>
      <w:marLeft w:val="0"/>
      <w:marRight w:val="0"/>
      <w:marTop w:val="0"/>
      <w:marBottom w:val="0"/>
      <w:divBdr>
        <w:top w:val="none" w:sz="0" w:space="0" w:color="auto"/>
        <w:left w:val="none" w:sz="0" w:space="0" w:color="auto"/>
        <w:bottom w:val="none" w:sz="0" w:space="0" w:color="auto"/>
        <w:right w:val="none" w:sz="0" w:space="0" w:color="auto"/>
      </w:divBdr>
    </w:div>
    <w:div w:id="370350432">
      <w:bodyDiv w:val="1"/>
      <w:marLeft w:val="0"/>
      <w:marRight w:val="0"/>
      <w:marTop w:val="0"/>
      <w:marBottom w:val="0"/>
      <w:divBdr>
        <w:top w:val="none" w:sz="0" w:space="0" w:color="auto"/>
        <w:left w:val="none" w:sz="0" w:space="0" w:color="auto"/>
        <w:bottom w:val="none" w:sz="0" w:space="0" w:color="auto"/>
        <w:right w:val="none" w:sz="0" w:space="0" w:color="auto"/>
      </w:divBdr>
    </w:div>
    <w:div w:id="410663650">
      <w:bodyDiv w:val="1"/>
      <w:marLeft w:val="0"/>
      <w:marRight w:val="0"/>
      <w:marTop w:val="0"/>
      <w:marBottom w:val="0"/>
      <w:divBdr>
        <w:top w:val="none" w:sz="0" w:space="0" w:color="auto"/>
        <w:left w:val="none" w:sz="0" w:space="0" w:color="auto"/>
        <w:bottom w:val="none" w:sz="0" w:space="0" w:color="auto"/>
        <w:right w:val="none" w:sz="0" w:space="0" w:color="auto"/>
      </w:divBdr>
    </w:div>
    <w:div w:id="49194362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4270691">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3532319">
      <w:bodyDiv w:val="1"/>
      <w:marLeft w:val="0"/>
      <w:marRight w:val="0"/>
      <w:marTop w:val="0"/>
      <w:marBottom w:val="0"/>
      <w:divBdr>
        <w:top w:val="none" w:sz="0" w:space="0" w:color="auto"/>
        <w:left w:val="none" w:sz="0" w:space="0" w:color="auto"/>
        <w:bottom w:val="none" w:sz="0" w:space="0" w:color="auto"/>
        <w:right w:val="none" w:sz="0" w:space="0" w:color="auto"/>
      </w:divBdr>
    </w:div>
    <w:div w:id="678851567">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959803978">
      <w:bodyDiv w:val="1"/>
      <w:marLeft w:val="0"/>
      <w:marRight w:val="0"/>
      <w:marTop w:val="0"/>
      <w:marBottom w:val="0"/>
      <w:divBdr>
        <w:top w:val="none" w:sz="0" w:space="0" w:color="auto"/>
        <w:left w:val="none" w:sz="0" w:space="0" w:color="auto"/>
        <w:bottom w:val="none" w:sz="0" w:space="0" w:color="auto"/>
        <w:right w:val="none" w:sz="0" w:space="0" w:color="auto"/>
      </w:divBdr>
    </w:div>
    <w:div w:id="98038105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91715615">
      <w:bodyDiv w:val="1"/>
      <w:marLeft w:val="0"/>
      <w:marRight w:val="0"/>
      <w:marTop w:val="0"/>
      <w:marBottom w:val="0"/>
      <w:divBdr>
        <w:top w:val="none" w:sz="0" w:space="0" w:color="auto"/>
        <w:left w:val="none" w:sz="0" w:space="0" w:color="auto"/>
        <w:bottom w:val="none" w:sz="0" w:space="0" w:color="auto"/>
        <w:right w:val="none" w:sz="0" w:space="0" w:color="auto"/>
      </w:divBdr>
    </w:div>
    <w:div w:id="1351375701">
      <w:bodyDiv w:val="1"/>
      <w:marLeft w:val="0"/>
      <w:marRight w:val="0"/>
      <w:marTop w:val="0"/>
      <w:marBottom w:val="0"/>
      <w:divBdr>
        <w:top w:val="none" w:sz="0" w:space="0" w:color="auto"/>
        <w:left w:val="none" w:sz="0" w:space="0" w:color="auto"/>
        <w:bottom w:val="none" w:sz="0" w:space="0" w:color="auto"/>
        <w:right w:val="none" w:sz="0" w:space="0" w:color="auto"/>
      </w:divBdr>
    </w:div>
    <w:div w:id="1355572207">
      <w:bodyDiv w:val="1"/>
      <w:marLeft w:val="0"/>
      <w:marRight w:val="0"/>
      <w:marTop w:val="0"/>
      <w:marBottom w:val="0"/>
      <w:divBdr>
        <w:top w:val="none" w:sz="0" w:space="0" w:color="auto"/>
        <w:left w:val="none" w:sz="0" w:space="0" w:color="auto"/>
        <w:bottom w:val="none" w:sz="0" w:space="0" w:color="auto"/>
        <w:right w:val="none" w:sz="0" w:space="0" w:color="auto"/>
      </w:divBdr>
    </w:div>
    <w:div w:id="1435856108">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701738569">
      <w:bodyDiv w:val="1"/>
      <w:marLeft w:val="0"/>
      <w:marRight w:val="0"/>
      <w:marTop w:val="0"/>
      <w:marBottom w:val="0"/>
      <w:divBdr>
        <w:top w:val="none" w:sz="0" w:space="0" w:color="auto"/>
        <w:left w:val="none" w:sz="0" w:space="0" w:color="auto"/>
        <w:bottom w:val="none" w:sz="0" w:space="0" w:color="auto"/>
        <w:right w:val="none" w:sz="0" w:space="0" w:color="auto"/>
      </w:divBdr>
    </w:div>
    <w:div w:id="1760372062">
      <w:bodyDiv w:val="1"/>
      <w:marLeft w:val="0"/>
      <w:marRight w:val="0"/>
      <w:marTop w:val="0"/>
      <w:marBottom w:val="0"/>
      <w:divBdr>
        <w:top w:val="none" w:sz="0" w:space="0" w:color="auto"/>
        <w:left w:val="none" w:sz="0" w:space="0" w:color="auto"/>
        <w:bottom w:val="none" w:sz="0" w:space="0" w:color="auto"/>
        <w:right w:val="none" w:sz="0" w:space="0" w:color="auto"/>
      </w:divBdr>
    </w:div>
    <w:div w:id="1921065490">
      <w:bodyDiv w:val="1"/>
      <w:marLeft w:val="0"/>
      <w:marRight w:val="0"/>
      <w:marTop w:val="0"/>
      <w:marBottom w:val="0"/>
      <w:divBdr>
        <w:top w:val="none" w:sz="0" w:space="0" w:color="auto"/>
        <w:left w:val="none" w:sz="0" w:space="0" w:color="auto"/>
        <w:bottom w:val="none" w:sz="0" w:space="0" w:color="auto"/>
        <w:right w:val="none" w:sz="0" w:space="0" w:color="auto"/>
      </w:divBdr>
    </w:div>
    <w:div w:id="1985353093">
      <w:bodyDiv w:val="1"/>
      <w:marLeft w:val="0"/>
      <w:marRight w:val="0"/>
      <w:marTop w:val="0"/>
      <w:marBottom w:val="0"/>
      <w:divBdr>
        <w:top w:val="none" w:sz="0" w:space="0" w:color="auto"/>
        <w:left w:val="none" w:sz="0" w:space="0" w:color="auto"/>
        <w:bottom w:val="none" w:sz="0" w:space="0" w:color="auto"/>
        <w:right w:val="none" w:sz="0" w:space="0" w:color="auto"/>
      </w:divBdr>
    </w:div>
    <w:div w:id="2024431479">
      <w:bodyDiv w:val="1"/>
      <w:marLeft w:val="0"/>
      <w:marRight w:val="0"/>
      <w:marTop w:val="0"/>
      <w:marBottom w:val="0"/>
      <w:divBdr>
        <w:top w:val="none" w:sz="0" w:space="0" w:color="auto"/>
        <w:left w:val="none" w:sz="0" w:space="0" w:color="auto"/>
        <w:bottom w:val="none" w:sz="0" w:space="0" w:color="auto"/>
        <w:right w:val="none" w:sz="0" w:space="0" w:color="auto"/>
      </w:divBdr>
    </w:div>
    <w:div w:id="2057193663">
      <w:bodyDiv w:val="1"/>
      <w:marLeft w:val="0"/>
      <w:marRight w:val="0"/>
      <w:marTop w:val="0"/>
      <w:marBottom w:val="0"/>
      <w:divBdr>
        <w:top w:val="none" w:sz="0" w:space="0" w:color="auto"/>
        <w:left w:val="none" w:sz="0" w:space="0" w:color="auto"/>
        <w:bottom w:val="none" w:sz="0" w:space="0" w:color="auto"/>
        <w:right w:val="none" w:sz="0" w:space="0" w:color="auto"/>
      </w:divBdr>
    </w:div>
    <w:div w:id="2094888100">
      <w:bodyDiv w:val="1"/>
      <w:marLeft w:val="0"/>
      <w:marRight w:val="0"/>
      <w:marTop w:val="0"/>
      <w:marBottom w:val="0"/>
      <w:divBdr>
        <w:top w:val="none" w:sz="0" w:space="0" w:color="auto"/>
        <w:left w:val="none" w:sz="0" w:space="0" w:color="auto"/>
        <w:bottom w:val="none" w:sz="0" w:space="0" w:color="auto"/>
        <w:right w:val="none" w:sz="0" w:space="0" w:color="auto"/>
      </w:divBdr>
    </w:div>
    <w:div w:id="2110158249">
      <w:bodyDiv w:val="1"/>
      <w:marLeft w:val="0"/>
      <w:marRight w:val="0"/>
      <w:marTop w:val="0"/>
      <w:marBottom w:val="0"/>
      <w:divBdr>
        <w:top w:val="none" w:sz="0" w:space="0" w:color="auto"/>
        <w:left w:val="none" w:sz="0" w:space="0" w:color="auto"/>
        <w:bottom w:val="none" w:sz="0" w:space="0" w:color="auto"/>
        <w:right w:val="none" w:sz="0" w:space="0" w:color="auto"/>
      </w:divBdr>
    </w:div>
    <w:div w:id="21245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vinidex.com.au/technical/material-properties/polyethylene-propertie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A38D8-69AF-48F1-954B-3DA63CB3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B0B801D9</Template>
  <TotalTime>0</TotalTime>
  <Pages>56</Pages>
  <Words>16163</Words>
  <Characters>92131</Characters>
  <Application>Microsoft Office Word</Application>
  <DocSecurity>0</DocSecurity>
  <Lines>767</Lines>
  <Paragraphs>216</Paragraphs>
  <ScaleCrop>false</ScaleCrop>
  <Company/>
  <LinksUpToDate>false</LinksUpToDate>
  <CharactersWithSpaces>108078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2015-11-23T03:53:00Z</dcterms:created>
  <dcterms:modified xsi:type="dcterms:W3CDTF">2015-11-23T03:53:00Z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8431934</vt:lpwstr>
  </property>
</Properties>
</file>