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5C1B07FE" wp14:editId="140E7856">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Pr="00010DDC" w:rsidRDefault="00F171E0" w:rsidP="00F171E0">
          <w:pPr>
            <w:rPr>
              <w:b/>
              <w:sz w:val="24"/>
              <w:szCs w:val="24"/>
            </w:rPr>
          </w:pPr>
        </w:p>
        <w:p w:rsidR="00F171E0" w:rsidRDefault="00F171E0" w:rsidP="00F171E0"/>
        <w:p w:rsidR="00F171E0" w:rsidRDefault="00F171E0" w:rsidP="00010DDC">
          <w:pPr>
            <w:tabs>
              <w:tab w:val="left" w:pos="990"/>
            </w:tabs>
          </w:pPr>
        </w:p>
        <w:p w:rsidR="00327A1E" w:rsidRDefault="00CF2C05" w:rsidP="002E739B">
          <w:pPr>
            <w:pStyle w:val="ReportSubtitle"/>
            <w:tabs>
              <w:tab w:val="left" w:pos="1122"/>
              <w:tab w:val="center" w:pos="4238"/>
            </w:tabs>
          </w:pPr>
          <w:r>
            <w:t>DRAFT</w:t>
          </w:r>
          <w:r w:rsidR="00DA4752">
            <w:t xml:space="preserve"> DECISION</w:t>
          </w:r>
        </w:p>
        <w:p w:rsidR="002E739B" w:rsidRDefault="00B40CAA" w:rsidP="008F07A3">
          <w:pPr>
            <w:pStyle w:val="ReportSubtitle"/>
          </w:pPr>
          <w:r>
            <w:t>A</w:t>
          </w:r>
          <w:r w:rsidR="00C275C4">
            <w:t>us</w:t>
          </w:r>
          <w:r w:rsidR="0085054D">
            <w:t>tralian</w:t>
          </w:r>
          <w:r>
            <w:t xml:space="preserve"> </w:t>
          </w:r>
          <w:r w:rsidR="00C275C4">
            <w:t>G</w:t>
          </w:r>
          <w:r>
            <w:t>as</w:t>
          </w:r>
          <w:r w:rsidR="00C275C4">
            <w:t xml:space="preserve"> Networks</w:t>
          </w:r>
        </w:p>
        <w:p w:rsidR="00415F31" w:rsidRDefault="00CF2C05" w:rsidP="008F07A3">
          <w:pPr>
            <w:pStyle w:val="ReportSubtitle"/>
          </w:pPr>
          <w:r>
            <w:t>Access Arrangement</w:t>
          </w:r>
        </w:p>
        <w:p w:rsidR="000A6C7B" w:rsidRDefault="005C0A7F" w:rsidP="008F07A3">
          <w:pPr>
            <w:pStyle w:val="ReportSubtitle"/>
          </w:pPr>
          <w:r>
            <w:t xml:space="preserve"> 20</w:t>
          </w:r>
          <w:r w:rsidR="00DA4752">
            <w:t xml:space="preserve">16 to </w:t>
          </w:r>
          <w:r w:rsidR="00A06085">
            <w:t>2021</w:t>
          </w:r>
        </w:p>
        <w:p w:rsidR="008F07A3" w:rsidRPr="000A6C7B" w:rsidRDefault="008F07A3" w:rsidP="008F07A3">
          <w:pPr>
            <w:pStyle w:val="ReportSubtitle"/>
          </w:pPr>
        </w:p>
        <w:p w:rsidR="000A6C7B" w:rsidRPr="000A6C7B" w:rsidRDefault="00556C7B" w:rsidP="008F07A3">
          <w:pPr>
            <w:pStyle w:val="ReportSubtitle"/>
          </w:pPr>
          <w:r>
            <w:t>Overview</w:t>
          </w:r>
        </w:p>
        <w:p w:rsidR="000A6C7B" w:rsidRPr="00327A1E" w:rsidRDefault="00A06085" w:rsidP="00327A1E">
          <w:pPr>
            <w:pStyle w:val="ReportDate"/>
          </w:pPr>
          <w:r>
            <w:t>November</w:t>
          </w:r>
          <w:r w:rsidR="005C0A7F">
            <w:t xml:space="preserve">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rsidR="006F6954">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645834" w:rsidRDefault="00645834" w:rsidP="00645834">
      <w:pPr>
        <w:pStyle w:val="UnnumberedHeading"/>
      </w:pPr>
      <w:bookmarkStart w:id="0" w:name="_Toc433890475"/>
      <w:bookmarkStart w:id="1" w:name="_Toc436037676"/>
      <w:r>
        <w:lastRenderedPageBreak/>
        <w:t>Invitation for submissions</w:t>
      </w:r>
      <w:bookmarkEnd w:id="0"/>
      <w:bookmarkEnd w:id="1"/>
    </w:p>
    <w:p w:rsidR="00645834" w:rsidRDefault="00645834" w:rsidP="00645834">
      <w:r>
        <w:t>Interested parties are invited to make submissions on our d</w:t>
      </w:r>
      <w:bookmarkStart w:id="2" w:name="_GoBack"/>
      <w:bookmarkEnd w:id="2"/>
      <w:r>
        <w:t>raft decision and the revised proposal AGN will submit on 6 January 2016. Submissions are due by 4 February 2016.</w:t>
      </w:r>
    </w:p>
    <w:p w:rsidR="00645834" w:rsidRDefault="00645834" w:rsidP="00645834">
      <w:r>
        <w:t>We will consider and respond to submissions in our final decision in late April 2016.</w:t>
      </w:r>
    </w:p>
    <w:p w:rsidR="00645834" w:rsidRDefault="00645834" w:rsidP="00645834">
      <w:r>
        <w:t>We prefer that all submissions are in Microsoft Word or another text readable document format. Submissions on the draft decision and revised proposal should be sent to:</w:t>
      </w:r>
      <w:r w:rsidRPr="00645834">
        <w:t xml:space="preserve"> </w:t>
      </w:r>
      <w:r w:rsidRPr="00645834">
        <w:rPr>
          <w:rStyle w:val="Hyperlink"/>
        </w:rPr>
        <w:t>AGN2015GAAR@aer.gov.au</w:t>
      </w:r>
      <w:r>
        <w:t xml:space="preserve">. </w:t>
      </w:r>
    </w:p>
    <w:p w:rsidR="00645834" w:rsidRPr="002C7308" w:rsidRDefault="00645834" w:rsidP="00645834">
      <w:r w:rsidRPr="002C7308">
        <w:t>Alternatively, submissions can be sent to:</w:t>
      </w:r>
    </w:p>
    <w:p w:rsidR="00645834" w:rsidRPr="00386703" w:rsidRDefault="00645834" w:rsidP="00645834">
      <w:r w:rsidRPr="002C7308">
        <w:t xml:space="preserve">Mr </w:t>
      </w:r>
      <w:r w:rsidRPr="00386703">
        <w:t>Warwick Anderson</w:t>
      </w:r>
      <w:r w:rsidRPr="00386703">
        <w:br/>
        <w:t>General Manager</w:t>
      </w:r>
      <w:r w:rsidRPr="00386703">
        <w:br/>
        <w:t>Australian Energy Regulator</w:t>
      </w:r>
      <w:r w:rsidRPr="00386703">
        <w:br/>
        <w:t>GPO Box 3131</w:t>
      </w:r>
    </w:p>
    <w:p w:rsidR="00645834" w:rsidRPr="00386703" w:rsidRDefault="00645834" w:rsidP="00645834">
      <w:r>
        <w:t>Canberra ACT 2601</w:t>
      </w:r>
    </w:p>
    <w:p w:rsidR="00645834" w:rsidRPr="002C7308" w:rsidRDefault="00645834" w:rsidP="00645834">
      <w:r w:rsidRPr="002C7308">
        <w:t xml:space="preserve">We prefer that all submissions be publicly available to facilitate an informed and transparent consultative process. Submissions will be treated as public documents unless otherwise requested. Parties wishing to submit confidential information </w:t>
      </w:r>
      <w:r>
        <w:t>should</w:t>
      </w:r>
      <w:r w:rsidRPr="002C7308">
        <w:t>:</w:t>
      </w:r>
    </w:p>
    <w:p w:rsidR="00645834" w:rsidRPr="00BC7D8C" w:rsidRDefault="00645834" w:rsidP="00645834">
      <w:pPr>
        <w:pStyle w:val="ListBullet"/>
      </w:pPr>
      <w:r w:rsidRPr="002C7308">
        <w:t>clearly identify the information that is the subject of the confidentiality claim</w:t>
      </w:r>
    </w:p>
    <w:p w:rsidR="00645834" w:rsidRPr="00BC7D8C" w:rsidRDefault="00645834" w:rsidP="00645834">
      <w:pPr>
        <w:pStyle w:val="ListBullet"/>
      </w:pPr>
      <w:r w:rsidRPr="002C7308">
        <w:t>provide a non-confidential version of the submission in a form suitable for publication.</w:t>
      </w:r>
    </w:p>
    <w:p w:rsidR="00645834" w:rsidRDefault="00645834" w:rsidP="00645834">
      <w:r w:rsidRPr="002C7308">
        <w:t>All non-confidential submissions will be placed on our website</w:t>
      </w:r>
      <w:r>
        <w:t>.</w:t>
      </w:r>
      <w:r w:rsidRPr="002C7308">
        <w:t xml:space="preserve"> For further information regarding our use and disclosure of information provided to us, see the ACCC/AER Information Policy </w:t>
      </w:r>
      <w:r>
        <w:t>(</w:t>
      </w:r>
      <w:r w:rsidR="00C659D1">
        <w:t>June 2014</w:t>
      </w:r>
      <w:r>
        <w:t>), which is</w:t>
      </w:r>
      <w:r w:rsidRPr="002C7308">
        <w:t xml:space="preserve"> available on our website.</w:t>
      </w:r>
    </w:p>
    <w:p w:rsidR="00645834" w:rsidRPr="00645834" w:rsidRDefault="00645834" w:rsidP="007E7E78"/>
    <w:p w:rsidR="009001B6" w:rsidRDefault="009001B6">
      <w:pPr>
        <w:spacing w:line="240" w:lineRule="auto"/>
      </w:pPr>
      <w:bookmarkStart w:id="3" w:name="_Toc404354899"/>
      <w:bookmarkStart w:id="4" w:name="_Toc404353070"/>
      <w:bookmarkStart w:id="5" w:name="_Toc404684201"/>
      <w:bookmarkStart w:id="6" w:name="_Toc404700923"/>
      <w:r>
        <w:br w:type="page"/>
      </w:r>
    </w:p>
    <w:p w:rsidR="008F07A3" w:rsidRDefault="00DA61F3" w:rsidP="00DE772C">
      <w:pPr>
        <w:pStyle w:val="UnnumberedHeading"/>
        <w:numPr>
          <w:ilvl w:val="0"/>
          <w:numId w:val="23"/>
        </w:numPr>
      </w:pPr>
      <w:bookmarkStart w:id="7" w:name="_Toc436037677"/>
      <w:r>
        <w:lastRenderedPageBreak/>
        <w:t>N</w:t>
      </w:r>
      <w:r w:rsidR="008F07A3">
        <w:t>ote</w:t>
      </w:r>
      <w:bookmarkEnd w:id="3"/>
      <w:bookmarkEnd w:id="4"/>
      <w:bookmarkEnd w:id="5"/>
      <w:bookmarkEnd w:id="6"/>
      <w:bookmarkEnd w:id="7"/>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CF2C05">
        <w:t>draft</w:t>
      </w:r>
      <w:r w:rsidR="00415F31">
        <w:t xml:space="preserve"> decision on </w:t>
      </w:r>
      <w:r w:rsidR="00C275C4">
        <w:t>Aus</w:t>
      </w:r>
      <w:r w:rsidR="0085054D">
        <w:t>tralian</w:t>
      </w:r>
      <w:r w:rsidR="00C275C4">
        <w:t xml:space="preserve"> Gas Networks’</w:t>
      </w:r>
      <w:r w:rsidR="00415F31">
        <w:t xml:space="preserve"> </w:t>
      </w:r>
      <w:r w:rsidR="00CF2C05">
        <w:t>access</w:t>
      </w:r>
      <w:r w:rsidR="00415F31">
        <w:t xml:space="preserve"> </w:t>
      </w:r>
      <w:r w:rsidR="00CF2C05">
        <w:t>arrangement for</w:t>
      </w:r>
      <w:r w:rsidR="00415F31">
        <w:t xml:space="preserve"> 201</w:t>
      </w:r>
      <w:r w:rsidR="005C0A7F">
        <w:t>6</w:t>
      </w:r>
      <w:r w:rsidR="00415F31" w:rsidRPr="00D904FA">
        <w:t>–</w:t>
      </w:r>
      <w:r w:rsidR="00103A67">
        <w:t>21</w:t>
      </w:r>
      <w:r w:rsidR="00415F31">
        <w:t xml:space="preserve">. It should be read with </w:t>
      </w:r>
      <w:r w:rsidR="005C0A7F">
        <w:t xml:space="preserve">all </w:t>
      </w:r>
      <w:r w:rsidR="00415F31">
        <w:t xml:space="preserve">other parts of the </w:t>
      </w:r>
      <w:r w:rsidR="00CF2C05">
        <w:t>draft</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CF2C05">
        <w:t>draft</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w:t>
      </w:r>
      <w:r w:rsidR="003A5FF5">
        <w:t>-</w:t>
      </w:r>
      <w:r>
        <w:t xml:space="preserve"> </w:t>
      </w:r>
      <w:r w:rsidR="00EE77FA">
        <w:t>Demand</w:t>
      </w:r>
    </w:p>
    <w:p w:rsidR="0085054D" w:rsidRDefault="0085054D" w:rsidP="0070011E">
      <w:r>
        <w:t xml:space="preserve">Attachment 14 </w:t>
      </w:r>
      <w:r w:rsidR="003A5FF5">
        <w:t>-</w:t>
      </w:r>
      <w:r>
        <w:t xml:space="preserve"> Other incentive schemes</w:t>
      </w:r>
    </w:p>
    <w:p w:rsidR="00DE563D" w:rsidRPr="00A72B34" w:rsidRDefault="00DE563D" w:rsidP="00DE772C">
      <w:pPr>
        <w:pStyle w:val="UnnumberedHeading"/>
        <w:numPr>
          <w:ilvl w:val="0"/>
          <w:numId w:val="23"/>
        </w:numPr>
      </w:pPr>
      <w:bookmarkStart w:id="8" w:name="_Toc403144133"/>
      <w:bookmarkStart w:id="9" w:name="_Toc436037678"/>
      <w:r>
        <w:lastRenderedPageBreak/>
        <w:t>Contents</w:t>
      </w:r>
      <w:bookmarkEnd w:id="8"/>
      <w:bookmarkEnd w:id="9"/>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715DC0" w:rsidRDefault="00032619">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 </w:instrText>
          </w:r>
          <w:r>
            <w:rPr>
              <w:color w:val="auto"/>
              <w:sz w:val="22"/>
            </w:rPr>
            <w:fldChar w:fldCharType="separate"/>
          </w:r>
          <w:hyperlink w:anchor="_Toc436037676" w:history="1">
            <w:r w:rsidR="00715DC0" w:rsidRPr="004032DE">
              <w:rPr>
                <w:rStyle w:val="Hyperlink"/>
              </w:rPr>
              <w:t>Invitation for submissions</w:t>
            </w:r>
            <w:r w:rsidR="00715DC0">
              <w:rPr>
                <w:webHidden/>
              </w:rPr>
              <w:tab/>
            </w:r>
            <w:r w:rsidR="00715DC0">
              <w:rPr>
                <w:webHidden/>
              </w:rPr>
              <w:fldChar w:fldCharType="begin"/>
            </w:r>
            <w:r w:rsidR="00715DC0">
              <w:rPr>
                <w:webHidden/>
              </w:rPr>
              <w:instrText xml:space="preserve"> PAGEREF _Toc436037676 \h </w:instrText>
            </w:r>
            <w:r w:rsidR="00715DC0">
              <w:rPr>
                <w:webHidden/>
              </w:rPr>
            </w:r>
            <w:r w:rsidR="00715DC0">
              <w:rPr>
                <w:webHidden/>
              </w:rPr>
              <w:fldChar w:fldCharType="separate"/>
            </w:r>
            <w:r w:rsidR="00B03444">
              <w:rPr>
                <w:webHidden/>
              </w:rPr>
              <w:t>2</w:t>
            </w:r>
            <w:r w:rsidR="00715DC0">
              <w:rPr>
                <w:webHidden/>
              </w:rPr>
              <w:fldChar w:fldCharType="end"/>
            </w:r>
          </w:hyperlink>
        </w:p>
        <w:p w:rsidR="00715DC0" w:rsidRDefault="00C31BA6">
          <w:pPr>
            <w:pStyle w:val="TOC1"/>
            <w:rPr>
              <w:rFonts w:asciiTheme="minorHAnsi" w:eastAsiaTheme="minorEastAsia" w:hAnsiTheme="minorHAnsi"/>
              <w:b w:val="0"/>
              <w:color w:val="auto"/>
              <w:sz w:val="22"/>
              <w:lang w:val="en-AU" w:eastAsia="en-AU"/>
            </w:rPr>
          </w:pPr>
          <w:hyperlink w:anchor="_Toc436037677" w:history="1">
            <w:r w:rsidR="00715DC0" w:rsidRPr="004032DE">
              <w:rPr>
                <w:rStyle w:val="Hyperlink"/>
              </w:rPr>
              <w:t>Note</w:t>
            </w:r>
            <w:r w:rsidR="00715DC0">
              <w:rPr>
                <w:webHidden/>
              </w:rPr>
              <w:tab/>
            </w:r>
            <w:r w:rsidR="00715DC0">
              <w:rPr>
                <w:webHidden/>
              </w:rPr>
              <w:fldChar w:fldCharType="begin"/>
            </w:r>
            <w:r w:rsidR="00715DC0">
              <w:rPr>
                <w:webHidden/>
              </w:rPr>
              <w:instrText xml:space="preserve"> PAGEREF _Toc436037677 \h </w:instrText>
            </w:r>
            <w:r w:rsidR="00715DC0">
              <w:rPr>
                <w:webHidden/>
              </w:rPr>
            </w:r>
            <w:r w:rsidR="00715DC0">
              <w:rPr>
                <w:webHidden/>
              </w:rPr>
              <w:fldChar w:fldCharType="separate"/>
            </w:r>
            <w:r w:rsidR="00B03444">
              <w:rPr>
                <w:webHidden/>
              </w:rPr>
              <w:t>3</w:t>
            </w:r>
            <w:r w:rsidR="00715DC0">
              <w:rPr>
                <w:webHidden/>
              </w:rPr>
              <w:fldChar w:fldCharType="end"/>
            </w:r>
          </w:hyperlink>
        </w:p>
        <w:p w:rsidR="00715DC0" w:rsidRDefault="00C31BA6">
          <w:pPr>
            <w:pStyle w:val="TOC1"/>
            <w:rPr>
              <w:rFonts w:asciiTheme="minorHAnsi" w:eastAsiaTheme="minorEastAsia" w:hAnsiTheme="minorHAnsi"/>
              <w:b w:val="0"/>
              <w:color w:val="auto"/>
              <w:sz w:val="22"/>
              <w:lang w:val="en-AU" w:eastAsia="en-AU"/>
            </w:rPr>
          </w:pPr>
          <w:hyperlink w:anchor="_Toc436037678" w:history="1">
            <w:r w:rsidR="00715DC0" w:rsidRPr="004032DE">
              <w:rPr>
                <w:rStyle w:val="Hyperlink"/>
              </w:rPr>
              <w:t>Contents</w:t>
            </w:r>
            <w:r w:rsidR="00715DC0">
              <w:rPr>
                <w:webHidden/>
              </w:rPr>
              <w:tab/>
            </w:r>
            <w:r w:rsidR="00715DC0">
              <w:rPr>
                <w:webHidden/>
              </w:rPr>
              <w:fldChar w:fldCharType="begin"/>
            </w:r>
            <w:r w:rsidR="00715DC0">
              <w:rPr>
                <w:webHidden/>
              </w:rPr>
              <w:instrText xml:space="preserve"> PAGEREF _Toc436037678 \h </w:instrText>
            </w:r>
            <w:r w:rsidR="00715DC0">
              <w:rPr>
                <w:webHidden/>
              </w:rPr>
            </w:r>
            <w:r w:rsidR="00715DC0">
              <w:rPr>
                <w:webHidden/>
              </w:rPr>
              <w:fldChar w:fldCharType="separate"/>
            </w:r>
            <w:r w:rsidR="00B03444">
              <w:rPr>
                <w:webHidden/>
              </w:rPr>
              <w:t>4</w:t>
            </w:r>
            <w:r w:rsidR="00715DC0">
              <w:rPr>
                <w:webHidden/>
              </w:rPr>
              <w:fldChar w:fldCharType="end"/>
            </w:r>
          </w:hyperlink>
        </w:p>
        <w:p w:rsidR="00715DC0" w:rsidRDefault="00C31BA6">
          <w:pPr>
            <w:pStyle w:val="TOC1"/>
            <w:rPr>
              <w:rFonts w:asciiTheme="minorHAnsi" w:eastAsiaTheme="minorEastAsia" w:hAnsiTheme="minorHAnsi"/>
              <w:b w:val="0"/>
              <w:color w:val="auto"/>
              <w:sz w:val="22"/>
              <w:lang w:val="en-AU" w:eastAsia="en-AU"/>
            </w:rPr>
          </w:pPr>
          <w:hyperlink w:anchor="_Toc436037679" w:history="1">
            <w:r w:rsidR="00715DC0" w:rsidRPr="004032DE">
              <w:rPr>
                <w:rStyle w:val="Hyperlink"/>
              </w:rPr>
              <w:t>Shortened forms</w:t>
            </w:r>
            <w:r w:rsidR="00715DC0">
              <w:rPr>
                <w:webHidden/>
              </w:rPr>
              <w:tab/>
            </w:r>
            <w:r w:rsidR="00715DC0">
              <w:rPr>
                <w:webHidden/>
              </w:rPr>
              <w:fldChar w:fldCharType="begin"/>
            </w:r>
            <w:r w:rsidR="00715DC0">
              <w:rPr>
                <w:webHidden/>
              </w:rPr>
              <w:instrText xml:space="preserve"> PAGEREF _Toc436037679 \h </w:instrText>
            </w:r>
            <w:r w:rsidR="00715DC0">
              <w:rPr>
                <w:webHidden/>
              </w:rPr>
            </w:r>
            <w:r w:rsidR="00715DC0">
              <w:rPr>
                <w:webHidden/>
              </w:rPr>
              <w:fldChar w:fldCharType="separate"/>
            </w:r>
            <w:r w:rsidR="00B03444">
              <w:rPr>
                <w:webHidden/>
              </w:rPr>
              <w:t>6</w:t>
            </w:r>
            <w:r w:rsidR="00715DC0">
              <w:rPr>
                <w:webHidden/>
              </w:rPr>
              <w:fldChar w:fldCharType="end"/>
            </w:r>
          </w:hyperlink>
        </w:p>
        <w:p w:rsidR="00715DC0" w:rsidRDefault="00C31BA6">
          <w:pPr>
            <w:pStyle w:val="TOC1"/>
            <w:rPr>
              <w:rFonts w:asciiTheme="minorHAnsi" w:eastAsiaTheme="minorEastAsia" w:hAnsiTheme="minorHAnsi"/>
              <w:b w:val="0"/>
              <w:color w:val="auto"/>
              <w:sz w:val="22"/>
              <w:lang w:val="en-AU" w:eastAsia="en-AU"/>
            </w:rPr>
          </w:pPr>
          <w:hyperlink w:anchor="_Toc436037680" w:history="1">
            <w:r w:rsidR="00715DC0" w:rsidRPr="004032DE">
              <w:rPr>
                <w:rStyle w:val="Hyperlink"/>
              </w:rPr>
              <w:t>1</w:t>
            </w:r>
            <w:r w:rsidR="00715DC0">
              <w:rPr>
                <w:rFonts w:asciiTheme="minorHAnsi" w:eastAsiaTheme="minorEastAsia" w:hAnsiTheme="minorHAnsi"/>
                <w:b w:val="0"/>
                <w:color w:val="auto"/>
                <w:sz w:val="22"/>
                <w:lang w:val="en-AU" w:eastAsia="en-AU"/>
              </w:rPr>
              <w:tab/>
            </w:r>
            <w:r w:rsidR="00715DC0" w:rsidRPr="004032DE">
              <w:rPr>
                <w:rStyle w:val="Hyperlink"/>
              </w:rPr>
              <w:t>Introduction</w:t>
            </w:r>
            <w:r w:rsidR="00715DC0">
              <w:rPr>
                <w:webHidden/>
              </w:rPr>
              <w:tab/>
            </w:r>
            <w:r w:rsidR="00715DC0">
              <w:rPr>
                <w:webHidden/>
              </w:rPr>
              <w:fldChar w:fldCharType="begin"/>
            </w:r>
            <w:r w:rsidR="00715DC0">
              <w:rPr>
                <w:webHidden/>
              </w:rPr>
              <w:instrText xml:space="preserve"> PAGEREF _Toc436037680 \h </w:instrText>
            </w:r>
            <w:r w:rsidR="00715DC0">
              <w:rPr>
                <w:webHidden/>
              </w:rPr>
            </w:r>
            <w:r w:rsidR="00715DC0">
              <w:rPr>
                <w:webHidden/>
              </w:rPr>
              <w:fldChar w:fldCharType="separate"/>
            </w:r>
            <w:r w:rsidR="00B03444">
              <w:rPr>
                <w:webHidden/>
              </w:rPr>
              <w:t>8</w:t>
            </w:r>
            <w:r w:rsidR="00715DC0">
              <w:rPr>
                <w:webHidden/>
              </w:rPr>
              <w:fldChar w:fldCharType="end"/>
            </w:r>
          </w:hyperlink>
        </w:p>
        <w:p w:rsidR="00715DC0" w:rsidRDefault="00C31BA6">
          <w:pPr>
            <w:pStyle w:val="TOC2"/>
            <w:rPr>
              <w:rFonts w:asciiTheme="minorHAnsi" w:eastAsiaTheme="minorEastAsia" w:hAnsiTheme="minorHAnsi"/>
              <w:b w:val="0"/>
              <w:color w:val="auto"/>
              <w:sz w:val="22"/>
              <w:lang w:eastAsia="en-AU"/>
            </w:rPr>
          </w:pPr>
          <w:hyperlink w:anchor="_Toc436037681" w:history="1">
            <w:r w:rsidR="00715DC0" w:rsidRPr="004032DE">
              <w:rPr>
                <w:rStyle w:val="Hyperlink"/>
              </w:rPr>
              <w:t>1.1</w:t>
            </w:r>
            <w:r w:rsidR="00715DC0">
              <w:rPr>
                <w:rFonts w:asciiTheme="minorHAnsi" w:eastAsiaTheme="minorEastAsia" w:hAnsiTheme="minorHAnsi"/>
                <w:b w:val="0"/>
                <w:color w:val="auto"/>
                <w:sz w:val="22"/>
                <w:lang w:eastAsia="en-AU"/>
              </w:rPr>
              <w:tab/>
            </w:r>
            <w:r w:rsidR="00715DC0" w:rsidRPr="004032DE">
              <w:rPr>
                <w:rStyle w:val="Hyperlink"/>
              </w:rPr>
              <w:t>Structure of overview</w:t>
            </w:r>
            <w:r w:rsidR="00715DC0">
              <w:rPr>
                <w:webHidden/>
              </w:rPr>
              <w:tab/>
            </w:r>
            <w:r w:rsidR="00715DC0">
              <w:rPr>
                <w:webHidden/>
              </w:rPr>
              <w:fldChar w:fldCharType="begin"/>
            </w:r>
            <w:r w:rsidR="00715DC0">
              <w:rPr>
                <w:webHidden/>
              </w:rPr>
              <w:instrText xml:space="preserve"> PAGEREF _Toc436037681 \h </w:instrText>
            </w:r>
            <w:r w:rsidR="00715DC0">
              <w:rPr>
                <w:webHidden/>
              </w:rPr>
            </w:r>
            <w:r w:rsidR="00715DC0">
              <w:rPr>
                <w:webHidden/>
              </w:rPr>
              <w:fldChar w:fldCharType="separate"/>
            </w:r>
            <w:r w:rsidR="00B03444">
              <w:rPr>
                <w:webHidden/>
              </w:rPr>
              <w:t>9</w:t>
            </w:r>
            <w:r w:rsidR="00715DC0">
              <w:rPr>
                <w:webHidden/>
              </w:rPr>
              <w:fldChar w:fldCharType="end"/>
            </w:r>
          </w:hyperlink>
        </w:p>
        <w:p w:rsidR="00715DC0" w:rsidRDefault="00C31BA6">
          <w:pPr>
            <w:pStyle w:val="TOC1"/>
            <w:rPr>
              <w:rFonts w:asciiTheme="minorHAnsi" w:eastAsiaTheme="minorEastAsia" w:hAnsiTheme="minorHAnsi"/>
              <w:b w:val="0"/>
              <w:color w:val="auto"/>
              <w:sz w:val="22"/>
              <w:lang w:val="en-AU" w:eastAsia="en-AU"/>
            </w:rPr>
          </w:pPr>
          <w:hyperlink w:anchor="_Toc436037682" w:history="1">
            <w:r w:rsidR="00715DC0" w:rsidRPr="004032DE">
              <w:rPr>
                <w:rStyle w:val="Hyperlink"/>
              </w:rPr>
              <w:t>2</w:t>
            </w:r>
            <w:r w:rsidR="00715DC0">
              <w:rPr>
                <w:rFonts w:asciiTheme="minorHAnsi" w:eastAsiaTheme="minorEastAsia" w:hAnsiTheme="minorHAnsi"/>
                <w:b w:val="0"/>
                <w:color w:val="auto"/>
                <w:sz w:val="22"/>
                <w:lang w:val="en-AU" w:eastAsia="en-AU"/>
              </w:rPr>
              <w:tab/>
            </w:r>
            <w:r w:rsidR="00715DC0" w:rsidRPr="004032DE">
              <w:rPr>
                <w:rStyle w:val="Hyperlink"/>
              </w:rPr>
              <w:t>Decision</w:t>
            </w:r>
            <w:r w:rsidR="00715DC0">
              <w:rPr>
                <w:webHidden/>
              </w:rPr>
              <w:tab/>
            </w:r>
            <w:r w:rsidR="00715DC0">
              <w:rPr>
                <w:webHidden/>
              </w:rPr>
              <w:fldChar w:fldCharType="begin"/>
            </w:r>
            <w:r w:rsidR="00715DC0">
              <w:rPr>
                <w:webHidden/>
              </w:rPr>
              <w:instrText xml:space="preserve"> PAGEREF _Toc436037682 \h </w:instrText>
            </w:r>
            <w:r w:rsidR="00715DC0">
              <w:rPr>
                <w:webHidden/>
              </w:rPr>
            </w:r>
            <w:r w:rsidR="00715DC0">
              <w:rPr>
                <w:webHidden/>
              </w:rPr>
              <w:fldChar w:fldCharType="separate"/>
            </w:r>
            <w:r w:rsidR="00B03444">
              <w:rPr>
                <w:webHidden/>
              </w:rPr>
              <w:t>10</w:t>
            </w:r>
            <w:r w:rsidR="00715DC0">
              <w:rPr>
                <w:webHidden/>
              </w:rPr>
              <w:fldChar w:fldCharType="end"/>
            </w:r>
          </w:hyperlink>
        </w:p>
        <w:p w:rsidR="00715DC0" w:rsidRDefault="00C31BA6">
          <w:pPr>
            <w:pStyle w:val="TOC2"/>
            <w:rPr>
              <w:rFonts w:asciiTheme="minorHAnsi" w:eastAsiaTheme="minorEastAsia" w:hAnsiTheme="minorHAnsi"/>
              <w:b w:val="0"/>
              <w:color w:val="auto"/>
              <w:sz w:val="22"/>
              <w:lang w:eastAsia="en-AU"/>
            </w:rPr>
          </w:pPr>
          <w:hyperlink w:anchor="_Toc436037683" w:history="1">
            <w:r w:rsidR="00715DC0" w:rsidRPr="004032DE">
              <w:rPr>
                <w:rStyle w:val="Hyperlink"/>
              </w:rPr>
              <w:t>2.1</w:t>
            </w:r>
            <w:r w:rsidR="00715DC0">
              <w:rPr>
                <w:rFonts w:asciiTheme="minorHAnsi" w:eastAsiaTheme="minorEastAsia" w:hAnsiTheme="minorHAnsi"/>
                <w:b w:val="0"/>
                <w:color w:val="auto"/>
                <w:sz w:val="22"/>
                <w:lang w:eastAsia="en-AU"/>
              </w:rPr>
              <w:tab/>
            </w:r>
            <w:r w:rsidR="00715DC0" w:rsidRPr="004032DE">
              <w:rPr>
                <w:rStyle w:val="Hyperlink"/>
              </w:rPr>
              <w:t>Snapshot of draft decision</w:t>
            </w:r>
            <w:r w:rsidR="00715DC0">
              <w:rPr>
                <w:webHidden/>
              </w:rPr>
              <w:tab/>
            </w:r>
            <w:r w:rsidR="00715DC0">
              <w:rPr>
                <w:webHidden/>
              </w:rPr>
              <w:fldChar w:fldCharType="begin"/>
            </w:r>
            <w:r w:rsidR="00715DC0">
              <w:rPr>
                <w:webHidden/>
              </w:rPr>
              <w:instrText xml:space="preserve"> PAGEREF _Toc436037683 \h </w:instrText>
            </w:r>
            <w:r w:rsidR="00715DC0">
              <w:rPr>
                <w:webHidden/>
              </w:rPr>
            </w:r>
            <w:r w:rsidR="00715DC0">
              <w:rPr>
                <w:webHidden/>
              </w:rPr>
              <w:fldChar w:fldCharType="separate"/>
            </w:r>
            <w:r w:rsidR="00B03444">
              <w:rPr>
                <w:webHidden/>
              </w:rPr>
              <w:t>11</w:t>
            </w:r>
            <w:r w:rsidR="00715DC0">
              <w:rPr>
                <w:webHidden/>
              </w:rPr>
              <w:fldChar w:fldCharType="end"/>
            </w:r>
          </w:hyperlink>
        </w:p>
        <w:p w:rsidR="00715DC0" w:rsidRDefault="00C31BA6">
          <w:pPr>
            <w:pStyle w:val="TOC2"/>
            <w:rPr>
              <w:rFonts w:asciiTheme="minorHAnsi" w:eastAsiaTheme="minorEastAsia" w:hAnsiTheme="minorHAnsi"/>
              <w:b w:val="0"/>
              <w:color w:val="auto"/>
              <w:sz w:val="22"/>
              <w:lang w:eastAsia="en-AU"/>
            </w:rPr>
          </w:pPr>
          <w:hyperlink w:anchor="_Toc436037684" w:history="1">
            <w:r w:rsidR="00715DC0" w:rsidRPr="004032DE">
              <w:rPr>
                <w:rStyle w:val="Hyperlink"/>
              </w:rPr>
              <w:t>2.2</w:t>
            </w:r>
            <w:r w:rsidR="00715DC0">
              <w:rPr>
                <w:rFonts w:asciiTheme="minorHAnsi" w:eastAsiaTheme="minorEastAsia" w:hAnsiTheme="minorHAnsi"/>
                <w:b w:val="0"/>
                <w:color w:val="auto"/>
                <w:sz w:val="22"/>
                <w:lang w:eastAsia="en-AU"/>
              </w:rPr>
              <w:tab/>
            </w:r>
            <w:r w:rsidR="00715DC0" w:rsidRPr="004032DE">
              <w:rPr>
                <w:rStyle w:val="Hyperlink"/>
              </w:rPr>
              <w:t>Key aspects of our draft decision</w:t>
            </w:r>
            <w:r w:rsidR="00715DC0">
              <w:rPr>
                <w:webHidden/>
              </w:rPr>
              <w:tab/>
            </w:r>
            <w:r w:rsidR="00715DC0">
              <w:rPr>
                <w:webHidden/>
              </w:rPr>
              <w:fldChar w:fldCharType="begin"/>
            </w:r>
            <w:r w:rsidR="00715DC0">
              <w:rPr>
                <w:webHidden/>
              </w:rPr>
              <w:instrText xml:space="preserve"> PAGEREF _Toc436037684 \h </w:instrText>
            </w:r>
            <w:r w:rsidR="00715DC0">
              <w:rPr>
                <w:webHidden/>
              </w:rPr>
            </w:r>
            <w:r w:rsidR="00715DC0">
              <w:rPr>
                <w:webHidden/>
              </w:rPr>
              <w:fldChar w:fldCharType="separate"/>
            </w:r>
            <w:r w:rsidR="00B03444">
              <w:rPr>
                <w:webHidden/>
              </w:rPr>
              <w:t>13</w:t>
            </w:r>
            <w:r w:rsidR="00715DC0">
              <w:rPr>
                <w:webHidden/>
              </w:rPr>
              <w:fldChar w:fldCharType="end"/>
            </w:r>
          </w:hyperlink>
        </w:p>
        <w:p w:rsidR="00715DC0" w:rsidRDefault="00C31BA6">
          <w:pPr>
            <w:pStyle w:val="TOC3"/>
            <w:rPr>
              <w:rFonts w:asciiTheme="minorHAnsi" w:eastAsiaTheme="minorEastAsia" w:hAnsiTheme="minorHAnsi"/>
              <w:lang w:eastAsia="en-AU"/>
            </w:rPr>
          </w:pPr>
          <w:hyperlink w:anchor="_Toc436037685" w:history="1">
            <w:r w:rsidR="00715DC0" w:rsidRPr="004032DE">
              <w:rPr>
                <w:rStyle w:val="Hyperlink"/>
              </w:rPr>
              <w:t>2.2.1</w:t>
            </w:r>
            <w:r w:rsidR="00715DC0">
              <w:rPr>
                <w:rFonts w:asciiTheme="minorHAnsi" w:eastAsiaTheme="minorEastAsia" w:hAnsiTheme="minorHAnsi"/>
                <w:lang w:eastAsia="en-AU"/>
              </w:rPr>
              <w:tab/>
            </w:r>
            <w:r w:rsidR="00715DC0" w:rsidRPr="004032DE">
              <w:rPr>
                <w:rStyle w:val="Hyperlink"/>
              </w:rPr>
              <w:t>Network funding costs are lower</w:t>
            </w:r>
            <w:r w:rsidR="00715DC0">
              <w:rPr>
                <w:webHidden/>
              </w:rPr>
              <w:tab/>
            </w:r>
            <w:r w:rsidR="00715DC0">
              <w:rPr>
                <w:webHidden/>
              </w:rPr>
              <w:fldChar w:fldCharType="begin"/>
            </w:r>
            <w:r w:rsidR="00715DC0">
              <w:rPr>
                <w:webHidden/>
              </w:rPr>
              <w:instrText xml:space="preserve"> PAGEREF _Toc436037685 \h </w:instrText>
            </w:r>
            <w:r w:rsidR="00715DC0">
              <w:rPr>
                <w:webHidden/>
              </w:rPr>
            </w:r>
            <w:r w:rsidR="00715DC0">
              <w:rPr>
                <w:webHidden/>
              </w:rPr>
              <w:fldChar w:fldCharType="separate"/>
            </w:r>
            <w:r w:rsidR="00B03444">
              <w:rPr>
                <w:webHidden/>
              </w:rPr>
              <w:t>14</w:t>
            </w:r>
            <w:r w:rsidR="00715DC0">
              <w:rPr>
                <w:webHidden/>
              </w:rPr>
              <w:fldChar w:fldCharType="end"/>
            </w:r>
          </w:hyperlink>
        </w:p>
        <w:p w:rsidR="00715DC0" w:rsidRDefault="00C31BA6">
          <w:pPr>
            <w:pStyle w:val="TOC3"/>
            <w:rPr>
              <w:rFonts w:asciiTheme="minorHAnsi" w:eastAsiaTheme="minorEastAsia" w:hAnsiTheme="minorHAnsi"/>
              <w:lang w:eastAsia="en-AU"/>
            </w:rPr>
          </w:pPr>
          <w:hyperlink w:anchor="_Toc436037686" w:history="1">
            <w:r w:rsidR="00715DC0" w:rsidRPr="004032DE">
              <w:rPr>
                <w:rStyle w:val="Hyperlink"/>
              </w:rPr>
              <w:t>2.2.2</w:t>
            </w:r>
            <w:r w:rsidR="00715DC0">
              <w:rPr>
                <w:rFonts w:asciiTheme="minorHAnsi" w:eastAsiaTheme="minorEastAsia" w:hAnsiTheme="minorHAnsi"/>
                <w:lang w:eastAsia="en-AU"/>
              </w:rPr>
              <w:tab/>
            </w:r>
            <w:r w:rsidR="00715DC0" w:rsidRPr="004032DE">
              <w:rPr>
                <w:rStyle w:val="Hyperlink"/>
              </w:rPr>
              <w:t>Forecast demand</w:t>
            </w:r>
            <w:r w:rsidR="00715DC0">
              <w:rPr>
                <w:webHidden/>
              </w:rPr>
              <w:tab/>
            </w:r>
            <w:r w:rsidR="00715DC0">
              <w:rPr>
                <w:webHidden/>
              </w:rPr>
              <w:fldChar w:fldCharType="begin"/>
            </w:r>
            <w:r w:rsidR="00715DC0">
              <w:rPr>
                <w:webHidden/>
              </w:rPr>
              <w:instrText xml:space="preserve"> PAGEREF _Toc436037686 \h </w:instrText>
            </w:r>
            <w:r w:rsidR="00715DC0">
              <w:rPr>
                <w:webHidden/>
              </w:rPr>
            </w:r>
            <w:r w:rsidR="00715DC0">
              <w:rPr>
                <w:webHidden/>
              </w:rPr>
              <w:fldChar w:fldCharType="separate"/>
            </w:r>
            <w:r w:rsidR="00B03444">
              <w:rPr>
                <w:webHidden/>
              </w:rPr>
              <w:t>16</w:t>
            </w:r>
            <w:r w:rsidR="00715DC0">
              <w:rPr>
                <w:webHidden/>
              </w:rPr>
              <w:fldChar w:fldCharType="end"/>
            </w:r>
          </w:hyperlink>
        </w:p>
        <w:p w:rsidR="00715DC0" w:rsidRDefault="00C31BA6">
          <w:pPr>
            <w:pStyle w:val="TOC3"/>
            <w:rPr>
              <w:rFonts w:asciiTheme="minorHAnsi" w:eastAsiaTheme="minorEastAsia" w:hAnsiTheme="minorHAnsi"/>
              <w:lang w:eastAsia="en-AU"/>
            </w:rPr>
          </w:pPr>
          <w:hyperlink w:anchor="_Toc436037687" w:history="1">
            <w:r w:rsidR="00715DC0" w:rsidRPr="004032DE">
              <w:rPr>
                <w:rStyle w:val="Hyperlink"/>
              </w:rPr>
              <w:t>2.2.3</w:t>
            </w:r>
            <w:r w:rsidR="00715DC0">
              <w:rPr>
                <w:rFonts w:asciiTheme="minorHAnsi" w:eastAsiaTheme="minorEastAsia" w:hAnsiTheme="minorHAnsi"/>
                <w:lang w:eastAsia="en-AU"/>
              </w:rPr>
              <w:tab/>
            </w:r>
            <w:r w:rsidR="00715DC0" w:rsidRPr="004032DE">
              <w:rPr>
                <w:rStyle w:val="Hyperlink"/>
              </w:rPr>
              <w:t>Approved operating expenditure</w:t>
            </w:r>
            <w:r w:rsidR="00715DC0">
              <w:rPr>
                <w:webHidden/>
              </w:rPr>
              <w:tab/>
            </w:r>
            <w:r w:rsidR="00715DC0">
              <w:rPr>
                <w:webHidden/>
              </w:rPr>
              <w:fldChar w:fldCharType="begin"/>
            </w:r>
            <w:r w:rsidR="00715DC0">
              <w:rPr>
                <w:webHidden/>
              </w:rPr>
              <w:instrText xml:space="preserve"> PAGEREF _Toc436037687 \h </w:instrText>
            </w:r>
            <w:r w:rsidR="00715DC0">
              <w:rPr>
                <w:webHidden/>
              </w:rPr>
            </w:r>
            <w:r w:rsidR="00715DC0">
              <w:rPr>
                <w:webHidden/>
              </w:rPr>
              <w:fldChar w:fldCharType="separate"/>
            </w:r>
            <w:r w:rsidR="00B03444">
              <w:rPr>
                <w:webHidden/>
              </w:rPr>
              <w:t>16</w:t>
            </w:r>
            <w:r w:rsidR="00715DC0">
              <w:rPr>
                <w:webHidden/>
              </w:rPr>
              <w:fldChar w:fldCharType="end"/>
            </w:r>
          </w:hyperlink>
        </w:p>
        <w:p w:rsidR="00715DC0" w:rsidRDefault="00C31BA6">
          <w:pPr>
            <w:pStyle w:val="TOC3"/>
            <w:rPr>
              <w:rFonts w:asciiTheme="minorHAnsi" w:eastAsiaTheme="minorEastAsia" w:hAnsiTheme="minorHAnsi"/>
              <w:lang w:eastAsia="en-AU"/>
            </w:rPr>
          </w:pPr>
          <w:hyperlink w:anchor="_Toc436037688" w:history="1">
            <w:r w:rsidR="00715DC0" w:rsidRPr="004032DE">
              <w:rPr>
                <w:rStyle w:val="Hyperlink"/>
              </w:rPr>
              <w:t>2.2.4</w:t>
            </w:r>
            <w:r w:rsidR="00715DC0">
              <w:rPr>
                <w:rFonts w:asciiTheme="minorHAnsi" w:eastAsiaTheme="minorEastAsia" w:hAnsiTheme="minorHAnsi"/>
                <w:lang w:eastAsia="en-AU"/>
              </w:rPr>
              <w:tab/>
            </w:r>
            <w:r w:rsidR="00715DC0" w:rsidRPr="004032DE">
              <w:rPr>
                <w:rStyle w:val="Hyperlink"/>
              </w:rPr>
              <w:t>Approved capital expenditure</w:t>
            </w:r>
            <w:r w:rsidR="00715DC0">
              <w:rPr>
                <w:webHidden/>
              </w:rPr>
              <w:tab/>
            </w:r>
            <w:r w:rsidR="00715DC0">
              <w:rPr>
                <w:webHidden/>
              </w:rPr>
              <w:fldChar w:fldCharType="begin"/>
            </w:r>
            <w:r w:rsidR="00715DC0">
              <w:rPr>
                <w:webHidden/>
              </w:rPr>
              <w:instrText xml:space="preserve"> PAGEREF _Toc436037688 \h </w:instrText>
            </w:r>
            <w:r w:rsidR="00715DC0">
              <w:rPr>
                <w:webHidden/>
              </w:rPr>
            </w:r>
            <w:r w:rsidR="00715DC0">
              <w:rPr>
                <w:webHidden/>
              </w:rPr>
              <w:fldChar w:fldCharType="separate"/>
            </w:r>
            <w:r w:rsidR="00B03444">
              <w:rPr>
                <w:webHidden/>
              </w:rPr>
              <w:t>17</w:t>
            </w:r>
            <w:r w:rsidR="00715DC0">
              <w:rPr>
                <w:webHidden/>
              </w:rPr>
              <w:fldChar w:fldCharType="end"/>
            </w:r>
          </w:hyperlink>
        </w:p>
        <w:p w:rsidR="00715DC0" w:rsidRDefault="00C31BA6">
          <w:pPr>
            <w:pStyle w:val="TOC3"/>
            <w:rPr>
              <w:rFonts w:asciiTheme="minorHAnsi" w:eastAsiaTheme="minorEastAsia" w:hAnsiTheme="minorHAnsi"/>
              <w:lang w:eastAsia="en-AU"/>
            </w:rPr>
          </w:pPr>
          <w:hyperlink w:anchor="_Toc436037689" w:history="1">
            <w:r w:rsidR="00715DC0" w:rsidRPr="004032DE">
              <w:rPr>
                <w:rStyle w:val="Hyperlink"/>
              </w:rPr>
              <w:t>2.2.5</w:t>
            </w:r>
            <w:r w:rsidR="00715DC0">
              <w:rPr>
                <w:rFonts w:asciiTheme="minorHAnsi" w:eastAsiaTheme="minorEastAsia" w:hAnsiTheme="minorHAnsi"/>
                <w:lang w:eastAsia="en-AU"/>
              </w:rPr>
              <w:tab/>
            </w:r>
            <w:r w:rsidR="00715DC0" w:rsidRPr="004032DE">
              <w:rPr>
                <w:rStyle w:val="Hyperlink"/>
              </w:rPr>
              <w:t>Incentives</w:t>
            </w:r>
            <w:r w:rsidR="00715DC0">
              <w:rPr>
                <w:webHidden/>
              </w:rPr>
              <w:tab/>
            </w:r>
            <w:r w:rsidR="00715DC0">
              <w:rPr>
                <w:webHidden/>
              </w:rPr>
              <w:fldChar w:fldCharType="begin"/>
            </w:r>
            <w:r w:rsidR="00715DC0">
              <w:rPr>
                <w:webHidden/>
              </w:rPr>
              <w:instrText xml:space="preserve"> PAGEREF _Toc436037689 \h </w:instrText>
            </w:r>
            <w:r w:rsidR="00715DC0">
              <w:rPr>
                <w:webHidden/>
              </w:rPr>
            </w:r>
            <w:r w:rsidR="00715DC0">
              <w:rPr>
                <w:webHidden/>
              </w:rPr>
              <w:fldChar w:fldCharType="separate"/>
            </w:r>
            <w:r w:rsidR="00B03444">
              <w:rPr>
                <w:webHidden/>
              </w:rPr>
              <w:t>19</w:t>
            </w:r>
            <w:r w:rsidR="00715DC0">
              <w:rPr>
                <w:webHidden/>
              </w:rPr>
              <w:fldChar w:fldCharType="end"/>
            </w:r>
          </w:hyperlink>
        </w:p>
        <w:p w:rsidR="00715DC0" w:rsidRDefault="00C31BA6">
          <w:pPr>
            <w:pStyle w:val="TOC1"/>
            <w:rPr>
              <w:rFonts w:asciiTheme="minorHAnsi" w:eastAsiaTheme="minorEastAsia" w:hAnsiTheme="minorHAnsi"/>
              <w:b w:val="0"/>
              <w:color w:val="auto"/>
              <w:sz w:val="22"/>
              <w:lang w:val="en-AU" w:eastAsia="en-AU"/>
            </w:rPr>
          </w:pPr>
          <w:hyperlink w:anchor="_Toc436037690" w:history="1">
            <w:r w:rsidR="00715DC0" w:rsidRPr="004032DE">
              <w:rPr>
                <w:rStyle w:val="Hyperlink"/>
              </w:rPr>
              <w:t>3</w:t>
            </w:r>
            <w:r w:rsidR="00715DC0">
              <w:rPr>
                <w:rFonts w:asciiTheme="minorHAnsi" w:eastAsiaTheme="minorEastAsia" w:hAnsiTheme="minorHAnsi"/>
                <w:b w:val="0"/>
                <w:color w:val="auto"/>
                <w:sz w:val="22"/>
                <w:lang w:val="en-AU" w:eastAsia="en-AU"/>
              </w:rPr>
              <w:tab/>
            </w:r>
            <w:r w:rsidR="00715DC0" w:rsidRPr="004032DE">
              <w:rPr>
                <w:rStyle w:val="Hyperlink"/>
              </w:rPr>
              <w:t>Total revenue requirement</w:t>
            </w:r>
            <w:r w:rsidR="00715DC0">
              <w:rPr>
                <w:webHidden/>
              </w:rPr>
              <w:tab/>
            </w:r>
            <w:r w:rsidR="00715DC0">
              <w:rPr>
                <w:webHidden/>
              </w:rPr>
              <w:fldChar w:fldCharType="begin"/>
            </w:r>
            <w:r w:rsidR="00715DC0">
              <w:rPr>
                <w:webHidden/>
              </w:rPr>
              <w:instrText xml:space="preserve"> PAGEREF _Toc436037690 \h </w:instrText>
            </w:r>
            <w:r w:rsidR="00715DC0">
              <w:rPr>
                <w:webHidden/>
              </w:rPr>
            </w:r>
            <w:r w:rsidR="00715DC0">
              <w:rPr>
                <w:webHidden/>
              </w:rPr>
              <w:fldChar w:fldCharType="separate"/>
            </w:r>
            <w:r w:rsidR="00B03444">
              <w:rPr>
                <w:webHidden/>
              </w:rPr>
              <w:t>21</w:t>
            </w:r>
            <w:r w:rsidR="00715DC0">
              <w:rPr>
                <w:webHidden/>
              </w:rPr>
              <w:fldChar w:fldCharType="end"/>
            </w:r>
          </w:hyperlink>
        </w:p>
        <w:p w:rsidR="00715DC0" w:rsidRDefault="00C31BA6">
          <w:pPr>
            <w:pStyle w:val="TOC3"/>
            <w:rPr>
              <w:rFonts w:asciiTheme="minorHAnsi" w:eastAsiaTheme="minorEastAsia" w:hAnsiTheme="minorHAnsi"/>
              <w:lang w:eastAsia="en-AU"/>
            </w:rPr>
          </w:pPr>
          <w:hyperlink w:anchor="_Toc436037691" w:history="1">
            <w:r w:rsidR="00715DC0" w:rsidRPr="004032DE">
              <w:rPr>
                <w:rStyle w:val="Hyperlink"/>
              </w:rPr>
              <w:t>3.1.1</w:t>
            </w:r>
            <w:r w:rsidR="00715DC0">
              <w:rPr>
                <w:rFonts w:asciiTheme="minorHAnsi" w:eastAsiaTheme="minorEastAsia" w:hAnsiTheme="minorHAnsi"/>
                <w:lang w:eastAsia="en-AU"/>
              </w:rPr>
              <w:tab/>
            </w:r>
            <w:r w:rsidR="00715DC0" w:rsidRPr="004032DE">
              <w:rPr>
                <w:rStyle w:val="Hyperlink"/>
              </w:rPr>
              <w:t>The building block approach</w:t>
            </w:r>
            <w:r w:rsidR="00715DC0">
              <w:rPr>
                <w:webHidden/>
              </w:rPr>
              <w:tab/>
            </w:r>
            <w:r w:rsidR="00715DC0">
              <w:rPr>
                <w:webHidden/>
              </w:rPr>
              <w:fldChar w:fldCharType="begin"/>
            </w:r>
            <w:r w:rsidR="00715DC0">
              <w:rPr>
                <w:webHidden/>
              </w:rPr>
              <w:instrText xml:space="preserve"> PAGEREF _Toc436037691 \h </w:instrText>
            </w:r>
            <w:r w:rsidR="00715DC0">
              <w:rPr>
                <w:webHidden/>
              </w:rPr>
            </w:r>
            <w:r w:rsidR="00715DC0">
              <w:rPr>
                <w:webHidden/>
              </w:rPr>
              <w:fldChar w:fldCharType="separate"/>
            </w:r>
            <w:r w:rsidR="00B03444">
              <w:rPr>
                <w:webHidden/>
              </w:rPr>
              <w:t>21</w:t>
            </w:r>
            <w:r w:rsidR="00715DC0">
              <w:rPr>
                <w:webHidden/>
              </w:rPr>
              <w:fldChar w:fldCharType="end"/>
            </w:r>
          </w:hyperlink>
        </w:p>
        <w:p w:rsidR="00715DC0" w:rsidRDefault="00C31BA6">
          <w:pPr>
            <w:pStyle w:val="TOC3"/>
            <w:rPr>
              <w:rFonts w:asciiTheme="minorHAnsi" w:eastAsiaTheme="minorEastAsia" w:hAnsiTheme="minorHAnsi"/>
              <w:lang w:eastAsia="en-AU"/>
            </w:rPr>
          </w:pPr>
          <w:hyperlink w:anchor="_Toc436037692" w:history="1">
            <w:r w:rsidR="00715DC0" w:rsidRPr="004032DE">
              <w:rPr>
                <w:rStyle w:val="Hyperlink"/>
              </w:rPr>
              <w:t>3.1.2</w:t>
            </w:r>
            <w:r w:rsidR="00715DC0">
              <w:rPr>
                <w:rFonts w:asciiTheme="minorHAnsi" w:eastAsiaTheme="minorEastAsia" w:hAnsiTheme="minorHAnsi"/>
                <w:lang w:eastAsia="en-AU"/>
              </w:rPr>
              <w:tab/>
            </w:r>
            <w:r w:rsidR="00715DC0" w:rsidRPr="004032DE">
              <w:rPr>
                <w:rStyle w:val="Hyperlink"/>
              </w:rPr>
              <w:t>Draft decision</w:t>
            </w:r>
            <w:r w:rsidR="00715DC0">
              <w:rPr>
                <w:webHidden/>
              </w:rPr>
              <w:tab/>
            </w:r>
            <w:r w:rsidR="00715DC0">
              <w:rPr>
                <w:webHidden/>
              </w:rPr>
              <w:fldChar w:fldCharType="begin"/>
            </w:r>
            <w:r w:rsidR="00715DC0">
              <w:rPr>
                <w:webHidden/>
              </w:rPr>
              <w:instrText xml:space="preserve"> PAGEREF _Toc436037692 \h </w:instrText>
            </w:r>
            <w:r w:rsidR="00715DC0">
              <w:rPr>
                <w:webHidden/>
              </w:rPr>
            </w:r>
            <w:r w:rsidR="00715DC0">
              <w:rPr>
                <w:webHidden/>
              </w:rPr>
              <w:fldChar w:fldCharType="separate"/>
            </w:r>
            <w:r w:rsidR="00B03444">
              <w:rPr>
                <w:webHidden/>
              </w:rPr>
              <w:t>22</w:t>
            </w:r>
            <w:r w:rsidR="00715DC0">
              <w:rPr>
                <w:webHidden/>
              </w:rPr>
              <w:fldChar w:fldCharType="end"/>
            </w:r>
          </w:hyperlink>
        </w:p>
        <w:p w:rsidR="00715DC0" w:rsidRDefault="00C31BA6">
          <w:pPr>
            <w:pStyle w:val="TOC3"/>
            <w:rPr>
              <w:rFonts w:asciiTheme="minorHAnsi" w:eastAsiaTheme="minorEastAsia" w:hAnsiTheme="minorHAnsi"/>
              <w:lang w:eastAsia="en-AU"/>
            </w:rPr>
          </w:pPr>
          <w:hyperlink w:anchor="_Toc436037693" w:history="1">
            <w:r w:rsidR="00715DC0" w:rsidRPr="004032DE">
              <w:rPr>
                <w:rStyle w:val="Hyperlink"/>
              </w:rPr>
              <w:t>3.1.3</w:t>
            </w:r>
            <w:r w:rsidR="00715DC0">
              <w:rPr>
                <w:rFonts w:asciiTheme="minorHAnsi" w:eastAsiaTheme="minorEastAsia" w:hAnsiTheme="minorHAnsi"/>
                <w:lang w:eastAsia="en-AU"/>
              </w:rPr>
              <w:tab/>
            </w:r>
            <w:r w:rsidR="00715DC0" w:rsidRPr="004032DE">
              <w:rPr>
                <w:rStyle w:val="Hyperlink"/>
              </w:rPr>
              <w:t>Total revenue</w:t>
            </w:r>
            <w:r w:rsidR="00715DC0">
              <w:rPr>
                <w:webHidden/>
              </w:rPr>
              <w:tab/>
            </w:r>
            <w:r w:rsidR="00715DC0">
              <w:rPr>
                <w:webHidden/>
              </w:rPr>
              <w:fldChar w:fldCharType="begin"/>
            </w:r>
            <w:r w:rsidR="00715DC0">
              <w:rPr>
                <w:webHidden/>
              </w:rPr>
              <w:instrText xml:space="preserve"> PAGEREF _Toc436037693 \h </w:instrText>
            </w:r>
            <w:r w:rsidR="00715DC0">
              <w:rPr>
                <w:webHidden/>
              </w:rPr>
            </w:r>
            <w:r w:rsidR="00715DC0">
              <w:rPr>
                <w:webHidden/>
              </w:rPr>
              <w:fldChar w:fldCharType="separate"/>
            </w:r>
            <w:r w:rsidR="00B03444">
              <w:rPr>
                <w:webHidden/>
              </w:rPr>
              <w:t>24</w:t>
            </w:r>
            <w:r w:rsidR="00715DC0">
              <w:rPr>
                <w:webHidden/>
              </w:rPr>
              <w:fldChar w:fldCharType="end"/>
            </w:r>
          </w:hyperlink>
        </w:p>
        <w:p w:rsidR="00715DC0" w:rsidRDefault="00C31BA6">
          <w:pPr>
            <w:pStyle w:val="TOC3"/>
            <w:rPr>
              <w:rFonts w:asciiTheme="minorHAnsi" w:eastAsiaTheme="minorEastAsia" w:hAnsiTheme="minorHAnsi"/>
              <w:lang w:eastAsia="en-AU"/>
            </w:rPr>
          </w:pPr>
          <w:hyperlink w:anchor="_Toc436037694" w:history="1">
            <w:r w:rsidR="00715DC0" w:rsidRPr="004032DE">
              <w:rPr>
                <w:rStyle w:val="Hyperlink"/>
              </w:rPr>
              <w:t>3.1.4</w:t>
            </w:r>
            <w:r w:rsidR="00715DC0">
              <w:rPr>
                <w:rFonts w:asciiTheme="minorHAnsi" w:eastAsiaTheme="minorEastAsia" w:hAnsiTheme="minorHAnsi"/>
                <w:lang w:eastAsia="en-AU"/>
              </w:rPr>
              <w:tab/>
            </w:r>
            <w:r w:rsidR="00715DC0" w:rsidRPr="004032DE">
              <w:rPr>
                <w:rStyle w:val="Hyperlink"/>
              </w:rPr>
              <w:t>Revenue equalisation (smoothing) and tariffs</w:t>
            </w:r>
            <w:r w:rsidR="00715DC0">
              <w:rPr>
                <w:webHidden/>
              </w:rPr>
              <w:tab/>
            </w:r>
            <w:r w:rsidR="00715DC0">
              <w:rPr>
                <w:webHidden/>
              </w:rPr>
              <w:fldChar w:fldCharType="begin"/>
            </w:r>
            <w:r w:rsidR="00715DC0">
              <w:rPr>
                <w:webHidden/>
              </w:rPr>
              <w:instrText xml:space="preserve"> PAGEREF _Toc436037694 \h </w:instrText>
            </w:r>
            <w:r w:rsidR="00715DC0">
              <w:rPr>
                <w:webHidden/>
              </w:rPr>
            </w:r>
            <w:r w:rsidR="00715DC0">
              <w:rPr>
                <w:webHidden/>
              </w:rPr>
              <w:fldChar w:fldCharType="separate"/>
            </w:r>
            <w:r w:rsidR="00B03444">
              <w:rPr>
                <w:webHidden/>
              </w:rPr>
              <w:t>24</w:t>
            </w:r>
            <w:r w:rsidR="00715DC0">
              <w:rPr>
                <w:webHidden/>
              </w:rPr>
              <w:fldChar w:fldCharType="end"/>
            </w:r>
          </w:hyperlink>
        </w:p>
        <w:p w:rsidR="00715DC0" w:rsidRDefault="00C31BA6">
          <w:pPr>
            <w:pStyle w:val="TOC1"/>
            <w:rPr>
              <w:rFonts w:asciiTheme="minorHAnsi" w:eastAsiaTheme="minorEastAsia" w:hAnsiTheme="minorHAnsi"/>
              <w:b w:val="0"/>
              <w:color w:val="auto"/>
              <w:sz w:val="22"/>
              <w:lang w:val="en-AU" w:eastAsia="en-AU"/>
            </w:rPr>
          </w:pPr>
          <w:hyperlink w:anchor="_Toc436037695" w:history="1">
            <w:r w:rsidR="00715DC0" w:rsidRPr="004032DE">
              <w:rPr>
                <w:rStyle w:val="Hyperlink"/>
              </w:rPr>
              <w:t>4</w:t>
            </w:r>
            <w:r w:rsidR="00715DC0">
              <w:rPr>
                <w:rFonts w:asciiTheme="minorHAnsi" w:eastAsiaTheme="minorEastAsia" w:hAnsiTheme="minorHAnsi"/>
                <w:b w:val="0"/>
                <w:color w:val="auto"/>
                <w:sz w:val="22"/>
                <w:lang w:val="en-AU" w:eastAsia="en-AU"/>
              </w:rPr>
              <w:tab/>
            </w:r>
            <w:r w:rsidR="00715DC0" w:rsidRPr="004032DE">
              <w:rPr>
                <w:rStyle w:val="Hyperlink"/>
              </w:rPr>
              <w:t>Key elements of decision on AGN's revenue</w:t>
            </w:r>
            <w:r w:rsidR="00715DC0">
              <w:rPr>
                <w:webHidden/>
              </w:rPr>
              <w:tab/>
            </w:r>
            <w:r w:rsidR="00715DC0">
              <w:rPr>
                <w:webHidden/>
              </w:rPr>
              <w:fldChar w:fldCharType="begin"/>
            </w:r>
            <w:r w:rsidR="00715DC0">
              <w:rPr>
                <w:webHidden/>
              </w:rPr>
              <w:instrText xml:space="preserve"> PAGEREF _Toc436037695 \h </w:instrText>
            </w:r>
            <w:r w:rsidR="00715DC0">
              <w:rPr>
                <w:webHidden/>
              </w:rPr>
            </w:r>
            <w:r w:rsidR="00715DC0">
              <w:rPr>
                <w:webHidden/>
              </w:rPr>
              <w:fldChar w:fldCharType="separate"/>
            </w:r>
            <w:r w:rsidR="00B03444">
              <w:rPr>
                <w:webHidden/>
              </w:rPr>
              <w:t>28</w:t>
            </w:r>
            <w:r w:rsidR="00715DC0">
              <w:rPr>
                <w:webHidden/>
              </w:rPr>
              <w:fldChar w:fldCharType="end"/>
            </w:r>
          </w:hyperlink>
        </w:p>
        <w:p w:rsidR="00715DC0" w:rsidRDefault="00C31BA6">
          <w:pPr>
            <w:pStyle w:val="TOC2"/>
            <w:rPr>
              <w:rFonts w:asciiTheme="minorHAnsi" w:eastAsiaTheme="minorEastAsia" w:hAnsiTheme="minorHAnsi"/>
              <w:b w:val="0"/>
              <w:color w:val="auto"/>
              <w:sz w:val="22"/>
              <w:lang w:eastAsia="en-AU"/>
            </w:rPr>
          </w:pPr>
          <w:hyperlink w:anchor="_Toc436037696" w:history="1">
            <w:r w:rsidR="00715DC0" w:rsidRPr="004032DE">
              <w:rPr>
                <w:rStyle w:val="Hyperlink"/>
              </w:rPr>
              <w:t>4.1</w:t>
            </w:r>
            <w:r w:rsidR="00715DC0">
              <w:rPr>
                <w:rFonts w:asciiTheme="minorHAnsi" w:eastAsiaTheme="minorEastAsia" w:hAnsiTheme="minorHAnsi"/>
                <w:b w:val="0"/>
                <w:color w:val="auto"/>
                <w:sz w:val="22"/>
                <w:lang w:eastAsia="en-AU"/>
              </w:rPr>
              <w:tab/>
            </w:r>
            <w:r w:rsidR="00715DC0" w:rsidRPr="004032DE">
              <w:rPr>
                <w:rStyle w:val="Hyperlink"/>
              </w:rPr>
              <w:t>Capital base</w:t>
            </w:r>
            <w:r w:rsidR="00715DC0">
              <w:rPr>
                <w:webHidden/>
              </w:rPr>
              <w:tab/>
            </w:r>
            <w:r w:rsidR="00715DC0">
              <w:rPr>
                <w:webHidden/>
              </w:rPr>
              <w:fldChar w:fldCharType="begin"/>
            </w:r>
            <w:r w:rsidR="00715DC0">
              <w:rPr>
                <w:webHidden/>
              </w:rPr>
              <w:instrText xml:space="preserve"> PAGEREF _Toc436037696 \h </w:instrText>
            </w:r>
            <w:r w:rsidR="00715DC0">
              <w:rPr>
                <w:webHidden/>
              </w:rPr>
            </w:r>
            <w:r w:rsidR="00715DC0">
              <w:rPr>
                <w:webHidden/>
              </w:rPr>
              <w:fldChar w:fldCharType="separate"/>
            </w:r>
            <w:r w:rsidR="00B03444">
              <w:rPr>
                <w:webHidden/>
              </w:rPr>
              <w:t>28</w:t>
            </w:r>
            <w:r w:rsidR="00715DC0">
              <w:rPr>
                <w:webHidden/>
              </w:rPr>
              <w:fldChar w:fldCharType="end"/>
            </w:r>
          </w:hyperlink>
        </w:p>
        <w:p w:rsidR="00715DC0" w:rsidRDefault="00C31BA6">
          <w:pPr>
            <w:pStyle w:val="TOC2"/>
            <w:rPr>
              <w:rFonts w:asciiTheme="minorHAnsi" w:eastAsiaTheme="minorEastAsia" w:hAnsiTheme="minorHAnsi"/>
              <w:b w:val="0"/>
              <w:color w:val="auto"/>
              <w:sz w:val="22"/>
              <w:lang w:eastAsia="en-AU"/>
            </w:rPr>
          </w:pPr>
          <w:hyperlink w:anchor="_Toc436037697" w:history="1">
            <w:r w:rsidR="00715DC0" w:rsidRPr="004032DE">
              <w:rPr>
                <w:rStyle w:val="Hyperlink"/>
              </w:rPr>
              <w:t>4.2</w:t>
            </w:r>
            <w:r w:rsidR="00715DC0">
              <w:rPr>
                <w:rFonts w:asciiTheme="minorHAnsi" w:eastAsiaTheme="minorEastAsia" w:hAnsiTheme="minorHAnsi"/>
                <w:b w:val="0"/>
                <w:color w:val="auto"/>
                <w:sz w:val="22"/>
                <w:lang w:eastAsia="en-AU"/>
              </w:rPr>
              <w:tab/>
            </w:r>
            <w:r w:rsidR="00715DC0" w:rsidRPr="004032DE">
              <w:rPr>
                <w:rStyle w:val="Hyperlink"/>
              </w:rPr>
              <w:t>Rate of return (return on capital)</w:t>
            </w:r>
            <w:r w:rsidR="00715DC0">
              <w:rPr>
                <w:webHidden/>
              </w:rPr>
              <w:tab/>
            </w:r>
            <w:r w:rsidR="00715DC0">
              <w:rPr>
                <w:webHidden/>
              </w:rPr>
              <w:fldChar w:fldCharType="begin"/>
            </w:r>
            <w:r w:rsidR="00715DC0">
              <w:rPr>
                <w:webHidden/>
              </w:rPr>
              <w:instrText xml:space="preserve"> PAGEREF _Toc436037697 \h </w:instrText>
            </w:r>
            <w:r w:rsidR="00715DC0">
              <w:rPr>
                <w:webHidden/>
              </w:rPr>
            </w:r>
            <w:r w:rsidR="00715DC0">
              <w:rPr>
                <w:webHidden/>
              </w:rPr>
              <w:fldChar w:fldCharType="separate"/>
            </w:r>
            <w:r w:rsidR="00B03444">
              <w:rPr>
                <w:webHidden/>
              </w:rPr>
              <w:t>30</w:t>
            </w:r>
            <w:r w:rsidR="00715DC0">
              <w:rPr>
                <w:webHidden/>
              </w:rPr>
              <w:fldChar w:fldCharType="end"/>
            </w:r>
          </w:hyperlink>
        </w:p>
        <w:p w:rsidR="00715DC0" w:rsidRDefault="00C31BA6">
          <w:pPr>
            <w:pStyle w:val="TOC2"/>
            <w:rPr>
              <w:rFonts w:asciiTheme="minorHAnsi" w:eastAsiaTheme="minorEastAsia" w:hAnsiTheme="minorHAnsi"/>
              <w:b w:val="0"/>
              <w:color w:val="auto"/>
              <w:sz w:val="22"/>
              <w:lang w:eastAsia="en-AU"/>
            </w:rPr>
          </w:pPr>
          <w:hyperlink w:anchor="_Toc436037698" w:history="1">
            <w:r w:rsidR="00715DC0" w:rsidRPr="004032DE">
              <w:rPr>
                <w:rStyle w:val="Hyperlink"/>
              </w:rPr>
              <w:t>4.3</w:t>
            </w:r>
            <w:r w:rsidR="00715DC0">
              <w:rPr>
                <w:rFonts w:asciiTheme="minorHAnsi" w:eastAsiaTheme="minorEastAsia" w:hAnsiTheme="minorHAnsi"/>
                <w:b w:val="0"/>
                <w:color w:val="auto"/>
                <w:sz w:val="22"/>
                <w:lang w:eastAsia="en-AU"/>
              </w:rPr>
              <w:tab/>
            </w:r>
            <w:r w:rsidR="00715DC0" w:rsidRPr="004032DE">
              <w:rPr>
                <w:rStyle w:val="Hyperlink"/>
              </w:rPr>
              <w:t>Value of imputation credits (gamma)</w:t>
            </w:r>
            <w:r w:rsidR="00715DC0">
              <w:rPr>
                <w:webHidden/>
              </w:rPr>
              <w:tab/>
            </w:r>
            <w:r w:rsidR="00715DC0">
              <w:rPr>
                <w:webHidden/>
              </w:rPr>
              <w:fldChar w:fldCharType="begin"/>
            </w:r>
            <w:r w:rsidR="00715DC0">
              <w:rPr>
                <w:webHidden/>
              </w:rPr>
              <w:instrText xml:space="preserve"> PAGEREF _Toc436037698 \h </w:instrText>
            </w:r>
            <w:r w:rsidR="00715DC0">
              <w:rPr>
                <w:webHidden/>
              </w:rPr>
            </w:r>
            <w:r w:rsidR="00715DC0">
              <w:rPr>
                <w:webHidden/>
              </w:rPr>
              <w:fldChar w:fldCharType="separate"/>
            </w:r>
            <w:r w:rsidR="00B03444">
              <w:rPr>
                <w:webHidden/>
              </w:rPr>
              <w:t>34</w:t>
            </w:r>
            <w:r w:rsidR="00715DC0">
              <w:rPr>
                <w:webHidden/>
              </w:rPr>
              <w:fldChar w:fldCharType="end"/>
            </w:r>
          </w:hyperlink>
        </w:p>
        <w:p w:rsidR="00715DC0" w:rsidRDefault="00C31BA6">
          <w:pPr>
            <w:pStyle w:val="TOC2"/>
            <w:rPr>
              <w:rFonts w:asciiTheme="minorHAnsi" w:eastAsiaTheme="minorEastAsia" w:hAnsiTheme="minorHAnsi"/>
              <w:b w:val="0"/>
              <w:color w:val="auto"/>
              <w:sz w:val="22"/>
              <w:lang w:eastAsia="en-AU"/>
            </w:rPr>
          </w:pPr>
          <w:hyperlink w:anchor="_Toc436037699" w:history="1">
            <w:r w:rsidR="00715DC0" w:rsidRPr="004032DE">
              <w:rPr>
                <w:rStyle w:val="Hyperlink"/>
              </w:rPr>
              <w:t>4.4</w:t>
            </w:r>
            <w:r w:rsidR="00715DC0">
              <w:rPr>
                <w:rFonts w:asciiTheme="minorHAnsi" w:eastAsiaTheme="minorEastAsia" w:hAnsiTheme="minorHAnsi"/>
                <w:b w:val="0"/>
                <w:color w:val="auto"/>
                <w:sz w:val="22"/>
                <w:lang w:eastAsia="en-AU"/>
              </w:rPr>
              <w:tab/>
            </w:r>
            <w:r w:rsidR="00715DC0" w:rsidRPr="004032DE">
              <w:rPr>
                <w:rStyle w:val="Hyperlink"/>
              </w:rPr>
              <w:t>Regulatory depreciation (return of capital)</w:t>
            </w:r>
            <w:r w:rsidR="00715DC0">
              <w:rPr>
                <w:webHidden/>
              </w:rPr>
              <w:tab/>
            </w:r>
            <w:r w:rsidR="00715DC0">
              <w:rPr>
                <w:webHidden/>
              </w:rPr>
              <w:fldChar w:fldCharType="begin"/>
            </w:r>
            <w:r w:rsidR="00715DC0">
              <w:rPr>
                <w:webHidden/>
              </w:rPr>
              <w:instrText xml:space="preserve"> PAGEREF _Toc436037699 \h </w:instrText>
            </w:r>
            <w:r w:rsidR="00715DC0">
              <w:rPr>
                <w:webHidden/>
              </w:rPr>
            </w:r>
            <w:r w:rsidR="00715DC0">
              <w:rPr>
                <w:webHidden/>
              </w:rPr>
              <w:fldChar w:fldCharType="separate"/>
            </w:r>
            <w:r w:rsidR="00B03444">
              <w:rPr>
                <w:webHidden/>
              </w:rPr>
              <w:t>36</w:t>
            </w:r>
            <w:r w:rsidR="00715DC0">
              <w:rPr>
                <w:webHidden/>
              </w:rPr>
              <w:fldChar w:fldCharType="end"/>
            </w:r>
          </w:hyperlink>
        </w:p>
        <w:p w:rsidR="00715DC0" w:rsidRDefault="00C31BA6">
          <w:pPr>
            <w:pStyle w:val="TOC2"/>
            <w:rPr>
              <w:rFonts w:asciiTheme="minorHAnsi" w:eastAsiaTheme="minorEastAsia" w:hAnsiTheme="minorHAnsi"/>
              <w:b w:val="0"/>
              <w:color w:val="auto"/>
              <w:sz w:val="22"/>
              <w:lang w:eastAsia="en-AU"/>
            </w:rPr>
          </w:pPr>
          <w:hyperlink w:anchor="_Toc436037700" w:history="1">
            <w:r w:rsidR="00715DC0" w:rsidRPr="004032DE">
              <w:rPr>
                <w:rStyle w:val="Hyperlink"/>
              </w:rPr>
              <w:t>4.5</w:t>
            </w:r>
            <w:r w:rsidR="00715DC0">
              <w:rPr>
                <w:rFonts w:asciiTheme="minorHAnsi" w:eastAsiaTheme="minorEastAsia" w:hAnsiTheme="minorHAnsi"/>
                <w:b w:val="0"/>
                <w:color w:val="auto"/>
                <w:sz w:val="22"/>
                <w:lang w:eastAsia="en-AU"/>
              </w:rPr>
              <w:tab/>
            </w:r>
            <w:r w:rsidR="00715DC0" w:rsidRPr="004032DE">
              <w:rPr>
                <w:rStyle w:val="Hyperlink"/>
              </w:rPr>
              <w:t>Capital expenditure</w:t>
            </w:r>
            <w:r w:rsidR="00715DC0">
              <w:rPr>
                <w:webHidden/>
              </w:rPr>
              <w:tab/>
            </w:r>
            <w:r w:rsidR="00715DC0">
              <w:rPr>
                <w:webHidden/>
              </w:rPr>
              <w:fldChar w:fldCharType="begin"/>
            </w:r>
            <w:r w:rsidR="00715DC0">
              <w:rPr>
                <w:webHidden/>
              </w:rPr>
              <w:instrText xml:space="preserve"> PAGEREF _Toc436037700 \h </w:instrText>
            </w:r>
            <w:r w:rsidR="00715DC0">
              <w:rPr>
                <w:webHidden/>
              </w:rPr>
            </w:r>
            <w:r w:rsidR="00715DC0">
              <w:rPr>
                <w:webHidden/>
              </w:rPr>
              <w:fldChar w:fldCharType="separate"/>
            </w:r>
            <w:r w:rsidR="00B03444">
              <w:rPr>
                <w:webHidden/>
              </w:rPr>
              <w:t>38</w:t>
            </w:r>
            <w:r w:rsidR="00715DC0">
              <w:rPr>
                <w:webHidden/>
              </w:rPr>
              <w:fldChar w:fldCharType="end"/>
            </w:r>
          </w:hyperlink>
        </w:p>
        <w:p w:rsidR="00715DC0" w:rsidRDefault="00C31BA6">
          <w:pPr>
            <w:pStyle w:val="TOC2"/>
            <w:rPr>
              <w:rFonts w:asciiTheme="minorHAnsi" w:eastAsiaTheme="minorEastAsia" w:hAnsiTheme="minorHAnsi"/>
              <w:b w:val="0"/>
              <w:color w:val="auto"/>
              <w:sz w:val="22"/>
              <w:lang w:eastAsia="en-AU"/>
            </w:rPr>
          </w:pPr>
          <w:hyperlink w:anchor="_Toc436037701" w:history="1">
            <w:r w:rsidR="00715DC0" w:rsidRPr="004032DE">
              <w:rPr>
                <w:rStyle w:val="Hyperlink"/>
              </w:rPr>
              <w:t>4.6</w:t>
            </w:r>
            <w:r w:rsidR="00715DC0">
              <w:rPr>
                <w:rFonts w:asciiTheme="minorHAnsi" w:eastAsiaTheme="minorEastAsia" w:hAnsiTheme="minorHAnsi"/>
                <w:b w:val="0"/>
                <w:color w:val="auto"/>
                <w:sz w:val="22"/>
                <w:lang w:eastAsia="en-AU"/>
              </w:rPr>
              <w:tab/>
            </w:r>
            <w:r w:rsidR="00715DC0" w:rsidRPr="004032DE">
              <w:rPr>
                <w:rStyle w:val="Hyperlink"/>
              </w:rPr>
              <w:t>Operating expenditure</w:t>
            </w:r>
            <w:r w:rsidR="00715DC0">
              <w:rPr>
                <w:webHidden/>
              </w:rPr>
              <w:tab/>
            </w:r>
            <w:r w:rsidR="00715DC0">
              <w:rPr>
                <w:webHidden/>
              </w:rPr>
              <w:fldChar w:fldCharType="begin"/>
            </w:r>
            <w:r w:rsidR="00715DC0">
              <w:rPr>
                <w:webHidden/>
              </w:rPr>
              <w:instrText xml:space="preserve"> PAGEREF _Toc436037701 \h </w:instrText>
            </w:r>
            <w:r w:rsidR="00715DC0">
              <w:rPr>
                <w:webHidden/>
              </w:rPr>
            </w:r>
            <w:r w:rsidR="00715DC0">
              <w:rPr>
                <w:webHidden/>
              </w:rPr>
              <w:fldChar w:fldCharType="separate"/>
            </w:r>
            <w:r w:rsidR="00B03444">
              <w:rPr>
                <w:webHidden/>
              </w:rPr>
              <w:t>41</w:t>
            </w:r>
            <w:r w:rsidR="00715DC0">
              <w:rPr>
                <w:webHidden/>
              </w:rPr>
              <w:fldChar w:fldCharType="end"/>
            </w:r>
          </w:hyperlink>
        </w:p>
        <w:p w:rsidR="00715DC0" w:rsidRDefault="00C31BA6">
          <w:pPr>
            <w:pStyle w:val="TOC2"/>
            <w:rPr>
              <w:rFonts w:asciiTheme="minorHAnsi" w:eastAsiaTheme="minorEastAsia" w:hAnsiTheme="minorHAnsi"/>
              <w:b w:val="0"/>
              <w:color w:val="auto"/>
              <w:sz w:val="22"/>
              <w:lang w:eastAsia="en-AU"/>
            </w:rPr>
          </w:pPr>
          <w:hyperlink w:anchor="_Toc436037702" w:history="1">
            <w:r w:rsidR="00715DC0" w:rsidRPr="004032DE">
              <w:rPr>
                <w:rStyle w:val="Hyperlink"/>
              </w:rPr>
              <w:t>4.7</w:t>
            </w:r>
            <w:r w:rsidR="00715DC0">
              <w:rPr>
                <w:rFonts w:asciiTheme="minorHAnsi" w:eastAsiaTheme="minorEastAsia" w:hAnsiTheme="minorHAnsi"/>
                <w:b w:val="0"/>
                <w:color w:val="auto"/>
                <w:sz w:val="22"/>
                <w:lang w:eastAsia="en-AU"/>
              </w:rPr>
              <w:tab/>
            </w:r>
            <w:r w:rsidR="00715DC0" w:rsidRPr="004032DE">
              <w:rPr>
                <w:rStyle w:val="Hyperlink"/>
              </w:rPr>
              <w:t>Efficiency carryover mechanism</w:t>
            </w:r>
            <w:r w:rsidR="00715DC0">
              <w:rPr>
                <w:webHidden/>
              </w:rPr>
              <w:tab/>
            </w:r>
            <w:r w:rsidR="00715DC0">
              <w:rPr>
                <w:webHidden/>
              </w:rPr>
              <w:fldChar w:fldCharType="begin"/>
            </w:r>
            <w:r w:rsidR="00715DC0">
              <w:rPr>
                <w:webHidden/>
              </w:rPr>
              <w:instrText xml:space="preserve"> PAGEREF _Toc436037702 \h </w:instrText>
            </w:r>
            <w:r w:rsidR="00715DC0">
              <w:rPr>
                <w:webHidden/>
              </w:rPr>
            </w:r>
            <w:r w:rsidR="00715DC0">
              <w:rPr>
                <w:webHidden/>
              </w:rPr>
              <w:fldChar w:fldCharType="separate"/>
            </w:r>
            <w:r w:rsidR="00B03444">
              <w:rPr>
                <w:webHidden/>
              </w:rPr>
              <w:t>44</w:t>
            </w:r>
            <w:r w:rsidR="00715DC0">
              <w:rPr>
                <w:webHidden/>
              </w:rPr>
              <w:fldChar w:fldCharType="end"/>
            </w:r>
          </w:hyperlink>
        </w:p>
        <w:p w:rsidR="00715DC0" w:rsidRDefault="00C31BA6">
          <w:pPr>
            <w:pStyle w:val="TOC2"/>
            <w:rPr>
              <w:rFonts w:asciiTheme="minorHAnsi" w:eastAsiaTheme="minorEastAsia" w:hAnsiTheme="minorHAnsi"/>
              <w:b w:val="0"/>
              <w:color w:val="auto"/>
              <w:sz w:val="22"/>
              <w:lang w:eastAsia="en-AU"/>
            </w:rPr>
          </w:pPr>
          <w:hyperlink w:anchor="_Toc436037703" w:history="1">
            <w:r w:rsidR="00715DC0" w:rsidRPr="004032DE">
              <w:rPr>
                <w:rStyle w:val="Hyperlink"/>
              </w:rPr>
              <w:t>4.8</w:t>
            </w:r>
            <w:r w:rsidR="00715DC0">
              <w:rPr>
                <w:rFonts w:asciiTheme="minorHAnsi" w:eastAsiaTheme="minorEastAsia" w:hAnsiTheme="minorHAnsi"/>
                <w:b w:val="0"/>
                <w:color w:val="auto"/>
                <w:sz w:val="22"/>
                <w:lang w:eastAsia="en-AU"/>
              </w:rPr>
              <w:tab/>
            </w:r>
            <w:r w:rsidR="00715DC0" w:rsidRPr="004032DE">
              <w:rPr>
                <w:rStyle w:val="Hyperlink"/>
              </w:rPr>
              <w:t>Corporate income tax</w:t>
            </w:r>
            <w:r w:rsidR="00715DC0">
              <w:rPr>
                <w:webHidden/>
              </w:rPr>
              <w:tab/>
            </w:r>
            <w:r w:rsidR="00715DC0">
              <w:rPr>
                <w:webHidden/>
              </w:rPr>
              <w:fldChar w:fldCharType="begin"/>
            </w:r>
            <w:r w:rsidR="00715DC0">
              <w:rPr>
                <w:webHidden/>
              </w:rPr>
              <w:instrText xml:space="preserve"> PAGEREF _Toc436037703 \h </w:instrText>
            </w:r>
            <w:r w:rsidR="00715DC0">
              <w:rPr>
                <w:webHidden/>
              </w:rPr>
            </w:r>
            <w:r w:rsidR="00715DC0">
              <w:rPr>
                <w:webHidden/>
              </w:rPr>
              <w:fldChar w:fldCharType="separate"/>
            </w:r>
            <w:r w:rsidR="00B03444">
              <w:rPr>
                <w:webHidden/>
              </w:rPr>
              <w:t>45</w:t>
            </w:r>
            <w:r w:rsidR="00715DC0">
              <w:rPr>
                <w:webHidden/>
              </w:rPr>
              <w:fldChar w:fldCharType="end"/>
            </w:r>
          </w:hyperlink>
        </w:p>
        <w:p w:rsidR="00715DC0" w:rsidRDefault="00C31BA6">
          <w:pPr>
            <w:pStyle w:val="TOC1"/>
            <w:rPr>
              <w:rFonts w:asciiTheme="minorHAnsi" w:eastAsiaTheme="minorEastAsia" w:hAnsiTheme="minorHAnsi"/>
              <w:b w:val="0"/>
              <w:color w:val="auto"/>
              <w:sz w:val="22"/>
              <w:lang w:val="en-AU" w:eastAsia="en-AU"/>
            </w:rPr>
          </w:pPr>
          <w:hyperlink w:anchor="_Toc436037704" w:history="1">
            <w:r w:rsidR="00715DC0" w:rsidRPr="004032DE">
              <w:rPr>
                <w:rStyle w:val="Hyperlink"/>
              </w:rPr>
              <w:t>5</w:t>
            </w:r>
            <w:r w:rsidR="00715DC0">
              <w:rPr>
                <w:rFonts w:asciiTheme="minorHAnsi" w:eastAsiaTheme="minorEastAsia" w:hAnsiTheme="minorHAnsi"/>
                <w:b w:val="0"/>
                <w:color w:val="auto"/>
                <w:sz w:val="22"/>
                <w:lang w:val="en-AU" w:eastAsia="en-AU"/>
              </w:rPr>
              <w:tab/>
            </w:r>
            <w:r w:rsidR="00715DC0" w:rsidRPr="004032DE">
              <w:rPr>
                <w:rStyle w:val="Hyperlink"/>
              </w:rPr>
              <w:t>Demand, reference tariffs and incentive schemes</w:t>
            </w:r>
            <w:r w:rsidR="00715DC0">
              <w:rPr>
                <w:webHidden/>
              </w:rPr>
              <w:tab/>
            </w:r>
            <w:r w:rsidR="00715DC0">
              <w:rPr>
                <w:webHidden/>
              </w:rPr>
              <w:fldChar w:fldCharType="begin"/>
            </w:r>
            <w:r w:rsidR="00715DC0">
              <w:rPr>
                <w:webHidden/>
              </w:rPr>
              <w:instrText xml:space="preserve"> PAGEREF _Toc436037704 \h </w:instrText>
            </w:r>
            <w:r w:rsidR="00715DC0">
              <w:rPr>
                <w:webHidden/>
              </w:rPr>
            </w:r>
            <w:r w:rsidR="00715DC0">
              <w:rPr>
                <w:webHidden/>
              </w:rPr>
              <w:fldChar w:fldCharType="separate"/>
            </w:r>
            <w:r w:rsidR="00B03444">
              <w:rPr>
                <w:webHidden/>
              </w:rPr>
              <w:t>47</w:t>
            </w:r>
            <w:r w:rsidR="00715DC0">
              <w:rPr>
                <w:webHidden/>
              </w:rPr>
              <w:fldChar w:fldCharType="end"/>
            </w:r>
          </w:hyperlink>
        </w:p>
        <w:p w:rsidR="00715DC0" w:rsidRDefault="00C31BA6">
          <w:pPr>
            <w:pStyle w:val="TOC2"/>
            <w:rPr>
              <w:rFonts w:asciiTheme="minorHAnsi" w:eastAsiaTheme="minorEastAsia" w:hAnsiTheme="minorHAnsi"/>
              <w:b w:val="0"/>
              <w:color w:val="auto"/>
              <w:sz w:val="22"/>
              <w:lang w:eastAsia="en-AU"/>
            </w:rPr>
          </w:pPr>
          <w:hyperlink w:anchor="_Toc436037705" w:history="1">
            <w:r w:rsidR="00715DC0" w:rsidRPr="004032DE">
              <w:rPr>
                <w:rStyle w:val="Hyperlink"/>
              </w:rPr>
              <w:t>5.1</w:t>
            </w:r>
            <w:r w:rsidR="00715DC0">
              <w:rPr>
                <w:rFonts w:asciiTheme="minorHAnsi" w:eastAsiaTheme="minorEastAsia" w:hAnsiTheme="minorHAnsi"/>
                <w:b w:val="0"/>
                <w:color w:val="auto"/>
                <w:sz w:val="22"/>
                <w:lang w:eastAsia="en-AU"/>
              </w:rPr>
              <w:tab/>
            </w:r>
            <w:r w:rsidR="00715DC0" w:rsidRPr="004032DE">
              <w:rPr>
                <w:rStyle w:val="Hyperlink"/>
              </w:rPr>
              <w:t>Demand</w:t>
            </w:r>
            <w:r w:rsidR="00715DC0">
              <w:rPr>
                <w:webHidden/>
              </w:rPr>
              <w:tab/>
            </w:r>
            <w:r w:rsidR="00715DC0">
              <w:rPr>
                <w:webHidden/>
              </w:rPr>
              <w:fldChar w:fldCharType="begin"/>
            </w:r>
            <w:r w:rsidR="00715DC0">
              <w:rPr>
                <w:webHidden/>
              </w:rPr>
              <w:instrText xml:space="preserve"> PAGEREF _Toc436037705 \h </w:instrText>
            </w:r>
            <w:r w:rsidR="00715DC0">
              <w:rPr>
                <w:webHidden/>
              </w:rPr>
            </w:r>
            <w:r w:rsidR="00715DC0">
              <w:rPr>
                <w:webHidden/>
              </w:rPr>
              <w:fldChar w:fldCharType="separate"/>
            </w:r>
            <w:r w:rsidR="00B03444">
              <w:rPr>
                <w:webHidden/>
              </w:rPr>
              <w:t>47</w:t>
            </w:r>
            <w:r w:rsidR="00715DC0">
              <w:rPr>
                <w:webHidden/>
              </w:rPr>
              <w:fldChar w:fldCharType="end"/>
            </w:r>
          </w:hyperlink>
        </w:p>
        <w:p w:rsidR="00715DC0" w:rsidRDefault="00C31BA6">
          <w:pPr>
            <w:pStyle w:val="TOC2"/>
            <w:rPr>
              <w:rFonts w:asciiTheme="minorHAnsi" w:eastAsiaTheme="minorEastAsia" w:hAnsiTheme="minorHAnsi"/>
              <w:b w:val="0"/>
              <w:color w:val="auto"/>
              <w:sz w:val="22"/>
              <w:lang w:eastAsia="en-AU"/>
            </w:rPr>
          </w:pPr>
          <w:hyperlink w:anchor="_Toc436037706" w:history="1">
            <w:r w:rsidR="00715DC0" w:rsidRPr="004032DE">
              <w:rPr>
                <w:rStyle w:val="Hyperlink"/>
              </w:rPr>
              <w:t>5.2</w:t>
            </w:r>
            <w:r w:rsidR="00715DC0">
              <w:rPr>
                <w:rFonts w:asciiTheme="minorHAnsi" w:eastAsiaTheme="minorEastAsia" w:hAnsiTheme="minorHAnsi"/>
                <w:b w:val="0"/>
                <w:color w:val="auto"/>
                <w:sz w:val="22"/>
                <w:lang w:eastAsia="en-AU"/>
              </w:rPr>
              <w:tab/>
            </w:r>
            <w:r w:rsidR="00715DC0" w:rsidRPr="004032DE">
              <w:rPr>
                <w:rStyle w:val="Hyperlink"/>
              </w:rPr>
              <w:t>Services covered by the access arrangement</w:t>
            </w:r>
            <w:r w:rsidR="00715DC0">
              <w:rPr>
                <w:webHidden/>
              </w:rPr>
              <w:tab/>
            </w:r>
            <w:r w:rsidR="00715DC0">
              <w:rPr>
                <w:webHidden/>
              </w:rPr>
              <w:fldChar w:fldCharType="begin"/>
            </w:r>
            <w:r w:rsidR="00715DC0">
              <w:rPr>
                <w:webHidden/>
              </w:rPr>
              <w:instrText xml:space="preserve"> PAGEREF _Toc436037706 \h </w:instrText>
            </w:r>
            <w:r w:rsidR="00715DC0">
              <w:rPr>
                <w:webHidden/>
              </w:rPr>
            </w:r>
            <w:r w:rsidR="00715DC0">
              <w:rPr>
                <w:webHidden/>
              </w:rPr>
              <w:fldChar w:fldCharType="separate"/>
            </w:r>
            <w:r w:rsidR="00B03444">
              <w:rPr>
                <w:webHidden/>
              </w:rPr>
              <w:t>48</w:t>
            </w:r>
            <w:r w:rsidR="00715DC0">
              <w:rPr>
                <w:webHidden/>
              </w:rPr>
              <w:fldChar w:fldCharType="end"/>
            </w:r>
          </w:hyperlink>
        </w:p>
        <w:p w:rsidR="00715DC0" w:rsidRDefault="00C31BA6">
          <w:pPr>
            <w:pStyle w:val="TOC2"/>
            <w:rPr>
              <w:rFonts w:asciiTheme="minorHAnsi" w:eastAsiaTheme="minorEastAsia" w:hAnsiTheme="minorHAnsi"/>
              <w:b w:val="0"/>
              <w:color w:val="auto"/>
              <w:sz w:val="22"/>
              <w:lang w:eastAsia="en-AU"/>
            </w:rPr>
          </w:pPr>
          <w:hyperlink w:anchor="_Toc436037707" w:history="1">
            <w:r w:rsidR="00715DC0" w:rsidRPr="004032DE">
              <w:rPr>
                <w:rStyle w:val="Hyperlink"/>
              </w:rPr>
              <w:t>5.3</w:t>
            </w:r>
            <w:r w:rsidR="00715DC0">
              <w:rPr>
                <w:rFonts w:asciiTheme="minorHAnsi" w:eastAsiaTheme="minorEastAsia" w:hAnsiTheme="minorHAnsi"/>
                <w:b w:val="0"/>
                <w:color w:val="auto"/>
                <w:sz w:val="22"/>
                <w:lang w:eastAsia="en-AU"/>
              </w:rPr>
              <w:tab/>
            </w:r>
            <w:r w:rsidR="00715DC0" w:rsidRPr="004032DE">
              <w:rPr>
                <w:rStyle w:val="Hyperlink"/>
              </w:rPr>
              <w:t>Reference tariff setting</w:t>
            </w:r>
            <w:r w:rsidR="00715DC0">
              <w:rPr>
                <w:webHidden/>
              </w:rPr>
              <w:tab/>
            </w:r>
            <w:r w:rsidR="00715DC0">
              <w:rPr>
                <w:webHidden/>
              </w:rPr>
              <w:fldChar w:fldCharType="begin"/>
            </w:r>
            <w:r w:rsidR="00715DC0">
              <w:rPr>
                <w:webHidden/>
              </w:rPr>
              <w:instrText xml:space="preserve"> PAGEREF _Toc436037707 \h </w:instrText>
            </w:r>
            <w:r w:rsidR="00715DC0">
              <w:rPr>
                <w:webHidden/>
              </w:rPr>
            </w:r>
            <w:r w:rsidR="00715DC0">
              <w:rPr>
                <w:webHidden/>
              </w:rPr>
              <w:fldChar w:fldCharType="separate"/>
            </w:r>
            <w:r w:rsidR="00B03444">
              <w:rPr>
                <w:webHidden/>
              </w:rPr>
              <w:t>48</w:t>
            </w:r>
            <w:r w:rsidR="00715DC0">
              <w:rPr>
                <w:webHidden/>
              </w:rPr>
              <w:fldChar w:fldCharType="end"/>
            </w:r>
          </w:hyperlink>
        </w:p>
        <w:p w:rsidR="00715DC0" w:rsidRDefault="00C31BA6">
          <w:pPr>
            <w:pStyle w:val="TOC2"/>
            <w:rPr>
              <w:rFonts w:asciiTheme="minorHAnsi" w:eastAsiaTheme="minorEastAsia" w:hAnsiTheme="minorHAnsi"/>
              <w:b w:val="0"/>
              <w:color w:val="auto"/>
              <w:sz w:val="22"/>
              <w:lang w:eastAsia="en-AU"/>
            </w:rPr>
          </w:pPr>
          <w:hyperlink w:anchor="_Toc436037708" w:history="1">
            <w:r w:rsidR="00715DC0" w:rsidRPr="004032DE">
              <w:rPr>
                <w:rStyle w:val="Hyperlink"/>
              </w:rPr>
              <w:t>5.4</w:t>
            </w:r>
            <w:r w:rsidR="00715DC0">
              <w:rPr>
                <w:rFonts w:asciiTheme="minorHAnsi" w:eastAsiaTheme="minorEastAsia" w:hAnsiTheme="minorHAnsi"/>
                <w:b w:val="0"/>
                <w:color w:val="auto"/>
                <w:sz w:val="22"/>
                <w:lang w:eastAsia="en-AU"/>
              </w:rPr>
              <w:tab/>
            </w:r>
            <w:r w:rsidR="00715DC0" w:rsidRPr="004032DE">
              <w:rPr>
                <w:rStyle w:val="Hyperlink"/>
              </w:rPr>
              <w:t>Reference tariff variation mechanism</w:t>
            </w:r>
            <w:r w:rsidR="00715DC0">
              <w:rPr>
                <w:webHidden/>
              </w:rPr>
              <w:tab/>
            </w:r>
            <w:r w:rsidR="00715DC0">
              <w:rPr>
                <w:webHidden/>
              </w:rPr>
              <w:fldChar w:fldCharType="begin"/>
            </w:r>
            <w:r w:rsidR="00715DC0">
              <w:rPr>
                <w:webHidden/>
              </w:rPr>
              <w:instrText xml:space="preserve"> PAGEREF _Toc436037708 \h </w:instrText>
            </w:r>
            <w:r w:rsidR="00715DC0">
              <w:rPr>
                <w:webHidden/>
              </w:rPr>
            </w:r>
            <w:r w:rsidR="00715DC0">
              <w:rPr>
                <w:webHidden/>
              </w:rPr>
              <w:fldChar w:fldCharType="separate"/>
            </w:r>
            <w:r w:rsidR="00B03444">
              <w:rPr>
                <w:webHidden/>
              </w:rPr>
              <w:t>48</w:t>
            </w:r>
            <w:r w:rsidR="00715DC0">
              <w:rPr>
                <w:webHidden/>
              </w:rPr>
              <w:fldChar w:fldCharType="end"/>
            </w:r>
          </w:hyperlink>
        </w:p>
        <w:p w:rsidR="00715DC0" w:rsidRDefault="00C31BA6">
          <w:pPr>
            <w:pStyle w:val="TOC2"/>
            <w:rPr>
              <w:rFonts w:asciiTheme="minorHAnsi" w:eastAsiaTheme="minorEastAsia" w:hAnsiTheme="minorHAnsi"/>
              <w:b w:val="0"/>
              <w:color w:val="auto"/>
              <w:sz w:val="22"/>
              <w:lang w:eastAsia="en-AU"/>
            </w:rPr>
          </w:pPr>
          <w:hyperlink w:anchor="_Toc436037709" w:history="1">
            <w:r w:rsidR="00715DC0" w:rsidRPr="004032DE">
              <w:rPr>
                <w:rStyle w:val="Hyperlink"/>
              </w:rPr>
              <w:t>5.5</w:t>
            </w:r>
            <w:r w:rsidR="00715DC0">
              <w:rPr>
                <w:rFonts w:asciiTheme="minorHAnsi" w:eastAsiaTheme="minorEastAsia" w:hAnsiTheme="minorHAnsi"/>
                <w:b w:val="0"/>
                <w:color w:val="auto"/>
                <w:sz w:val="22"/>
                <w:lang w:eastAsia="en-AU"/>
              </w:rPr>
              <w:tab/>
            </w:r>
            <w:r w:rsidR="00715DC0" w:rsidRPr="004032DE">
              <w:rPr>
                <w:rStyle w:val="Hyperlink"/>
              </w:rPr>
              <w:t>Incentive schemes</w:t>
            </w:r>
            <w:r w:rsidR="00715DC0">
              <w:rPr>
                <w:webHidden/>
              </w:rPr>
              <w:tab/>
            </w:r>
            <w:r w:rsidR="00715DC0">
              <w:rPr>
                <w:webHidden/>
              </w:rPr>
              <w:fldChar w:fldCharType="begin"/>
            </w:r>
            <w:r w:rsidR="00715DC0">
              <w:rPr>
                <w:webHidden/>
              </w:rPr>
              <w:instrText xml:space="preserve"> PAGEREF _Toc436037709 \h </w:instrText>
            </w:r>
            <w:r w:rsidR="00715DC0">
              <w:rPr>
                <w:webHidden/>
              </w:rPr>
            </w:r>
            <w:r w:rsidR="00715DC0">
              <w:rPr>
                <w:webHidden/>
              </w:rPr>
              <w:fldChar w:fldCharType="separate"/>
            </w:r>
            <w:r w:rsidR="00B03444">
              <w:rPr>
                <w:webHidden/>
              </w:rPr>
              <w:t>49</w:t>
            </w:r>
            <w:r w:rsidR="00715DC0">
              <w:rPr>
                <w:webHidden/>
              </w:rPr>
              <w:fldChar w:fldCharType="end"/>
            </w:r>
          </w:hyperlink>
        </w:p>
        <w:p w:rsidR="00715DC0" w:rsidRDefault="00C31BA6">
          <w:pPr>
            <w:pStyle w:val="TOC1"/>
            <w:rPr>
              <w:rFonts w:asciiTheme="minorHAnsi" w:eastAsiaTheme="minorEastAsia" w:hAnsiTheme="minorHAnsi"/>
              <w:b w:val="0"/>
              <w:color w:val="auto"/>
              <w:sz w:val="22"/>
              <w:lang w:val="en-AU" w:eastAsia="en-AU"/>
            </w:rPr>
          </w:pPr>
          <w:hyperlink w:anchor="_Toc436037710" w:history="1">
            <w:r w:rsidR="00715DC0" w:rsidRPr="004032DE">
              <w:rPr>
                <w:rStyle w:val="Hyperlink"/>
              </w:rPr>
              <w:t>6</w:t>
            </w:r>
            <w:r w:rsidR="00715DC0">
              <w:rPr>
                <w:rFonts w:asciiTheme="minorHAnsi" w:eastAsiaTheme="minorEastAsia" w:hAnsiTheme="minorHAnsi"/>
                <w:b w:val="0"/>
                <w:color w:val="auto"/>
                <w:sz w:val="22"/>
                <w:lang w:val="en-AU" w:eastAsia="en-AU"/>
              </w:rPr>
              <w:tab/>
            </w:r>
            <w:r w:rsidR="00715DC0" w:rsidRPr="004032DE">
              <w:rPr>
                <w:rStyle w:val="Hyperlink"/>
              </w:rPr>
              <w:t>Non-tariff components</w:t>
            </w:r>
            <w:r w:rsidR="00715DC0">
              <w:rPr>
                <w:webHidden/>
              </w:rPr>
              <w:tab/>
            </w:r>
            <w:r w:rsidR="00715DC0">
              <w:rPr>
                <w:webHidden/>
              </w:rPr>
              <w:fldChar w:fldCharType="begin"/>
            </w:r>
            <w:r w:rsidR="00715DC0">
              <w:rPr>
                <w:webHidden/>
              </w:rPr>
              <w:instrText xml:space="preserve"> PAGEREF _Toc436037710 \h </w:instrText>
            </w:r>
            <w:r w:rsidR="00715DC0">
              <w:rPr>
                <w:webHidden/>
              </w:rPr>
            </w:r>
            <w:r w:rsidR="00715DC0">
              <w:rPr>
                <w:webHidden/>
              </w:rPr>
              <w:fldChar w:fldCharType="separate"/>
            </w:r>
            <w:r w:rsidR="00B03444">
              <w:rPr>
                <w:webHidden/>
              </w:rPr>
              <w:t>52</w:t>
            </w:r>
            <w:r w:rsidR="00715DC0">
              <w:rPr>
                <w:webHidden/>
              </w:rPr>
              <w:fldChar w:fldCharType="end"/>
            </w:r>
          </w:hyperlink>
        </w:p>
        <w:p w:rsidR="00715DC0" w:rsidRDefault="00C31BA6">
          <w:pPr>
            <w:pStyle w:val="TOC1"/>
            <w:rPr>
              <w:rFonts w:asciiTheme="minorHAnsi" w:eastAsiaTheme="minorEastAsia" w:hAnsiTheme="minorHAnsi"/>
              <w:b w:val="0"/>
              <w:color w:val="auto"/>
              <w:sz w:val="22"/>
              <w:lang w:val="en-AU" w:eastAsia="en-AU"/>
            </w:rPr>
          </w:pPr>
          <w:hyperlink w:anchor="_Toc436037711" w:history="1">
            <w:r w:rsidR="00715DC0" w:rsidRPr="004032DE">
              <w:rPr>
                <w:rStyle w:val="Hyperlink"/>
              </w:rPr>
              <w:t>7</w:t>
            </w:r>
            <w:r w:rsidR="00715DC0">
              <w:rPr>
                <w:rFonts w:asciiTheme="minorHAnsi" w:eastAsiaTheme="minorEastAsia" w:hAnsiTheme="minorHAnsi"/>
                <w:b w:val="0"/>
                <w:color w:val="auto"/>
                <w:sz w:val="22"/>
                <w:lang w:val="en-AU" w:eastAsia="en-AU"/>
              </w:rPr>
              <w:tab/>
            </w:r>
            <w:r w:rsidR="00715DC0" w:rsidRPr="004032DE">
              <w:rPr>
                <w:rStyle w:val="Hyperlink"/>
              </w:rPr>
              <w:t>Understanding the NGO</w:t>
            </w:r>
            <w:r w:rsidR="00715DC0">
              <w:rPr>
                <w:webHidden/>
              </w:rPr>
              <w:tab/>
            </w:r>
            <w:r w:rsidR="00715DC0">
              <w:rPr>
                <w:webHidden/>
              </w:rPr>
              <w:fldChar w:fldCharType="begin"/>
            </w:r>
            <w:r w:rsidR="00715DC0">
              <w:rPr>
                <w:webHidden/>
              </w:rPr>
              <w:instrText xml:space="preserve"> PAGEREF _Toc436037711 \h </w:instrText>
            </w:r>
            <w:r w:rsidR="00715DC0">
              <w:rPr>
                <w:webHidden/>
              </w:rPr>
            </w:r>
            <w:r w:rsidR="00715DC0">
              <w:rPr>
                <w:webHidden/>
              </w:rPr>
              <w:fldChar w:fldCharType="separate"/>
            </w:r>
            <w:r w:rsidR="00B03444">
              <w:rPr>
                <w:webHidden/>
              </w:rPr>
              <w:t>53</w:t>
            </w:r>
            <w:r w:rsidR="00715DC0">
              <w:rPr>
                <w:webHidden/>
              </w:rPr>
              <w:fldChar w:fldCharType="end"/>
            </w:r>
          </w:hyperlink>
        </w:p>
        <w:p w:rsidR="00715DC0" w:rsidRDefault="00C31BA6">
          <w:pPr>
            <w:pStyle w:val="TOC2"/>
            <w:rPr>
              <w:rFonts w:asciiTheme="minorHAnsi" w:eastAsiaTheme="minorEastAsia" w:hAnsiTheme="minorHAnsi"/>
              <w:b w:val="0"/>
              <w:color w:val="auto"/>
              <w:sz w:val="22"/>
              <w:lang w:eastAsia="en-AU"/>
            </w:rPr>
          </w:pPr>
          <w:hyperlink w:anchor="_Toc436037712" w:history="1">
            <w:r w:rsidR="00715DC0" w:rsidRPr="004032DE">
              <w:rPr>
                <w:rStyle w:val="Hyperlink"/>
              </w:rPr>
              <w:t>7.1</w:t>
            </w:r>
            <w:r w:rsidR="00715DC0">
              <w:rPr>
                <w:rFonts w:asciiTheme="minorHAnsi" w:eastAsiaTheme="minorEastAsia" w:hAnsiTheme="minorHAnsi"/>
                <w:b w:val="0"/>
                <w:color w:val="auto"/>
                <w:sz w:val="22"/>
                <w:lang w:eastAsia="en-AU"/>
              </w:rPr>
              <w:tab/>
            </w:r>
            <w:r w:rsidR="00715DC0" w:rsidRPr="004032DE">
              <w:rPr>
                <w:rStyle w:val="Hyperlink"/>
              </w:rPr>
              <w:t>Achieving the NGO to the greatest degree</w:t>
            </w:r>
            <w:r w:rsidR="00715DC0">
              <w:rPr>
                <w:webHidden/>
              </w:rPr>
              <w:tab/>
            </w:r>
            <w:r w:rsidR="00715DC0">
              <w:rPr>
                <w:webHidden/>
              </w:rPr>
              <w:fldChar w:fldCharType="begin"/>
            </w:r>
            <w:r w:rsidR="00715DC0">
              <w:rPr>
                <w:webHidden/>
              </w:rPr>
              <w:instrText xml:space="preserve"> PAGEREF _Toc436037712 \h </w:instrText>
            </w:r>
            <w:r w:rsidR="00715DC0">
              <w:rPr>
                <w:webHidden/>
              </w:rPr>
            </w:r>
            <w:r w:rsidR="00715DC0">
              <w:rPr>
                <w:webHidden/>
              </w:rPr>
              <w:fldChar w:fldCharType="separate"/>
            </w:r>
            <w:r w:rsidR="00B03444">
              <w:rPr>
                <w:webHidden/>
              </w:rPr>
              <w:t>56</w:t>
            </w:r>
            <w:r w:rsidR="00715DC0">
              <w:rPr>
                <w:webHidden/>
              </w:rPr>
              <w:fldChar w:fldCharType="end"/>
            </w:r>
          </w:hyperlink>
        </w:p>
        <w:p w:rsidR="00715DC0" w:rsidRDefault="00C31BA6">
          <w:pPr>
            <w:pStyle w:val="TOC3"/>
            <w:rPr>
              <w:rFonts w:asciiTheme="minorHAnsi" w:eastAsiaTheme="minorEastAsia" w:hAnsiTheme="minorHAnsi"/>
              <w:lang w:eastAsia="en-AU"/>
            </w:rPr>
          </w:pPr>
          <w:hyperlink w:anchor="_Toc436037713" w:history="1">
            <w:r w:rsidR="00715DC0" w:rsidRPr="004032DE">
              <w:rPr>
                <w:rStyle w:val="Hyperlink"/>
              </w:rPr>
              <w:t>7.1.1</w:t>
            </w:r>
            <w:r w:rsidR="00715DC0">
              <w:rPr>
                <w:rFonts w:asciiTheme="minorHAnsi" w:eastAsiaTheme="minorEastAsia" w:hAnsiTheme="minorHAnsi"/>
                <w:lang w:eastAsia="en-AU"/>
              </w:rPr>
              <w:tab/>
            </w:r>
            <w:r w:rsidR="00715DC0" w:rsidRPr="004032DE">
              <w:rPr>
                <w:rStyle w:val="Hyperlink"/>
              </w:rPr>
              <w:t>Interrelationships between individual components</w:t>
            </w:r>
            <w:r w:rsidR="00715DC0">
              <w:rPr>
                <w:webHidden/>
              </w:rPr>
              <w:tab/>
            </w:r>
            <w:r w:rsidR="00715DC0">
              <w:rPr>
                <w:webHidden/>
              </w:rPr>
              <w:fldChar w:fldCharType="begin"/>
            </w:r>
            <w:r w:rsidR="00715DC0">
              <w:rPr>
                <w:webHidden/>
              </w:rPr>
              <w:instrText xml:space="preserve"> PAGEREF _Toc436037713 \h </w:instrText>
            </w:r>
            <w:r w:rsidR="00715DC0">
              <w:rPr>
                <w:webHidden/>
              </w:rPr>
            </w:r>
            <w:r w:rsidR="00715DC0">
              <w:rPr>
                <w:webHidden/>
              </w:rPr>
              <w:fldChar w:fldCharType="separate"/>
            </w:r>
            <w:r w:rsidR="00B03444">
              <w:rPr>
                <w:webHidden/>
              </w:rPr>
              <w:t>57</w:t>
            </w:r>
            <w:r w:rsidR="00715DC0">
              <w:rPr>
                <w:webHidden/>
              </w:rPr>
              <w:fldChar w:fldCharType="end"/>
            </w:r>
          </w:hyperlink>
        </w:p>
        <w:p w:rsidR="00715DC0" w:rsidRDefault="00C31BA6">
          <w:pPr>
            <w:pStyle w:val="TOC1"/>
            <w:rPr>
              <w:rFonts w:asciiTheme="minorHAnsi" w:eastAsiaTheme="minorEastAsia" w:hAnsiTheme="minorHAnsi"/>
              <w:b w:val="0"/>
              <w:color w:val="auto"/>
              <w:sz w:val="22"/>
              <w:lang w:val="en-AU" w:eastAsia="en-AU"/>
            </w:rPr>
          </w:pPr>
          <w:hyperlink w:anchor="_Toc436037714" w:history="1">
            <w:r w:rsidR="00715DC0" w:rsidRPr="004032DE">
              <w:rPr>
                <w:rStyle w:val="Hyperlink"/>
              </w:rPr>
              <w:t>8</w:t>
            </w:r>
            <w:r w:rsidR="00715DC0">
              <w:rPr>
                <w:rFonts w:asciiTheme="minorHAnsi" w:eastAsiaTheme="minorEastAsia" w:hAnsiTheme="minorHAnsi"/>
                <w:b w:val="0"/>
                <w:color w:val="auto"/>
                <w:sz w:val="22"/>
                <w:lang w:val="en-AU" w:eastAsia="en-AU"/>
              </w:rPr>
              <w:tab/>
            </w:r>
            <w:r w:rsidR="00715DC0" w:rsidRPr="004032DE">
              <w:rPr>
                <w:rStyle w:val="Hyperlink"/>
              </w:rPr>
              <w:t>Consultation</w:t>
            </w:r>
            <w:r w:rsidR="00715DC0">
              <w:rPr>
                <w:webHidden/>
              </w:rPr>
              <w:tab/>
            </w:r>
            <w:r w:rsidR="00715DC0">
              <w:rPr>
                <w:webHidden/>
              </w:rPr>
              <w:fldChar w:fldCharType="begin"/>
            </w:r>
            <w:r w:rsidR="00715DC0">
              <w:rPr>
                <w:webHidden/>
              </w:rPr>
              <w:instrText xml:space="preserve"> PAGEREF _Toc436037714 \h </w:instrText>
            </w:r>
            <w:r w:rsidR="00715DC0">
              <w:rPr>
                <w:webHidden/>
              </w:rPr>
            </w:r>
            <w:r w:rsidR="00715DC0">
              <w:rPr>
                <w:webHidden/>
              </w:rPr>
              <w:fldChar w:fldCharType="separate"/>
            </w:r>
            <w:r w:rsidR="00B03444">
              <w:rPr>
                <w:webHidden/>
              </w:rPr>
              <w:t>59</w:t>
            </w:r>
            <w:r w:rsidR="00715DC0">
              <w:rPr>
                <w:webHidden/>
              </w:rPr>
              <w:fldChar w:fldCharType="end"/>
            </w:r>
          </w:hyperlink>
        </w:p>
        <w:p w:rsidR="00DE563D" w:rsidRDefault="00032619" w:rsidP="00032619">
          <w:pPr>
            <w:pStyle w:val="TOC1"/>
          </w:pPr>
          <w:r>
            <w:rPr>
              <w:color w:val="auto"/>
              <w:sz w:val="22"/>
            </w:rPr>
            <w:fldChar w:fldCharType="end"/>
          </w:r>
        </w:p>
      </w:sdtContent>
    </w:sdt>
    <w:p w:rsidR="00DE563D" w:rsidRDefault="00C84560">
      <w:pPr>
        <w:spacing w:line="240" w:lineRule="auto"/>
      </w:pPr>
      <w:r>
        <w:t xml:space="preserve"> </w:t>
      </w:r>
    </w:p>
    <w:p w:rsidR="00A93392" w:rsidRDefault="00DE563D" w:rsidP="00DE772C">
      <w:pPr>
        <w:pStyle w:val="UnnumberedHeading"/>
        <w:numPr>
          <w:ilvl w:val="0"/>
          <w:numId w:val="23"/>
        </w:numPr>
      </w:pPr>
      <w:bookmarkStart w:id="10" w:name="_Toc404700925"/>
      <w:bookmarkStart w:id="11" w:name="_Toc436037679"/>
      <w:r>
        <w:t>Shortened forms</w:t>
      </w:r>
      <w:bookmarkEnd w:id="10"/>
      <w:bookmarkEnd w:id="11"/>
    </w:p>
    <w:tbl>
      <w:tblPr>
        <w:tblStyle w:val="AERtable-numbers"/>
        <w:tblW w:w="0" w:type="auto"/>
        <w:tblLook w:val="04A0" w:firstRow="1" w:lastRow="0" w:firstColumn="1" w:lastColumn="0" w:noHBand="0" w:noVBand="1"/>
      </w:tblPr>
      <w:tblGrid>
        <w:gridCol w:w="3652"/>
        <w:gridCol w:w="5041"/>
      </w:tblGrid>
      <w:tr w:rsidR="00A93392" w:rsidTr="0022267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A93392" w:rsidRDefault="00A93392" w:rsidP="00A93392">
            <w:pPr>
              <w:numPr>
                <w:ilvl w:val="0"/>
                <w:numId w:val="24"/>
              </w:numPr>
            </w:pPr>
            <w:r>
              <w:t>Shortened form</w:t>
            </w:r>
          </w:p>
        </w:tc>
        <w:tc>
          <w:tcPr>
            <w:tcW w:w="5041" w:type="dxa"/>
          </w:tcPr>
          <w:p w:rsidR="00A93392" w:rsidRDefault="00A93392" w:rsidP="00A93392">
            <w:pPr>
              <w:numPr>
                <w:ilvl w:val="0"/>
                <w:numId w:val="24"/>
              </w:numPr>
              <w:cnfStyle w:val="100000000000" w:firstRow="1" w:lastRow="0" w:firstColumn="0" w:lastColumn="0" w:oddVBand="0" w:evenVBand="0" w:oddHBand="0" w:evenHBand="0" w:firstRowFirstColumn="0" w:firstRowLastColumn="0" w:lastRowFirstColumn="0" w:lastRowLastColumn="0"/>
            </w:pPr>
            <w:r>
              <w:t>Extended form</w:t>
            </w:r>
          </w:p>
        </w:tc>
      </w:tr>
      <w:tr w:rsidR="00A93392" w:rsidTr="00222675">
        <w:tc>
          <w:tcPr>
            <w:cnfStyle w:val="001000000000" w:firstRow="0" w:lastRow="0" w:firstColumn="1" w:lastColumn="0" w:oddVBand="0" w:evenVBand="0" w:oddHBand="0" w:evenHBand="0" w:firstRowFirstColumn="0" w:firstRowLastColumn="0" w:lastRowFirstColumn="0" w:lastRowLastColumn="0"/>
            <w:tcW w:w="3652" w:type="dxa"/>
          </w:tcPr>
          <w:p w:rsidR="00A93392" w:rsidRDefault="00A93392" w:rsidP="00A93392">
            <w:pPr>
              <w:numPr>
                <w:ilvl w:val="0"/>
                <w:numId w:val="24"/>
              </w:numPr>
            </w:pPr>
            <w:r>
              <w:t>AA</w:t>
            </w:r>
          </w:p>
        </w:tc>
        <w:tc>
          <w:tcPr>
            <w:tcW w:w="5041" w:type="dxa"/>
          </w:tcPr>
          <w:p w:rsidR="00A93392" w:rsidRDefault="00A93392" w:rsidP="00222675">
            <w:pPr>
              <w:cnfStyle w:val="000000000000" w:firstRow="0" w:lastRow="0" w:firstColumn="0" w:lastColumn="0" w:oddVBand="0" w:evenVBand="0" w:oddHBand="0" w:evenHBand="0" w:firstRowFirstColumn="0" w:firstRowLastColumn="0" w:lastRowFirstColumn="0" w:lastRowLastColumn="0"/>
            </w:pPr>
            <w:r>
              <w:t>Access Arrangement</w:t>
            </w:r>
          </w:p>
        </w:tc>
      </w:tr>
      <w:tr w:rsidR="00A93392" w:rsidTr="002226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93392" w:rsidRDefault="00A93392" w:rsidP="00A93392">
            <w:pPr>
              <w:numPr>
                <w:ilvl w:val="0"/>
                <w:numId w:val="24"/>
              </w:numPr>
            </w:pPr>
            <w:r>
              <w:t>AAI</w:t>
            </w:r>
          </w:p>
        </w:tc>
        <w:tc>
          <w:tcPr>
            <w:tcW w:w="5041" w:type="dxa"/>
          </w:tcPr>
          <w:p w:rsidR="00A93392" w:rsidRDefault="00A93392" w:rsidP="00222675">
            <w:pPr>
              <w:cnfStyle w:val="000000010000" w:firstRow="0" w:lastRow="0" w:firstColumn="0" w:lastColumn="0" w:oddVBand="0" w:evenVBand="0" w:oddHBand="0" w:evenHBand="1" w:firstRowFirstColumn="0" w:firstRowLastColumn="0" w:lastRowFirstColumn="0" w:lastRowLastColumn="0"/>
            </w:pPr>
            <w:r>
              <w:t>Access Arrangement Information</w:t>
            </w:r>
          </w:p>
        </w:tc>
      </w:tr>
      <w:tr w:rsidR="00A93392" w:rsidTr="00222675">
        <w:tc>
          <w:tcPr>
            <w:cnfStyle w:val="001000000000" w:firstRow="0" w:lastRow="0" w:firstColumn="1" w:lastColumn="0" w:oddVBand="0" w:evenVBand="0" w:oddHBand="0" w:evenHBand="0" w:firstRowFirstColumn="0" w:firstRowLastColumn="0" w:lastRowFirstColumn="0" w:lastRowLastColumn="0"/>
            <w:tcW w:w="3652" w:type="dxa"/>
          </w:tcPr>
          <w:p w:rsidR="00A93392" w:rsidRDefault="00A93392" w:rsidP="00A93392">
            <w:pPr>
              <w:numPr>
                <w:ilvl w:val="0"/>
                <w:numId w:val="24"/>
              </w:numPr>
            </w:pPr>
            <w:r>
              <w:t>AER</w:t>
            </w:r>
          </w:p>
        </w:tc>
        <w:tc>
          <w:tcPr>
            <w:tcW w:w="5041" w:type="dxa"/>
          </w:tcPr>
          <w:p w:rsidR="00A93392" w:rsidRDefault="00A93392" w:rsidP="00A93392">
            <w:pPr>
              <w:numPr>
                <w:ilvl w:val="0"/>
                <w:numId w:val="24"/>
              </w:numPr>
              <w:cnfStyle w:val="000000000000" w:firstRow="0" w:lastRow="0" w:firstColumn="0" w:lastColumn="0" w:oddVBand="0" w:evenVBand="0" w:oddHBand="0" w:evenHBand="0" w:firstRowFirstColumn="0" w:firstRowLastColumn="0" w:lastRowFirstColumn="0" w:lastRowLastColumn="0"/>
            </w:pPr>
            <w:r>
              <w:t>Australian Energy Regulator</w:t>
            </w:r>
          </w:p>
        </w:tc>
      </w:tr>
      <w:tr w:rsidR="00A93392" w:rsidTr="002226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93392" w:rsidRDefault="00A93392" w:rsidP="00A93392">
            <w:pPr>
              <w:numPr>
                <w:ilvl w:val="0"/>
                <w:numId w:val="24"/>
              </w:numPr>
            </w:pPr>
            <w:r>
              <w:t>ATO</w:t>
            </w:r>
          </w:p>
        </w:tc>
        <w:tc>
          <w:tcPr>
            <w:tcW w:w="5041" w:type="dxa"/>
          </w:tcPr>
          <w:p w:rsidR="00A93392" w:rsidRDefault="00A93392" w:rsidP="00222675">
            <w:pPr>
              <w:cnfStyle w:val="000000010000" w:firstRow="0" w:lastRow="0" w:firstColumn="0" w:lastColumn="0" w:oddVBand="0" w:evenVBand="0" w:oddHBand="0" w:evenHBand="1" w:firstRowFirstColumn="0" w:firstRowLastColumn="0" w:lastRowFirstColumn="0" w:lastRowLastColumn="0"/>
            </w:pPr>
            <w:r>
              <w:t>Australian Tax Office</w:t>
            </w:r>
          </w:p>
        </w:tc>
      </w:tr>
      <w:tr w:rsidR="00A93392" w:rsidTr="00222675">
        <w:tc>
          <w:tcPr>
            <w:cnfStyle w:val="001000000000" w:firstRow="0" w:lastRow="0" w:firstColumn="1" w:lastColumn="0" w:oddVBand="0" w:evenVBand="0" w:oddHBand="0" w:evenHBand="0" w:firstRowFirstColumn="0" w:firstRowLastColumn="0" w:lastRowFirstColumn="0" w:lastRowLastColumn="0"/>
            <w:tcW w:w="3652" w:type="dxa"/>
          </w:tcPr>
          <w:p w:rsidR="00A93392" w:rsidRDefault="00A93392" w:rsidP="00A93392">
            <w:pPr>
              <w:numPr>
                <w:ilvl w:val="0"/>
                <w:numId w:val="24"/>
              </w:numPr>
            </w:pPr>
            <w:r>
              <w:t>capex</w:t>
            </w:r>
          </w:p>
        </w:tc>
        <w:tc>
          <w:tcPr>
            <w:tcW w:w="5041" w:type="dxa"/>
          </w:tcPr>
          <w:p w:rsidR="00A93392" w:rsidRDefault="00A93392" w:rsidP="00A93392">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w:t>
            </w:r>
          </w:p>
        </w:tc>
      </w:tr>
      <w:tr w:rsidR="00A93392" w:rsidTr="002226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93392" w:rsidRDefault="00A93392" w:rsidP="00A93392">
            <w:pPr>
              <w:numPr>
                <w:ilvl w:val="0"/>
                <w:numId w:val="24"/>
              </w:numPr>
            </w:pPr>
            <w:r>
              <w:t>CAPM</w:t>
            </w:r>
          </w:p>
        </w:tc>
        <w:tc>
          <w:tcPr>
            <w:tcW w:w="5041" w:type="dxa"/>
          </w:tcPr>
          <w:p w:rsidR="00A93392" w:rsidRDefault="00A93392" w:rsidP="00A93392">
            <w:pPr>
              <w:numPr>
                <w:ilvl w:val="0"/>
                <w:numId w:val="24"/>
              </w:numPr>
              <w:cnfStyle w:val="000000010000" w:firstRow="0" w:lastRow="0" w:firstColumn="0" w:lastColumn="0" w:oddVBand="0" w:evenVBand="0" w:oddHBand="0" w:evenHBand="1" w:firstRowFirstColumn="0" w:firstRowLastColumn="0" w:lastRowFirstColumn="0" w:lastRowLastColumn="0"/>
            </w:pPr>
            <w:r>
              <w:t>capital asset pricing model</w:t>
            </w:r>
          </w:p>
        </w:tc>
      </w:tr>
      <w:tr w:rsidR="00A93392" w:rsidTr="00222675">
        <w:tc>
          <w:tcPr>
            <w:cnfStyle w:val="001000000000" w:firstRow="0" w:lastRow="0" w:firstColumn="1" w:lastColumn="0" w:oddVBand="0" w:evenVBand="0" w:oddHBand="0" w:evenHBand="0" w:firstRowFirstColumn="0" w:firstRowLastColumn="0" w:lastRowFirstColumn="0" w:lastRowLastColumn="0"/>
            <w:tcW w:w="3652" w:type="dxa"/>
          </w:tcPr>
          <w:p w:rsidR="00A93392" w:rsidRDefault="00A93392" w:rsidP="00A93392">
            <w:pPr>
              <w:numPr>
                <w:ilvl w:val="0"/>
                <w:numId w:val="24"/>
              </w:numPr>
            </w:pPr>
            <w:r>
              <w:t>CCP</w:t>
            </w:r>
          </w:p>
        </w:tc>
        <w:tc>
          <w:tcPr>
            <w:tcW w:w="5041" w:type="dxa"/>
          </w:tcPr>
          <w:p w:rsidR="00A93392" w:rsidRDefault="00A93392" w:rsidP="00A93392">
            <w:pPr>
              <w:numPr>
                <w:ilvl w:val="0"/>
                <w:numId w:val="24"/>
              </w:numPr>
              <w:cnfStyle w:val="000000000000" w:firstRow="0" w:lastRow="0" w:firstColumn="0" w:lastColumn="0" w:oddVBand="0" w:evenVBand="0" w:oddHBand="0" w:evenHBand="0" w:firstRowFirstColumn="0" w:firstRowLastColumn="0" w:lastRowFirstColumn="0" w:lastRowLastColumn="0"/>
            </w:pPr>
            <w:r>
              <w:t>Consumer Challenge Panel</w:t>
            </w:r>
          </w:p>
        </w:tc>
      </w:tr>
      <w:tr w:rsidR="00A93392" w:rsidTr="002226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93392" w:rsidRDefault="00A93392" w:rsidP="00A93392">
            <w:pPr>
              <w:numPr>
                <w:ilvl w:val="0"/>
                <w:numId w:val="24"/>
              </w:numPr>
            </w:pPr>
            <w:r>
              <w:t>CESS</w:t>
            </w:r>
          </w:p>
        </w:tc>
        <w:tc>
          <w:tcPr>
            <w:tcW w:w="5041" w:type="dxa"/>
          </w:tcPr>
          <w:p w:rsidR="00A93392" w:rsidRDefault="00A93392" w:rsidP="00A93392">
            <w:pPr>
              <w:numPr>
                <w:ilvl w:val="0"/>
                <w:numId w:val="24"/>
              </w:numPr>
              <w:cnfStyle w:val="000000010000" w:firstRow="0" w:lastRow="0" w:firstColumn="0" w:lastColumn="0" w:oddVBand="0" w:evenVBand="0" w:oddHBand="0" w:evenHBand="1" w:firstRowFirstColumn="0" w:firstRowLastColumn="0" w:lastRowFirstColumn="0" w:lastRowLastColumn="0"/>
            </w:pPr>
            <w:r>
              <w:t>Capital Expenditure Sharing Scheme</w:t>
            </w:r>
          </w:p>
        </w:tc>
      </w:tr>
      <w:tr w:rsidR="00A93392" w:rsidTr="00222675">
        <w:tc>
          <w:tcPr>
            <w:cnfStyle w:val="001000000000" w:firstRow="0" w:lastRow="0" w:firstColumn="1" w:lastColumn="0" w:oddVBand="0" w:evenVBand="0" w:oddHBand="0" w:evenHBand="0" w:firstRowFirstColumn="0" w:firstRowLastColumn="0" w:lastRowFirstColumn="0" w:lastRowLastColumn="0"/>
            <w:tcW w:w="3652" w:type="dxa"/>
          </w:tcPr>
          <w:p w:rsidR="00A93392" w:rsidRDefault="00A93392" w:rsidP="00A93392">
            <w:pPr>
              <w:numPr>
                <w:ilvl w:val="0"/>
                <w:numId w:val="24"/>
              </w:numPr>
            </w:pPr>
            <w:r>
              <w:t>CPI</w:t>
            </w:r>
          </w:p>
        </w:tc>
        <w:tc>
          <w:tcPr>
            <w:tcW w:w="5041" w:type="dxa"/>
          </w:tcPr>
          <w:p w:rsidR="00A93392" w:rsidRDefault="00A93392" w:rsidP="00A93392">
            <w:pPr>
              <w:numPr>
                <w:ilvl w:val="0"/>
                <w:numId w:val="24"/>
              </w:numPr>
              <w:cnfStyle w:val="000000000000" w:firstRow="0" w:lastRow="0" w:firstColumn="0" w:lastColumn="0" w:oddVBand="0" w:evenVBand="0" w:oddHBand="0" w:evenHBand="0" w:firstRowFirstColumn="0" w:firstRowLastColumn="0" w:lastRowFirstColumn="0" w:lastRowLastColumn="0"/>
            </w:pPr>
            <w:r>
              <w:t>consumer price index</w:t>
            </w:r>
          </w:p>
        </w:tc>
      </w:tr>
      <w:tr w:rsidR="00A93392" w:rsidTr="002226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93392" w:rsidRDefault="00A93392" w:rsidP="00A93392">
            <w:pPr>
              <w:numPr>
                <w:ilvl w:val="0"/>
                <w:numId w:val="24"/>
              </w:numPr>
            </w:pPr>
            <w:r>
              <w:t>CSIS</w:t>
            </w:r>
          </w:p>
        </w:tc>
        <w:tc>
          <w:tcPr>
            <w:tcW w:w="5041" w:type="dxa"/>
          </w:tcPr>
          <w:p w:rsidR="00A93392" w:rsidRDefault="00A93392" w:rsidP="00222675">
            <w:pPr>
              <w:cnfStyle w:val="000000010000" w:firstRow="0" w:lastRow="0" w:firstColumn="0" w:lastColumn="0" w:oddVBand="0" w:evenVBand="0" w:oddHBand="0" w:evenHBand="1" w:firstRowFirstColumn="0" w:firstRowLastColumn="0" w:lastRowFirstColumn="0" w:lastRowLastColumn="0"/>
            </w:pPr>
            <w:r>
              <w:t>Customer Service Incentive Scheme</w:t>
            </w:r>
          </w:p>
        </w:tc>
      </w:tr>
      <w:tr w:rsidR="00A93392" w:rsidTr="00222675">
        <w:tc>
          <w:tcPr>
            <w:cnfStyle w:val="001000000000" w:firstRow="0" w:lastRow="0" w:firstColumn="1" w:lastColumn="0" w:oddVBand="0" w:evenVBand="0" w:oddHBand="0" w:evenHBand="0" w:firstRowFirstColumn="0" w:firstRowLastColumn="0" w:lastRowFirstColumn="0" w:lastRowLastColumn="0"/>
            <w:tcW w:w="3652" w:type="dxa"/>
          </w:tcPr>
          <w:p w:rsidR="00A93392" w:rsidRDefault="00A93392" w:rsidP="00A93392">
            <w:pPr>
              <w:numPr>
                <w:ilvl w:val="0"/>
                <w:numId w:val="24"/>
              </w:numPr>
            </w:pPr>
            <w:r>
              <w:t>DRP</w:t>
            </w:r>
          </w:p>
        </w:tc>
        <w:tc>
          <w:tcPr>
            <w:tcW w:w="5041" w:type="dxa"/>
          </w:tcPr>
          <w:p w:rsidR="00A93392" w:rsidRDefault="00A93392" w:rsidP="00A93392">
            <w:pPr>
              <w:numPr>
                <w:ilvl w:val="0"/>
                <w:numId w:val="24"/>
              </w:numPr>
              <w:cnfStyle w:val="000000000000" w:firstRow="0" w:lastRow="0" w:firstColumn="0" w:lastColumn="0" w:oddVBand="0" w:evenVBand="0" w:oddHBand="0" w:evenHBand="0" w:firstRowFirstColumn="0" w:firstRowLastColumn="0" w:lastRowFirstColumn="0" w:lastRowLastColumn="0"/>
            </w:pPr>
            <w:r>
              <w:t>debt risk premium</w:t>
            </w:r>
          </w:p>
        </w:tc>
      </w:tr>
      <w:tr w:rsidR="00A93392" w:rsidTr="002226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93392" w:rsidRDefault="00A93392" w:rsidP="00A93392">
            <w:pPr>
              <w:numPr>
                <w:ilvl w:val="0"/>
                <w:numId w:val="24"/>
              </w:numPr>
            </w:pPr>
            <w:r>
              <w:t>EBSS</w:t>
            </w:r>
          </w:p>
        </w:tc>
        <w:tc>
          <w:tcPr>
            <w:tcW w:w="5041" w:type="dxa"/>
          </w:tcPr>
          <w:p w:rsidR="00A93392" w:rsidRDefault="00A93392" w:rsidP="00222675">
            <w:pPr>
              <w:cnfStyle w:val="000000010000" w:firstRow="0" w:lastRow="0" w:firstColumn="0" w:lastColumn="0" w:oddVBand="0" w:evenVBand="0" w:oddHBand="0" w:evenHBand="1" w:firstRowFirstColumn="0" w:firstRowLastColumn="0" w:lastRowFirstColumn="0" w:lastRowLastColumn="0"/>
            </w:pPr>
            <w:r>
              <w:t>Efficiency Benefit Sharing Scheme</w:t>
            </w:r>
          </w:p>
        </w:tc>
      </w:tr>
      <w:tr w:rsidR="00A93392" w:rsidTr="00222675">
        <w:tc>
          <w:tcPr>
            <w:cnfStyle w:val="001000000000" w:firstRow="0" w:lastRow="0" w:firstColumn="1" w:lastColumn="0" w:oddVBand="0" w:evenVBand="0" w:oddHBand="0" w:evenHBand="0" w:firstRowFirstColumn="0" w:firstRowLastColumn="0" w:lastRowFirstColumn="0" w:lastRowLastColumn="0"/>
            <w:tcW w:w="3652" w:type="dxa"/>
          </w:tcPr>
          <w:p w:rsidR="00A93392" w:rsidRDefault="00A93392" w:rsidP="00A93392">
            <w:pPr>
              <w:numPr>
                <w:ilvl w:val="0"/>
                <w:numId w:val="24"/>
              </w:numPr>
            </w:pPr>
            <w:r>
              <w:t>ERP</w:t>
            </w:r>
          </w:p>
        </w:tc>
        <w:tc>
          <w:tcPr>
            <w:tcW w:w="5041" w:type="dxa"/>
          </w:tcPr>
          <w:p w:rsidR="00A93392" w:rsidRDefault="00A93392" w:rsidP="00A93392">
            <w:pPr>
              <w:numPr>
                <w:ilvl w:val="0"/>
                <w:numId w:val="24"/>
              </w:numPr>
              <w:cnfStyle w:val="000000000000" w:firstRow="0" w:lastRow="0" w:firstColumn="0" w:lastColumn="0" w:oddVBand="0" w:evenVBand="0" w:oddHBand="0" w:evenHBand="0" w:firstRowFirstColumn="0" w:firstRowLastColumn="0" w:lastRowFirstColumn="0" w:lastRowLastColumn="0"/>
            </w:pPr>
            <w:r>
              <w:t>equity risk premium</w:t>
            </w:r>
          </w:p>
        </w:tc>
      </w:tr>
      <w:tr w:rsidR="00A93392" w:rsidTr="002226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93392" w:rsidRDefault="00A93392" w:rsidP="00A93392">
            <w:pPr>
              <w:numPr>
                <w:ilvl w:val="0"/>
                <w:numId w:val="24"/>
              </w:numPr>
            </w:pPr>
            <w:r>
              <w:t>Expenditure Guideline</w:t>
            </w:r>
          </w:p>
        </w:tc>
        <w:tc>
          <w:tcPr>
            <w:tcW w:w="5041" w:type="dxa"/>
          </w:tcPr>
          <w:p w:rsidR="00A93392" w:rsidRDefault="00A93392" w:rsidP="00222675">
            <w:pPr>
              <w:cnfStyle w:val="000000010000" w:firstRow="0" w:lastRow="0" w:firstColumn="0" w:lastColumn="0" w:oddVBand="0" w:evenVBand="0" w:oddHBand="0" w:evenHBand="1" w:firstRowFirstColumn="0" w:firstRowLastColumn="0" w:lastRowFirstColumn="0" w:lastRowLastColumn="0"/>
            </w:pPr>
            <w:r>
              <w:t>Expenditure Forecast Assessment Guideline</w:t>
            </w:r>
          </w:p>
        </w:tc>
      </w:tr>
      <w:tr w:rsidR="00A93392" w:rsidTr="00222675">
        <w:tc>
          <w:tcPr>
            <w:cnfStyle w:val="001000000000" w:firstRow="0" w:lastRow="0" w:firstColumn="1" w:lastColumn="0" w:oddVBand="0" w:evenVBand="0" w:oddHBand="0" w:evenHBand="0" w:firstRowFirstColumn="0" w:firstRowLastColumn="0" w:lastRowFirstColumn="0" w:lastRowLastColumn="0"/>
            <w:tcW w:w="3652" w:type="dxa"/>
          </w:tcPr>
          <w:p w:rsidR="00A93392" w:rsidRDefault="00A93392" w:rsidP="00A93392">
            <w:pPr>
              <w:numPr>
                <w:ilvl w:val="0"/>
                <w:numId w:val="24"/>
              </w:numPr>
            </w:pPr>
            <w:r>
              <w:t>gamma</w:t>
            </w:r>
          </w:p>
        </w:tc>
        <w:tc>
          <w:tcPr>
            <w:tcW w:w="5041" w:type="dxa"/>
          </w:tcPr>
          <w:p w:rsidR="00A93392" w:rsidRDefault="00A93392" w:rsidP="00222675">
            <w:pPr>
              <w:cnfStyle w:val="000000000000" w:firstRow="0" w:lastRow="0" w:firstColumn="0" w:lastColumn="0" w:oddVBand="0" w:evenVBand="0" w:oddHBand="0" w:evenHBand="0" w:firstRowFirstColumn="0" w:firstRowLastColumn="0" w:lastRowFirstColumn="0" w:lastRowLastColumn="0"/>
            </w:pPr>
            <w:r>
              <w:t>Value of Imputation Credits</w:t>
            </w:r>
          </w:p>
        </w:tc>
      </w:tr>
      <w:tr w:rsidR="00A93392" w:rsidTr="002226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93392" w:rsidRDefault="00A93392" w:rsidP="00A93392">
            <w:pPr>
              <w:numPr>
                <w:ilvl w:val="0"/>
                <w:numId w:val="24"/>
              </w:numPr>
            </w:pPr>
            <w:r>
              <w:t>GSL</w:t>
            </w:r>
          </w:p>
        </w:tc>
        <w:tc>
          <w:tcPr>
            <w:tcW w:w="5041" w:type="dxa"/>
          </w:tcPr>
          <w:p w:rsidR="00A93392" w:rsidRDefault="00A93392" w:rsidP="00222675">
            <w:pPr>
              <w:cnfStyle w:val="000000010000" w:firstRow="0" w:lastRow="0" w:firstColumn="0" w:lastColumn="0" w:oddVBand="0" w:evenVBand="0" w:oddHBand="0" w:evenHBand="1" w:firstRowFirstColumn="0" w:firstRowLastColumn="0" w:lastRowFirstColumn="0" w:lastRowLastColumn="0"/>
            </w:pPr>
            <w:r>
              <w:t>Guaranteed Service Level</w:t>
            </w:r>
          </w:p>
        </w:tc>
      </w:tr>
      <w:tr w:rsidR="00A93392" w:rsidTr="00222675">
        <w:tc>
          <w:tcPr>
            <w:cnfStyle w:val="001000000000" w:firstRow="0" w:lastRow="0" w:firstColumn="1" w:lastColumn="0" w:oddVBand="0" w:evenVBand="0" w:oddHBand="0" w:evenHBand="0" w:firstRowFirstColumn="0" w:firstRowLastColumn="0" w:lastRowFirstColumn="0" w:lastRowLastColumn="0"/>
            <w:tcW w:w="3652" w:type="dxa"/>
          </w:tcPr>
          <w:p w:rsidR="00A93392" w:rsidRDefault="00A93392" w:rsidP="00A93392">
            <w:pPr>
              <w:numPr>
                <w:ilvl w:val="0"/>
                <w:numId w:val="24"/>
              </w:numPr>
            </w:pPr>
            <w:r>
              <w:t>MRP</w:t>
            </w:r>
          </w:p>
        </w:tc>
        <w:tc>
          <w:tcPr>
            <w:tcW w:w="5041" w:type="dxa"/>
          </w:tcPr>
          <w:p w:rsidR="00A93392" w:rsidRDefault="00A93392" w:rsidP="00A93392">
            <w:pPr>
              <w:numPr>
                <w:ilvl w:val="0"/>
                <w:numId w:val="24"/>
              </w:numPr>
              <w:cnfStyle w:val="000000000000" w:firstRow="0" w:lastRow="0" w:firstColumn="0" w:lastColumn="0" w:oddVBand="0" w:evenVBand="0" w:oddHBand="0" w:evenHBand="0" w:firstRowFirstColumn="0" w:firstRowLastColumn="0" w:lastRowFirstColumn="0" w:lastRowLastColumn="0"/>
            </w:pPr>
            <w:r>
              <w:t>market risk premium</w:t>
            </w:r>
          </w:p>
        </w:tc>
      </w:tr>
      <w:tr w:rsidR="00A93392" w:rsidTr="002226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93392" w:rsidRDefault="00A93392" w:rsidP="00A93392">
            <w:pPr>
              <w:numPr>
                <w:ilvl w:val="0"/>
                <w:numId w:val="24"/>
              </w:numPr>
            </w:pPr>
            <w:r>
              <w:t>NECF</w:t>
            </w:r>
          </w:p>
        </w:tc>
        <w:tc>
          <w:tcPr>
            <w:tcW w:w="5041" w:type="dxa"/>
          </w:tcPr>
          <w:p w:rsidR="00A93392" w:rsidRDefault="00A93392" w:rsidP="00222675">
            <w:pPr>
              <w:cnfStyle w:val="000000010000" w:firstRow="0" w:lastRow="0" w:firstColumn="0" w:lastColumn="0" w:oddVBand="0" w:evenVBand="0" w:oddHBand="0" w:evenHBand="1" w:firstRowFirstColumn="0" w:firstRowLastColumn="0" w:lastRowFirstColumn="0" w:lastRowLastColumn="0"/>
            </w:pPr>
            <w:r>
              <w:t>National Energy Customer Framework</w:t>
            </w:r>
          </w:p>
        </w:tc>
      </w:tr>
      <w:tr w:rsidR="00A93392" w:rsidTr="00222675">
        <w:tc>
          <w:tcPr>
            <w:cnfStyle w:val="001000000000" w:firstRow="0" w:lastRow="0" w:firstColumn="1" w:lastColumn="0" w:oddVBand="0" w:evenVBand="0" w:oddHBand="0" w:evenHBand="0" w:firstRowFirstColumn="0" w:firstRowLastColumn="0" w:lastRowFirstColumn="0" w:lastRowLastColumn="0"/>
            <w:tcW w:w="3652" w:type="dxa"/>
          </w:tcPr>
          <w:p w:rsidR="00A93392" w:rsidRDefault="00A93392" w:rsidP="00A93392">
            <w:pPr>
              <w:numPr>
                <w:ilvl w:val="0"/>
                <w:numId w:val="24"/>
              </w:numPr>
            </w:pPr>
            <w:r>
              <w:t>NERL</w:t>
            </w:r>
          </w:p>
        </w:tc>
        <w:tc>
          <w:tcPr>
            <w:tcW w:w="5041" w:type="dxa"/>
          </w:tcPr>
          <w:p w:rsidR="00A93392" w:rsidRDefault="00A93392" w:rsidP="00222675">
            <w:pPr>
              <w:cnfStyle w:val="000000000000" w:firstRow="0" w:lastRow="0" w:firstColumn="0" w:lastColumn="0" w:oddVBand="0" w:evenVBand="0" w:oddHBand="0" w:evenHBand="0" w:firstRowFirstColumn="0" w:firstRowLastColumn="0" w:lastRowFirstColumn="0" w:lastRowLastColumn="0"/>
            </w:pPr>
            <w:r>
              <w:t>National Energy Retail Law</w:t>
            </w:r>
          </w:p>
        </w:tc>
      </w:tr>
      <w:tr w:rsidR="00A93392" w:rsidTr="002226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93392" w:rsidRDefault="00A93392" w:rsidP="00A93392">
            <w:pPr>
              <w:numPr>
                <w:ilvl w:val="0"/>
                <w:numId w:val="24"/>
              </w:numPr>
            </w:pPr>
            <w:r>
              <w:t>NERR</w:t>
            </w:r>
          </w:p>
        </w:tc>
        <w:tc>
          <w:tcPr>
            <w:tcW w:w="5041" w:type="dxa"/>
          </w:tcPr>
          <w:p w:rsidR="00A93392" w:rsidRDefault="00A93392" w:rsidP="00A93392">
            <w:pPr>
              <w:numPr>
                <w:ilvl w:val="0"/>
                <w:numId w:val="24"/>
              </w:numPr>
              <w:cnfStyle w:val="000000010000" w:firstRow="0" w:lastRow="0" w:firstColumn="0" w:lastColumn="0" w:oddVBand="0" w:evenVBand="0" w:oddHBand="0" w:evenHBand="1" w:firstRowFirstColumn="0" w:firstRowLastColumn="0" w:lastRowFirstColumn="0" w:lastRowLastColumn="0"/>
            </w:pPr>
            <w:r>
              <w:t>National Energy Retail Rules</w:t>
            </w:r>
          </w:p>
        </w:tc>
      </w:tr>
      <w:tr w:rsidR="00A93392" w:rsidTr="00222675">
        <w:tc>
          <w:tcPr>
            <w:cnfStyle w:val="001000000000" w:firstRow="0" w:lastRow="0" w:firstColumn="1" w:lastColumn="0" w:oddVBand="0" w:evenVBand="0" w:oddHBand="0" w:evenHBand="0" w:firstRowFirstColumn="0" w:firstRowLastColumn="0" w:lastRowFirstColumn="0" w:lastRowLastColumn="0"/>
            <w:tcW w:w="3652" w:type="dxa"/>
          </w:tcPr>
          <w:p w:rsidR="00A93392" w:rsidRDefault="00A93392" w:rsidP="00A93392">
            <w:pPr>
              <w:numPr>
                <w:ilvl w:val="0"/>
                <w:numId w:val="24"/>
              </w:numPr>
            </w:pPr>
            <w:r>
              <w:t>NGL</w:t>
            </w:r>
          </w:p>
        </w:tc>
        <w:tc>
          <w:tcPr>
            <w:tcW w:w="5041" w:type="dxa"/>
          </w:tcPr>
          <w:p w:rsidR="00A93392" w:rsidRDefault="00A93392" w:rsidP="00A93392">
            <w:pPr>
              <w:numPr>
                <w:ilvl w:val="0"/>
                <w:numId w:val="24"/>
              </w:numPr>
              <w:cnfStyle w:val="000000000000" w:firstRow="0" w:lastRow="0" w:firstColumn="0" w:lastColumn="0" w:oddVBand="0" w:evenVBand="0" w:oddHBand="0" w:evenHBand="0" w:firstRowFirstColumn="0" w:firstRowLastColumn="0" w:lastRowFirstColumn="0" w:lastRowLastColumn="0"/>
            </w:pPr>
            <w:r>
              <w:t>national gas law</w:t>
            </w:r>
          </w:p>
        </w:tc>
      </w:tr>
      <w:tr w:rsidR="00A93392" w:rsidTr="002226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93392" w:rsidRDefault="00A93392" w:rsidP="00A93392">
            <w:pPr>
              <w:numPr>
                <w:ilvl w:val="0"/>
                <w:numId w:val="24"/>
              </w:numPr>
            </w:pPr>
            <w:r>
              <w:t>NGO</w:t>
            </w:r>
          </w:p>
        </w:tc>
        <w:tc>
          <w:tcPr>
            <w:tcW w:w="5041" w:type="dxa"/>
          </w:tcPr>
          <w:p w:rsidR="00A93392" w:rsidRDefault="00A93392" w:rsidP="00A93392">
            <w:pPr>
              <w:numPr>
                <w:ilvl w:val="0"/>
                <w:numId w:val="24"/>
              </w:numPr>
              <w:cnfStyle w:val="000000010000" w:firstRow="0" w:lastRow="0" w:firstColumn="0" w:lastColumn="0" w:oddVBand="0" w:evenVBand="0" w:oddHBand="0" w:evenHBand="1" w:firstRowFirstColumn="0" w:firstRowLastColumn="0" w:lastRowFirstColumn="0" w:lastRowLastColumn="0"/>
            </w:pPr>
            <w:r>
              <w:t>national gas objective</w:t>
            </w:r>
          </w:p>
        </w:tc>
      </w:tr>
      <w:tr w:rsidR="00A93392" w:rsidTr="00222675">
        <w:tc>
          <w:tcPr>
            <w:cnfStyle w:val="001000000000" w:firstRow="0" w:lastRow="0" w:firstColumn="1" w:lastColumn="0" w:oddVBand="0" w:evenVBand="0" w:oddHBand="0" w:evenHBand="0" w:firstRowFirstColumn="0" w:firstRowLastColumn="0" w:lastRowFirstColumn="0" w:lastRowLastColumn="0"/>
            <w:tcW w:w="3652" w:type="dxa"/>
          </w:tcPr>
          <w:p w:rsidR="00A93392" w:rsidRDefault="00A93392" w:rsidP="00A93392">
            <w:pPr>
              <w:numPr>
                <w:ilvl w:val="0"/>
                <w:numId w:val="24"/>
              </w:numPr>
            </w:pPr>
            <w:r>
              <w:t>NGR</w:t>
            </w:r>
          </w:p>
        </w:tc>
        <w:tc>
          <w:tcPr>
            <w:tcW w:w="5041" w:type="dxa"/>
          </w:tcPr>
          <w:p w:rsidR="00A93392" w:rsidRDefault="00A93392" w:rsidP="00A93392">
            <w:pPr>
              <w:numPr>
                <w:ilvl w:val="0"/>
                <w:numId w:val="24"/>
              </w:numPr>
              <w:cnfStyle w:val="000000000000" w:firstRow="0" w:lastRow="0" w:firstColumn="0" w:lastColumn="0" w:oddVBand="0" w:evenVBand="0" w:oddHBand="0" w:evenHBand="0" w:firstRowFirstColumn="0" w:firstRowLastColumn="0" w:lastRowFirstColumn="0" w:lastRowLastColumn="0"/>
            </w:pPr>
            <w:r>
              <w:t>national gas rules</w:t>
            </w:r>
          </w:p>
        </w:tc>
      </w:tr>
      <w:tr w:rsidR="00A93392" w:rsidTr="002226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93392" w:rsidRDefault="00A93392" w:rsidP="00A93392">
            <w:pPr>
              <w:numPr>
                <w:ilvl w:val="0"/>
                <w:numId w:val="24"/>
              </w:numPr>
            </w:pPr>
            <w:r>
              <w:t>NIS</w:t>
            </w:r>
          </w:p>
        </w:tc>
        <w:tc>
          <w:tcPr>
            <w:tcW w:w="5041" w:type="dxa"/>
          </w:tcPr>
          <w:p w:rsidR="00A93392" w:rsidRDefault="00A93392" w:rsidP="00222675">
            <w:pPr>
              <w:cnfStyle w:val="000000010000" w:firstRow="0" w:lastRow="0" w:firstColumn="0" w:lastColumn="0" w:oddVBand="0" w:evenVBand="0" w:oddHBand="0" w:evenHBand="1" w:firstRowFirstColumn="0" w:firstRowLastColumn="0" w:lastRowFirstColumn="0" w:lastRowLastColumn="0"/>
            </w:pPr>
            <w:r>
              <w:t>Network Incentive Scheme</w:t>
            </w:r>
          </w:p>
        </w:tc>
      </w:tr>
      <w:tr w:rsidR="00A93392" w:rsidTr="00222675">
        <w:tc>
          <w:tcPr>
            <w:cnfStyle w:val="001000000000" w:firstRow="0" w:lastRow="0" w:firstColumn="1" w:lastColumn="0" w:oddVBand="0" w:evenVBand="0" w:oddHBand="0" w:evenHBand="0" w:firstRowFirstColumn="0" w:firstRowLastColumn="0" w:lastRowFirstColumn="0" w:lastRowLastColumn="0"/>
            <w:tcW w:w="3652" w:type="dxa"/>
          </w:tcPr>
          <w:p w:rsidR="00A93392" w:rsidRDefault="00A93392" w:rsidP="00A93392">
            <w:pPr>
              <w:numPr>
                <w:ilvl w:val="0"/>
                <w:numId w:val="24"/>
              </w:numPr>
            </w:pPr>
            <w:r>
              <w:t>NPV</w:t>
            </w:r>
          </w:p>
        </w:tc>
        <w:tc>
          <w:tcPr>
            <w:tcW w:w="5041" w:type="dxa"/>
          </w:tcPr>
          <w:p w:rsidR="00A93392" w:rsidRDefault="00A93392" w:rsidP="00222675">
            <w:pPr>
              <w:cnfStyle w:val="000000000000" w:firstRow="0" w:lastRow="0" w:firstColumn="0" w:lastColumn="0" w:oddVBand="0" w:evenVBand="0" w:oddHBand="0" w:evenHBand="0" w:firstRowFirstColumn="0" w:firstRowLastColumn="0" w:lastRowFirstColumn="0" w:lastRowLastColumn="0"/>
            </w:pPr>
            <w:r>
              <w:t>net present value</w:t>
            </w:r>
          </w:p>
        </w:tc>
      </w:tr>
      <w:tr w:rsidR="00A93392" w:rsidTr="002226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93392" w:rsidRDefault="00A93392" w:rsidP="00A93392">
            <w:pPr>
              <w:numPr>
                <w:ilvl w:val="0"/>
                <w:numId w:val="24"/>
              </w:numPr>
            </w:pPr>
            <w:r>
              <w:t>opex</w:t>
            </w:r>
          </w:p>
        </w:tc>
        <w:tc>
          <w:tcPr>
            <w:tcW w:w="5041" w:type="dxa"/>
          </w:tcPr>
          <w:p w:rsidR="00A93392" w:rsidRDefault="00A93392" w:rsidP="00A93392">
            <w:pPr>
              <w:numPr>
                <w:ilvl w:val="0"/>
                <w:numId w:val="24"/>
              </w:numPr>
              <w:cnfStyle w:val="000000010000" w:firstRow="0" w:lastRow="0" w:firstColumn="0" w:lastColumn="0" w:oddVBand="0" w:evenVBand="0" w:oddHBand="0" w:evenHBand="1" w:firstRowFirstColumn="0" w:firstRowLastColumn="0" w:lastRowFirstColumn="0" w:lastRowLastColumn="0"/>
            </w:pPr>
            <w:r>
              <w:t>operating expenditure</w:t>
            </w:r>
          </w:p>
        </w:tc>
      </w:tr>
      <w:tr w:rsidR="00A93392" w:rsidTr="00222675">
        <w:tc>
          <w:tcPr>
            <w:cnfStyle w:val="001000000000" w:firstRow="0" w:lastRow="0" w:firstColumn="1" w:lastColumn="0" w:oddVBand="0" w:evenVBand="0" w:oddHBand="0" w:evenHBand="0" w:firstRowFirstColumn="0" w:firstRowLastColumn="0" w:lastRowFirstColumn="0" w:lastRowLastColumn="0"/>
            <w:tcW w:w="3652" w:type="dxa"/>
          </w:tcPr>
          <w:p w:rsidR="00A93392" w:rsidRDefault="00A93392" w:rsidP="00A93392">
            <w:pPr>
              <w:numPr>
                <w:ilvl w:val="0"/>
                <w:numId w:val="24"/>
              </w:numPr>
            </w:pPr>
            <w:r>
              <w:t>PFP</w:t>
            </w:r>
          </w:p>
        </w:tc>
        <w:tc>
          <w:tcPr>
            <w:tcW w:w="5041" w:type="dxa"/>
          </w:tcPr>
          <w:p w:rsidR="00A93392" w:rsidRDefault="00A93392" w:rsidP="00222675">
            <w:pPr>
              <w:cnfStyle w:val="000000000000" w:firstRow="0" w:lastRow="0" w:firstColumn="0" w:lastColumn="0" w:oddVBand="0" w:evenVBand="0" w:oddHBand="0" w:evenHBand="0" w:firstRowFirstColumn="0" w:firstRowLastColumn="0" w:lastRowFirstColumn="0" w:lastRowLastColumn="0"/>
            </w:pPr>
            <w:r>
              <w:t>partial factor productivity</w:t>
            </w:r>
          </w:p>
        </w:tc>
      </w:tr>
      <w:tr w:rsidR="00A93392" w:rsidTr="002226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93392" w:rsidRDefault="00A93392" w:rsidP="00A93392">
            <w:pPr>
              <w:numPr>
                <w:ilvl w:val="0"/>
                <w:numId w:val="24"/>
              </w:numPr>
            </w:pPr>
            <w:r>
              <w:t>PPI</w:t>
            </w:r>
          </w:p>
        </w:tc>
        <w:tc>
          <w:tcPr>
            <w:tcW w:w="5041" w:type="dxa"/>
          </w:tcPr>
          <w:p w:rsidR="00A93392" w:rsidRDefault="00A93392" w:rsidP="00A93392">
            <w:pPr>
              <w:numPr>
                <w:ilvl w:val="0"/>
                <w:numId w:val="24"/>
              </w:numPr>
              <w:cnfStyle w:val="000000010000" w:firstRow="0" w:lastRow="0" w:firstColumn="0" w:lastColumn="0" w:oddVBand="0" w:evenVBand="0" w:oddHBand="0" w:evenHBand="1" w:firstRowFirstColumn="0" w:firstRowLastColumn="0" w:lastRowFirstColumn="0" w:lastRowLastColumn="0"/>
            </w:pPr>
            <w:r>
              <w:t>partial performance indicators</w:t>
            </w:r>
          </w:p>
        </w:tc>
      </w:tr>
      <w:tr w:rsidR="00A93392" w:rsidTr="00222675">
        <w:tc>
          <w:tcPr>
            <w:cnfStyle w:val="001000000000" w:firstRow="0" w:lastRow="0" w:firstColumn="1" w:lastColumn="0" w:oddVBand="0" w:evenVBand="0" w:oddHBand="0" w:evenHBand="0" w:firstRowFirstColumn="0" w:firstRowLastColumn="0" w:lastRowFirstColumn="0" w:lastRowLastColumn="0"/>
            <w:tcW w:w="3652" w:type="dxa"/>
          </w:tcPr>
          <w:p w:rsidR="00A93392" w:rsidRDefault="00A93392" w:rsidP="00A93392">
            <w:pPr>
              <w:numPr>
                <w:ilvl w:val="0"/>
                <w:numId w:val="24"/>
              </w:numPr>
            </w:pPr>
            <w:r>
              <w:t>PTRM</w:t>
            </w:r>
          </w:p>
        </w:tc>
        <w:tc>
          <w:tcPr>
            <w:tcW w:w="5041" w:type="dxa"/>
          </w:tcPr>
          <w:p w:rsidR="00A93392" w:rsidRDefault="00A93392" w:rsidP="00A93392">
            <w:pPr>
              <w:numPr>
                <w:ilvl w:val="0"/>
                <w:numId w:val="24"/>
              </w:numPr>
              <w:cnfStyle w:val="000000000000" w:firstRow="0" w:lastRow="0" w:firstColumn="0" w:lastColumn="0" w:oddVBand="0" w:evenVBand="0" w:oddHBand="0" w:evenHBand="0" w:firstRowFirstColumn="0" w:firstRowLastColumn="0" w:lastRowFirstColumn="0" w:lastRowLastColumn="0"/>
            </w:pPr>
            <w:r>
              <w:t>post-tax revenue model</w:t>
            </w:r>
          </w:p>
        </w:tc>
      </w:tr>
      <w:tr w:rsidR="00A93392" w:rsidTr="002226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93392" w:rsidRDefault="00A93392" w:rsidP="00A93392">
            <w:pPr>
              <w:numPr>
                <w:ilvl w:val="0"/>
                <w:numId w:val="24"/>
              </w:numPr>
            </w:pPr>
            <w:r>
              <w:t>RBA</w:t>
            </w:r>
          </w:p>
        </w:tc>
        <w:tc>
          <w:tcPr>
            <w:tcW w:w="5041" w:type="dxa"/>
          </w:tcPr>
          <w:p w:rsidR="00A93392" w:rsidRDefault="00A93392" w:rsidP="00A93392">
            <w:pPr>
              <w:numPr>
                <w:ilvl w:val="0"/>
                <w:numId w:val="24"/>
              </w:numPr>
              <w:cnfStyle w:val="000000010000" w:firstRow="0" w:lastRow="0" w:firstColumn="0" w:lastColumn="0" w:oddVBand="0" w:evenVBand="0" w:oddHBand="0" w:evenHBand="1" w:firstRowFirstColumn="0" w:firstRowLastColumn="0" w:lastRowFirstColumn="0" w:lastRowLastColumn="0"/>
            </w:pPr>
            <w:r>
              <w:t>Reserve Bank of Australia</w:t>
            </w:r>
          </w:p>
        </w:tc>
      </w:tr>
      <w:tr w:rsidR="00A93392" w:rsidTr="00222675">
        <w:tc>
          <w:tcPr>
            <w:cnfStyle w:val="001000000000" w:firstRow="0" w:lastRow="0" w:firstColumn="1" w:lastColumn="0" w:oddVBand="0" w:evenVBand="0" w:oddHBand="0" w:evenHBand="0" w:firstRowFirstColumn="0" w:firstRowLastColumn="0" w:lastRowFirstColumn="0" w:lastRowLastColumn="0"/>
            <w:tcW w:w="3652" w:type="dxa"/>
          </w:tcPr>
          <w:p w:rsidR="00A93392" w:rsidRDefault="00A93392" w:rsidP="00A93392">
            <w:pPr>
              <w:numPr>
                <w:ilvl w:val="0"/>
                <w:numId w:val="24"/>
              </w:numPr>
            </w:pPr>
            <w:r>
              <w:t>RFM</w:t>
            </w:r>
          </w:p>
        </w:tc>
        <w:tc>
          <w:tcPr>
            <w:tcW w:w="5041" w:type="dxa"/>
          </w:tcPr>
          <w:p w:rsidR="00A93392" w:rsidRDefault="00A93392" w:rsidP="00A93392">
            <w:pPr>
              <w:numPr>
                <w:ilvl w:val="0"/>
                <w:numId w:val="24"/>
              </w:numPr>
              <w:cnfStyle w:val="000000000000" w:firstRow="0" w:lastRow="0" w:firstColumn="0" w:lastColumn="0" w:oddVBand="0" w:evenVBand="0" w:oddHBand="0" w:evenHBand="0" w:firstRowFirstColumn="0" w:firstRowLastColumn="0" w:lastRowFirstColumn="0" w:lastRowLastColumn="0"/>
            </w:pPr>
            <w:r>
              <w:t>roll forward model</w:t>
            </w:r>
          </w:p>
        </w:tc>
      </w:tr>
      <w:tr w:rsidR="00A93392" w:rsidTr="002226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93392" w:rsidRDefault="00A93392" w:rsidP="00A93392">
            <w:pPr>
              <w:numPr>
                <w:ilvl w:val="0"/>
                <w:numId w:val="24"/>
              </w:numPr>
            </w:pPr>
            <w:r>
              <w:t>RIN</w:t>
            </w:r>
          </w:p>
        </w:tc>
        <w:tc>
          <w:tcPr>
            <w:tcW w:w="5041" w:type="dxa"/>
          </w:tcPr>
          <w:p w:rsidR="00A93392" w:rsidRDefault="00A93392" w:rsidP="00A93392">
            <w:pPr>
              <w:numPr>
                <w:ilvl w:val="0"/>
                <w:numId w:val="24"/>
              </w:numPr>
              <w:cnfStyle w:val="000000010000" w:firstRow="0" w:lastRow="0" w:firstColumn="0" w:lastColumn="0" w:oddVBand="0" w:evenVBand="0" w:oddHBand="0" w:evenHBand="1" w:firstRowFirstColumn="0" w:firstRowLastColumn="0" w:lastRowFirstColumn="0" w:lastRowLastColumn="0"/>
            </w:pPr>
            <w:r>
              <w:t>regulatory information notice</w:t>
            </w:r>
          </w:p>
        </w:tc>
      </w:tr>
      <w:tr w:rsidR="00A93392" w:rsidTr="00222675">
        <w:tc>
          <w:tcPr>
            <w:cnfStyle w:val="001000000000" w:firstRow="0" w:lastRow="0" w:firstColumn="1" w:lastColumn="0" w:oddVBand="0" w:evenVBand="0" w:oddHBand="0" w:evenHBand="0" w:firstRowFirstColumn="0" w:firstRowLastColumn="0" w:lastRowFirstColumn="0" w:lastRowLastColumn="0"/>
            <w:tcW w:w="3652" w:type="dxa"/>
          </w:tcPr>
          <w:p w:rsidR="00A93392" w:rsidRDefault="00A93392" w:rsidP="00A93392">
            <w:pPr>
              <w:numPr>
                <w:ilvl w:val="0"/>
                <w:numId w:val="24"/>
              </w:numPr>
            </w:pPr>
            <w:r>
              <w:t>RoLR</w:t>
            </w:r>
          </w:p>
        </w:tc>
        <w:tc>
          <w:tcPr>
            <w:tcW w:w="5041" w:type="dxa"/>
          </w:tcPr>
          <w:p w:rsidR="00A93392" w:rsidRDefault="00A93392" w:rsidP="00222675">
            <w:pPr>
              <w:cnfStyle w:val="000000000000" w:firstRow="0" w:lastRow="0" w:firstColumn="0" w:lastColumn="0" w:oddVBand="0" w:evenVBand="0" w:oddHBand="0" w:evenHBand="0" w:firstRowFirstColumn="0" w:firstRowLastColumn="0" w:lastRowFirstColumn="0" w:lastRowLastColumn="0"/>
            </w:pPr>
            <w:r>
              <w:t>retailer of last resort</w:t>
            </w:r>
          </w:p>
        </w:tc>
      </w:tr>
      <w:tr w:rsidR="00A93392" w:rsidTr="002226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93392" w:rsidRDefault="00A93392" w:rsidP="00A93392">
            <w:pPr>
              <w:numPr>
                <w:ilvl w:val="0"/>
                <w:numId w:val="24"/>
              </w:numPr>
            </w:pPr>
            <w:r>
              <w:t>RPP</w:t>
            </w:r>
          </w:p>
        </w:tc>
        <w:tc>
          <w:tcPr>
            <w:tcW w:w="5041" w:type="dxa"/>
          </w:tcPr>
          <w:p w:rsidR="00A93392" w:rsidRDefault="00A93392" w:rsidP="00A93392">
            <w:pPr>
              <w:numPr>
                <w:ilvl w:val="0"/>
                <w:numId w:val="24"/>
              </w:numPr>
              <w:cnfStyle w:val="000000010000" w:firstRow="0" w:lastRow="0" w:firstColumn="0" w:lastColumn="0" w:oddVBand="0" w:evenVBand="0" w:oddHBand="0" w:evenHBand="1" w:firstRowFirstColumn="0" w:firstRowLastColumn="0" w:lastRowFirstColumn="0" w:lastRowLastColumn="0"/>
            </w:pPr>
            <w:r>
              <w:t>revenue and pricing principles</w:t>
            </w:r>
          </w:p>
        </w:tc>
      </w:tr>
      <w:tr w:rsidR="00A93392" w:rsidTr="00222675">
        <w:tc>
          <w:tcPr>
            <w:cnfStyle w:val="001000000000" w:firstRow="0" w:lastRow="0" w:firstColumn="1" w:lastColumn="0" w:oddVBand="0" w:evenVBand="0" w:oddHBand="0" w:evenHBand="0" w:firstRowFirstColumn="0" w:firstRowLastColumn="0" w:lastRowFirstColumn="0" w:lastRowLastColumn="0"/>
            <w:tcW w:w="3652" w:type="dxa"/>
          </w:tcPr>
          <w:p w:rsidR="00A93392" w:rsidRDefault="00A93392" w:rsidP="00A93392">
            <w:pPr>
              <w:numPr>
                <w:ilvl w:val="0"/>
                <w:numId w:val="24"/>
              </w:numPr>
            </w:pPr>
            <w:r>
              <w:t>SLCAPM</w:t>
            </w:r>
          </w:p>
        </w:tc>
        <w:tc>
          <w:tcPr>
            <w:tcW w:w="5041" w:type="dxa"/>
          </w:tcPr>
          <w:p w:rsidR="00A93392" w:rsidRDefault="00A93392" w:rsidP="00A93392">
            <w:pPr>
              <w:numPr>
                <w:ilvl w:val="0"/>
                <w:numId w:val="24"/>
              </w:numPr>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A93392" w:rsidTr="002226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93392" w:rsidRDefault="00A93392" w:rsidP="00A93392">
            <w:pPr>
              <w:numPr>
                <w:ilvl w:val="0"/>
                <w:numId w:val="24"/>
              </w:numPr>
            </w:pPr>
            <w:r>
              <w:t>STPIS</w:t>
            </w:r>
          </w:p>
        </w:tc>
        <w:tc>
          <w:tcPr>
            <w:tcW w:w="5041" w:type="dxa"/>
          </w:tcPr>
          <w:p w:rsidR="00A93392" w:rsidRDefault="00A93392" w:rsidP="00222675">
            <w:pPr>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A93392" w:rsidTr="00222675">
        <w:tc>
          <w:tcPr>
            <w:cnfStyle w:val="001000000000" w:firstRow="0" w:lastRow="0" w:firstColumn="1" w:lastColumn="0" w:oddVBand="0" w:evenVBand="0" w:oddHBand="0" w:evenHBand="0" w:firstRowFirstColumn="0" w:firstRowLastColumn="0" w:lastRowFirstColumn="0" w:lastRowLastColumn="0"/>
            <w:tcW w:w="3652" w:type="dxa"/>
          </w:tcPr>
          <w:p w:rsidR="00A93392" w:rsidRDefault="00A93392" w:rsidP="00A93392">
            <w:pPr>
              <w:numPr>
                <w:ilvl w:val="0"/>
                <w:numId w:val="24"/>
              </w:numPr>
            </w:pPr>
            <w:r>
              <w:t>TAB</w:t>
            </w:r>
          </w:p>
        </w:tc>
        <w:tc>
          <w:tcPr>
            <w:tcW w:w="5041" w:type="dxa"/>
          </w:tcPr>
          <w:p w:rsidR="00A93392" w:rsidRDefault="00A93392" w:rsidP="00222675">
            <w:pPr>
              <w:cnfStyle w:val="000000000000" w:firstRow="0" w:lastRow="0" w:firstColumn="0" w:lastColumn="0" w:oddVBand="0" w:evenVBand="0" w:oddHBand="0" w:evenHBand="0" w:firstRowFirstColumn="0" w:firstRowLastColumn="0" w:lastRowFirstColumn="0" w:lastRowLastColumn="0"/>
            </w:pPr>
            <w:r>
              <w:t>Tax asset base</w:t>
            </w:r>
          </w:p>
        </w:tc>
      </w:tr>
      <w:tr w:rsidR="00A93392" w:rsidTr="002226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93392" w:rsidRDefault="00A93392" w:rsidP="00A93392">
            <w:pPr>
              <w:numPr>
                <w:ilvl w:val="0"/>
                <w:numId w:val="24"/>
              </w:numPr>
            </w:pPr>
            <w:r>
              <w:t>UAFG</w:t>
            </w:r>
          </w:p>
        </w:tc>
        <w:tc>
          <w:tcPr>
            <w:tcW w:w="5041" w:type="dxa"/>
          </w:tcPr>
          <w:p w:rsidR="00A93392" w:rsidRDefault="00A93392" w:rsidP="00222675">
            <w:pPr>
              <w:cnfStyle w:val="000000010000" w:firstRow="0" w:lastRow="0" w:firstColumn="0" w:lastColumn="0" w:oddVBand="0" w:evenVBand="0" w:oddHBand="0" w:evenHBand="1" w:firstRowFirstColumn="0" w:firstRowLastColumn="0" w:lastRowFirstColumn="0" w:lastRowLastColumn="0"/>
            </w:pPr>
            <w:r>
              <w:t>Unaccounted for gas</w:t>
            </w:r>
          </w:p>
        </w:tc>
      </w:tr>
      <w:tr w:rsidR="00A93392" w:rsidTr="00222675">
        <w:tc>
          <w:tcPr>
            <w:cnfStyle w:val="001000000000" w:firstRow="0" w:lastRow="0" w:firstColumn="1" w:lastColumn="0" w:oddVBand="0" w:evenVBand="0" w:oddHBand="0" w:evenHBand="0" w:firstRowFirstColumn="0" w:firstRowLastColumn="0" w:lastRowFirstColumn="0" w:lastRowLastColumn="0"/>
            <w:tcW w:w="3652" w:type="dxa"/>
          </w:tcPr>
          <w:p w:rsidR="00A93392" w:rsidRDefault="00A93392" w:rsidP="00A93392">
            <w:pPr>
              <w:numPr>
                <w:ilvl w:val="0"/>
                <w:numId w:val="24"/>
              </w:numPr>
            </w:pPr>
            <w:r>
              <w:t>WACC</w:t>
            </w:r>
          </w:p>
        </w:tc>
        <w:tc>
          <w:tcPr>
            <w:tcW w:w="5041" w:type="dxa"/>
          </w:tcPr>
          <w:p w:rsidR="00A93392" w:rsidRDefault="00A93392" w:rsidP="00A93392">
            <w:pPr>
              <w:numPr>
                <w:ilvl w:val="0"/>
                <w:numId w:val="24"/>
              </w:numPr>
              <w:cnfStyle w:val="000000000000" w:firstRow="0" w:lastRow="0" w:firstColumn="0" w:lastColumn="0" w:oddVBand="0" w:evenVBand="0" w:oddHBand="0" w:evenHBand="0" w:firstRowFirstColumn="0" w:firstRowLastColumn="0" w:lastRowFirstColumn="0" w:lastRowLastColumn="0"/>
            </w:pPr>
            <w:r>
              <w:t>weighted average cost of capital</w:t>
            </w:r>
          </w:p>
        </w:tc>
      </w:tr>
      <w:tr w:rsidR="00A93392" w:rsidTr="002226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93392" w:rsidRDefault="00A93392" w:rsidP="00A93392">
            <w:pPr>
              <w:numPr>
                <w:ilvl w:val="0"/>
                <w:numId w:val="24"/>
              </w:numPr>
            </w:pPr>
            <w:r>
              <w:t>WPI</w:t>
            </w:r>
          </w:p>
        </w:tc>
        <w:tc>
          <w:tcPr>
            <w:tcW w:w="5041" w:type="dxa"/>
          </w:tcPr>
          <w:p w:rsidR="00A93392" w:rsidRDefault="00A93392" w:rsidP="00222675">
            <w:pPr>
              <w:cnfStyle w:val="000000010000" w:firstRow="0" w:lastRow="0" w:firstColumn="0" w:lastColumn="0" w:oddVBand="0" w:evenVBand="0" w:oddHBand="0" w:evenHBand="1" w:firstRowFirstColumn="0" w:firstRowLastColumn="0" w:lastRowFirstColumn="0" w:lastRowLastColumn="0"/>
            </w:pPr>
            <w:r>
              <w:t>Wage Price Index</w:t>
            </w:r>
          </w:p>
        </w:tc>
      </w:tr>
    </w:tbl>
    <w:p w:rsidR="00710D26" w:rsidRDefault="00710D26" w:rsidP="00710D26">
      <w:pPr>
        <w:pStyle w:val="Heading1"/>
      </w:pPr>
      <w:bookmarkStart w:id="12" w:name="_Toc430002782"/>
      <w:bookmarkStart w:id="13" w:name="_Ref434997887"/>
      <w:bookmarkStart w:id="14" w:name="_Toc436037680"/>
      <w:r>
        <w:t>Introduction</w:t>
      </w:r>
      <w:bookmarkEnd w:id="12"/>
      <w:bookmarkEnd w:id="13"/>
      <w:bookmarkEnd w:id="14"/>
    </w:p>
    <w:p w:rsidR="0008233B" w:rsidRPr="00F07CED" w:rsidRDefault="0008233B" w:rsidP="0008233B">
      <w:r w:rsidRPr="00F07CED">
        <w:t xml:space="preserve">We, the Australian Energy Regulator (AER), are responsible for the economic regulation of </w:t>
      </w:r>
      <w:r>
        <w:t>covered gas pipelines</w:t>
      </w:r>
      <w:r w:rsidR="00F8052A">
        <w:rPr>
          <w:rStyle w:val="FootnoteReference"/>
        </w:rPr>
        <w:footnoteReference w:id="1"/>
      </w:r>
      <w:r>
        <w:t xml:space="preserve"> in all states and territories in Australia</w:t>
      </w:r>
      <w:r w:rsidRPr="00F07CED">
        <w:t xml:space="preserve"> except for Western Australia. </w:t>
      </w:r>
    </w:p>
    <w:p w:rsidR="0008233B" w:rsidRPr="000E5C99" w:rsidRDefault="00EC697C" w:rsidP="0008233B">
      <w:pPr>
        <w:pStyle w:val="ListParagraph"/>
        <w:numPr>
          <w:ilvl w:val="0"/>
          <w:numId w:val="24"/>
        </w:numPr>
      </w:pPr>
      <w:r>
        <w:t>Australian Gas Networks’ (</w:t>
      </w:r>
      <w:r w:rsidR="0008233B">
        <w:t>AGN</w:t>
      </w:r>
      <w:r>
        <w:t>)</w:t>
      </w:r>
      <w:r w:rsidR="0008233B" w:rsidRPr="000E5C99">
        <w:t xml:space="preserve"> </w:t>
      </w:r>
      <w:r w:rsidR="0008233B">
        <w:t xml:space="preserve">gas network provides </w:t>
      </w:r>
      <w:r w:rsidR="007E7E78" w:rsidRPr="007E7E78">
        <w:t xml:space="preserve">distribution </w:t>
      </w:r>
      <w:r w:rsidR="0008233B">
        <w:t xml:space="preserve">services to customers in South Australia. </w:t>
      </w:r>
      <w:r w:rsidR="0008233B" w:rsidRPr="000E5C99">
        <w:t xml:space="preserve">As with other covered pipelines, we regulate </w:t>
      </w:r>
      <w:r w:rsidR="0008233B">
        <w:t>AGN</w:t>
      </w:r>
      <w:r w:rsidR="0008233B" w:rsidRPr="000E5C99">
        <w:t xml:space="preserve">'s reference tariffs, and through this, its revenue. </w:t>
      </w:r>
    </w:p>
    <w:p w:rsidR="0008233B" w:rsidRDefault="0008233B" w:rsidP="0008233B">
      <w:pPr>
        <w:numPr>
          <w:ilvl w:val="0"/>
          <w:numId w:val="24"/>
        </w:numPr>
      </w:pPr>
      <w:r>
        <w:t>AGN</w:t>
      </w:r>
      <w:r w:rsidRPr="000B6D20">
        <w:t xml:space="preserve"> submitted its access arrangement revision proposal on </w:t>
      </w:r>
      <w:r>
        <w:t>1 July</w:t>
      </w:r>
      <w:r w:rsidRPr="000B6D20">
        <w:t xml:space="preserve"> 2015</w:t>
      </w:r>
      <w:r>
        <w:t>, for the 2016–21 access arrangement period</w:t>
      </w:r>
      <w:r w:rsidRPr="000B6D20">
        <w:t>.</w:t>
      </w:r>
    </w:p>
    <w:p w:rsidR="0008233B" w:rsidRDefault="0008233B" w:rsidP="0008233B">
      <w:pPr>
        <w:numPr>
          <w:ilvl w:val="0"/>
          <w:numId w:val="24"/>
        </w:numPr>
      </w:pPr>
      <w:r w:rsidRPr="006C7462">
        <w:t xml:space="preserve">The </w:t>
      </w:r>
      <w:r>
        <w:t>National Gas Law (</w:t>
      </w:r>
      <w:r w:rsidRPr="006C7462">
        <w:t>N</w:t>
      </w:r>
      <w:r>
        <w:t>G</w:t>
      </w:r>
      <w:r w:rsidRPr="006C7462">
        <w:t>L</w:t>
      </w:r>
      <w:r>
        <w:t>)</w:t>
      </w:r>
      <w:r w:rsidRPr="006C7462">
        <w:t xml:space="preserve"> and </w:t>
      </w:r>
      <w:r>
        <w:t>National Gas Rules (</w:t>
      </w:r>
      <w:r w:rsidRPr="006C7462">
        <w:t>N</w:t>
      </w:r>
      <w:r>
        <w:t>G</w:t>
      </w:r>
      <w:r w:rsidRPr="006C7462">
        <w:t>R</w:t>
      </w:r>
      <w:r>
        <w:t>)</w:t>
      </w:r>
      <w:r w:rsidRPr="006C7462">
        <w:t xml:space="preserve"> provide the </w:t>
      </w:r>
      <w:r>
        <w:t>regulatory</w:t>
      </w:r>
      <w:r w:rsidRPr="006C7462">
        <w:t xml:space="preserve"> framework </w:t>
      </w:r>
      <w:r>
        <w:t>governing gas networks</w:t>
      </w:r>
      <w:r w:rsidRPr="006C7462">
        <w:t xml:space="preserve">. </w:t>
      </w:r>
      <w:r>
        <w:t xml:space="preserve">In regulating AGN, we are guided by the National Gas Objective (NGO), as set out in the NGL. The NGO </w:t>
      </w:r>
      <w:r w:rsidRPr="006C7462">
        <w:t xml:space="preserve">is to promote efficient investment in, and efficient operation and use of, </w:t>
      </w:r>
      <w:r>
        <w:t xml:space="preserve">natural gas </w:t>
      </w:r>
      <w:r w:rsidRPr="006C7462">
        <w:t xml:space="preserve">services for the long term interests of consumers of </w:t>
      </w:r>
      <w:r>
        <w:t>natural gas</w:t>
      </w:r>
      <w:r w:rsidRPr="006C7462">
        <w:t xml:space="preserve"> with respect to</w:t>
      </w:r>
      <w:r w:rsidRPr="00C5352F">
        <w:t xml:space="preserve"> </w:t>
      </w:r>
      <w:r w:rsidRPr="006C7462">
        <w:t xml:space="preserve">price, quality, safety, reliability and security of supply of </w:t>
      </w:r>
      <w:r>
        <w:t>natural gas.</w:t>
      </w:r>
      <w:r w:rsidRPr="006C7462">
        <w:rPr>
          <w:rStyle w:val="FootnoteReference"/>
        </w:rPr>
        <w:footnoteReference w:id="2"/>
      </w:r>
    </w:p>
    <w:p w:rsidR="0008233B" w:rsidRDefault="0008233B" w:rsidP="0008233B">
      <w:pPr>
        <w:pStyle w:val="ListParagraph"/>
        <w:numPr>
          <w:ilvl w:val="0"/>
          <w:numId w:val="24"/>
        </w:numPr>
      </w:pPr>
      <w:r>
        <w:t>We apply incentive regulation in making our decision on AGN's forecast revenue requirement.</w:t>
      </w:r>
      <w:r>
        <w:rPr>
          <w:rStyle w:val="FootnoteReference"/>
        </w:rPr>
        <w:footnoteReference w:id="3"/>
      </w:r>
      <w:r>
        <w:t xml:space="preserve"> Incentive regulation encourages service providers to spend efficiently and to share the benefits of efficiency gains with consumers.</w:t>
      </w:r>
      <w:r>
        <w:rPr>
          <w:rStyle w:val="FootnoteReference"/>
        </w:rPr>
        <w:footnoteReference w:id="4"/>
      </w:r>
    </w:p>
    <w:p w:rsidR="0008233B" w:rsidRPr="00B74339" w:rsidRDefault="0008233B" w:rsidP="0008233B">
      <w:pPr>
        <w:pStyle w:val="ListParagraph"/>
        <w:numPr>
          <w:ilvl w:val="0"/>
          <w:numId w:val="24"/>
        </w:numPr>
      </w:pPr>
      <w:r>
        <w:t>While we approve an overall revenue requirement for AGN, this does not bind the business to a particular</w:t>
      </w:r>
      <w:r w:rsidRPr="00B74339">
        <w:t xml:space="preserve"> operating budget. </w:t>
      </w:r>
      <w:r>
        <w:t>We determine an overall revenue requirement that is based on a forecast of capital and operating expenditures</w:t>
      </w:r>
      <w:r w:rsidR="00421B6E">
        <w:t>—</w:t>
      </w:r>
      <w:r>
        <w:t>such as would be incurred by a prudent service provider acting efficiently, in accordance with accepted good industry practice, to achieve the lowest sustainable cost of providing services. The regime provides incentives for AGN to outperform those forecasts, while delivering safe, reliable and secure services to its customers.</w:t>
      </w:r>
    </w:p>
    <w:p w:rsidR="0008233B" w:rsidRPr="00B74339" w:rsidRDefault="0008233B" w:rsidP="0008233B">
      <w:pPr>
        <w:pStyle w:val="ListParagraph"/>
        <w:numPr>
          <w:ilvl w:val="0"/>
          <w:numId w:val="24"/>
        </w:numPr>
      </w:pPr>
      <w:r w:rsidRPr="00B74339">
        <w:t xml:space="preserve">If </w:t>
      </w:r>
      <w:r>
        <w:t xml:space="preserve">in assessing AGN's proposal </w:t>
      </w:r>
      <w:r w:rsidRPr="00B74339">
        <w:t xml:space="preserve">we do not accept that </w:t>
      </w:r>
      <w:r>
        <w:t xml:space="preserve">its forecast revenue complies with the requirements of the NGR, </w:t>
      </w:r>
      <w:r w:rsidRPr="00B74339">
        <w:t xml:space="preserve">we must </w:t>
      </w:r>
      <w:r>
        <w:t>indicate the nature of amendments required in order to make the proposal acceptable to us</w:t>
      </w:r>
      <w:r w:rsidR="007A62A4">
        <w:t>—</w:t>
      </w:r>
      <w:r>
        <w:t xml:space="preserve">including </w:t>
      </w:r>
      <w:r w:rsidRPr="00B74339">
        <w:t>an alternative amount of revenue that we are satisfied does comply. In doing so, we must undertake this assessment and make this decision in a manner that will or is likely to contribute to the achievement of the N</w:t>
      </w:r>
      <w:r>
        <w:t>G</w:t>
      </w:r>
      <w:r w:rsidRPr="00B74339">
        <w:t>O and, where there are two or more possible decisions that will do so, make the decision that we are satisfied will contribute to the greatest degree</w:t>
      </w:r>
      <w:r>
        <w:t xml:space="preserve"> (see section </w:t>
      </w:r>
      <w:r w:rsidR="00907CB5">
        <w:fldChar w:fldCharType="begin"/>
      </w:r>
      <w:r w:rsidR="00907CB5">
        <w:instrText xml:space="preserve"> REF _Ref434479178 \r \h </w:instrText>
      </w:r>
      <w:r w:rsidR="00907CB5">
        <w:fldChar w:fldCharType="separate"/>
      </w:r>
      <w:r w:rsidR="00E90DAD">
        <w:t>7</w:t>
      </w:r>
      <w:r w:rsidR="00907CB5">
        <w:fldChar w:fldCharType="end"/>
      </w:r>
      <w:r w:rsidR="00907CB5">
        <w:t xml:space="preserve"> </w:t>
      </w:r>
      <w:r>
        <w:t>of this overview)</w:t>
      </w:r>
      <w:r w:rsidRPr="00B74339">
        <w:t>.</w:t>
      </w:r>
    </w:p>
    <w:p w:rsidR="0008233B" w:rsidRDefault="00B60D3F" w:rsidP="0008233B">
      <w:pPr>
        <w:pStyle w:val="ListParagraph"/>
        <w:numPr>
          <w:ilvl w:val="0"/>
          <w:numId w:val="24"/>
        </w:numPr>
      </w:pPr>
      <w:r>
        <w:t xml:space="preserve">The purpose of this draft decision is to set out our draft findings based on the information AGN has provided us, the analysis we have done and the stakeholder submissions we have received. Our final decision will be issued in April 2016 and will take into account any new information </w:t>
      </w:r>
      <w:r w:rsidR="000F2F63">
        <w:t>submitted</w:t>
      </w:r>
      <w:r>
        <w:t xml:space="preserve"> by AGN in its revised proposal, additional analysis and stakeholder submissions. There are several areas in this draft decision where we have indicated that AGN needs to provide further information in support of its proposal. To the extent that new information, analysis or submissions </w:t>
      </w:r>
      <w:r w:rsidR="000F2F63">
        <w:t>cause</w:t>
      </w:r>
      <w:r>
        <w:t xml:space="preserve"> us to depart from this draft decision, the final decision will deliver a different total revenue requirement, and therefore a different impact on customers.</w:t>
      </w:r>
    </w:p>
    <w:p w:rsidR="0008233B" w:rsidRPr="00B74339" w:rsidRDefault="0008233B" w:rsidP="0008233B">
      <w:pPr>
        <w:pStyle w:val="ListParagraph"/>
        <w:numPr>
          <w:ilvl w:val="0"/>
          <w:numId w:val="24"/>
        </w:numPr>
      </w:pPr>
      <w:r w:rsidRPr="00B74339">
        <w:t xml:space="preserve">This overview, together with its attachments, constitutes our </w:t>
      </w:r>
      <w:r>
        <w:t>draft</w:t>
      </w:r>
      <w:r w:rsidRPr="00B74339">
        <w:t xml:space="preserve"> decision on </w:t>
      </w:r>
      <w:r>
        <w:t>AGN</w:t>
      </w:r>
      <w:r w:rsidRPr="00B74339">
        <w:t xml:space="preserve">'s </w:t>
      </w:r>
      <w:r>
        <w:t>access arrangement for 2016</w:t>
      </w:r>
      <w:r w:rsidR="00AD5061">
        <w:t>–</w:t>
      </w:r>
      <w:r>
        <w:t>21</w:t>
      </w:r>
      <w:r w:rsidRPr="00B74339">
        <w:t xml:space="preserve">. </w:t>
      </w:r>
    </w:p>
    <w:p w:rsidR="0008233B" w:rsidRDefault="0008233B" w:rsidP="0008233B">
      <w:pPr>
        <w:pStyle w:val="Heading2"/>
      </w:pPr>
      <w:bookmarkStart w:id="15" w:name="_Toc429039116"/>
      <w:bookmarkStart w:id="16" w:name="_Toc432083540"/>
      <w:bookmarkStart w:id="17" w:name="_Toc433016410"/>
      <w:bookmarkStart w:id="18" w:name="_Ref434235601"/>
      <w:bookmarkStart w:id="19" w:name="_Toc436037681"/>
      <w:r>
        <w:t>Structure of overview</w:t>
      </w:r>
      <w:bookmarkEnd w:id="15"/>
      <w:bookmarkEnd w:id="16"/>
      <w:bookmarkEnd w:id="17"/>
      <w:bookmarkEnd w:id="18"/>
      <w:bookmarkEnd w:id="19"/>
    </w:p>
    <w:p w:rsidR="0008233B" w:rsidRDefault="0008233B" w:rsidP="0008233B">
      <w:r>
        <w:t>This overview provides a summary of our draft decision and its individual components. It is structured as follows:</w:t>
      </w:r>
    </w:p>
    <w:p w:rsidR="0008233B" w:rsidRDefault="0008233B" w:rsidP="0008233B">
      <w:pPr>
        <w:pStyle w:val="AERbulletlistfirststyle"/>
      </w:pPr>
      <w:r>
        <w:t xml:space="preserve">Section </w:t>
      </w:r>
      <w:r w:rsidR="00907CB5">
        <w:fldChar w:fldCharType="begin"/>
      </w:r>
      <w:r w:rsidR="00907CB5">
        <w:instrText xml:space="preserve"> REF _Ref434479195 \r \h </w:instrText>
      </w:r>
      <w:r w:rsidR="00907CB5">
        <w:fldChar w:fldCharType="separate"/>
      </w:r>
      <w:r w:rsidR="00E90DAD">
        <w:t>2</w:t>
      </w:r>
      <w:r w:rsidR="00907CB5">
        <w:fldChar w:fldCharType="end"/>
      </w:r>
      <w:r w:rsidR="00907CB5">
        <w:t xml:space="preserve"> </w:t>
      </w:r>
      <w:r>
        <w:t>provides a high-level summary of our draft decision and the key issues.</w:t>
      </w:r>
    </w:p>
    <w:p w:rsidR="0008233B" w:rsidRDefault="0008233B" w:rsidP="0008233B">
      <w:pPr>
        <w:pStyle w:val="AERbulletlistfirststyle"/>
      </w:pPr>
      <w:r>
        <w:t xml:space="preserve">Section </w:t>
      </w:r>
      <w:r w:rsidR="00907CB5">
        <w:fldChar w:fldCharType="begin"/>
      </w:r>
      <w:r w:rsidR="00907CB5">
        <w:instrText xml:space="preserve"> REF _Ref434479204 \r \h </w:instrText>
      </w:r>
      <w:r w:rsidR="00907CB5">
        <w:fldChar w:fldCharType="separate"/>
      </w:r>
      <w:r w:rsidR="00E90DAD">
        <w:t>3</w:t>
      </w:r>
      <w:r w:rsidR="00907CB5">
        <w:fldChar w:fldCharType="end"/>
      </w:r>
      <w:r w:rsidR="00907CB5">
        <w:t xml:space="preserve"> </w:t>
      </w:r>
      <w:r>
        <w:t>sets out our draft decision on AGN's total revenue requirement.</w:t>
      </w:r>
    </w:p>
    <w:p w:rsidR="0008233B" w:rsidRPr="00117925" w:rsidRDefault="0008233B" w:rsidP="0008233B">
      <w:pPr>
        <w:pStyle w:val="AERbulletlistfirststyle"/>
      </w:pPr>
      <w:r>
        <w:t xml:space="preserve">Section </w:t>
      </w:r>
      <w:r w:rsidR="00907CB5">
        <w:fldChar w:fldCharType="begin"/>
      </w:r>
      <w:r w:rsidR="00907CB5">
        <w:instrText xml:space="preserve"> REF _Ref434479216 \r \h </w:instrText>
      </w:r>
      <w:r w:rsidR="00907CB5">
        <w:fldChar w:fldCharType="separate"/>
      </w:r>
      <w:r w:rsidR="00E90DAD">
        <w:t>4</w:t>
      </w:r>
      <w:r w:rsidR="00907CB5">
        <w:fldChar w:fldCharType="end"/>
      </w:r>
      <w:r w:rsidR="00907CB5">
        <w:t xml:space="preserve"> </w:t>
      </w:r>
      <w:r>
        <w:t>provides a break</w:t>
      </w:r>
      <w:r w:rsidRPr="00BE00FA">
        <w:t>-down of our revenue decision into its key components. We determine revenue using the building block approach and this section details the approved amount for each building block.</w:t>
      </w:r>
    </w:p>
    <w:p w:rsidR="0008233B" w:rsidRDefault="0008233B" w:rsidP="0008233B">
      <w:pPr>
        <w:pStyle w:val="AERbulletlistfirststyle"/>
      </w:pPr>
      <w:r w:rsidRPr="00117925">
        <w:t xml:space="preserve">Section </w:t>
      </w:r>
      <w:r w:rsidR="00907CB5">
        <w:fldChar w:fldCharType="begin"/>
      </w:r>
      <w:r w:rsidR="00907CB5">
        <w:instrText xml:space="preserve"> REF _Ref434479226 \r \h </w:instrText>
      </w:r>
      <w:r w:rsidR="00907CB5">
        <w:fldChar w:fldCharType="separate"/>
      </w:r>
      <w:r w:rsidR="00E90DAD">
        <w:t>5</w:t>
      </w:r>
      <w:r w:rsidR="00907CB5">
        <w:fldChar w:fldCharType="end"/>
      </w:r>
      <w:r w:rsidR="00907CB5">
        <w:t xml:space="preserve"> </w:t>
      </w:r>
      <w:r w:rsidRPr="00117925">
        <w:t>set</w:t>
      </w:r>
      <w:r>
        <w:t>s</w:t>
      </w:r>
      <w:r w:rsidRPr="00117925">
        <w:t xml:space="preserve"> out our </w:t>
      </w:r>
      <w:r>
        <w:t xml:space="preserve">draft </w:t>
      </w:r>
      <w:r w:rsidRPr="00117925">
        <w:t xml:space="preserve">decision on </w:t>
      </w:r>
      <w:r>
        <w:t>demand, AGN's reference</w:t>
      </w:r>
      <w:r w:rsidRPr="00117925">
        <w:t xml:space="preserve"> service, </w:t>
      </w:r>
      <w:r>
        <w:t>reference tariff setting and the reference tariff variation mechanism that will apply to AGN. It also sets out our draft decision on three new incentive schemes proposed by AGN.</w:t>
      </w:r>
    </w:p>
    <w:p w:rsidR="0008233B" w:rsidRPr="00117925" w:rsidRDefault="0008233B" w:rsidP="0008233B">
      <w:pPr>
        <w:pStyle w:val="AERbulletlistfirststyle"/>
      </w:pPr>
      <w:r>
        <w:t xml:space="preserve">Section </w:t>
      </w:r>
      <w:r w:rsidR="00907CB5">
        <w:fldChar w:fldCharType="begin"/>
      </w:r>
      <w:r w:rsidR="00907CB5">
        <w:instrText xml:space="preserve"> REF _Ref434479237 \r \h </w:instrText>
      </w:r>
      <w:r w:rsidR="00907CB5">
        <w:fldChar w:fldCharType="separate"/>
      </w:r>
      <w:r w:rsidR="00E90DAD">
        <w:t>6</w:t>
      </w:r>
      <w:r w:rsidR="00907CB5">
        <w:fldChar w:fldCharType="end"/>
      </w:r>
      <w:r w:rsidR="00907CB5">
        <w:t xml:space="preserve"> </w:t>
      </w:r>
      <w:r>
        <w:t>sets out our draft decision on non-tariff components</w:t>
      </w:r>
      <w:r w:rsidR="007E7E78">
        <w:t xml:space="preserve"> of AGN's access arrangement</w:t>
      </w:r>
      <w:r>
        <w:t>.</w:t>
      </w:r>
    </w:p>
    <w:p w:rsidR="0008233B" w:rsidRPr="00117925" w:rsidRDefault="0008233B" w:rsidP="0008233B">
      <w:pPr>
        <w:pStyle w:val="AERbulletlistfirststyle"/>
      </w:pPr>
      <w:r w:rsidRPr="00117925">
        <w:t xml:space="preserve">Section </w:t>
      </w:r>
      <w:r w:rsidR="00907CB5">
        <w:fldChar w:fldCharType="begin"/>
      </w:r>
      <w:r w:rsidR="00907CB5">
        <w:instrText xml:space="preserve"> REF _Ref434479254 \r \h </w:instrText>
      </w:r>
      <w:r w:rsidR="00907CB5">
        <w:fldChar w:fldCharType="separate"/>
      </w:r>
      <w:r w:rsidR="00E90DAD">
        <w:t>7</w:t>
      </w:r>
      <w:r w:rsidR="00907CB5">
        <w:fldChar w:fldCharType="end"/>
      </w:r>
      <w:r w:rsidR="00907CB5">
        <w:t xml:space="preserve"> </w:t>
      </w:r>
      <w:r w:rsidRPr="00117925">
        <w:t>explains our views on the regulatory framework</w:t>
      </w:r>
      <w:r>
        <w:t xml:space="preserve"> and the NGO.</w:t>
      </w:r>
    </w:p>
    <w:p w:rsidR="0008233B" w:rsidRDefault="0008233B" w:rsidP="0008233B">
      <w:pPr>
        <w:pStyle w:val="AERbulletlistfirststyle"/>
      </w:pPr>
      <w:r w:rsidRPr="00117925">
        <w:t xml:space="preserve">Section </w:t>
      </w:r>
      <w:r w:rsidR="00907CB5">
        <w:fldChar w:fldCharType="begin"/>
      </w:r>
      <w:r w:rsidR="00907CB5">
        <w:instrText xml:space="preserve"> REF _Ref434479264 \r \h </w:instrText>
      </w:r>
      <w:r w:rsidR="00907CB5">
        <w:fldChar w:fldCharType="separate"/>
      </w:r>
      <w:r w:rsidR="00E90DAD">
        <w:t>8</w:t>
      </w:r>
      <w:r w:rsidR="00907CB5">
        <w:fldChar w:fldCharType="end"/>
      </w:r>
      <w:r w:rsidR="00907CB5">
        <w:t xml:space="preserve"> </w:t>
      </w:r>
      <w:r w:rsidRPr="00117925">
        <w:t xml:space="preserve">outlines </w:t>
      </w:r>
      <w:r>
        <w:t>the</w:t>
      </w:r>
      <w:r w:rsidRPr="00117925">
        <w:t xml:space="preserve"> process we undertook in reaching our </w:t>
      </w:r>
      <w:r>
        <w:t>draft</w:t>
      </w:r>
      <w:r w:rsidRPr="00117925">
        <w:t xml:space="preserve"> decision. </w:t>
      </w:r>
    </w:p>
    <w:p w:rsidR="0008233B" w:rsidRPr="00376287" w:rsidRDefault="0008233B" w:rsidP="0008233B">
      <w:r w:rsidRPr="0004255F">
        <w:t xml:space="preserve">In our attachments we set out detailed analysis of the </w:t>
      </w:r>
      <w:r>
        <w:t>individual</w:t>
      </w:r>
      <w:r w:rsidRPr="0004255F">
        <w:t xml:space="preserve"> components that make up </w:t>
      </w:r>
      <w:r>
        <w:t>AGN's</w:t>
      </w:r>
      <w:r w:rsidRPr="0004255F">
        <w:t xml:space="preserve"> proposal and our </w:t>
      </w:r>
      <w:r>
        <w:t xml:space="preserve">draft </w:t>
      </w:r>
      <w:r w:rsidRPr="0004255F">
        <w:t>decision on each of them.</w:t>
      </w:r>
      <w:r>
        <w:t xml:space="preserve"> </w:t>
      </w:r>
    </w:p>
    <w:p w:rsidR="00710D26" w:rsidRDefault="00710D26" w:rsidP="00710D26"/>
    <w:p w:rsidR="00710D26" w:rsidRDefault="00710D26" w:rsidP="00710D26">
      <w:pPr>
        <w:pStyle w:val="Heading1"/>
      </w:pPr>
      <w:bookmarkStart w:id="20" w:name="_Toc430002783"/>
      <w:bookmarkStart w:id="21" w:name="_Ref434479195"/>
      <w:bookmarkStart w:id="22" w:name="_Toc436037682"/>
      <w:r>
        <w:t>Decision</w:t>
      </w:r>
      <w:bookmarkEnd w:id="20"/>
      <w:bookmarkEnd w:id="21"/>
      <w:bookmarkEnd w:id="22"/>
    </w:p>
    <w:p w:rsidR="00E307A9" w:rsidRDefault="00E307A9" w:rsidP="00E307A9">
      <w:r>
        <w:t>Our draft decision is to approve a forecast revenue requirement of $</w:t>
      </w:r>
      <w:r w:rsidR="009D2B54">
        <w:t>9</w:t>
      </w:r>
      <w:r w:rsidR="0046043C">
        <w:t>38.6</w:t>
      </w:r>
      <w:r>
        <w:t xml:space="preserve"> million</w:t>
      </w:r>
      <w:r w:rsidR="009D2B54">
        <w:rPr>
          <w:rStyle w:val="FootnoteReference"/>
        </w:rPr>
        <w:footnoteReference w:id="5"/>
      </w:r>
      <w:r>
        <w:t xml:space="preserve"> ($</w:t>
      </w:r>
      <w:r w:rsidR="007C7E1F">
        <w:t> </w:t>
      </w:r>
      <w:r>
        <w:t>nominal) for AGN over the 2016–21 access arrangement period, which begins on 1</w:t>
      </w:r>
      <w:r w:rsidR="007C7E1F">
        <w:t> </w:t>
      </w:r>
      <w:r>
        <w:t>July 2016</w:t>
      </w:r>
      <w:r w:rsidR="008430E1">
        <w:t>,</w:t>
      </w:r>
      <w:r w:rsidR="00D55DD4">
        <w:t xml:space="preserve"> as shown in </w:t>
      </w:r>
      <w:r w:rsidR="00D55DD4">
        <w:fldChar w:fldCharType="begin"/>
      </w:r>
      <w:r w:rsidR="00D55DD4">
        <w:instrText xml:space="preserve"> REF _Ref435512940 \h </w:instrText>
      </w:r>
      <w:r w:rsidR="00D55DD4">
        <w:fldChar w:fldCharType="separate"/>
      </w:r>
      <w:r w:rsidR="00E90DAD">
        <w:t xml:space="preserve">Figure </w:t>
      </w:r>
      <w:r w:rsidR="00E90DAD">
        <w:rPr>
          <w:noProof/>
        </w:rPr>
        <w:t>1</w:t>
      </w:r>
      <w:r w:rsidR="00D55DD4">
        <w:fldChar w:fldCharType="end"/>
      </w:r>
      <w:r>
        <w:t>. This is a</w:t>
      </w:r>
      <w:r w:rsidR="008430E1">
        <w:t>n</w:t>
      </w:r>
      <w:r>
        <w:t xml:space="preserve"> </w:t>
      </w:r>
      <w:r w:rsidR="00BD2AA0">
        <w:t>1</w:t>
      </w:r>
      <w:r w:rsidR="0046043C">
        <w:t>8</w:t>
      </w:r>
      <w:r w:rsidR="00BD2AA0">
        <w:t>.</w:t>
      </w:r>
      <w:r w:rsidR="0046043C">
        <w:t>2</w:t>
      </w:r>
      <w:r w:rsidR="00CE7982">
        <w:t xml:space="preserve"> </w:t>
      </w:r>
      <w:r>
        <w:t>per cent reduction to AGN’s proposed revenue of $</w:t>
      </w:r>
      <w:r w:rsidR="00CE7982">
        <w:t>1</w:t>
      </w:r>
      <w:r w:rsidR="006C0BCE">
        <w:t>14</w:t>
      </w:r>
      <w:r w:rsidR="0022629B">
        <w:t>8.0</w:t>
      </w:r>
      <w:r w:rsidR="007C7E1F">
        <w:t> </w:t>
      </w:r>
      <w:r>
        <w:t xml:space="preserve">million ($nominal), and </w:t>
      </w:r>
      <w:r w:rsidR="006C0BCE">
        <w:t>1</w:t>
      </w:r>
      <w:r w:rsidR="0022629B">
        <w:t>6</w:t>
      </w:r>
      <w:r w:rsidR="006C0BCE">
        <w:t>.</w:t>
      </w:r>
      <w:r w:rsidR="0046043C">
        <w:t>8</w:t>
      </w:r>
      <w:r w:rsidR="006C0BCE">
        <w:t xml:space="preserve"> </w:t>
      </w:r>
      <w:r>
        <w:t xml:space="preserve">per cent lower than the forecast revenue requirement used to determine reference tariffs in the current, 2011–16 </w:t>
      </w:r>
      <w:r w:rsidR="00506C3A">
        <w:t xml:space="preserve">access arrangement </w:t>
      </w:r>
      <w:r>
        <w:t>period.</w:t>
      </w:r>
    </w:p>
    <w:p w:rsidR="00E307A9" w:rsidRDefault="00E307A9" w:rsidP="00DA69FA">
      <w:pPr>
        <w:pStyle w:val="Caption"/>
      </w:pPr>
      <w:bookmarkStart w:id="23" w:name="_Ref435512940"/>
      <w:r>
        <w:t xml:space="preserve">Figure </w:t>
      </w:r>
      <w:fldSimple w:instr=" SEQ Figure \* ARABIC ">
        <w:r w:rsidR="00E90DAD">
          <w:rPr>
            <w:noProof/>
          </w:rPr>
          <w:t>1</w:t>
        </w:r>
      </w:fldSimple>
      <w:bookmarkEnd w:id="23"/>
      <w:r>
        <w:t xml:space="preserve"> AGN's past total revenue</w:t>
      </w:r>
      <w:r w:rsidR="00E43770" w:rsidRPr="00907CB5">
        <w:rPr>
          <w:rStyle w:val="AERsuperscript"/>
        </w:rPr>
        <w:t>a</w:t>
      </w:r>
      <w:r>
        <w:t>, proposed total revenue and AER's total revenue allowance ($ million, 2015</w:t>
      </w:r>
      <w:r w:rsidR="00BD2AA0">
        <w:t>–16</w:t>
      </w:r>
      <w:r>
        <w:t>)</w:t>
      </w:r>
    </w:p>
    <w:p w:rsidR="004633CC" w:rsidRDefault="0046043C" w:rsidP="004633CC">
      <w:pPr>
        <w:pStyle w:val="AERtablesource"/>
      </w:pPr>
      <w:r>
        <w:rPr>
          <w:noProof/>
          <w:lang w:eastAsia="en-AU"/>
        </w:rPr>
        <w:drawing>
          <wp:inline distT="0" distB="0" distL="0" distR="0" wp14:anchorId="2D3D48A4" wp14:editId="23188C81">
            <wp:extent cx="5261610" cy="3657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1610" cy="3657600"/>
                    </a:xfrm>
                    <a:prstGeom prst="rect">
                      <a:avLst/>
                    </a:prstGeom>
                    <a:noFill/>
                  </pic:spPr>
                </pic:pic>
              </a:graphicData>
            </a:graphic>
          </wp:inline>
        </w:drawing>
      </w:r>
    </w:p>
    <w:p w:rsidR="0022629B" w:rsidRDefault="0022629B" w:rsidP="004633CC">
      <w:pPr>
        <w:pStyle w:val="AERtablesource"/>
      </w:pPr>
      <w:r>
        <w:t>Source:</w:t>
      </w:r>
      <w:r>
        <w:tab/>
        <w:t>AER analysis.</w:t>
      </w:r>
    </w:p>
    <w:p w:rsidR="0022629B" w:rsidRDefault="0022629B" w:rsidP="004633CC">
      <w:pPr>
        <w:pStyle w:val="AERtablesource"/>
      </w:pPr>
      <w:r>
        <w:t>Note:</w:t>
      </w:r>
      <w:r>
        <w:tab/>
        <w:t>Includ</w:t>
      </w:r>
      <w:r w:rsidR="006C6958">
        <w:t>es</w:t>
      </w:r>
      <w:r>
        <w:t xml:space="preserve"> ancillary reference services revenue.</w:t>
      </w:r>
    </w:p>
    <w:p w:rsidR="00DA69FA" w:rsidRPr="00DA69FA" w:rsidRDefault="00E43770" w:rsidP="00DA69FA">
      <w:pPr>
        <w:pStyle w:val="AERtablesource"/>
      </w:pPr>
      <w:r>
        <w:t>(a)</w:t>
      </w:r>
      <w:r w:rsidR="00DA69FA">
        <w:t xml:space="preserve">  </w:t>
      </w:r>
      <w:r>
        <w:tab/>
      </w:r>
      <w:r w:rsidR="00DA69FA" w:rsidRPr="00DA69FA">
        <w:t xml:space="preserve">AGN operates under a weighted average </w:t>
      </w:r>
      <w:r w:rsidR="00D328AF">
        <w:t>tariff</w:t>
      </w:r>
      <w:r w:rsidR="00DA69FA" w:rsidRPr="00DA69FA">
        <w:t xml:space="preserve"> cap. This means the tariffs we determine (including the means of varying the tariffs from year to year) are the binding constraint across </w:t>
      </w:r>
      <w:r w:rsidR="00DA69FA">
        <w:t>an</w:t>
      </w:r>
      <w:r w:rsidR="00DA69FA" w:rsidRPr="00DA69FA">
        <w:t xml:space="preserve"> access arrangement period, rather than the total revenue requirement set in our decision.</w:t>
      </w:r>
      <w:r w:rsidR="00DA69FA">
        <w:t xml:space="preserve"> </w:t>
      </w:r>
      <w:r w:rsidR="00DA69FA" w:rsidRPr="004D0BCD">
        <w:t xml:space="preserve">Tariffs are derived from the total revenue requirement </w:t>
      </w:r>
      <w:r w:rsidR="00DA69FA" w:rsidRPr="00DA69FA">
        <w:rPr>
          <w:rStyle w:val="Emphasis"/>
        </w:rPr>
        <w:t>after</w:t>
      </w:r>
      <w:r w:rsidR="00DA69FA" w:rsidRPr="00DA69FA">
        <w:t xml:space="preserve"> consideration of demand for each tariff category. </w:t>
      </w:r>
      <w:r w:rsidR="00DA69FA">
        <w:t>Where actual demand varies from the demand forecast in the access arrangement, AGN's actual revenue will vary from the revenue allowance determined in our decision. In general, if actual demand is above forecast demand, AGN's actual revenue will be above forecast revenue, and vice versa.</w:t>
      </w:r>
    </w:p>
    <w:p w:rsidR="00E307A9" w:rsidRDefault="00E307A9" w:rsidP="00E307A9">
      <w:pPr>
        <w:numPr>
          <w:ilvl w:val="0"/>
          <w:numId w:val="28"/>
        </w:numPr>
      </w:pPr>
      <w:r>
        <w:t>We are satisfied that the forecast revenue requirement set in our draft decision is sufficient for AGN, acting prudently and efficiently, to recover the costs of investment in, and efficient operation and use of, natural gas services for the long term interests of consumers of natural gas with respect to price, quality, safety, reliability and security of supply of natural gas.</w:t>
      </w:r>
      <w:r>
        <w:rPr>
          <w:rStyle w:val="FootnoteReference"/>
        </w:rPr>
        <w:footnoteReference w:id="6"/>
      </w:r>
    </w:p>
    <w:p w:rsidR="00E307A9" w:rsidRDefault="00E307A9" w:rsidP="00E307A9">
      <w:r>
        <w:t>In this section, we provide a snapshot of our draft decision and highlight key issues considered as part of this review (section</w:t>
      </w:r>
      <w:r w:rsidR="00907CB5">
        <w:t xml:space="preserve"> </w:t>
      </w:r>
      <w:r w:rsidR="00907CB5">
        <w:fldChar w:fldCharType="begin"/>
      </w:r>
      <w:r w:rsidR="00907CB5">
        <w:instrText xml:space="preserve"> REF _Ref434479411 \r \h </w:instrText>
      </w:r>
      <w:r w:rsidR="00907CB5">
        <w:fldChar w:fldCharType="separate"/>
      </w:r>
      <w:r w:rsidR="00E90DAD">
        <w:t>2.2</w:t>
      </w:r>
      <w:r w:rsidR="00907CB5">
        <w:fldChar w:fldCharType="end"/>
      </w:r>
      <w:r>
        <w:t xml:space="preserve">). Further discussion of the components that make up our draft decision follows in sections </w:t>
      </w:r>
      <w:r w:rsidR="00907CB5">
        <w:fldChar w:fldCharType="begin"/>
      </w:r>
      <w:r w:rsidR="00907CB5">
        <w:instrText xml:space="preserve"> REF _Ref434479425 \r \h </w:instrText>
      </w:r>
      <w:r w:rsidR="00907CB5">
        <w:fldChar w:fldCharType="separate"/>
      </w:r>
      <w:r w:rsidR="00E90DAD">
        <w:t>3</w:t>
      </w:r>
      <w:r w:rsidR="00907CB5">
        <w:fldChar w:fldCharType="end"/>
      </w:r>
      <w:r w:rsidR="00907CB5">
        <w:t xml:space="preserve"> </w:t>
      </w:r>
      <w:r>
        <w:t>to</w:t>
      </w:r>
      <w:r w:rsidR="00907CB5">
        <w:t xml:space="preserve"> </w:t>
      </w:r>
      <w:r w:rsidR="00907CB5">
        <w:fldChar w:fldCharType="begin"/>
      </w:r>
      <w:r w:rsidR="00907CB5">
        <w:instrText xml:space="preserve"> REF _Ref434479445 \r \h </w:instrText>
      </w:r>
      <w:r w:rsidR="00907CB5">
        <w:fldChar w:fldCharType="separate"/>
      </w:r>
      <w:r w:rsidR="00E90DAD">
        <w:t>6</w:t>
      </w:r>
      <w:r w:rsidR="00907CB5">
        <w:fldChar w:fldCharType="end"/>
      </w:r>
      <w:r>
        <w:t>.</w:t>
      </w:r>
    </w:p>
    <w:p w:rsidR="00E307A9" w:rsidRDefault="00E307A9" w:rsidP="00E307A9">
      <w:pPr>
        <w:pStyle w:val="HeadingBoldBlue"/>
      </w:pPr>
      <w:r>
        <w:t>Next steps</w:t>
      </w:r>
    </w:p>
    <w:p w:rsidR="00E307A9" w:rsidRDefault="00E307A9" w:rsidP="00E307A9">
      <w:r>
        <w:t>Our draft decision sets out the nature of the amendments required to make AGN’s proposal acceptable to us</w:t>
      </w:r>
      <w:r w:rsidR="00B60D3F">
        <w:t>, and provides AGN with direction where further evidence is required in support of its proposal</w:t>
      </w:r>
      <w:r>
        <w:t xml:space="preserve">. AGN will respond to these in a revised proposal no later than 6 January 2016. </w:t>
      </w:r>
    </w:p>
    <w:p w:rsidR="00E307A9" w:rsidRDefault="00E307A9" w:rsidP="00E307A9">
      <w:r>
        <w:t>We encourage stakeholders to make submissions on this draft decision, and on AGN’s revised proposal, by 4 February 2016. Details on how to make a submission are provided at the start of this overview.</w:t>
      </w:r>
    </w:p>
    <w:p w:rsidR="00E307A9" w:rsidRDefault="00E307A9" w:rsidP="00E307A9">
      <w:pPr>
        <w:pStyle w:val="Heading2"/>
      </w:pPr>
      <w:bookmarkStart w:id="24" w:name="_Toc433643911"/>
      <w:bookmarkStart w:id="25" w:name="_Ref433793816"/>
      <w:bookmarkStart w:id="26" w:name="_Toc436037683"/>
      <w:r>
        <w:t>Snapshot of draft decision</w:t>
      </w:r>
      <w:bookmarkEnd w:id="24"/>
      <w:bookmarkEnd w:id="25"/>
      <w:bookmarkEnd w:id="26"/>
    </w:p>
    <w:p w:rsidR="00E307A9" w:rsidRDefault="00E307A9" w:rsidP="00E307A9">
      <w:r>
        <w:fldChar w:fldCharType="begin"/>
      </w:r>
      <w:r>
        <w:instrText xml:space="preserve"> REF _Ref433796354 \h </w:instrText>
      </w:r>
      <w:r>
        <w:fldChar w:fldCharType="separate"/>
      </w:r>
      <w:r w:rsidR="00E90DAD">
        <w:t xml:space="preserve">Figure </w:t>
      </w:r>
      <w:r w:rsidR="00E90DAD">
        <w:rPr>
          <w:noProof/>
        </w:rPr>
        <w:t>2</w:t>
      </w:r>
      <w:r>
        <w:fldChar w:fldCharType="end"/>
      </w:r>
      <w:r>
        <w:t xml:space="preserve"> and </w:t>
      </w:r>
      <w:r>
        <w:fldChar w:fldCharType="begin"/>
      </w:r>
      <w:r>
        <w:instrText xml:space="preserve"> REF _Ref433796360 \h </w:instrText>
      </w:r>
      <w:r>
        <w:fldChar w:fldCharType="separate"/>
      </w:r>
      <w:r w:rsidR="00E90DAD">
        <w:t xml:space="preserve">Figure </w:t>
      </w:r>
      <w:r w:rsidR="00E90DAD">
        <w:rPr>
          <w:noProof/>
        </w:rPr>
        <w:t>3</w:t>
      </w:r>
      <w:r>
        <w:fldChar w:fldCharType="end"/>
      </w:r>
      <w:r>
        <w:t xml:space="preserve"> compare our draft decision to AGN’s proposal, broken down by the building block components that make up the forecast revenue requirement. The</w:t>
      </w:r>
      <w:r w:rsidR="0064010C">
        <w:t>se figures</w:t>
      </w:r>
      <w:r>
        <w:t xml:space="preserve"> highlight that the allowed rate of return—which feeds into the return on capital—is the key difference between our draft decision and AGN’s proposal.</w:t>
      </w:r>
      <w:r w:rsidR="0064010C">
        <w:t xml:space="preserve"> </w:t>
      </w:r>
      <w:r>
        <w:t xml:space="preserve"> </w:t>
      </w:r>
    </w:p>
    <w:p w:rsidR="00E307A9" w:rsidRDefault="00E307A9" w:rsidP="00E307A9">
      <w:pPr>
        <w:pStyle w:val="Caption"/>
      </w:pPr>
      <w:bookmarkStart w:id="27" w:name="_Ref433796354"/>
      <w:r>
        <w:t xml:space="preserve">Figure </w:t>
      </w:r>
      <w:fldSimple w:instr=" SEQ Figure \* ARABIC ">
        <w:r w:rsidR="00E90DAD">
          <w:rPr>
            <w:noProof/>
          </w:rPr>
          <w:t>2</w:t>
        </w:r>
      </w:fldSimple>
      <w:bookmarkEnd w:id="27"/>
      <w:r>
        <w:t xml:space="preserve"> AER’s draft decision and AGN’s proposed annual building block costs ($</w:t>
      </w:r>
      <w:r w:rsidR="00931E9F">
        <w:t xml:space="preserve"> </w:t>
      </w:r>
      <w:r>
        <w:t>million, 2015</w:t>
      </w:r>
      <w:r w:rsidR="00C70647">
        <w:t>–16</w:t>
      </w:r>
      <w:r>
        <w:t>)</w:t>
      </w:r>
    </w:p>
    <w:p w:rsidR="006C6958" w:rsidRPr="006C6958" w:rsidRDefault="00AC47F6" w:rsidP="00C37AB3">
      <w:r>
        <w:rPr>
          <w:noProof/>
          <w:lang w:eastAsia="en-AU"/>
        </w:rPr>
        <w:drawing>
          <wp:inline distT="0" distB="0" distL="0" distR="0" wp14:anchorId="7FD2EAEE" wp14:editId="598BA3E5">
            <wp:extent cx="5316220" cy="33591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16220" cy="3359150"/>
                    </a:xfrm>
                    <a:prstGeom prst="rect">
                      <a:avLst/>
                    </a:prstGeom>
                    <a:noFill/>
                  </pic:spPr>
                </pic:pic>
              </a:graphicData>
            </a:graphic>
          </wp:inline>
        </w:drawing>
      </w:r>
    </w:p>
    <w:p w:rsidR="006C6958" w:rsidRDefault="006C6958" w:rsidP="006C6958">
      <w:pPr>
        <w:pStyle w:val="AERtablesource"/>
      </w:pPr>
      <w:r>
        <w:t>Source:</w:t>
      </w:r>
      <w:r>
        <w:tab/>
        <w:t>AER analysis.</w:t>
      </w:r>
    </w:p>
    <w:p w:rsidR="006C6958" w:rsidRDefault="006C6958" w:rsidP="006C6958">
      <w:pPr>
        <w:pStyle w:val="AERtablesource"/>
      </w:pPr>
      <w:r>
        <w:t>Note:</w:t>
      </w:r>
      <w:r>
        <w:tab/>
        <w:t>Includes ancillary reference services revenue.</w:t>
      </w:r>
    </w:p>
    <w:p w:rsidR="00B807D2" w:rsidRPr="00B807D2" w:rsidRDefault="00E307A9" w:rsidP="00B807D2">
      <w:pPr>
        <w:pStyle w:val="Caption"/>
      </w:pPr>
      <w:bookmarkStart w:id="28" w:name="_Ref433796360"/>
      <w:r>
        <w:t xml:space="preserve">Figure </w:t>
      </w:r>
      <w:fldSimple w:instr=" SEQ Figure \* ARABIC ">
        <w:r w:rsidR="00E90DAD">
          <w:rPr>
            <w:noProof/>
          </w:rPr>
          <w:t>3</w:t>
        </w:r>
      </w:fldSimple>
      <w:bookmarkEnd w:id="28"/>
      <w:r>
        <w:t xml:space="preserve"> AER’s draft decision </w:t>
      </w:r>
      <w:r w:rsidR="00B807D2">
        <w:t>average annual revenue (unsmoothed) compared with AGN's proposed average annual revenue and approved average annual revenue for 2011–16 ($</w:t>
      </w:r>
      <w:r w:rsidR="009C16CB">
        <w:t xml:space="preserve"> </w:t>
      </w:r>
      <w:r w:rsidR="00B807D2">
        <w:t xml:space="preserve">million, 2015–16) </w:t>
      </w:r>
    </w:p>
    <w:p w:rsidR="00B807D2" w:rsidRDefault="00AD6345" w:rsidP="00C37AB3">
      <w:pPr>
        <w:rPr>
          <w:rStyle w:val="AERbody"/>
        </w:rPr>
      </w:pPr>
      <w:r>
        <w:rPr>
          <w:noProof/>
          <w:lang w:eastAsia="en-AU"/>
        </w:rPr>
        <w:drawing>
          <wp:inline distT="0" distB="0" distL="0" distR="0" wp14:anchorId="5D1B768F" wp14:editId="01A03B26">
            <wp:extent cx="5474103" cy="40576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2613" cy="4056546"/>
                    </a:xfrm>
                    <a:prstGeom prst="rect">
                      <a:avLst/>
                    </a:prstGeom>
                    <a:noFill/>
                  </pic:spPr>
                </pic:pic>
              </a:graphicData>
            </a:graphic>
          </wp:inline>
        </w:drawing>
      </w:r>
    </w:p>
    <w:p w:rsidR="00032619" w:rsidRDefault="00032619" w:rsidP="00032619">
      <w:pPr>
        <w:pStyle w:val="AERtablesource"/>
        <w:rPr>
          <w:rStyle w:val="AERbody"/>
        </w:rPr>
      </w:pPr>
      <w:r w:rsidRPr="00032619">
        <w:rPr>
          <w:rStyle w:val="AERbody"/>
          <w:sz w:val="16"/>
        </w:rPr>
        <w:t xml:space="preserve">Source: </w:t>
      </w:r>
      <w:r w:rsidRPr="00032619">
        <w:rPr>
          <w:rStyle w:val="AERbody"/>
          <w:sz w:val="16"/>
        </w:rPr>
        <w:tab/>
        <w:t>AER analysis</w:t>
      </w:r>
      <w:r w:rsidR="00F9272E">
        <w:rPr>
          <w:rStyle w:val="AERbody"/>
        </w:rPr>
        <w:t>.</w:t>
      </w:r>
    </w:p>
    <w:p w:rsidR="00F9272E" w:rsidRDefault="00F9272E" w:rsidP="00F9272E">
      <w:pPr>
        <w:pStyle w:val="AERtablesource"/>
      </w:pPr>
      <w:r>
        <w:t>Note:</w:t>
      </w:r>
      <w:r>
        <w:tab/>
        <w:t>Includes ancillary reference services revenue.</w:t>
      </w:r>
    </w:p>
    <w:p w:rsidR="00710D26" w:rsidRDefault="00710D26" w:rsidP="00710D26">
      <w:pPr>
        <w:pStyle w:val="Heading2"/>
      </w:pPr>
      <w:bookmarkStart w:id="29" w:name="_Toc435706054"/>
      <w:bookmarkStart w:id="30" w:name="_Toc435706055"/>
      <w:bookmarkStart w:id="31" w:name="_Toc435706056"/>
      <w:bookmarkStart w:id="32" w:name="_Toc435706057"/>
      <w:bookmarkStart w:id="33" w:name="_Toc435706058"/>
      <w:bookmarkStart w:id="34" w:name="_Toc435706059"/>
      <w:bookmarkStart w:id="35" w:name="_Toc430002785"/>
      <w:bookmarkStart w:id="36" w:name="_Ref434479411"/>
      <w:bookmarkStart w:id="37" w:name="_Toc436037684"/>
      <w:bookmarkEnd w:id="29"/>
      <w:bookmarkEnd w:id="30"/>
      <w:bookmarkEnd w:id="31"/>
      <w:bookmarkEnd w:id="32"/>
      <w:bookmarkEnd w:id="33"/>
      <w:bookmarkEnd w:id="34"/>
      <w:r>
        <w:t xml:space="preserve">Key </w:t>
      </w:r>
      <w:bookmarkEnd w:id="35"/>
      <w:r w:rsidR="00E307A9">
        <w:t>aspects of our draft decision</w:t>
      </w:r>
      <w:bookmarkEnd w:id="36"/>
      <w:bookmarkEnd w:id="37"/>
    </w:p>
    <w:p w:rsidR="00E307A9" w:rsidRDefault="00E307A9" w:rsidP="00E307A9">
      <w:r>
        <w:t>The total revenue requirement in our draft decision reflects a number of factors:</w:t>
      </w:r>
      <w:r w:rsidRPr="003163A5">
        <w:t xml:space="preserve"> </w:t>
      </w:r>
    </w:p>
    <w:p w:rsidR="00996C06" w:rsidRDefault="00E307A9" w:rsidP="0003454E">
      <w:pPr>
        <w:pStyle w:val="AERbulletlistfirststyle"/>
      </w:pPr>
      <w:r>
        <w:t>t</w:t>
      </w:r>
      <w:r w:rsidRPr="003163A5">
        <w:t>he investment environment has improved compared to the previous access arrangement period, which translates to lower financing costs necessary to attract efficient investment</w:t>
      </w:r>
      <w:r>
        <w:t xml:space="preserve"> (section </w:t>
      </w:r>
      <w:r w:rsidR="00061794">
        <w:fldChar w:fldCharType="begin"/>
      </w:r>
      <w:r w:rsidR="00061794">
        <w:instrText xml:space="preserve"> REF _Ref434479697 \r \h </w:instrText>
      </w:r>
      <w:r w:rsidR="00061794">
        <w:fldChar w:fldCharType="separate"/>
      </w:r>
      <w:r w:rsidR="00E90DAD">
        <w:t>2.2.1</w:t>
      </w:r>
      <w:r w:rsidR="00061794">
        <w:fldChar w:fldCharType="end"/>
      </w:r>
      <w:r>
        <w:t>)</w:t>
      </w:r>
      <w:r w:rsidRPr="003163A5">
        <w:t xml:space="preserve">. </w:t>
      </w:r>
    </w:p>
    <w:p w:rsidR="00E307A9" w:rsidRDefault="00407023" w:rsidP="00E307A9">
      <w:pPr>
        <w:pStyle w:val="AERbulletlistfirststyle"/>
      </w:pPr>
      <w:r>
        <w:t xml:space="preserve">demand </w:t>
      </w:r>
      <w:r w:rsidR="00254D9B">
        <w:t>is trending downwards</w:t>
      </w:r>
      <w:r>
        <w:t xml:space="preserve">, as </w:t>
      </w:r>
      <w:r w:rsidR="00761403">
        <w:t>growth</w:t>
      </w:r>
      <w:r>
        <w:t xml:space="preserve"> in </w:t>
      </w:r>
      <w:r w:rsidR="00761403">
        <w:t>gas connections and usage</w:t>
      </w:r>
      <w:r>
        <w:t xml:space="preserve"> gradually </w:t>
      </w:r>
      <w:r w:rsidR="00761403">
        <w:t>falls</w:t>
      </w:r>
      <w:r>
        <w:t>. This reduces pressure on AGN to expand the capacity of its network</w:t>
      </w:r>
      <w:r w:rsidR="00761403">
        <w:t>, putting downward pressure on capex and opex</w:t>
      </w:r>
      <w:r w:rsidR="007E043F">
        <w:t xml:space="preserve"> (section </w:t>
      </w:r>
      <w:r w:rsidR="007E043F">
        <w:fldChar w:fldCharType="begin"/>
      </w:r>
      <w:r w:rsidR="007E043F">
        <w:instrText xml:space="preserve"> REF _Ref433888981 \r \h </w:instrText>
      </w:r>
      <w:r w:rsidR="007E043F">
        <w:fldChar w:fldCharType="separate"/>
      </w:r>
      <w:r w:rsidR="00E90DAD">
        <w:t>2.2.2</w:t>
      </w:r>
      <w:r w:rsidR="007E043F">
        <w:fldChar w:fldCharType="end"/>
      </w:r>
      <w:r w:rsidR="007E043F">
        <w:t>)</w:t>
      </w:r>
      <w:r w:rsidR="00761403">
        <w:t xml:space="preserve">. </w:t>
      </w:r>
    </w:p>
    <w:p w:rsidR="00E307A9" w:rsidRDefault="00761403" w:rsidP="00254D9B">
      <w:pPr>
        <w:pStyle w:val="AERbulletlistfirststyle"/>
      </w:pPr>
      <w:r>
        <w:t xml:space="preserve">operating efficiencies have been passed on to consumers, but </w:t>
      </w:r>
      <w:r w:rsidR="00254D9B">
        <w:t xml:space="preserve">increases in the </w:t>
      </w:r>
      <w:r>
        <w:t xml:space="preserve">wholesale </w:t>
      </w:r>
      <w:r w:rsidR="00254D9B">
        <w:t>price of gas continue to impact operating costs</w:t>
      </w:r>
      <w:r w:rsidR="007E043F">
        <w:t xml:space="preserve"> (section </w:t>
      </w:r>
      <w:r w:rsidR="007E043F">
        <w:fldChar w:fldCharType="begin"/>
      </w:r>
      <w:r w:rsidR="007E043F">
        <w:instrText xml:space="preserve"> REF _Ref433888992 \r \h </w:instrText>
      </w:r>
      <w:r w:rsidR="007E043F">
        <w:fldChar w:fldCharType="separate"/>
      </w:r>
      <w:r w:rsidR="00E90DAD">
        <w:t>2.2.3</w:t>
      </w:r>
      <w:r w:rsidR="007E043F">
        <w:fldChar w:fldCharType="end"/>
      </w:r>
      <w:r w:rsidR="007E043F">
        <w:t>)</w:t>
      </w:r>
      <w:r w:rsidR="00254D9B">
        <w:t>.</w:t>
      </w:r>
    </w:p>
    <w:p w:rsidR="00254D9B" w:rsidRDefault="00254D9B" w:rsidP="00254D9B">
      <w:pPr>
        <w:pStyle w:val="AERbulletlistfirststyle"/>
      </w:pPr>
      <w:r>
        <w:t xml:space="preserve">significant mains replacement programs </w:t>
      </w:r>
      <w:r w:rsidR="00E90DAD">
        <w:t xml:space="preserve">have been completed </w:t>
      </w:r>
      <w:r>
        <w:t xml:space="preserve">over the last two access arrangement periods, </w:t>
      </w:r>
      <w:r w:rsidR="00E90DAD">
        <w:t>and</w:t>
      </w:r>
      <w:r>
        <w:t xml:space="preserve"> ongoing capital expenditure </w:t>
      </w:r>
      <w:r w:rsidR="00E90DAD">
        <w:t xml:space="preserve">is </w:t>
      </w:r>
      <w:r>
        <w:t>expected to stabilise</w:t>
      </w:r>
      <w:r w:rsidR="007E043F">
        <w:t xml:space="preserve"> (section </w:t>
      </w:r>
      <w:r w:rsidR="007E043F">
        <w:fldChar w:fldCharType="begin"/>
      </w:r>
      <w:r w:rsidR="007E043F">
        <w:instrText xml:space="preserve"> REF _Ref433889003 \r \h </w:instrText>
      </w:r>
      <w:r w:rsidR="007E043F">
        <w:fldChar w:fldCharType="separate"/>
      </w:r>
      <w:r w:rsidR="00E90DAD">
        <w:t>2.2.4</w:t>
      </w:r>
      <w:r w:rsidR="007E043F">
        <w:fldChar w:fldCharType="end"/>
      </w:r>
      <w:r w:rsidR="007E043F">
        <w:t>)</w:t>
      </w:r>
      <w:r>
        <w:t>.</w:t>
      </w:r>
    </w:p>
    <w:p w:rsidR="00254D9B" w:rsidRPr="00254D9B" w:rsidRDefault="00054375" w:rsidP="00254D9B">
      <w:pPr>
        <w:pStyle w:val="AERbulletlistfirststyle"/>
      </w:pPr>
      <w:r>
        <w:t xml:space="preserve">the current regulatory framework has delivered incentives for </w:t>
      </w:r>
      <w:r w:rsidR="00254D9B" w:rsidRPr="00254D9B">
        <w:t xml:space="preserve">AGN </w:t>
      </w:r>
      <w:r>
        <w:t>to seek</w:t>
      </w:r>
      <w:r w:rsidR="00254D9B" w:rsidRPr="00254D9B">
        <w:t xml:space="preserve"> efficiencies in operation of its network, while delivering high levels of performance</w:t>
      </w:r>
      <w:r w:rsidR="007E043F">
        <w:t xml:space="preserve"> (section</w:t>
      </w:r>
      <w:r w:rsidR="00061794">
        <w:t xml:space="preserve"> </w:t>
      </w:r>
      <w:r w:rsidR="00061794">
        <w:fldChar w:fldCharType="begin"/>
      </w:r>
      <w:r w:rsidR="00061794">
        <w:instrText xml:space="preserve"> REF _Ref434479731 \r \h </w:instrText>
      </w:r>
      <w:r w:rsidR="00061794">
        <w:fldChar w:fldCharType="separate"/>
      </w:r>
      <w:r w:rsidR="00E90DAD">
        <w:t>2.2.5</w:t>
      </w:r>
      <w:r w:rsidR="00061794">
        <w:fldChar w:fldCharType="end"/>
      </w:r>
      <w:r w:rsidR="007E043F">
        <w:t>)</w:t>
      </w:r>
      <w:r w:rsidR="00254D9B" w:rsidRPr="00254D9B">
        <w:t>.</w:t>
      </w:r>
    </w:p>
    <w:p w:rsidR="00E307A9" w:rsidRDefault="00E307A9" w:rsidP="00E307A9">
      <w:pPr>
        <w:pStyle w:val="Heading3"/>
      </w:pPr>
      <w:bookmarkStart w:id="38" w:name="_Ref434479697"/>
      <w:bookmarkStart w:id="39" w:name="_Toc436037685"/>
      <w:r>
        <w:t>Network funding costs are lower</w:t>
      </w:r>
      <w:bookmarkEnd w:id="38"/>
      <w:bookmarkEnd w:id="39"/>
    </w:p>
    <w:p w:rsidR="00E307A9" w:rsidRPr="00847B64" w:rsidRDefault="00E307A9" w:rsidP="00E307A9">
      <w:pPr>
        <w:rPr>
          <w:rStyle w:val="AERbodytextChar"/>
          <w:rFonts w:eastAsiaTheme="minorHAnsi"/>
        </w:rPr>
      </w:pPr>
      <w:r w:rsidRPr="00847B64">
        <w:rPr>
          <w:rStyle w:val="AERbodytextChar"/>
          <w:rFonts w:eastAsiaTheme="minorHAnsi"/>
        </w:rPr>
        <w:t xml:space="preserve">The rate of return provides </w:t>
      </w:r>
      <w:r w:rsidR="003C399B">
        <w:rPr>
          <w:rStyle w:val="AERbodytextChar"/>
          <w:rFonts w:eastAsiaTheme="minorHAnsi"/>
        </w:rPr>
        <w:t>AGN</w:t>
      </w:r>
      <w:r w:rsidR="003C399B" w:rsidRPr="00847B64">
        <w:rPr>
          <w:rStyle w:val="AERbodytextChar"/>
          <w:rFonts w:eastAsiaTheme="minorHAnsi"/>
        </w:rPr>
        <w:t xml:space="preserve"> </w:t>
      </w:r>
      <w:r w:rsidRPr="00847B64">
        <w:rPr>
          <w:rStyle w:val="AERbodytextChar"/>
          <w:rFonts w:eastAsiaTheme="minorHAnsi"/>
        </w:rPr>
        <w:t xml:space="preserve">with revenue to service the interest on its loans and to give a return on equity to shareholders. The allowed rate of return is a key determinant of </w:t>
      </w:r>
      <w:r>
        <w:rPr>
          <w:rStyle w:val="AERbodytextChar"/>
          <w:rFonts w:eastAsiaTheme="minorHAnsi"/>
        </w:rPr>
        <w:t>the total</w:t>
      </w:r>
      <w:r w:rsidRPr="00847B64">
        <w:rPr>
          <w:rStyle w:val="AERbodytextChar"/>
          <w:rFonts w:eastAsiaTheme="minorHAnsi"/>
        </w:rPr>
        <w:t xml:space="preserve"> revenue</w:t>
      </w:r>
      <w:r>
        <w:rPr>
          <w:rStyle w:val="AERbodytextChar"/>
          <w:rFonts w:eastAsiaTheme="minorHAnsi"/>
        </w:rPr>
        <w:t xml:space="preserve"> requirement</w:t>
      </w:r>
      <w:r w:rsidRPr="00847B64">
        <w:rPr>
          <w:rStyle w:val="AERbodytextChar"/>
          <w:rFonts w:eastAsiaTheme="minorHAnsi"/>
        </w:rPr>
        <w:t xml:space="preserve">. The differences </w:t>
      </w:r>
      <w:r>
        <w:rPr>
          <w:rStyle w:val="AERbodytextChar"/>
          <w:rFonts w:eastAsiaTheme="minorHAnsi"/>
        </w:rPr>
        <w:t xml:space="preserve">between </w:t>
      </w:r>
      <w:r w:rsidRPr="00847B64">
        <w:rPr>
          <w:rStyle w:val="AERbodytextChar"/>
          <w:rFonts w:eastAsiaTheme="minorHAnsi"/>
        </w:rPr>
        <w:t>the rate of return we determine and th</w:t>
      </w:r>
      <w:r>
        <w:rPr>
          <w:rStyle w:val="AERbodytextChar"/>
          <w:rFonts w:eastAsiaTheme="minorHAnsi"/>
        </w:rPr>
        <w:t>at</w:t>
      </w:r>
      <w:r w:rsidRPr="00847B64">
        <w:rPr>
          <w:rStyle w:val="AERbodytextChar"/>
          <w:rFonts w:eastAsiaTheme="minorHAnsi"/>
        </w:rPr>
        <w:t xml:space="preserve"> proposed by </w:t>
      </w:r>
      <w:r w:rsidR="003C399B">
        <w:rPr>
          <w:rStyle w:val="AERbodytextChar"/>
          <w:rFonts w:eastAsiaTheme="minorHAnsi"/>
        </w:rPr>
        <w:t>AGN</w:t>
      </w:r>
      <w:r w:rsidR="003C399B" w:rsidRPr="00847B64">
        <w:rPr>
          <w:rStyle w:val="AERbodytextChar"/>
          <w:rFonts w:eastAsiaTheme="minorHAnsi"/>
        </w:rPr>
        <w:t xml:space="preserve"> </w:t>
      </w:r>
      <w:r w:rsidRPr="00847B64">
        <w:rPr>
          <w:rStyle w:val="AERbodytextChar"/>
          <w:rFonts w:eastAsiaTheme="minorHAnsi"/>
        </w:rPr>
        <w:t xml:space="preserve">may appear small—a percentage point or two. However, even a small difference can have a big impact on revenues. This is because </w:t>
      </w:r>
      <w:r w:rsidR="003C399B">
        <w:rPr>
          <w:rStyle w:val="AERbodytextChar"/>
          <w:rFonts w:eastAsiaTheme="minorHAnsi"/>
        </w:rPr>
        <w:t>AGN</w:t>
      </w:r>
      <w:r w:rsidR="003C399B" w:rsidRPr="00847B64">
        <w:rPr>
          <w:rStyle w:val="AERbodytextChar"/>
          <w:rFonts w:eastAsiaTheme="minorHAnsi"/>
        </w:rPr>
        <w:t xml:space="preserve"> </w:t>
      </w:r>
      <w:r w:rsidRPr="00847B64">
        <w:rPr>
          <w:rStyle w:val="AERbodytextChar"/>
          <w:rFonts w:eastAsiaTheme="minorHAnsi"/>
        </w:rPr>
        <w:t>ha</w:t>
      </w:r>
      <w:r>
        <w:rPr>
          <w:rStyle w:val="AERbodytextChar"/>
          <w:rFonts w:eastAsiaTheme="minorHAnsi"/>
        </w:rPr>
        <w:t>s</w:t>
      </w:r>
      <w:r w:rsidRPr="00847B64">
        <w:rPr>
          <w:rStyle w:val="AERbodytextChar"/>
          <w:rFonts w:eastAsiaTheme="minorHAnsi"/>
        </w:rPr>
        <w:t xml:space="preserve"> raised large amounts of funds from lenders and other investors in the past, which is to be expected given the capital intensive nature of the sector. These fund raisings have to continue to be financed, as well as financing of any new capital spending.</w:t>
      </w:r>
    </w:p>
    <w:p w:rsidR="00E307A9" w:rsidRPr="00847B64" w:rsidRDefault="00E307A9" w:rsidP="00E307A9">
      <w:pPr>
        <w:rPr>
          <w:rStyle w:val="AERbodytextChar"/>
          <w:rFonts w:eastAsiaTheme="minorHAnsi"/>
        </w:rPr>
      </w:pPr>
      <w:r w:rsidRPr="00847B64">
        <w:rPr>
          <w:rStyle w:val="AERbodytextChar"/>
          <w:rFonts w:eastAsiaTheme="minorHAnsi"/>
        </w:rPr>
        <w:t xml:space="preserve">The rate of return must be commensurate with the efficient financing costs of a benchmark efficient entity with a similar degree of risk to the </w:t>
      </w:r>
      <w:r>
        <w:rPr>
          <w:rStyle w:val="AERbodytextChar"/>
          <w:rFonts w:eastAsiaTheme="minorHAnsi"/>
        </w:rPr>
        <w:t>service provider</w:t>
      </w:r>
      <w:r w:rsidRPr="00847B64">
        <w:rPr>
          <w:rStyle w:val="AERbodytextChar"/>
          <w:rFonts w:eastAsiaTheme="minorHAnsi"/>
        </w:rPr>
        <w:t xml:space="preserve"> in respect of the provision of services.</w:t>
      </w:r>
      <w:r>
        <w:rPr>
          <w:rStyle w:val="AERbodytextChar"/>
          <w:rFonts w:eastAsiaTheme="minorHAnsi"/>
        </w:rPr>
        <w:t xml:space="preserve"> The NGR refer</w:t>
      </w:r>
      <w:r w:rsidRPr="00847B64">
        <w:rPr>
          <w:rStyle w:val="AERbodytextChar"/>
          <w:rFonts w:eastAsiaTheme="minorHAnsi"/>
        </w:rPr>
        <w:t xml:space="preserve"> to this requirement as the ‘allowed rate of return objective’.</w:t>
      </w:r>
    </w:p>
    <w:p w:rsidR="00E307A9" w:rsidRPr="00847B64" w:rsidRDefault="00E307A9" w:rsidP="00E307A9">
      <w:pPr>
        <w:rPr>
          <w:rStyle w:val="AERbodytextChar"/>
          <w:rFonts w:eastAsiaTheme="minorHAnsi"/>
        </w:rPr>
      </w:pPr>
      <w:r w:rsidRPr="00847B64">
        <w:rPr>
          <w:rStyle w:val="AERbodytextChar"/>
          <w:rFonts w:eastAsiaTheme="minorHAnsi"/>
        </w:rPr>
        <w:t xml:space="preserve">Prevailing market conditions for debt and equity heavily influence the rate of return. Financial conditions have changed since our last decision for </w:t>
      </w:r>
      <w:r w:rsidR="00D309E2">
        <w:rPr>
          <w:rStyle w:val="AERbodytextChar"/>
          <w:rFonts w:eastAsiaTheme="minorHAnsi"/>
        </w:rPr>
        <w:t>AGN</w:t>
      </w:r>
      <w:r w:rsidR="00D309E2" w:rsidRPr="00847B64">
        <w:rPr>
          <w:rStyle w:val="AERbodytextChar"/>
          <w:rFonts w:eastAsiaTheme="minorHAnsi"/>
        </w:rPr>
        <w:t xml:space="preserve"> </w:t>
      </w:r>
      <w:r w:rsidRPr="00847B64">
        <w:rPr>
          <w:rStyle w:val="AERbodytextChar"/>
          <w:rFonts w:eastAsiaTheme="minorHAnsi"/>
        </w:rPr>
        <w:t xml:space="preserve">in </w:t>
      </w:r>
      <w:r>
        <w:rPr>
          <w:rStyle w:val="AERbodytextChar"/>
          <w:rFonts w:eastAsiaTheme="minorHAnsi"/>
        </w:rPr>
        <w:t>July 2011</w:t>
      </w:r>
      <w:r w:rsidRPr="00847B64">
        <w:rPr>
          <w:rStyle w:val="AERbodytextChar"/>
          <w:rFonts w:eastAsiaTheme="minorHAnsi"/>
        </w:rPr>
        <w:t>, which covered the 2011–1</w:t>
      </w:r>
      <w:r>
        <w:rPr>
          <w:rStyle w:val="AERbodytextChar"/>
          <w:rFonts w:eastAsiaTheme="minorHAnsi"/>
        </w:rPr>
        <w:t>6</w:t>
      </w:r>
      <w:r w:rsidRPr="00847B64">
        <w:rPr>
          <w:rStyle w:val="AERbodytextChar"/>
          <w:rFonts w:eastAsiaTheme="minorHAnsi"/>
        </w:rPr>
        <w:t xml:space="preserve"> </w:t>
      </w:r>
      <w:r>
        <w:rPr>
          <w:rStyle w:val="AERbodytextChar"/>
          <w:rFonts w:eastAsiaTheme="minorHAnsi"/>
        </w:rPr>
        <w:t>access arrangement</w:t>
      </w:r>
      <w:r w:rsidRPr="00847B64">
        <w:rPr>
          <w:rStyle w:val="AERbodytextChar"/>
          <w:rFonts w:eastAsiaTheme="minorHAnsi"/>
        </w:rPr>
        <w:t xml:space="preserve"> period. This is reflected in a lower rate of return in this </w:t>
      </w:r>
      <w:r>
        <w:rPr>
          <w:rStyle w:val="AERbodytextChar"/>
          <w:rFonts w:eastAsiaTheme="minorHAnsi"/>
        </w:rPr>
        <w:t>draft</w:t>
      </w:r>
      <w:r w:rsidRPr="00847B64">
        <w:rPr>
          <w:rStyle w:val="AERbodytextChar"/>
          <w:rFonts w:eastAsiaTheme="minorHAnsi"/>
        </w:rPr>
        <w:t xml:space="preserve"> decision. Interest rates are lower and financial market conditions are more stable. This means that the cost of debt and the returns required to attract equity are lower. These factors </w:t>
      </w:r>
      <w:r w:rsidR="00B60D3F">
        <w:rPr>
          <w:rStyle w:val="AERbodytextChar"/>
          <w:rFonts w:eastAsiaTheme="minorHAnsi"/>
        </w:rPr>
        <w:t>are</w:t>
      </w:r>
      <w:r w:rsidRPr="00847B64">
        <w:rPr>
          <w:rStyle w:val="AERbodytextChar"/>
          <w:rFonts w:eastAsiaTheme="minorHAnsi"/>
        </w:rPr>
        <w:t xml:space="preserve"> reflected in the rate of return.</w:t>
      </w:r>
    </w:p>
    <w:p w:rsidR="00E307A9" w:rsidRPr="00847B64" w:rsidRDefault="00E307A9" w:rsidP="00E307A9">
      <w:pPr>
        <w:rPr>
          <w:rStyle w:val="AERbodytextChar"/>
          <w:rFonts w:eastAsiaTheme="minorHAnsi"/>
        </w:rPr>
      </w:pPr>
      <w:r w:rsidRPr="00847B64">
        <w:rPr>
          <w:rStyle w:val="AERbodytextChar"/>
          <w:rFonts w:eastAsiaTheme="minorHAnsi"/>
        </w:rPr>
        <w:t xml:space="preserve">Our </w:t>
      </w:r>
      <w:r>
        <w:rPr>
          <w:rStyle w:val="AERbodytextChar"/>
          <w:rFonts w:eastAsiaTheme="minorHAnsi"/>
        </w:rPr>
        <w:t xml:space="preserve">draft </w:t>
      </w:r>
      <w:r w:rsidRPr="00847B64">
        <w:rPr>
          <w:rStyle w:val="AERbodytextChar"/>
          <w:rFonts w:eastAsiaTheme="minorHAnsi"/>
        </w:rPr>
        <w:t xml:space="preserve">decision is for a rate of return of </w:t>
      </w:r>
      <w:r w:rsidR="00476EBB">
        <w:rPr>
          <w:rStyle w:val="AERbodytextChar"/>
          <w:rFonts w:eastAsiaTheme="minorHAnsi"/>
        </w:rPr>
        <w:t>6.02</w:t>
      </w:r>
      <w:r w:rsidRPr="00847B64">
        <w:rPr>
          <w:rStyle w:val="AERbodytextChar"/>
          <w:rFonts w:eastAsiaTheme="minorHAnsi"/>
        </w:rPr>
        <w:t> per cent (for 2016</w:t>
      </w:r>
      <w:r w:rsidR="00476EBB" w:rsidRPr="00476EBB">
        <w:rPr>
          <w:rStyle w:val="AERbodytextChar"/>
          <w:rFonts w:eastAsiaTheme="minorHAnsi"/>
        </w:rPr>
        <w:t>–17</w:t>
      </w:r>
      <w:r w:rsidRPr="00847B64">
        <w:rPr>
          <w:rStyle w:val="AERbodytextChar"/>
          <w:rFonts w:eastAsiaTheme="minorHAnsi"/>
        </w:rPr>
        <w:t>)</w:t>
      </w:r>
      <w:r w:rsidRPr="00847B64">
        <w:rPr>
          <w:rStyle w:val="FootnoteReference"/>
        </w:rPr>
        <w:footnoteReference w:id="7"/>
      </w:r>
      <w:r w:rsidRPr="00847B64">
        <w:rPr>
          <w:rStyle w:val="AERbodytextChar"/>
          <w:rFonts w:eastAsiaTheme="minorHAnsi"/>
        </w:rPr>
        <w:t xml:space="preserve">—compared to </w:t>
      </w:r>
      <w:r w:rsidR="0046257A">
        <w:rPr>
          <w:rStyle w:val="AERbodytextChar"/>
          <w:rFonts w:eastAsiaTheme="minorHAnsi"/>
        </w:rPr>
        <w:t>10.28</w:t>
      </w:r>
      <w:r w:rsidRPr="00847B64">
        <w:rPr>
          <w:rStyle w:val="AERbodytextChar"/>
          <w:rFonts w:eastAsiaTheme="minorHAnsi"/>
        </w:rPr>
        <w:t xml:space="preserve"> per cent we set </w:t>
      </w:r>
      <w:r w:rsidR="00D309E2">
        <w:rPr>
          <w:rStyle w:val="AERbodytextChar"/>
          <w:rFonts w:eastAsiaTheme="minorHAnsi"/>
        </w:rPr>
        <w:t>for</w:t>
      </w:r>
      <w:r w:rsidR="00D309E2" w:rsidRPr="00847B64">
        <w:rPr>
          <w:rStyle w:val="AERbodytextChar"/>
          <w:rFonts w:eastAsiaTheme="minorHAnsi"/>
        </w:rPr>
        <w:t xml:space="preserve"> </w:t>
      </w:r>
      <w:r w:rsidRPr="00847B64">
        <w:rPr>
          <w:rStyle w:val="AERbodytextChar"/>
          <w:rFonts w:eastAsiaTheme="minorHAnsi"/>
        </w:rPr>
        <w:t>the 2011–1</w:t>
      </w:r>
      <w:r>
        <w:rPr>
          <w:rStyle w:val="AERbodytextChar"/>
          <w:rFonts w:eastAsiaTheme="minorHAnsi"/>
        </w:rPr>
        <w:t>6</w:t>
      </w:r>
      <w:r w:rsidRPr="00847B64">
        <w:rPr>
          <w:rStyle w:val="AERbodytextChar"/>
          <w:rFonts w:eastAsiaTheme="minorHAnsi"/>
        </w:rPr>
        <w:t xml:space="preserve"> </w:t>
      </w:r>
      <w:r>
        <w:rPr>
          <w:rStyle w:val="AERbodytextChar"/>
          <w:rFonts w:eastAsiaTheme="minorHAnsi"/>
        </w:rPr>
        <w:t>access arrangement</w:t>
      </w:r>
      <w:r w:rsidRPr="00847B64">
        <w:rPr>
          <w:rStyle w:val="AERbodytextChar"/>
          <w:rFonts w:eastAsiaTheme="minorHAnsi"/>
        </w:rPr>
        <w:t xml:space="preserve"> period.</w:t>
      </w:r>
    </w:p>
    <w:p w:rsidR="00E307A9" w:rsidRPr="00847B64" w:rsidRDefault="00E307A9" w:rsidP="00E307A9">
      <w:pPr>
        <w:rPr>
          <w:rStyle w:val="AERbodytextChar"/>
          <w:rFonts w:eastAsiaTheme="minorHAnsi"/>
        </w:rPr>
      </w:pPr>
      <w:r w:rsidRPr="00847B64">
        <w:rPr>
          <w:rStyle w:val="AERbodytextChar"/>
          <w:rFonts w:eastAsiaTheme="minorHAnsi"/>
        </w:rPr>
        <w:t>We set out our approach to determining the rate of return in the Rate of Return Guideline (Guideline) we published in December 2013.</w:t>
      </w:r>
      <w:r w:rsidR="003C399B">
        <w:rPr>
          <w:rStyle w:val="FootnoteReference"/>
          <w:szCs w:val="24"/>
        </w:rPr>
        <w:footnoteReference w:id="8"/>
      </w:r>
      <w:r w:rsidRPr="00847B64">
        <w:rPr>
          <w:rStyle w:val="AERbodytextChar"/>
          <w:rFonts w:eastAsiaTheme="minorHAnsi"/>
        </w:rPr>
        <w:t xml:space="preserve"> We undertook </w:t>
      </w:r>
      <w:r w:rsidR="00B60D3F">
        <w:rPr>
          <w:rStyle w:val="AERbodytextChar"/>
          <w:rFonts w:eastAsiaTheme="minorHAnsi"/>
        </w:rPr>
        <w:t>extensive</w:t>
      </w:r>
      <w:r w:rsidR="00B60D3F" w:rsidRPr="00847B64">
        <w:rPr>
          <w:rStyle w:val="AERbodytextChar"/>
          <w:rFonts w:eastAsiaTheme="minorHAnsi"/>
        </w:rPr>
        <w:t xml:space="preserve"> </w:t>
      </w:r>
      <w:r w:rsidRPr="00847B64">
        <w:rPr>
          <w:rStyle w:val="AERbodytextChar"/>
          <w:rFonts w:eastAsiaTheme="minorHAnsi"/>
        </w:rPr>
        <w:t>consultation in developing th</w:t>
      </w:r>
      <w:r w:rsidR="00B60D3F">
        <w:rPr>
          <w:rStyle w:val="AERbodytextChar"/>
          <w:rFonts w:eastAsiaTheme="minorHAnsi"/>
        </w:rPr>
        <w:t>e</w:t>
      </w:r>
      <w:r w:rsidRPr="00847B64">
        <w:rPr>
          <w:rStyle w:val="AERbodytextChar"/>
          <w:rFonts w:eastAsiaTheme="minorHAnsi"/>
        </w:rPr>
        <w:t xml:space="preserve"> Guideline. Although it is not binding, </w:t>
      </w:r>
      <w:r>
        <w:rPr>
          <w:rStyle w:val="AERbodytextChar"/>
          <w:rFonts w:eastAsiaTheme="minorHAnsi"/>
        </w:rPr>
        <w:t>a service provider</w:t>
      </w:r>
      <w:r w:rsidRPr="00847B64">
        <w:rPr>
          <w:rStyle w:val="AERbodytextChar"/>
          <w:rFonts w:eastAsiaTheme="minorHAnsi"/>
        </w:rPr>
        <w:t xml:space="preserve"> must provide reasons to justify any departure from the Guideline.</w:t>
      </w:r>
    </w:p>
    <w:p w:rsidR="00E307A9" w:rsidRPr="00847B64" w:rsidRDefault="00D309E2" w:rsidP="00E307A9">
      <w:pPr>
        <w:rPr>
          <w:rStyle w:val="AERbodytextChar"/>
          <w:rFonts w:eastAsiaTheme="minorHAnsi"/>
        </w:rPr>
      </w:pPr>
      <w:r>
        <w:rPr>
          <w:rStyle w:val="AERbodytextChar"/>
          <w:rFonts w:eastAsiaTheme="minorHAnsi"/>
        </w:rPr>
        <w:t>AGN</w:t>
      </w:r>
      <w:r w:rsidRPr="00847B64">
        <w:rPr>
          <w:rStyle w:val="AERbodytextChar"/>
          <w:rFonts w:eastAsiaTheme="minorHAnsi"/>
        </w:rPr>
        <w:t xml:space="preserve"> </w:t>
      </w:r>
      <w:r w:rsidR="00E307A9" w:rsidRPr="00847B64">
        <w:rPr>
          <w:rStyle w:val="AERbodytextChar"/>
          <w:rFonts w:eastAsiaTheme="minorHAnsi"/>
        </w:rPr>
        <w:t xml:space="preserve">proposed a rate of return of </w:t>
      </w:r>
      <w:r w:rsidR="0046257A">
        <w:rPr>
          <w:rStyle w:val="AERbodytextChar"/>
          <w:rFonts w:eastAsiaTheme="minorHAnsi"/>
        </w:rPr>
        <w:t>7.23</w:t>
      </w:r>
      <w:r w:rsidR="00E307A9" w:rsidRPr="00847B64">
        <w:rPr>
          <w:rStyle w:val="AERbodytextChar"/>
          <w:rFonts w:eastAsiaTheme="minorHAnsi"/>
        </w:rPr>
        <w:t xml:space="preserve"> per cent. It proposed that we depart from the Guideline. </w:t>
      </w:r>
      <w:r w:rsidR="00B60D3F">
        <w:rPr>
          <w:rStyle w:val="AERbodytextChar"/>
          <w:rFonts w:eastAsiaTheme="minorHAnsi"/>
        </w:rPr>
        <w:t>We received several submissions regarding AGN's proposed rate of return. Other network businesses generally supported AGN's approach. However, other stakeholder submissions either urged us to maintain the approach set out in the Guideline or argued that even the Guideline yielded a rate of return that is too high.</w:t>
      </w:r>
      <w:r w:rsidR="00B60D3F" w:rsidRPr="00B60D3F">
        <w:rPr>
          <w:rStyle w:val="FootnoteReference"/>
        </w:rPr>
        <w:t xml:space="preserve"> </w:t>
      </w:r>
      <w:r w:rsidR="00B60D3F" w:rsidRPr="00B60D3F">
        <w:rPr>
          <w:rStyle w:val="FootnoteReference"/>
        </w:rPr>
        <w:footnoteReference w:id="9"/>
      </w:r>
      <w:r w:rsidR="00B60D3F">
        <w:t xml:space="preserve"> </w:t>
      </w:r>
      <w:r w:rsidR="00E307A9" w:rsidRPr="00847B64">
        <w:rPr>
          <w:rStyle w:val="AERbodytextChar"/>
          <w:rFonts w:eastAsiaTheme="minorHAnsi"/>
        </w:rPr>
        <w:t xml:space="preserve">We have considered </w:t>
      </w:r>
      <w:r>
        <w:rPr>
          <w:rStyle w:val="AERbodytextChar"/>
          <w:rFonts w:eastAsiaTheme="minorHAnsi"/>
        </w:rPr>
        <w:t>AGN's</w:t>
      </w:r>
      <w:r w:rsidRPr="00847B64">
        <w:rPr>
          <w:rStyle w:val="AERbodytextChar"/>
          <w:rFonts w:eastAsiaTheme="minorHAnsi"/>
        </w:rPr>
        <w:t xml:space="preserve"> </w:t>
      </w:r>
      <w:r w:rsidR="00E307A9" w:rsidRPr="00847B64">
        <w:rPr>
          <w:rStyle w:val="AERbodytextChar"/>
          <w:rFonts w:eastAsiaTheme="minorHAnsi"/>
        </w:rPr>
        <w:t xml:space="preserve">arguments and </w:t>
      </w:r>
      <w:r w:rsidR="00B60D3F">
        <w:rPr>
          <w:rStyle w:val="AERbodytextChar"/>
          <w:rFonts w:eastAsiaTheme="minorHAnsi"/>
        </w:rPr>
        <w:t>those raised in submissions</w:t>
      </w:r>
      <w:r>
        <w:rPr>
          <w:rStyle w:val="AERbodytextChar"/>
          <w:rFonts w:eastAsiaTheme="minorHAnsi"/>
        </w:rPr>
        <w:t xml:space="preserve">, </w:t>
      </w:r>
      <w:r w:rsidR="00B60D3F">
        <w:rPr>
          <w:rStyle w:val="AERbodytextChar"/>
          <w:rFonts w:eastAsiaTheme="minorHAnsi"/>
        </w:rPr>
        <w:t>and</w:t>
      </w:r>
      <w:r w:rsidR="00222675">
        <w:rPr>
          <w:rStyle w:val="AERbodytextChar"/>
          <w:rFonts w:eastAsiaTheme="minorHAnsi"/>
        </w:rPr>
        <w:t xml:space="preserve"> </w:t>
      </w:r>
      <w:r w:rsidR="00E307A9" w:rsidRPr="00847B64">
        <w:rPr>
          <w:rStyle w:val="AERbodytextChar"/>
          <w:rFonts w:eastAsiaTheme="minorHAnsi"/>
        </w:rPr>
        <w:t xml:space="preserve">do not </w:t>
      </w:r>
      <w:r w:rsidR="00222675">
        <w:rPr>
          <w:rStyle w:val="AERbodytextChar"/>
          <w:rFonts w:eastAsiaTheme="minorHAnsi"/>
        </w:rPr>
        <w:t>consider that there are reasons</w:t>
      </w:r>
      <w:r w:rsidR="00E307A9" w:rsidRPr="00847B64">
        <w:rPr>
          <w:rStyle w:val="AERbodytextChar"/>
          <w:rFonts w:eastAsiaTheme="minorHAnsi"/>
        </w:rPr>
        <w:t xml:space="preserve"> for us to depart from the Guideline. </w:t>
      </w:r>
    </w:p>
    <w:p w:rsidR="00E307A9" w:rsidRDefault="00E307A9" w:rsidP="00E307A9">
      <w:pPr>
        <w:rPr>
          <w:rStyle w:val="AERbodytextChar"/>
          <w:rFonts w:eastAsiaTheme="minorHAnsi"/>
        </w:rPr>
      </w:pPr>
      <w:r w:rsidRPr="00847B64">
        <w:rPr>
          <w:rStyle w:val="AERbodytextChar"/>
          <w:rFonts w:eastAsiaTheme="minorHAnsi"/>
        </w:rPr>
        <w:t xml:space="preserve">This </w:t>
      </w:r>
      <w:r>
        <w:rPr>
          <w:rStyle w:val="AERbodytextChar"/>
          <w:rFonts w:eastAsiaTheme="minorHAnsi"/>
        </w:rPr>
        <w:t>draft</w:t>
      </w:r>
      <w:r w:rsidRPr="00847B64">
        <w:rPr>
          <w:rStyle w:val="AERbodytextChar"/>
          <w:rFonts w:eastAsiaTheme="minorHAnsi"/>
        </w:rPr>
        <w:t xml:space="preserve"> decision on rate of return is consistent with our mid-2015 final decisions for the New South Wales and ACT electricity distribution</w:t>
      </w:r>
      <w:r>
        <w:rPr>
          <w:rStyle w:val="AERbodytextChar"/>
          <w:rFonts w:eastAsiaTheme="minorHAnsi"/>
        </w:rPr>
        <w:t xml:space="preserve"> and transmission</w:t>
      </w:r>
      <w:r w:rsidRPr="00847B64">
        <w:rPr>
          <w:rStyle w:val="AERbodytextChar"/>
          <w:rFonts w:eastAsiaTheme="minorHAnsi"/>
        </w:rPr>
        <w:t xml:space="preserve">, and New South Wales gas distribution, network businesses. </w:t>
      </w:r>
      <w:r>
        <w:rPr>
          <w:rStyle w:val="AERbodytextChar"/>
          <w:rFonts w:eastAsiaTheme="minorHAnsi"/>
        </w:rPr>
        <w:t>Some of these</w:t>
      </w:r>
      <w:r w:rsidRPr="00847B64">
        <w:rPr>
          <w:rStyle w:val="AERbodytextChar"/>
          <w:rFonts w:eastAsiaTheme="minorHAnsi"/>
        </w:rPr>
        <w:t xml:space="preserve"> network businesses have appealed many aspects of our rate of return decisions to the Australian Competition Tribunal.</w:t>
      </w:r>
      <w:r w:rsidR="00D309E2">
        <w:rPr>
          <w:rStyle w:val="AERbodytextChar"/>
          <w:rFonts w:eastAsiaTheme="minorHAnsi"/>
        </w:rPr>
        <w:t xml:space="preserve"> </w:t>
      </w:r>
      <w:r w:rsidRPr="00847B64">
        <w:rPr>
          <w:rStyle w:val="AERbodytextChar"/>
          <w:rFonts w:eastAsiaTheme="minorHAnsi"/>
        </w:rPr>
        <w:t xml:space="preserve">The Tribunal’s process had not been finalised at the time of this </w:t>
      </w:r>
      <w:r>
        <w:rPr>
          <w:rStyle w:val="AERbodytextChar"/>
          <w:rFonts w:eastAsiaTheme="minorHAnsi"/>
        </w:rPr>
        <w:t>draft</w:t>
      </w:r>
      <w:r w:rsidRPr="00847B64">
        <w:rPr>
          <w:rStyle w:val="AERbodytextChar"/>
          <w:rFonts w:eastAsiaTheme="minorHAnsi"/>
        </w:rPr>
        <w:t xml:space="preserve"> decision.</w:t>
      </w:r>
    </w:p>
    <w:p w:rsidR="0053398B" w:rsidRDefault="00985AEA" w:rsidP="00032619">
      <w:pPr>
        <w:pStyle w:val="HeadingBoldBlue"/>
        <w:keepNext/>
        <w:rPr>
          <w:rStyle w:val="AERbodytextChar"/>
          <w:rFonts w:eastAsiaTheme="minorHAnsi"/>
        </w:rPr>
      </w:pPr>
      <w:r>
        <w:rPr>
          <w:rStyle w:val="AERbodytextChar"/>
          <w:rFonts w:eastAsiaTheme="minorHAnsi"/>
        </w:rPr>
        <w:t>Relationship between return on and return of capital</w:t>
      </w:r>
    </w:p>
    <w:p w:rsidR="000A6C05" w:rsidRDefault="002757A7" w:rsidP="002757A7">
      <w:pPr>
        <w:rPr>
          <w:rStyle w:val="AERbody"/>
        </w:rPr>
      </w:pPr>
      <w:r w:rsidRPr="00D57689">
        <w:t xml:space="preserve">The depreciation </w:t>
      </w:r>
      <w:r w:rsidRPr="002757A7">
        <w:t xml:space="preserve">(or return of capital) allowance in our decision on AGN's revenue determines how quickly the capital base is being recovered. Higher (or quicker) depreciation leads to higher revenues over the access arrangement period. </w:t>
      </w:r>
      <w:r w:rsidR="00487BA1">
        <w:t>AGN proposed a depreciation allowance that aligned with our standard approach. However, AGN also included an alternative proposal for higher depreciation</w:t>
      </w:r>
      <w:r w:rsidR="002B2DEC">
        <w:t>, contingent on an assessment of its financeability</w:t>
      </w:r>
      <w:r w:rsidR="00487BA1">
        <w:t xml:space="preserve">. </w:t>
      </w:r>
      <w:r w:rsidRPr="002757A7">
        <w:rPr>
          <w:rStyle w:val="AERbody"/>
        </w:rPr>
        <w:t>AGN submitted that it must be allowed sufficient cash flow to maintain the benchmark BBB+ credit rating that is assumed by the AER when setting the rate of return.</w:t>
      </w:r>
      <w:r w:rsidRPr="002757A7">
        <w:rPr>
          <w:rStyle w:val="AERsuperscript"/>
        </w:rPr>
        <w:footnoteReference w:id="10"/>
      </w:r>
      <w:r w:rsidRPr="002757A7">
        <w:rPr>
          <w:rStyle w:val="AERbody"/>
        </w:rPr>
        <w:t xml:space="preserve"> Its proposal focused on the rate of return as the catalyst for its concerns over its credit rating, and suggested that a different approach to depreciation should apply if </w:t>
      </w:r>
      <w:r w:rsidR="002B2DEC">
        <w:rPr>
          <w:rStyle w:val="AERbody"/>
        </w:rPr>
        <w:t>particular</w:t>
      </w:r>
      <w:r w:rsidRPr="002757A7">
        <w:rPr>
          <w:rStyle w:val="AERbody"/>
        </w:rPr>
        <w:t xml:space="preserve"> credit metrics were not met.</w:t>
      </w:r>
    </w:p>
    <w:p w:rsidR="002757A7" w:rsidRPr="002757A7" w:rsidRDefault="002757A7" w:rsidP="002757A7">
      <w:r w:rsidRPr="002757A7">
        <w:rPr>
          <w:rStyle w:val="AERbody"/>
        </w:rPr>
        <w:t xml:space="preserve">We do not accept the contingent nature of AGN’s proposal. </w:t>
      </w:r>
      <w:r w:rsidR="00F63255">
        <w:rPr>
          <w:rStyle w:val="AERbody"/>
        </w:rPr>
        <w:t>Its</w:t>
      </w:r>
      <w:r w:rsidRPr="002757A7">
        <w:rPr>
          <w:rStyle w:val="AERbody"/>
        </w:rPr>
        <w:t xml:space="preserve"> alternative proposal </w:t>
      </w:r>
      <w:r>
        <w:rPr>
          <w:rStyle w:val="AERbody"/>
        </w:rPr>
        <w:t xml:space="preserve">is incomplete and undeveloped. </w:t>
      </w:r>
      <w:r w:rsidRPr="002757A7">
        <w:rPr>
          <w:rStyle w:val="AERbody"/>
        </w:rPr>
        <w:t>As a result, we are not able to accept it. Further, it is difficult for other stakeholders to provide comments on a proposal that is only referred to in incomplete and general terms.</w:t>
      </w:r>
    </w:p>
    <w:p w:rsidR="002757A7" w:rsidRDefault="002757A7" w:rsidP="002757A7">
      <w:pPr>
        <w:rPr>
          <w:rStyle w:val="AERbody"/>
        </w:rPr>
      </w:pPr>
      <w:r>
        <w:rPr>
          <w:rStyle w:val="AERbody"/>
        </w:rPr>
        <w:t xml:space="preserve">In making our draft decision we have considered the manner in which the constituent components of our decision relate to each other. We have also considered the manner in which those interrelationships should be taken into account in our overall decision. AGN </w:t>
      </w:r>
      <w:r w:rsidR="00FC762C">
        <w:rPr>
          <w:rStyle w:val="AERbody"/>
        </w:rPr>
        <w:t xml:space="preserve">(and its consultant, Incenta) </w:t>
      </w:r>
      <w:r>
        <w:rPr>
          <w:rStyle w:val="AERbody"/>
        </w:rPr>
        <w:t xml:space="preserve">submitted that there is </w:t>
      </w:r>
      <w:r w:rsidR="00FC762C">
        <w:rPr>
          <w:rStyle w:val="AERbody"/>
        </w:rPr>
        <w:t>a specific</w:t>
      </w:r>
      <w:r>
        <w:rPr>
          <w:rStyle w:val="AERbody"/>
        </w:rPr>
        <w:t xml:space="preserve"> interrelationship between depreciation and rate of return, and that one or the other should be set to achieve particular credit metrics. However, for the reasons set out in attachments 3 and 5, we consider that this suggested interrelationship is overstated. </w:t>
      </w:r>
      <w:r>
        <w:t>Neither AGN nor Incenta has engaged with the potential long-term consequences of the approach, or demonstrated why accelerated depreciation would achieve the depreciation criteria in the rules.</w:t>
      </w:r>
      <w:r>
        <w:rPr>
          <w:rStyle w:val="FootnoteReference"/>
        </w:rPr>
        <w:footnoteReference w:id="11"/>
      </w:r>
    </w:p>
    <w:p w:rsidR="002757A7" w:rsidRDefault="002757A7" w:rsidP="002757A7">
      <w:pPr>
        <w:keepNext/>
      </w:pPr>
      <w:r>
        <w:rPr>
          <w:rStyle w:val="AERbody"/>
        </w:rPr>
        <w:t>Further, we are not persuaded by AGN or Incenta</w:t>
      </w:r>
      <w:r w:rsidRPr="002757A7">
        <w:rPr>
          <w:rStyle w:val="AERbody"/>
        </w:rPr>
        <w:t>’s analysis regarding credit metrics</w:t>
      </w:r>
      <w:r w:rsidRPr="002757A7">
        <w:t xml:space="preserve"> (as discussed in attachment 3). </w:t>
      </w:r>
      <w:r w:rsidRPr="002757A7">
        <w:rPr>
          <w:rStyle w:val="AERbody"/>
        </w:rPr>
        <w:t xml:space="preserve">For this reason, we are not satisfied that there is evidence that </w:t>
      </w:r>
      <w:r w:rsidR="00FC762C">
        <w:rPr>
          <w:rStyle w:val="AERbody"/>
        </w:rPr>
        <w:t xml:space="preserve">a benchmark business in the circumstances of </w:t>
      </w:r>
      <w:r w:rsidRPr="002757A7">
        <w:rPr>
          <w:rStyle w:val="AERbody"/>
        </w:rPr>
        <w:t xml:space="preserve">AGN faces a credit rating downgrade or a financeability problem more generally. </w:t>
      </w:r>
      <w:r w:rsidRPr="002757A7">
        <w:t>Overall, we are satisfied that AGN’s proposed regulatory depreciation approach, as opposed to its alternative contingent proposal, allows for AGN’s reasonable needs for cash flow to meet financing, non-capital and other costs.</w:t>
      </w:r>
      <w:r w:rsidRPr="002757A7">
        <w:rPr>
          <w:rStyle w:val="FootnoteReference"/>
        </w:rPr>
        <w:footnoteReference w:id="12"/>
      </w:r>
    </w:p>
    <w:p w:rsidR="00E307A9" w:rsidRPr="00E307A9" w:rsidRDefault="00254D9B" w:rsidP="00E50811">
      <w:pPr>
        <w:pStyle w:val="Heading3"/>
      </w:pPr>
      <w:bookmarkStart w:id="40" w:name="_Toc435706062"/>
      <w:bookmarkStart w:id="41" w:name="_Toc435706063"/>
      <w:bookmarkStart w:id="42" w:name="_Toc435706064"/>
      <w:bookmarkStart w:id="43" w:name="_Ref433888981"/>
      <w:bookmarkStart w:id="44" w:name="_Toc436037686"/>
      <w:bookmarkEnd w:id="40"/>
      <w:bookmarkEnd w:id="41"/>
      <w:bookmarkEnd w:id="42"/>
      <w:r>
        <w:t>Forecast demand</w:t>
      </w:r>
      <w:bookmarkEnd w:id="43"/>
      <w:bookmarkEnd w:id="44"/>
    </w:p>
    <w:p w:rsidR="004A097E" w:rsidRDefault="00761403" w:rsidP="00710D26">
      <w:r>
        <w:t>Past trends in gas connections and usage suggest that demand on AGN’s network continues to decline</w:t>
      </w:r>
      <w:r w:rsidR="002564DE">
        <w:t>, as reflected in the demand forecasts that have informed our draft decision</w:t>
      </w:r>
      <w:r>
        <w:t>.</w:t>
      </w:r>
      <w:r w:rsidR="002564DE">
        <w:t xml:space="preserve"> While these suggest a more gradual decline in </w:t>
      </w:r>
      <w:r w:rsidR="007E7E78">
        <w:t xml:space="preserve">consumption in </w:t>
      </w:r>
      <w:r w:rsidR="002564DE">
        <w:t>some sectors than AGN put to us in its proposal, they still point to a reduction in the revenue AGN will require to operate its network and provide safe, reliable services going forward.</w:t>
      </w:r>
      <w:r w:rsidR="00B75B5B">
        <w:t xml:space="preserve"> </w:t>
      </w:r>
      <w:r w:rsidR="002564DE">
        <w:t>This is</w:t>
      </w:r>
      <w:r w:rsidR="00B75B5B">
        <w:t xml:space="preserve"> because AGN will be under less pressure to expand the capacity of its network. </w:t>
      </w:r>
    </w:p>
    <w:p w:rsidR="00297F67" w:rsidRDefault="00E23802" w:rsidP="00710D26">
      <w:r>
        <w:t xml:space="preserve">Our draft decision not to accept AGN's demand forecasts </w:t>
      </w:r>
      <w:r w:rsidR="00B75B5B">
        <w:t>is</w:t>
      </w:r>
      <w:r w:rsidR="002564DE">
        <w:t xml:space="preserve"> reflected in</w:t>
      </w:r>
      <w:r w:rsidR="00B75B5B">
        <w:t xml:space="preserve"> </w:t>
      </w:r>
      <w:r w:rsidR="0040279B">
        <w:t xml:space="preserve">the approved opex in </w:t>
      </w:r>
      <w:r w:rsidR="00B75B5B">
        <w:t>our draft decision</w:t>
      </w:r>
      <w:r w:rsidR="0040279B">
        <w:t xml:space="preserve">, which assumes a lower output change than AGN has proposed. </w:t>
      </w:r>
      <w:r w:rsidR="00297F67">
        <w:t xml:space="preserve">For example, opex includes maintenance expenditure which will vary depending on the size of the network, and expenditure due to gas leakage, which will vary depending on throughput. We have </w:t>
      </w:r>
      <w:r w:rsidR="007E7E78">
        <w:t>taken</w:t>
      </w:r>
      <w:r w:rsidR="00297F67">
        <w:t xml:space="preserve"> the impact of changes in customer numbers and gas throughput </w:t>
      </w:r>
      <w:r w:rsidR="007E7E78">
        <w:t>into account in deriving</w:t>
      </w:r>
      <w:r w:rsidR="00297F67">
        <w:t xml:space="preserve"> our output rate of change.</w:t>
      </w:r>
    </w:p>
    <w:p w:rsidR="0040279B" w:rsidRDefault="0040279B" w:rsidP="00710D26">
      <w:r>
        <w:t xml:space="preserve">The impact of </w:t>
      </w:r>
      <w:r w:rsidR="00E23802">
        <w:t xml:space="preserve">our decision on </w:t>
      </w:r>
      <w:r>
        <w:t xml:space="preserve">forecast demand can also be seen in our draft decision on </w:t>
      </w:r>
      <w:r w:rsidR="00C4707E">
        <w:t>forecast capex for new connections and augmentation.</w:t>
      </w:r>
    </w:p>
    <w:p w:rsidR="00254D9B" w:rsidRDefault="00254D9B" w:rsidP="000B4584">
      <w:pPr>
        <w:pStyle w:val="Heading3"/>
      </w:pPr>
      <w:bookmarkStart w:id="45" w:name="_Ref433888992"/>
      <w:bookmarkStart w:id="46" w:name="_Toc436037687"/>
      <w:r>
        <w:t>Approved operating expenditure</w:t>
      </w:r>
      <w:bookmarkEnd w:id="45"/>
      <w:bookmarkEnd w:id="46"/>
    </w:p>
    <w:p w:rsidR="000B4584" w:rsidRDefault="00A7168D" w:rsidP="005B21C1">
      <w:r>
        <w:t xml:space="preserve">Our draft decision approves total </w:t>
      </w:r>
      <w:r w:rsidR="000B4584">
        <w:t xml:space="preserve">forecast opex </w:t>
      </w:r>
      <w:r>
        <w:t>of</w:t>
      </w:r>
      <w:r w:rsidR="00061794">
        <w:t xml:space="preserve"> $</w:t>
      </w:r>
      <w:r w:rsidR="005A4F2B">
        <w:t xml:space="preserve">342 </w:t>
      </w:r>
      <w:r w:rsidR="00061794">
        <w:t>million ($2015–16)</w:t>
      </w:r>
      <w:r>
        <w:t xml:space="preserve"> for the 2016–21 access arrangement period. </w:t>
      </w:r>
      <w:r w:rsidR="00FA45CE">
        <w:t xml:space="preserve">Our assessment of efficient opex takes into account a number of </w:t>
      </w:r>
      <w:r w:rsidR="008430E1">
        <w:t>countervailing</w:t>
      </w:r>
      <w:r w:rsidR="00FA45CE">
        <w:t xml:space="preserve"> factors. </w:t>
      </w:r>
      <w:r w:rsidR="002E2208">
        <w:t>The wholesale gas prices AGN will need to</w:t>
      </w:r>
      <w:r w:rsidR="002E2208" w:rsidRPr="00886E42">
        <w:t xml:space="preserve"> pay for UAFG</w:t>
      </w:r>
      <w:r w:rsidR="002E2208">
        <w:t xml:space="preserve"> are increasing. However, </w:t>
      </w:r>
      <w:r w:rsidR="00FA45CE">
        <w:t xml:space="preserve">AGN's efficiency gains in the current </w:t>
      </w:r>
      <w:r w:rsidR="0044248B">
        <w:t xml:space="preserve">access arrangement period bring the base year expenditure that informs our opex forecast down. </w:t>
      </w:r>
      <w:r w:rsidR="002E2208">
        <w:t xml:space="preserve">The total opex we have approved is four per cent lower than AGN proposed, and broadly in line with current levels of expenditure. </w:t>
      </w:r>
    </w:p>
    <w:p w:rsidR="00113A06" w:rsidRDefault="000B4584" w:rsidP="000B4584">
      <w:r w:rsidRPr="000B4584">
        <w:t xml:space="preserve">UAFG is the difference between the volume of gas that enters a distribution pipeline and the volume of gas billed to customers. </w:t>
      </w:r>
      <w:r w:rsidR="001F1166">
        <w:t xml:space="preserve">AGN must meet the cost of that difference, </w:t>
      </w:r>
      <w:r w:rsidR="007F2DCD">
        <w:t xml:space="preserve">by </w:t>
      </w:r>
      <w:r w:rsidR="001F1166">
        <w:t xml:space="preserve">purchasing </w:t>
      </w:r>
      <w:r w:rsidR="009E6C21">
        <w:t xml:space="preserve">gas </w:t>
      </w:r>
      <w:r w:rsidR="001F1166">
        <w:t>from the wholesale market</w:t>
      </w:r>
      <w:r w:rsidRPr="000B4584">
        <w:t xml:space="preserve">. </w:t>
      </w:r>
      <w:r w:rsidR="00113A06" w:rsidRPr="000B4584">
        <w:t>AGN</w:t>
      </w:r>
      <w:r w:rsidR="00113A06">
        <w:t>'s</w:t>
      </w:r>
      <w:r w:rsidR="00113A06" w:rsidRPr="000B4584">
        <w:t xml:space="preserve"> forecast UAFG costs</w:t>
      </w:r>
      <w:r w:rsidR="00113A06">
        <w:t xml:space="preserve">, which we have included in our approved opex forecast, make up </w:t>
      </w:r>
      <w:r w:rsidR="00113A06" w:rsidRPr="000B4584">
        <w:t>around 16 per cent of total opex.</w:t>
      </w:r>
      <w:r w:rsidR="00113A06" w:rsidRPr="00886E42">
        <w:t xml:space="preserve"> </w:t>
      </w:r>
      <w:r w:rsidR="00113A06">
        <w:t xml:space="preserve">This is the main driver for the increase in </w:t>
      </w:r>
      <w:r w:rsidR="00146A27">
        <w:t xml:space="preserve">AGN's </w:t>
      </w:r>
      <w:r w:rsidR="00113A06">
        <w:t xml:space="preserve">opex from the current period. </w:t>
      </w:r>
    </w:p>
    <w:p w:rsidR="000B4584" w:rsidRDefault="00FA07DD" w:rsidP="000B4584">
      <w:r>
        <w:t xml:space="preserve">UAFG levels have fallen over the current period, and </w:t>
      </w:r>
      <w:r w:rsidR="007E7E78" w:rsidRPr="007E7E78">
        <w:t>with the benefit of forecast capex for AGN's ongoing mains replacement program (discussed below)</w:t>
      </w:r>
      <w:r w:rsidR="007E7E78">
        <w:t xml:space="preserve">, </w:t>
      </w:r>
      <w:r>
        <w:t xml:space="preserve">we expect will continue to do so. This reduction in UAFG volumes is offset, however, by forecast increases in wholesale gas prices. </w:t>
      </w:r>
    </w:p>
    <w:p w:rsidR="00542636" w:rsidRDefault="00542636" w:rsidP="000B4584">
      <w:r>
        <w:t xml:space="preserve">Within the 2016–21 access arrangement period, two things will impact how </w:t>
      </w:r>
      <w:r w:rsidR="009E506E">
        <w:t xml:space="preserve">this forecast increase to </w:t>
      </w:r>
      <w:r>
        <w:t>AGN's UAFG costs will flow through to customers.</w:t>
      </w:r>
    </w:p>
    <w:p w:rsidR="000B4584" w:rsidRPr="000B4584" w:rsidRDefault="000B4584" w:rsidP="000B4584">
      <w:r w:rsidRPr="000B4584">
        <w:t xml:space="preserve">AGN is currently participating in AEMO’s review of the arrangements for the treatment of UAFG, which is considering </w:t>
      </w:r>
      <w:r w:rsidR="007E7E78">
        <w:t xml:space="preserve">a proposal to </w:t>
      </w:r>
      <w:r w:rsidRPr="000B4584">
        <w:t>transfer</w:t>
      </w:r>
      <w:r w:rsidR="007E7E78">
        <w:t xml:space="preserve"> </w:t>
      </w:r>
      <w:r w:rsidRPr="000B4584">
        <w:t>the responsibility for supplying UAFG from AGN to retailers and self–contracting users.</w:t>
      </w:r>
      <w:r w:rsidR="00222675">
        <w:rPr>
          <w:rStyle w:val="FootnoteReference"/>
        </w:rPr>
        <w:footnoteReference w:id="13"/>
      </w:r>
      <w:r w:rsidRPr="000B4584">
        <w:t xml:space="preserve"> If the proposal is implemented</w:t>
      </w:r>
      <w:r w:rsidR="008430E1">
        <w:t xml:space="preserve">, </w:t>
      </w:r>
      <w:r w:rsidR="00670633">
        <w:t>one potential outcome is that</w:t>
      </w:r>
      <w:r w:rsidRPr="000B4584">
        <w:t xml:space="preserve"> AGN</w:t>
      </w:r>
      <w:r w:rsidR="007F2DCD">
        <w:t xml:space="preserve"> would not incur any</w:t>
      </w:r>
      <w:r w:rsidRPr="000B4584">
        <w:t xml:space="preserve"> UAFG costs. </w:t>
      </w:r>
      <w:r w:rsidR="00670633">
        <w:t>If this occurred, t</w:t>
      </w:r>
      <w:r w:rsidRPr="000B4584">
        <w:t xml:space="preserve">his reduction in costs </w:t>
      </w:r>
      <w:r w:rsidR="00EC650B">
        <w:t>would</w:t>
      </w:r>
      <w:r w:rsidRPr="000B4584">
        <w:t xml:space="preserve"> </w:t>
      </w:r>
      <w:r w:rsidR="00617C81">
        <w:t xml:space="preserve">then </w:t>
      </w:r>
      <w:r w:rsidRPr="000B4584">
        <w:t>be passed through to customers through the cost pass through mechanism</w:t>
      </w:r>
      <w:r w:rsidR="00617C81">
        <w:t xml:space="preserve">, in the form of lower </w:t>
      </w:r>
      <w:r w:rsidR="007F2DCD">
        <w:t>reference tariffs</w:t>
      </w:r>
      <w:r w:rsidRPr="000B4584">
        <w:t>.</w:t>
      </w:r>
      <w:r w:rsidR="00E23802">
        <w:rPr>
          <w:rStyle w:val="FootnoteReference"/>
        </w:rPr>
        <w:footnoteReference w:id="14"/>
      </w:r>
    </w:p>
    <w:p w:rsidR="00254D9B" w:rsidRDefault="000B4584" w:rsidP="005B21C1">
      <w:r w:rsidRPr="000B4584">
        <w:t xml:space="preserve">For the purposes of this draft decision we cannot pre-empt the outcomes of AEMO’s review and must assess AGN’s forecast of UAFG costs as though this change will not occur. </w:t>
      </w:r>
      <w:r w:rsidR="007F2DCD">
        <w:t xml:space="preserve">Our </w:t>
      </w:r>
      <w:r w:rsidR="00BA77F3">
        <w:t>draft decision introduces</w:t>
      </w:r>
      <w:r w:rsidRPr="000B4584">
        <w:t xml:space="preserve"> a </w:t>
      </w:r>
      <w:r w:rsidR="00146A27">
        <w:t xml:space="preserve">new </w:t>
      </w:r>
      <w:r w:rsidRPr="000B4584">
        <w:t>mechanism to reduce the exposure of AGN and its customers from windfall gains or losses arising from significant variations in gas prices</w:t>
      </w:r>
      <w:r w:rsidR="00BA77F3">
        <w:t>. Reference tariffs will now be adjusted annually to reflect movement</w:t>
      </w:r>
      <w:r w:rsidR="00671CEA">
        <w:t>s</w:t>
      </w:r>
      <w:r w:rsidR="00BA77F3">
        <w:t xml:space="preserve"> in wholesale gas prices relative to the forecasts </w:t>
      </w:r>
      <w:r w:rsidR="00671CEA">
        <w:t xml:space="preserve">included </w:t>
      </w:r>
      <w:r w:rsidR="00BA77F3">
        <w:t>in our decision</w:t>
      </w:r>
      <w:r w:rsidRPr="000B4584">
        <w:t xml:space="preserve">. </w:t>
      </w:r>
      <w:r w:rsidR="00113A06">
        <w:t xml:space="preserve">The mechanism set out in this draft decision </w:t>
      </w:r>
      <w:r w:rsidR="009E506E">
        <w:t xml:space="preserve">specifically </w:t>
      </w:r>
      <w:r w:rsidR="00113A06">
        <w:t xml:space="preserve">targets changes in wholesale gas prices, rather than UAFG volumes. This </w:t>
      </w:r>
      <w:r w:rsidR="009E506E">
        <w:t xml:space="preserve">means </w:t>
      </w:r>
      <w:r w:rsidR="00113A06">
        <w:t xml:space="preserve">AGN </w:t>
      </w:r>
      <w:r w:rsidR="009E506E">
        <w:t xml:space="preserve">has an ongoing incentive </w:t>
      </w:r>
      <w:r w:rsidR="00113A06">
        <w:t>to manage UAFG levels</w:t>
      </w:r>
      <w:r w:rsidR="009E506E">
        <w:t xml:space="preserve"> on its network</w:t>
      </w:r>
      <w:r w:rsidR="00113A06">
        <w:t>, including through its capex program which we discuss further below.</w:t>
      </w:r>
    </w:p>
    <w:p w:rsidR="00254D9B" w:rsidRDefault="00254D9B" w:rsidP="00542636">
      <w:pPr>
        <w:pStyle w:val="Heading3"/>
      </w:pPr>
      <w:bookmarkStart w:id="47" w:name="_Ref433889003"/>
      <w:bookmarkStart w:id="48" w:name="_Toc436037688"/>
      <w:r>
        <w:t>Approved capital expenditure</w:t>
      </w:r>
      <w:bookmarkEnd w:id="47"/>
      <w:bookmarkEnd w:id="48"/>
    </w:p>
    <w:p w:rsidR="0046257A" w:rsidRPr="0046257A" w:rsidRDefault="006D3C72" w:rsidP="0046257A">
      <w:r>
        <w:t xml:space="preserve">Our draft decision includes forecast capex of </w:t>
      </w:r>
      <w:r w:rsidR="0046257A" w:rsidRPr="00CA131C">
        <w:t>$</w:t>
      </w:r>
      <w:r w:rsidR="0046257A" w:rsidRPr="00132E30">
        <w:t>393.</w:t>
      </w:r>
      <w:r w:rsidR="00C659D1">
        <w:t>0</w:t>
      </w:r>
      <w:r w:rsidR="0046257A" w:rsidRPr="00CA131C">
        <w:t xml:space="preserve"> million ($201</w:t>
      </w:r>
      <w:r w:rsidR="0046257A">
        <w:t>4–15</w:t>
      </w:r>
      <w:r w:rsidR="0046257A" w:rsidRPr="00CA131C">
        <w:t>)</w:t>
      </w:r>
      <w:r>
        <w:t xml:space="preserve">. This </w:t>
      </w:r>
      <w:r w:rsidR="00C9588C">
        <w:t xml:space="preserve">is a reduction of 44 per cent from what AGN proposed. We are satisfied, however, that this </w:t>
      </w:r>
      <w:r w:rsidR="008430E1">
        <w:t xml:space="preserve">forecast </w:t>
      </w:r>
      <w:r w:rsidR="00C9588C">
        <w:t xml:space="preserve">will enable AGN to maintain the safety of </w:t>
      </w:r>
      <w:r w:rsidR="00EC650B">
        <w:t>its</w:t>
      </w:r>
      <w:r w:rsidR="00C9588C">
        <w:t xml:space="preserve"> network, maintain system integrity and continue to provide a safe and reliable service to its customers. This is because the </w:t>
      </w:r>
      <w:r>
        <w:t xml:space="preserve">forecast </w:t>
      </w:r>
      <w:r w:rsidR="00C9588C">
        <w:t>we have set makes provision for projects</w:t>
      </w:r>
      <w:r w:rsidR="00670633">
        <w:t xml:space="preserve"> that are justified on grounds set out in the NGR</w:t>
      </w:r>
      <w:r w:rsidR="00670633">
        <w:rPr>
          <w:rStyle w:val="FootnoteReference"/>
        </w:rPr>
        <w:footnoteReference w:id="15"/>
      </w:r>
      <w:r w:rsidR="00C9588C">
        <w:t>, and capex such as would be incurred by a prudent operator acting efficiently, in accordance with accepted good industry practice, to achieve the lowest sustainable cost of providing services.</w:t>
      </w:r>
      <w:r w:rsidR="00670633">
        <w:rPr>
          <w:rStyle w:val="FootnoteReference"/>
        </w:rPr>
        <w:footnoteReference w:id="16"/>
      </w:r>
    </w:p>
    <w:p w:rsidR="0094797C" w:rsidRDefault="0094797C" w:rsidP="005B21C1">
      <w:r>
        <w:t xml:space="preserve">The key driver of difference between our draft decision on forecast capex and that proposed by AGN is its mains replacement program. </w:t>
      </w:r>
      <w:r w:rsidR="00C9588C">
        <w:t xml:space="preserve">Over the last two access arrangement periods AGN has </w:t>
      </w:r>
      <w:r w:rsidR="00E26EDB">
        <w:t>progressed a significant mains replacement program. From 2006 to 2016, it estimates that it will have replaced over 1600 kilometres of mains. AGN</w:t>
      </w:r>
      <w:r w:rsidR="00A72C0A">
        <w:t xml:space="preserve">'s forecast capex for 2016–21 targets a </w:t>
      </w:r>
      <w:r w:rsidR="00E26EDB">
        <w:t>further 1273 kilometres</w:t>
      </w:r>
      <w:r w:rsidR="00A72C0A">
        <w:t xml:space="preserve">, at a forecast cost of </w:t>
      </w:r>
      <w:r>
        <w:t>$</w:t>
      </w:r>
      <w:r w:rsidR="00F142AD">
        <w:t>369.9</w:t>
      </w:r>
      <w:r>
        <w:t xml:space="preserve"> million ($2014-15)</w:t>
      </w:r>
      <w:r w:rsidR="00E26EDB">
        <w:t xml:space="preserve"> </w:t>
      </w:r>
      <w:r w:rsidR="00EC650B">
        <w:t>over</w:t>
      </w:r>
      <w:r w:rsidR="00E26EDB">
        <w:t xml:space="preserve"> the 2016–21 access arrangement period.</w:t>
      </w:r>
      <w:r w:rsidR="00A72C0A">
        <w:t xml:space="preserve"> </w:t>
      </w:r>
    </w:p>
    <w:p w:rsidR="00321D2D" w:rsidRDefault="00321D2D" w:rsidP="005B21C1">
      <w:r>
        <w:t>We have included $167.7 million ($2015, unescalated direct costs) of mains replacement</w:t>
      </w:r>
      <w:r w:rsidRPr="00F75FD3">
        <w:t xml:space="preserve"> </w:t>
      </w:r>
      <w:r>
        <w:t>capex in our alternative estimate in this draft decision. This is 54.7 per cent less than AGN's proposed forecast expenditure for its mains replacement program.</w:t>
      </w:r>
    </w:p>
    <w:p w:rsidR="006D3C72" w:rsidRPr="006D3C72" w:rsidRDefault="006D3C72" w:rsidP="00741727">
      <w:r w:rsidRPr="007C7E79">
        <w:t xml:space="preserve">We have undertaken a technical review of </w:t>
      </w:r>
      <w:r>
        <w:t>the mains replacement program,</w:t>
      </w:r>
      <w:r w:rsidRPr="007C7E79">
        <w:t xml:space="preserve"> which has drawn on internal engin</w:t>
      </w:r>
      <w:r>
        <w:t>eering and technical expertise. Based on the information before us, we are not satisfied that AGN’s proposed forecast capex of $369.9 million for its mains replacement program, and the associated target of 1273 kilometres of main pipes to be replaced, is conforming capex that complies with rule 79.</w:t>
      </w:r>
      <w:r w:rsidRPr="006D3C72">
        <w:t xml:space="preserve"> </w:t>
      </w:r>
    </w:p>
    <w:p w:rsidR="006D3C72" w:rsidRPr="006D3C72" w:rsidRDefault="006D3C72" w:rsidP="00741727">
      <w:r>
        <w:t>The information that AGN has provided us does not support or demonstrate that its propos</w:t>
      </w:r>
      <w:r w:rsidR="00E90DAD">
        <w:t>ed forecast</w:t>
      </w:r>
      <w:r>
        <w:t xml:space="preserve"> is</w:t>
      </w:r>
      <w:r w:rsidRPr="006D3C72">
        <w:t xml:space="preserve"> prudent or efficient. In particular, AGN did not provide a rigorous (quantitative) risk assessment to establish that its proposed rate of mains replacement over the 2016</w:t>
      </w:r>
      <w:r w:rsidR="001E3641">
        <w:t>–</w:t>
      </w:r>
      <w:r w:rsidRPr="006D3C72">
        <w:t xml:space="preserve">21 period is prudent and efficient. Rather, </w:t>
      </w:r>
      <w:r w:rsidR="00E90DAD">
        <w:t>AGN’s</w:t>
      </w:r>
      <w:r w:rsidRPr="006D3C72">
        <w:t xml:space="preserve"> assessment identifies what it terms ‘hazards’ and proceeds on the basis that they will occur and have significant impacts. We consider a rigorous risk assessment that measures the likelihood and impact of a hazard occurring is necessary in determining whether proposed investment is prudent and efficient. This is especially the case where, as here, there are no regulatory or legislative obligations that require AGN to replace mains at the rate it has proposed over the 2016</w:t>
      </w:r>
      <w:r w:rsidR="001E3641">
        <w:t>–</w:t>
      </w:r>
      <w:r w:rsidRPr="006D3C72">
        <w:t>21 period.</w:t>
      </w:r>
    </w:p>
    <w:p w:rsidR="006D3C72" w:rsidRDefault="006D3C72" w:rsidP="006D3C72">
      <w:r w:rsidRPr="00035C77">
        <w:t xml:space="preserve">We </w:t>
      </w:r>
      <w:r>
        <w:t xml:space="preserve">have </w:t>
      </w:r>
      <w:r w:rsidRPr="00035C77">
        <w:t>not</w:t>
      </w:r>
      <w:r>
        <w:t xml:space="preserve"> adopted</w:t>
      </w:r>
      <w:r w:rsidRPr="00035C77">
        <w:t xml:space="preserve"> AGN’s proposed mains replacem</w:t>
      </w:r>
      <w:r>
        <w:t>ent expenditure and have therefore determined an alternative estimate</w:t>
      </w:r>
      <w:r w:rsidR="00E90DAD">
        <w:t xml:space="preserve"> for the purposes of our total forecast capex</w:t>
      </w:r>
      <w:r>
        <w:t xml:space="preserve">. Our alternative estimate does not identify the specific allocation of capex across the three types of mains pipe replaced (CI, UPS or HDPE). Since we have not been provided with a rigorous risk assessment, we have used the limited information and data before us to derive an alternative estimate of the kilometre of main pipes we consider would be more efficient than what AGN has proposed to replace during the 2016–21 access arrangement period. </w:t>
      </w:r>
    </w:p>
    <w:p w:rsidR="00321D2D" w:rsidRDefault="006D3C72" w:rsidP="006D3C72">
      <w:r>
        <w:t>Since we do not have the information to undertake a rigorous risk assessment, we have based our alternative estimate on the kilometre of main pipes we consider would be efficient to replace during the 2016–21 access arrangement period. To derive our alternative capex estimate, we have reduced AGN’s proposed capex for mains replacement by our percentage reduction in total kilometres. This approach means we have applied AGN’s unit rates across all categories of mains replacement and our reduction reflects our view regarding prudent and efficient volumes of mains replacement.</w:t>
      </w:r>
    </w:p>
    <w:p w:rsidR="00321D2D" w:rsidRPr="00EE3629" w:rsidRDefault="006D3C72" w:rsidP="00321D2D">
      <w:r>
        <w:t xml:space="preserve">Our assessment of AGN's forecast of mains replacement capex is set out in attachment 6 to this draft decision. </w:t>
      </w:r>
      <w:r w:rsidR="00321D2D" w:rsidRPr="002634AB">
        <w:t xml:space="preserve">We invite </w:t>
      </w:r>
      <w:r w:rsidR="00321D2D">
        <w:t xml:space="preserve">AGN to address the issues </w:t>
      </w:r>
      <w:r>
        <w:t xml:space="preserve">we have identified in its revised proposal, </w:t>
      </w:r>
      <w:r w:rsidR="00321D2D">
        <w:t>and to include the necessary material</w:t>
      </w:r>
      <w:r>
        <w:t>—</w:t>
      </w:r>
      <w:r w:rsidR="00321D2D">
        <w:t>particularly a rigorous risk assessment</w:t>
      </w:r>
      <w:r>
        <w:t>—</w:t>
      </w:r>
      <w:r w:rsidR="00321D2D">
        <w:t>to demonstrate and justify the extent to which its proposed capex for mains replacement is conforming capex that complies with rule 79.</w:t>
      </w:r>
    </w:p>
    <w:p w:rsidR="00254D9B" w:rsidRDefault="0094797C" w:rsidP="00E90DAD">
      <w:pPr>
        <w:pStyle w:val="Heading3"/>
        <w:keepNext/>
      </w:pPr>
      <w:r>
        <w:t xml:space="preserve"> </w:t>
      </w:r>
      <w:bookmarkStart w:id="49" w:name="_Ref434479731"/>
      <w:bookmarkStart w:id="50" w:name="_Toc436037689"/>
      <w:r w:rsidR="00405D97">
        <w:t>Incentives</w:t>
      </w:r>
      <w:bookmarkEnd w:id="49"/>
      <w:bookmarkEnd w:id="50"/>
    </w:p>
    <w:p w:rsidR="00054375" w:rsidRPr="00054375" w:rsidRDefault="00503F96" w:rsidP="00E90DAD">
      <w:pPr>
        <w:pStyle w:val="ListParagraph"/>
        <w:keepNext/>
        <w:numPr>
          <w:ilvl w:val="0"/>
          <w:numId w:val="24"/>
        </w:numPr>
      </w:pPr>
      <w:r>
        <w:t xml:space="preserve">As noted in section </w:t>
      </w:r>
      <w:r>
        <w:fldChar w:fldCharType="begin"/>
      </w:r>
      <w:r>
        <w:instrText xml:space="preserve"> REF _Ref434997887 \r \h </w:instrText>
      </w:r>
      <w:r>
        <w:fldChar w:fldCharType="separate"/>
      </w:r>
      <w:r w:rsidR="00E90DAD">
        <w:t>1</w:t>
      </w:r>
      <w:r>
        <w:fldChar w:fldCharType="end"/>
      </w:r>
      <w:r>
        <w:t>, w</w:t>
      </w:r>
      <w:r w:rsidR="002E4F9F" w:rsidRPr="002E4F9F">
        <w:t>e apply incentive regulation in making our decision on AGN's forecast revenue requirement</w:t>
      </w:r>
      <w:r>
        <w:t>,</w:t>
      </w:r>
      <w:r w:rsidR="002E4F9F" w:rsidRPr="002E4F9F">
        <w:t xml:space="preserve"> </w:t>
      </w:r>
      <w:r>
        <w:t xml:space="preserve">to </w:t>
      </w:r>
      <w:r w:rsidR="002E4F9F" w:rsidRPr="002E4F9F">
        <w:t>encourage</w:t>
      </w:r>
      <w:r>
        <w:t xml:space="preserve"> AGN</w:t>
      </w:r>
      <w:r w:rsidR="002E4F9F" w:rsidRPr="002E4F9F">
        <w:t xml:space="preserve"> to spend efficiently and to share the benefits of efficiency gains with </w:t>
      </w:r>
      <w:r>
        <w:t>its customers</w:t>
      </w:r>
      <w:r w:rsidR="002E4F9F" w:rsidRPr="002E4F9F">
        <w:t>.</w:t>
      </w:r>
      <w:r w:rsidRPr="002E4F9F">
        <w:rPr>
          <w:rStyle w:val="FootnoteReference"/>
        </w:rPr>
        <w:footnoteReference w:id="17"/>
      </w:r>
      <w:r w:rsidR="002E4F9F">
        <w:t xml:space="preserve"> AGN retains the benefits of efficiencies (cost savings) during an access arrangement period</w:t>
      </w:r>
      <w:r w:rsidR="0042473A">
        <w:t>.</w:t>
      </w:r>
      <w:r w:rsidR="002E4F9F">
        <w:t xml:space="preserve"> These are passed on to consumers as these efficiencies are reflected in lower costs—and therefore lower capex and opex—in future periods.</w:t>
      </w:r>
      <w:r w:rsidR="00D82144">
        <w:t xml:space="preserve"> </w:t>
      </w:r>
      <w:r w:rsidR="00B75B5B">
        <w:t xml:space="preserve">The information before us </w:t>
      </w:r>
      <w:r w:rsidR="00054375" w:rsidRPr="00054375">
        <w:t>suggests to us that the current incentive framework is working</w:t>
      </w:r>
      <w:r w:rsidR="00B75B5B">
        <w:t xml:space="preserve"> well</w:t>
      </w:r>
      <w:r w:rsidR="00054375" w:rsidRPr="00054375">
        <w:t xml:space="preserve">, and </w:t>
      </w:r>
      <w:r w:rsidR="00B75B5B">
        <w:t>delivering</w:t>
      </w:r>
      <w:r w:rsidR="00B75B5B" w:rsidRPr="00054375">
        <w:t xml:space="preserve"> </w:t>
      </w:r>
      <w:r w:rsidR="00054375" w:rsidRPr="00054375">
        <w:t>positive outcomes for AGN and its customers.</w:t>
      </w:r>
    </w:p>
    <w:p w:rsidR="00D82144" w:rsidRDefault="00D82144" w:rsidP="00741727">
      <w:r>
        <w:t>To supplement these incentives, AGN's proposal included suggested changes to its current opex efficiency carryover mechanism, and the introduction of three new incentive schemes in its 2016–21 access arrangement period:</w:t>
      </w:r>
      <w:r w:rsidR="009C1B47">
        <w:t xml:space="preserve"> a</w:t>
      </w:r>
      <w:r>
        <w:t xml:space="preserve"> capital expenditure sharing scheme (</w:t>
      </w:r>
      <w:r w:rsidRPr="00276146">
        <w:t>CESS</w:t>
      </w:r>
      <w:r>
        <w:t>)</w:t>
      </w:r>
      <w:r w:rsidR="009C1B47">
        <w:t>; a</w:t>
      </w:r>
      <w:r>
        <w:t xml:space="preserve"> customer service incentive scheme (CSIS)</w:t>
      </w:r>
      <w:r w:rsidR="00E90DAD">
        <w:t>;</w:t>
      </w:r>
      <w:r>
        <w:t xml:space="preserve"> and</w:t>
      </w:r>
      <w:r w:rsidR="009C1B47">
        <w:t xml:space="preserve"> a</w:t>
      </w:r>
      <w:r>
        <w:t xml:space="preserve"> network innovation scheme (NIS).</w:t>
      </w:r>
    </w:p>
    <w:p w:rsidR="00D82144" w:rsidRDefault="00FA758C" w:rsidP="00D82144">
      <w:r>
        <w:t>We applied a</w:t>
      </w:r>
      <w:r w:rsidR="00D82144">
        <w:t xml:space="preserve"> CESS for the first time in the electricity distribution and transmission determinations we made in April 2015 (for New South Wales and ACT distribution networks and New South Wales and Tasmanian transmission networks). However, to date we have not considered development or application of a CESS for gas service providers</w:t>
      </w:r>
      <w:r w:rsidR="009C1B47">
        <w:t xml:space="preserve"> under the NGR</w:t>
      </w:r>
      <w:r w:rsidR="00D82144">
        <w:t>. AGN's proposed CSIS and NIS are new schemes that we have not applied before in electricity or gas decisions.</w:t>
      </w:r>
    </w:p>
    <w:p w:rsidR="00FA758C" w:rsidRDefault="00D82144" w:rsidP="00D82144">
      <w:r>
        <w:t xml:space="preserve">Where we have developed and introduced new incentive schemes under the NER—including the CESS— we have done this in conjunction with consideration of related forecasting methodologies and complementary schemes, and as part of extended consultation with stakeholders, including other service providers. </w:t>
      </w:r>
      <w:r w:rsidR="001720EF" w:rsidDel="00232091">
        <w:t>It is unusual for us to consider introduction of a new incentive scheme in the context of an individual access arrangement or service provider.</w:t>
      </w:r>
    </w:p>
    <w:p w:rsidR="00FA758C" w:rsidRDefault="00FA758C" w:rsidP="00741727">
      <w:r>
        <w:t xml:space="preserve">In this context we note that there are conflicting views on the benefits of these schemes in gas, which require further exploration through an appropriate consultation process. For example, while AGN has proposed a CESS, other gas service providers who </w:t>
      </w:r>
      <w:r w:rsidR="00741727">
        <w:t>submitted</w:t>
      </w:r>
      <w:r>
        <w:t xml:space="preserve"> their proposals at the same time as AGN have said that they do not support introduction of a CESS in their own access arrangements.</w:t>
      </w:r>
      <w:r>
        <w:rPr>
          <w:rStyle w:val="FootnoteReference"/>
        </w:rPr>
        <w:footnoteReference w:id="18"/>
      </w:r>
      <w:r>
        <w:t xml:space="preserve"> </w:t>
      </w:r>
      <w:r w:rsidR="009C1B47">
        <w:t>While supportive of a CESS in principle</w:t>
      </w:r>
      <w:r w:rsidR="00E90DAD">
        <w:t xml:space="preserve"> where an opex efficiency scheme is also applied</w:t>
      </w:r>
      <w:r w:rsidR="009C1B47">
        <w:t xml:space="preserve">, the CCP does not support the CESS that AGN has proposed. </w:t>
      </w:r>
      <w:r>
        <w:t>Other stakeholders have also questioned the need for new incentive schemes</w:t>
      </w:r>
      <w:r w:rsidR="00BC2483">
        <w:t xml:space="preserve"> in AGN's access arrangement</w:t>
      </w:r>
      <w:r>
        <w:t>, and the design of the schemes that AGN has proposed.</w:t>
      </w:r>
      <w:r w:rsidR="00BC2483">
        <w:t xml:space="preserve"> These </w:t>
      </w:r>
      <w:r w:rsidR="00E90DAD">
        <w:t xml:space="preserve">issues </w:t>
      </w:r>
      <w:r w:rsidR="00BC2483">
        <w:t xml:space="preserve">are discussed further in section </w:t>
      </w:r>
      <w:r w:rsidR="00BC2483">
        <w:fldChar w:fldCharType="begin"/>
      </w:r>
      <w:r w:rsidR="00BC2483">
        <w:instrText xml:space="preserve"> REF _Ref435451812 \r \h </w:instrText>
      </w:r>
      <w:r w:rsidR="00BC2483">
        <w:fldChar w:fldCharType="separate"/>
      </w:r>
      <w:r w:rsidR="00E90DAD">
        <w:t>5.5</w:t>
      </w:r>
      <w:r w:rsidR="00BC2483">
        <w:fldChar w:fldCharType="end"/>
      </w:r>
      <w:r w:rsidR="00BC2483">
        <w:t>, and attachment 14 to this draft decision.</w:t>
      </w:r>
    </w:p>
    <w:p w:rsidR="00D82144" w:rsidRDefault="00FA758C" w:rsidP="00D82144">
      <w:r>
        <w:t>Our draft decision does not accept the introduction of these new schemes in AGN's access arrangement at this time. We consider it preferable that the development and implementation of any new incentive schemes under the NGR be subject to</w:t>
      </w:r>
      <w:r w:rsidRPr="00276146">
        <w:t xml:space="preserve"> a consultative, informed and industry-wide process</w:t>
      </w:r>
      <w:r>
        <w:t xml:space="preserve"> such as that undertaken as part of our 2013 Better regulation program</w:t>
      </w:r>
      <w:r w:rsidRPr="00276146">
        <w:t>.</w:t>
      </w:r>
      <w:r w:rsidR="009C1B47">
        <w:t xml:space="preserve"> </w:t>
      </w:r>
    </w:p>
    <w:p w:rsidR="00254D9B" w:rsidRDefault="00254D9B" w:rsidP="005B21C1"/>
    <w:p w:rsidR="005B21C1" w:rsidRDefault="005B21C1" w:rsidP="005B21C1">
      <w:pPr>
        <w:pStyle w:val="Heading1"/>
      </w:pPr>
      <w:bookmarkStart w:id="51" w:name="_Toc433016422"/>
      <w:bookmarkStart w:id="52" w:name="_Ref434479204"/>
      <w:bookmarkStart w:id="53" w:name="_Ref434479425"/>
      <w:bookmarkStart w:id="54" w:name="_Toc436037690"/>
      <w:r>
        <w:t>Total revenue requirement</w:t>
      </w:r>
      <w:bookmarkEnd w:id="51"/>
      <w:bookmarkEnd w:id="52"/>
      <w:bookmarkEnd w:id="53"/>
      <w:bookmarkEnd w:id="54"/>
    </w:p>
    <w:p w:rsidR="005B21C1" w:rsidRDefault="005B21C1" w:rsidP="005B21C1">
      <w:pPr>
        <w:numPr>
          <w:ilvl w:val="0"/>
          <w:numId w:val="24"/>
        </w:numPr>
      </w:pPr>
      <w:r w:rsidRPr="007C3463">
        <w:t xml:space="preserve">The total revenue requirement is a forecast of the efficient cost of providing gas distribution services over the access arrangement period. The total revenue </w:t>
      </w:r>
      <w:r w:rsidR="00FF2418">
        <w:t xml:space="preserve">requirement </w:t>
      </w:r>
      <w:r w:rsidRPr="007C3463">
        <w:t xml:space="preserve">set out in this </w:t>
      </w:r>
      <w:r>
        <w:t xml:space="preserve">draft </w:t>
      </w:r>
      <w:r w:rsidRPr="007C3463">
        <w:t xml:space="preserve">decision has been determined by assessing each building block cost of </w:t>
      </w:r>
      <w:r>
        <w:t>AGN</w:t>
      </w:r>
      <w:r w:rsidRPr="007C3463">
        <w:t>'s access arrangement proposal. We have assessed whether these building block costs are consistent with the costs that would be incurred by an efficient provider of gas distribution services.</w:t>
      </w:r>
      <w:r>
        <w:t xml:space="preserve"> </w:t>
      </w:r>
    </w:p>
    <w:p w:rsidR="005B21C1" w:rsidRDefault="005B21C1" w:rsidP="005B21C1">
      <w:pPr>
        <w:numPr>
          <w:ilvl w:val="0"/>
          <w:numId w:val="24"/>
        </w:numPr>
      </w:pPr>
      <w:r w:rsidRPr="004D0BCD">
        <w:t xml:space="preserve">Tariffs are derived from the total revenue requirement </w:t>
      </w:r>
      <w:r w:rsidRPr="000935F8">
        <w:rPr>
          <w:rStyle w:val="Emphasis"/>
        </w:rPr>
        <w:t>after</w:t>
      </w:r>
      <w:r w:rsidRPr="004D0BCD">
        <w:t xml:space="preserve"> consideration of demand for each tariff category. </w:t>
      </w:r>
      <w:r>
        <w:t>AGN</w:t>
      </w:r>
      <w:r w:rsidRPr="004D0BCD">
        <w:t xml:space="preserve"> operates under a weighted average </w:t>
      </w:r>
      <w:r w:rsidR="0097503B">
        <w:t>tariff</w:t>
      </w:r>
      <w:r w:rsidR="0097503B" w:rsidRPr="004D0BCD">
        <w:t xml:space="preserve"> </w:t>
      </w:r>
      <w:r w:rsidRPr="004D0BCD">
        <w:t xml:space="preserve">cap. This means the tariffs we determine (including the means of varying the tariffs from year to year) are the binding constraint across the </w:t>
      </w:r>
      <w:r>
        <w:t xml:space="preserve">2016–21 </w:t>
      </w:r>
      <w:r w:rsidRPr="004D0BCD">
        <w:t>access arrangement period</w:t>
      </w:r>
      <w:r>
        <w:t>, rather than the total revenue requirement set in our decision</w:t>
      </w:r>
      <w:r w:rsidRPr="004D0BCD">
        <w:t>.</w:t>
      </w:r>
      <w:r w:rsidRPr="004D0BCD">
        <w:rPr>
          <w:rStyle w:val="FootnoteReference"/>
        </w:rPr>
        <w:footnoteReference w:id="19"/>
      </w:r>
    </w:p>
    <w:p w:rsidR="005B21C1" w:rsidRDefault="005B21C1" w:rsidP="005B21C1">
      <w:pPr>
        <w:pStyle w:val="Heading3"/>
      </w:pPr>
      <w:bookmarkStart w:id="55" w:name="_Toc435706070"/>
      <w:bookmarkStart w:id="56" w:name="_Toc433016423"/>
      <w:bookmarkStart w:id="57" w:name="_Toc436037691"/>
      <w:bookmarkEnd w:id="55"/>
      <w:r>
        <w:t>The building block approach</w:t>
      </w:r>
      <w:bookmarkEnd w:id="56"/>
      <w:bookmarkEnd w:id="57"/>
    </w:p>
    <w:p w:rsidR="005B21C1" w:rsidRPr="00EE5F0C" w:rsidRDefault="005B21C1" w:rsidP="005B21C1">
      <w:pPr>
        <w:numPr>
          <w:ilvl w:val="0"/>
          <w:numId w:val="24"/>
        </w:numPr>
      </w:pPr>
      <w:r w:rsidRPr="00EE5F0C">
        <w:t xml:space="preserve">We have employed the building block approach to determine </w:t>
      </w:r>
      <w:r>
        <w:t>AGN's total revenue</w:t>
      </w:r>
      <w:r w:rsidR="00FF2418">
        <w:t xml:space="preserve"> requirement</w:t>
      </w:r>
      <w:r w:rsidRPr="00EE5F0C">
        <w:t xml:space="preserve">—that is, we based the </w:t>
      </w:r>
      <w:r>
        <w:t xml:space="preserve">total revenue </w:t>
      </w:r>
      <w:r w:rsidR="00FF2418">
        <w:t xml:space="preserve">requirement </w:t>
      </w:r>
      <w:r>
        <w:t>on our estimate of the</w:t>
      </w:r>
      <w:r w:rsidRPr="00EE5F0C">
        <w:t xml:space="preserve"> efficient costs that </w:t>
      </w:r>
      <w:r>
        <w:t xml:space="preserve">AGN </w:t>
      </w:r>
      <w:r w:rsidRPr="00EE5F0C">
        <w:t xml:space="preserve">is likely to incur in providing </w:t>
      </w:r>
      <w:r>
        <w:t xml:space="preserve">gas </w:t>
      </w:r>
      <w:r w:rsidRPr="00EE5F0C">
        <w:t>distribution network services. The building block costs</w:t>
      </w:r>
      <w:r>
        <w:t>, as shown in</w:t>
      </w:r>
      <w:r w:rsidR="00133A17">
        <w:t xml:space="preserve"> </w:t>
      </w:r>
      <w:r w:rsidR="00133A17">
        <w:fldChar w:fldCharType="begin"/>
      </w:r>
      <w:r w:rsidR="00133A17">
        <w:instrText xml:space="preserve"> REF _Ref433875586 \h </w:instrText>
      </w:r>
      <w:r w:rsidR="00133A17">
        <w:fldChar w:fldCharType="separate"/>
      </w:r>
      <w:r w:rsidR="00E90DAD" w:rsidRPr="00133A17">
        <w:t xml:space="preserve">Figure </w:t>
      </w:r>
      <w:r w:rsidR="00E90DAD">
        <w:rPr>
          <w:noProof/>
        </w:rPr>
        <w:t>4</w:t>
      </w:r>
      <w:r w:rsidR="00133A17">
        <w:fldChar w:fldCharType="end"/>
      </w:r>
      <w:r>
        <w:t>,</w:t>
      </w:r>
      <w:r w:rsidRPr="00EE5F0C">
        <w:t xml:space="preserve"> include:</w:t>
      </w:r>
      <w:r w:rsidRPr="00EE5F0C">
        <w:rPr>
          <w:rStyle w:val="FootnoteReference"/>
        </w:rPr>
        <w:footnoteReference w:id="20"/>
      </w:r>
    </w:p>
    <w:p w:rsidR="005B21C1" w:rsidRPr="00E64356" w:rsidRDefault="005B21C1" w:rsidP="005B21C1">
      <w:pPr>
        <w:pStyle w:val="AERbulletlistfirststyle"/>
      </w:pPr>
      <w:r w:rsidRPr="00EE5F0C">
        <w:t xml:space="preserve">return on </w:t>
      </w:r>
      <w:r w:rsidRPr="00E64356">
        <w:t xml:space="preserve">the projected capital base </w:t>
      </w:r>
      <w:r>
        <w:t>(return on capital)</w:t>
      </w:r>
    </w:p>
    <w:p w:rsidR="005B21C1" w:rsidRPr="00E64356" w:rsidRDefault="005B21C1" w:rsidP="005B21C1">
      <w:pPr>
        <w:pStyle w:val="AERbulletlistfirststyle"/>
      </w:pPr>
      <w:r w:rsidRPr="00EE5F0C">
        <w:t>depreciation o</w:t>
      </w:r>
      <w:r w:rsidR="00597AB3">
        <w:t>f</w:t>
      </w:r>
      <w:r w:rsidRPr="00E64356">
        <w:t xml:space="preserve"> the projected capital base </w:t>
      </w:r>
      <w:r>
        <w:t>(return o</w:t>
      </w:r>
      <w:r w:rsidR="00597AB3">
        <w:t>f</w:t>
      </w:r>
      <w:r>
        <w:t xml:space="preserve"> capital)</w:t>
      </w:r>
    </w:p>
    <w:p w:rsidR="005B21C1" w:rsidRPr="00E64356" w:rsidRDefault="005B21C1" w:rsidP="005B21C1">
      <w:pPr>
        <w:pStyle w:val="AERbulletlistfirststyle"/>
      </w:pPr>
      <w:r w:rsidRPr="00EE5F0C">
        <w:t>the estimated cost of corporate income tax</w:t>
      </w:r>
    </w:p>
    <w:p w:rsidR="005B21C1" w:rsidRPr="00E64356" w:rsidRDefault="005B21C1" w:rsidP="005B21C1">
      <w:pPr>
        <w:pStyle w:val="AERbulletlistfirststyle"/>
      </w:pPr>
      <w:r>
        <w:t xml:space="preserve">revenue </w:t>
      </w:r>
      <w:r w:rsidRPr="00EE5F0C">
        <w:t xml:space="preserve">increments or decrements resulting from </w:t>
      </w:r>
      <w:r>
        <w:t>incentive schemes such as the</w:t>
      </w:r>
      <w:r w:rsidRPr="00E64356">
        <w:t xml:space="preserve"> </w:t>
      </w:r>
      <w:r>
        <w:t>efficiency</w:t>
      </w:r>
      <w:r w:rsidRPr="00E64356">
        <w:t xml:space="preserve"> </w:t>
      </w:r>
      <w:r>
        <w:t xml:space="preserve">carryover </w:t>
      </w:r>
      <w:r w:rsidRPr="00E64356">
        <w:t xml:space="preserve">mechanism </w:t>
      </w:r>
    </w:p>
    <w:p w:rsidR="005B21C1" w:rsidRPr="00E64356" w:rsidRDefault="005B21C1" w:rsidP="005B21C1">
      <w:pPr>
        <w:pStyle w:val="AERbulletlistfirststyle"/>
      </w:pPr>
      <w:r w:rsidRPr="00EE5F0C">
        <w:t xml:space="preserve">forecast </w:t>
      </w:r>
      <w:r w:rsidR="00AD5061">
        <w:t>opex</w:t>
      </w:r>
      <w:r w:rsidRPr="00E64356">
        <w:t>.</w:t>
      </w:r>
    </w:p>
    <w:p w:rsidR="005B21C1" w:rsidRPr="00EE5F0C" w:rsidRDefault="005B21C1" w:rsidP="005B21C1">
      <w:pPr>
        <w:numPr>
          <w:ilvl w:val="0"/>
          <w:numId w:val="24"/>
        </w:numPr>
      </w:pPr>
      <w:r w:rsidRPr="00EE5F0C">
        <w:t xml:space="preserve">Our assessment of capex directly affects the size of the </w:t>
      </w:r>
      <w:r>
        <w:t xml:space="preserve">capital base </w:t>
      </w:r>
      <w:r w:rsidRPr="00EE5F0C">
        <w:t xml:space="preserve">and therefore, the revenue generated from the return on capital and </w:t>
      </w:r>
      <w:r>
        <w:t xml:space="preserve">depreciation </w:t>
      </w:r>
      <w:r w:rsidRPr="00EE5F0C">
        <w:t xml:space="preserve">building blocks. </w:t>
      </w:r>
    </w:p>
    <w:p w:rsidR="005B21C1" w:rsidRPr="00133A17" w:rsidRDefault="00133A17" w:rsidP="00133A17">
      <w:pPr>
        <w:pStyle w:val="Caption"/>
        <w:rPr>
          <w:rStyle w:val="Strong"/>
          <w:b/>
          <w:bCs/>
        </w:rPr>
      </w:pPr>
      <w:bookmarkStart w:id="58" w:name="_Ref433875505"/>
      <w:bookmarkStart w:id="59" w:name="_Ref433875586"/>
      <w:r w:rsidRPr="00133A17">
        <w:t>Figure</w:t>
      </w:r>
      <w:bookmarkEnd w:id="58"/>
      <w:r w:rsidRPr="00133A17">
        <w:t xml:space="preserve"> </w:t>
      </w:r>
      <w:fldSimple w:instr=" SEQ Figure \* ARABIC ">
        <w:r w:rsidR="00E90DAD">
          <w:rPr>
            <w:noProof/>
          </w:rPr>
          <w:t>4</w:t>
        </w:r>
      </w:fldSimple>
      <w:bookmarkEnd w:id="59"/>
      <w:r w:rsidR="005B21C1" w:rsidRPr="00133A17">
        <w:tab/>
      </w:r>
      <w:r w:rsidR="005B21C1" w:rsidRPr="00133A17">
        <w:rPr>
          <w:rStyle w:val="Strong"/>
          <w:b/>
          <w:bCs/>
        </w:rPr>
        <w:t>The building block approach for determining total revenue</w:t>
      </w:r>
    </w:p>
    <w:p w:rsidR="005B21C1" w:rsidRPr="007C4B82" w:rsidRDefault="005B21C1" w:rsidP="005B21C1">
      <w:pPr>
        <w:pStyle w:val="ListParagraph"/>
        <w:numPr>
          <w:ilvl w:val="0"/>
          <w:numId w:val="24"/>
        </w:numPr>
      </w:pPr>
      <w:r w:rsidRPr="007A5A6C">
        <w:rPr>
          <w:noProof/>
          <w:lang w:eastAsia="en-AU"/>
        </w:rPr>
        <mc:AlternateContent>
          <mc:Choice Requires="wpc">
            <w:drawing>
              <wp:inline distT="0" distB="0" distL="0" distR="0" wp14:anchorId="7B09C332" wp14:editId="40923D51">
                <wp:extent cx="5567010" cy="3490622"/>
                <wp:effectExtent l="0" t="0" r="15240" b="14605"/>
                <wp:docPr id="37" name="Canvas 37" descr="Image outlining the bulding block model. The table's contents were described in the previous paragraph."/>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 name="Text Box 4"/>
                        <wps:cNvSpPr txBox="1">
                          <a:spLocks noChangeArrowheads="1"/>
                        </wps:cNvSpPr>
                        <wps:spPr bwMode="auto">
                          <a:xfrm>
                            <a:off x="1643787" y="0"/>
                            <a:ext cx="2470150" cy="633730"/>
                          </a:xfrm>
                          <a:prstGeom prst="rect">
                            <a:avLst/>
                          </a:prstGeom>
                          <a:gradFill rotWithShape="0">
                            <a:gsLst>
                              <a:gs pos="0">
                                <a:srgbClr val="C00000">
                                  <a:alpha val="50000"/>
                                </a:srgbClr>
                              </a:gs>
                              <a:gs pos="100000">
                                <a:srgbClr val="C00000">
                                  <a:gamma/>
                                  <a:tint val="88235"/>
                                  <a:invGamma/>
                                </a:srgbClr>
                              </a:gs>
                            </a:gsLst>
                            <a:path path="shape">
                              <a:fillToRect l="50000" t="50000" r="50000" b="50000"/>
                            </a:path>
                          </a:gradFill>
                          <a:ln w="0">
                            <a:solidFill>
                              <a:srgbClr val="C00000"/>
                            </a:solidFill>
                            <a:miter lim="800000"/>
                            <a:headEnd/>
                            <a:tailEnd/>
                          </a:ln>
                          <a:effectLst>
                            <a:outerShdw dist="28398" dir="3806097" algn="ctr" rotWithShape="0">
                              <a:srgbClr val="622423"/>
                            </a:outerShdw>
                          </a:effectLst>
                        </wps:spPr>
                        <wps:txbx>
                          <w:txbxContent>
                            <w:p w:rsidR="00E90DAD" w:rsidRPr="009A07AA" w:rsidRDefault="00E90DAD" w:rsidP="005B21C1">
                              <w:pPr>
                                <w:rPr>
                                  <w:rFonts w:ascii="Calibri" w:hAnsi="Calibri"/>
                                  <w:b/>
                                  <w:color w:val="FFFFFF"/>
                                </w:rPr>
                              </w:pPr>
                              <w:r w:rsidRPr="009A07AA">
                                <w:rPr>
                                  <w:rFonts w:ascii="Calibri" w:hAnsi="Calibri"/>
                                  <w:color w:val="FFFFFF"/>
                                </w:rPr>
                                <w:t xml:space="preserve">Return on capital (forecast </w:t>
                              </w:r>
                              <w:r w:rsidRPr="009A07AA">
                                <w:rPr>
                                  <w:rFonts w:ascii="Calibri" w:hAnsi="Calibri"/>
                                  <w:color w:val="FFFFFF" w:themeColor="background1"/>
                                </w:rPr>
                                <w:t xml:space="preserve">capital base </w:t>
                              </w:r>
                              <w:r w:rsidRPr="009A07AA">
                                <w:rPr>
                                  <w:rFonts w:ascii="Calibri" w:hAnsi="Calibri"/>
                                  <w:color w:val="FFFFFF"/>
                                </w:rPr>
                                <w:t>× cost of capital)</w:t>
                              </w:r>
                            </w:p>
                          </w:txbxContent>
                        </wps:txbx>
                        <wps:bodyPr rot="0" vert="horz" wrap="square" lIns="91440" tIns="45720" rIns="91440" bIns="45720" anchor="t" anchorCtr="0" upright="1">
                          <a:noAutofit/>
                        </wps:bodyPr>
                      </wps:wsp>
                      <wps:wsp>
                        <wps:cNvPr id="25" name="Text Box 5"/>
                        <wps:cNvSpPr txBox="1">
                          <a:spLocks noChangeArrowheads="1"/>
                        </wps:cNvSpPr>
                        <wps:spPr bwMode="auto">
                          <a:xfrm>
                            <a:off x="1643787" y="688975"/>
                            <a:ext cx="2470150" cy="789966"/>
                          </a:xfrm>
                          <a:prstGeom prst="rect">
                            <a:avLst/>
                          </a:prstGeom>
                          <a:gradFill rotWithShape="0">
                            <a:gsLst>
                              <a:gs pos="0">
                                <a:srgbClr val="C0504D"/>
                              </a:gs>
                              <a:gs pos="50000">
                                <a:srgbClr val="C0504D">
                                  <a:gamma/>
                                  <a:tint val="97647"/>
                                  <a:invGamma/>
                                </a:srgbClr>
                              </a:gs>
                              <a:gs pos="100000">
                                <a:srgbClr val="C0504D"/>
                              </a:gs>
                            </a:gsLst>
                            <a:lin ang="5400000" scaled="1"/>
                          </a:gradFill>
                          <a:ln w="12700">
                            <a:solidFill>
                              <a:srgbClr val="D99594"/>
                            </a:solidFill>
                            <a:miter lim="800000"/>
                            <a:headEnd/>
                            <a:tailEnd/>
                          </a:ln>
                          <a:effectLst>
                            <a:outerShdw dist="28398" dir="3806097" algn="ctr" rotWithShape="0">
                              <a:srgbClr val="622423"/>
                            </a:outerShdw>
                          </a:effectLst>
                        </wps:spPr>
                        <wps:txbx>
                          <w:txbxContent>
                            <w:p w:rsidR="00E90DAD" w:rsidRPr="009A07AA" w:rsidRDefault="00E90DAD" w:rsidP="005B21C1">
                              <w:pPr>
                                <w:rPr>
                                  <w:rFonts w:ascii="Calibri" w:hAnsi="Calibri"/>
                                  <w:color w:val="FFFFFF" w:themeColor="background1"/>
                                </w:rPr>
                              </w:pPr>
                              <w:r w:rsidRPr="009A07AA">
                                <w:rPr>
                                  <w:rFonts w:ascii="Calibri" w:hAnsi="Calibri"/>
                                  <w:color w:val="FFFFFF" w:themeColor="background1"/>
                                </w:rPr>
                                <w:t>Regulatory depreciation (depreciation net of indexation applied to capital base)</w:t>
                              </w:r>
                            </w:p>
                          </w:txbxContent>
                        </wps:txbx>
                        <wps:bodyPr rot="0" vert="horz" wrap="square" lIns="91440" tIns="45720" rIns="91440" bIns="45720" anchor="t" anchorCtr="0" upright="1">
                          <a:noAutofit/>
                        </wps:bodyPr>
                      </wps:wsp>
                      <wps:wsp>
                        <wps:cNvPr id="26" name="Text Box 26"/>
                        <wps:cNvSpPr txBox="1">
                          <a:spLocks noChangeArrowheads="1"/>
                        </wps:cNvSpPr>
                        <wps:spPr bwMode="auto">
                          <a:xfrm>
                            <a:off x="1643787" y="2821415"/>
                            <a:ext cx="2470150" cy="633730"/>
                          </a:xfrm>
                          <a:prstGeom prst="rect">
                            <a:avLst/>
                          </a:prstGeom>
                          <a:gradFill rotWithShape="0">
                            <a:gsLst>
                              <a:gs pos="0">
                                <a:srgbClr val="76923C"/>
                              </a:gs>
                              <a:gs pos="100000">
                                <a:srgbClr val="76923C">
                                  <a:gamma/>
                                  <a:shade val="97647"/>
                                  <a:invGamma/>
                                </a:srgbClr>
                              </a:gs>
                            </a:gsLst>
                            <a:lin ang="5400000" scaled="1"/>
                          </a:gradFill>
                          <a:ln w="12700">
                            <a:solidFill>
                              <a:srgbClr val="548DD4"/>
                            </a:solidFill>
                            <a:miter lim="800000"/>
                            <a:headEnd/>
                            <a:tailEnd/>
                          </a:ln>
                          <a:effectLst>
                            <a:outerShdw dist="28398" dir="3806097" algn="ctr" rotWithShape="0">
                              <a:srgbClr val="622423">
                                <a:alpha val="50000"/>
                              </a:srgbClr>
                            </a:outerShdw>
                          </a:effectLst>
                        </wps:spPr>
                        <wps:txbx>
                          <w:txbxContent>
                            <w:p w:rsidR="00E90DAD" w:rsidRPr="009A07AA" w:rsidRDefault="00E90DAD" w:rsidP="005B21C1">
                              <w:pPr>
                                <w:spacing w:after="200"/>
                                <w:rPr>
                                  <w:rStyle w:val="AERbody"/>
                                  <w:rFonts w:ascii="Calibri" w:hAnsi="Calibri"/>
                                </w:rPr>
                              </w:pPr>
                              <w:r w:rsidRPr="009A07AA">
                                <w:rPr>
                                  <w:rStyle w:val="AERbody"/>
                                  <w:rFonts w:ascii="Calibri" w:hAnsi="Calibri"/>
                                  <w:color w:val="FFFFFF"/>
                                </w:rPr>
                                <w:t>Corporate income tax (net of value of imputation credits)</w:t>
                              </w:r>
                            </w:p>
                            <w:p w:rsidR="00E90DAD" w:rsidRPr="007F7192" w:rsidRDefault="00E90DAD" w:rsidP="005B21C1">
                              <w:pPr>
                                <w:spacing w:after="200"/>
                                <w:rPr>
                                  <w:rStyle w:val="AERbody"/>
                                  <w:color w:val="FFFFFF"/>
                                </w:rPr>
                              </w:pPr>
                              <w:r w:rsidRPr="007F7192">
                                <w:rPr>
                                  <w:rStyle w:val="AERbody"/>
                                  <w:color w:val="FFFFFF"/>
                                </w:rPr>
                                <w:br/>
                              </w:r>
                            </w:p>
                          </w:txbxContent>
                        </wps:txbx>
                        <wps:bodyPr rot="0" vert="horz" wrap="square" lIns="91440" tIns="45720" rIns="91440" bIns="45720" anchor="t" anchorCtr="0" upright="1">
                          <a:noAutofit/>
                        </wps:bodyPr>
                      </wps:wsp>
                      <wps:wsp>
                        <wps:cNvPr id="27" name="Line 7"/>
                        <wps:cNvCnPr/>
                        <wps:spPr bwMode="auto">
                          <a:xfrm>
                            <a:off x="4204107" y="0"/>
                            <a:ext cx="344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8"/>
                        <wps:cNvCnPr/>
                        <wps:spPr bwMode="auto">
                          <a:xfrm>
                            <a:off x="4204107" y="3332480"/>
                            <a:ext cx="3448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9"/>
                        <wps:cNvCnPr/>
                        <wps:spPr bwMode="auto">
                          <a:xfrm>
                            <a:off x="4548912" y="0"/>
                            <a:ext cx="0" cy="3333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10"/>
                        <wps:cNvCnPr/>
                        <wps:spPr bwMode="auto">
                          <a:xfrm flipH="1">
                            <a:off x="1215797" y="0"/>
                            <a:ext cx="344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11"/>
                        <wps:cNvCnPr/>
                        <wps:spPr bwMode="auto">
                          <a:xfrm flipH="1">
                            <a:off x="1215797" y="1379220"/>
                            <a:ext cx="3448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2"/>
                        <wps:cNvCnPr/>
                        <wps:spPr bwMode="auto">
                          <a:xfrm>
                            <a:off x="1215797" y="0"/>
                            <a:ext cx="0" cy="1379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13"/>
                        <wps:cNvSpPr txBox="1">
                          <a:spLocks noChangeArrowheads="1"/>
                        </wps:cNvSpPr>
                        <wps:spPr bwMode="auto">
                          <a:xfrm>
                            <a:off x="152172" y="407034"/>
                            <a:ext cx="1026795" cy="678815"/>
                          </a:xfrm>
                          <a:prstGeom prst="rect">
                            <a:avLst/>
                          </a:prstGeom>
                          <a:solidFill>
                            <a:srgbClr val="FFFFFF"/>
                          </a:solidFill>
                          <a:ln w="9525">
                            <a:solidFill>
                              <a:srgbClr val="FFFFFF"/>
                            </a:solidFill>
                            <a:miter lim="800000"/>
                            <a:headEnd/>
                            <a:tailEnd/>
                          </a:ln>
                        </wps:spPr>
                        <wps:txbx>
                          <w:txbxContent>
                            <w:p w:rsidR="00E90DAD" w:rsidRPr="002569F7" w:rsidRDefault="00E90DAD" w:rsidP="005B21C1">
                              <w:pPr>
                                <w:rPr>
                                  <w:rFonts w:ascii="Calibri" w:hAnsi="Calibri"/>
                                </w:rPr>
                              </w:pPr>
                              <w:r w:rsidRPr="002569F7">
                                <w:rPr>
                                  <w:rFonts w:ascii="Calibri" w:hAnsi="Calibri"/>
                                </w:rPr>
                                <w:t>Capital costs</w:t>
                              </w:r>
                            </w:p>
                          </w:txbxContent>
                        </wps:txbx>
                        <wps:bodyPr rot="0" vert="horz" wrap="square" lIns="91440" tIns="45720" rIns="91440" bIns="45720" anchor="t" anchorCtr="0" upright="1">
                          <a:noAutofit/>
                        </wps:bodyPr>
                      </wps:wsp>
                      <wps:wsp>
                        <wps:cNvPr id="34" name="Text Box 14"/>
                        <wps:cNvSpPr txBox="1">
                          <a:spLocks noChangeArrowheads="1"/>
                        </wps:cNvSpPr>
                        <wps:spPr bwMode="auto">
                          <a:xfrm>
                            <a:off x="1649427" y="1557806"/>
                            <a:ext cx="2470150" cy="534643"/>
                          </a:xfrm>
                          <a:prstGeom prst="rect">
                            <a:avLst/>
                          </a:prstGeom>
                          <a:gradFill rotWithShape="0">
                            <a:gsLst>
                              <a:gs pos="0">
                                <a:srgbClr val="365F91"/>
                              </a:gs>
                              <a:gs pos="100000">
                                <a:srgbClr val="365F91"/>
                              </a:gs>
                            </a:gsLst>
                            <a:lin ang="5400000" scaled="1"/>
                          </a:gradFill>
                          <a:ln w="12700">
                            <a:solidFill>
                              <a:srgbClr val="365F91"/>
                            </a:solidFill>
                            <a:miter lim="800000"/>
                            <a:headEnd/>
                            <a:tailEnd/>
                          </a:ln>
                          <a:effectLst>
                            <a:outerShdw dist="28398" dir="3806097" algn="ctr" rotWithShape="0">
                              <a:srgbClr val="3F3151">
                                <a:alpha val="50000"/>
                              </a:srgbClr>
                            </a:outerShdw>
                          </a:effectLst>
                        </wps:spPr>
                        <wps:txbx>
                          <w:txbxContent>
                            <w:p w:rsidR="00E90DAD" w:rsidRPr="008D2606" w:rsidRDefault="00E90DAD" w:rsidP="005B21C1">
                              <w:pPr>
                                <w:spacing w:after="200"/>
                                <w:rPr>
                                  <w:rFonts w:ascii="Calibri" w:hAnsi="Calibri"/>
                                  <w:color w:val="FFFFFF"/>
                                </w:rPr>
                              </w:pPr>
                              <w:r w:rsidRPr="008D2606">
                                <w:rPr>
                                  <w:rFonts w:ascii="Calibri" w:hAnsi="Calibri"/>
                                  <w:color w:val="FFFFFF"/>
                                </w:rPr>
                                <w:t xml:space="preserve">Operating </w:t>
                              </w:r>
                              <w:r w:rsidRPr="00664FB1">
                                <w:rPr>
                                  <w:rFonts w:ascii="Calibri" w:hAnsi="Calibri"/>
                                  <w:color w:val="FFFFFF"/>
                                </w:rPr>
                                <w:t>expenditure (opex)</w:t>
                              </w:r>
                              <w:r>
                                <w:t xml:space="preserve"> </w:t>
                              </w:r>
                            </w:p>
                            <w:p w:rsidR="00E90DAD" w:rsidRPr="004414F4" w:rsidRDefault="00E90DAD" w:rsidP="005B21C1">
                              <w:pPr>
                                <w:rPr>
                                  <w:color w:val="FFFFFF"/>
                                </w:rPr>
                              </w:pPr>
                            </w:p>
                          </w:txbxContent>
                        </wps:txbx>
                        <wps:bodyPr rot="0" vert="horz" wrap="square" lIns="91440" tIns="45720" rIns="91440" bIns="45720" anchor="t" anchorCtr="0" upright="1">
                          <a:noAutofit/>
                        </wps:bodyPr>
                      </wps:wsp>
                      <wps:wsp>
                        <wps:cNvPr id="35" name="Text Box 15"/>
                        <wps:cNvSpPr txBox="1">
                          <a:spLocks noChangeArrowheads="1"/>
                        </wps:cNvSpPr>
                        <wps:spPr bwMode="auto">
                          <a:xfrm>
                            <a:off x="1649428" y="2147377"/>
                            <a:ext cx="2470150" cy="633730"/>
                          </a:xfrm>
                          <a:prstGeom prst="rect">
                            <a:avLst/>
                          </a:prstGeom>
                          <a:gradFill rotWithShape="0">
                            <a:gsLst>
                              <a:gs pos="0">
                                <a:srgbClr val="548DD4"/>
                              </a:gs>
                              <a:gs pos="100000">
                                <a:srgbClr val="548DD4"/>
                              </a:gs>
                            </a:gsLst>
                            <a:lin ang="5400000" scaled="1"/>
                          </a:gradFill>
                          <a:ln w="12700">
                            <a:solidFill>
                              <a:srgbClr val="76923C"/>
                            </a:solidFill>
                            <a:miter lim="800000"/>
                            <a:headEnd/>
                            <a:tailEnd/>
                          </a:ln>
                          <a:effectLst>
                            <a:outerShdw dist="28398" dir="3806097" algn="ctr" rotWithShape="0">
                              <a:srgbClr val="205867">
                                <a:alpha val="50000"/>
                              </a:srgbClr>
                            </a:outerShdw>
                          </a:effectLst>
                        </wps:spPr>
                        <wps:txbx>
                          <w:txbxContent>
                            <w:p w:rsidR="00E90DAD" w:rsidRPr="00784189" w:rsidRDefault="00E90DAD" w:rsidP="005B21C1">
                              <w:pPr>
                                <w:rPr>
                                  <w:rFonts w:ascii="Calibri" w:hAnsi="Calibri"/>
                                  <w:color w:val="FFFFFF"/>
                                </w:rPr>
                              </w:pPr>
                              <w:r w:rsidRPr="00784189">
                                <w:rPr>
                                  <w:rFonts w:ascii="Calibri" w:hAnsi="Calibri"/>
                                  <w:color w:val="FFFFFF"/>
                                </w:rPr>
                                <w:t>Incentive mechanisms (increment or decrement)</w:t>
                              </w:r>
                            </w:p>
                            <w:p w:rsidR="00E90DAD" w:rsidRPr="00F51767" w:rsidRDefault="00E90DAD" w:rsidP="005B21C1"/>
                          </w:txbxContent>
                        </wps:txbx>
                        <wps:bodyPr rot="0" vert="horz" wrap="square" lIns="91440" tIns="45720" rIns="91440" bIns="45720" anchor="t" anchorCtr="0" upright="1">
                          <a:noAutofit/>
                        </wps:bodyPr>
                      </wps:wsp>
                      <wps:wsp>
                        <wps:cNvPr id="36" name="Text Box 16"/>
                        <wps:cNvSpPr txBox="1">
                          <a:spLocks noChangeArrowheads="1"/>
                        </wps:cNvSpPr>
                        <wps:spPr bwMode="auto">
                          <a:xfrm>
                            <a:off x="4667022" y="1579880"/>
                            <a:ext cx="895350" cy="314325"/>
                          </a:xfrm>
                          <a:prstGeom prst="rect">
                            <a:avLst/>
                          </a:prstGeom>
                          <a:solidFill>
                            <a:srgbClr val="FFFFFF"/>
                          </a:solidFill>
                          <a:ln w="9525">
                            <a:solidFill>
                              <a:schemeClr val="bg1">
                                <a:lumMod val="100000"/>
                                <a:lumOff val="0"/>
                              </a:schemeClr>
                            </a:solidFill>
                            <a:miter lim="800000"/>
                            <a:headEnd/>
                            <a:tailEnd/>
                          </a:ln>
                        </wps:spPr>
                        <wps:txbx>
                          <w:txbxContent>
                            <w:p w:rsidR="00E90DAD" w:rsidRPr="00E91FF0" w:rsidRDefault="00E90DAD" w:rsidP="005B21C1">
                              <w:pPr>
                                <w:pStyle w:val="AERtabletextleft"/>
                              </w:pPr>
                              <w:r w:rsidRPr="00E91FF0">
                                <w:t xml:space="preserve">Total </w:t>
                              </w:r>
                              <w:r>
                                <w:t>r</w:t>
                              </w:r>
                              <w:r w:rsidRPr="00E91FF0">
                                <w:t>evenue</w:t>
                              </w:r>
                            </w:p>
                            <w:p w:rsidR="00E90DAD" w:rsidRDefault="00E90DAD" w:rsidP="005B21C1"/>
                          </w:txbxContent>
                        </wps:txbx>
                        <wps:bodyPr rot="0" vert="horz" wrap="square" lIns="91440" tIns="45720" rIns="91440" bIns="45720" anchor="t" anchorCtr="0" upright="1">
                          <a:noAutofit/>
                        </wps:bodyPr>
                      </wps:wsp>
                    </wpc:wpc>
                  </a:graphicData>
                </a:graphic>
              </wp:inline>
            </w:drawing>
          </mc:Choice>
          <mc:Fallback>
            <w:pict>
              <v:group id="Canvas 37" o:spid="_x0000_s1026" editas="canvas" alt="Image outlining the bulding block model. The table's contents were described in the previous paragraph." style="width:438.35pt;height:274.85pt;mso-position-horizontal-relative:char;mso-position-vertical-relative:line" coordsize="55664,34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Image outlining the bulding block model. The table's contents were described in the previous paragraph." style="position:absolute;width:55664;height:34905;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6437;width:24702;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mOZ8UA&#10;AADbAAAADwAAAGRycy9kb3ducmV2LnhtbESPX2sCMRDE3wt+h7CCL6Xm/FfkNIoIQqG0tFoKvi2X&#10;9RK9bI5LPM9v3xQKfRxm5zc7y3XnKtFSE6xnBaNhBoK48NpyqeDrsHuagwgRWWPlmRTcKcB61XtY&#10;Yq79jT+p3cdSJAiHHBWYGOtcylAYchiGviZO3sk3DmOSTSl1g7cEd5UcZ9mzdGg5NRisaWuouOyv&#10;Lr0x+9i0x60J+Pj2PZm+ny3FV6vUoN9tFiAidfH/+C/9ohWMp/C7JQF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mY5nxQAAANsAAAAPAAAAAAAAAAAAAAAAAJgCAABkcnMv&#10;ZG93bnJldi54bWxQSwUGAAAAAAQABAD1AAAAigMAAAAA&#10;" fillcolor="#c00000" strokecolor="#c00000" strokeweight="0">
                  <v:fill opacity=".5" color2="#c71e1e" focusposition=".5,.5" focussize="" focus="100%" type="gradientRadial"/>
                  <v:shadow on="t" color="#622423" offset="1pt"/>
                  <v:textbox>
                    <w:txbxContent>
                      <w:p w:rsidR="00E90DAD" w:rsidRPr="009A07AA" w:rsidRDefault="00E90DAD" w:rsidP="005B21C1">
                        <w:pPr>
                          <w:rPr>
                            <w:rFonts w:ascii="Calibri" w:hAnsi="Calibri"/>
                            <w:b/>
                            <w:color w:val="FFFFFF"/>
                          </w:rPr>
                        </w:pPr>
                        <w:r w:rsidRPr="009A07AA">
                          <w:rPr>
                            <w:rFonts w:ascii="Calibri" w:hAnsi="Calibri"/>
                            <w:color w:val="FFFFFF"/>
                          </w:rPr>
                          <w:t xml:space="preserve">Return on capital (forecast </w:t>
                        </w:r>
                        <w:r w:rsidRPr="009A07AA">
                          <w:rPr>
                            <w:rFonts w:ascii="Calibri" w:hAnsi="Calibri"/>
                            <w:color w:val="FFFFFF" w:themeColor="background1"/>
                          </w:rPr>
                          <w:t xml:space="preserve">capital base </w:t>
                        </w:r>
                        <w:r w:rsidRPr="009A07AA">
                          <w:rPr>
                            <w:rFonts w:ascii="Calibri" w:hAnsi="Calibri"/>
                            <w:color w:val="FFFFFF"/>
                          </w:rPr>
                          <w:t>× cost of capital)</w:t>
                        </w:r>
                      </w:p>
                    </w:txbxContent>
                  </v:textbox>
                </v:shape>
                <v:shape id="Text Box 5" o:spid="_x0000_s1029" type="#_x0000_t202" style="position:absolute;left:16437;top:6889;width:24702;height:7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2JdMYA&#10;AADbAAAADwAAAGRycy9kb3ducmV2LnhtbESPT2vCQBTE74LfYXlCb3Wj2NpGV/EPxV5aMBV6fWSf&#10;2Wj2bciuJvXTdwsFj8PM/IaZLztbiSs1vnSsYDRMQBDnTpdcKDh8vT2+gPABWWPlmBT8kIflot+b&#10;Y6pdy3u6ZqEQEcI+RQUmhDqV0ueGLPqhq4mjd3SNxRBlU0jdYBvhtpLjJHmWFkuOCwZr2hjKz9nF&#10;KrhMD8koP20/zOv37nOScbe9tWulHgbdagYiUBfu4f/2u1YwfoK/L/E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2JdMYAAADbAAAADwAAAAAAAAAAAAAAAACYAgAAZHJz&#10;L2Rvd25yZXYueG1sUEsFBgAAAAAEAAQA9QAAAIsDAAAAAA==&#10;" fillcolor="#c0504d" strokecolor="#d99594" strokeweight="1pt">
                  <v:fill color2="#c15451" focus="50%" type="gradient"/>
                  <v:shadow on="t" color="#622423" offset="1pt"/>
                  <v:textbox>
                    <w:txbxContent>
                      <w:p w:rsidR="00E90DAD" w:rsidRPr="009A07AA" w:rsidRDefault="00E90DAD" w:rsidP="005B21C1">
                        <w:pPr>
                          <w:rPr>
                            <w:rFonts w:ascii="Calibri" w:hAnsi="Calibri"/>
                            <w:color w:val="FFFFFF" w:themeColor="background1"/>
                          </w:rPr>
                        </w:pPr>
                        <w:r w:rsidRPr="009A07AA">
                          <w:rPr>
                            <w:rFonts w:ascii="Calibri" w:hAnsi="Calibri"/>
                            <w:color w:val="FFFFFF" w:themeColor="background1"/>
                          </w:rPr>
                          <w:t>Regulatory depreciation (depreciation net of indexation applied to capital base)</w:t>
                        </w:r>
                      </w:p>
                    </w:txbxContent>
                  </v:textbox>
                </v:shape>
                <v:shape id="Text Box 26" o:spid="_x0000_s1030" type="#_x0000_t202" style="position:absolute;left:16437;top:28214;width:24702;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O0vMYA&#10;AADbAAAADwAAAGRycy9kb3ducmV2LnhtbESPQWsCMRSE74L/IbyCl1Kz1WLL1ihFEBbrRdtSj8/N&#10;cze6eVk2Ubf+eiMUPA4z8w0znra2EidqvHGs4LmfgCDOnTZcKPj+mj+9gfABWWPlmBT8kYfppNsZ&#10;Y6rdmVd0WodCRAj7FBWUIdSplD4vyaLvu5o4ejvXWAxRNoXUDZ4j3FZykCQjadFwXCixpllJ+WF9&#10;tAouj9nrp8kW25dazs3vcLff/Cz3SvUe2o93EIHacA//tzOtYDCC25f4A+Tk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O0vMYAAADbAAAADwAAAAAAAAAAAAAAAACYAgAAZHJz&#10;L2Rvd25yZXYueG1sUEsFBgAAAAAEAAQA9QAAAIsDAAAAAA==&#10;" fillcolor="#76923c" strokecolor="#548dd4" strokeweight="1pt">
                  <v:fill color2="#738f3b" focus="100%" type="gradient"/>
                  <v:shadow on="t" color="#622423" opacity=".5" offset="1pt"/>
                  <v:textbox>
                    <w:txbxContent>
                      <w:p w:rsidR="00E90DAD" w:rsidRPr="009A07AA" w:rsidRDefault="00E90DAD" w:rsidP="005B21C1">
                        <w:pPr>
                          <w:spacing w:after="200"/>
                          <w:rPr>
                            <w:rStyle w:val="AERbody"/>
                            <w:rFonts w:ascii="Calibri" w:hAnsi="Calibri"/>
                          </w:rPr>
                        </w:pPr>
                        <w:r w:rsidRPr="009A07AA">
                          <w:rPr>
                            <w:rStyle w:val="AERbody"/>
                            <w:rFonts w:ascii="Calibri" w:hAnsi="Calibri"/>
                            <w:color w:val="FFFFFF"/>
                          </w:rPr>
                          <w:t>Corporate income tax (net of value of imputation credits)</w:t>
                        </w:r>
                      </w:p>
                      <w:p w:rsidR="00E90DAD" w:rsidRPr="007F7192" w:rsidRDefault="00E90DAD" w:rsidP="005B21C1">
                        <w:pPr>
                          <w:spacing w:after="200"/>
                          <w:rPr>
                            <w:rStyle w:val="AERbody"/>
                            <w:color w:val="FFFFFF"/>
                          </w:rPr>
                        </w:pPr>
                        <w:r w:rsidRPr="007F7192">
                          <w:rPr>
                            <w:rStyle w:val="AERbody"/>
                            <w:color w:val="FFFFFF"/>
                          </w:rPr>
                          <w:br/>
                        </w:r>
                      </w:p>
                    </w:txbxContent>
                  </v:textbox>
                </v:shape>
                <v:line id="Line 7" o:spid="_x0000_s1031" style="position:absolute;visibility:visible;mso-wrap-style:square" from="42041,0" to="454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8" o:spid="_x0000_s1032" style="position:absolute;visibility:visible;mso-wrap-style:square" from="42041,33324" to="45489,3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9" o:spid="_x0000_s1033" style="position:absolute;visibility:visible;mso-wrap-style:square" from="45489,0" to="45489,3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10" o:spid="_x0000_s1034" style="position:absolute;flip:x;visibility:visible;mso-wrap-style:square" from="12157,0" to="156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11" o:spid="_x0000_s1035" style="position:absolute;flip:x;visibility:visible;mso-wrap-style:square" from="12157,13792" to="15606,13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line id="Line 12" o:spid="_x0000_s1036" style="position:absolute;visibility:visible;mso-wrap-style:square" from="12157,0" to="12157,13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shape id="Text Box 13" o:spid="_x0000_s1037" type="#_x0000_t202" style="position:absolute;left:1521;top:4070;width:10268;height:6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EIcMA&#10;AADbAAAADwAAAGRycy9kb3ducmV2LnhtbESPQWvCQBSE70L/w/IKXqRujCAlzUYkWOxV7aW3R/aZ&#10;hGbfJtltEvvrXUHwOMzMN0y6nUwjBupdbVnBahmBIC6srrlU8H3+fHsH4TyyxsYyKbiSg232Mksx&#10;0XbkIw0nX4oAYZeggsr7NpHSFRUZdEvbEgfvYnuDPsi+lLrHMcBNI+Mo2kiDNYeFClvKKyp+T39G&#10;gR33V2Opi+LFz7855LvueIk7peav0+4DhKfJP8OP9pdWsF7D/Uv4AT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oEIcMAAADbAAAADwAAAAAAAAAAAAAAAACYAgAAZHJzL2Rv&#10;d25yZXYueG1sUEsFBgAAAAAEAAQA9QAAAIgDAAAAAA==&#10;" strokecolor="white">
                  <v:textbox>
                    <w:txbxContent>
                      <w:p w:rsidR="00E90DAD" w:rsidRPr="002569F7" w:rsidRDefault="00E90DAD" w:rsidP="005B21C1">
                        <w:pPr>
                          <w:rPr>
                            <w:rFonts w:ascii="Calibri" w:hAnsi="Calibri"/>
                          </w:rPr>
                        </w:pPr>
                        <w:r w:rsidRPr="002569F7">
                          <w:rPr>
                            <w:rFonts w:ascii="Calibri" w:hAnsi="Calibri"/>
                          </w:rPr>
                          <w:t>Capital costs</w:t>
                        </w:r>
                      </w:p>
                    </w:txbxContent>
                  </v:textbox>
                </v:shape>
                <v:shape id="Text Box 14" o:spid="_x0000_s1038" type="#_x0000_t202" style="position:absolute;left:16494;top:15578;width:24701;height:5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e08YA&#10;AADbAAAADwAAAGRycy9kb3ducmV2LnhtbESPQWvCQBSE70L/w/IKvYhuWm2V1FVSQdCLtCrY3h7Z&#10;1yQ0+zbsbk38964geBxm5htmtuhMLU7kfGVZwfMwAUGcW11xoeCwXw2mIHxA1lhbJgVn8rCYP/Rm&#10;mGrb8heddqEQEcI+RQVlCE0qpc9LMuiHtiGO3q91BkOUrpDaYRvhppYvSfImDVYcF0psaFlS/rf7&#10;Nwqmk+X+2Gw/9GfrXjf5j8+6736m1NNjl72DCNSFe/jWXmsFozFcv8QfIO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Re08YAAADbAAAADwAAAAAAAAAAAAAAAACYAgAAZHJz&#10;L2Rvd25yZXYueG1sUEsFBgAAAAAEAAQA9QAAAIsDAAAAAA==&#10;" fillcolor="#365f91" strokecolor="#365f91" strokeweight="1pt">
                  <v:fill color2="#365f91" focus="100%" type="gradient"/>
                  <v:shadow on="t" color="#3f3151" opacity=".5" offset="1pt"/>
                  <v:textbox>
                    <w:txbxContent>
                      <w:p w:rsidR="00E90DAD" w:rsidRPr="008D2606" w:rsidRDefault="00E90DAD" w:rsidP="005B21C1">
                        <w:pPr>
                          <w:spacing w:after="200"/>
                          <w:rPr>
                            <w:rFonts w:ascii="Calibri" w:hAnsi="Calibri"/>
                            <w:color w:val="FFFFFF"/>
                          </w:rPr>
                        </w:pPr>
                        <w:r w:rsidRPr="008D2606">
                          <w:rPr>
                            <w:rFonts w:ascii="Calibri" w:hAnsi="Calibri"/>
                            <w:color w:val="FFFFFF"/>
                          </w:rPr>
                          <w:t xml:space="preserve">Operating </w:t>
                        </w:r>
                        <w:r w:rsidRPr="00664FB1">
                          <w:rPr>
                            <w:rFonts w:ascii="Calibri" w:hAnsi="Calibri"/>
                            <w:color w:val="FFFFFF"/>
                          </w:rPr>
                          <w:t>expenditure (opex)</w:t>
                        </w:r>
                        <w:r>
                          <w:t xml:space="preserve"> </w:t>
                        </w:r>
                      </w:p>
                      <w:p w:rsidR="00E90DAD" w:rsidRPr="004414F4" w:rsidRDefault="00E90DAD" w:rsidP="005B21C1">
                        <w:pPr>
                          <w:rPr>
                            <w:color w:val="FFFFFF"/>
                          </w:rPr>
                        </w:pPr>
                      </w:p>
                    </w:txbxContent>
                  </v:textbox>
                </v:shape>
                <v:shape id="Text Box 15" o:spid="_x0000_s1039" type="#_x0000_t202" style="position:absolute;left:16494;top:21473;width:24701;height:6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3fH8UA&#10;AADbAAAADwAAAGRycy9kb3ducmV2LnhtbESPQWsCMRSE74L/ITzBm2a1aGVrlFIrinjpWorHx+Z1&#10;s7h5WTZRV399UxA8DjPzDTNftrYSF2p86VjBaJiAIM6dLrlQ8H1YD2YgfEDWWDkmBTfysFx0O3NM&#10;tbvyF12yUIgIYZ+iAhNCnUrpc0MW/dDVxNH7dY3FEGVTSN3gNcJtJcdJMpUWS44LBmv6MJSfsrNV&#10;cNzcfvbuvKo/s8nWvLrdtLgfd0r1e+37G4hAbXiGH+2tVvAygf8v8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d8fxQAAANsAAAAPAAAAAAAAAAAAAAAAAJgCAABkcnMv&#10;ZG93bnJldi54bWxQSwUGAAAAAAQABAD1AAAAigMAAAAA&#10;" fillcolor="#548dd4" strokecolor="#76923c" strokeweight="1pt">
                  <v:fill color2="#548dd4" focus="100%" type="gradient"/>
                  <v:shadow on="t" color="#205867" opacity=".5" offset="1pt"/>
                  <v:textbox>
                    <w:txbxContent>
                      <w:p w:rsidR="00E90DAD" w:rsidRPr="00784189" w:rsidRDefault="00E90DAD" w:rsidP="005B21C1">
                        <w:pPr>
                          <w:rPr>
                            <w:rFonts w:ascii="Calibri" w:hAnsi="Calibri"/>
                            <w:color w:val="FFFFFF"/>
                          </w:rPr>
                        </w:pPr>
                        <w:r w:rsidRPr="00784189">
                          <w:rPr>
                            <w:rFonts w:ascii="Calibri" w:hAnsi="Calibri"/>
                            <w:color w:val="FFFFFF"/>
                          </w:rPr>
                          <w:t>Incentive mechanisms (increment or decrement)</w:t>
                        </w:r>
                      </w:p>
                      <w:p w:rsidR="00E90DAD" w:rsidRPr="00F51767" w:rsidRDefault="00E90DAD" w:rsidP="005B21C1"/>
                    </w:txbxContent>
                  </v:textbox>
                </v:shape>
                <v:shape id="Text Box 16" o:spid="_x0000_s1040" type="#_x0000_t202" style="position:absolute;left:46670;top:15798;width:8953;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3NGMQA&#10;AADbAAAADwAAAGRycy9kb3ducmV2LnhtbESPQWvCQBSE7wX/w/IEb3WjlqDRVURRepHSKOrxmX0m&#10;wezbkN1q6q/vFgo9DjPzDTNbtKYSd2pcaVnBoB+BIM6sLjlXcNhvXscgnEfWWFkmBd/kYDHvvMww&#10;0fbBn3RPfS4ChF2CCgrv60RKlxVk0PVtTRy8q20M+iCbXOoGHwFuKjmMolgaLDksFFjTqqDsln4Z&#10;BS6L4uPHW3o8XeSWnhOt1+ftTqlet11OQXhq/X/4r/2uFYxi+P0SfoC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dzRjEAAAA2wAAAA8AAAAAAAAAAAAAAAAAmAIAAGRycy9k&#10;b3ducmV2LnhtbFBLBQYAAAAABAAEAPUAAACJAwAAAAA=&#10;" strokecolor="white [3212]">
                  <v:textbox>
                    <w:txbxContent>
                      <w:p w:rsidR="00E90DAD" w:rsidRPr="00E91FF0" w:rsidRDefault="00E90DAD" w:rsidP="005B21C1">
                        <w:pPr>
                          <w:pStyle w:val="AERtabletextleft"/>
                        </w:pPr>
                        <w:r w:rsidRPr="00E91FF0">
                          <w:t xml:space="preserve">Total </w:t>
                        </w:r>
                        <w:r>
                          <w:t>r</w:t>
                        </w:r>
                        <w:r w:rsidRPr="00E91FF0">
                          <w:t>evenue</w:t>
                        </w:r>
                      </w:p>
                      <w:p w:rsidR="00E90DAD" w:rsidRDefault="00E90DAD" w:rsidP="005B21C1"/>
                    </w:txbxContent>
                  </v:textbox>
                </v:shape>
                <w10:anchorlock/>
              </v:group>
            </w:pict>
          </mc:Fallback>
        </mc:AlternateContent>
      </w:r>
    </w:p>
    <w:p w:rsidR="005B21C1" w:rsidRDefault="005B21C1" w:rsidP="005B21C1">
      <w:pPr>
        <w:pStyle w:val="Heading3"/>
      </w:pPr>
      <w:bookmarkStart w:id="60" w:name="_Toc433016425"/>
      <w:bookmarkStart w:id="61" w:name="_Toc436037692"/>
      <w:r>
        <w:t>Draft decision</w:t>
      </w:r>
      <w:bookmarkEnd w:id="60"/>
      <w:bookmarkEnd w:id="61"/>
    </w:p>
    <w:p w:rsidR="005B21C1" w:rsidRPr="00B5370C" w:rsidRDefault="005B21C1" w:rsidP="005B21C1">
      <w:pPr>
        <w:rPr>
          <w:rStyle w:val="AERtexthighlight"/>
        </w:rPr>
      </w:pPr>
      <w:r w:rsidRPr="00B5370C">
        <w:t>We</w:t>
      </w:r>
      <w:r>
        <w:t xml:space="preserve"> accept that some aspects of AGN</w:t>
      </w:r>
      <w:r w:rsidRPr="00B5370C">
        <w:t xml:space="preserve">'s proposal are consistent with the requirements of the NGR. However, we have not approved all elements, and </w:t>
      </w:r>
      <w:r w:rsidR="008A3285">
        <w:t xml:space="preserve">as such, </w:t>
      </w:r>
      <w:r w:rsidRPr="00B5370C">
        <w:t>have</w:t>
      </w:r>
      <w:r>
        <w:t xml:space="preserve"> not approved AGN</w:t>
      </w:r>
      <w:r w:rsidRPr="00B5370C">
        <w:t>'s access arrangement proposal as a whole.</w:t>
      </w:r>
      <w:r w:rsidRPr="00B5370C">
        <w:rPr>
          <w:rStyle w:val="FootnoteReference"/>
        </w:rPr>
        <w:footnoteReference w:id="21"/>
      </w:r>
      <w:r w:rsidRPr="00B5370C">
        <w:t xml:space="preserve"> </w:t>
      </w:r>
    </w:p>
    <w:p w:rsidR="005B21C1" w:rsidRPr="00B5370C" w:rsidRDefault="005B21C1" w:rsidP="005B21C1">
      <w:r w:rsidRPr="00B5370C">
        <w:t>We</w:t>
      </w:r>
      <w:r>
        <w:t xml:space="preserve"> do not approve AGN</w:t>
      </w:r>
      <w:r w:rsidRPr="00B5370C">
        <w:t>'s proposed total revenue requirement (smoothed) of $</w:t>
      </w:r>
      <w:r>
        <w:t>1148</w:t>
      </w:r>
      <w:r w:rsidR="00467023">
        <w:t>.0</w:t>
      </w:r>
      <w:r w:rsidR="0097503B">
        <w:t> </w:t>
      </w:r>
      <w:r w:rsidRPr="00B5370C">
        <w:t>million ($nominal) for reference services</w:t>
      </w:r>
      <w:r>
        <w:t xml:space="preserve"> over the 2016</w:t>
      </w:r>
      <w:r w:rsidRPr="00B5370C">
        <w:t>–2</w:t>
      </w:r>
      <w:r>
        <w:t>1</w:t>
      </w:r>
      <w:r w:rsidRPr="00B5370C">
        <w:t xml:space="preserve"> access arrangement period.</w:t>
      </w:r>
      <w:r w:rsidRPr="00B5370C">
        <w:rPr>
          <w:rStyle w:val="FootnoteReference"/>
        </w:rPr>
        <w:footnoteReference w:id="22"/>
      </w:r>
      <w:r w:rsidRPr="00B5370C">
        <w:t xml:space="preserve"> Based on our assessment of the building block costs, we determine a total revenue requirement</w:t>
      </w:r>
      <w:r>
        <w:t xml:space="preserve"> (smoothed)</w:t>
      </w:r>
      <w:r w:rsidRPr="00B5370C">
        <w:t xml:space="preserve"> o</w:t>
      </w:r>
      <w:r>
        <w:t>f $</w:t>
      </w:r>
      <w:r w:rsidR="00467023">
        <w:t>9</w:t>
      </w:r>
      <w:r w:rsidR="00926971">
        <w:t>38</w:t>
      </w:r>
      <w:r w:rsidR="00467023">
        <w:t>.</w:t>
      </w:r>
      <w:r w:rsidR="00926971">
        <w:t>6</w:t>
      </w:r>
      <w:r w:rsidR="00467023">
        <w:t xml:space="preserve"> </w:t>
      </w:r>
      <w:r>
        <w:t>million ($nominal) f</w:t>
      </w:r>
      <w:r w:rsidRPr="00B5370C">
        <w:t xml:space="preserve">or </w:t>
      </w:r>
      <w:r>
        <w:t>AGN</w:t>
      </w:r>
      <w:r w:rsidRPr="00B5370C">
        <w:t xml:space="preserve"> over the 20</w:t>
      </w:r>
      <w:r>
        <w:t>16</w:t>
      </w:r>
      <w:r w:rsidRPr="00B5370C">
        <w:t>–2</w:t>
      </w:r>
      <w:r>
        <w:t>1</w:t>
      </w:r>
      <w:r w:rsidRPr="00B5370C">
        <w:t xml:space="preserve"> access arrangement period.</w:t>
      </w:r>
      <w:r w:rsidRPr="00B5370C">
        <w:rPr>
          <w:rStyle w:val="FootnoteReference"/>
        </w:rPr>
        <w:footnoteReference w:id="23"/>
      </w:r>
      <w:r>
        <w:t xml:space="preserve"> </w:t>
      </w:r>
      <w:r w:rsidR="00503F96">
        <w:t xml:space="preserve">Our draft decision on </w:t>
      </w:r>
      <w:r w:rsidR="002040E4">
        <w:t xml:space="preserve">the </w:t>
      </w:r>
      <w:r w:rsidR="00503F96">
        <w:t xml:space="preserve">total revenue </w:t>
      </w:r>
      <w:r w:rsidR="002040E4">
        <w:t xml:space="preserve">requirement </w:t>
      </w:r>
      <w:r w:rsidR="00503F96">
        <w:t xml:space="preserve">has been determined using the building block approach set out in </w:t>
      </w:r>
      <w:r w:rsidRPr="00B5370C">
        <w:t>rule 76 of the NGR. This total</w:t>
      </w:r>
      <w:r>
        <w:t xml:space="preserve"> smoothed revenue requirement is $</w:t>
      </w:r>
      <w:r w:rsidR="00467023">
        <w:t>20</w:t>
      </w:r>
      <w:r w:rsidR="007D42D8">
        <w:t>9</w:t>
      </w:r>
      <w:r w:rsidR="00467023">
        <w:t>.</w:t>
      </w:r>
      <w:r w:rsidR="007D42D8">
        <w:t>4</w:t>
      </w:r>
      <w:r>
        <w:t xml:space="preserve"> million (or </w:t>
      </w:r>
      <w:r w:rsidR="007D42D8">
        <w:t>18</w:t>
      </w:r>
      <w:r w:rsidR="00467023">
        <w:t>.</w:t>
      </w:r>
      <w:r w:rsidR="007D42D8">
        <w:t>2</w:t>
      </w:r>
      <w:r w:rsidR="00467023">
        <w:t xml:space="preserve"> </w:t>
      </w:r>
      <w:r>
        <w:t>per cent)</w:t>
      </w:r>
      <w:r w:rsidRPr="00B5370C">
        <w:t xml:space="preserve"> lower than </w:t>
      </w:r>
      <w:r>
        <w:t>AGN</w:t>
      </w:r>
      <w:r w:rsidRPr="00B5370C">
        <w:t>'s proposal.</w:t>
      </w:r>
    </w:p>
    <w:p w:rsidR="005B21C1" w:rsidRDefault="005B21C1" w:rsidP="005B21C1">
      <w:r>
        <w:t>We do not approve AGN</w:t>
      </w:r>
      <w:r w:rsidRPr="00B5370C">
        <w:t>'s proposed 201</w:t>
      </w:r>
      <w:r>
        <w:t>6</w:t>
      </w:r>
      <w:r w:rsidRPr="00B5370C">
        <w:t>–</w:t>
      </w:r>
      <w:r>
        <w:t>17</w:t>
      </w:r>
      <w:r w:rsidRPr="00B5370C">
        <w:t xml:space="preserve"> tariffs, which imply a</w:t>
      </w:r>
      <w:r>
        <w:t xml:space="preserve"> weighted average decrease in real </w:t>
      </w:r>
      <w:r w:rsidR="00476954">
        <w:t xml:space="preserve">tariffs </w:t>
      </w:r>
      <w:r w:rsidRPr="00B5370C">
        <w:t xml:space="preserve">of </w:t>
      </w:r>
      <w:r>
        <w:t xml:space="preserve">11.38 </w:t>
      </w:r>
      <w:r w:rsidRPr="00B5370C">
        <w:t>per cent</w:t>
      </w:r>
      <w:r>
        <w:t>. We also do not approve AGN</w:t>
      </w:r>
      <w:r w:rsidR="007C025A">
        <w:t>’s</w:t>
      </w:r>
      <w:r>
        <w:t xml:space="preserve"> proposed 201</w:t>
      </w:r>
      <w:r w:rsidR="007C025A">
        <w:t>7</w:t>
      </w:r>
      <w:r>
        <w:t>–2</w:t>
      </w:r>
      <w:r w:rsidR="007C025A">
        <w:t>1</w:t>
      </w:r>
      <w:r>
        <w:t xml:space="preserve"> tariff path, which impl</w:t>
      </w:r>
      <w:r w:rsidR="00597AB3">
        <w:t>ied</w:t>
      </w:r>
      <w:r>
        <w:t xml:space="preserve"> a weighted average increase in real </w:t>
      </w:r>
      <w:r w:rsidR="00476954">
        <w:t xml:space="preserve">tariffs </w:t>
      </w:r>
      <w:r>
        <w:t>of 5</w:t>
      </w:r>
      <w:r w:rsidR="001B1596">
        <w:t>.0</w:t>
      </w:r>
      <w:r>
        <w:t xml:space="preserve"> per cent per year.</w:t>
      </w:r>
      <w:r>
        <w:rPr>
          <w:rStyle w:val="FootnoteReference"/>
        </w:rPr>
        <w:footnoteReference w:id="24"/>
      </w:r>
      <w:r w:rsidRPr="00B5370C">
        <w:t xml:space="preserve"> </w:t>
      </w:r>
      <w:r>
        <w:t xml:space="preserve">As a result of our lower total revenue requirement and higher demand forecast, our draft decision is for a real decrease in weighted average tariffs of </w:t>
      </w:r>
      <w:r w:rsidR="005A7EBA">
        <w:t>22.</w:t>
      </w:r>
      <w:r w:rsidR="001B1596">
        <w:t>8</w:t>
      </w:r>
      <w:r w:rsidR="005A7EBA">
        <w:t xml:space="preserve">0 per cent </w:t>
      </w:r>
      <w:r>
        <w:t>in 2016–17, and then</w:t>
      </w:r>
      <w:r w:rsidR="00F6794A">
        <w:t xml:space="preserve"> </w:t>
      </w:r>
      <w:r>
        <w:t xml:space="preserve">real </w:t>
      </w:r>
      <w:r w:rsidR="005A7EBA">
        <w:t xml:space="preserve">increases </w:t>
      </w:r>
      <w:r>
        <w:t xml:space="preserve">of </w:t>
      </w:r>
      <w:r w:rsidR="005A7EBA">
        <w:t>0.</w:t>
      </w:r>
      <w:r w:rsidR="001B1596">
        <w:t>77</w:t>
      </w:r>
      <w:r w:rsidR="005A7EBA">
        <w:t xml:space="preserve"> </w:t>
      </w:r>
      <w:r>
        <w:t>per cent for each subsequent year</w:t>
      </w:r>
      <w:r w:rsidRPr="00354D12">
        <w:t xml:space="preserve"> </w:t>
      </w:r>
      <w:r>
        <w:t xml:space="preserve">of the 2016–21 access arrangement period. </w:t>
      </w:r>
    </w:p>
    <w:p w:rsidR="005B21C1" w:rsidRPr="00A96757" w:rsidRDefault="00133A17" w:rsidP="005B21C1">
      <w:r>
        <w:fldChar w:fldCharType="begin"/>
      </w:r>
      <w:r>
        <w:instrText xml:space="preserve"> REF _Ref433875619 \h </w:instrText>
      </w:r>
      <w:r>
        <w:fldChar w:fldCharType="separate"/>
      </w:r>
      <w:r w:rsidR="00E90DAD">
        <w:t xml:space="preserve">Table </w:t>
      </w:r>
      <w:r w:rsidR="00E90DAD">
        <w:rPr>
          <w:noProof/>
        </w:rPr>
        <w:t>1</w:t>
      </w:r>
      <w:r>
        <w:fldChar w:fldCharType="end"/>
      </w:r>
      <w:r w:rsidR="005A7EBA">
        <w:t xml:space="preserve"> </w:t>
      </w:r>
      <w:r w:rsidR="00944C85">
        <w:t>sets out o</w:t>
      </w:r>
      <w:r w:rsidR="005B21C1">
        <w:t>ur draft decision on AGN</w:t>
      </w:r>
      <w:r w:rsidR="005B21C1" w:rsidRPr="00A96757">
        <w:t>'s revenue requirement</w:t>
      </w:r>
      <w:r w:rsidR="00597AB3">
        <w:t>,</w:t>
      </w:r>
      <w:r w:rsidR="005B21C1" w:rsidRPr="00A96757">
        <w:t xml:space="preserve"> by building block</w:t>
      </w:r>
      <w:r w:rsidR="00597AB3">
        <w:t>,</w:t>
      </w:r>
      <w:r w:rsidR="005B21C1" w:rsidRPr="00A96757">
        <w:t xml:space="preserve"> for each year of the 2016–21 access arrangement period, </w:t>
      </w:r>
      <w:r w:rsidR="005B21C1">
        <w:t>the</w:t>
      </w:r>
      <w:r w:rsidR="005B21C1" w:rsidRPr="00A96757">
        <w:t xml:space="preserve"> total revenue after equalisation (smoothing) and the X factors for use in the tariff variation mechanism.</w:t>
      </w:r>
    </w:p>
    <w:p w:rsidR="005B21C1" w:rsidRPr="007A5A6C" w:rsidRDefault="00133A17" w:rsidP="00133A17">
      <w:pPr>
        <w:pStyle w:val="Caption"/>
      </w:pPr>
      <w:bookmarkStart w:id="62" w:name="_Ref433875619"/>
      <w:r>
        <w:t xml:space="preserve">Table </w:t>
      </w:r>
      <w:fldSimple w:instr=" SEQ Table \* ARABIC ">
        <w:r w:rsidR="00E90DAD">
          <w:rPr>
            <w:noProof/>
          </w:rPr>
          <w:t>1</w:t>
        </w:r>
      </w:fldSimple>
      <w:bookmarkEnd w:id="62"/>
      <w:r w:rsidR="005B21C1" w:rsidRPr="007A5A6C">
        <w:tab/>
        <w:t xml:space="preserve">AER's draft decision on </w:t>
      </w:r>
      <w:r w:rsidR="005B21C1">
        <w:t>AGN</w:t>
      </w:r>
      <w:r w:rsidR="005B21C1" w:rsidRPr="007A5A6C">
        <w:t>'s smoothed total revenue and X factors for the 201</w:t>
      </w:r>
      <w:r w:rsidR="005B21C1">
        <w:t>6</w:t>
      </w:r>
      <w:r w:rsidR="005B21C1" w:rsidRPr="007A5A6C">
        <w:t>–2</w:t>
      </w:r>
      <w:r w:rsidR="005B21C1">
        <w:t>1</w:t>
      </w:r>
      <w:r w:rsidR="005B21C1" w:rsidRPr="007A5A6C">
        <w:t xml:space="preserve"> access arrangement period ($million, nominal)</w:t>
      </w:r>
    </w:p>
    <w:tbl>
      <w:tblPr>
        <w:tblStyle w:val="AERtable-numbers"/>
        <w:tblW w:w="8701" w:type="dxa"/>
        <w:tblLayout w:type="fixed"/>
        <w:tblLook w:val="04A0" w:firstRow="1" w:lastRow="0" w:firstColumn="1" w:lastColumn="0" w:noHBand="0" w:noVBand="1"/>
      </w:tblPr>
      <w:tblGrid>
        <w:gridCol w:w="2809"/>
        <w:gridCol w:w="982"/>
        <w:gridCol w:w="982"/>
        <w:gridCol w:w="982"/>
        <w:gridCol w:w="982"/>
        <w:gridCol w:w="982"/>
        <w:gridCol w:w="982"/>
      </w:tblGrid>
      <w:tr w:rsidR="005B21C1" w:rsidRPr="00F6794A" w:rsidTr="007C025A">
        <w:trPr>
          <w:cnfStyle w:val="100000000000" w:firstRow="1" w:lastRow="0" w:firstColumn="0" w:lastColumn="0" w:oddVBand="0" w:evenVBand="0" w:oddHBand="0"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809" w:type="dxa"/>
            <w:hideMark/>
          </w:tcPr>
          <w:p w:rsidR="005B21C1" w:rsidRPr="00F6794A" w:rsidRDefault="005B21C1" w:rsidP="00944C85">
            <w:r w:rsidRPr="00F6794A">
              <w:t>Building block</w:t>
            </w:r>
          </w:p>
        </w:tc>
        <w:tc>
          <w:tcPr>
            <w:tcW w:w="982" w:type="dxa"/>
            <w:hideMark/>
          </w:tcPr>
          <w:p w:rsidR="005B21C1" w:rsidRPr="00F6794A" w:rsidRDefault="005B21C1" w:rsidP="00944C85">
            <w:pPr>
              <w:cnfStyle w:val="100000000000" w:firstRow="1" w:lastRow="0" w:firstColumn="0" w:lastColumn="0" w:oddVBand="0" w:evenVBand="0" w:oddHBand="0" w:evenHBand="0" w:firstRowFirstColumn="0" w:firstRowLastColumn="0" w:lastRowFirstColumn="0" w:lastRowLastColumn="0"/>
            </w:pPr>
            <w:r w:rsidRPr="00F6794A">
              <w:t>2016–17</w:t>
            </w:r>
          </w:p>
        </w:tc>
        <w:tc>
          <w:tcPr>
            <w:tcW w:w="982" w:type="dxa"/>
            <w:hideMark/>
          </w:tcPr>
          <w:p w:rsidR="005B21C1" w:rsidRPr="00F6794A" w:rsidRDefault="005B21C1" w:rsidP="00944C85">
            <w:pPr>
              <w:cnfStyle w:val="100000000000" w:firstRow="1" w:lastRow="0" w:firstColumn="0" w:lastColumn="0" w:oddVBand="0" w:evenVBand="0" w:oddHBand="0" w:evenHBand="0" w:firstRowFirstColumn="0" w:firstRowLastColumn="0" w:lastRowFirstColumn="0" w:lastRowLastColumn="0"/>
            </w:pPr>
            <w:r w:rsidRPr="00F6794A">
              <w:t>2017–18</w:t>
            </w:r>
          </w:p>
        </w:tc>
        <w:tc>
          <w:tcPr>
            <w:tcW w:w="982" w:type="dxa"/>
            <w:hideMark/>
          </w:tcPr>
          <w:p w:rsidR="005B21C1" w:rsidRPr="00F6794A" w:rsidRDefault="005B21C1" w:rsidP="00944C85">
            <w:pPr>
              <w:cnfStyle w:val="100000000000" w:firstRow="1" w:lastRow="0" w:firstColumn="0" w:lastColumn="0" w:oddVBand="0" w:evenVBand="0" w:oddHBand="0" w:evenHBand="0" w:firstRowFirstColumn="0" w:firstRowLastColumn="0" w:lastRowFirstColumn="0" w:lastRowLastColumn="0"/>
            </w:pPr>
            <w:r w:rsidRPr="00F6794A">
              <w:t>2018–19</w:t>
            </w:r>
          </w:p>
        </w:tc>
        <w:tc>
          <w:tcPr>
            <w:tcW w:w="982" w:type="dxa"/>
            <w:hideMark/>
          </w:tcPr>
          <w:p w:rsidR="005B21C1" w:rsidRPr="00F6794A" w:rsidRDefault="005B21C1" w:rsidP="00944C85">
            <w:pPr>
              <w:cnfStyle w:val="100000000000" w:firstRow="1" w:lastRow="0" w:firstColumn="0" w:lastColumn="0" w:oddVBand="0" w:evenVBand="0" w:oddHBand="0" w:evenHBand="0" w:firstRowFirstColumn="0" w:firstRowLastColumn="0" w:lastRowFirstColumn="0" w:lastRowLastColumn="0"/>
            </w:pPr>
            <w:r w:rsidRPr="00F6794A">
              <w:t>2019–20</w:t>
            </w:r>
          </w:p>
        </w:tc>
        <w:tc>
          <w:tcPr>
            <w:tcW w:w="982" w:type="dxa"/>
          </w:tcPr>
          <w:p w:rsidR="005B21C1" w:rsidRPr="00F6794A" w:rsidRDefault="005B21C1" w:rsidP="00944C85">
            <w:pPr>
              <w:cnfStyle w:val="100000000000" w:firstRow="1" w:lastRow="0" w:firstColumn="0" w:lastColumn="0" w:oddVBand="0" w:evenVBand="0" w:oddHBand="0" w:evenHBand="0" w:firstRowFirstColumn="0" w:firstRowLastColumn="0" w:lastRowFirstColumn="0" w:lastRowLastColumn="0"/>
            </w:pPr>
            <w:r w:rsidRPr="00F6794A">
              <w:t>2020–21</w:t>
            </w:r>
          </w:p>
        </w:tc>
        <w:tc>
          <w:tcPr>
            <w:tcW w:w="982" w:type="dxa"/>
            <w:hideMark/>
          </w:tcPr>
          <w:p w:rsidR="005B21C1" w:rsidRPr="00F6794A" w:rsidRDefault="005B21C1" w:rsidP="00944C85">
            <w:pPr>
              <w:cnfStyle w:val="100000000000" w:firstRow="1" w:lastRow="0" w:firstColumn="0" w:lastColumn="0" w:oddVBand="0" w:evenVBand="0" w:oddHBand="0" w:evenHBand="0" w:firstRowFirstColumn="0" w:firstRowLastColumn="0" w:lastRowFirstColumn="0" w:lastRowLastColumn="0"/>
            </w:pPr>
            <w:r w:rsidRPr="00F6794A">
              <w:t>Total</w:t>
            </w:r>
          </w:p>
        </w:tc>
      </w:tr>
      <w:tr w:rsidR="001B1596" w:rsidRPr="00F6794A" w:rsidTr="007C025A">
        <w:trPr>
          <w:trHeight w:val="291"/>
        </w:trPr>
        <w:tc>
          <w:tcPr>
            <w:cnfStyle w:val="001000000000" w:firstRow="0" w:lastRow="0" w:firstColumn="1" w:lastColumn="0" w:oddVBand="0" w:evenVBand="0" w:oddHBand="0" w:evenHBand="0" w:firstRowFirstColumn="0" w:firstRowLastColumn="0" w:lastRowFirstColumn="0" w:lastRowLastColumn="0"/>
            <w:tcW w:w="2809" w:type="dxa"/>
            <w:hideMark/>
          </w:tcPr>
          <w:p w:rsidR="001B1596" w:rsidRPr="001B1596" w:rsidRDefault="001B1596" w:rsidP="001B1596">
            <w:r w:rsidRPr="001B1596">
              <w:t>Return on capital</w:t>
            </w:r>
          </w:p>
        </w:tc>
        <w:tc>
          <w:tcPr>
            <w:tcW w:w="982" w:type="dxa"/>
          </w:tcPr>
          <w:p w:rsidR="001B1596" w:rsidRPr="001B1596" w:rsidRDefault="001B1596" w:rsidP="001B1596">
            <w:pPr>
              <w:cnfStyle w:val="000000000000" w:firstRow="0" w:lastRow="0" w:firstColumn="0" w:lastColumn="0" w:oddVBand="0" w:evenVBand="0" w:oddHBand="0" w:evenHBand="0" w:firstRowFirstColumn="0" w:firstRowLastColumn="0" w:lastRowFirstColumn="0" w:lastRowLastColumn="0"/>
            </w:pPr>
            <w:r w:rsidRPr="001B1596">
              <w:t>85.1</w:t>
            </w:r>
          </w:p>
        </w:tc>
        <w:tc>
          <w:tcPr>
            <w:tcW w:w="982" w:type="dxa"/>
          </w:tcPr>
          <w:p w:rsidR="001B1596" w:rsidRPr="001B1596" w:rsidRDefault="001B1596" w:rsidP="001B1596">
            <w:pPr>
              <w:cnfStyle w:val="000000000000" w:firstRow="0" w:lastRow="0" w:firstColumn="0" w:lastColumn="0" w:oddVBand="0" w:evenVBand="0" w:oddHBand="0" w:evenHBand="0" w:firstRowFirstColumn="0" w:firstRowLastColumn="0" w:lastRowFirstColumn="0" w:lastRowLastColumn="0"/>
            </w:pPr>
            <w:r w:rsidRPr="001B1596">
              <w:t>89.6</w:t>
            </w:r>
          </w:p>
        </w:tc>
        <w:tc>
          <w:tcPr>
            <w:tcW w:w="982" w:type="dxa"/>
          </w:tcPr>
          <w:p w:rsidR="001B1596" w:rsidRPr="001B1596" w:rsidRDefault="001B1596" w:rsidP="001B1596">
            <w:pPr>
              <w:cnfStyle w:val="000000000000" w:firstRow="0" w:lastRow="0" w:firstColumn="0" w:lastColumn="0" w:oddVBand="0" w:evenVBand="0" w:oddHBand="0" w:evenHBand="0" w:firstRowFirstColumn="0" w:firstRowLastColumn="0" w:lastRowFirstColumn="0" w:lastRowLastColumn="0"/>
            </w:pPr>
            <w:r w:rsidRPr="001B1596">
              <w:t>94.2</w:t>
            </w:r>
          </w:p>
        </w:tc>
        <w:tc>
          <w:tcPr>
            <w:tcW w:w="982" w:type="dxa"/>
          </w:tcPr>
          <w:p w:rsidR="001B1596" w:rsidRPr="001B1596" w:rsidRDefault="001B1596" w:rsidP="001B1596">
            <w:pPr>
              <w:cnfStyle w:val="000000000000" w:firstRow="0" w:lastRow="0" w:firstColumn="0" w:lastColumn="0" w:oddVBand="0" w:evenVBand="0" w:oddHBand="0" w:evenHBand="0" w:firstRowFirstColumn="0" w:firstRowLastColumn="0" w:lastRowFirstColumn="0" w:lastRowLastColumn="0"/>
            </w:pPr>
            <w:r w:rsidRPr="001B1596">
              <w:t>98.4</w:t>
            </w:r>
          </w:p>
        </w:tc>
        <w:tc>
          <w:tcPr>
            <w:tcW w:w="982" w:type="dxa"/>
          </w:tcPr>
          <w:p w:rsidR="001B1596" w:rsidRPr="001B1596" w:rsidRDefault="001B1596" w:rsidP="001B1596">
            <w:pPr>
              <w:cnfStyle w:val="000000000000" w:firstRow="0" w:lastRow="0" w:firstColumn="0" w:lastColumn="0" w:oddVBand="0" w:evenVBand="0" w:oddHBand="0" w:evenHBand="0" w:firstRowFirstColumn="0" w:firstRowLastColumn="0" w:lastRowFirstColumn="0" w:lastRowLastColumn="0"/>
            </w:pPr>
            <w:r w:rsidRPr="001B1596">
              <w:t>102.2</w:t>
            </w:r>
          </w:p>
        </w:tc>
        <w:tc>
          <w:tcPr>
            <w:tcW w:w="982" w:type="dxa"/>
          </w:tcPr>
          <w:p w:rsidR="001B1596" w:rsidRPr="001B1596" w:rsidRDefault="001B1596" w:rsidP="001B1596">
            <w:pPr>
              <w:cnfStyle w:val="000000000000" w:firstRow="0" w:lastRow="0" w:firstColumn="0" w:lastColumn="0" w:oddVBand="0" w:evenVBand="0" w:oddHBand="0" w:evenHBand="0" w:firstRowFirstColumn="0" w:firstRowLastColumn="0" w:lastRowFirstColumn="0" w:lastRowLastColumn="0"/>
            </w:pPr>
            <w:r w:rsidRPr="001B1596">
              <w:t>469.5</w:t>
            </w:r>
          </w:p>
        </w:tc>
      </w:tr>
      <w:tr w:rsidR="001B1596" w:rsidRPr="00F6794A" w:rsidTr="007C025A">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809" w:type="dxa"/>
            <w:hideMark/>
          </w:tcPr>
          <w:p w:rsidR="001B1596" w:rsidRPr="001B1596" w:rsidRDefault="001B1596" w:rsidP="001B1596">
            <w:r w:rsidRPr="001B1596">
              <w:t>Regulatory depreciation</w:t>
            </w:r>
          </w:p>
        </w:tc>
        <w:tc>
          <w:tcPr>
            <w:tcW w:w="982" w:type="dxa"/>
          </w:tcPr>
          <w:p w:rsidR="001B1596" w:rsidRPr="001B1596" w:rsidRDefault="001B1596" w:rsidP="001B1596">
            <w:pPr>
              <w:cnfStyle w:val="000000010000" w:firstRow="0" w:lastRow="0" w:firstColumn="0" w:lastColumn="0" w:oddVBand="0" w:evenVBand="0" w:oddHBand="0" w:evenHBand="1" w:firstRowFirstColumn="0" w:firstRowLastColumn="0" w:lastRowFirstColumn="0" w:lastRowLastColumn="0"/>
            </w:pPr>
            <w:r w:rsidRPr="001B1596">
              <w:t>9.9</w:t>
            </w:r>
          </w:p>
        </w:tc>
        <w:tc>
          <w:tcPr>
            <w:tcW w:w="982" w:type="dxa"/>
          </w:tcPr>
          <w:p w:rsidR="001B1596" w:rsidRPr="001B1596" w:rsidRDefault="001B1596" w:rsidP="001B1596">
            <w:pPr>
              <w:cnfStyle w:val="000000010000" w:firstRow="0" w:lastRow="0" w:firstColumn="0" w:lastColumn="0" w:oddVBand="0" w:evenVBand="0" w:oddHBand="0" w:evenHBand="1" w:firstRowFirstColumn="0" w:firstRowLastColumn="0" w:lastRowFirstColumn="0" w:lastRowLastColumn="0"/>
            </w:pPr>
            <w:r w:rsidRPr="001B1596">
              <w:t>13.3</w:t>
            </w:r>
          </w:p>
        </w:tc>
        <w:tc>
          <w:tcPr>
            <w:tcW w:w="982" w:type="dxa"/>
          </w:tcPr>
          <w:p w:rsidR="001B1596" w:rsidRPr="001B1596" w:rsidRDefault="001B1596" w:rsidP="001B1596">
            <w:pPr>
              <w:cnfStyle w:val="000000010000" w:firstRow="0" w:lastRow="0" w:firstColumn="0" w:lastColumn="0" w:oddVBand="0" w:evenVBand="0" w:oddHBand="0" w:evenHBand="1" w:firstRowFirstColumn="0" w:firstRowLastColumn="0" w:lastRowFirstColumn="0" w:lastRowLastColumn="0"/>
            </w:pPr>
            <w:r w:rsidRPr="001B1596">
              <w:t>17.9</w:t>
            </w:r>
          </w:p>
        </w:tc>
        <w:tc>
          <w:tcPr>
            <w:tcW w:w="982" w:type="dxa"/>
          </w:tcPr>
          <w:p w:rsidR="001B1596" w:rsidRPr="001B1596" w:rsidRDefault="001B1596" w:rsidP="001B1596">
            <w:pPr>
              <w:cnfStyle w:val="000000010000" w:firstRow="0" w:lastRow="0" w:firstColumn="0" w:lastColumn="0" w:oddVBand="0" w:evenVBand="0" w:oddHBand="0" w:evenHBand="1" w:firstRowFirstColumn="0" w:firstRowLastColumn="0" w:lastRowFirstColumn="0" w:lastRowLastColumn="0"/>
            </w:pPr>
            <w:r w:rsidRPr="001B1596">
              <w:t>21.6</w:t>
            </w:r>
          </w:p>
        </w:tc>
        <w:tc>
          <w:tcPr>
            <w:tcW w:w="982" w:type="dxa"/>
          </w:tcPr>
          <w:p w:rsidR="001B1596" w:rsidRPr="001B1596" w:rsidRDefault="001B1596" w:rsidP="001B1596">
            <w:pPr>
              <w:cnfStyle w:val="000000010000" w:firstRow="0" w:lastRow="0" w:firstColumn="0" w:lastColumn="0" w:oddVBand="0" w:evenVBand="0" w:oddHBand="0" w:evenHBand="1" w:firstRowFirstColumn="0" w:firstRowLastColumn="0" w:lastRowFirstColumn="0" w:lastRowLastColumn="0"/>
            </w:pPr>
            <w:r w:rsidRPr="001B1596">
              <w:t>19.9</w:t>
            </w:r>
          </w:p>
        </w:tc>
        <w:tc>
          <w:tcPr>
            <w:tcW w:w="982" w:type="dxa"/>
          </w:tcPr>
          <w:p w:rsidR="001B1596" w:rsidRPr="001B1596" w:rsidRDefault="001B1596" w:rsidP="001B1596">
            <w:pPr>
              <w:cnfStyle w:val="000000010000" w:firstRow="0" w:lastRow="0" w:firstColumn="0" w:lastColumn="0" w:oddVBand="0" w:evenVBand="0" w:oddHBand="0" w:evenHBand="1" w:firstRowFirstColumn="0" w:firstRowLastColumn="0" w:lastRowFirstColumn="0" w:lastRowLastColumn="0"/>
            </w:pPr>
            <w:r w:rsidRPr="001B1596">
              <w:t>82.7</w:t>
            </w:r>
          </w:p>
        </w:tc>
      </w:tr>
      <w:tr w:rsidR="001B1596" w:rsidRPr="00F6794A" w:rsidTr="007C025A">
        <w:trPr>
          <w:trHeight w:val="302"/>
        </w:trPr>
        <w:tc>
          <w:tcPr>
            <w:cnfStyle w:val="001000000000" w:firstRow="0" w:lastRow="0" w:firstColumn="1" w:lastColumn="0" w:oddVBand="0" w:evenVBand="0" w:oddHBand="0" w:evenHBand="0" w:firstRowFirstColumn="0" w:firstRowLastColumn="0" w:lastRowFirstColumn="0" w:lastRowLastColumn="0"/>
            <w:tcW w:w="2809" w:type="dxa"/>
            <w:hideMark/>
          </w:tcPr>
          <w:p w:rsidR="001B1596" w:rsidRPr="001B1596" w:rsidRDefault="001B1596" w:rsidP="001B1596">
            <w:r w:rsidRPr="001B1596">
              <w:t>Operating expenditure</w:t>
            </w:r>
          </w:p>
        </w:tc>
        <w:tc>
          <w:tcPr>
            <w:tcW w:w="982" w:type="dxa"/>
          </w:tcPr>
          <w:p w:rsidR="001B1596" w:rsidRPr="001B1596" w:rsidRDefault="001B1596" w:rsidP="001B1596">
            <w:pPr>
              <w:cnfStyle w:val="000000000000" w:firstRow="0" w:lastRow="0" w:firstColumn="0" w:lastColumn="0" w:oddVBand="0" w:evenVBand="0" w:oddHBand="0" w:evenHBand="0" w:firstRowFirstColumn="0" w:firstRowLastColumn="0" w:lastRowFirstColumn="0" w:lastRowLastColumn="0"/>
            </w:pPr>
            <w:r w:rsidRPr="001B1596">
              <w:t>70.1</w:t>
            </w:r>
          </w:p>
        </w:tc>
        <w:tc>
          <w:tcPr>
            <w:tcW w:w="982" w:type="dxa"/>
          </w:tcPr>
          <w:p w:rsidR="001B1596" w:rsidRPr="001B1596" w:rsidRDefault="001B1596" w:rsidP="001B1596">
            <w:pPr>
              <w:cnfStyle w:val="000000000000" w:firstRow="0" w:lastRow="0" w:firstColumn="0" w:lastColumn="0" w:oddVBand="0" w:evenVBand="0" w:oddHBand="0" w:evenHBand="0" w:firstRowFirstColumn="0" w:firstRowLastColumn="0" w:lastRowFirstColumn="0" w:lastRowLastColumn="0"/>
            </w:pPr>
            <w:r w:rsidRPr="001B1596">
              <w:t>72.8</w:t>
            </w:r>
          </w:p>
        </w:tc>
        <w:tc>
          <w:tcPr>
            <w:tcW w:w="982" w:type="dxa"/>
          </w:tcPr>
          <w:p w:rsidR="001B1596" w:rsidRPr="001B1596" w:rsidRDefault="001B1596" w:rsidP="001B1596">
            <w:pPr>
              <w:cnfStyle w:val="000000000000" w:firstRow="0" w:lastRow="0" w:firstColumn="0" w:lastColumn="0" w:oddVBand="0" w:evenVBand="0" w:oddHBand="0" w:evenHBand="0" w:firstRowFirstColumn="0" w:firstRowLastColumn="0" w:lastRowFirstColumn="0" w:lastRowLastColumn="0"/>
            </w:pPr>
            <w:r w:rsidRPr="001B1596">
              <w:t>75.0</w:t>
            </w:r>
          </w:p>
        </w:tc>
        <w:tc>
          <w:tcPr>
            <w:tcW w:w="982" w:type="dxa"/>
          </w:tcPr>
          <w:p w:rsidR="001B1596" w:rsidRPr="001B1596" w:rsidRDefault="001B1596" w:rsidP="001B1596">
            <w:pPr>
              <w:cnfStyle w:val="000000000000" w:firstRow="0" w:lastRow="0" w:firstColumn="0" w:lastColumn="0" w:oddVBand="0" w:evenVBand="0" w:oddHBand="0" w:evenHBand="0" w:firstRowFirstColumn="0" w:firstRowLastColumn="0" w:lastRowFirstColumn="0" w:lastRowLastColumn="0"/>
            </w:pPr>
            <w:r w:rsidRPr="001B1596">
              <w:t>76.6</w:t>
            </w:r>
          </w:p>
        </w:tc>
        <w:tc>
          <w:tcPr>
            <w:tcW w:w="982" w:type="dxa"/>
          </w:tcPr>
          <w:p w:rsidR="001B1596" w:rsidRPr="001B1596" w:rsidRDefault="001B1596" w:rsidP="001B1596">
            <w:pPr>
              <w:cnfStyle w:val="000000000000" w:firstRow="0" w:lastRow="0" w:firstColumn="0" w:lastColumn="0" w:oddVBand="0" w:evenVBand="0" w:oddHBand="0" w:evenHBand="0" w:firstRowFirstColumn="0" w:firstRowLastColumn="0" w:lastRowFirstColumn="0" w:lastRowLastColumn="0"/>
            </w:pPr>
            <w:r w:rsidRPr="001B1596">
              <w:t>78.5</w:t>
            </w:r>
          </w:p>
        </w:tc>
        <w:tc>
          <w:tcPr>
            <w:tcW w:w="982" w:type="dxa"/>
          </w:tcPr>
          <w:p w:rsidR="001B1596" w:rsidRPr="001B1596" w:rsidRDefault="001B1596" w:rsidP="001B1596">
            <w:pPr>
              <w:cnfStyle w:val="000000000000" w:firstRow="0" w:lastRow="0" w:firstColumn="0" w:lastColumn="0" w:oddVBand="0" w:evenVBand="0" w:oddHBand="0" w:evenHBand="0" w:firstRowFirstColumn="0" w:firstRowLastColumn="0" w:lastRowFirstColumn="0" w:lastRowLastColumn="0"/>
            </w:pPr>
            <w:r w:rsidRPr="001B1596">
              <w:t>373.1</w:t>
            </w:r>
          </w:p>
        </w:tc>
      </w:tr>
      <w:tr w:rsidR="001B1596" w:rsidRPr="00F6794A" w:rsidTr="007C025A">
        <w:trPr>
          <w:cnfStyle w:val="000000010000" w:firstRow="0" w:lastRow="0" w:firstColumn="0" w:lastColumn="0" w:oddVBand="0" w:evenVBand="0" w:oddHBand="0" w:evenHBand="1"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09" w:type="dxa"/>
          </w:tcPr>
          <w:p w:rsidR="001B1596" w:rsidRPr="001B1596" w:rsidRDefault="001B1596" w:rsidP="001B1596">
            <w:r w:rsidRPr="001B1596">
              <w:t>Revenue adjustments</w:t>
            </w:r>
          </w:p>
        </w:tc>
        <w:tc>
          <w:tcPr>
            <w:tcW w:w="982" w:type="dxa"/>
          </w:tcPr>
          <w:p w:rsidR="001B1596" w:rsidRPr="001B1596" w:rsidRDefault="001B1596" w:rsidP="001B1596">
            <w:pPr>
              <w:cnfStyle w:val="000000010000" w:firstRow="0" w:lastRow="0" w:firstColumn="0" w:lastColumn="0" w:oddVBand="0" w:evenVBand="0" w:oddHBand="0" w:evenHBand="1" w:firstRowFirstColumn="0" w:firstRowLastColumn="0" w:lastRowFirstColumn="0" w:lastRowLastColumn="0"/>
            </w:pPr>
            <w:r w:rsidRPr="001B1596">
              <w:t>6.9</w:t>
            </w:r>
          </w:p>
        </w:tc>
        <w:tc>
          <w:tcPr>
            <w:tcW w:w="982" w:type="dxa"/>
          </w:tcPr>
          <w:p w:rsidR="001B1596" w:rsidRPr="001B1596" w:rsidRDefault="001B1596" w:rsidP="001B1596">
            <w:pPr>
              <w:cnfStyle w:val="000000010000" w:firstRow="0" w:lastRow="0" w:firstColumn="0" w:lastColumn="0" w:oddVBand="0" w:evenVBand="0" w:oddHBand="0" w:evenHBand="1" w:firstRowFirstColumn="0" w:firstRowLastColumn="0" w:lastRowFirstColumn="0" w:lastRowLastColumn="0"/>
            </w:pPr>
            <w:r>
              <w:t>–</w:t>
            </w:r>
            <w:r w:rsidRPr="001B1596">
              <w:t>1.4</w:t>
            </w:r>
          </w:p>
        </w:tc>
        <w:tc>
          <w:tcPr>
            <w:tcW w:w="982" w:type="dxa"/>
          </w:tcPr>
          <w:p w:rsidR="001B1596" w:rsidRPr="001B1596" w:rsidRDefault="001B1596" w:rsidP="001B1596">
            <w:pPr>
              <w:cnfStyle w:val="000000010000" w:firstRow="0" w:lastRow="0" w:firstColumn="0" w:lastColumn="0" w:oddVBand="0" w:evenVBand="0" w:oddHBand="0" w:evenHBand="1" w:firstRowFirstColumn="0" w:firstRowLastColumn="0" w:lastRowFirstColumn="0" w:lastRowLastColumn="0"/>
            </w:pPr>
            <w:r>
              <w:t>–</w:t>
            </w:r>
            <w:r w:rsidRPr="001B1596">
              <w:t>2.3</w:t>
            </w:r>
          </w:p>
        </w:tc>
        <w:tc>
          <w:tcPr>
            <w:tcW w:w="982" w:type="dxa"/>
          </w:tcPr>
          <w:p w:rsidR="001B1596" w:rsidRPr="001B1596" w:rsidRDefault="001B1596" w:rsidP="001B1596">
            <w:pPr>
              <w:cnfStyle w:val="000000010000" w:firstRow="0" w:lastRow="0" w:firstColumn="0" w:lastColumn="0" w:oddVBand="0" w:evenVBand="0" w:oddHBand="0" w:evenHBand="1" w:firstRowFirstColumn="0" w:firstRowLastColumn="0" w:lastRowFirstColumn="0" w:lastRowLastColumn="0"/>
            </w:pPr>
            <w:r w:rsidRPr="001B1596">
              <w:t>1.7</w:t>
            </w:r>
          </w:p>
        </w:tc>
        <w:tc>
          <w:tcPr>
            <w:tcW w:w="982" w:type="dxa"/>
          </w:tcPr>
          <w:p w:rsidR="001B1596" w:rsidRPr="001B1596" w:rsidRDefault="001B1596" w:rsidP="001B1596">
            <w:pPr>
              <w:cnfStyle w:val="000000010000" w:firstRow="0" w:lastRow="0" w:firstColumn="0" w:lastColumn="0" w:oddVBand="0" w:evenVBand="0" w:oddHBand="0" w:evenHBand="1" w:firstRowFirstColumn="0" w:firstRowLastColumn="0" w:lastRowFirstColumn="0" w:lastRowLastColumn="0"/>
            </w:pPr>
            <w:r w:rsidRPr="001B1596">
              <w:t>0.0</w:t>
            </w:r>
          </w:p>
        </w:tc>
        <w:tc>
          <w:tcPr>
            <w:tcW w:w="982" w:type="dxa"/>
          </w:tcPr>
          <w:p w:rsidR="001B1596" w:rsidRPr="001B1596" w:rsidRDefault="001B1596" w:rsidP="001B1596">
            <w:pPr>
              <w:cnfStyle w:val="000000010000" w:firstRow="0" w:lastRow="0" w:firstColumn="0" w:lastColumn="0" w:oddVBand="0" w:evenVBand="0" w:oddHBand="0" w:evenHBand="1" w:firstRowFirstColumn="0" w:firstRowLastColumn="0" w:lastRowFirstColumn="0" w:lastRowLastColumn="0"/>
            </w:pPr>
            <w:r w:rsidRPr="001B1596">
              <w:t>4.9</w:t>
            </w:r>
          </w:p>
        </w:tc>
      </w:tr>
      <w:tr w:rsidR="001B1596" w:rsidRPr="00F6794A" w:rsidTr="007C025A">
        <w:trPr>
          <w:trHeight w:val="280"/>
        </w:trPr>
        <w:tc>
          <w:tcPr>
            <w:cnfStyle w:val="001000000000" w:firstRow="0" w:lastRow="0" w:firstColumn="1" w:lastColumn="0" w:oddVBand="0" w:evenVBand="0" w:oddHBand="0" w:evenHBand="0" w:firstRowFirstColumn="0" w:firstRowLastColumn="0" w:lastRowFirstColumn="0" w:lastRowLastColumn="0"/>
            <w:tcW w:w="2809" w:type="dxa"/>
            <w:hideMark/>
          </w:tcPr>
          <w:p w:rsidR="001B1596" w:rsidRPr="001B1596" w:rsidRDefault="001B1596" w:rsidP="001B1596">
            <w:r w:rsidRPr="001B1596">
              <w:t>Corporate income tax</w:t>
            </w:r>
          </w:p>
        </w:tc>
        <w:tc>
          <w:tcPr>
            <w:tcW w:w="982" w:type="dxa"/>
          </w:tcPr>
          <w:p w:rsidR="001B1596" w:rsidRPr="001B1596" w:rsidRDefault="001B1596" w:rsidP="001B1596">
            <w:pPr>
              <w:cnfStyle w:val="000000000000" w:firstRow="0" w:lastRow="0" w:firstColumn="0" w:lastColumn="0" w:oddVBand="0" w:evenVBand="0" w:oddHBand="0" w:evenHBand="0" w:firstRowFirstColumn="0" w:firstRowLastColumn="0" w:lastRowFirstColumn="0" w:lastRowLastColumn="0"/>
            </w:pPr>
            <w:r w:rsidRPr="001B1596">
              <w:t>2.2</w:t>
            </w:r>
          </w:p>
        </w:tc>
        <w:tc>
          <w:tcPr>
            <w:tcW w:w="982" w:type="dxa"/>
          </w:tcPr>
          <w:p w:rsidR="001B1596" w:rsidRPr="001B1596" w:rsidRDefault="001B1596" w:rsidP="001B1596">
            <w:pPr>
              <w:cnfStyle w:val="000000000000" w:firstRow="0" w:lastRow="0" w:firstColumn="0" w:lastColumn="0" w:oddVBand="0" w:evenVBand="0" w:oddHBand="0" w:evenHBand="0" w:firstRowFirstColumn="0" w:firstRowLastColumn="0" w:lastRowFirstColumn="0" w:lastRowLastColumn="0"/>
            </w:pPr>
            <w:r w:rsidRPr="001B1596">
              <w:t>2.0</w:t>
            </w:r>
          </w:p>
        </w:tc>
        <w:tc>
          <w:tcPr>
            <w:tcW w:w="982" w:type="dxa"/>
          </w:tcPr>
          <w:p w:rsidR="001B1596" w:rsidRPr="001B1596" w:rsidRDefault="001B1596" w:rsidP="001B1596">
            <w:pPr>
              <w:cnfStyle w:val="000000000000" w:firstRow="0" w:lastRow="0" w:firstColumn="0" w:lastColumn="0" w:oddVBand="0" w:evenVBand="0" w:oddHBand="0" w:evenHBand="0" w:firstRowFirstColumn="0" w:firstRowLastColumn="0" w:lastRowFirstColumn="0" w:lastRowLastColumn="0"/>
            </w:pPr>
            <w:r w:rsidRPr="001B1596">
              <w:t>2.0</w:t>
            </w:r>
          </w:p>
        </w:tc>
        <w:tc>
          <w:tcPr>
            <w:tcW w:w="982" w:type="dxa"/>
          </w:tcPr>
          <w:p w:rsidR="001B1596" w:rsidRPr="001B1596" w:rsidRDefault="001B1596" w:rsidP="001B1596">
            <w:pPr>
              <w:cnfStyle w:val="000000000000" w:firstRow="0" w:lastRow="0" w:firstColumn="0" w:lastColumn="0" w:oddVBand="0" w:evenVBand="0" w:oddHBand="0" w:evenHBand="0" w:firstRowFirstColumn="0" w:firstRowLastColumn="0" w:lastRowFirstColumn="0" w:lastRowLastColumn="0"/>
            </w:pPr>
            <w:r w:rsidRPr="001B1596">
              <w:t>2.8</w:t>
            </w:r>
          </w:p>
        </w:tc>
        <w:tc>
          <w:tcPr>
            <w:tcW w:w="982" w:type="dxa"/>
          </w:tcPr>
          <w:p w:rsidR="001B1596" w:rsidRPr="001B1596" w:rsidRDefault="001B1596" w:rsidP="001B1596">
            <w:pPr>
              <w:cnfStyle w:val="000000000000" w:firstRow="0" w:lastRow="0" w:firstColumn="0" w:lastColumn="0" w:oddVBand="0" w:evenVBand="0" w:oddHBand="0" w:evenHBand="0" w:firstRowFirstColumn="0" w:firstRowLastColumn="0" w:lastRowFirstColumn="0" w:lastRowLastColumn="0"/>
            </w:pPr>
            <w:r w:rsidRPr="001B1596">
              <w:t>1.7</w:t>
            </w:r>
          </w:p>
        </w:tc>
        <w:tc>
          <w:tcPr>
            <w:tcW w:w="982" w:type="dxa"/>
          </w:tcPr>
          <w:p w:rsidR="001B1596" w:rsidRPr="001B1596" w:rsidRDefault="001B1596" w:rsidP="001B1596">
            <w:pPr>
              <w:cnfStyle w:val="000000000000" w:firstRow="0" w:lastRow="0" w:firstColumn="0" w:lastColumn="0" w:oddVBand="0" w:evenVBand="0" w:oddHBand="0" w:evenHBand="0" w:firstRowFirstColumn="0" w:firstRowLastColumn="0" w:lastRowFirstColumn="0" w:lastRowLastColumn="0"/>
            </w:pPr>
            <w:r w:rsidRPr="001B1596">
              <w:t>10.8</w:t>
            </w:r>
          </w:p>
        </w:tc>
      </w:tr>
      <w:tr w:rsidR="001B1596" w:rsidRPr="00F6794A" w:rsidTr="007C025A">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809" w:type="dxa"/>
            <w:hideMark/>
          </w:tcPr>
          <w:p w:rsidR="001B1596" w:rsidRPr="001B1596" w:rsidRDefault="001B1596" w:rsidP="001B1596">
            <w:pPr>
              <w:rPr>
                <w:rStyle w:val="Strong"/>
              </w:rPr>
            </w:pPr>
            <w:r w:rsidRPr="001B1596">
              <w:rPr>
                <w:rStyle w:val="Strong"/>
              </w:rPr>
              <w:t>Building block revenue – unsmoothed (incl. ARS)</w:t>
            </w:r>
          </w:p>
        </w:tc>
        <w:tc>
          <w:tcPr>
            <w:tcW w:w="982" w:type="dxa"/>
          </w:tcPr>
          <w:p w:rsidR="001B1596" w:rsidRPr="001B1596" w:rsidRDefault="001B1596" w:rsidP="001B1596">
            <w:pPr>
              <w:cnfStyle w:val="000000010000" w:firstRow="0" w:lastRow="0" w:firstColumn="0" w:lastColumn="0" w:oddVBand="0" w:evenVBand="0" w:oddHBand="0" w:evenHBand="1" w:firstRowFirstColumn="0" w:firstRowLastColumn="0" w:lastRowFirstColumn="0" w:lastRowLastColumn="0"/>
              <w:rPr>
                <w:rStyle w:val="Strong"/>
              </w:rPr>
            </w:pPr>
            <w:r w:rsidRPr="001B1596">
              <w:rPr>
                <w:rStyle w:val="Strong"/>
              </w:rPr>
              <w:t>174.2</w:t>
            </w:r>
          </w:p>
        </w:tc>
        <w:tc>
          <w:tcPr>
            <w:tcW w:w="982" w:type="dxa"/>
          </w:tcPr>
          <w:p w:rsidR="001B1596" w:rsidRPr="001B1596" w:rsidRDefault="001B1596" w:rsidP="001B1596">
            <w:pPr>
              <w:cnfStyle w:val="000000010000" w:firstRow="0" w:lastRow="0" w:firstColumn="0" w:lastColumn="0" w:oddVBand="0" w:evenVBand="0" w:oddHBand="0" w:evenHBand="1" w:firstRowFirstColumn="0" w:firstRowLastColumn="0" w:lastRowFirstColumn="0" w:lastRowLastColumn="0"/>
              <w:rPr>
                <w:rStyle w:val="Strong"/>
              </w:rPr>
            </w:pPr>
            <w:r w:rsidRPr="001B1596">
              <w:rPr>
                <w:rStyle w:val="Strong"/>
              </w:rPr>
              <w:t>176.3</w:t>
            </w:r>
          </w:p>
        </w:tc>
        <w:tc>
          <w:tcPr>
            <w:tcW w:w="982" w:type="dxa"/>
          </w:tcPr>
          <w:p w:rsidR="001B1596" w:rsidRPr="001B1596" w:rsidRDefault="001B1596" w:rsidP="001B1596">
            <w:pPr>
              <w:cnfStyle w:val="000000010000" w:firstRow="0" w:lastRow="0" w:firstColumn="0" w:lastColumn="0" w:oddVBand="0" w:evenVBand="0" w:oddHBand="0" w:evenHBand="1" w:firstRowFirstColumn="0" w:firstRowLastColumn="0" w:lastRowFirstColumn="0" w:lastRowLastColumn="0"/>
              <w:rPr>
                <w:rStyle w:val="Strong"/>
              </w:rPr>
            </w:pPr>
            <w:r w:rsidRPr="001B1596">
              <w:rPr>
                <w:rStyle w:val="Strong"/>
              </w:rPr>
              <w:t>186.8</w:t>
            </w:r>
          </w:p>
        </w:tc>
        <w:tc>
          <w:tcPr>
            <w:tcW w:w="982" w:type="dxa"/>
          </w:tcPr>
          <w:p w:rsidR="001B1596" w:rsidRPr="001B1596" w:rsidRDefault="001B1596" w:rsidP="001B1596">
            <w:pPr>
              <w:cnfStyle w:val="000000010000" w:firstRow="0" w:lastRow="0" w:firstColumn="0" w:lastColumn="0" w:oddVBand="0" w:evenVBand="0" w:oddHBand="0" w:evenHBand="1" w:firstRowFirstColumn="0" w:firstRowLastColumn="0" w:lastRowFirstColumn="0" w:lastRowLastColumn="0"/>
              <w:rPr>
                <w:rStyle w:val="Strong"/>
              </w:rPr>
            </w:pPr>
            <w:r w:rsidRPr="001B1596">
              <w:rPr>
                <w:rStyle w:val="Strong"/>
              </w:rPr>
              <w:t>201.1</w:t>
            </w:r>
          </w:p>
        </w:tc>
        <w:tc>
          <w:tcPr>
            <w:tcW w:w="982" w:type="dxa"/>
          </w:tcPr>
          <w:p w:rsidR="001B1596" w:rsidRPr="001B1596" w:rsidRDefault="001B1596" w:rsidP="001B1596">
            <w:pPr>
              <w:cnfStyle w:val="000000010000" w:firstRow="0" w:lastRow="0" w:firstColumn="0" w:lastColumn="0" w:oddVBand="0" w:evenVBand="0" w:oddHBand="0" w:evenHBand="1" w:firstRowFirstColumn="0" w:firstRowLastColumn="0" w:lastRowFirstColumn="0" w:lastRowLastColumn="0"/>
              <w:rPr>
                <w:rStyle w:val="Strong"/>
              </w:rPr>
            </w:pPr>
            <w:r w:rsidRPr="001B1596">
              <w:rPr>
                <w:rStyle w:val="Strong"/>
              </w:rPr>
              <w:t>202.4</w:t>
            </w:r>
          </w:p>
        </w:tc>
        <w:tc>
          <w:tcPr>
            <w:tcW w:w="982" w:type="dxa"/>
          </w:tcPr>
          <w:p w:rsidR="001B1596" w:rsidRPr="001B1596" w:rsidRDefault="001B1596" w:rsidP="001B1596">
            <w:pPr>
              <w:cnfStyle w:val="000000010000" w:firstRow="0" w:lastRow="0" w:firstColumn="0" w:lastColumn="0" w:oddVBand="0" w:evenVBand="0" w:oddHBand="0" w:evenHBand="1" w:firstRowFirstColumn="0" w:firstRowLastColumn="0" w:lastRowFirstColumn="0" w:lastRowLastColumn="0"/>
              <w:rPr>
                <w:rStyle w:val="Strong"/>
              </w:rPr>
            </w:pPr>
            <w:r w:rsidRPr="001B1596">
              <w:rPr>
                <w:rStyle w:val="Strong"/>
              </w:rPr>
              <w:t>940.9</w:t>
            </w:r>
          </w:p>
        </w:tc>
      </w:tr>
      <w:tr w:rsidR="00C67EA8" w:rsidRPr="00597AB3" w:rsidTr="007C025A">
        <w:trPr>
          <w:trHeight w:val="265"/>
        </w:trPr>
        <w:tc>
          <w:tcPr>
            <w:cnfStyle w:val="001000000000" w:firstRow="0" w:lastRow="0" w:firstColumn="1" w:lastColumn="0" w:oddVBand="0" w:evenVBand="0" w:oddHBand="0" w:evenHBand="0" w:firstRowFirstColumn="0" w:firstRowLastColumn="0" w:lastRowFirstColumn="0" w:lastRowLastColumn="0"/>
            <w:tcW w:w="2809" w:type="dxa"/>
          </w:tcPr>
          <w:p w:rsidR="00C67EA8" w:rsidRPr="00C67EA8" w:rsidRDefault="00C67EA8" w:rsidP="00C67EA8">
            <w:r w:rsidRPr="00C67EA8">
              <w:rPr>
                <w:rStyle w:val="AERtextitalic"/>
              </w:rPr>
              <w:t>Less</w:t>
            </w:r>
            <w:r w:rsidRPr="00C67EA8">
              <w:t>: ancillary reference services revenue (ARS)</w:t>
            </w:r>
          </w:p>
        </w:tc>
        <w:tc>
          <w:tcPr>
            <w:tcW w:w="982" w:type="dxa"/>
          </w:tcPr>
          <w:p w:rsidR="00C67EA8" w:rsidRPr="00C67EA8" w:rsidRDefault="00C67EA8" w:rsidP="00C67EA8">
            <w:pPr>
              <w:cnfStyle w:val="000000000000" w:firstRow="0" w:lastRow="0" w:firstColumn="0" w:lastColumn="0" w:oddVBand="0" w:evenVBand="0" w:oddHBand="0" w:evenHBand="0" w:firstRowFirstColumn="0" w:firstRowLastColumn="0" w:lastRowFirstColumn="0" w:lastRowLastColumn="0"/>
            </w:pPr>
            <w:r w:rsidRPr="00C67EA8">
              <w:t>2.2</w:t>
            </w:r>
          </w:p>
        </w:tc>
        <w:tc>
          <w:tcPr>
            <w:tcW w:w="982" w:type="dxa"/>
          </w:tcPr>
          <w:p w:rsidR="00C67EA8" w:rsidRPr="00C67EA8" w:rsidRDefault="00C67EA8" w:rsidP="00C67EA8">
            <w:pPr>
              <w:cnfStyle w:val="000000000000" w:firstRow="0" w:lastRow="0" w:firstColumn="0" w:lastColumn="0" w:oddVBand="0" w:evenVBand="0" w:oddHBand="0" w:evenHBand="0" w:firstRowFirstColumn="0" w:firstRowLastColumn="0" w:lastRowFirstColumn="0" w:lastRowLastColumn="0"/>
            </w:pPr>
            <w:r w:rsidRPr="00C67EA8">
              <w:t>2.3</w:t>
            </w:r>
          </w:p>
        </w:tc>
        <w:tc>
          <w:tcPr>
            <w:tcW w:w="982" w:type="dxa"/>
          </w:tcPr>
          <w:p w:rsidR="00C67EA8" w:rsidRPr="00C67EA8" w:rsidRDefault="00C67EA8" w:rsidP="00C67EA8">
            <w:pPr>
              <w:cnfStyle w:val="000000000000" w:firstRow="0" w:lastRow="0" w:firstColumn="0" w:lastColumn="0" w:oddVBand="0" w:evenVBand="0" w:oddHBand="0" w:evenHBand="0" w:firstRowFirstColumn="0" w:firstRowLastColumn="0" w:lastRowFirstColumn="0" w:lastRowLastColumn="0"/>
            </w:pPr>
            <w:r w:rsidRPr="00C67EA8">
              <w:t>2.4</w:t>
            </w:r>
          </w:p>
        </w:tc>
        <w:tc>
          <w:tcPr>
            <w:tcW w:w="982" w:type="dxa"/>
          </w:tcPr>
          <w:p w:rsidR="00C67EA8" w:rsidRPr="00C67EA8" w:rsidRDefault="00C67EA8" w:rsidP="00C67EA8">
            <w:pPr>
              <w:cnfStyle w:val="000000000000" w:firstRow="0" w:lastRow="0" w:firstColumn="0" w:lastColumn="0" w:oddVBand="0" w:evenVBand="0" w:oddHBand="0" w:evenHBand="0" w:firstRowFirstColumn="0" w:firstRowLastColumn="0" w:lastRowFirstColumn="0" w:lastRowLastColumn="0"/>
            </w:pPr>
            <w:r w:rsidRPr="00C67EA8">
              <w:t>2.5</w:t>
            </w:r>
          </w:p>
        </w:tc>
        <w:tc>
          <w:tcPr>
            <w:tcW w:w="982" w:type="dxa"/>
          </w:tcPr>
          <w:p w:rsidR="00C67EA8" w:rsidRPr="00C67EA8" w:rsidRDefault="00C67EA8" w:rsidP="00C67EA8">
            <w:pPr>
              <w:cnfStyle w:val="000000000000" w:firstRow="0" w:lastRow="0" w:firstColumn="0" w:lastColumn="0" w:oddVBand="0" w:evenVBand="0" w:oddHBand="0" w:evenHBand="0" w:firstRowFirstColumn="0" w:firstRowLastColumn="0" w:lastRowFirstColumn="0" w:lastRowLastColumn="0"/>
            </w:pPr>
            <w:r w:rsidRPr="00C67EA8">
              <w:t>2.6</w:t>
            </w:r>
          </w:p>
        </w:tc>
        <w:tc>
          <w:tcPr>
            <w:tcW w:w="982" w:type="dxa"/>
          </w:tcPr>
          <w:p w:rsidR="00C67EA8" w:rsidRPr="00C67EA8" w:rsidRDefault="00C67EA8" w:rsidP="00C67EA8">
            <w:pPr>
              <w:cnfStyle w:val="000000000000" w:firstRow="0" w:lastRow="0" w:firstColumn="0" w:lastColumn="0" w:oddVBand="0" w:evenVBand="0" w:oddHBand="0" w:evenHBand="0" w:firstRowFirstColumn="0" w:firstRowLastColumn="0" w:lastRowFirstColumn="0" w:lastRowLastColumn="0"/>
            </w:pPr>
            <w:r w:rsidRPr="00C67EA8">
              <w:t>12.1</w:t>
            </w:r>
          </w:p>
        </w:tc>
      </w:tr>
      <w:tr w:rsidR="001B1596" w:rsidRPr="00597AB3" w:rsidTr="007C025A">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2809" w:type="dxa"/>
          </w:tcPr>
          <w:p w:rsidR="001B1596" w:rsidRPr="001B1596" w:rsidRDefault="001B1596" w:rsidP="001B1596">
            <w:r w:rsidRPr="001B1596">
              <w:t>Building block revenue – unsmoothed (excl. ARS)</w:t>
            </w:r>
          </w:p>
        </w:tc>
        <w:tc>
          <w:tcPr>
            <w:tcW w:w="982" w:type="dxa"/>
          </w:tcPr>
          <w:p w:rsidR="001B1596" w:rsidRPr="001B1596" w:rsidRDefault="001B1596" w:rsidP="001B1596">
            <w:pPr>
              <w:cnfStyle w:val="000000010000" w:firstRow="0" w:lastRow="0" w:firstColumn="0" w:lastColumn="0" w:oddVBand="0" w:evenVBand="0" w:oddHBand="0" w:evenHBand="1" w:firstRowFirstColumn="0" w:firstRowLastColumn="0" w:lastRowFirstColumn="0" w:lastRowLastColumn="0"/>
            </w:pPr>
            <w:r w:rsidRPr="001B1596">
              <w:t>172.0</w:t>
            </w:r>
          </w:p>
        </w:tc>
        <w:tc>
          <w:tcPr>
            <w:tcW w:w="982" w:type="dxa"/>
          </w:tcPr>
          <w:p w:rsidR="001B1596" w:rsidRPr="001B1596" w:rsidRDefault="001B1596" w:rsidP="001B1596">
            <w:pPr>
              <w:cnfStyle w:val="000000010000" w:firstRow="0" w:lastRow="0" w:firstColumn="0" w:lastColumn="0" w:oddVBand="0" w:evenVBand="0" w:oddHBand="0" w:evenHBand="1" w:firstRowFirstColumn="0" w:firstRowLastColumn="0" w:lastRowFirstColumn="0" w:lastRowLastColumn="0"/>
            </w:pPr>
            <w:r w:rsidRPr="001B1596">
              <w:t>174.0</w:t>
            </w:r>
          </w:p>
        </w:tc>
        <w:tc>
          <w:tcPr>
            <w:tcW w:w="982" w:type="dxa"/>
          </w:tcPr>
          <w:p w:rsidR="001B1596" w:rsidRPr="001B1596" w:rsidRDefault="001B1596" w:rsidP="001B1596">
            <w:pPr>
              <w:cnfStyle w:val="000000010000" w:firstRow="0" w:lastRow="0" w:firstColumn="0" w:lastColumn="0" w:oddVBand="0" w:evenVBand="0" w:oddHBand="0" w:evenHBand="1" w:firstRowFirstColumn="0" w:firstRowLastColumn="0" w:lastRowFirstColumn="0" w:lastRowLastColumn="0"/>
            </w:pPr>
            <w:r w:rsidRPr="001B1596">
              <w:t>184.4</w:t>
            </w:r>
          </w:p>
        </w:tc>
        <w:tc>
          <w:tcPr>
            <w:tcW w:w="982" w:type="dxa"/>
          </w:tcPr>
          <w:p w:rsidR="001B1596" w:rsidRPr="001B1596" w:rsidRDefault="001B1596" w:rsidP="001B1596">
            <w:pPr>
              <w:cnfStyle w:val="000000010000" w:firstRow="0" w:lastRow="0" w:firstColumn="0" w:lastColumn="0" w:oddVBand="0" w:evenVBand="0" w:oddHBand="0" w:evenHBand="1" w:firstRowFirstColumn="0" w:firstRowLastColumn="0" w:lastRowFirstColumn="0" w:lastRowLastColumn="0"/>
            </w:pPr>
            <w:r w:rsidRPr="001B1596">
              <w:t>198.6</w:t>
            </w:r>
          </w:p>
        </w:tc>
        <w:tc>
          <w:tcPr>
            <w:tcW w:w="982" w:type="dxa"/>
          </w:tcPr>
          <w:p w:rsidR="001B1596" w:rsidRPr="001B1596" w:rsidRDefault="001B1596" w:rsidP="001B1596">
            <w:pPr>
              <w:cnfStyle w:val="000000010000" w:firstRow="0" w:lastRow="0" w:firstColumn="0" w:lastColumn="0" w:oddVBand="0" w:evenVBand="0" w:oddHBand="0" w:evenHBand="1" w:firstRowFirstColumn="0" w:firstRowLastColumn="0" w:lastRowFirstColumn="0" w:lastRowLastColumn="0"/>
            </w:pPr>
            <w:r w:rsidRPr="001B1596">
              <w:t>199.8</w:t>
            </w:r>
          </w:p>
        </w:tc>
        <w:tc>
          <w:tcPr>
            <w:tcW w:w="982" w:type="dxa"/>
          </w:tcPr>
          <w:p w:rsidR="001B1596" w:rsidRPr="001B1596" w:rsidRDefault="001B1596" w:rsidP="001B1596">
            <w:pPr>
              <w:cnfStyle w:val="000000010000" w:firstRow="0" w:lastRow="0" w:firstColumn="0" w:lastColumn="0" w:oddVBand="0" w:evenVBand="0" w:oddHBand="0" w:evenHBand="1" w:firstRowFirstColumn="0" w:firstRowLastColumn="0" w:lastRowFirstColumn="0" w:lastRowLastColumn="0"/>
            </w:pPr>
            <w:r w:rsidRPr="001B1596">
              <w:t>928.8</w:t>
            </w:r>
          </w:p>
        </w:tc>
      </w:tr>
      <w:tr w:rsidR="001B1596" w:rsidRPr="00597AB3" w:rsidTr="007C025A">
        <w:trPr>
          <w:trHeight w:val="265"/>
        </w:trPr>
        <w:tc>
          <w:tcPr>
            <w:cnfStyle w:val="001000000000" w:firstRow="0" w:lastRow="0" w:firstColumn="1" w:lastColumn="0" w:oddVBand="0" w:evenVBand="0" w:oddHBand="0" w:evenHBand="0" w:firstRowFirstColumn="0" w:firstRowLastColumn="0" w:lastRowFirstColumn="0" w:lastRowLastColumn="0"/>
            <w:tcW w:w="2809" w:type="dxa"/>
            <w:hideMark/>
          </w:tcPr>
          <w:p w:rsidR="001B1596" w:rsidRPr="001B1596" w:rsidRDefault="001B1596" w:rsidP="001B1596">
            <w:r w:rsidRPr="001B1596">
              <w:t xml:space="preserve">Building block revenue – </w:t>
            </w:r>
            <w:r w:rsidRPr="001B1596">
              <w:br/>
              <w:t>smoothed (excl. ARS)</w:t>
            </w:r>
          </w:p>
        </w:tc>
        <w:tc>
          <w:tcPr>
            <w:tcW w:w="982" w:type="dxa"/>
          </w:tcPr>
          <w:p w:rsidR="001B1596" w:rsidRPr="001B1596" w:rsidRDefault="001B1596" w:rsidP="001B1596">
            <w:pPr>
              <w:cnfStyle w:val="000000000000" w:firstRow="0" w:lastRow="0" w:firstColumn="0" w:lastColumn="0" w:oddVBand="0" w:evenVBand="0" w:oddHBand="0" w:evenHBand="0" w:firstRowFirstColumn="0" w:firstRowLastColumn="0" w:lastRowFirstColumn="0" w:lastRowLastColumn="0"/>
            </w:pPr>
            <w:r w:rsidRPr="001B1596">
              <w:t>177.9</w:t>
            </w:r>
          </w:p>
        </w:tc>
        <w:tc>
          <w:tcPr>
            <w:tcW w:w="982" w:type="dxa"/>
          </w:tcPr>
          <w:p w:rsidR="001B1596" w:rsidRPr="001B1596" w:rsidRDefault="001B1596" w:rsidP="001B1596">
            <w:pPr>
              <w:cnfStyle w:val="000000000000" w:firstRow="0" w:lastRow="0" w:firstColumn="0" w:lastColumn="0" w:oddVBand="0" w:evenVBand="0" w:oddHBand="0" w:evenHBand="0" w:firstRowFirstColumn="0" w:firstRowLastColumn="0" w:lastRowFirstColumn="0" w:lastRowLastColumn="0"/>
            </w:pPr>
            <w:r w:rsidRPr="001B1596">
              <w:t>180.8</w:t>
            </w:r>
          </w:p>
        </w:tc>
        <w:tc>
          <w:tcPr>
            <w:tcW w:w="982" w:type="dxa"/>
          </w:tcPr>
          <w:p w:rsidR="001B1596" w:rsidRPr="001B1596" w:rsidRDefault="001B1596" w:rsidP="001B1596">
            <w:pPr>
              <w:cnfStyle w:val="000000000000" w:firstRow="0" w:lastRow="0" w:firstColumn="0" w:lastColumn="0" w:oddVBand="0" w:evenVBand="0" w:oddHBand="0" w:evenHBand="0" w:firstRowFirstColumn="0" w:firstRowLastColumn="0" w:lastRowFirstColumn="0" w:lastRowLastColumn="0"/>
            </w:pPr>
            <w:r w:rsidRPr="001B1596">
              <w:t>184.8</w:t>
            </w:r>
          </w:p>
        </w:tc>
        <w:tc>
          <w:tcPr>
            <w:tcW w:w="982" w:type="dxa"/>
          </w:tcPr>
          <w:p w:rsidR="001B1596" w:rsidRPr="001B1596" w:rsidRDefault="001B1596" w:rsidP="001B1596">
            <w:pPr>
              <w:cnfStyle w:val="000000000000" w:firstRow="0" w:lastRow="0" w:firstColumn="0" w:lastColumn="0" w:oddVBand="0" w:evenVBand="0" w:oddHBand="0" w:evenHBand="0" w:firstRowFirstColumn="0" w:firstRowLastColumn="0" w:lastRowFirstColumn="0" w:lastRowLastColumn="0"/>
            </w:pPr>
            <w:r w:rsidRPr="001B1596">
              <w:t>189.1</w:t>
            </w:r>
          </w:p>
        </w:tc>
        <w:tc>
          <w:tcPr>
            <w:tcW w:w="982" w:type="dxa"/>
          </w:tcPr>
          <w:p w:rsidR="001B1596" w:rsidRPr="001B1596" w:rsidRDefault="001B1596" w:rsidP="001B1596">
            <w:pPr>
              <w:cnfStyle w:val="000000000000" w:firstRow="0" w:lastRow="0" w:firstColumn="0" w:lastColumn="0" w:oddVBand="0" w:evenVBand="0" w:oddHBand="0" w:evenHBand="0" w:firstRowFirstColumn="0" w:firstRowLastColumn="0" w:lastRowFirstColumn="0" w:lastRowLastColumn="0"/>
            </w:pPr>
            <w:r w:rsidRPr="001B1596">
              <w:t>193.8</w:t>
            </w:r>
          </w:p>
        </w:tc>
        <w:tc>
          <w:tcPr>
            <w:tcW w:w="982" w:type="dxa"/>
          </w:tcPr>
          <w:p w:rsidR="001B1596" w:rsidRPr="001B1596" w:rsidRDefault="001B1596" w:rsidP="001B1596">
            <w:pPr>
              <w:cnfStyle w:val="000000000000" w:firstRow="0" w:lastRow="0" w:firstColumn="0" w:lastColumn="0" w:oddVBand="0" w:evenVBand="0" w:oddHBand="0" w:evenHBand="0" w:firstRowFirstColumn="0" w:firstRowLastColumn="0" w:lastRowFirstColumn="0" w:lastRowLastColumn="0"/>
            </w:pPr>
            <w:r w:rsidRPr="001B1596">
              <w:t>926.4</w:t>
            </w:r>
          </w:p>
        </w:tc>
      </w:tr>
      <w:tr w:rsidR="001B1596" w:rsidRPr="00597AB3" w:rsidTr="00C67EA8">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809" w:type="dxa"/>
          </w:tcPr>
          <w:p w:rsidR="001B1596" w:rsidRPr="001B1596" w:rsidRDefault="001B1596" w:rsidP="001B1596">
            <w:pPr>
              <w:rPr>
                <w:rStyle w:val="Strong"/>
              </w:rPr>
            </w:pPr>
            <w:r w:rsidRPr="001B1596">
              <w:rPr>
                <w:rStyle w:val="Strong"/>
              </w:rPr>
              <w:t>Building block revenue – smoothed (incl. ARS)</w:t>
            </w:r>
          </w:p>
        </w:tc>
        <w:tc>
          <w:tcPr>
            <w:tcW w:w="982" w:type="dxa"/>
          </w:tcPr>
          <w:p w:rsidR="001B1596" w:rsidRPr="00382364" w:rsidRDefault="001B1596" w:rsidP="001B1596">
            <w:pPr>
              <w:cnfStyle w:val="000000010000" w:firstRow="0" w:lastRow="0" w:firstColumn="0" w:lastColumn="0" w:oddVBand="0" w:evenVBand="0" w:oddHBand="0" w:evenHBand="1" w:firstRowFirstColumn="0" w:firstRowLastColumn="0" w:lastRowFirstColumn="0" w:lastRowLastColumn="0"/>
              <w:rPr>
                <w:rStyle w:val="Strong"/>
              </w:rPr>
            </w:pPr>
            <w:r w:rsidRPr="00382364">
              <w:rPr>
                <w:rStyle w:val="Strong"/>
              </w:rPr>
              <w:t>180.1</w:t>
            </w:r>
          </w:p>
        </w:tc>
        <w:tc>
          <w:tcPr>
            <w:tcW w:w="982" w:type="dxa"/>
          </w:tcPr>
          <w:p w:rsidR="001B1596" w:rsidRPr="00382364" w:rsidRDefault="001B1596" w:rsidP="001B1596">
            <w:pPr>
              <w:cnfStyle w:val="000000010000" w:firstRow="0" w:lastRow="0" w:firstColumn="0" w:lastColumn="0" w:oddVBand="0" w:evenVBand="0" w:oddHBand="0" w:evenHBand="1" w:firstRowFirstColumn="0" w:firstRowLastColumn="0" w:lastRowFirstColumn="0" w:lastRowLastColumn="0"/>
              <w:rPr>
                <w:rStyle w:val="Strong"/>
              </w:rPr>
            </w:pPr>
            <w:r w:rsidRPr="00382364">
              <w:rPr>
                <w:rStyle w:val="Strong"/>
              </w:rPr>
              <w:t>183.1</w:t>
            </w:r>
          </w:p>
        </w:tc>
        <w:tc>
          <w:tcPr>
            <w:tcW w:w="982" w:type="dxa"/>
          </w:tcPr>
          <w:p w:rsidR="001B1596" w:rsidRPr="00382364" w:rsidRDefault="001B1596" w:rsidP="001B1596">
            <w:pPr>
              <w:cnfStyle w:val="000000010000" w:firstRow="0" w:lastRow="0" w:firstColumn="0" w:lastColumn="0" w:oddVBand="0" w:evenVBand="0" w:oddHBand="0" w:evenHBand="1" w:firstRowFirstColumn="0" w:firstRowLastColumn="0" w:lastRowFirstColumn="0" w:lastRowLastColumn="0"/>
              <w:rPr>
                <w:rStyle w:val="Strong"/>
              </w:rPr>
            </w:pPr>
            <w:r w:rsidRPr="00382364">
              <w:rPr>
                <w:rStyle w:val="Strong"/>
              </w:rPr>
              <w:t>187.3</w:t>
            </w:r>
          </w:p>
        </w:tc>
        <w:tc>
          <w:tcPr>
            <w:tcW w:w="982" w:type="dxa"/>
          </w:tcPr>
          <w:p w:rsidR="001B1596" w:rsidRPr="00382364" w:rsidRDefault="001B1596" w:rsidP="001B1596">
            <w:pPr>
              <w:cnfStyle w:val="000000010000" w:firstRow="0" w:lastRow="0" w:firstColumn="0" w:lastColumn="0" w:oddVBand="0" w:evenVBand="0" w:oddHBand="0" w:evenHBand="1" w:firstRowFirstColumn="0" w:firstRowLastColumn="0" w:lastRowFirstColumn="0" w:lastRowLastColumn="0"/>
              <w:rPr>
                <w:rStyle w:val="Strong"/>
              </w:rPr>
            </w:pPr>
            <w:r w:rsidRPr="00382364">
              <w:rPr>
                <w:rStyle w:val="Strong"/>
              </w:rPr>
              <w:t>191.7</w:t>
            </w:r>
          </w:p>
        </w:tc>
        <w:tc>
          <w:tcPr>
            <w:tcW w:w="982" w:type="dxa"/>
          </w:tcPr>
          <w:p w:rsidR="001B1596" w:rsidRPr="00382364" w:rsidRDefault="001B1596" w:rsidP="001B1596">
            <w:pPr>
              <w:cnfStyle w:val="000000010000" w:firstRow="0" w:lastRow="0" w:firstColumn="0" w:lastColumn="0" w:oddVBand="0" w:evenVBand="0" w:oddHBand="0" w:evenHBand="1" w:firstRowFirstColumn="0" w:firstRowLastColumn="0" w:lastRowFirstColumn="0" w:lastRowLastColumn="0"/>
              <w:rPr>
                <w:rStyle w:val="Strong"/>
              </w:rPr>
            </w:pPr>
            <w:r w:rsidRPr="00382364">
              <w:rPr>
                <w:rStyle w:val="Strong"/>
              </w:rPr>
              <w:t>196.4</w:t>
            </w:r>
          </w:p>
        </w:tc>
        <w:tc>
          <w:tcPr>
            <w:tcW w:w="982" w:type="dxa"/>
          </w:tcPr>
          <w:p w:rsidR="001B1596" w:rsidRPr="00382364" w:rsidRDefault="001B1596" w:rsidP="001B1596">
            <w:pPr>
              <w:cnfStyle w:val="000000010000" w:firstRow="0" w:lastRow="0" w:firstColumn="0" w:lastColumn="0" w:oddVBand="0" w:evenVBand="0" w:oddHBand="0" w:evenHBand="1" w:firstRowFirstColumn="0" w:firstRowLastColumn="0" w:lastRowFirstColumn="0" w:lastRowLastColumn="0"/>
              <w:rPr>
                <w:rStyle w:val="Strong"/>
              </w:rPr>
            </w:pPr>
            <w:r w:rsidRPr="00382364">
              <w:rPr>
                <w:rStyle w:val="Strong"/>
              </w:rPr>
              <w:t>938.6</w:t>
            </w:r>
          </w:p>
        </w:tc>
      </w:tr>
      <w:tr w:rsidR="00382364" w:rsidRPr="00F6794A" w:rsidTr="007C025A">
        <w:trPr>
          <w:trHeight w:val="270"/>
        </w:trPr>
        <w:tc>
          <w:tcPr>
            <w:cnfStyle w:val="001000000000" w:firstRow="0" w:lastRow="0" w:firstColumn="1" w:lastColumn="0" w:oddVBand="0" w:evenVBand="0" w:oddHBand="0" w:evenHBand="0" w:firstRowFirstColumn="0" w:firstRowLastColumn="0" w:lastRowFirstColumn="0" w:lastRowLastColumn="0"/>
            <w:tcW w:w="2809" w:type="dxa"/>
            <w:hideMark/>
          </w:tcPr>
          <w:p w:rsidR="00382364" w:rsidRPr="00382364" w:rsidRDefault="00382364" w:rsidP="00382364">
            <w:pPr>
              <w:pStyle w:val="BodyText3"/>
              <w:rPr>
                <w:rStyle w:val="Strong"/>
              </w:rPr>
            </w:pPr>
            <w:r w:rsidRPr="00382364">
              <w:rPr>
                <w:rStyle w:val="Strong"/>
              </w:rPr>
              <w:t>X factor</w:t>
            </w:r>
            <w:r w:rsidRPr="00382364">
              <w:rPr>
                <w:rStyle w:val="AERsuperscript"/>
              </w:rPr>
              <w:t>a</w:t>
            </w:r>
            <w:r w:rsidRPr="00382364">
              <w:rPr>
                <w:rStyle w:val="Strong"/>
              </w:rPr>
              <w:t xml:space="preserve"> </w:t>
            </w:r>
          </w:p>
        </w:tc>
        <w:tc>
          <w:tcPr>
            <w:tcW w:w="982" w:type="dxa"/>
          </w:tcPr>
          <w:p w:rsidR="00382364" w:rsidRPr="00382364" w:rsidRDefault="00382364" w:rsidP="00382364">
            <w:pPr>
              <w:cnfStyle w:val="000000000000" w:firstRow="0" w:lastRow="0" w:firstColumn="0" w:lastColumn="0" w:oddVBand="0" w:evenVBand="0" w:oddHBand="0" w:evenHBand="0" w:firstRowFirstColumn="0" w:firstRowLastColumn="0" w:lastRowFirstColumn="0" w:lastRowLastColumn="0"/>
              <w:rPr>
                <w:rStyle w:val="Strong"/>
              </w:rPr>
            </w:pPr>
            <w:r w:rsidRPr="00382364">
              <w:rPr>
                <w:rStyle w:val="Strong"/>
              </w:rPr>
              <w:t>22.80%</w:t>
            </w:r>
          </w:p>
        </w:tc>
        <w:tc>
          <w:tcPr>
            <w:tcW w:w="982" w:type="dxa"/>
          </w:tcPr>
          <w:p w:rsidR="00382364" w:rsidRPr="00382364" w:rsidRDefault="00382364" w:rsidP="00382364">
            <w:pPr>
              <w:cnfStyle w:val="000000000000" w:firstRow="0" w:lastRow="0" w:firstColumn="0" w:lastColumn="0" w:oddVBand="0" w:evenVBand="0" w:oddHBand="0" w:evenHBand="0" w:firstRowFirstColumn="0" w:firstRowLastColumn="0" w:lastRowFirstColumn="0" w:lastRowLastColumn="0"/>
              <w:rPr>
                <w:rStyle w:val="Strong"/>
              </w:rPr>
            </w:pPr>
            <w:r>
              <w:rPr>
                <w:rStyle w:val="Strong"/>
              </w:rPr>
              <w:t>–</w:t>
            </w:r>
            <w:r w:rsidRPr="00382364">
              <w:rPr>
                <w:rStyle w:val="Strong"/>
              </w:rPr>
              <w:t>0.77%</w:t>
            </w:r>
          </w:p>
        </w:tc>
        <w:tc>
          <w:tcPr>
            <w:tcW w:w="982" w:type="dxa"/>
          </w:tcPr>
          <w:p w:rsidR="00382364" w:rsidRPr="00382364" w:rsidRDefault="00382364" w:rsidP="00382364">
            <w:pPr>
              <w:cnfStyle w:val="000000000000" w:firstRow="0" w:lastRow="0" w:firstColumn="0" w:lastColumn="0" w:oddVBand="0" w:evenVBand="0" w:oddHBand="0" w:evenHBand="0" w:firstRowFirstColumn="0" w:firstRowLastColumn="0" w:lastRowFirstColumn="0" w:lastRowLastColumn="0"/>
              <w:rPr>
                <w:rStyle w:val="Strong"/>
              </w:rPr>
            </w:pPr>
            <w:r>
              <w:rPr>
                <w:rStyle w:val="Strong"/>
              </w:rPr>
              <w:t>–</w:t>
            </w:r>
            <w:r w:rsidRPr="00382364">
              <w:rPr>
                <w:rStyle w:val="Strong"/>
              </w:rPr>
              <w:t>0.77%</w:t>
            </w:r>
          </w:p>
        </w:tc>
        <w:tc>
          <w:tcPr>
            <w:tcW w:w="982" w:type="dxa"/>
          </w:tcPr>
          <w:p w:rsidR="00382364" w:rsidRPr="00382364" w:rsidRDefault="00382364" w:rsidP="00382364">
            <w:pPr>
              <w:cnfStyle w:val="000000000000" w:firstRow="0" w:lastRow="0" w:firstColumn="0" w:lastColumn="0" w:oddVBand="0" w:evenVBand="0" w:oddHBand="0" w:evenHBand="0" w:firstRowFirstColumn="0" w:firstRowLastColumn="0" w:lastRowFirstColumn="0" w:lastRowLastColumn="0"/>
              <w:rPr>
                <w:rStyle w:val="Strong"/>
              </w:rPr>
            </w:pPr>
            <w:r>
              <w:rPr>
                <w:rStyle w:val="Strong"/>
              </w:rPr>
              <w:t>–</w:t>
            </w:r>
            <w:r w:rsidRPr="00382364">
              <w:rPr>
                <w:rStyle w:val="Strong"/>
              </w:rPr>
              <w:t>0.77%</w:t>
            </w:r>
          </w:p>
        </w:tc>
        <w:tc>
          <w:tcPr>
            <w:tcW w:w="982" w:type="dxa"/>
          </w:tcPr>
          <w:p w:rsidR="00382364" w:rsidRPr="00382364" w:rsidRDefault="00382364" w:rsidP="00382364">
            <w:pPr>
              <w:cnfStyle w:val="000000000000" w:firstRow="0" w:lastRow="0" w:firstColumn="0" w:lastColumn="0" w:oddVBand="0" w:evenVBand="0" w:oddHBand="0" w:evenHBand="0" w:firstRowFirstColumn="0" w:firstRowLastColumn="0" w:lastRowFirstColumn="0" w:lastRowLastColumn="0"/>
              <w:rPr>
                <w:rStyle w:val="Strong"/>
              </w:rPr>
            </w:pPr>
            <w:r>
              <w:rPr>
                <w:rStyle w:val="Strong"/>
              </w:rPr>
              <w:t>–</w:t>
            </w:r>
            <w:r w:rsidRPr="00382364">
              <w:rPr>
                <w:rStyle w:val="Strong"/>
              </w:rPr>
              <w:t>0.77%</w:t>
            </w:r>
          </w:p>
        </w:tc>
        <w:tc>
          <w:tcPr>
            <w:tcW w:w="982" w:type="dxa"/>
          </w:tcPr>
          <w:p w:rsidR="00382364" w:rsidRPr="00382364" w:rsidRDefault="00382364" w:rsidP="00382364">
            <w:pPr>
              <w:cnfStyle w:val="000000000000" w:firstRow="0" w:lastRow="0" w:firstColumn="0" w:lastColumn="0" w:oddVBand="0" w:evenVBand="0" w:oddHBand="0" w:evenHBand="0" w:firstRowFirstColumn="0" w:firstRowLastColumn="0" w:lastRowFirstColumn="0" w:lastRowLastColumn="0"/>
            </w:pPr>
            <w:r w:rsidRPr="00382364">
              <w:t>n/a</w:t>
            </w:r>
          </w:p>
        </w:tc>
      </w:tr>
      <w:tr w:rsidR="00382364" w:rsidRPr="00F6794A" w:rsidTr="00C67EA8">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09" w:type="dxa"/>
            <w:hideMark/>
          </w:tcPr>
          <w:p w:rsidR="00382364" w:rsidRPr="00382364" w:rsidRDefault="00382364" w:rsidP="00382364">
            <w:r w:rsidRPr="00382364">
              <w:t>Inflation forecast</w:t>
            </w:r>
          </w:p>
        </w:tc>
        <w:tc>
          <w:tcPr>
            <w:tcW w:w="982" w:type="dxa"/>
          </w:tcPr>
          <w:p w:rsidR="00382364" w:rsidRPr="00382364" w:rsidRDefault="00382364" w:rsidP="00382364">
            <w:pPr>
              <w:cnfStyle w:val="000000010000" w:firstRow="0" w:lastRow="0" w:firstColumn="0" w:lastColumn="0" w:oddVBand="0" w:evenVBand="0" w:oddHBand="0" w:evenHBand="1" w:firstRowFirstColumn="0" w:firstRowLastColumn="0" w:lastRowFirstColumn="0" w:lastRowLastColumn="0"/>
            </w:pPr>
            <w:r w:rsidRPr="00382364">
              <w:t>2.50%</w:t>
            </w:r>
          </w:p>
        </w:tc>
        <w:tc>
          <w:tcPr>
            <w:tcW w:w="982" w:type="dxa"/>
          </w:tcPr>
          <w:p w:rsidR="00382364" w:rsidRPr="00382364" w:rsidRDefault="00382364" w:rsidP="00382364">
            <w:pPr>
              <w:cnfStyle w:val="000000010000" w:firstRow="0" w:lastRow="0" w:firstColumn="0" w:lastColumn="0" w:oddVBand="0" w:evenVBand="0" w:oddHBand="0" w:evenHBand="1" w:firstRowFirstColumn="0" w:firstRowLastColumn="0" w:lastRowFirstColumn="0" w:lastRowLastColumn="0"/>
            </w:pPr>
            <w:r w:rsidRPr="00382364">
              <w:t>2.50%</w:t>
            </w:r>
          </w:p>
        </w:tc>
        <w:tc>
          <w:tcPr>
            <w:tcW w:w="982" w:type="dxa"/>
          </w:tcPr>
          <w:p w:rsidR="00382364" w:rsidRPr="00382364" w:rsidRDefault="00382364" w:rsidP="00382364">
            <w:pPr>
              <w:cnfStyle w:val="000000010000" w:firstRow="0" w:lastRow="0" w:firstColumn="0" w:lastColumn="0" w:oddVBand="0" w:evenVBand="0" w:oddHBand="0" w:evenHBand="1" w:firstRowFirstColumn="0" w:firstRowLastColumn="0" w:lastRowFirstColumn="0" w:lastRowLastColumn="0"/>
            </w:pPr>
            <w:r w:rsidRPr="00382364">
              <w:t>2.50%</w:t>
            </w:r>
          </w:p>
        </w:tc>
        <w:tc>
          <w:tcPr>
            <w:tcW w:w="982" w:type="dxa"/>
          </w:tcPr>
          <w:p w:rsidR="00382364" w:rsidRPr="00382364" w:rsidRDefault="00382364" w:rsidP="00382364">
            <w:pPr>
              <w:cnfStyle w:val="000000010000" w:firstRow="0" w:lastRow="0" w:firstColumn="0" w:lastColumn="0" w:oddVBand="0" w:evenVBand="0" w:oddHBand="0" w:evenHBand="1" w:firstRowFirstColumn="0" w:firstRowLastColumn="0" w:lastRowFirstColumn="0" w:lastRowLastColumn="0"/>
            </w:pPr>
            <w:r w:rsidRPr="00382364">
              <w:t>2.50%</w:t>
            </w:r>
          </w:p>
        </w:tc>
        <w:tc>
          <w:tcPr>
            <w:tcW w:w="982" w:type="dxa"/>
          </w:tcPr>
          <w:p w:rsidR="00382364" w:rsidRPr="00382364" w:rsidRDefault="00382364" w:rsidP="00382364">
            <w:pPr>
              <w:cnfStyle w:val="000000010000" w:firstRow="0" w:lastRow="0" w:firstColumn="0" w:lastColumn="0" w:oddVBand="0" w:evenVBand="0" w:oddHBand="0" w:evenHBand="1" w:firstRowFirstColumn="0" w:firstRowLastColumn="0" w:lastRowFirstColumn="0" w:lastRowLastColumn="0"/>
            </w:pPr>
            <w:r w:rsidRPr="00382364">
              <w:t>2.50%</w:t>
            </w:r>
          </w:p>
        </w:tc>
        <w:tc>
          <w:tcPr>
            <w:tcW w:w="982" w:type="dxa"/>
          </w:tcPr>
          <w:p w:rsidR="00382364" w:rsidRPr="00382364" w:rsidRDefault="00382364" w:rsidP="00382364">
            <w:pPr>
              <w:cnfStyle w:val="000000010000" w:firstRow="0" w:lastRow="0" w:firstColumn="0" w:lastColumn="0" w:oddVBand="0" w:evenVBand="0" w:oddHBand="0" w:evenHBand="1" w:firstRowFirstColumn="0" w:firstRowLastColumn="0" w:lastRowFirstColumn="0" w:lastRowLastColumn="0"/>
            </w:pPr>
            <w:r w:rsidRPr="00382364">
              <w:t>n/a</w:t>
            </w:r>
          </w:p>
        </w:tc>
      </w:tr>
      <w:tr w:rsidR="00382364" w:rsidRPr="00F6794A" w:rsidTr="007C025A">
        <w:trPr>
          <w:trHeight w:val="406"/>
        </w:trPr>
        <w:tc>
          <w:tcPr>
            <w:cnfStyle w:val="001000000000" w:firstRow="0" w:lastRow="0" w:firstColumn="1" w:lastColumn="0" w:oddVBand="0" w:evenVBand="0" w:oddHBand="0" w:evenHBand="0" w:firstRowFirstColumn="0" w:firstRowLastColumn="0" w:lastRowFirstColumn="0" w:lastRowLastColumn="0"/>
            <w:tcW w:w="2809" w:type="dxa"/>
            <w:hideMark/>
          </w:tcPr>
          <w:p w:rsidR="00382364" w:rsidRPr="00382364" w:rsidRDefault="00382364" w:rsidP="00382364">
            <w:r w:rsidRPr="00382364">
              <w:t>Nominal price change</w:t>
            </w:r>
          </w:p>
        </w:tc>
        <w:tc>
          <w:tcPr>
            <w:tcW w:w="982" w:type="dxa"/>
          </w:tcPr>
          <w:p w:rsidR="00382364" w:rsidRPr="00382364" w:rsidRDefault="0030499B" w:rsidP="00382364">
            <w:pPr>
              <w:cnfStyle w:val="000000000000" w:firstRow="0" w:lastRow="0" w:firstColumn="0" w:lastColumn="0" w:oddVBand="0" w:evenVBand="0" w:oddHBand="0" w:evenHBand="0" w:firstRowFirstColumn="0" w:firstRowLastColumn="0" w:lastRowFirstColumn="0" w:lastRowLastColumn="0"/>
            </w:pPr>
            <w:r>
              <w:t>–</w:t>
            </w:r>
            <w:r w:rsidR="00382364" w:rsidRPr="00382364">
              <w:t>20.87%</w:t>
            </w:r>
          </w:p>
        </w:tc>
        <w:tc>
          <w:tcPr>
            <w:tcW w:w="982" w:type="dxa"/>
          </w:tcPr>
          <w:p w:rsidR="00382364" w:rsidRPr="00382364" w:rsidRDefault="00382364" w:rsidP="00382364">
            <w:pPr>
              <w:cnfStyle w:val="000000000000" w:firstRow="0" w:lastRow="0" w:firstColumn="0" w:lastColumn="0" w:oddVBand="0" w:evenVBand="0" w:oddHBand="0" w:evenHBand="0" w:firstRowFirstColumn="0" w:firstRowLastColumn="0" w:lastRowFirstColumn="0" w:lastRowLastColumn="0"/>
            </w:pPr>
            <w:r w:rsidRPr="00382364">
              <w:t>3.29%</w:t>
            </w:r>
          </w:p>
        </w:tc>
        <w:tc>
          <w:tcPr>
            <w:tcW w:w="982" w:type="dxa"/>
          </w:tcPr>
          <w:p w:rsidR="00382364" w:rsidRPr="00382364" w:rsidRDefault="00382364" w:rsidP="00382364">
            <w:pPr>
              <w:cnfStyle w:val="000000000000" w:firstRow="0" w:lastRow="0" w:firstColumn="0" w:lastColumn="0" w:oddVBand="0" w:evenVBand="0" w:oddHBand="0" w:evenHBand="0" w:firstRowFirstColumn="0" w:firstRowLastColumn="0" w:lastRowFirstColumn="0" w:lastRowLastColumn="0"/>
            </w:pPr>
            <w:r w:rsidRPr="00382364">
              <w:t>3.29%</w:t>
            </w:r>
          </w:p>
        </w:tc>
        <w:tc>
          <w:tcPr>
            <w:tcW w:w="982" w:type="dxa"/>
          </w:tcPr>
          <w:p w:rsidR="00382364" w:rsidRPr="00382364" w:rsidRDefault="00382364" w:rsidP="00382364">
            <w:pPr>
              <w:cnfStyle w:val="000000000000" w:firstRow="0" w:lastRow="0" w:firstColumn="0" w:lastColumn="0" w:oddVBand="0" w:evenVBand="0" w:oddHBand="0" w:evenHBand="0" w:firstRowFirstColumn="0" w:firstRowLastColumn="0" w:lastRowFirstColumn="0" w:lastRowLastColumn="0"/>
            </w:pPr>
            <w:r w:rsidRPr="00382364">
              <w:t>3.29%</w:t>
            </w:r>
          </w:p>
        </w:tc>
        <w:tc>
          <w:tcPr>
            <w:tcW w:w="982" w:type="dxa"/>
          </w:tcPr>
          <w:p w:rsidR="00382364" w:rsidRPr="00382364" w:rsidRDefault="00382364" w:rsidP="00382364">
            <w:pPr>
              <w:cnfStyle w:val="000000000000" w:firstRow="0" w:lastRow="0" w:firstColumn="0" w:lastColumn="0" w:oddVBand="0" w:evenVBand="0" w:oddHBand="0" w:evenHBand="0" w:firstRowFirstColumn="0" w:firstRowLastColumn="0" w:lastRowFirstColumn="0" w:lastRowLastColumn="0"/>
            </w:pPr>
            <w:r w:rsidRPr="00382364">
              <w:t>3.29%</w:t>
            </w:r>
          </w:p>
        </w:tc>
        <w:tc>
          <w:tcPr>
            <w:tcW w:w="982" w:type="dxa"/>
          </w:tcPr>
          <w:p w:rsidR="00382364" w:rsidRPr="00382364" w:rsidRDefault="00382364" w:rsidP="00382364">
            <w:pPr>
              <w:cnfStyle w:val="000000000000" w:firstRow="0" w:lastRow="0" w:firstColumn="0" w:lastColumn="0" w:oddVBand="0" w:evenVBand="0" w:oddHBand="0" w:evenHBand="0" w:firstRowFirstColumn="0" w:firstRowLastColumn="0" w:lastRowFirstColumn="0" w:lastRowLastColumn="0"/>
            </w:pPr>
            <w:r w:rsidRPr="00382364">
              <w:t>n/a</w:t>
            </w:r>
          </w:p>
        </w:tc>
      </w:tr>
    </w:tbl>
    <w:p w:rsidR="005B21C1" w:rsidRPr="00CB6E5B" w:rsidRDefault="005B21C1" w:rsidP="005B21C1">
      <w:pPr>
        <w:pStyle w:val="AERtablesource"/>
      </w:pPr>
      <w:r w:rsidRPr="007A5A6C">
        <w:rPr>
          <w:rFonts w:eastAsia="Calibri"/>
        </w:rPr>
        <w:t xml:space="preserve">Source: </w:t>
      </w:r>
      <w:r w:rsidRPr="007A5A6C">
        <w:rPr>
          <w:rFonts w:eastAsia="Calibri"/>
        </w:rPr>
        <w:tab/>
      </w:r>
      <w:r w:rsidRPr="00CB6E5B">
        <w:t>AER analysis</w:t>
      </w:r>
      <w:r>
        <w:t>.</w:t>
      </w:r>
    </w:p>
    <w:p w:rsidR="005B21C1" w:rsidRPr="00B5370C" w:rsidRDefault="005B21C1" w:rsidP="005B21C1">
      <w:pPr>
        <w:pStyle w:val="AERtablesource"/>
      </w:pPr>
      <w:r w:rsidRPr="00CB6E5B">
        <w:t xml:space="preserve">n/a: </w:t>
      </w:r>
      <w:r w:rsidRPr="00CB6E5B">
        <w:tab/>
        <w:t>not applicable.</w:t>
      </w:r>
    </w:p>
    <w:p w:rsidR="005B21C1" w:rsidRPr="00EF51EE" w:rsidRDefault="005B21C1" w:rsidP="005B21C1">
      <w:pPr>
        <w:pStyle w:val="AERtablesource"/>
      </w:pPr>
      <w:r>
        <w:t>(a)</w:t>
      </w:r>
      <w:r w:rsidRPr="00D2764A">
        <w:tab/>
        <w:t>Under the CPI</w:t>
      </w:r>
      <w:r>
        <w:t>–</w:t>
      </w:r>
      <w:r w:rsidRPr="00D2764A">
        <w:t xml:space="preserve">X form of control, a </w:t>
      </w:r>
      <w:r>
        <w:t>positive</w:t>
      </w:r>
      <w:r w:rsidRPr="00D2764A">
        <w:t xml:space="preserve"> X factor is a </w:t>
      </w:r>
      <w:r>
        <w:t xml:space="preserve">decrease </w:t>
      </w:r>
      <w:r w:rsidRPr="00D2764A">
        <w:t>in price (and therefore</w:t>
      </w:r>
      <w:r>
        <w:t xml:space="preserve"> in</w:t>
      </w:r>
      <w:r w:rsidRPr="00D2764A">
        <w:t xml:space="preserve"> revenue). </w:t>
      </w:r>
    </w:p>
    <w:p w:rsidR="005B21C1" w:rsidRPr="00D2764A" w:rsidRDefault="005B21C1" w:rsidP="005B21C1">
      <w:pPr>
        <w:pStyle w:val="AERtablesource"/>
      </w:pPr>
      <w:r w:rsidRPr="00D2764A">
        <w:tab/>
      </w:r>
      <w:r w:rsidR="00A40C49">
        <w:t xml:space="preserve">The X factors are for haulage reference services. </w:t>
      </w:r>
      <w:r>
        <w:t>The X factor for 2016–17 is indicative only</w:t>
      </w:r>
      <w:r w:rsidRPr="00D2764A">
        <w:t>.</w:t>
      </w:r>
      <w:r>
        <w:t xml:space="preserve"> The draft decision establishes 2016–17 tariffs directly, rather than referencing a change from 2015–16 tariffs.</w:t>
      </w:r>
    </w:p>
    <w:p w:rsidR="005B21C1" w:rsidRDefault="005B21C1" w:rsidP="00C01149">
      <w:pPr>
        <w:pStyle w:val="Heading3"/>
        <w:keepNext/>
      </w:pPr>
      <w:bookmarkStart w:id="63" w:name="_Toc433016426"/>
      <w:bookmarkStart w:id="64" w:name="_Toc436037693"/>
      <w:r>
        <w:t>Total revenue</w:t>
      </w:r>
      <w:bookmarkEnd w:id="63"/>
      <w:bookmarkEnd w:id="64"/>
    </w:p>
    <w:p w:rsidR="005B21C1" w:rsidRDefault="00FA05C3" w:rsidP="00C01149">
      <w:pPr>
        <w:keepNext/>
        <w:numPr>
          <w:ilvl w:val="0"/>
          <w:numId w:val="24"/>
        </w:numPr>
      </w:pPr>
      <w:r>
        <w:fldChar w:fldCharType="begin"/>
      </w:r>
      <w:r>
        <w:instrText xml:space="preserve"> REF _Ref401651183 \h </w:instrText>
      </w:r>
      <w:r>
        <w:fldChar w:fldCharType="separate"/>
      </w:r>
      <w:r w:rsidR="00E90DAD">
        <w:t xml:space="preserve">Figure </w:t>
      </w:r>
      <w:r w:rsidR="00E90DAD">
        <w:rPr>
          <w:noProof/>
        </w:rPr>
        <w:t>5</w:t>
      </w:r>
      <w:r>
        <w:fldChar w:fldCharType="end"/>
      </w:r>
      <w:r w:rsidR="005B21C1">
        <w:t xml:space="preserve"> shows the effect of our draft decision adjustments on AGN</w:t>
      </w:r>
      <w:r w:rsidR="005B21C1" w:rsidRPr="007126FA">
        <w:t>'s proposed building blocks</w:t>
      </w:r>
      <w:r w:rsidR="005B21C1">
        <w:t xml:space="preserve"> for the 2016–21 access arrangement period</w:t>
      </w:r>
      <w:r w:rsidR="005B21C1" w:rsidRPr="007126FA">
        <w:t xml:space="preserve">. It shows </w:t>
      </w:r>
      <w:r w:rsidR="00597AB3">
        <w:t>the reductions to</w:t>
      </w:r>
      <w:r w:rsidR="005B21C1" w:rsidRPr="007126FA">
        <w:t xml:space="preserve"> </w:t>
      </w:r>
      <w:r w:rsidR="005B21C1">
        <w:t>AGN</w:t>
      </w:r>
      <w:r w:rsidR="005B21C1" w:rsidRPr="007126FA">
        <w:t>'s propos</w:t>
      </w:r>
      <w:r w:rsidR="00597AB3">
        <w:t>ed</w:t>
      </w:r>
      <w:r w:rsidR="005B21C1" w:rsidRPr="007126FA">
        <w:t xml:space="preserve"> </w:t>
      </w:r>
      <w:r w:rsidR="005B21C1">
        <w:rPr>
          <w:rStyle w:val="AERbody"/>
        </w:rPr>
        <w:t>return on capital, opex</w:t>
      </w:r>
      <w:r w:rsidR="00B01075">
        <w:rPr>
          <w:rStyle w:val="AERbody"/>
        </w:rPr>
        <w:t>, depreciation</w:t>
      </w:r>
      <w:r w:rsidR="005B21C1" w:rsidRPr="007126FA">
        <w:t xml:space="preserve"> </w:t>
      </w:r>
      <w:r w:rsidR="005B21C1">
        <w:t xml:space="preserve">and tax </w:t>
      </w:r>
      <w:r w:rsidR="005B21C1" w:rsidRPr="007126FA">
        <w:t>building block</w:t>
      </w:r>
      <w:r w:rsidR="005B21C1">
        <w:t>s</w:t>
      </w:r>
      <w:r w:rsidR="005B21C1" w:rsidRPr="007126FA">
        <w:t>.</w:t>
      </w:r>
    </w:p>
    <w:p w:rsidR="005B21C1" w:rsidRPr="007126FA" w:rsidRDefault="00474C01" w:rsidP="00474C01">
      <w:pPr>
        <w:pStyle w:val="Caption"/>
      </w:pPr>
      <w:bookmarkStart w:id="65" w:name="_Ref401651183"/>
      <w:r>
        <w:t xml:space="preserve">Figure </w:t>
      </w:r>
      <w:fldSimple w:instr=" SEQ Figure \* ARABIC ">
        <w:r w:rsidR="00E90DAD">
          <w:rPr>
            <w:noProof/>
          </w:rPr>
          <w:t>5</w:t>
        </w:r>
      </w:fldSimple>
      <w:bookmarkEnd w:id="65"/>
      <w:r w:rsidR="005B21C1">
        <w:tab/>
      </w:r>
      <w:r w:rsidR="005B21C1" w:rsidRPr="00CB6E5B">
        <w:t xml:space="preserve">AER’s draft decision and </w:t>
      </w:r>
      <w:r w:rsidR="005B21C1">
        <w:t>AGN'</w:t>
      </w:r>
      <w:r w:rsidR="005B21C1" w:rsidRPr="00CB6E5B">
        <w:t xml:space="preserve">s proposed </w:t>
      </w:r>
      <w:r w:rsidR="005B21C1">
        <w:t xml:space="preserve">building block </w:t>
      </w:r>
      <w:r w:rsidR="005B21C1" w:rsidRPr="00CB6E5B">
        <w:t>revenue (unsmoothed) ($million, nominal)</w:t>
      </w:r>
    </w:p>
    <w:p w:rsidR="005B21C1" w:rsidRPr="00CB6E5B" w:rsidRDefault="00286841" w:rsidP="005B21C1">
      <w:pPr>
        <w:numPr>
          <w:ilvl w:val="0"/>
          <w:numId w:val="24"/>
        </w:numPr>
      </w:pPr>
      <w:r>
        <w:rPr>
          <w:noProof/>
          <w:lang w:eastAsia="en-AU"/>
        </w:rPr>
        <w:drawing>
          <wp:inline distT="0" distB="0" distL="0" distR="0" wp14:anchorId="45471DDF" wp14:editId="5451DEDC">
            <wp:extent cx="5456711" cy="40652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58101" cy="4066239"/>
                    </a:xfrm>
                    <a:prstGeom prst="rect">
                      <a:avLst/>
                    </a:prstGeom>
                    <a:noFill/>
                  </pic:spPr>
                </pic:pic>
              </a:graphicData>
            </a:graphic>
          </wp:inline>
        </w:drawing>
      </w:r>
    </w:p>
    <w:p w:rsidR="005B21C1" w:rsidRDefault="005B21C1" w:rsidP="005B21C1">
      <w:pPr>
        <w:pStyle w:val="AERtablesource"/>
      </w:pPr>
      <w:r w:rsidRPr="007A5A6C">
        <w:rPr>
          <w:rFonts w:eastAsia="Calibri"/>
        </w:rPr>
        <w:t xml:space="preserve">Source: </w:t>
      </w:r>
      <w:r w:rsidRPr="007A5A6C">
        <w:rPr>
          <w:rFonts w:eastAsia="Calibri"/>
        </w:rPr>
        <w:tab/>
      </w:r>
      <w:r w:rsidRPr="00CB6E5B">
        <w:t>AER analysis</w:t>
      </w:r>
      <w:r>
        <w:t>.</w:t>
      </w:r>
      <w:r w:rsidRPr="00CB6E5B">
        <w:t xml:space="preserve">  </w:t>
      </w:r>
    </w:p>
    <w:p w:rsidR="005B21C1" w:rsidRPr="00B5370C" w:rsidRDefault="005B21C1" w:rsidP="005B21C1">
      <w:pPr>
        <w:pStyle w:val="Heading3"/>
      </w:pPr>
      <w:bookmarkStart w:id="66" w:name="_Toc404599676"/>
      <w:bookmarkStart w:id="67" w:name="_Toc433016427"/>
      <w:bookmarkStart w:id="68" w:name="_Toc436037694"/>
      <w:r>
        <w:t>Revenue equalisation (smoothing) and t</w:t>
      </w:r>
      <w:r w:rsidRPr="00B5370C">
        <w:t>ariffs</w:t>
      </w:r>
      <w:bookmarkEnd w:id="66"/>
      <w:bookmarkEnd w:id="67"/>
      <w:bookmarkEnd w:id="68"/>
    </w:p>
    <w:p w:rsidR="005B21C1" w:rsidRPr="00EF51EE" w:rsidRDefault="005B21C1" w:rsidP="005B21C1">
      <w:pPr>
        <w:numPr>
          <w:ilvl w:val="0"/>
          <w:numId w:val="24"/>
        </w:numPr>
        <w:rPr>
          <w:rStyle w:val="AERbody"/>
        </w:rPr>
      </w:pPr>
      <w:r w:rsidRPr="00EF51EE">
        <w:rPr>
          <w:rStyle w:val="AERbody"/>
        </w:rPr>
        <w:t>After</w:t>
      </w:r>
      <w:r>
        <w:rPr>
          <w:rStyle w:val="AERbody"/>
        </w:rPr>
        <w:t xml:space="preserve"> our assessment of AGN</w:t>
      </w:r>
      <w:r w:rsidRPr="00EF51EE">
        <w:rPr>
          <w:rStyle w:val="AERbody"/>
        </w:rPr>
        <w:t xml:space="preserve">’s total </w:t>
      </w:r>
      <w:r>
        <w:rPr>
          <w:rStyle w:val="AERbody"/>
        </w:rPr>
        <w:t>building block revenue (</w:t>
      </w:r>
      <w:r w:rsidRPr="00EF51EE">
        <w:rPr>
          <w:rStyle w:val="AERbody"/>
        </w:rPr>
        <w:t>unsmoothed revenue</w:t>
      </w:r>
      <w:r>
        <w:rPr>
          <w:rStyle w:val="AERbody"/>
        </w:rPr>
        <w:t>)</w:t>
      </w:r>
      <w:r w:rsidRPr="00EF51EE">
        <w:rPr>
          <w:rStyle w:val="AERbody"/>
        </w:rPr>
        <w:t xml:space="preserve">, we need to determine the smoothed revenue profile across the </w:t>
      </w:r>
      <w:r>
        <w:rPr>
          <w:rStyle w:val="AERbody"/>
        </w:rPr>
        <w:t>2016–21</w:t>
      </w:r>
      <w:r w:rsidRPr="00EF51EE">
        <w:rPr>
          <w:rStyle w:val="AERbody"/>
        </w:rPr>
        <w:t xml:space="preserve"> access arrangement period. </w:t>
      </w:r>
      <w:r>
        <w:rPr>
          <w:rStyle w:val="AERbody"/>
        </w:rPr>
        <w:t>AGN</w:t>
      </w:r>
      <w:r w:rsidRPr="00EF51EE">
        <w:rPr>
          <w:rStyle w:val="AERbody"/>
        </w:rPr>
        <w:t xml:space="preserve"> operates under a weighted average </w:t>
      </w:r>
      <w:r w:rsidR="00476954">
        <w:rPr>
          <w:rStyle w:val="AERbody"/>
        </w:rPr>
        <w:t>tariff</w:t>
      </w:r>
      <w:r w:rsidR="00476954" w:rsidRPr="00EF51EE">
        <w:rPr>
          <w:rStyle w:val="AERbody"/>
        </w:rPr>
        <w:t xml:space="preserve"> </w:t>
      </w:r>
      <w:r w:rsidRPr="00EF51EE">
        <w:rPr>
          <w:rStyle w:val="AERbody"/>
        </w:rPr>
        <w:t>cap</w:t>
      </w:r>
      <w:r>
        <w:rPr>
          <w:rStyle w:val="AERbody"/>
        </w:rPr>
        <w:t xml:space="preserve"> as its tariff variation mechanism</w:t>
      </w:r>
      <w:r w:rsidRPr="00EF51EE">
        <w:rPr>
          <w:rStyle w:val="AERbody"/>
        </w:rPr>
        <w:t xml:space="preserve">. This means we determine the </w:t>
      </w:r>
      <w:r>
        <w:rPr>
          <w:rStyle w:val="AERbody"/>
        </w:rPr>
        <w:t xml:space="preserve">weighted average </w:t>
      </w:r>
      <w:r w:rsidR="00476954">
        <w:rPr>
          <w:rStyle w:val="AERbody"/>
        </w:rPr>
        <w:t>tariff</w:t>
      </w:r>
      <w:r w:rsidR="00476954" w:rsidRPr="00EF51EE">
        <w:rPr>
          <w:rStyle w:val="AERbody"/>
        </w:rPr>
        <w:t xml:space="preserve"> </w:t>
      </w:r>
      <w:r w:rsidRPr="00EF51EE">
        <w:rPr>
          <w:rStyle w:val="AERbody"/>
        </w:rPr>
        <w:t xml:space="preserve">change each year such that the </w:t>
      </w:r>
      <w:r>
        <w:rPr>
          <w:rStyle w:val="AERbody"/>
        </w:rPr>
        <w:t>net present value (NPV)</w:t>
      </w:r>
      <w:r w:rsidRPr="00EF51EE">
        <w:rPr>
          <w:rStyle w:val="AERbody"/>
        </w:rPr>
        <w:t xml:space="preserve"> of unsmoothed and smoothed revenue is </w:t>
      </w:r>
      <w:r>
        <w:rPr>
          <w:rStyle w:val="AERbody"/>
        </w:rPr>
        <w:t xml:space="preserve">equal across the entire period. This weighted average </w:t>
      </w:r>
      <w:r w:rsidR="00476954">
        <w:rPr>
          <w:rStyle w:val="AERbody"/>
        </w:rPr>
        <w:t xml:space="preserve">tariff </w:t>
      </w:r>
      <w:r>
        <w:rPr>
          <w:rStyle w:val="AERbody"/>
        </w:rPr>
        <w:t>change is labelled the 'X factor'. The mechanics of the tariff variation mechanism are addressed in attachment 11.</w:t>
      </w:r>
    </w:p>
    <w:p w:rsidR="005B21C1" w:rsidRDefault="009B0909" w:rsidP="005B21C1">
      <w:pPr>
        <w:numPr>
          <w:ilvl w:val="0"/>
          <w:numId w:val="24"/>
        </w:numPr>
        <w:rPr>
          <w:rStyle w:val="AERbody"/>
        </w:rPr>
      </w:pPr>
      <w:r>
        <w:rPr>
          <w:rStyle w:val="AERbody"/>
        </w:rPr>
        <w:fldChar w:fldCharType="begin"/>
      </w:r>
      <w:r>
        <w:rPr>
          <w:rStyle w:val="AERbody"/>
        </w:rPr>
        <w:instrText xml:space="preserve"> REF _Ref433798190 \h </w:instrText>
      </w:r>
      <w:r>
        <w:rPr>
          <w:rStyle w:val="AERbody"/>
        </w:rPr>
      </w:r>
      <w:r>
        <w:rPr>
          <w:rStyle w:val="AERbody"/>
        </w:rPr>
        <w:fldChar w:fldCharType="separate"/>
      </w:r>
      <w:r w:rsidR="00E90DAD">
        <w:t xml:space="preserve">Table </w:t>
      </w:r>
      <w:r w:rsidR="00E90DAD">
        <w:rPr>
          <w:noProof/>
        </w:rPr>
        <w:t>2</w:t>
      </w:r>
      <w:r>
        <w:rPr>
          <w:rStyle w:val="AERbody"/>
        </w:rPr>
        <w:fldChar w:fldCharType="end"/>
      </w:r>
      <w:r>
        <w:rPr>
          <w:rStyle w:val="AERbody"/>
        </w:rPr>
        <w:t xml:space="preserve"> </w:t>
      </w:r>
      <w:r w:rsidR="005B21C1" w:rsidRPr="00EF51EE">
        <w:rPr>
          <w:rStyle w:val="AERbody"/>
        </w:rPr>
        <w:t xml:space="preserve">presents our draft decision X factors, and compares them to </w:t>
      </w:r>
      <w:r w:rsidR="005B21C1">
        <w:rPr>
          <w:rStyle w:val="AERbody"/>
        </w:rPr>
        <w:t>AGN</w:t>
      </w:r>
      <w:r w:rsidR="005B21C1" w:rsidRPr="00EF51EE">
        <w:rPr>
          <w:rStyle w:val="AERbody"/>
        </w:rPr>
        <w:t>’s proposal</w:t>
      </w:r>
      <w:r w:rsidR="005B21C1">
        <w:rPr>
          <w:rStyle w:val="AERbody"/>
        </w:rPr>
        <w:t>.</w:t>
      </w:r>
    </w:p>
    <w:p w:rsidR="005B21C1" w:rsidRPr="00EF51EE" w:rsidRDefault="00474C01" w:rsidP="00FE322E">
      <w:pPr>
        <w:pStyle w:val="Caption"/>
      </w:pPr>
      <w:bookmarkStart w:id="69" w:name="_Ref433798190"/>
      <w:r>
        <w:t xml:space="preserve">Table </w:t>
      </w:r>
      <w:fldSimple w:instr=" SEQ Table \* ARABIC ">
        <w:r w:rsidR="00E90DAD">
          <w:rPr>
            <w:noProof/>
          </w:rPr>
          <w:t>2</w:t>
        </w:r>
      </w:fldSimple>
      <w:bookmarkEnd w:id="69"/>
      <w:r w:rsidR="005B21C1" w:rsidRPr="00EF51EE">
        <w:tab/>
      </w:r>
      <w:r w:rsidR="005B21C1">
        <w:t xml:space="preserve">Weighted average </w:t>
      </w:r>
      <w:r w:rsidR="00476954">
        <w:t xml:space="preserve">tariff </w:t>
      </w:r>
      <w:r w:rsidR="005B21C1">
        <w:t>change across the access arrangement period (X factors) — comparison of AGN's proposal and AER's draft decision (per cent)</w:t>
      </w:r>
    </w:p>
    <w:tbl>
      <w:tblPr>
        <w:tblStyle w:val="AERtable-numbers"/>
        <w:tblW w:w="8727" w:type="dxa"/>
        <w:tblLayout w:type="fixed"/>
        <w:tblLook w:val="04A0" w:firstRow="1" w:lastRow="0" w:firstColumn="1" w:lastColumn="0" w:noHBand="0" w:noVBand="1"/>
      </w:tblPr>
      <w:tblGrid>
        <w:gridCol w:w="2663"/>
        <w:gridCol w:w="1213"/>
        <w:gridCol w:w="1212"/>
        <w:gridCol w:w="1213"/>
        <w:gridCol w:w="1213"/>
        <w:gridCol w:w="1213"/>
      </w:tblGrid>
      <w:tr w:rsidR="005B21C1" w:rsidRPr="00502306" w:rsidTr="007C025A">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663" w:type="dxa"/>
          </w:tcPr>
          <w:p w:rsidR="005B21C1" w:rsidRPr="00502306" w:rsidRDefault="005B21C1" w:rsidP="0003454E">
            <w:pPr>
              <w:keepNext/>
            </w:pPr>
          </w:p>
        </w:tc>
        <w:tc>
          <w:tcPr>
            <w:tcW w:w="1213" w:type="dxa"/>
            <w:hideMark/>
          </w:tcPr>
          <w:p w:rsidR="005B21C1" w:rsidRPr="00502306" w:rsidRDefault="005B21C1" w:rsidP="0003454E">
            <w:pPr>
              <w:keepNext/>
              <w:cnfStyle w:val="100000000000" w:firstRow="1" w:lastRow="0" w:firstColumn="0" w:lastColumn="0" w:oddVBand="0" w:evenVBand="0" w:oddHBand="0" w:evenHBand="0" w:firstRowFirstColumn="0" w:firstRowLastColumn="0" w:lastRowFirstColumn="0" w:lastRowLastColumn="0"/>
            </w:pPr>
            <w:r w:rsidRPr="00502306">
              <w:t>2016–17</w:t>
            </w:r>
          </w:p>
        </w:tc>
        <w:tc>
          <w:tcPr>
            <w:tcW w:w="1212" w:type="dxa"/>
            <w:hideMark/>
          </w:tcPr>
          <w:p w:rsidR="005B21C1" w:rsidRPr="00502306" w:rsidRDefault="005B21C1" w:rsidP="0003454E">
            <w:pPr>
              <w:keepNext/>
              <w:cnfStyle w:val="100000000000" w:firstRow="1" w:lastRow="0" w:firstColumn="0" w:lastColumn="0" w:oddVBand="0" w:evenVBand="0" w:oddHBand="0" w:evenHBand="0" w:firstRowFirstColumn="0" w:firstRowLastColumn="0" w:lastRowFirstColumn="0" w:lastRowLastColumn="0"/>
            </w:pPr>
            <w:r w:rsidRPr="00502306">
              <w:t>2017–18</w:t>
            </w:r>
          </w:p>
        </w:tc>
        <w:tc>
          <w:tcPr>
            <w:tcW w:w="1213" w:type="dxa"/>
            <w:hideMark/>
          </w:tcPr>
          <w:p w:rsidR="005B21C1" w:rsidRPr="00502306" w:rsidRDefault="005B21C1" w:rsidP="0003454E">
            <w:pPr>
              <w:keepNext/>
              <w:cnfStyle w:val="100000000000" w:firstRow="1" w:lastRow="0" w:firstColumn="0" w:lastColumn="0" w:oddVBand="0" w:evenVBand="0" w:oddHBand="0" w:evenHBand="0" w:firstRowFirstColumn="0" w:firstRowLastColumn="0" w:lastRowFirstColumn="0" w:lastRowLastColumn="0"/>
            </w:pPr>
            <w:r w:rsidRPr="00502306">
              <w:t>2018–19</w:t>
            </w:r>
          </w:p>
        </w:tc>
        <w:tc>
          <w:tcPr>
            <w:tcW w:w="1213" w:type="dxa"/>
            <w:hideMark/>
          </w:tcPr>
          <w:p w:rsidR="005B21C1" w:rsidRPr="00502306" w:rsidRDefault="005B21C1" w:rsidP="0003454E">
            <w:pPr>
              <w:keepNext/>
              <w:cnfStyle w:val="100000000000" w:firstRow="1" w:lastRow="0" w:firstColumn="0" w:lastColumn="0" w:oddVBand="0" w:evenVBand="0" w:oddHBand="0" w:evenHBand="0" w:firstRowFirstColumn="0" w:firstRowLastColumn="0" w:lastRowFirstColumn="0" w:lastRowLastColumn="0"/>
            </w:pPr>
            <w:r w:rsidRPr="00502306">
              <w:t>2019–20</w:t>
            </w:r>
          </w:p>
        </w:tc>
        <w:tc>
          <w:tcPr>
            <w:tcW w:w="1213" w:type="dxa"/>
          </w:tcPr>
          <w:p w:rsidR="005B21C1" w:rsidRPr="00502306" w:rsidRDefault="005B21C1" w:rsidP="0003454E">
            <w:pPr>
              <w:keepNext/>
              <w:cnfStyle w:val="100000000000" w:firstRow="1" w:lastRow="0" w:firstColumn="0" w:lastColumn="0" w:oddVBand="0" w:evenVBand="0" w:oddHBand="0" w:evenHBand="0" w:firstRowFirstColumn="0" w:firstRowLastColumn="0" w:lastRowFirstColumn="0" w:lastRowLastColumn="0"/>
            </w:pPr>
            <w:r w:rsidRPr="00502306">
              <w:t>2020–21</w:t>
            </w:r>
          </w:p>
        </w:tc>
      </w:tr>
      <w:tr w:rsidR="008A3285" w:rsidRPr="00502306" w:rsidTr="00741727">
        <w:trPr>
          <w:trHeight w:val="231"/>
        </w:trPr>
        <w:tc>
          <w:tcPr>
            <w:cnfStyle w:val="001000000000" w:firstRow="0" w:lastRow="0" w:firstColumn="1" w:lastColumn="0" w:oddVBand="0" w:evenVBand="0" w:oddHBand="0" w:evenHBand="0" w:firstRowFirstColumn="0" w:firstRowLastColumn="0" w:lastRowFirstColumn="0" w:lastRowLastColumn="0"/>
            <w:tcW w:w="2663" w:type="dxa"/>
          </w:tcPr>
          <w:p w:rsidR="008A3285" w:rsidRPr="00502306" w:rsidRDefault="008A3285" w:rsidP="008A3285">
            <w:pPr>
              <w:rPr>
                <w:rStyle w:val="Strong"/>
              </w:rPr>
            </w:pPr>
            <w:r w:rsidRPr="00502306">
              <w:rPr>
                <w:rStyle w:val="Strong"/>
              </w:rPr>
              <w:t>AER draft decision</w:t>
            </w:r>
          </w:p>
        </w:tc>
        <w:tc>
          <w:tcPr>
            <w:tcW w:w="1213" w:type="dxa"/>
          </w:tcPr>
          <w:p w:rsidR="008A3285" w:rsidRPr="00502306" w:rsidRDefault="008A3285" w:rsidP="008A3285">
            <w:pPr>
              <w:cnfStyle w:val="000000000000" w:firstRow="0" w:lastRow="0" w:firstColumn="0" w:lastColumn="0" w:oddVBand="0" w:evenVBand="0" w:oddHBand="0" w:evenHBand="0" w:firstRowFirstColumn="0" w:firstRowLastColumn="0" w:lastRowFirstColumn="0" w:lastRowLastColumn="0"/>
              <w:rPr>
                <w:rStyle w:val="Strong"/>
              </w:rPr>
            </w:pPr>
          </w:p>
        </w:tc>
        <w:tc>
          <w:tcPr>
            <w:tcW w:w="1212" w:type="dxa"/>
          </w:tcPr>
          <w:p w:rsidR="008A3285" w:rsidRPr="00502306" w:rsidRDefault="008A3285" w:rsidP="008A3285">
            <w:pPr>
              <w:cnfStyle w:val="000000000000" w:firstRow="0" w:lastRow="0" w:firstColumn="0" w:lastColumn="0" w:oddVBand="0" w:evenVBand="0" w:oddHBand="0" w:evenHBand="0" w:firstRowFirstColumn="0" w:firstRowLastColumn="0" w:lastRowFirstColumn="0" w:lastRowLastColumn="0"/>
              <w:rPr>
                <w:rStyle w:val="Strong"/>
              </w:rPr>
            </w:pPr>
          </w:p>
        </w:tc>
        <w:tc>
          <w:tcPr>
            <w:tcW w:w="1213" w:type="dxa"/>
          </w:tcPr>
          <w:p w:rsidR="008A3285" w:rsidRPr="00502306" w:rsidRDefault="008A3285" w:rsidP="008A3285">
            <w:pPr>
              <w:cnfStyle w:val="000000000000" w:firstRow="0" w:lastRow="0" w:firstColumn="0" w:lastColumn="0" w:oddVBand="0" w:evenVBand="0" w:oddHBand="0" w:evenHBand="0" w:firstRowFirstColumn="0" w:firstRowLastColumn="0" w:lastRowFirstColumn="0" w:lastRowLastColumn="0"/>
              <w:rPr>
                <w:rStyle w:val="Strong"/>
              </w:rPr>
            </w:pPr>
          </w:p>
        </w:tc>
        <w:tc>
          <w:tcPr>
            <w:tcW w:w="1213" w:type="dxa"/>
          </w:tcPr>
          <w:p w:rsidR="008A3285" w:rsidRPr="00502306" w:rsidRDefault="008A3285" w:rsidP="008A3285">
            <w:pPr>
              <w:cnfStyle w:val="000000000000" w:firstRow="0" w:lastRow="0" w:firstColumn="0" w:lastColumn="0" w:oddVBand="0" w:evenVBand="0" w:oddHBand="0" w:evenHBand="0" w:firstRowFirstColumn="0" w:firstRowLastColumn="0" w:lastRowFirstColumn="0" w:lastRowLastColumn="0"/>
              <w:rPr>
                <w:rStyle w:val="Strong"/>
              </w:rPr>
            </w:pPr>
          </w:p>
        </w:tc>
        <w:tc>
          <w:tcPr>
            <w:tcW w:w="1213" w:type="dxa"/>
          </w:tcPr>
          <w:p w:rsidR="008A3285" w:rsidRPr="00502306" w:rsidRDefault="008A3285" w:rsidP="008A3285">
            <w:pPr>
              <w:cnfStyle w:val="000000000000" w:firstRow="0" w:lastRow="0" w:firstColumn="0" w:lastColumn="0" w:oddVBand="0" w:evenVBand="0" w:oddHBand="0" w:evenHBand="0" w:firstRowFirstColumn="0" w:firstRowLastColumn="0" w:lastRowFirstColumn="0" w:lastRowLastColumn="0"/>
              <w:rPr>
                <w:rStyle w:val="Strong"/>
              </w:rPr>
            </w:pPr>
          </w:p>
        </w:tc>
      </w:tr>
      <w:tr w:rsidR="008A3285" w:rsidRPr="00502306" w:rsidTr="00741727">
        <w:trPr>
          <w:cnfStyle w:val="000000010000" w:firstRow="0" w:lastRow="0" w:firstColumn="0" w:lastColumn="0" w:oddVBand="0" w:evenVBand="0" w:oddHBand="0" w:evenHBand="1"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2663" w:type="dxa"/>
          </w:tcPr>
          <w:p w:rsidR="008A3285" w:rsidRPr="008A3285" w:rsidRDefault="008A3285" w:rsidP="008A3285">
            <w:r w:rsidRPr="00FD6A21">
              <w:t>X factor</w:t>
            </w:r>
            <w:r w:rsidRPr="008A3285">
              <w:rPr>
                <w:rStyle w:val="AERsuperscript"/>
              </w:rPr>
              <w:t>a</w:t>
            </w:r>
          </w:p>
        </w:tc>
        <w:tc>
          <w:tcPr>
            <w:tcW w:w="1213" w:type="dxa"/>
          </w:tcPr>
          <w:p w:rsidR="008A3285" w:rsidRPr="00FD6A21" w:rsidRDefault="008A3285" w:rsidP="008A3285">
            <w:pPr>
              <w:cnfStyle w:val="000000010000" w:firstRow="0" w:lastRow="0" w:firstColumn="0" w:lastColumn="0" w:oddVBand="0" w:evenVBand="0" w:oddHBand="0" w:evenHBand="1" w:firstRowFirstColumn="0" w:firstRowLastColumn="0" w:lastRowFirstColumn="0" w:lastRowLastColumn="0"/>
            </w:pPr>
            <w:r w:rsidRPr="00FD6A21">
              <w:t>22.80%</w:t>
            </w:r>
          </w:p>
        </w:tc>
        <w:tc>
          <w:tcPr>
            <w:tcW w:w="1212" w:type="dxa"/>
          </w:tcPr>
          <w:p w:rsidR="008A3285" w:rsidRPr="00FD6A21" w:rsidRDefault="008A3285" w:rsidP="008A3285">
            <w:pPr>
              <w:cnfStyle w:val="000000010000" w:firstRow="0" w:lastRow="0" w:firstColumn="0" w:lastColumn="0" w:oddVBand="0" w:evenVBand="0" w:oddHBand="0" w:evenHBand="1" w:firstRowFirstColumn="0" w:firstRowLastColumn="0" w:lastRowFirstColumn="0" w:lastRowLastColumn="0"/>
            </w:pPr>
            <w:r w:rsidRPr="00FD6A21">
              <w:t>–0.77%</w:t>
            </w:r>
          </w:p>
        </w:tc>
        <w:tc>
          <w:tcPr>
            <w:tcW w:w="1213" w:type="dxa"/>
            <w:vAlign w:val="top"/>
          </w:tcPr>
          <w:p w:rsidR="008A3285" w:rsidRPr="00FD6A21" w:rsidRDefault="008A3285" w:rsidP="008A3285">
            <w:pPr>
              <w:cnfStyle w:val="000000010000" w:firstRow="0" w:lastRow="0" w:firstColumn="0" w:lastColumn="0" w:oddVBand="0" w:evenVBand="0" w:oddHBand="0" w:evenHBand="1" w:firstRowFirstColumn="0" w:firstRowLastColumn="0" w:lastRowFirstColumn="0" w:lastRowLastColumn="0"/>
            </w:pPr>
            <w:r w:rsidRPr="00FD6A21">
              <w:t>–0.77%</w:t>
            </w:r>
          </w:p>
        </w:tc>
        <w:tc>
          <w:tcPr>
            <w:tcW w:w="1213" w:type="dxa"/>
            <w:vAlign w:val="top"/>
          </w:tcPr>
          <w:p w:rsidR="008A3285" w:rsidRPr="00FD6A21" w:rsidRDefault="008A3285" w:rsidP="008A3285">
            <w:pPr>
              <w:cnfStyle w:val="000000010000" w:firstRow="0" w:lastRow="0" w:firstColumn="0" w:lastColumn="0" w:oddVBand="0" w:evenVBand="0" w:oddHBand="0" w:evenHBand="1" w:firstRowFirstColumn="0" w:firstRowLastColumn="0" w:lastRowFirstColumn="0" w:lastRowLastColumn="0"/>
            </w:pPr>
            <w:r w:rsidRPr="00FD6A21">
              <w:t>–0.77%</w:t>
            </w:r>
          </w:p>
        </w:tc>
        <w:tc>
          <w:tcPr>
            <w:tcW w:w="1213" w:type="dxa"/>
            <w:vAlign w:val="top"/>
          </w:tcPr>
          <w:p w:rsidR="008A3285" w:rsidRPr="00FD6A21" w:rsidRDefault="008A3285" w:rsidP="008A3285">
            <w:pPr>
              <w:cnfStyle w:val="000000010000" w:firstRow="0" w:lastRow="0" w:firstColumn="0" w:lastColumn="0" w:oddVBand="0" w:evenVBand="0" w:oddHBand="0" w:evenHBand="1" w:firstRowFirstColumn="0" w:firstRowLastColumn="0" w:lastRowFirstColumn="0" w:lastRowLastColumn="0"/>
            </w:pPr>
            <w:r w:rsidRPr="00FD6A21">
              <w:t>–0.77%</w:t>
            </w:r>
          </w:p>
        </w:tc>
      </w:tr>
      <w:tr w:rsidR="008A3285" w:rsidRPr="00502306" w:rsidTr="00741727">
        <w:trPr>
          <w:trHeight w:val="262"/>
        </w:trPr>
        <w:tc>
          <w:tcPr>
            <w:cnfStyle w:val="001000000000" w:firstRow="0" w:lastRow="0" w:firstColumn="1" w:lastColumn="0" w:oddVBand="0" w:evenVBand="0" w:oddHBand="0" w:evenHBand="0" w:firstRowFirstColumn="0" w:firstRowLastColumn="0" w:lastRowFirstColumn="0" w:lastRowLastColumn="0"/>
            <w:tcW w:w="2663" w:type="dxa"/>
          </w:tcPr>
          <w:p w:rsidR="008A3285" w:rsidRPr="00FD6A21" w:rsidRDefault="008A3285" w:rsidP="008A3285">
            <w:r w:rsidRPr="00FD6A21">
              <w:t>Nominal price change</w:t>
            </w:r>
          </w:p>
        </w:tc>
        <w:tc>
          <w:tcPr>
            <w:tcW w:w="1213" w:type="dxa"/>
          </w:tcPr>
          <w:p w:rsidR="008A3285" w:rsidRPr="00FD6A21" w:rsidRDefault="008A3285" w:rsidP="008A3285">
            <w:pPr>
              <w:cnfStyle w:val="000000000000" w:firstRow="0" w:lastRow="0" w:firstColumn="0" w:lastColumn="0" w:oddVBand="0" w:evenVBand="0" w:oddHBand="0" w:evenHBand="0" w:firstRowFirstColumn="0" w:firstRowLastColumn="0" w:lastRowFirstColumn="0" w:lastRowLastColumn="0"/>
            </w:pPr>
            <w:r w:rsidRPr="00FD6A21">
              <w:t>–20.87%</w:t>
            </w:r>
          </w:p>
        </w:tc>
        <w:tc>
          <w:tcPr>
            <w:tcW w:w="1212" w:type="dxa"/>
          </w:tcPr>
          <w:p w:rsidR="008A3285" w:rsidRPr="00FD6A21" w:rsidRDefault="008A3285" w:rsidP="008A3285">
            <w:pPr>
              <w:cnfStyle w:val="000000000000" w:firstRow="0" w:lastRow="0" w:firstColumn="0" w:lastColumn="0" w:oddVBand="0" w:evenVBand="0" w:oddHBand="0" w:evenHBand="0" w:firstRowFirstColumn="0" w:firstRowLastColumn="0" w:lastRowFirstColumn="0" w:lastRowLastColumn="0"/>
            </w:pPr>
            <w:r w:rsidRPr="00FD6A21">
              <w:t>3.29%</w:t>
            </w:r>
          </w:p>
        </w:tc>
        <w:tc>
          <w:tcPr>
            <w:tcW w:w="1213" w:type="dxa"/>
            <w:vAlign w:val="top"/>
          </w:tcPr>
          <w:p w:rsidR="008A3285" w:rsidRPr="00FD6A21" w:rsidRDefault="008A3285" w:rsidP="008A3285">
            <w:pPr>
              <w:cnfStyle w:val="000000000000" w:firstRow="0" w:lastRow="0" w:firstColumn="0" w:lastColumn="0" w:oddVBand="0" w:evenVBand="0" w:oddHBand="0" w:evenHBand="0" w:firstRowFirstColumn="0" w:firstRowLastColumn="0" w:lastRowFirstColumn="0" w:lastRowLastColumn="0"/>
            </w:pPr>
            <w:r w:rsidRPr="00FD6A21">
              <w:t>3.29%</w:t>
            </w:r>
          </w:p>
        </w:tc>
        <w:tc>
          <w:tcPr>
            <w:tcW w:w="1213" w:type="dxa"/>
            <w:vAlign w:val="top"/>
          </w:tcPr>
          <w:p w:rsidR="008A3285" w:rsidRPr="00FD6A21" w:rsidRDefault="008A3285" w:rsidP="008A3285">
            <w:pPr>
              <w:cnfStyle w:val="000000000000" w:firstRow="0" w:lastRow="0" w:firstColumn="0" w:lastColumn="0" w:oddVBand="0" w:evenVBand="0" w:oddHBand="0" w:evenHBand="0" w:firstRowFirstColumn="0" w:firstRowLastColumn="0" w:lastRowFirstColumn="0" w:lastRowLastColumn="0"/>
            </w:pPr>
            <w:r w:rsidRPr="00FD6A21">
              <w:t>3.29%</w:t>
            </w:r>
          </w:p>
        </w:tc>
        <w:tc>
          <w:tcPr>
            <w:tcW w:w="1213" w:type="dxa"/>
            <w:vAlign w:val="top"/>
          </w:tcPr>
          <w:p w:rsidR="008A3285" w:rsidRPr="00FD6A21" w:rsidRDefault="008A3285" w:rsidP="008A3285">
            <w:pPr>
              <w:cnfStyle w:val="000000000000" w:firstRow="0" w:lastRow="0" w:firstColumn="0" w:lastColumn="0" w:oddVBand="0" w:evenVBand="0" w:oddHBand="0" w:evenHBand="0" w:firstRowFirstColumn="0" w:firstRowLastColumn="0" w:lastRowFirstColumn="0" w:lastRowLastColumn="0"/>
            </w:pPr>
            <w:r w:rsidRPr="00FD6A21">
              <w:t>3.29%</w:t>
            </w:r>
          </w:p>
        </w:tc>
      </w:tr>
      <w:tr w:rsidR="005B21C1" w:rsidRPr="00502306" w:rsidTr="007C025A">
        <w:trPr>
          <w:cnfStyle w:val="000000010000" w:firstRow="0" w:lastRow="0" w:firstColumn="0" w:lastColumn="0" w:oddVBand="0" w:evenVBand="0" w:oddHBand="0" w:evenHBand="1"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2663" w:type="dxa"/>
          </w:tcPr>
          <w:p w:rsidR="005B21C1" w:rsidRPr="00502306" w:rsidRDefault="005B21C1" w:rsidP="0003454E">
            <w:pPr>
              <w:keepNext/>
              <w:rPr>
                <w:rStyle w:val="Strong"/>
                <w:b w:val="0"/>
                <w:color w:val="FFFFFF"/>
              </w:rPr>
            </w:pPr>
            <w:r w:rsidRPr="00502306">
              <w:rPr>
                <w:rStyle w:val="Strong"/>
              </w:rPr>
              <w:t>AGN proposal</w:t>
            </w:r>
          </w:p>
        </w:tc>
        <w:tc>
          <w:tcPr>
            <w:tcW w:w="1213" w:type="dxa"/>
          </w:tcPr>
          <w:p w:rsidR="005B21C1" w:rsidRPr="00502306" w:rsidRDefault="005B21C1" w:rsidP="0003454E">
            <w:pPr>
              <w:keepNext/>
              <w:cnfStyle w:val="000000010000" w:firstRow="0" w:lastRow="0" w:firstColumn="0" w:lastColumn="0" w:oddVBand="0" w:evenVBand="0" w:oddHBand="0" w:evenHBand="1" w:firstRowFirstColumn="0" w:firstRowLastColumn="0" w:lastRowFirstColumn="0" w:lastRowLastColumn="0"/>
              <w:rPr>
                <w:rStyle w:val="Strong"/>
                <w:b w:val="0"/>
                <w:color w:val="FFFFFF"/>
              </w:rPr>
            </w:pPr>
          </w:p>
        </w:tc>
        <w:tc>
          <w:tcPr>
            <w:tcW w:w="1212" w:type="dxa"/>
          </w:tcPr>
          <w:p w:rsidR="005B21C1" w:rsidRPr="00502306" w:rsidRDefault="005B21C1" w:rsidP="0003454E">
            <w:pPr>
              <w:keepNext/>
              <w:cnfStyle w:val="000000010000" w:firstRow="0" w:lastRow="0" w:firstColumn="0" w:lastColumn="0" w:oddVBand="0" w:evenVBand="0" w:oddHBand="0" w:evenHBand="1" w:firstRowFirstColumn="0" w:firstRowLastColumn="0" w:lastRowFirstColumn="0" w:lastRowLastColumn="0"/>
              <w:rPr>
                <w:rStyle w:val="Strong"/>
                <w:b w:val="0"/>
                <w:color w:val="FFFFFF"/>
              </w:rPr>
            </w:pPr>
          </w:p>
        </w:tc>
        <w:tc>
          <w:tcPr>
            <w:tcW w:w="1213" w:type="dxa"/>
          </w:tcPr>
          <w:p w:rsidR="005B21C1" w:rsidRPr="00502306" w:rsidRDefault="005B21C1" w:rsidP="0003454E">
            <w:pPr>
              <w:keepNext/>
              <w:cnfStyle w:val="000000010000" w:firstRow="0" w:lastRow="0" w:firstColumn="0" w:lastColumn="0" w:oddVBand="0" w:evenVBand="0" w:oddHBand="0" w:evenHBand="1" w:firstRowFirstColumn="0" w:firstRowLastColumn="0" w:lastRowFirstColumn="0" w:lastRowLastColumn="0"/>
              <w:rPr>
                <w:rStyle w:val="Strong"/>
                <w:b w:val="0"/>
                <w:color w:val="FFFFFF"/>
              </w:rPr>
            </w:pPr>
          </w:p>
        </w:tc>
        <w:tc>
          <w:tcPr>
            <w:tcW w:w="1213" w:type="dxa"/>
          </w:tcPr>
          <w:p w:rsidR="005B21C1" w:rsidRPr="00502306" w:rsidRDefault="005B21C1" w:rsidP="0003454E">
            <w:pPr>
              <w:keepNext/>
              <w:cnfStyle w:val="000000010000" w:firstRow="0" w:lastRow="0" w:firstColumn="0" w:lastColumn="0" w:oddVBand="0" w:evenVBand="0" w:oddHBand="0" w:evenHBand="1" w:firstRowFirstColumn="0" w:firstRowLastColumn="0" w:lastRowFirstColumn="0" w:lastRowLastColumn="0"/>
              <w:rPr>
                <w:rStyle w:val="Strong"/>
                <w:b w:val="0"/>
                <w:color w:val="FFFFFF"/>
              </w:rPr>
            </w:pPr>
          </w:p>
        </w:tc>
        <w:tc>
          <w:tcPr>
            <w:tcW w:w="1213" w:type="dxa"/>
          </w:tcPr>
          <w:p w:rsidR="005B21C1" w:rsidRPr="00502306" w:rsidRDefault="005B21C1" w:rsidP="0003454E">
            <w:pPr>
              <w:keepNext/>
              <w:cnfStyle w:val="000000010000" w:firstRow="0" w:lastRow="0" w:firstColumn="0" w:lastColumn="0" w:oddVBand="0" w:evenVBand="0" w:oddHBand="0" w:evenHBand="1" w:firstRowFirstColumn="0" w:firstRowLastColumn="0" w:lastRowFirstColumn="0" w:lastRowLastColumn="0"/>
              <w:rPr>
                <w:rStyle w:val="Strong"/>
                <w:b w:val="0"/>
                <w:color w:val="FFFFFF"/>
              </w:rPr>
            </w:pPr>
          </w:p>
        </w:tc>
      </w:tr>
      <w:tr w:rsidR="005B21C1" w:rsidRPr="00502306" w:rsidTr="007C025A">
        <w:trPr>
          <w:trHeight w:val="83"/>
        </w:trPr>
        <w:tc>
          <w:tcPr>
            <w:cnfStyle w:val="001000000000" w:firstRow="0" w:lastRow="0" w:firstColumn="1" w:lastColumn="0" w:oddVBand="0" w:evenVBand="0" w:oddHBand="0" w:evenHBand="0" w:firstRowFirstColumn="0" w:firstRowLastColumn="0" w:lastRowFirstColumn="0" w:lastRowLastColumn="0"/>
            <w:tcW w:w="2663" w:type="dxa"/>
          </w:tcPr>
          <w:p w:rsidR="005B21C1" w:rsidRPr="00502306" w:rsidRDefault="005B21C1" w:rsidP="0003454E">
            <w:pPr>
              <w:keepNext/>
            </w:pPr>
            <w:r w:rsidRPr="00502306">
              <w:t>X factor</w:t>
            </w:r>
            <w:r w:rsidRPr="00502306">
              <w:rPr>
                <w:rStyle w:val="AERsuperscript"/>
              </w:rPr>
              <w:t>a</w:t>
            </w:r>
          </w:p>
        </w:tc>
        <w:tc>
          <w:tcPr>
            <w:tcW w:w="1213" w:type="dxa"/>
          </w:tcPr>
          <w:p w:rsidR="005B21C1" w:rsidRPr="00502306" w:rsidRDefault="005B21C1" w:rsidP="0003454E">
            <w:pPr>
              <w:keepNext/>
              <w:cnfStyle w:val="000000000000" w:firstRow="0" w:lastRow="0" w:firstColumn="0" w:lastColumn="0" w:oddVBand="0" w:evenVBand="0" w:oddHBand="0" w:evenHBand="0" w:firstRowFirstColumn="0" w:firstRowLastColumn="0" w:lastRowFirstColumn="0" w:lastRowLastColumn="0"/>
            </w:pPr>
            <w:r w:rsidRPr="00502306">
              <w:t>11.38%</w:t>
            </w:r>
          </w:p>
        </w:tc>
        <w:tc>
          <w:tcPr>
            <w:tcW w:w="1212" w:type="dxa"/>
          </w:tcPr>
          <w:p w:rsidR="005B21C1" w:rsidRPr="00502306" w:rsidRDefault="005B21C1" w:rsidP="0003454E">
            <w:pPr>
              <w:keepNext/>
              <w:cnfStyle w:val="000000000000" w:firstRow="0" w:lastRow="0" w:firstColumn="0" w:lastColumn="0" w:oddVBand="0" w:evenVBand="0" w:oddHBand="0" w:evenHBand="0" w:firstRowFirstColumn="0" w:firstRowLastColumn="0" w:lastRowFirstColumn="0" w:lastRowLastColumn="0"/>
            </w:pPr>
            <w:r w:rsidRPr="00502306">
              <w:t>–5</w:t>
            </w:r>
            <w:r w:rsidR="00D279C3">
              <w:t>.00</w:t>
            </w:r>
            <w:r w:rsidRPr="00502306">
              <w:t>%</w:t>
            </w:r>
          </w:p>
        </w:tc>
        <w:tc>
          <w:tcPr>
            <w:tcW w:w="1213" w:type="dxa"/>
            <w:vAlign w:val="top"/>
          </w:tcPr>
          <w:p w:rsidR="005B21C1" w:rsidRPr="00502306" w:rsidRDefault="005B21C1" w:rsidP="0003454E">
            <w:pPr>
              <w:keepNext/>
              <w:cnfStyle w:val="000000000000" w:firstRow="0" w:lastRow="0" w:firstColumn="0" w:lastColumn="0" w:oddVBand="0" w:evenVBand="0" w:oddHBand="0" w:evenHBand="0" w:firstRowFirstColumn="0" w:firstRowLastColumn="0" w:lastRowFirstColumn="0" w:lastRowLastColumn="0"/>
            </w:pPr>
            <w:r w:rsidRPr="00502306">
              <w:t>–5</w:t>
            </w:r>
            <w:r w:rsidR="00D279C3">
              <w:t>.00</w:t>
            </w:r>
            <w:r w:rsidRPr="00502306">
              <w:t>%</w:t>
            </w:r>
          </w:p>
        </w:tc>
        <w:tc>
          <w:tcPr>
            <w:tcW w:w="1213" w:type="dxa"/>
            <w:vAlign w:val="top"/>
          </w:tcPr>
          <w:p w:rsidR="005B21C1" w:rsidRPr="00502306" w:rsidRDefault="005B21C1" w:rsidP="0003454E">
            <w:pPr>
              <w:keepNext/>
              <w:cnfStyle w:val="000000000000" w:firstRow="0" w:lastRow="0" w:firstColumn="0" w:lastColumn="0" w:oddVBand="0" w:evenVBand="0" w:oddHBand="0" w:evenHBand="0" w:firstRowFirstColumn="0" w:firstRowLastColumn="0" w:lastRowFirstColumn="0" w:lastRowLastColumn="0"/>
            </w:pPr>
            <w:r w:rsidRPr="00502306">
              <w:t>–5</w:t>
            </w:r>
            <w:r w:rsidR="00D279C3">
              <w:t>.00</w:t>
            </w:r>
            <w:r w:rsidRPr="00502306">
              <w:t>%</w:t>
            </w:r>
          </w:p>
        </w:tc>
        <w:tc>
          <w:tcPr>
            <w:tcW w:w="1213" w:type="dxa"/>
            <w:vAlign w:val="top"/>
          </w:tcPr>
          <w:p w:rsidR="005B21C1" w:rsidRPr="00502306" w:rsidRDefault="005B21C1" w:rsidP="0003454E">
            <w:pPr>
              <w:keepNext/>
              <w:cnfStyle w:val="000000000000" w:firstRow="0" w:lastRow="0" w:firstColumn="0" w:lastColumn="0" w:oddVBand="0" w:evenVBand="0" w:oddHBand="0" w:evenHBand="0" w:firstRowFirstColumn="0" w:firstRowLastColumn="0" w:lastRowFirstColumn="0" w:lastRowLastColumn="0"/>
            </w:pPr>
            <w:r w:rsidRPr="00502306">
              <w:t>–5</w:t>
            </w:r>
            <w:r w:rsidR="00D279C3">
              <w:t>.00</w:t>
            </w:r>
            <w:r w:rsidRPr="00502306">
              <w:t>%</w:t>
            </w:r>
          </w:p>
        </w:tc>
      </w:tr>
      <w:tr w:rsidR="005B21C1" w:rsidRPr="00502306" w:rsidTr="007C025A">
        <w:trPr>
          <w:cnfStyle w:val="000000010000" w:firstRow="0" w:lastRow="0" w:firstColumn="0" w:lastColumn="0" w:oddVBand="0" w:evenVBand="0" w:oddHBand="0" w:evenHBand="1"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2663" w:type="dxa"/>
          </w:tcPr>
          <w:p w:rsidR="005B21C1" w:rsidRPr="00502306" w:rsidRDefault="005B21C1" w:rsidP="0003454E">
            <w:pPr>
              <w:keepNext/>
            </w:pPr>
            <w:r w:rsidRPr="00502306">
              <w:t>Nominal price change</w:t>
            </w:r>
          </w:p>
        </w:tc>
        <w:tc>
          <w:tcPr>
            <w:tcW w:w="1213" w:type="dxa"/>
          </w:tcPr>
          <w:p w:rsidR="005B21C1" w:rsidRPr="00502306" w:rsidRDefault="00D279C3" w:rsidP="0003454E">
            <w:pPr>
              <w:keepNext/>
              <w:cnfStyle w:val="000000010000" w:firstRow="0" w:lastRow="0" w:firstColumn="0" w:lastColumn="0" w:oddVBand="0" w:evenVBand="0" w:oddHBand="0" w:evenHBand="1" w:firstRowFirstColumn="0" w:firstRowLastColumn="0" w:lastRowFirstColumn="0" w:lastRowLastColumn="0"/>
            </w:pPr>
            <w:r>
              <w:t>–9.16</w:t>
            </w:r>
            <w:r w:rsidR="005B21C1" w:rsidRPr="00502306">
              <w:t>%</w:t>
            </w:r>
          </w:p>
        </w:tc>
        <w:tc>
          <w:tcPr>
            <w:tcW w:w="1212" w:type="dxa"/>
          </w:tcPr>
          <w:p w:rsidR="005B21C1" w:rsidRPr="00502306" w:rsidRDefault="005B21C1" w:rsidP="0003454E">
            <w:pPr>
              <w:keepNext/>
              <w:cnfStyle w:val="000000010000" w:firstRow="0" w:lastRow="0" w:firstColumn="0" w:lastColumn="0" w:oddVBand="0" w:evenVBand="0" w:oddHBand="0" w:evenHBand="1" w:firstRowFirstColumn="0" w:firstRowLastColumn="0" w:lastRowFirstColumn="0" w:lastRowLastColumn="0"/>
            </w:pPr>
            <w:r w:rsidRPr="00502306">
              <w:t>7.6</w:t>
            </w:r>
            <w:r w:rsidR="00D279C3">
              <w:t>2</w:t>
            </w:r>
            <w:r w:rsidRPr="00502306">
              <w:t>%</w:t>
            </w:r>
          </w:p>
        </w:tc>
        <w:tc>
          <w:tcPr>
            <w:tcW w:w="1213" w:type="dxa"/>
            <w:vAlign w:val="top"/>
          </w:tcPr>
          <w:p w:rsidR="005B21C1" w:rsidRPr="00502306" w:rsidRDefault="005B21C1" w:rsidP="0003454E">
            <w:pPr>
              <w:keepNext/>
              <w:cnfStyle w:val="000000010000" w:firstRow="0" w:lastRow="0" w:firstColumn="0" w:lastColumn="0" w:oddVBand="0" w:evenVBand="0" w:oddHBand="0" w:evenHBand="1" w:firstRowFirstColumn="0" w:firstRowLastColumn="0" w:lastRowFirstColumn="0" w:lastRowLastColumn="0"/>
            </w:pPr>
            <w:r w:rsidRPr="00502306">
              <w:t>7.6</w:t>
            </w:r>
            <w:r w:rsidR="00D279C3">
              <w:t>2</w:t>
            </w:r>
            <w:r w:rsidRPr="00502306">
              <w:t>%</w:t>
            </w:r>
          </w:p>
        </w:tc>
        <w:tc>
          <w:tcPr>
            <w:tcW w:w="1213" w:type="dxa"/>
            <w:vAlign w:val="top"/>
          </w:tcPr>
          <w:p w:rsidR="005B21C1" w:rsidRPr="00502306" w:rsidRDefault="005B21C1" w:rsidP="0003454E">
            <w:pPr>
              <w:keepNext/>
              <w:cnfStyle w:val="000000010000" w:firstRow="0" w:lastRow="0" w:firstColumn="0" w:lastColumn="0" w:oddVBand="0" w:evenVBand="0" w:oddHBand="0" w:evenHBand="1" w:firstRowFirstColumn="0" w:firstRowLastColumn="0" w:lastRowFirstColumn="0" w:lastRowLastColumn="0"/>
            </w:pPr>
            <w:r w:rsidRPr="00502306">
              <w:t>7.6</w:t>
            </w:r>
            <w:r w:rsidR="00D279C3">
              <w:t>2</w:t>
            </w:r>
            <w:r w:rsidRPr="00502306">
              <w:t>%</w:t>
            </w:r>
          </w:p>
        </w:tc>
        <w:tc>
          <w:tcPr>
            <w:tcW w:w="1213" w:type="dxa"/>
            <w:vAlign w:val="top"/>
          </w:tcPr>
          <w:p w:rsidR="005B21C1" w:rsidRPr="00502306" w:rsidRDefault="005B21C1" w:rsidP="0003454E">
            <w:pPr>
              <w:keepNext/>
              <w:cnfStyle w:val="000000010000" w:firstRow="0" w:lastRow="0" w:firstColumn="0" w:lastColumn="0" w:oddVBand="0" w:evenVBand="0" w:oddHBand="0" w:evenHBand="1" w:firstRowFirstColumn="0" w:firstRowLastColumn="0" w:lastRowFirstColumn="0" w:lastRowLastColumn="0"/>
            </w:pPr>
            <w:r w:rsidRPr="00502306">
              <w:t>7.6</w:t>
            </w:r>
            <w:r w:rsidR="00D279C3">
              <w:t>2</w:t>
            </w:r>
            <w:r w:rsidRPr="00502306">
              <w:t>%</w:t>
            </w:r>
          </w:p>
        </w:tc>
      </w:tr>
    </w:tbl>
    <w:p w:rsidR="005B21C1" w:rsidRDefault="005B21C1" w:rsidP="0003454E">
      <w:pPr>
        <w:pStyle w:val="AERtablesource"/>
        <w:keepNext/>
      </w:pPr>
      <w:r w:rsidRPr="007A5A6C">
        <w:rPr>
          <w:rFonts w:eastAsia="Calibri"/>
        </w:rPr>
        <w:t xml:space="preserve">Source: </w:t>
      </w:r>
      <w:r w:rsidRPr="007A5A6C">
        <w:rPr>
          <w:rFonts w:eastAsia="Calibri"/>
        </w:rPr>
        <w:tab/>
      </w:r>
      <w:r>
        <w:rPr>
          <w:rFonts w:eastAsia="Calibri"/>
        </w:rPr>
        <w:t>AGN</w:t>
      </w:r>
      <w:r w:rsidRPr="007A5A6C">
        <w:rPr>
          <w:rFonts w:eastAsia="Calibri"/>
        </w:rPr>
        <w:t xml:space="preserve">, </w:t>
      </w:r>
      <w:r w:rsidRPr="007B2A6A">
        <w:rPr>
          <w:rStyle w:val="AERtextitalic"/>
          <w:rFonts w:eastAsia="Calibri"/>
        </w:rPr>
        <w:t>Access arrangement information</w:t>
      </w:r>
      <w:r w:rsidRPr="007A5A6C">
        <w:rPr>
          <w:rFonts w:eastAsia="Calibri"/>
        </w:rPr>
        <w:t xml:space="preserve">, </w:t>
      </w:r>
      <w:r>
        <w:rPr>
          <w:rFonts w:eastAsia="Calibri"/>
        </w:rPr>
        <w:t>July</w:t>
      </w:r>
      <w:r w:rsidRPr="007A5A6C">
        <w:rPr>
          <w:rFonts w:eastAsia="Calibri"/>
        </w:rPr>
        <w:t xml:space="preserve"> 2015, p.</w:t>
      </w:r>
      <w:r>
        <w:rPr>
          <w:rFonts w:eastAsia="Calibri"/>
        </w:rPr>
        <w:t xml:space="preserve"> 214</w:t>
      </w:r>
      <w:r w:rsidRPr="007A5A6C">
        <w:rPr>
          <w:rFonts w:eastAsia="Calibri"/>
        </w:rPr>
        <w:t xml:space="preserve">; </w:t>
      </w:r>
      <w:r w:rsidRPr="00EF51EE">
        <w:t>AER analysis.</w:t>
      </w:r>
    </w:p>
    <w:p w:rsidR="005B21C1" w:rsidRPr="00EF51EE" w:rsidRDefault="00502306" w:rsidP="0003454E">
      <w:pPr>
        <w:pStyle w:val="AERtablesource"/>
        <w:keepNext/>
      </w:pPr>
      <w:r>
        <w:t>(</w:t>
      </w:r>
      <w:r w:rsidR="005B21C1">
        <w:t>a</w:t>
      </w:r>
      <w:r>
        <w:t>)</w:t>
      </w:r>
      <w:r w:rsidR="005B21C1" w:rsidRPr="00D2764A">
        <w:tab/>
        <w:t>Under the CPI</w:t>
      </w:r>
      <w:r w:rsidR="005B21C1">
        <w:t>–</w:t>
      </w:r>
      <w:r w:rsidR="005B21C1" w:rsidRPr="00D2764A">
        <w:t xml:space="preserve">X form of control, a </w:t>
      </w:r>
      <w:r w:rsidR="005B21C1">
        <w:t>positive</w:t>
      </w:r>
      <w:r w:rsidR="005B21C1" w:rsidRPr="00D2764A">
        <w:t xml:space="preserve"> X factor is a</w:t>
      </w:r>
      <w:r w:rsidR="005B21C1">
        <w:t xml:space="preserve"> decrease</w:t>
      </w:r>
      <w:r w:rsidR="005B21C1" w:rsidRPr="00D2764A">
        <w:t xml:space="preserve"> in price (and therefore</w:t>
      </w:r>
      <w:r w:rsidR="005B21C1">
        <w:t xml:space="preserve"> in</w:t>
      </w:r>
      <w:r w:rsidR="005B21C1" w:rsidRPr="00D2764A">
        <w:t xml:space="preserve"> revenue). For example, an X factor of </w:t>
      </w:r>
      <w:r w:rsidR="005B21C1">
        <w:t>–5</w:t>
      </w:r>
      <w:r w:rsidR="00E72608">
        <w:t>.00</w:t>
      </w:r>
      <w:r w:rsidR="005B21C1">
        <w:t xml:space="preserve"> </w:t>
      </w:r>
      <w:r w:rsidR="005B21C1" w:rsidRPr="00D2764A">
        <w:t>per cent in 201</w:t>
      </w:r>
      <w:r w:rsidR="005B21C1">
        <w:t>7</w:t>
      </w:r>
      <w:r w:rsidR="005B21C1" w:rsidRPr="00D2764A">
        <w:t>–1</w:t>
      </w:r>
      <w:r w:rsidR="005B21C1">
        <w:t>8 means a real price in</w:t>
      </w:r>
      <w:r w:rsidR="005B21C1" w:rsidRPr="00D2764A">
        <w:t xml:space="preserve">crease of </w:t>
      </w:r>
      <w:r w:rsidR="005B21C1">
        <w:t>5</w:t>
      </w:r>
      <w:r w:rsidR="00E72608">
        <w:t>.00</w:t>
      </w:r>
      <w:r w:rsidR="005B21C1" w:rsidRPr="00D2764A">
        <w:t xml:space="preserve"> per cent that year. After consideration of inflation (assumed at </w:t>
      </w:r>
      <w:r w:rsidR="005B21C1">
        <w:t>2.5</w:t>
      </w:r>
      <w:r w:rsidR="00E72608">
        <w:t>0</w:t>
      </w:r>
      <w:r w:rsidR="005B21C1" w:rsidRPr="00D2764A">
        <w:t xml:space="preserve"> per cent) this becomes a nominal price </w:t>
      </w:r>
      <w:r w:rsidR="005B21C1">
        <w:t>increase</w:t>
      </w:r>
      <w:r w:rsidR="005B21C1" w:rsidRPr="00D2764A">
        <w:t xml:space="preserve"> of </w:t>
      </w:r>
      <w:r w:rsidR="005B21C1">
        <w:t>7.6</w:t>
      </w:r>
      <w:r w:rsidR="00E72608">
        <w:t>2</w:t>
      </w:r>
      <w:r w:rsidR="005B21C1">
        <w:t xml:space="preserve"> </w:t>
      </w:r>
      <w:r w:rsidR="005B21C1" w:rsidRPr="00D2764A">
        <w:t>per cent.</w:t>
      </w:r>
    </w:p>
    <w:p w:rsidR="005B21C1" w:rsidRDefault="00474C01" w:rsidP="005B21C1">
      <w:pPr>
        <w:numPr>
          <w:ilvl w:val="0"/>
          <w:numId w:val="24"/>
        </w:numPr>
        <w:rPr>
          <w:rStyle w:val="AERbody"/>
        </w:rPr>
      </w:pPr>
      <w:r>
        <w:rPr>
          <w:rStyle w:val="AERbody"/>
        </w:rPr>
        <w:fldChar w:fldCharType="begin"/>
      </w:r>
      <w:r>
        <w:rPr>
          <w:rStyle w:val="AERbody"/>
        </w:rPr>
        <w:instrText xml:space="preserve"> REF _Ref433876113 \h </w:instrText>
      </w:r>
      <w:r>
        <w:rPr>
          <w:rStyle w:val="AERbody"/>
        </w:rPr>
      </w:r>
      <w:r>
        <w:rPr>
          <w:rStyle w:val="AERbody"/>
        </w:rPr>
        <w:fldChar w:fldCharType="separate"/>
      </w:r>
      <w:r w:rsidR="00E90DAD">
        <w:t xml:space="preserve">Figure </w:t>
      </w:r>
      <w:r w:rsidR="00E90DAD">
        <w:rPr>
          <w:noProof/>
        </w:rPr>
        <w:t>6</w:t>
      </w:r>
      <w:r>
        <w:rPr>
          <w:rStyle w:val="AERbody"/>
        </w:rPr>
        <w:fldChar w:fldCharType="end"/>
      </w:r>
      <w:r>
        <w:rPr>
          <w:rStyle w:val="AERbody"/>
        </w:rPr>
        <w:t xml:space="preserve"> </w:t>
      </w:r>
      <w:r w:rsidR="005B21C1">
        <w:rPr>
          <w:rStyle w:val="AERbody"/>
        </w:rPr>
        <w:t xml:space="preserve">shows indicative tariff paths for AGN's reference services across the 2011–21 period. It compares </w:t>
      </w:r>
      <w:r w:rsidR="008A3285">
        <w:rPr>
          <w:rStyle w:val="AERbody"/>
        </w:rPr>
        <w:t xml:space="preserve">AGN's </w:t>
      </w:r>
      <w:r w:rsidR="005B21C1">
        <w:rPr>
          <w:rStyle w:val="AERbody"/>
        </w:rPr>
        <w:t>proposed tariff path with th</w:t>
      </w:r>
      <w:r w:rsidR="008A3285">
        <w:rPr>
          <w:rStyle w:val="AERbody"/>
        </w:rPr>
        <w:t>at</w:t>
      </w:r>
      <w:r w:rsidR="005B21C1">
        <w:rPr>
          <w:rStyle w:val="AERbody"/>
        </w:rPr>
        <w:t xml:space="preserve"> approved in the 2011–16 access arrangement</w:t>
      </w:r>
      <w:r w:rsidR="008A3285">
        <w:rPr>
          <w:rStyle w:val="AERbody"/>
        </w:rPr>
        <w:t>,</w:t>
      </w:r>
      <w:r w:rsidR="005B21C1">
        <w:rPr>
          <w:rStyle w:val="AERbody"/>
        </w:rPr>
        <w:t xml:space="preserve"> and </w:t>
      </w:r>
      <w:r w:rsidR="008A3285">
        <w:rPr>
          <w:rStyle w:val="AERbody"/>
        </w:rPr>
        <w:t xml:space="preserve">with </w:t>
      </w:r>
      <w:r w:rsidR="005B21C1">
        <w:rPr>
          <w:rStyle w:val="AERbody"/>
        </w:rPr>
        <w:t>this draft decision.</w:t>
      </w:r>
      <w:r w:rsidR="005B21C1">
        <w:rPr>
          <w:rStyle w:val="FootnoteReference"/>
        </w:rPr>
        <w:footnoteReference w:id="25"/>
      </w:r>
      <w:r w:rsidR="005B21C1">
        <w:rPr>
          <w:rStyle w:val="AERbody"/>
        </w:rPr>
        <w:t xml:space="preserve"> This provides a broad </w:t>
      </w:r>
      <w:r w:rsidR="00BA48D1">
        <w:rPr>
          <w:rStyle w:val="AERbody"/>
        </w:rPr>
        <w:t xml:space="preserve">overall </w:t>
      </w:r>
      <w:r w:rsidR="005B21C1">
        <w:rPr>
          <w:rStyle w:val="AERbody"/>
        </w:rPr>
        <w:t>indication of the average movement across this period.</w:t>
      </w:r>
    </w:p>
    <w:p w:rsidR="005B21C1" w:rsidRPr="0080422F" w:rsidRDefault="00474C01" w:rsidP="00474C01">
      <w:pPr>
        <w:pStyle w:val="Caption"/>
      </w:pPr>
      <w:bookmarkStart w:id="70" w:name="_Ref433876088"/>
      <w:bookmarkStart w:id="71" w:name="_Ref433876113"/>
      <w:r>
        <w:t>Figure</w:t>
      </w:r>
      <w:bookmarkEnd w:id="70"/>
      <w:r>
        <w:t xml:space="preserve"> </w:t>
      </w:r>
      <w:fldSimple w:instr=" SEQ Figure \* ARABIC ">
        <w:r w:rsidR="00E90DAD">
          <w:rPr>
            <w:noProof/>
          </w:rPr>
          <w:t>6</w:t>
        </w:r>
      </w:fldSimple>
      <w:bookmarkEnd w:id="71"/>
      <w:r w:rsidR="005B21C1" w:rsidRPr="0080422F">
        <w:tab/>
        <w:t xml:space="preserve">Indicative reference tariff paths for </w:t>
      </w:r>
      <w:r w:rsidR="005B21C1">
        <w:t>AGN</w:t>
      </w:r>
      <w:r w:rsidR="005B21C1" w:rsidRPr="0080422F">
        <w:t>'s reference services from 201</w:t>
      </w:r>
      <w:r w:rsidR="005B21C1">
        <w:t>1</w:t>
      </w:r>
      <w:r w:rsidR="005B21C1" w:rsidRPr="0080422F">
        <w:t xml:space="preserve"> to 202</w:t>
      </w:r>
      <w:r w:rsidR="005B21C1">
        <w:t>1</w:t>
      </w:r>
      <w:r w:rsidR="005B21C1" w:rsidRPr="0080422F">
        <w:t xml:space="preserve"> (nominal index)</w:t>
      </w:r>
    </w:p>
    <w:p w:rsidR="00155C38" w:rsidRDefault="008830A7" w:rsidP="005B21C1">
      <w:pPr>
        <w:pStyle w:val="AERtablesource"/>
        <w:rPr>
          <w:rFonts w:eastAsia="Calibri"/>
        </w:rPr>
      </w:pPr>
      <w:r>
        <w:rPr>
          <w:rFonts w:eastAsia="Calibri"/>
          <w:noProof/>
          <w:lang w:eastAsia="en-AU"/>
        </w:rPr>
        <w:drawing>
          <wp:inline distT="0" distB="0" distL="0" distR="0" wp14:anchorId="63DF7882" wp14:editId="0F1F0439">
            <wp:extent cx="5476817" cy="343790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77030" cy="3438041"/>
                    </a:xfrm>
                    <a:prstGeom prst="rect">
                      <a:avLst/>
                    </a:prstGeom>
                    <a:noFill/>
                  </pic:spPr>
                </pic:pic>
              </a:graphicData>
            </a:graphic>
          </wp:inline>
        </w:drawing>
      </w:r>
    </w:p>
    <w:p w:rsidR="005B21C1" w:rsidRPr="007A5A6C" w:rsidRDefault="005B21C1" w:rsidP="005B21C1">
      <w:pPr>
        <w:pStyle w:val="AERtablesource"/>
        <w:rPr>
          <w:rFonts w:eastAsia="Calibri"/>
        </w:rPr>
      </w:pPr>
      <w:r w:rsidRPr="007A5A6C">
        <w:rPr>
          <w:rFonts w:eastAsia="Calibri"/>
        </w:rPr>
        <w:t xml:space="preserve">Source: </w:t>
      </w:r>
      <w:r w:rsidRPr="007A5A6C">
        <w:rPr>
          <w:rFonts w:eastAsia="Calibri"/>
        </w:rPr>
        <w:tab/>
      </w:r>
      <w:r>
        <w:t>AER analysis;</w:t>
      </w:r>
      <w:r w:rsidRPr="0080422F">
        <w:t xml:space="preserve"> </w:t>
      </w:r>
      <w:r>
        <w:t>AGN</w:t>
      </w:r>
      <w:r w:rsidRPr="0080422F">
        <w:t xml:space="preserve">, </w:t>
      </w:r>
      <w:r w:rsidRPr="007B51EF">
        <w:rPr>
          <w:rStyle w:val="AERtextitalic"/>
        </w:rPr>
        <w:t>Access arrangement information</w:t>
      </w:r>
      <w:r w:rsidRPr="0080422F">
        <w:t xml:space="preserve">, </w:t>
      </w:r>
      <w:r>
        <w:t>July</w:t>
      </w:r>
      <w:r w:rsidRPr="0080422F">
        <w:t xml:space="preserve"> 201</w:t>
      </w:r>
      <w:r>
        <w:t>5</w:t>
      </w:r>
      <w:r w:rsidRPr="0080422F">
        <w:t xml:space="preserve">, p. </w:t>
      </w:r>
      <w:r>
        <w:t>214</w:t>
      </w:r>
      <w:r w:rsidRPr="0080422F">
        <w:t xml:space="preserve">. </w:t>
      </w:r>
    </w:p>
    <w:p w:rsidR="00BA48D1" w:rsidRDefault="00BA48D1" w:rsidP="00BA48D1">
      <w:pPr>
        <w:numPr>
          <w:ilvl w:val="0"/>
          <w:numId w:val="24"/>
        </w:numPr>
        <w:rPr>
          <w:rStyle w:val="AERbody"/>
        </w:rPr>
      </w:pPr>
      <w:r>
        <w:rPr>
          <w:rStyle w:val="AERbody"/>
        </w:rPr>
        <w:t>AGN’s</w:t>
      </w:r>
      <w:r w:rsidRPr="00A60C12">
        <w:rPr>
          <w:rStyle w:val="AERbody"/>
        </w:rPr>
        <w:t xml:space="preserve"> proposed </w:t>
      </w:r>
      <w:r>
        <w:rPr>
          <w:rStyle w:val="AERbody"/>
        </w:rPr>
        <w:t xml:space="preserve">tariff </w:t>
      </w:r>
      <w:r w:rsidRPr="00A60C12">
        <w:rPr>
          <w:rStyle w:val="AERbody"/>
        </w:rPr>
        <w:t>path</w:t>
      </w:r>
      <w:r>
        <w:rPr>
          <w:rStyle w:val="AERbody"/>
        </w:rPr>
        <w:t xml:space="preserve"> reflected a de</w:t>
      </w:r>
      <w:r w:rsidRPr="00A60C12">
        <w:rPr>
          <w:rStyle w:val="AERbody"/>
        </w:rPr>
        <w:t>crease</w:t>
      </w:r>
      <w:r>
        <w:rPr>
          <w:rStyle w:val="AERbody"/>
        </w:rPr>
        <w:t xml:space="preserve"> of 9.16 per cent (in nominal terms) in 2016–17, followed by tariffs that increase at 7.62 per </w:t>
      </w:r>
      <w:r w:rsidR="00C01149">
        <w:rPr>
          <w:rStyle w:val="AERbody"/>
        </w:rPr>
        <w:t>cent for</w:t>
      </w:r>
      <w:r>
        <w:rPr>
          <w:rStyle w:val="AERbody"/>
        </w:rPr>
        <w:t xml:space="preserve"> each subsequent year of the 2016–21 access arrangement period</w:t>
      </w:r>
      <w:r w:rsidRPr="00A60C12">
        <w:rPr>
          <w:rStyle w:val="AERbody"/>
        </w:rPr>
        <w:t>.</w:t>
      </w:r>
      <w:r>
        <w:rPr>
          <w:rStyle w:val="AERbody"/>
        </w:rPr>
        <w:t xml:space="preserve"> </w:t>
      </w:r>
      <w:r w:rsidRPr="00A60C12">
        <w:rPr>
          <w:rStyle w:val="AERbody"/>
        </w:rPr>
        <w:t>Our draft decision pro</w:t>
      </w:r>
      <w:r>
        <w:rPr>
          <w:rStyle w:val="AERbody"/>
        </w:rPr>
        <w:t>vides for</w:t>
      </w:r>
      <w:r w:rsidRPr="00A60C12">
        <w:rPr>
          <w:rStyle w:val="AERbody"/>
        </w:rPr>
        <w:t xml:space="preserve"> lower total smoothed revenue than </w:t>
      </w:r>
      <w:r>
        <w:rPr>
          <w:rStyle w:val="AERbody"/>
        </w:rPr>
        <w:t>AGN'</w:t>
      </w:r>
      <w:r w:rsidRPr="00A60C12">
        <w:rPr>
          <w:rStyle w:val="AERbody"/>
        </w:rPr>
        <w:t xml:space="preserve">s proposal, in line with our reductions to total unsmoothed revenue. </w:t>
      </w:r>
      <w:r>
        <w:rPr>
          <w:rStyle w:val="AERbody"/>
        </w:rPr>
        <w:t xml:space="preserve">As such, a decrease to the tariff path is required over the </w:t>
      </w:r>
      <w:r w:rsidR="00986F00">
        <w:rPr>
          <w:rStyle w:val="AERbody"/>
        </w:rPr>
        <w:br/>
      </w:r>
      <w:r>
        <w:rPr>
          <w:rStyle w:val="AERbody"/>
        </w:rPr>
        <w:t xml:space="preserve">2016–21 access arrangement period to reflect the lower smoothed revenue than provided for in the 2011–16 access arrangement period. </w:t>
      </w:r>
      <w:r w:rsidRPr="00A60C12">
        <w:rPr>
          <w:rStyle w:val="AERbody"/>
        </w:rPr>
        <w:t xml:space="preserve">Our draft decision </w:t>
      </w:r>
      <w:r>
        <w:rPr>
          <w:rStyle w:val="AERbody"/>
        </w:rPr>
        <w:t xml:space="preserve">tariff </w:t>
      </w:r>
      <w:r w:rsidRPr="00A60C12">
        <w:rPr>
          <w:rStyle w:val="AERbody"/>
        </w:rPr>
        <w:t xml:space="preserve">path </w:t>
      </w:r>
      <w:r>
        <w:rPr>
          <w:rStyle w:val="AERbody"/>
        </w:rPr>
        <w:t>shows</w:t>
      </w:r>
      <w:r w:rsidRPr="00A60C12">
        <w:rPr>
          <w:rStyle w:val="AERbody"/>
        </w:rPr>
        <w:t xml:space="preserve"> a decrease</w:t>
      </w:r>
      <w:r>
        <w:rPr>
          <w:rStyle w:val="AERbody"/>
        </w:rPr>
        <w:t xml:space="preserve"> of 20.87 per cent</w:t>
      </w:r>
      <w:r w:rsidRPr="00A60C12">
        <w:rPr>
          <w:rStyle w:val="AERbody"/>
        </w:rPr>
        <w:t xml:space="preserve"> in </w:t>
      </w:r>
      <w:r>
        <w:rPr>
          <w:rStyle w:val="AERbody"/>
        </w:rPr>
        <w:t>tariffs</w:t>
      </w:r>
      <w:r w:rsidRPr="00A60C12">
        <w:rPr>
          <w:rStyle w:val="AERbody"/>
        </w:rPr>
        <w:t xml:space="preserve"> </w:t>
      </w:r>
      <w:r>
        <w:rPr>
          <w:rStyle w:val="AERbody"/>
        </w:rPr>
        <w:t>(in nominal terms) in 2016–17, followed by an increase of 3.29 per cent for each subsequent year of the 2016–21 access arrangement period.</w:t>
      </w:r>
    </w:p>
    <w:p w:rsidR="00570509" w:rsidRDefault="00570509" w:rsidP="00570509">
      <w:pPr>
        <w:rPr>
          <w:rStyle w:val="AERbody"/>
        </w:rPr>
      </w:pPr>
      <w:r>
        <w:rPr>
          <w:rStyle w:val="AERbody"/>
        </w:rPr>
        <w:t>In choosing the smoothing profile for this draft decision we have balanced a number of competing objectives:</w:t>
      </w:r>
    </w:p>
    <w:p w:rsidR="00570509" w:rsidRDefault="00570509" w:rsidP="00570509">
      <w:pPr>
        <w:pStyle w:val="AERbulletlistfirststyle"/>
        <w:rPr>
          <w:rStyle w:val="AERbody"/>
        </w:rPr>
      </w:pPr>
      <w:r>
        <w:rPr>
          <w:rStyle w:val="AERbody"/>
        </w:rPr>
        <w:t>Equalising (in NPV terms) unsmoothed and smoothed revenue</w:t>
      </w:r>
    </w:p>
    <w:p w:rsidR="00570509" w:rsidRDefault="00570509" w:rsidP="00570509">
      <w:pPr>
        <w:pStyle w:val="AERbulletlistfirststyle"/>
        <w:rPr>
          <w:rStyle w:val="AERbody"/>
        </w:rPr>
      </w:pPr>
      <w:r>
        <w:rPr>
          <w:rStyle w:val="AERbody"/>
        </w:rPr>
        <w:t>Providing price signals that reflect the underlying efficient costs</w:t>
      </w:r>
    </w:p>
    <w:p w:rsidR="00570509" w:rsidRDefault="00570509" w:rsidP="00570509">
      <w:pPr>
        <w:pStyle w:val="AERbulletlistfirststyle"/>
        <w:rPr>
          <w:rStyle w:val="AERbody"/>
        </w:rPr>
      </w:pPr>
      <w:r>
        <w:rPr>
          <w:rStyle w:val="AERbody"/>
        </w:rPr>
        <w:t>Minimising variability in tariffs in 2015–16 and within the 2016–21 access arrangement period</w:t>
      </w:r>
    </w:p>
    <w:p w:rsidR="00570509" w:rsidRDefault="00570509" w:rsidP="00570509">
      <w:pPr>
        <w:pStyle w:val="AERbulletlistfirststyle"/>
        <w:rPr>
          <w:rStyle w:val="AERbody"/>
        </w:rPr>
      </w:pPr>
      <w:r>
        <w:rPr>
          <w:rStyle w:val="AERbody"/>
        </w:rPr>
        <w:t>Minimising the likelihood of variability in tariffs at the start of the 2021–26 access arrangement period.</w:t>
      </w:r>
    </w:p>
    <w:p w:rsidR="00570509" w:rsidRDefault="00570509" w:rsidP="00570509">
      <w:pPr>
        <w:rPr>
          <w:rStyle w:val="AERbody"/>
        </w:rPr>
      </w:pPr>
      <w:r>
        <w:rPr>
          <w:rStyle w:val="AERbody"/>
        </w:rPr>
        <w:t>Each of these points is discussed in turn.</w:t>
      </w:r>
    </w:p>
    <w:p w:rsidR="00570509" w:rsidRDefault="00570509" w:rsidP="00570509">
      <w:pPr>
        <w:rPr>
          <w:rStyle w:val="AERbody"/>
        </w:rPr>
      </w:pPr>
      <w:r>
        <w:rPr>
          <w:rStyle w:val="AERbody"/>
        </w:rPr>
        <w:t>First, we are satisfied that our draft decision tariff path for AGN's 2016–21 access arrangement period a</w:t>
      </w:r>
      <w:r w:rsidRPr="00B5370C">
        <w:rPr>
          <w:rStyle w:val="AERbody"/>
        </w:rPr>
        <w:t>chieves revenue equalisation as required by rule 92(2) of the NGR</w:t>
      </w:r>
      <w:r>
        <w:rPr>
          <w:rStyle w:val="AERbody"/>
        </w:rPr>
        <w:t>.</w:t>
      </w:r>
      <w:r>
        <w:rPr>
          <w:rStyle w:val="FootnoteReference"/>
        </w:rPr>
        <w:footnoteReference w:id="26"/>
      </w:r>
      <w:r>
        <w:rPr>
          <w:rStyle w:val="AERbody"/>
        </w:rPr>
        <w:t xml:space="preserve"> As set out above, we have made substantial reductions to the unsmoothed revenue proposed by AGN. Accordingly, we set the tariff path so that it adjusts the smoothed revenue downward to better reflect the unsmoothed building block costs. </w:t>
      </w:r>
    </w:p>
    <w:p w:rsidR="00570509" w:rsidRDefault="00570509" w:rsidP="00570509">
      <w:pPr>
        <w:rPr>
          <w:rStyle w:val="AERbody"/>
        </w:rPr>
      </w:pPr>
      <w:r>
        <w:rPr>
          <w:rStyle w:val="AERbody"/>
        </w:rPr>
        <w:t>Second, but closely related to the first point, our smoothing allows closer alignment of tariffs and costs. This aids the achievement of the NGO and the revenue and pricing principles, including through providing a price signal that facilitates efficient use of natural gas services.</w:t>
      </w:r>
      <w:r>
        <w:rPr>
          <w:rStyle w:val="FootnoteReference"/>
        </w:rPr>
        <w:footnoteReference w:id="27"/>
      </w:r>
      <w:r>
        <w:rPr>
          <w:rStyle w:val="AERbody"/>
        </w:rPr>
        <w:t xml:space="preserve"> Our draft decision tariff path shows a large decrease in the first year of the 2016–21 access arrangement period reflecting the lower unsmoothed building block costs. </w:t>
      </w:r>
    </w:p>
    <w:p w:rsidR="00570509" w:rsidRDefault="00570509" w:rsidP="00570509">
      <w:pPr>
        <w:rPr>
          <w:rStyle w:val="AERbody"/>
        </w:rPr>
      </w:pPr>
      <w:r>
        <w:rPr>
          <w:rStyle w:val="AERbody"/>
        </w:rPr>
        <w:t>Third, in setting the tariff path, we aim to minimise tariff volatility in 2015–16 and within the 2016–21 access arrangement period. Our chosen tariff path reflects this objective, but also reflects the consideration we must give to other co</w:t>
      </w:r>
      <w:r w:rsidR="00C971D8">
        <w:rPr>
          <w:rStyle w:val="AERbody"/>
        </w:rPr>
        <w:t>mpeting</w:t>
      </w:r>
      <w:r>
        <w:rPr>
          <w:rStyle w:val="AERbody"/>
        </w:rPr>
        <w:t xml:space="preserve"> objectives. For instance, setting a flat tariff path from 2015–16 would better minimise within-period volatility, but would not achieve revenue equalisation. </w:t>
      </w:r>
    </w:p>
    <w:p w:rsidR="00570509" w:rsidRDefault="00570509" w:rsidP="00570509">
      <w:pPr>
        <w:rPr>
          <w:rStyle w:val="AERbody"/>
        </w:rPr>
      </w:pPr>
      <w:r>
        <w:rPr>
          <w:rStyle w:val="AERbody"/>
        </w:rPr>
        <w:t xml:space="preserve">Fourth, in setting the tariff path, we also aim to minimise the likelihood of tariff volatility between this access arrangement period and the next. We do not know with certainty what AGN's efficient costs will be in 2021–22, or across the 2021–26 access arrangement period more generally. The unsmoothed building block costs for 2020–21 (the last year of the 2061–21 access arrangement period) are the best available proxy. Hence, this objective requires minimising the divergence between the smoothed and unsmoothed revenues for the last year of the access arrangement period—for AGN, this is 2020–21. If there were no significant changes in forecast costs from 2020–21 to 2021–22, this final year divergence gives us an estimate of the size of the tariff change at the start of the 2021–26 access arrangement period. For this draft decision, this final year divergence is 3 per cent, which is consistent with our usual target. We note that </w:t>
      </w:r>
      <w:r w:rsidRPr="00495A72">
        <w:rPr>
          <w:rStyle w:val="AERbody"/>
        </w:rPr>
        <w:t>if there are significant change</w:t>
      </w:r>
      <w:r>
        <w:rPr>
          <w:rStyle w:val="AERbody"/>
        </w:rPr>
        <w:t>s</w:t>
      </w:r>
      <w:r w:rsidRPr="00495A72">
        <w:rPr>
          <w:rStyle w:val="AERbody"/>
        </w:rPr>
        <w:t xml:space="preserve"> in costs </w:t>
      </w:r>
      <w:r>
        <w:rPr>
          <w:rStyle w:val="AERbody"/>
        </w:rPr>
        <w:t>at the start of the 2021–26 access arrangement period, this might increase or decrease the required tariff change at that time.</w:t>
      </w:r>
    </w:p>
    <w:p w:rsidR="00570509" w:rsidRDefault="00570509" w:rsidP="00570509">
      <w:pPr>
        <w:rPr>
          <w:rStyle w:val="AERbody"/>
        </w:rPr>
      </w:pPr>
      <w:r>
        <w:rPr>
          <w:rStyle w:val="AERbody"/>
        </w:rPr>
        <w:t xml:space="preserve">We are satisfied that our draft decision tariff path reflects our balanced consideration of these competing objectives. </w:t>
      </w:r>
      <w:r w:rsidRPr="00DB51D8">
        <w:rPr>
          <w:rStyle w:val="AERbody"/>
        </w:rPr>
        <w:t>We will review this smoothing</w:t>
      </w:r>
      <w:r>
        <w:rPr>
          <w:rStyle w:val="AERbody"/>
        </w:rPr>
        <w:t xml:space="preserve"> profile </w:t>
      </w:r>
      <w:r w:rsidRPr="00DB51D8">
        <w:rPr>
          <w:rStyle w:val="AERbody"/>
        </w:rPr>
        <w:t>for the final decision if necessary.</w:t>
      </w:r>
      <w:r>
        <w:rPr>
          <w:rStyle w:val="AERbody"/>
        </w:rPr>
        <w:t xml:space="preserve"> </w:t>
      </w:r>
    </w:p>
    <w:p w:rsidR="00710D26" w:rsidRDefault="00710D26" w:rsidP="00710D26">
      <w:pPr>
        <w:pStyle w:val="Heading1"/>
      </w:pPr>
      <w:bookmarkStart w:id="72" w:name="_Toc435706075"/>
      <w:bookmarkStart w:id="73" w:name="_Toc435706076"/>
      <w:bookmarkStart w:id="74" w:name="_Toc435706077"/>
      <w:bookmarkStart w:id="75" w:name="_Toc435706078"/>
      <w:bookmarkStart w:id="76" w:name="_Toc435706079"/>
      <w:bookmarkStart w:id="77" w:name="_Toc435706080"/>
      <w:bookmarkStart w:id="78" w:name="_Toc435706081"/>
      <w:bookmarkStart w:id="79" w:name="_Toc435706082"/>
      <w:bookmarkStart w:id="80" w:name="_Toc435706084"/>
      <w:bookmarkStart w:id="81" w:name="_Toc435706085"/>
      <w:bookmarkStart w:id="82" w:name="_Toc435706174"/>
      <w:bookmarkStart w:id="83" w:name="_Toc435706175"/>
      <w:bookmarkStart w:id="84" w:name="_Toc435706176"/>
      <w:bookmarkStart w:id="85" w:name="_Toc435706177"/>
      <w:bookmarkStart w:id="86" w:name="_Toc435706178"/>
      <w:bookmarkStart w:id="87" w:name="_Toc430002787"/>
      <w:bookmarkStart w:id="88" w:name="_Ref433877518"/>
      <w:bookmarkStart w:id="89" w:name="_Ref434479216"/>
      <w:bookmarkStart w:id="90" w:name="_Toc436037695"/>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t>Key elements of decision on AGN's revenue</w:t>
      </w:r>
      <w:bookmarkEnd w:id="87"/>
      <w:bookmarkEnd w:id="88"/>
      <w:bookmarkEnd w:id="89"/>
      <w:bookmarkEnd w:id="90"/>
    </w:p>
    <w:p w:rsidR="005B21C1" w:rsidRDefault="005B21C1" w:rsidP="005B21C1">
      <w:bookmarkStart w:id="91" w:name="_Toc404437125"/>
      <w:bookmarkStart w:id="92" w:name="_Toc411428025"/>
      <w:r>
        <w:t>The components of our decision include the building blocks we use to determine the revenue AGN may recover from its customers.</w:t>
      </w:r>
    </w:p>
    <w:p w:rsidR="005B21C1" w:rsidRDefault="005B21C1" w:rsidP="005B21C1">
      <w:r>
        <w:t>I</w:t>
      </w:r>
      <w:r w:rsidRPr="00DA7CB3">
        <w:rPr>
          <w:rStyle w:val="AERbody"/>
        </w:rPr>
        <w:t xml:space="preserve">n setting our </w:t>
      </w:r>
      <w:r>
        <w:rPr>
          <w:rStyle w:val="AERbody"/>
        </w:rPr>
        <w:t xml:space="preserve">overall </w:t>
      </w:r>
      <w:r w:rsidR="002040E4">
        <w:rPr>
          <w:rStyle w:val="AERbody"/>
        </w:rPr>
        <w:t xml:space="preserve">total </w:t>
      </w:r>
      <w:r>
        <w:rPr>
          <w:rStyle w:val="AERbody"/>
        </w:rPr>
        <w:t>revenue</w:t>
      </w:r>
      <w:r w:rsidRPr="00DA7CB3">
        <w:rPr>
          <w:rStyle w:val="AERbody"/>
        </w:rPr>
        <w:t xml:space="preserve"> </w:t>
      </w:r>
      <w:r w:rsidR="002040E4">
        <w:rPr>
          <w:rStyle w:val="AERbody"/>
        </w:rPr>
        <w:t xml:space="preserve">requirement </w:t>
      </w:r>
      <w:r w:rsidRPr="00DA7CB3">
        <w:rPr>
          <w:rStyle w:val="AERbody"/>
        </w:rPr>
        <w:t>of $</w:t>
      </w:r>
      <w:r w:rsidR="009545B7">
        <w:rPr>
          <w:rStyle w:val="AERbody"/>
        </w:rPr>
        <w:t>94</w:t>
      </w:r>
      <w:r w:rsidR="003479C5">
        <w:rPr>
          <w:rStyle w:val="AERbody"/>
        </w:rPr>
        <w:t>0</w:t>
      </w:r>
      <w:r w:rsidR="009545B7">
        <w:rPr>
          <w:rStyle w:val="AERbody"/>
        </w:rPr>
        <w:t>.</w:t>
      </w:r>
      <w:r w:rsidR="003479C5">
        <w:rPr>
          <w:rStyle w:val="AERbody"/>
        </w:rPr>
        <w:t>9</w:t>
      </w:r>
      <w:r>
        <w:rPr>
          <w:rStyle w:val="AERbody"/>
        </w:rPr>
        <w:t> </w:t>
      </w:r>
      <w:r>
        <w:t>million ($nominal, unsmoothed) for the 2016–21 access arrangement period</w:t>
      </w:r>
      <w:r w:rsidR="002040E4">
        <w:t>,</w:t>
      </w:r>
      <w:r>
        <w:t xml:space="preserve"> we:</w:t>
      </w:r>
    </w:p>
    <w:p w:rsidR="009545B7" w:rsidRDefault="005B21C1" w:rsidP="005B21C1">
      <w:pPr>
        <w:pStyle w:val="AERbulletlistfirststyle"/>
        <w:rPr>
          <w:rStyle w:val="AERbody"/>
        </w:rPr>
      </w:pPr>
      <w:r w:rsidRPr="00EE5F0C">
        <w:rPr>
          <w:rStyle w:val="AERbody"/>
        </w:rPr>
        <w:t>apply relevant tests under the N</w:t>
      </w:r>
      <w:r>
        <w:rPr>
          <w:rStyle w:val="AERbody"/>
        </w:rPr>
        <w:t>G</w:t>
      </w:r>
      <w:r w:rsidRPr="00EE5F0C">
        <w:rPr>
          <w:rStyle w:val="AERbody"/>
        </w:rPr>
        <w:t>R, the assessment methods and tools developed as part of our Better Regulation guidelines</w:t>
      </w:r>
      <w:r>
        <w:rPr>
          <w:rStyle w:val="FootnoteReference"/>
        </w:rPr>
        <w:footnoteReference w:id="28"/>
      </w:r>
      <w:r>
        <w:rPr>
          <w:rStyle w:val="AERbody"/>
        </w:rPr>
        <w:t xml:space="preserve">. </w:t>
      </w:r>
    </w:p>
    <w:p w:rsidR="005B21C1" w:rsidRPr="007C4B82" w:rsidRDefault="005B21C1" w:rsidP="005B21C1">
      <w:pPr>
        <w:pStyle w:val="AERbulletlistfirststyle"/>
        <w:rPr>
          <w:rStyle w:val="AERbody"/>
        </w:rPr>
      </w:pPr>
      <w:r w:rsidRPr="007C4B82">
        <w:rPr>
          <w:rStyle w:val="AERbody"/>
        </w:rPr>
        <w:t xml:space="preserve">consider information provided by </w:t>
      </w:r>
      <w:r>
        <w:rPr>
          <w:rStyle w:val="AERbody"/>
        </w:rPr>
        <w:t>AGN</w:t>
      </w:r>
      <w:r w:rsidRPr="007C4B82">
        <w:rPr>
          <w:rStyle w:val="AERbody"/>
        </w:rPr>
        <w:t xml:space="preserve">, the </w:t>
      </w:r>
      <w:r>
        <w:rPr>
          <w:rStyle w:val="AERbody"/>
        </w:rPr>
        <w:t>Consumer Challenge Panel (</w:t>
      </w:r>
      <w:r w:rsidRPr="007C4B82">
        <w:rPr>
          <w:rStyle w:val="AERbody"/>
        </w:rPr>
        <w:t>CCP</w:t>
      </w:r>
      <w:r>
        <w:rPr>
          <w:rStyle w:val="AERbody"/>
        </w:rPr>
        <w:t>)</w:t>
      </w:r>
      <w:r w:rsidRPr="007C4B82">
        <w:rPr>
          <w:rStyle w:val="AERbody"/>
        </w:rPr>
        <w:t>, consultants and stakeholder submissions</w:t>
      </w:r>
      <w:r>
        <w:rPr>
          <w:rStyle w:val="AERbody"/>
        </w:rPr>
        <w:t>.</w:t>
      </w:r>
    </w:p>
    <w:p w:rsidR="005B21C1" w:rsidRDefault="005B21C1" w:rsidP="005B21C1">
      <w:pPr>
        <w:pStyle w:val="AERbulletlistfirststyle"/>
        <w:rPr>
          <w:rStyle w:val="AERbody"/>
        </w:rPr>
      </w:pPr>
      <w:r w:rsidRPr="00EE5F0C">
        <w:rPr>
          <w:rStyle w:val="AERbody"/>
        </w:rPr>
        <w:t xml:space="preserve">consider our </w:t>
      </w:r>
      <w:r>
        <w:rPr>
          <w:rStyle w:val="AERbody"/>
        </w:rPr>
        <w:t>overall revenue</w:t>
      </w:r>
      <w:r w:rsidRPr="00EE5F0C">
        <w:rPr>
          <w:rStyle w:val="AERbody"/>
        </w:rPr>
        <w:t xml:space="preserve"> </w:t>
      </w:r>
      <w:r>
        <w:rPr>
          <w:rStyle w:val="AERbody"/>
        </w:rPr>
        <w:t xml:space="preserve">decision </w:t>
      </w:r>
      <w:r w:rsidRPr="00EE5F0C">
        <w:rPr>
          <w:rStyle w:val="AERbody"/>
        </w:rPr>
        <w:t xml:space="preserve">against section </w:t>
      </w:r>
      <w:r>
        <w:rPr>
          <w:rStyle w:val="AERbody"/>
        </w:rPr>
        <w:t>23</w:t>
      </w:r>
      <w:r w:rsidRPr="00EE5F0C">
        <w:rPr>
          <w:rStyle w:val="AERbody"/>
        </w:rPr>
        <w:t xml:space="preserve"> of the N</w:t>
      </w:r>
      <w:r>
        <w:rPr>
          <w:rStyle w:val="AERbody"/>
        </w:rPr>
        <w:t>G</w:t>
      </w:r>
      <w:r w:rsidRPr="00EE5F0C">
        <w:rPr>
          <w:rStyle w:val="AERbody"/>
        </w:rPr>
        <w:t xml:space="preserve">L, including the </w:t>
      </w:r>
      <w:r w:rsidR="00EC650B">
        <w:rPr>
          <w:rStyle w:val="AERbody"/>
        </w:rPr>
        <w:t>components of our</w:t>
      </w:r>
      <w:r w:rsidRPr="00EE5F0C">
        <w:rPr>
          <w:rStyle w:val="AERbody"/>
        </w:rPr>
        <w:t xml:space="preserve"> </w:t>
      </w:r>
      <w:r w:rsidRPr="007C4B82">
        <w:rPr>
          <w:rStyle w:val="AERbody"/>
        </w:rPr>
        <w:t>decision and the interrelationships we discuss in section</w:t>
      </w:r>
      <w:r>
        <w:rPr>
          <w:rStyle w:val="AERbody"/>
        </w:rPr>
        <w:t xml:space="preserve">s </w:t>
      </w:r>
      <w:r w:rsidR="001B530F">
        <w:rPr>
          <w:rStyle w:val="AERbody"/>
        </w:rPr>
        <w:fldChar w:fldCharType="begin"/>
      </w:r>
      <w:r w:rsidR="001B530F">
        <w:rPr>
          <w:rStyle w:val="AERbody"/>
        </w:rPr>
        <w:instrText xml:space="preserve"> REF _Ref434235701 \r \h </w:instrText>
      </w:r>
      <w:r w:rsidR="001B530F">
        <w:rPr>
          <w:rStyle w:val="AERbody"/>
        </w:rPr>
      </w:r>
      <w:r w:rsidR="001B530F">
        <w:rPr>
          <w:rStyle w:val="AERbody"/>
        </w:rPr>
        <w:fldChar w:fldCharType="separate"/>
      </w:r>
      <w:r w:rsidR="00E90DAD">
        <w:rPr>
          <w:rStyle w:val="AERbody"/>
        </w:rPr>
        <w:t>7.1.1</w:t>
      </w:r>
      <w:r w:rsidR="001B530F">
        <w:rPr>
          <w:rStyle w:val="AERbody"/>
        </w:rPr>
        <w:fldChar w:fldCharType="end"/>
      </w:r>
      <w:r>
        <w:rPr>
          <w:rStyle w:val="AERbody"/>
        </w:rPr>
        <w:t xml:space="preserve"> and</w:t>
      </w:r>
      <w:r w:rsidRPr="007C4B82">
        <w:rPr>
          <w:rStyle w:val="AERbody"/>
        </w:rPr>
        <w:t xml:space="preserve"> </w:t>
      </w:r>
      <w:r>
        <w:rPr>
          <w:rStyle w:val="AERbody"/>
        </w:rPr>
        <w:t>4</w:t>
      </w:r>
      <w:r w:rsidRPr="007C4B82">
        <w:rPr>
          <w:rStyle w:val="AERbody"/>
        </w:rPr>
        <w:t>.</w:t>
      </w:r>
    </w:p>
    <w:p w:rsidR="005B21C1" w:rsidRPr="007C4B82" w:rsidRDefault="005B21C1" w:rsidP="005B21C1">
      <w:pPr>
        <w:pStyle w:val="ListParagraph"/>
        <w:numPr>
          <w:ilvl w:val="0"/>
          <w:numId w:val="24"/>
        </w:numPr>
      </w:pPr>
      <w:bookmarkStart w:id="93" w:name="_Toc416278251"/>
      <w:bookmarkStart w:id="94" w:name="_Toc416278315"/>
      <w:bookmarkStart w:id="95" w:name="_Toc416278317"/>
      <w:bookmarkEnd w:id="91"/>
      <w:bookmarkEnd w:id="92"/>
      <w:bookmarkEnd w:id="93"/>
      <w:bookmarkEnd w:id="94"/>
      <w:bookmarkEnd w:id="95"/>
      <w:r w:rsidRPr="007C4B82">
        <w:t xml:space="preserve">The following section summarises our decision by building block and provides our high level reasons and analysis. </w:t>
      </w:r>
      <w:r>
        <w:t xml:space="preserve">The attachments provide </w:t>
      </w:r>
      <w:r w:rsidR="004D2DF0">
        <w:t>the</w:t>
      </w:r>
      <w:r>
        <w:t xml:space="preserve"> detailed explanation of our analysis and findings.</w:t>
      </w:r>
    </w:p>
    <w:p w:rsidR="00710D26" w:rsidRDefault="00710D26" w:rsidP="00710D26">
      <w:pPr>
        <w:pStyle w:val="Heading2"/>
      </w:pPr>
      <w:bookmarkStart w:id="96" w:name="_Toc430002789"/>
      <w:bookmarkStart w:id="97" w:name="_Ref433713640"/>
      <w:bookmarkStart w:id="98" w:name="_Ref433713804"/>
      <w:bookmarkStart w:id="99" w:name="_Toc436037696"/>
      <w:r>
        <w:t>Capital base</w:t>
      </w:r>
      <w:bookmarkEnd w:id="96"/>
      <w:bookmarkEnd w:id="97"/>
      <w:bookmarkEnd w:id="98"/>
      <w:bookmarkEnd w:id="99"/>
    </w:p>
    <w:p w:rsidR="00F059DE" w:rsidRDefault="00F059DE" w:rsidP="00F059DE">
      <w:r w:rsidRPr="004F0EB4">
        <w:rPr>
          <w:rStyle w:val="AERbody"/>
        </w:rPr>
        <w:t xml:space="preserve">We are required to make a decision on AGN's opening capital base as at 1 July 2016 for the 2016–21 access arrangement period. We are also required to make a decision on AGN's projected capital base for the 2016–21 access arrangement period. </w:t>
      </w:r>
    </w:p>
    <w:p w:rsidR="00F059DE" w:rsidRDefault="00F059DE" w:rsidP="00F059DE">
      <w:r w:rsidRPr="004F0EB4">
        <w:rPr>
          <w:rStyle w:val="AERbody"/>
        </w:rPr>
        <w:t xml:space="preserve">The capital base roll forward accounts for the value of AGN's regulated assets over the access arrangement period. </w:t>
      </w:r>
      <w:r>
        <w:t xml:space="preserve">The level of the capital base substantially impacts the service provider's revenue and the price consumers </w:t>
      </w:r>
      <w:r w:rsidR="00A7168D">
        <w:t xml:space="preserve">ultimately </w:t>
      </w:r>
      <w:r>
        <w:t>pay. It is an input into the determination of the return on capital and depreciation (return of capital) allowances.</w:t>
      </w:r>
      <w:r>
        <w:rPr>
          <w:rStyle w:val="FootnoteReference"/>
        </w:rPr>
        <w:footnoteReference w:id="29"/>
      </w:r>
      <w:r>
        <w:t xml:space="preserve"> Other things being equal, a higher capital base increases both the return on capital and depreciation allowances. In turn, it increases the service provider's revenue, and prices for services.</w:t>
      </w:r>
    </w:p>
    <w:p w:rsidR="00F059DE" w:rsidRPr="00F059DE" w:rsidRDefault="00F059DE" w:rsidP="00F059DE">
      <w:r w:rsidRPr="00F059DE">
        <w:t xml:space="preserve">We do not approve AGN’s proposed opening capital base of $1428.8 million ($nominal) as at 1 July 2016. This is because we made several amendments to AGN’s proposed roll forward model (RFM) to correct some inputs and modelling errors. </w:t>
      </w:r>
      <w:r>
        <w:t>With these corrections, w</w:t>
      </w:r>
      <w:r w:rsidRPr="00F059DE">
        <w:t xml:space="preserve">e determine an opening capital base of </w:t>
      </w:r>
      <w:r w:rsidRPr="00F059DE">
        <w:rPr>
          <w:rStyle w:val="AERbody"/>
        </w:rPr>
        <w:t>$</w:t>
      </w:r>
      <w:r w:rsidR="00AA1D10">
        <w:rPr>
          <w:rStyle w:val="AERbody"/>
        </w:rPr>
        <w:t>1414.3</w:t>
      </w:r>
      <w:r w:rsidR="00AA1D10" w:rsidRPr="00F059DE">
        <w:rPr>
          <w:rStyle w:val="AERbody"/>
        </w:rPr>
        <w:t xml:space="preserve"> </w:t>
      </w:r>
      <w:r w:rsidRPr="00F059DE">
        <w:rPr>
          <w:rStyle w:val="AERbody"/>
        </w:rPr>
        <w:t>million</w:t>
      </w:r>
      <w:r w:rsidRPr="00F059DE">
        <w:t xml:space="preserve"> ($nominal) as at 1 July 2016</w:t>
      </w:r>
      <w:r>
        <w:t xml:space="preserve">. This </w:t>
      </w:r>
      <w:r w:rsidRPr="00F059DE">
        <w:t>is $</w:t>
      </w:r>
      <w:r w:rsidR="00AA1D10">
        <w:t>14.6</w:t>
      </w:r>
      <w:r w:rsidR="00AA1D10" w:rsidRPr="00F059DE">
        <w:t xml:space="preserve"> </w:t>
      </w:r>
      <w:r w:rsidRPr="00F059DE">
        <w:t xml:space="preserve">million </w:t>
      </w:r>
      <w:r>
        <w:t xml:space="preserve">(or </w:t>
      </w:r>
      <w:r w:rsidR="00AA1D10">
        <w:t xml:space="preserve">1.0 </w:t>
      </w:r>
      <w:r>
        <w:t>per cent) less</w:t>
      </w:r>
      <w:r w:rsidRPr="00F059DE">
        <w:t xml:space="preserve"> than that proposed by AGN. </w:t>
      </w:r>
    </w:p>
    <w:p w:rsidR="00F059DE" w:rsidRPr="004F0EB4" w:rsidRDefault="00F059DE" w:rsidP="00F059DE">
      <w:r>
        <w:fldChar w:fldCharType="begin"/>
      </w:r>
      <w:r>
        <w:instrText xml:space="preserve"> REF _Ref433373759 \h </w:instrText>
      </w:r>
      <w:r>
        <w:fldChar w:fldCharType="separate"/>
      </w:r>
      <w:r w:rsidR="00E90DAD">
        <w:t xml:space="preserve">Table </w:t>
      </w:r>
      <w:r w:rsidR="00E90DAD">
        <w:rPr>
          <w:noProof/>
        </w:rPr>
        <w:t>3</w:t>
      </w:r>
      <w:r>
        <w:fldChar w:fldCharType="end"/>
      </w:r>
      <w:r w:rsidRPr="004F0EB4">
        <w:t xml:space="preserve"> summarises our draft decision on the roll forward of AGN's capital base during the 2011–16 access arrangement period. </w:t>
      </w:r>
    </w:p>
    <w:p w:rsidR="00F059DE" w:rsidRPr="00F059DE" w:rsidRDefault="00F059DE" w:rsidP="00F059DE">
      <w:pPr>
        <w:pStyle w:val="Caption"/>
      </w:pPr>
      <w:bookmarkStart w:id="100" w:name="_Ref433373759"/>
      <w:bookmarkStart w:id="101" w:name="_Ref328756976"/>
      <w:r>
        <w:t xml:space="preserve">Table </w:t>
      </w:r>
      <w:fldSimple w:instr=" SEQ Table \* ARABIC ">
        <w:r w:rsidR="00E90DAD">
          <w:rPr>
            <w:noProof/>
          </w:rPr>
          <w:t>3</w:t>
        </w:r>
      </w:fldSimple>
      <w:bookmarkEnd w:id="100"/>
      <w:r>
        <w:t xml:space="preserve"> </w:t>
      </w:r>
      <w:r w:rsidRPr="00F059DE">
        <w:t>AER’s draft decision on AGN’s capital base roll forward for the 2011–16 access arrangement period ($million, nominal)</w:t>
      </w:r>
    </w:p>
    <w:tbl>
      <w:tblPr>
        <w:tblStyle w:val="AERtable-numbers"/>
        <w:tblW w:w="8743" w:type="dxa"/>
        <w:tblLayout w:type="fixed"/>
        <w:tblLook w:val="04A0" w:firstRow="1" w:lastRow="0" w:firstColumn="1" w:lastColumn="0" w:noHBand="0" w:noVBand="1"/>
      </w:tblPr>
      <w:tblGrid>
        <w:gridCol w:w="3652"/>
        <w:gridCol w:w="811"/>
        <w:gridCol w:w="207"/>
        <w:gridCol w:w="863"/>
        <w:gridCol w:w="155"/>
        <w:gridCol w:w="915"/>
        <w:gridCol w:w="103"/>
        <w:gridCol w:w="967"/>
        <w:gridCol w:w="51"/>
        <w:gridCol w:w="1019"/>
      </w:tblGrid>
      <w:tr w:rsidR="00F059DE" w:rsidRPr="00061794" w:rsidTr="006C641E">
        <w:trPr>
          <w:cnfStyle w:val="100000000000" w:firstRow="1" w:lastRow="0" w:firstColumn="0" w:lastColumn="0" w:oddVBand="0" w:evenVBand="0" w:oddHBand="0" w:evenHBand="0" w:firstRowFirstColumn="0" w:firstRowLastColumn="0" w:lastRowFirstColumn="0" w:lastRowLastColumn="0"/>
          <w:trHeight w:val="308"/>
          <w:tblHeader/>
        </w:trPr>
        <w:tc>
          <w:tcPr>
            <w:cnfStyle w:val="001000000000" w:firstRow="0" w:lastRow="0" w:firstColumn="1" w:lastColumn="0" w:oddVBand="0" w:evenVBand="0" w:oddHBand="0" w:evenHBand="0" w:firstRowFirstColumn="0" w:firstRowLastColumn="0" w:lastRowFirstColumn="0" w:lastRowLastColumn="0"/>
            <w:tcW w:w="3652" w:type="dxa"/>
            <w:noWrap/>
          </w:tcPr>
          <w:p w:rsidR="00F059DE" w:rsidRPr="00061794" w:rsidRDefault="00F059DE" w:rsidP="00061794"/>
        </w:tc>
        <w:tc>
          <w:tcPr>
            <w:tcW w:w="1018" w:type="dxa"/>
            <w:gridSpan w:val="2"/>
            <w:noWrap/>
            <w:hideMark/>
          </w:tcPr>
          <w:p w:rsidR="00F059DE" w:rsidRPr="00061794" w:rsidRDefault="00F059DE" w:rsidP="00061794">
            <w:pPr>
              <w:cnfStyle w:val="100000000000" w:firstRow="1" w:lastRow="0" w:firstColumn="0" w:lastColumn="0" w:oddVBand="0" w:evenVBand="0" w:oddHBand="0" w:evenHBand="0" w:firstRowFirstColumn="0" w:firstRowLastColumn="0" w:lastRowFirstColumn="0" w:lastRowLastColumn="0"/>
            </w:pPr>
            <w:r w:rsidRPr="00061794">
              <w:t>2011–12</w:t>
            </w:r>
          </w:p>
        </w:tc>
        <w:tc>
          <w:tcPr>
            <w:tcW w:w="1018" w:type="dxa"/>
            <w:gridSpan w:val="2"/>
            <w:noWrap/>
            <w:hideMark/>
          </w:tcPr>
          <w:p w:rsidR="00F059DE" w:rsidRPr="00061794" w:rsidRDefault="00F059DE" w:rsidP="00061794">
            <w:pPr>
              <w:cnfStyle w:val="100000000000" w:firstRow="1" w:lastRow="0" w:firstColumn="0" w:lastColumn="0" w:oddVBand="0" w:evenVBand="0" w:oddHBand="0" w:evenHBand="0" w:firstRowFirstColumn="0" w:firstRowLastColumn="0" w:lastRowFirstColumn="0" w:lastRowLastColumn="0"/>
            </w:pPr>
            <w:r w:rsidRPr="00061794">
              <w:t>2012–13</w:t>
            </w:r>
          </w:p>
        </w:tc>
        <w:tc>
          <w:tcPr>
            <w:tcW w:w="1018" w:type="dxa"/>
            <w:gridSpan w:val="2"/>
            <w:noWrap/>
            <w:hideMark/>
          </w:tcPr>
          <w:p w:rsidR="00F059DE" w:rsidRPr="00061794" w:rsidRDefault="00F059DE" w:rsidP="00061794">
            <w:pPr>
              <w:cnfStyle w:val="100000000000" w:firstRow="1" w:lastRow="0" w:firstColumn="0" w:lastColumn="0" w:oddVBand="0" w:evenVBand="0" w:oddHBand="0" w:evenHBand="0" w:firstRowFirstColumn="0" w:firstRowLastColumn="0" w:lastRowFirstColumn="0" w:lastRowLastColumn="0"/>
            </w:pPr>
            <w:r w:rsidRPr="00061794">
              <w:t>2013–14</w:t>
            </w:r>
          </w:p>
        </w:tc>
        <w:tc>
          <w:tcPr>
            <w:tcW w:w="1018" w:type="dxa"/>
            <w:gridSpan w:val="2"/>
            <w:noWrap/>
            <w:hideMark/>
          </w:tcPr>
          <w:p w:rsidR="00F059DE" w:rsidRPr="00061794" w:rsidRDefault="00F059DE" w:rsidP="00061794">
            <w:pPr>
              <w:cnfStyle w:val="100000000000" w:firstRow="1" w:lastRow="0" w:firstColumn="0" w:lastColumn="0" w:oddVBand="0" w:evenVBand="0" w:oddHBand="0" w:evenHBand="0" w:firstRowFirstColumn="0" w:firstRowLastColumn="0" w:lastRowFirstColumn="0" w:lastRowLastColumn="0"/>
            </w:pPr>
            <w:r w:rsidRPr="00061794">
              <w:t>2014–15</w:t>
            </w:r>
          </w:p>
        </w:tc>
        <w:tc>
          <w:tcPr>
            <w:tcW w:w="1019" w:type="dxa"/>
            <w:noWrap/>
            <w:hideMark/>
          </w:tcPr>
          <w:p w:rsidR="00F059DE" w:rsidRPr="00061794" w:rsidRDefault="00F059DE" w:rsidP="00061794">
            <w:pPr>
              <w:cnfStyle w:val="100000000000" w:firstRow="1" w:lastRow="0" w:firstColumn="0" w:lastColumn="0" w:oddVBand="0" w:evenVBand="0" w:oddHBand="0" w:evenHBand="0" w:firstRowFirstColumn="0" w:firstRowLastColumn="0" w:lastRowFirstColumn="0" w:lastRowLastColumn="0"/>
            </w:pPr>
            <w:r w:rsidRPr="00061794">
              <w:t>2015–16</w:t>
            </w:r>
          </w:p>
        </w:tc>
      </w:tr>
      <w:tr w:rsidR="00AA1D10" w:rsidRPr="00061794" w:rsidTr="00F059DE">
        <w:trPr>
          <w:trHeight w:val="393"/>
        </w:trPr>
        <w:tc>
          <w:tcPr>
            <w:cnfStyle w:val="001000000000" w:firstRow="0" w:lastRow="0" w:firstColumn="1" w:lastColumn="0" w:oddVBand="0" w:evenVBand="0" w:oddHBand="0" w:evenHBand="0" w:firstRowFirstColumn="0" w:firstRowLastColumn="0" w:lastRowFirstColumn="0" w:lastRowLastColumn="0"/>
            <w:tcW w:w="3652" w:type="dxa"/>
            <w:noWrap/>
            <w:hideMark/>
          </w:tcPr>
          <w:p w:rsidR="00AA1D10" w:rsidRPr="00061794" w:rsidRDefault="00AA1D10" w:rsidP="00061794">
            <w:r w:rsidRPr="00061794">
              <w:t>Opening capital base</w:t>
            </w:r>
          </w:p>
        </w:tc>
        <w:tc>
          <w:tcPr>
            <w:tcW w:w="1018" w:type="dxa"/>
            <w:gridSpan w:val="2"/>
            <w:noWrap/>
          </w:tcPr>
          <w:p w:rsidR="00AA1D10" w:rsidRPr="00061794" w:rsidRDefault="00AA1D10" w:rsidP="00061794">
            <w:pPr>
              <w:cnfStyle w:val="000000000000" w:firstRow="0" w:lastRow="0" w:firstColumn="0" w:lastColumn="0" w:oddVBand="0" w:evenVBand="0" w:oddHBand="0" w:evenHBand="0" w:firstRowFirstColumn="0" w:firstRowLastColumn="0" w:lastRowFirstColumn="0" w:lastRowLastColumn="0"/>
            </w:pPr>
            <w:r w:rsidRPr="00061794">
              <w:t>1023.9</w:t>
            </w:r>
          </w:p>
        </w:tc>
        <w:tc>
          <w:tcPr>
            <w:tcW w:w="1018" w:type="dxa"/>
            <w:gridSpan w:val="2"/>
            <w:noWrap/>
          </w:tcPr>
          <w:p w:rsidR="00AA1D10" w:rsidRPr="00061794" w:rsidRDefault="00AA1D10" w:rsidP="00061794">
            <w:pPr>
              <w:cnfStyle w:val="000000000000" w:firstRow="0" w:lastRow="0" w:firstColumn="0" w:lastColumn="0" w:oddVBand="0" w:evenVBand="0" w:oddHBand="0" w:evenHBand="0" w:firstRowFirstColumn="0" w:firstRowLastColumn="0" w:lastRowFirstColumn="0" w:lastRowLastColumn="0"/>
            </w:pPr>
            <w:r w:rsidRPr="00061794">
              <w:t>1070.7</w:t>
            </w:r>
          </w:p>
        </w:tc>
        <w:tc>
          <w:tcPr>
            <w:tcW w:w="1018" w:type="dxa"/>
            <w:gridSpan w:val="2"/>
            <w:noWrap/>
          </w:tcPr>
          <w:p w:rsidR="00AA1D10" w:rsidRPr="00061794" w:rsidRDefault="00AA1D10" w:rsidP="00061794">
            <w:pPr>
              <w:cnfStyle w:val="000000000000" w:firstRow="0" w:lastRow="0" w:firstColumn="0" w:lastColumn="0" w:oddVBand="0" w:evenVBand="0" w:oddHBand="0" w:evenHBand="0" w:firstRowFirstColumn="0" w:firstRowLastColumn="0" w:lastRowFirstColumn="0" w:lastRowLastColumn="0"/>
            </w:pPr>
            <w:r w:rsidRPr="00061794">
              <w:t>1140.0</w:t>
            </w:r>
          </w:p>
        </w:tc>
        <w:tc>
          <w:tcPr>
            <w:tcW w:w="1018" w:type="dxa"/>
            <w:gridSpan w:val="2"/>
            <w:noWrap/>
          </w:tcPr>
          <w:p w:rsidR="00AA1D10" w:rsidRPr="00061794" w:rsidRDefault="00AA1D10" w:rsidP="00061794">
            <w:pPr>
              <w:cnfStyle w:val="000000000000" w:firstRow="0" w:lastRow="0" w:firstColumn="0" w:lastColumn="0" w:oddVBand="0" w:evenVBand="0" w:oddHBand="0" w:evenHBand="0" w:firstRowFirstColumn="0" w:firstRowLastColumn="0" w:lastRowFirstColumn="0" w:lastRowLastColumn="0"/>
            </w:pPr>
            <w:r w:rsidRPr="00061794">
              <w:t>1230.9</w:t>
            </w:r>
          </w:p>
        </w:tc>
        <w:tc>
          <w:tcPr>
            <w:tcW w:w="1019" w:type="dxa"/>
            <w:noWrap/>
          </w:tcPr>
          <w:p w:rsidR="00AA1D10" w:rsidRPr="00061794" w:rsidRDefault="00AA1D10" w:rsidP="00061794">
            <w:pPr>
              <w:cnfStyle w:val="000000000000" w:firstRow="0" w:lastRow="0" w:firstColumn="0" w:lastColumn="0" w:oddVBand="0" w:evenVBand="0" w:oddHBand="0" w:evenHBand="0" w:firstRowFirstColumn="0" w:firstRowLastColumn="0" w:lastRowFirstColumn="0" w:lastRowLastColumn="0"/>
            </w:pPr>
            <w:r w:rsidRPr="00061794">
              <w:t>1305.6</w:t>
            </w:r>
          </w:p>
        </w:tc>
      </w:tr>
      <w:tr w:rsidR="00AA1D10" w:rsidRPr="00061794" w:rsidTr="00F059DE">
        <w:trPr>
          <w:cnfStyle w:val="000000010000" w:firstRow="0" w:lastRow="0" w:firstColumn="0" w:lastColumn="0" w:oddVBand="0" w:evenVBand="0" w:oddHBand="0" w:evenHBand="1"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3652" w:type="dxa"/>
            <w:noWrap/>
            <w:hideMark/>
          </w:tcPr>
          <w:p w:rsidR="00AA1D10" w:rsidRPr="00061794" w:rsidRDefault="00AA1D10" w:rsidP="00061794">
            <w:r w:rsidRPr="00061794">
              <w:t>Net capex</w:t>
            </w:r>
          </w:p>
        </w:tc>
        <w:tc>
          <w:tcPr>
            <w:tcW w:w="1018" w:type="dxa"/>
            <w:gridSpan w:val="2"/>
            <w:noWrap/>
          </w:tcPr>
          <w:p w:rsidR="00AA1D10" w:rsidRPr="00061794" w:rsidRDefault="00AA1D10" w:rsidP="00061794">
            <w:pPr>
              <w:cnfStyle w:val="000000010000" w:firstRow="0" w:lastRow="0" w:firstColumn="0" w:lastColumn="0" w:oddVBand="0" w:evenVBand="0" w:oddHBand="0" w:evenHBand="1" w:firstRowFirstColumn="0" w:firstRowLastColumn="0" w:lastRowFirstColumn="0" w:lastRowLastColumn="0"/>
            </w:pPr>
            <w:r w:rsidRPr="00061794">
              <w:t>58.0</w:t>
            </w:r>
          </w:p>
        </w:tc>
        <w:tc>
          <w:tcPr>
            <w:tcW w:w="1018" w:type="dxa"/>
            <w:gridSpan w:val="2"/>
            <w:noWrap/>
          </w:tcPr>
          <w:p w:rsidR="00AA1D10" w:rsidRPr="00061794" w:rsidRDefault="00AA1D10" w:rsidP="00061794">
            <w:pPr>
              <w:cnfStyle w:val="000000010000" w:firstRow="0" w:lastRow="0" w:firstColumn="0" w:lastColumn="0" w:oddVBand="0" w:evenVBand="0" w:oddHBand="0" w:evenHBand="1" w:firstRowFirstColumn="0" w:firstRowLastColumn="0" w:lastRowFirstColumn="0" w:lastRowLastColumn="0"/>
            </w:pPr>
            <w:r w:rsidRPr="00061794">
              <w:t>83.9</w:t>
            </w:r>
          </w:p>
        </w:tc>
        <w:tc>
          <w:tcPr>
            <w:tcW w:w="1018" w:type="dxa"/>
            <w:gridSpan w:val="2"/>
            <w:noWrap/>
          </w:tcPr>
          <w:p w:rsidR="00AA1D10" w:rsidRPr="00061794" w:rsidRDefault="00AA1D10" w:rsidP="00061794">
            <w:pPr>
              <w:cnfStyle w:val="000000010000" w:firstRow="0" w:lastRow="0" w:firstColumn="0" w:lastColumn="0" w:oddVBand="0" w:evenVBand="0" w:oddHBand="0" w:evenHBand="1" w:firstRowFirstColumn="0" w:firstRowLastColumn="0" w:lastRowFirstColumn="0" w:lastRowLastColumn="0"/>
            </w:pPr>
            <w:r w:rsidRPr="00061794">
              <w:t>102.9</w:t>
            </w:r>
          </w:p>
        </w:tc>
        <w:tc>
          <w:tcPr>
            <w:tcW w:w="1018" w:type="dxa"/>
            <w:gridSpan w:val="2"/>
            <w:noWrap/>
          </w:tcPr>
          <w:p w:rsidR="00AA1D10" w:rsidRPr="00061794" w:rsidRDefault="00AA1D10" w:rsidP="00061794">
            <w:pPr>
              <w:cnfStyle w:val="000000010000" w:firstRow="0" w:lastRow="0" w:firstColumn="0" w:lastColumn="0" w:oddVBand="0" w:evenVBand="0" w:oddHBand="0" w:evenHBand="1" w:firstRowFirstColumn="0" w:firstRowLastColumn="0" w:lastRowFirstColumn="0" w:lastRowLastColumn="0"/>
            </w:pPr>
            <w:r w:rsidRPr="00061794">
              <w:t>108.2</w:t>
            </w:r>
          </w:p>
        </w:tc>
        <w:tc>
          <w:tcPr>
            <w:tcW w:w="1019" w:type="dxa"/>
            <w:noWrap/>
          </w:tcPr>
          <w:p w:rsidR="00AA1D10" w:rsidRPr="00061794" w:rsidRDefault="00AA1D10" w:rsidP="00061794">
            <w:pPr>
              <w:cnfStyle w:val="000000010000" w:firstRow="0" w:lastRow="0" w:firstColumn="0" w:lastColumn="0" w:oddVBand="0" w:evenVBand="0" w:oddHBand="0" w:evenHBand="1" w:firstRowFirstColumn="0" w:firstRowLastColumn="0" w:lastRowFirstColumn="0" w:lastRowLastColumn="0"/>
            </w:pPr>
            <w:r w:rsidRPr="00061794">
              <w:t>134.7</w:t>
            </w:r>
          </w:p>
        </w:tc>
      </w:tr>
      <w:tr w:rsidR="00AA1D10" w:rsidRPr="00061794" w:rsidTr="00F059DE">
        <w:trPr>
          <w:trHeight w:val="391"/>
        </w:trPr>
        <w:tc>
          <w:tcPr>
            <w:cnfStyle w:val="001000000000" w:firstRow="0" w:lastRow="0" w:firstColumn="1" w:lastColumn="0" w:oddVBand="0" w:evenVBand="0" w:oddHBand="0" w:evenHBand="0" w:firstRowFirstColumn="0" w:firstRowLastColumn="0" w:lastRowFirstColumn="0" w:lastRowLastColumn="0"/>
            <w:tcW w:w="3652" w:type="dxa"/>
            <w:noWrap/>
            <w:hideMark/>
          </w:tcPr>
          <w:p w:rsidR="00AA1D10" w:rsidRPr="00061794" w:rsidRDefault="00AA1D10" w:rsidP="00061794">
            <w:r w:rsidRPr="00061794">
              <w:t>Indexation of capital base</w:t>
            </w:r>
          </w:p>
        </w:tc>
        <w:tc>
          <w:tcPr>
            <w:tcW w:w="1018" w:type="dxa"/>
            <w:gridSpan w:val="2"/>
            <w:noWrap/>
          </w:tcPr>
          <w:p w:rsidR="00AA1D10" w:rsidRPr="00061794" w:rsidRDefault="00AA1D10" w:rsidP="00061794">
            <w:pPr>
              <w:cnfStyle w:val="000000000000" w:firstRow="0" w:lastRow="0" w:firstColumn="0" w:lastColumn="0" w:oddVBand="0" w:evenVBand="0" w:oddHBand="0" w:evenHBand="0" w:firstRowFirstColumn="0" w:firstRowLastColumn="0" w:lastRowFirstColumn="0" w:lastRowLastColumn="0"/>
            </w:pPr>
            <w:r w:rsidRPr="00061794">
              <w:t>16.2</w:t>
            </w:r>
          </w:p>
        </w:tc>
        <w:tc>
          <w:tcPr>
            <w:tcW w:w="1018" w:type="dxa"/>
            <w:gridSpan w:val="2"/>
            <w:noWrap/>
          </w:tcPr>
          <w:p w:rsidR="00AA1D10" w:rsidRPr="00061794" w:rsidRDefault="00AA1D10" w:rsidP="00061794">
            <w:pPr>
              <w:cnfStyle w:val="000000000000" w:firstRow="0" w:lastRow="0" w:firstColumn="0" w:lastColumn="0" w:oddVBand="0" w:evenVBand="0" w:oddHBand="0" w:evenHBand="0" w:firstRowFirstColumn="0" w:firstRowLastColumn="0" w:lastRowFirstColumn="0" w:lastRowLastColumn="0"/>
            </w:pPr>
            <w:r w:rsidRPr="00061794">
              <w:t>26.8</w:t>
            </w:r>
          </w:p>
        </w:tc>
        <w:tc>
          <w:tcPr>
            <w:tcW w:w="1018" w:type="dxa"/>
            <w:gridSpan w:val="2"/>
            <w:noWrap/>
          </w:tcPr>
          <w:p w:rsidR="00AA1D10" w:rsidRPr="00061794" w:rsidRDefault="00AA1D10" w:rsidP="00061794">
            <w:pPr>
              <w:cnfStyle w:val="000000000000" w:firstRow="0" w:lastRow="0" w:firstColumn="0" w:lastColumn="0" w:oddVBand="0" w:evenVBand="0" w:oddHBand="0" w:evenHBand="0" w:firstRowFirstColumn="0" w:firstRowLastColumn="0" w:lastRowFirstColumn="0" w:lastRowLastColumn="0"/>
            </w:pPr>
            <w:r w:rsidRPr="00061794">
              <w:t>33.4</w:t>
            </w:r>
          </w:p>
        </w:tc>
        <w:tc>
          <w:tcPr>
            <w:tcW w:w="1018" w:type="dxa"/>
            <w:gridSpan w:val="2"/>
            <w:noWrap/>
          </w:tcPr>
          <w:p w:rsidR="00AA1D10" w:rsidRPr="00061794" w:rsidRDefault="00AA1D10" w:rsidP="00061794">
            <w:pPr>
              <w:cnfStyle w:val="000000000000" w:firstRow="0" w:lastRow="0" w:firstColumn="0" w:lastColumn="0" w:oddVBand="0" w:evenVBand="0" w:oddHBand="0" w:evenHBand="0" w:firstRowFirstColumn="0" w:firstRowLastColumn="0" w:lastRowFirstColumn="0" w:lastRowLastColumn="0"/>
            </w:pPr>
            <w:r w:rsidRPr="00061794">
              <w:t>16.3</w:t>
            </w:r>
          </w:p>
        </w:tc>
        <w:tc>
          <w:tcPr>
            <w:tcW w:w="1019" w:type="dxa"/>
            <w:noWrap/>
          </w:tcPr>
          <w:p w:rsidR="00AA1D10" w:rsidRPr="00061794" w:rsidRDefault="00AA1D10" w:rsidP="00061794">
            <w:pPr>
              <w:cnfStyle w:val="000000000000" w:firstRow="0" w:lastRow="0" w:firstColumn="0" w:lastColumn="0" w:oddVBand="0" w:evenVBand="0" w:oddHBand="0" w:evenHBand="0" w:firstRowFirstColumn="0" w:firstRowLastColumn="0" w:lastRowFirstColumn="0" w:lastRowLastColumn="0"/>
            </w:pPr>
            <w:r w:rsidRPr="00061794">
              <w:t>32.6</w:t>
            </w:r>
          </w:p>
        </w:tc>
      </w:tr>
      <w:tr w:rsidR="00AA1D10" w:rsidRPr="00061794" w:rsidTr="00F059DE">
        <w:trPr>
          <w:cnfStyle w:val="000000010000" w:firstRow="0" w:lastRow="0" w:firstColumn="0" w:lastColumn="0" w:oddVBand="0" w:evenVBand="0" w:oddHBand="0" w:evenHBand="1"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652" w:type="dxa"/>
            <w:noWrap/>
            <w:hideMark/>
          </w:tcPr>
          <w:p w:rsidR="00AA1D10" w:rsidRPr="00061794" w:rsidRDefault="00AA1D10" w:rsidP="00061794">
            <w:r w:rsidRPr="00061794">
              <w:t>Depreciation</w:t>
            </w:r>
          </w:p>
        </w:tc>
        <w:tc>
          <w:tcPr>
            <w:tcW w:w="1018" w:type="dxa"/>
            <w:gridSpan w:val="2"/>
            <w:noWrap/>
          </w:tcPr>
          <w:p w:rsidR="00AA1D10" w:rsidRPr="00061794" w:rsidRDefault="00186689" w:rsidP="00061794">
            <w:pPr>
              <w:cnfStyle w:val="000000010000" w:firstRow="0" w:lastRow="0" w:firstColumn="0" w:lastColumn="0" w:oddVBand="0" w:evenVBand="0" w:oddHBand="0" w:evenHBand="1" w:firstRowFirstColumn="0" w:firstRowLastColumn="0" w:lastRowFirstColumn="0" w:lastRowLastColumn="0"/>
            </w:pPr>
            <w:r w:rsidRPr="00061794">
              <w:t>–</w:t>
            </w:r>
            <w:r w:rsidR="00AA1D10" w:rsidRPr="00061794">
              <w:t>27.5</w:t>
            </w:r>
          </w:p>
        </w:tc>
        <w:tc>
          <w:tcPr>
            <w:tcW w:w="1018" w:type="dxa"/>
            <w:gridSpan w:val="2"/>
            <w:noWrap/>
          </w:tcPr>
          <w:p w:rsidR="00AA1D10" w:rsidRPr="00061794" w:rsidRDefault="00186689" w:rsidP="00061794">
            <w:pPr>
              <w:cnfStyle w:val="000000010000" w:firstRow="0" w:lastRow="0" w:firstColumn="0" w:lastColumn="0" w:oddVBand="0" w:evenVBand="0" w:oddHBand="0" w:evenHBand="1" w:firstRowFirstColumn="0" w:firstRowLastColumn="0" w:lastRowFirstColumn="0" w:lastRowLastColumn="0"/>
            </w:pPr>
            <w:r w:rsidRPr="00061794">
              <w:t>–</w:t>
            </w:r>
            <w:r w:rsidR="00AA1D10" w:rsidRPr="00061794">
              <w:t>41.4</w:t>
            </w:r>
          </w:p>
        </w:tc>
        <w:tc>
          <w:tcPr>
            <w:tcW w:w="1018" w:type="dxa"/>
            <w:gridSpan w:val="2"/>
            <w:noWrap/>
          </w:tcPr>
          <w:p w:rsidR="00AA1D10" w:rsidRPr="00061794" w:rsidRDefault="00186689" w:rsidP="00061794">
            <w:pPr>
              <w:cnfStyle w:val="000000010000" w:firstRow="0" w:lastRow="0" w:firstColumn="0" w:lastColumn="0" w:oddVBand="0" w:evenVBand="0" w:oddHBand="0" w:evenHBand="1" w:firstRowFirstColumn="0" w:firstRowLastColumn="0" w:lastRowFirstColumn="0" w:lastRowLastColumn="0"/>
            </w:pPr>
            <w:r w:rsidRPr="00061794">
              <w:t>–</w:t>
            </w:r>
            <w:r w:rsidR="00AA1D10" w:rsidRPr="00061794">
              <w:t>45.4</w:t>
            </w:r>
          </w:p>
        </w:tc>
        <w:tc>
          <w:tcPr>
            <w:tcW w:w="1018" w:type="dxa"/>
            <w:gridSpan w:val="2"/>
            <w:noWrap/>
          </w:tcPr>
          <w:p w:rsidR="00AA1D10" w:rsidRPr="00061794" w:rsidRDefault="00186689" w:rsidP="00061794">
            <w:pPr>
              <w:cnfStyle w:val="000000010000" w:firstRow="0" w:lastRow="0" w:firstColumn="0" w:lastColumn="0" w:oddVBand="0" w:evenVBand="0" w:oddHBand="0" w:evenHBand="1" w:firstRowFirstColumn="0" w:firstRowLastColumn="0" w:lastRowFirstColumn="0" w:lastRowLastColumn="0"/>
            </w:pPr>
            <w:r w:rsidRPr="00061794">
              <w:t>–</w:t>
            </w:r>
            <w:r w:rsidR="00AA1D10" w:rsidRPr="00061794">
              <w:t>49.9</w:t>
            </w:r>
          </w:p>
        </w:tc>
        <w:tc>
          <w:tcPr>
            <w:tcW w:w="1019" w:type="dxa"/>
            <w:noWrap/>
          </w:tcPr>
          <w:p w:rsidR="00AA1D10" w:rsidRPr="00061794" w:rsidRDefault="00186689" w:rsidP="00061794">
            <w:pPr>
              <w:cnfStyle w:val="000000010000" w:firstRow="0" w:lastRow="0" w:firstColumn="0" w:lastColumn="0" w:oddVBand="0" w:evenVBand="0" w:oddHBand="0" w:evenHBand="1" w:firstRowFirstColumn="0" w:firstRowLastColumn="0" w:lastRowFirstColumn="0" w:lastRowLastColumn="0"/>
            </w:pPr>
            <w:r w:rsidRPr="00061794">
              <w:t>–</w:t>
            </w:r>
            <w:r w:rsidR="00AA1D10" w:rsidRPr="00061794">
              <w:t>51.9</w:t>
            </w:r>
          </w:p>
        </w:tc>
      </w:tr>
      <w:tr w:rsidR="00AA1D10" w:rsidRPr="00061794" w:rsidTr="00F059DE">
        <w:trPr>
          <w:trHeight w:val="429"/>
        </w:trPr>
        <w:tc>
          <w:tcPr>
            <w:cnfStyle w:val="001000000000" w:firstRow="0" w:lastRow="0" w:firstColumn="1" w:lastColumn="0" w:oddVBand="0" w:evenVBand="0" w:oddHBand="0" w:evenHBand="0" w:firstRowFirstColumn="0" w:firstRowLastColumn="0" w:lastRowFirstColumn="0" w:lastRowLastColumn="0"/>
            <w:tcW w:w="3652" w:type="dxa"/>
            <w:noWrap/>
            <w:hideMark/>
          </w:tcPr>
          <w:p w:rsidR="00AA1D10" w:rsidRPr="00061794" w:rsidRDefault="00AA1D10" w:rsidP="00061794">
            <w:r w:rsidRPr="00061794">
              <w:t xml:space="preserve">Closing capital base </w:t>
            </w:r>
          </w:p>
        </w:tc>
        <w:tc>
          <w:tcPr>
            <w:tcW w:w="1018" w:type="dxa"/>
            <w:gridSpan w:val="2"/>
            <w:noWrap/>
          </w:tcPr>
          <w:p w:rsidR="00AA1D10" w:rsidRPr="00061794" w:rsidRDefault="00AA1D10" w:rsidP="00061794">
            <w:pPr>
              <w:cnfStyle w:val="000000000000" w:firstRow="0" w:lastRow="0" w:firstColumn="0" w:lastColumn="0" w:oddVBand="0" w:evenVBand="0" w:oddHBand="0" w:evenHBand="0" w:firstRowFirstColumn="0" w:firstRowLastColumn="0" w:lastRowFirstColumn="0" w:lastRowLastColumn="0"/>
            </w:pPr>
            <w:r w:rsidRPr="00061794">
              <w:t>1070.7</w:t>
            </w:r>
          </w:p>
        </w:tc>
        <w:tc>
          <w:tcPr>
            <w:tcW w:w="1018" w:type="dxa"/>
            <w:gridSpan w:val="2"/>
            <w:noWrap/>
          </w:tcPr>
          <w:p w:rsidR="00AA1D10" w:rsidRPr="00061794" w:rsidRDefault="00AA1D10" w:rsidP="00061794">
            <w:pPr>
              <w:cnfStyle w:val="000000000000" w:firstRow="0" w:lastRow="0" w:firstColumn="0" w:lastColumn="0" w:oddVBand="0" w:evenVBand="0" w:oddHBand="0" w:evenHBand="0" w:firstRowFirstColumn="0" w:firstRowLastColumn="0" w:lastRowFirstColumn="0" w:lastRowLastColumn="0"/>
            </w:pPr>
            <w:r w:rsidRPr="00061794">
              <w:t>1140.0</w:t>
            </w:r>
          </w:p>
        </w:tc>
        <w:tc>
          <w:tcPr>
            <w:tcW w:w="1018" w:type="dxa"/>
            <w:gridSpan w:val="2"/>
            <w:noWrap/>
          </w:tcPr>
          <w:p w:rsidR="00AA1D10" w:rsidRPr="00061794" w:rsidRDefault="00AA1D10" w:rsidP="00061794">
            <w:pPr>
              <w:cnfStyle w:val="000000000000" w:firstRow="0" w:lastRow="0" w:firstColumn="0" w:lastColumn="0" w:oddVBand="0" w:evenVBand="0" w:oddHBand="0" w:evenHBand="0" w:firstRowFirstColumn="0" w:firstRowLastColumn="0" w:lastRowFirstColumn="0" w:lastRowLastColumn="0"/>
            </w:pPr>
            <w:r w:rsidRPr="00061794">
              <w:t>1230.9</w:t>
            </w:r>
          </w:p>
        </w:tc>
        <w:tc>
          <w:tcPr>
            <w:tcW w:w="1018" w:type="dxa"/>
            <w:gridSpan w:val="2"/>
            <w:noWrap/>
          </w:tcPr>
          <w:p w:rsidR="00AA1D10" w:rsidRPr="00061794" w:rsidRDefault="00AA1D10" w:rsidP="00061794">
            <w:pPr>
              <w:cnfStyle w:val="000000000000" w:firstRow="0" w:lastRow="0" w:firstColumn="0" w:lastColumn="0" w:oddVBand="0" w:evenVBand="0" w:oddHBand="0" w:evenHBand="0" w:firstRowFirstColumn="0" w:firstRowLastColumn="0" w:lastRowFirstColumn="0" w:lastRowLastColumn="0"/>
            </w:pPr>
            <w:r w:rsidRPr="00061794">
              <w:t>1305.6</w:t>
            </w:r>
          </w:p>
        </w:tc>
        <w:tc>
          <w:tcPr>
            <w:tcW w:w="1019" w:type="dxa"/>
            <w:noWrap/>
          </w:tcPr>
          <w:p w:rsidR="00AA1D10" w:rsidRPr="00061794" w:rsidRDefault="00AA1D10" w:rsidP="00061794">
            <w:pPr>
              <w:cnfStyle w:val="000000000000" w:firstRow="0" w:lastRow="0" w:firstColumn="0" w:lastColumn="0" w:oddVBand="0" w:evenVBand="0" w:oddHBand="0" w:evenHBand="0" w:firstRowFirstColumn="0" w:firstRowLastColumn="0" w:lastRowFirstColumn="0" w:lastRowLastColumn="0"/>
            </w:pPr>
            <w:r w:rsidRPr="00061794">
              <w:t>1421.0</w:t>
            </w:r>
          </w:p>
        </w:tc>
      </w:tr>
      <w:tr w:rsidR="00AA1D10" w:rsidRPr="00061794" w:rsidTr="00F059DE">
        <w:trPr>
          <w:cnfStyle w:val="000000010000" w:firstRow="0" w:lastRow="0" w:firstColumn="0" w:lastColumn="0" w:oddVBand="0" w:evenVBand="0" w:oddHBand="0" w:evenHBand="1"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3652" w:type="dxa"/>
            <w:noWrap/>
            <w:hideMark/>
          </w:tcPr>
          <w:p w:rsidR="00AA1D10" w:rsidRPr="00061794" w:rsidRDefault="00AA1D10" w:rsidP="00061794">
            <w:r w:rsidRPr="00061794">
              <w:t>Adjustment for difference between estimated and actual capital expenditure in 2010–11</w:t>
            </w:r>
          </w:p>
        </w:tc>
        <w:tc>
          <w:tcPr>
            <w:tcW w:w="1018" w:type="dxa"/>
            <w:gridSpan w:val="2"/>
            <w:noWrap/>
          </w:tcPr>
          <w:p w:rsidR="00AA1D10" w:rsidRPr="00061794" w:rsidRDefault="00AA1D10" w:rsidP="00061794">
            <w:pPr>
              <w:cnfStyle w:val="000000010000" w:firstRow="0" w:lastRow="0" w:firstColumn="0" w:lastColumn="0" w:oddVBand="0" w:evenVBand="0" w:oddHBand="0" w:evenHBand="1" w:firstRowFirstColumn="0" w:firstRowLastColumn="0" w:lastRowFirstColumn="0" w:lastRowLastColumn="0"/>
            </w:pPr>
          </w:p>
        </w:tc>
        <w:tc>
          <w:tcPr>
            <w:tcW w:w="1018" w:type="dxa"/>
            <w:gridSpan w:val="2"/>
            <w:noWrap/>
          </w:tcPr>
          <w:p w:rsidR="00AA1D10" w:rsidRPr="00061794" w:rsidRDefault="00AA1D10" w:rsidP="00061794">
            <w:pPr>
              <w:cnfStyle w:val="000000010000" w:firstRow="0" w:lastRow="0" w:firstColumn="0" w:lastColumn="0" w:oddVBand="0" w:evenVBand="0" w:oddHBand="0" w:evenHBand="1" w:firstRowFirstColumn="0" w:firstRowLastColumn="0" w:lastRowFirstColumn="0" w:lastRowLastColumn="0"/>
            </w:pPr>
          </w:p>
        </w:tc>
        <w:tc>
          <w:tcPr>
            <w:tcW w:w="1018" w:type="dxa"/>
            <w:gridSpan w:val="2"/>
            <w:noWrap/>
          </w:tcPr>
          <w:p w:rsidR="00AA1D10" w:rsidRPr="00061794" w:rsidRDefault="00AA1D10" w:rsidP="00061794">
            <w:pPr>
              <w:cnfStyle w:val="000000010000" w:firstRow="0" w:lastRow="0" w:firstColumn="0" w:lastColumn="0" w:oddVBand="0" w:evenVBand="0" w:oddHBand="0" w:evenHBand="1" w:firstRowFirstColumn="0" w:firstRowLastColumn="0" w:lastRowFirstColumn="0" w:lastRowLastColumn="0"/>
            </w:pPr>
          </w:p>
        </w:tc>
        <w:tc>
          <w:tcPr>
            <w:tcW w:w="1018" w:type="dxa"/>
            <w:gridSpan w:val="2"/>
            <w:noWrap/>
          </w:tcPr>
          <w:p w:rsidR="00AA1D10" w:rsidRPr="00061794" w:rsidRDefault="00AA1D10" w:rsidP="00061794">
            <w:pPr>
              <w:cnfStyle w:val="000000010000" w:firstRow="0" w:lastRow="0" w:firstColumn="0" w:lastColumn="0" w:oddVBand="0" w:evenVBand="0" w:oddHBand="0" w:evenHBand="1" w:firstRowFirstColumn="0" w:firstRowLastColumn="0" w:lastRowFirstColumn="0" w:lastRowLastColumn="0"/>
            </w:pPr>
          </w:p>
        </w:tc>
        <w:tc>
          <w:tcPr>
            <w:tcW w:w="1019" w:type="dxa"/>
            <w:noWrap/>
          </w:tcPr>
          <w:p w:rsidR="00AA1D10" w:rsidRPr="00061794" w:rsidRDefault="00186689" w:rsidP="00061794">
            <w:pPr>
              <w:cnfStyle w:val="000000010000" w:firstRow="0" w:lastRow="0" w:firstColumn="0" w:lastColumn="0" w:oddVBand="0" w:evenVBand="0" w:oddHBand="0" w:evenHBand="1" w:firstRowFirstColumn="0" w:firstRowLastColumn="0" w:lastRowFirstColumn="0" w:lastRowLastColumn="0"/>
            </w:pPr>
            <w:r w:rsidRPr="00061794">
              <w:t>–</w:t>
            </w:r>
            <w:r w:rsidR="00AA1D10" w:rsidRPr="00061794">
              <w:t>6.7</w:t>
            </w:r>
          </w:p>
        </w:tc>
      </w:tr>
      <w:tr w:rsidR="00AA1D10" w:rsidRPr="00923BB6" w:rsidTr="00F059DE">
        <w:trPr>
          <w:trHeight w:val="303"/>
        </w:trPr>
        <w:tc>
          <w:tcPr>
            <w:cnfStyle w:val="001000000000" w:firstRow="0" w:lastRow="0" w:firstColumn="1" w:lastColumn="0" w:oddVBand="0" w:evenVBand="0" w:oddHBand="0" w:evenHBand="0" w:firstRowFirstColumn="0" w:firstRowLastColumn="0" w:lastRowFirstColumn="0" w:lastRowLastColumn="0"/>
            <w:tcW w:w="3652" w:type="dxa"/>
            <w:noWrap/>
            <w:hideMark/>
          </w:tcPr>
          <w:p w:rsidR="00AA1D10" w:rsidRPr="008157E7" w:rsidRDefault="00AA1D10" w:rsidP="00061794">
            <w:pPr>
              <w:rPr>
                <w:rStyle w:val="Strong"/>
              </w:rPr>
            </w:pPr>
            <w:r w:rsidRPr="008157E7">
              <w:rPr>
                <w:rStyle w:val="Strong"/>
              </w:rPr>
              <w:t>Opening capital base at 1 July 2016</w:t>
            </w:r>
          </w:p>
        </w:tc>
        <w:tc>
          <w:tcPr>
            <w:tcW w:w="811" w:type="dxa"/>
            <w:noWrap/>
          </w:tcPr>
          <w:p w:rsidR="00AA1D10" w:rsidRPr="008157E7" w:rsidRDefault="00AA1D10" w:rsidP="00061794">
            <w:pPr>
              <w:cnfStyle w:val="000000000000" w:firstRow="0" w:lastRow="0" w:firstColumn="0" w:lastColumn="0" w:oddVBand="0" w:evenVBand="0" w:oddHBand="0" w:evenHBand="0" w:firstRowFirstColumn="0" w:firstRowLastColumn="0" w:lastRowFirstColumn="0" w:lastRowLastColumn="0"/>
              <w:rPr>
                <w:rStyle w:val="Strong"/>
              </w:rPr>
            </w:pPr>
          </w:p>
        </w:tc>
        <w:tc>
          <w:tcPr>
            <w:tcW w:w="1070" w:type="dxa"/>
            <w:gridSpan w:val="2"/>
            <w:noWrap/>
          </w:tcPr>
          <w:p w:rsidR="00AA1D10" w:rsidRPr="008157E7" w:rsidRDefault="00AA1D10" w:rsidP="00061794">
            <w:pPr>
              <w:cnfStyle w:val="000000000000" w:firstRow="0" w:lastRow="0" w:firstColumn="0" w:lastColumn="0" w:oddVBand="0" w:evenVBand="0" w:oddHBand="0" w:evenHBand="0" w:firstRowFirstColumn="0" w:firstRowLastColumn="0" w:lastRowFirstColumn="0" w:lastRowLastColumn="0"/>
              <w:rPr>
                <w:rStyle w:val="Strong"/>
              </w:rPr>
            </w:pPr>
          </w:p>
        </w:tc>
        <w:tc>
          <w:tcPr>
            <w:tcW w:w="1070" w:type="dxa"/>
            <w:gridSpan w:val="2"/>
            <w:noWrap/>
          </w:tcPr>
          <w:p w:rsidR="00AA1D10" w:rsidRPr="008157E7" w:rsidRDefault="00AA1D10" w:rsidP="00061794">
            <w:pPr>
              <w:cnfStyle w:val="000000000000" w:firstRow="0" w:lastRow="0" w:firstColumn="0" w:lastColumn="0" w:oddVBand="0" w:evenVBand="0" w:oddHBand="0" w:evenHBand="0" w:firstRowFirstColumn="0" w:firstRowLastColumn="0" w:lastRowFirstColumn="0" w:lastRowLastColumn="0"/>
              <w:rPr>
                <w:rStyle w:val="Strong"/>
              </w:rPr>
            </w:pPr>
          </w:p>
        </w:tc>
        <w:tc>
          <w:tcPr>
            <w:tcW w:w="1070" w:type="dxa"/>
            <w:gridSpan w:val="2"/>
            <w:noWrap/>
          </w:tcPr>
          <w:p w:rsidR="00AA1D10" w:rsidRPr="008157E7" w:rsidRDefault="00AA1D10" w:rsidP="00061794">
            <w:pPr>
              <w:cnfStyle w:val="000000000000" w:firstRow="0" w:lastRow="0" w:firstColumn="0" w:lastColumn="0" w:oddVBand="0" w:evenVBand="0" w:oddHBand="0" w:evenHBand="0" w:firstRowFirstColumn="0" w:firstRowLastColumn="0" w:lastRowFirstColumn="0" w:lastRowLastColumn="0"/>
              <w:rPr>
                <w:rStyle w:val="Strong"/>
              </w:rPr>
            </w:pPr>
          </w:p>
        </w:tc>
        <w:tc>
          <w:tcPr>
            <w:tcW w:w="1070" w:type="dxa"/>
            <w:gridSpan w:val="2"/>
            <w:noWrap/>
          </w:tcPr>
          <w:p w:rsidR="00AA1D10" w:rsidRPr="008157E7" w:rsidRDefault="00AA1D10" w:rsidP="00061794">
            <w:pPr>
              <w:cnfStyle w:val="000000000000" w:firstRow="0" w:lastRow="0" w:firstColumn="0" w:lastColumn="0" w:oddVBand="0" w:evenVBand="0" w:oddHBand="0" w:evenHBand="0" w:firstRowFirstColumn="0" w:firstRowLastColumn="0" w:lastRowFirstColumn="0" w:lastRowLastColumn="0"/>
              <w:rPr>
                <w:rStyle w:val="Strong"/>
              </w:rPr>
            </w:pPr>
            <w:r w:rsidRPr="008157E7">
              <w:rPr>
                <w:rStyle w:val="Strong"/>
              </w:rPr>
              <w:t>1414.3</w:t>
            </w:r>
          </w:p>
        </w:tc>
      </w:tr>
    </w:tbl>
    <w:bookmarkEnd w:id="101"/>
    <w:p w:rsidR="00F059DE" w:rsidRPr="00F059DE" w:rsidRDefault="00F059DE" w:rsidP="00F059DE">
      <w:pPr>
        <w:pStyle w:val="AERtablesource"/>
        <w:rPr>
          <w:rFonts w:eastAsia="Calibri"/>
        </w:rPr>
      </w:pPr>
      <w:r w:rsidRPr="00F059DE">
        <w:rPr>
          <w:rFonts w:eastAsia="Calibri"/>
        </w:rPr>
        <w:t xml:space="preserve">Source: </w:t>
      </w:r>
      <w:r w:rsidRPr="00F059DE">
        <w:rPr>
          <w:rFonts w:eastAsia="Calibri"/>
        </w:rPr>
        <w:tab/>
        <w:t>AER analysis.</w:t>
      </w:r>
    </w:p>
    <w:p w:rsidR="00ED15A0" w:rsidRPr="0027760A" w:rsidRDefault="00F059DE" w:rsidP="00ED15A0">
      <w:pPr>
        <w:rPr>
          <w:rStyle w:val="AERbody"/>
        </w:rPr>
      </w:pPr>
      <w:bookmarkStart w:id="102" w:name="_Ref398891994"/>
      <w:r w:rsidRPr="00F059DE">
        <w:rPr>
          <w:rStyle w:val="AERbody"/>
        </w:rPr>
        <w:t xml:space="preserve">We </w:t>
      </w:r>
      <w:r w:rsidR="00923BB6">
        <w:rPr>
          <w:rStyle w:val="AERbody"/>
        </w:rPr>
        <w:t xml:space="preserve">also </w:t>
      </w:r>
      <w:r w:rsidRPr="00F059DE">
        <w:rPr>
          <w:rStyle w:val="AERbody"/>
        </w:rPr>
        <w:t>do not approve AGN’s proposed projected capital base of $2116.0 million ($nominal)</w:t>
      </w:r>
      <w:r w:rsidR="00ED15A0">
        <w:rPr>
          <w:rStyle w:val="AERbody"/>
        </w:rPr>
        <w:t xml:space="preserve"> as at 30 June 2021. </w:t>
      </w:r>
      <w:r w:rsidR="00ED15A0" w:rsidRPr="0027760A">
        <w:rPr>
          <w:rStyle w:val="AERbody"/>
        </w:rPr>
        <w:t>We instead determine a closing capital base of</w:t>
      </w:r>
      <w:r w:rsidR="00ED15A0">
        <w:rPr>
          <w:rStyle w:val="AERbody"/>
        </w:rPr>
        <w:t xml:space="preserve"> </w:t>
      </w:r>
      <w:r w:rsidR="00ED15A0" w:rsidRPr="00F059DE">
        <w:rPr>
          <w:rStyle w:val="AERbody"/>
        </w:rPr>
        <w:t>$</w:t>
      </w:r>
      <w:r w:rsidR="00ED15A0">
        <w:rPr>
          <w:rStyle w:val="AERbody"/>
        </w:rPr>
        <w:t>1767.5</w:t>
      </w:r>
      <w:r w:rsidR="00ED15A0" w:rsidRPr="00F059DE">
        <w:rPr>
          <w:rStyle w:val="AERbody"/>
        </w:rPr>
        <w:t xml:space="preserve"> million ($nominal)</w:t>
      </w:r>
      <w:r w:rsidR="00ED15A0">
        <w:rPr>
          <w:rStyle w:val="AERbody"/>
        </w:rPr>
        <w:t xml:space="preserve"> as at 30 June 2021,</w:t>
      </w:r>
      <w:r w:rsidR="00ED15A0" w:rsidRPr="00ED15A0">
        <w:rPr>
          <w:rStyle w:val="AERbody"/>
        </w:rPr>
        <w:t xml:space="preserve"> </w:t>
      </w:r>
      <w:r w:rsidR="00ED15A0" w:rsidRPr="00F059DE">
        <w:rPr>
          <w:rStyle w:val="AERbody"/>
        </w:rPr>
        <w:t>a reduction of $</w:t>
      </w:r>
      <w:r w:rsidR="00ED15A0">
        <w:rPr>
          <w:rStyle w:val="AERbody"/>
        </w:rPr>
        <w:t>348.4</w:t>
      </w:r>
      <w:r w:rsidR="00ED15A0" w:rsidRPr="00F059DE">
        <w:rPr>
          <w:rStyle w:val="AERbody"/>
        </w:rPr>
        <w:t xml:space="preserve"> million or </w:t>
      </w:r>
      <w:r w:rsidR="00ED15A0">
        <w:rPr>
          <w:rStyle w:val="AERbody"/>
        </w:rPr>
        <w:t>16.5</w:t>
      </w:r>
      <w:r w:rsidR="00ED15A0" w:rsidRPr="00F059DE">
        <w:rPr>
          <w:rStyle w:val="AERbody"/>
        </w:rPr>
        <w:t xml:space="preserve"> per cent from </w:t>
      </w:r>
      <w:r w:rsidR="00ED15A0">
        <w:rPr>
          <w:rStyle w:val="AERbody"/>
        </w:rPr>
        <w:t>the</w:t>
      </w:r>
      <w:r w:rsidR="00ED15A0" w:rsidRPr="00F059DE">
        <w:rPr>
          <w:rStyle w:val="AERbody"/>
        </w:rPr>
        <w:t xml:space="preserve"> propos</w:t>
      </w:r>
      <w:r w:rsidR="00ED15A0">
        <w:rPr>
          <w:rStyle w:val="AERbody"/>
        </w:rPr>
        <w:t>ed value</w:t>
      </w:r>
      <w:r w:rsidRPr="00F059DE">
        <w:rPr>
          <w:rStyle w:val="AERbody"/>
        </w:rPr>
        <w:t xml:space="preserve">. </w:t>
      </w:r>
      <w:r w:rsidR="00ED15A0" w:rsidRPr="0027760A">
        <w:rPr>
          <w:rStyle w:val="AERbody"/>
        </w:rPr>
        <w:t>The main reasons for the reduction are our adjustments</w:t>
      </w:r>
      <w:r w:rsidR="00ED15A0">
        <w:rPr>
          <w:rStyle w:val="AERbody"/>
        </w:rPr>
        <w:t>—also reductions—</w:t>
      </w:r>
      <w:r w:rsidR="00ED15A0" w:rsidRPr="0027760A">
        <w:rPr>
          <w:rStyle w:val="AERbody"/>
        </w:rPr>
        <w:t xml:space="preserve">to </w:t>
      </w:r>
      <w:r w:rsidR="00ED15A0">
        <w:rPr>
          <w:rStyle w:val="AERbody"/>
        </w:rPr>
        <w:t>AGN's</w:t>
      </w:r>
      <w:r w:rsidR="00ED15A0" w:rsidRPr="0027760A">
        <w:rPr>
          <w:rStyle w:val="AERbody"/>
        </w:rPr>
        <w:t xml:space="preserve"> opening capital base as at 1 July 201</w:t>
      </w:r>
      <w:r w:rsidR="00ED15A0">
        <w:rPr>
          <w:rStyle w:val="AERbody"/>
        </w:rPr>
        <w:t>6</w:t>
      </w:r>
      <w:r w:rsidR="00ED15A0" w:rsidRPr="0027760A">
        <w:rPr>
          <w:rStyle w:val="AERbody"/>
        </w:rPr>
        <w:t xml:space="preserve"> (</w:t>
      </w:r>
      <w:r w:rsidR="00ED15A0">
        <w:rPr>
          <w:rStyle w:val="AERbody"/>
        </w:rPr>
        <w:t>discussed above</w:t>
      </w:r>
      <w:r w:rsidR="00ED15A0" w:rsidRPr="0027760A">
        <w:rPr>
          <w:rStyle w:val="AERbody"/>
        </w:rPr>
        <w:t>), forecast net capex (</w:t>
      </w:r>
      <w:r w:rsidR="00ED15A0">
        <w:rPr>
          <w:rStyle w:val="AERbody"/>
        </w:rPr>
        <w:t>see section</w:t>
      </w:r>
      <w:r w:rsidR="00C01149">
        <w:rPr>
          <w:rStyle w:val="AERbody"/>
        </w:rPr>
        <w:t xml:space="preserve"> </w:t>
      </w:r>
      <w:r w:rsidR="00C01149">
        <w:rPr>
          <w:rStyle w:val="AERbody"/>
        </w:rPr>
        <w:fldChar w:fldCharType="begin"/>
      </w:r>
      <w:r w:rsidR="00C01149">
        <w:rPr>
          <w:rStyle w:val="AERbody"/>
        </w:rPr>
        <w:instrText xml:space="preserve"> REF _Ref435794475 \r \h </w:instrText>
      </w:r>
      <w:r w:rsidR="00C01149">
        <w:rPr>
          <w:rStyle w:val="AERbody"/>
        </w:rPr>
      </w:r>
      <w:r w:rsidR="00C01149">
        <w:rPr>
          <w:rStyle w:val="AERbody"/>
        </w:rPr>
        <w:fldChar w:fldCharType="separate"/>
      </w:r>
      <w:r w:rsidR="00E90DAD">
        <w:rPr>
          <w:rStyle w:val="AERbody"/>
        </w:rPr>
        <w:t>4.5</w:t>
      </w:r>
      <w:r w:rsidR="00C01149">
        <w:rPr>
          <w:rStyle w:val="AERbody"/>
        </w:rPr>
        <w:fldChar w:fldCharType="end"/>
      </w:r>
      <w:r w:rsidR="00ED15A0" w:rsidRPr="0027760A">
        <w:rPr>
          <w:rStyle w:val="AERbody"/>
        </w:rPr>
        <w:t>) and depreciation (</w:t>
      </w:r>
      <w:r w:rsidR="00ED15A0">
        <w:rPr>
          <w:rStyle w:val="AERbody"/>
        </w:rPr>
        <w:t>see section</w:t>
      </w:r>
      <w:r w:rsidR="00C01149">
        <w:rPr>
          <w:rStyle w:val="AERbody"/>
        </w:rPr>
        <w:t xml:space="preserve"> </w:t>
      </w:r>
      <w:r w:rsidR="00C01149">
        <w:rPr>
          <w:rStyle w:val="AERbody"/>
        </w:rPr>
        <w:fldChar w:fldCharType="begin"/>
      </w:r>
      <w:r w:rsidR="00C01149">
        <w:rPr>
          <w:rStyle w:val="AERbody"/>
        </w:rPr>
        <w:instrText xml:space="preserve"> REF _Ref435794500 \r \h </w:instrText>
      </w:r>
      <w:r w:rsidR="00C01149">
        <w:rPr>
          <w:rStyle w:val="AERbody"/>
        </w:rPr>
      </w:r>
      <w:r w:rsidR="00C01149">
        <w:rPr>
          <w:rStyle w:val="AERbody"/>
        </w:rPr>
        <w:fldChar w:fldCharType="separate"/>
      </w:r>
      <w:r w:rsidR="00E90DAD">
        <w:rPr>
          <w:rStyle w:val="AERbody"/>
        </w:rPr>
        <w:t>4.4</w:t>
      </w:r>
      <w:r w:rsidR="00C01149">
        <w:rPr>
          <w:rStyle w:val="AERbody"/>
        </w:rPr>
        <w:fldChar w:fldCharType="end"/>
      </w:r>
      <w:r w:rsidR="00C01149">
        <w:rPr>
          <w:rStyle w:val="AERbody"/>
        </w:rPr>
        <w:t>)</w:t>
      </w:r>
      <w:r w:rsidR="00ED15A0" w:rsidRPr="0027760A">
        <w:rPr>
          <w:rStyle w:val="AERbody"/>
        </w:rPr>
        <w:t>.</w:t>
      </w:r>
    </w:p>
    <w:p w:rsidR="00F059DE" w:rsidRPr="00F059DE" w:rsidRDefault="004C1837" w:rsidP="00F059DE">
      <w:pPr>
        <w:rPr>
          <w:rStyle w:val="AERbody"/>
        </w:rPr>
      </w:pPr>
      <w:r>
        <w:rPr>
          <w:rStyle w:val="AERbody"/>
        </w:rPr>
        <w:fldChar w:fldCharType="begin"/>
      </w:r>
      <w:r>
        <w:rPr>
          <w:rStyle w:val="AERbody"/>
        </w:rPr>
        <w:instrText xml:space="preserve"> REF _Ref433374664 \h </w:instrText>
      </w:r>
      <w:r>
        <w:rPr>
          <w:rStyle w:val="AERbody"/>
        </w:rPr>
      </w:r>
      <w:r>
        <w:rPr>
          <w:rStyle w:val="AERbody"/>
        </w:rPr>
        <w:fldChar w:fldCharType="separate"/>
      </w:r>
      <w:r w:rsidR="00E90DAD">
        <w:t xml:space="preserve">Table </w:t>
      </w:r>
      <w:r w:rsidR="00E90DAD">
        <w:rPr>
          <w:noProof/>
        </w:rPr>
        <w:t>4</w:t>
      </w:r>
      <w:r>
        <w:rPr>
          <w:rStyle w:val="AERbody"/>
        </w:rPr>
        <w:fldChar w:fldCharType="end"/>
      </w:r>
      <w:r>
        <w:rPr>
          <w:rStyle w:val="AERbody"/>
        </w:rPr>
        <w:t xml:space="preserve"> </w:t>
      </w:r>
      <w:r w:rsidR="00F059DE" w:rsidRPr="00F059DE">
        <w:rPr>
          <w:rStyle w:val="AERbody"/>
        </w:rPr>
        <w:t>sets out the projected roll forward of the capital base during the 2016–21 access arrangement period.</w:t>
      </w:r>
    </w:p>
    <w:p w:rsidR="00F059DE" w:rsidRPr="00F059DE" w:rsidRDefault="004C1837" w:rsidP="004C1837">
      <w:pPr>
        <w:pStyle w:val="Caption"/>
      </w:pPr>
      <w:bookmarkStart w:id="103" w:name="_Ref433374664"/>
      <w:bookmarkEnd w:id="102"/>
      <w:r>
        <w:t xml:space="preserve">Table </w:t>
      </w:r>
      <w:fldSimple w:instr=" SEQ Table \* ARABIC ">
        <w:r w:rsidR="00E90DAD">
          <w:rPr>
            <w:noProof/>
          </w:rPr>
          <w:t>4</w:t>
        </w:r>
      </w:fldSimple>
      <w:bookmarkEnd w:id="103"/>
      <w:r>
        <w:t xml:space="preserve"> </w:t>
      </w:r>
      <w:r w:rsidR="00F059DE" w:rsidRPr="00F059DE">
        <w:t>AER’s draft decision on projected capital base roll forward for the 2016–21 access arrangement period ($million, nominal)</w:t>
      </w:r>
      <w:bookmarkStart w:id="104" w:name="_Ref328757042"/>
    </w:p>
    <w:tbl>
      <w:tblPr>
        <w:tblStyle w:val="AERtable-numbers"/>
        <w:tblW w:w="8742" w:type="dxa"/>
        <w:tblLayout w:type="fixed"/>
        <w:tblLook w:val="04A0" w:firstRow="1" w:lastRow="0" w:firstColumn="1" w:lastColumn="0" w:noHBand="0" w:noVBand="1"/>
      </w:tblPr>
      <w:tblGrid>
        <w:gridCol w:w="2710"/>
        <w:gridCol w:w="1206"/>
        <w:gridCol w:w="1206"/>
        <w:gridCol w:w="1207"/>
        <w:gridCol w:w="1206"/>
        <w:gridCol w:w="1207"/>
      </w:tblGrid>
      <w:tr w:rsidR="00F059DE" w:rsidRPr="00476954" w:rsidTr="00F059DE">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710" w:type="dxa"/>
            <w:tcBorders>
              <w:top w:val="nil"/>
              <w:left w:val="nil"/>
              <w:bottom w:val="nil"/>
              <w:right w:val="nil"/>
            </w:tcBorders>
            <w:noWrap/>
          </w:tcPr>
          <w:p w:rsidR="00F059DE" w:rsidRPr="00476954" w:rsidRDefault="00F059DE" w:rsidP="0003454E"/>
        </w:tc>
        <w:tc>
          <w:tcPr>
            <w:tcW w:w="1206" w:type="dxa"/>
            <w:tcBorders>
              <w:top w:val="nil"/>
              <w:left w:val="nil"/>
              <w:bottom w:val="nil"/>
              <w:right w:val="nil"/>
            </w:tcBorders>
            <w:noWrap/>
            <w:hideMark/>
          </w:tcPr>
          <w:p w:rsidR="00F059DE" w:rsidRPr="00986F00" w:rsidRDefault="00F059DE" w:rsidP="00986F00">
            <w:pPr>
              <w:cnfStyle w:val="100000000000" w:firstRow="1" w:lastRow="0" w:firstColumn="0" w:lastColumn="0" w:oddVBand="0" w:evenVBand="0" w:oddHBand="0" w:evenHBand="0" w:firstRowFirstColumn="0" w:firstRowLastColumn="0" w:lastRowFirstColumn="0" w:lastRowLastColumn="0"/>
            </w:pPr>
            <w:r w:rsidRPr="00986F00">
              <w:t>2016–17</w:t>
            </w:r>
          </w:p>
        </w:tc>
        <w:tc>
          <w:tcPr>
            <w:tcW w:w="1206" w:type="dxa"/>
            <w:tcBorders>
              <w:top w:val="nil"/>
              <w:left w:val="nil"/>
              <w:bottom w:val="nil"/>
              <w:right w:val="nil"/>
            </w:tcBorders>
            <w:noWrap/>
            <w:hideMark/>
          </w:tcPr>
          <w:p w:rsidR="00F059DE" w:rsidRPr="00986F00" w:rsidRDefault="00F059DE" w:rsidP="00986F00">
            <w:pPr>
              <w:cnfStyle w:val="100000000000" w:firstRow="1" w:lastRow="0" w:firstColumn="0" w:lastColumn="0" w:oddVBand="0" w:evenVBand="0" w:oddHBand="0" w:evenHBand="0" w:firstRowFirstColumn="0" w:firstRowLastColumn="0" w:lastRowFirstColumn="0" w:lastRowLastColumn="0"/>
            </w:pPr>
            <w:r w:rsidRPr="00986F00">
              <w:t>2017–18</w:t>
            </w:r>
          </w:p>
        </w:tc>
        <w:tc>
          <w:tcPr>
            <w:tcW w:w="1207" w:type="dxa"/>
            <w:tcBorders>
              <w:top w:val="nil"/>
              <w:left w:val="nil"/>
              <w:bottom w:val="nil"/>
              <w:right w:val="nil"/>
            </w:tcBorders>
            <w:noWrap/>
            <w:hideMark/>
          </w:tcPr>
          <w:p w:rsidR="00F059DE" w:rsidRPr="00986F00" w:rsidRDefault="00F059DE" w:rsidP="00986F00">
            <w:pPr>
              <w:cnfStyle w:val="100000000000" w:firstRow="1" w:lastRow="0" w:firstColumn="0" w:lastColumn="0" w:oddVBand="0" w:evenVBand="0" w:oddHBand="0" w:evenHBand="0" w:firstRowFirstColumn="0" w:firstRowLastColumn="0" w:lastRowFirstColumn="0" w:lastRowLastColumn="0"/>
            </w:pPr>
            <w:r w:rsidRPr="00986F00">
              <w:t>2018–19</w:t>
            </w:r>
          </w:p>
        </w:tc>
        <w:tc>
          <w:tcPr>
            <w:tcW w:w="1206" w:type="dxa"/>
            <w:tcBorders>
              <w:top w:val="nil"/>
              <w:left w:val="nil"/>
              <w:bottom w:val="nil"/>
              <w:right w:val="nil"/>
            </w:tcBorders>
            <w:noWrap/>
            <w:hideMark/>
          </w:tcPr>
          <w:p w:rsidR="00F059DE" w:rsidRPr="00986F00" w:rsidRDefault="00F059DE" w:rsidP="00986F00">
            <w:pPr>
              <w:cnfStyle w:val="100000000000" w:firstRow="1" w:lastRow="0" w:firstColumn="0" w:lastColumn="0" w:oddVBand="0" w:evenVBand="0" w:oddHBand="0" w:evenHBand="0" w:firstRowFirstColumn="0" w:firstRowLastColumn="0" w:lastRowFirstColumn="0" w:lastRowLastColumn="0"/>
            </w:pPr>
            <w:r w:rsidRPr="00986F00">
              <w:t>2019–20</w:t>
            </w:r>
          </w:p>
        </w:tc>
        <w:tc>
          <w:tcPr>
            <w:tcW w:w="1207" w:type="dxa"/>
            <w:tcBorders>
              <w:top w:val="nil"/>
              <w:left w:val="nil"/>
              <w:bottom w:val="nil"/>
              <w:right w:val="nil"/>
            </w:tcBorders>
            <w:noWrap/>
            <w:hideMark/>
          </w:tcPr>
          <w:p w:rsidR="00F059DE" w:rsidRPr="00986F00" w:rsidRDefault="00F059DE" w:rsidP="00986F00">
            <w:pPr>
              <w:cnfStyle w:val="100000000000" w:firstRow="1" w:lastRow="0" w:firstColumn="0" w:lastColumn="0" w:oddVBand="0" w:evenVBand="0" w:oddHBand="0" w:evenHBand="0" w:firstRowFirstColumn="0" w:firstRowLastColumn="0" w:lastRowFirstColumn="0" w:lastRowLastColumn="0"/>
            </w:pPr>
            <w:r w:rsidRPr="00986F00">
              <w:t>2020–21</w:t>
            </w:r>
          </w:p>
        </w:tc>
      </w:tr>
      <w:tr w:rsidR="00DF08B0" w:rsidTr="00F059DE">
        <w:trPr>
          <w:trHeight w:val="353"/>
        </w:trPr>
        <w:tc>
          <w:tcPr>
            <w:cnfStyle w:val="001000000000" w:firstRow="0" w:lastRow="0" w:firstColumn="1" w:lastColumn="0" w:oddVBand="0" w:evenVBand="0" w:oddHBand="0" w:evenHBand="0" w:firstRowFirstColumn="0" w:firstRowLastColumn="0" w:lastRowFirstColumn="0" w:lastRowLastColumn="0"/>
            <w:tcW w:w="2710" w:type="dxa"/>
            <w:tcBorders>
              <w:top w:val="nil"/>
              <w:left w:val="nil"/>
              <w:bottom w:val="nil"/>
              <w:right w:val="nil"/>
            </w:tcBorders>
            <w:noWrap/>
            <w:hideMark/>
          </w:tcPr>
          <w:p w:rsidR="00DF08B0" w:rsidRPr="00DF08B0" w:rsidRDefault="00DF08B0" w:rsidP="00DF08B0">
            <w:pPr>
              <w:pStyle w:val="BodyText3"/>
            </w:pPr>
            <w:r w:rsidRPr="00DF08B0">
              <w:t>Opening capital base</w:t>
            </w:r>
          </w:p>
        </w:tc>
        <w:tc>
          <w:tcPr>
            <w:tcW w:w="1206" w:type="dxa"/>
            <w:tcBorders>
              <w:top w:val="nil"/>
              <w:left w:val="nil"/>
              <w:bottom w:val="nil"/>
              <w:right w:val="nil"/>
            </w:tcBorders>
            <w:noWrap/>
          </w:tcPr>
          <w:p w:rsidR="00DF08B0" w:rsidRPr="00DF08B0" w:rsidRDefault="00DF08B0" w:rsidP="00DF08B0">
            <w:pPr>
              <w:cnfStyle w:val="000000000000" w:firstRow="0" w:lastRow="0" w:firstColumn="0" w:lastColumn="0" w:oddVBand="0" w:evenVBand="0" w:oddHBand="0" w:evenHBand="0" w:firstRowFirstColumn="0" w:firstRowLastColumn="0" w:lastRowFirstColumn="0" w:lastRowLastColumn="0"/>
            </w:pPr>
            <w:r w:rsidRPr="00DF08B0">
              <w:t>1414.3</w:t>
            </w:r>
          </w:p>
        </w:tc>
        <w:tc>
          <w:tcPr>
            <w:tcW w:w="1206" w:type="dxa"/>
            <w:tcBorders>
              <w:top w:val="nil"/>
              <w:left w:val="nil"/>
              <w:bottom w:val="nil"/>
              <w:right w:val="nil"/>
            </w:tcBorders>
            <w:noWrap/>
          </w:tcPr>
          <w:p w:rsidR="00DF08B0" w:rsidRPr="00DF08B0" w:rsidRDefault="00DF08B0" w:rsidP="00DF08B0">
            <w:pPr>
              <w:cnfStyle w:val="000000000000" w:firstRow="0" w:lastRow="0" w:firstColumn="0" w:lastColumn="0" w:oddVBand="0" w:evenVBand="0" w:oddHBand="0" w:evenHBand="0" w:firstRowFirstColumn="0" w:firstRowLastColumn="0" w:lastRowFirstColumn="0" w:lastRowLastColumn="0"/>
            </w:pPr>
            <w:r w:rsidRPr="00DF08B0">
              <w:t>1489.0</w:t>
            </w:r>
          </w:p>
        </w:tc>
        <w:tc>
          <w:tcPr>
            <w:tcW w:w="1207" w:type="dxa"/>
            <w:tcBorders>
              <w:top w:val="nil"/>
              <w:left w:val="nil"/>
              <w:bottom w:val="nil"/>
              <w:right w:val="nil"/>
            </w:tcBorders>
            <w:noWrap/>
          </w:tcPr>
          <w:p w:rsidR="00DF08B0" w:rsidRPr="00DF08B0" w:rsidRDefault="00DF08B0" w:rsidP="00DF08B0">
            <w:pPr>
              <w:cnfStyle w:val="000000000000" w:firstRow="0" w:lastRow="0" w:firstColumn="0" w:lastColumn="0" w:oddVBand="0" w:evenVBand="0" w:oddHBand="0" w:evenHBand="0" w:firstRowFirstColumn="0" w:firstRowLastColumn="0" w:lastRowFirstColumn="0" w:lastRowLastColumn="0"/>
            </w:pPr>
            <w:r w:rsidRPr="00DF08B0">
              <w:t>1566.0</w:t>
            </w:r>
          </w:p>
        </w:tc>
        <w:tc>
          <w:tcPr>
            <w:tcW w:w="1206" w:type="dxa"/>
            <w:tcBorders>
              <w:top w:val="nil"/>
              <w:left w:val="nil"/>
              <w:bottom w:val="nil"/>
              <w:right w:val="nil"/>
            </w:tcBorders>
            <w:noWrap/>
          </w:tcPr>
          <w:p w:rsidR="00DF08B0" w:rsidRPr="00DF08B0" w:rsidRDefault="00DF08B0" w:rsidP="00DF08B0">
            <w:pPr>
              <w:cnfStyle w:val="000000000000" w:firstRow="0" w:lastRow="0" w:firstColumn="0" w:lastColumn="0" w:oddVBand="0" w:evenVBand="0" w:oddHBand="0" w:evenHBand="0" w:firstRowFirstColumn="0" w:firstRowLastColumn="0" w:lastRowFirstColumn="0" w:lastRowLastColumn="0"/>
            </w:pPr>
            <w:r w:rsidRPr="00DF08B0">
              <w:t>1636.2</w:t>
            </w:r>
          </w:p>
        </w:tc>
        <w:tc>
          <w:tcPr>
            <w:tcW w:w="1207" w:type="dxa"/>
            <w:tcBorders>
              <w:top w:val="nil"/>
              <w:left w:val="nil"/>
              <w:bottom w:val="nil"/>
              <w:right w:val="nil"/>
            </w:tcBorders>
            <w:noWrap/>
          </w:tcPr>
          <w:p w:rsidR="00DF08B0" w:rsidRPr="00DF08B0" w:rsidRDefault="00DF08B0" w:rsidP="00DF08B0">
            <w:pPr>
              <w:cnfStyle w:val="000000000000" w:firstRow="0" w:lastRow="0" w:firstColumn="0" w:lastColumn="0" w:oddVBand="0" w:evenVBand="0" w:oddHBand="0" w:evenHBand="0" w:firstRowFirstColumn="0" w:firstRowLastColumn="0" w:lastRowFirstColumn="0" w:lastRowLastColumn="0"/>
            </w:pPr>
            <w:r w:rsidRPr="00DF08B0">
              <w:t>1699.6</w:t>
            </w:r>
          </w:p>
        </w:tc>
      </w:tr>
      <w:tr w:rsidR="00DF08B0" w:rsidTr="00F059DE">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710" w:type="dxa"/>
            <w:tcBorders>
              <w:top w:val="nil"/>
              <w:left w:val="nil"/>
              <w:bottom w:val="nil"/>
              <w:right w:val="nil"/>
            </w:tcBorders>
            <w:noWrap/>
            <w:hideMark/>
          </w:tcPr>
          <w:p w:rsidR="00DF08B0" w:rsidRPr="00DF08B0" w:rsidRDefault="00DF08B0" w:rsidP="00DF08B0">
            <w:pPr>
              <w:pStyle w:val="BodyText3"/>
            </w:pPr>
            <w:r w:rsidRPr="00DF08B0">
              <w:t>Net capex</w:t>
            </w:r>
          </w:p>
        </w:tc>
        <w:tc>
          <w:tcPr>
            <w:tcW w:w="1206" w:type="dxa"/>
            <w:tcBorders>
              <w:top w:val="nil"/>
              <w:left w:val="nil"/>
              <w:bottom w:val="nil"/>
              <w:right w:val="nil"/>
            </w:tcBorders>
            <w:noWrap/>
          </w:tcPr>
          <w:p w:rsidR="00DF08B0" w:rsidRPr="00DF08B0" w:rsidRDefault="00DF08B0" w:rsidP="00DF08B0">
            <w:pPr>
              <w:cnfStyle w:val="000000010000" w:firstRow="0" w:lastRow="0" w:firstColumn="0" w:lastColumn="0" w:oddVBand="0" w:evenVBand="0" w:oddHBand="0" w:evenHBand="1" w:firstRowFirstColumn="0" w:firstRowLastColumn="0" w:lastRowFirstColumn="0" w:lastRowLastColumn="0"/>
            </w:pPr>
            <w:r w:rsidRPr="00DF08B0">
              <w:t>84.6</w:t>
            </w:r>
          </w:p>
        </w:tc>
        <w:tc>
          <w:tcPr>
            <w:tcW w:w="1206" w:type="dxa"/>
            <w:tcBorders>
              <w:top w:val="nil"/>
              <w:left w:val="nil"/>
              <w:bottom w:val="nil"/>
              <w:right w:val="nil"/>
            </w:tcBorders>
            <w:noWrap/>
          </w:tcPr>
          <w:p w:rsidR="00DF08B0" w:rsidRPr="00DF08B0" w:rsidRDefault="00DF08B0" w:rsidP="00DF08B0">
            <w:pPr>
              <w:cnfStyle w:val="000000010000" w:firstRow="0" w:lastRow="0" w:firstColumn="0" w:lastColumn="0" w:oddVBand="0" w:evenVBand="0" w:oddHBand="0" w:evenHBand="1" w:firstRowFirstColumn="0" w:firstRowLastColumn="0" w:lastRowFirstColumn="0" w:lastRowLastColumn="0"/>
            </w:pPr>
            <w:r w:rsidRPr="00DF08B0">
              <w:t>90.3</w:t>
            </w:r>
          </w:p>
        </w:tc>
        <w:tc>
          <w:tcPr>
            <w:tcW w:w="1207" w:type="dxa"/>
            <w:tcBorders>
              <w:top w:val="nil"/>
              <w:left w:val="nil"/>
              <w:bottom w:val="nil"/>
              <w:right w:val="nil"/>
            </w:tcBorders>
            <w:noWrap/>
          </w:tcPr>
          <w:p w:rsidR="00DF08B0" w:rsidRPr="00DF08B0" w:rsidRDefault="00DF08B0" w:rsidP="00DF08B0">
            <w:pPr>
              <w:cnfStyle w:val="000000010000" w:firstRow="0" w:lastRow="0" w:firstColumn="0" w:lastColumn="0" w:oddVBand="0" w:evenVBand="0" w:oddHBand="0" w:evenHBand="1" w:firstRowFirstColumn="0" w:firstRowLastColumn="0" w:lastRowFirstColumn="0" w:lastRowLastColumn="0"/>
            </w:pPr>
            <w:r w:rsidRPr="00DF08B0">
              <w:t>88.1</w:t>
            </w:r>
          </w:p>
        </w:tc>
        <w:tc>
          <w:tcPr>
            <w:tcW w:w="1206" w:type="dxa"/>
            <w:tcBorders>
              <w:top w:val="nil"/>
              <w:left w:val="nil"/>
              <w:bottom w:val="nil"/>
              <w:right w:val="nil"/>
            </w:tcBorders>
            <w:noWrap/>
          </w:tcPr>
          <w:p w:rsidR="00DF08B0" w:rsidRPr="00DF08B0" w:rsidRDefault="00DF08B0" w:rsidP="00DF08B0">
            <w:pPr>
              <w:cnfStyle w:val="000000010000" w:firstRow="0" w:lastRow="0" w:firstColumn="0" w:lastColumn="0" w:oddVBand="0" w:evenVBand="0" w:oddHBand="0" w:evenHBand="1" w:firstRowFirstColumn="0" w:firstRowLastColumn="0" w:lastRowFirstColumn="0" w:lastRowLastColumn="0"/>
            </w:pPr>
            <w:r w:rsidRPr="00DF08B0">
              <w:t>85.0</w:t>
            </w:r>
          </w:p>
        </w:tc>
        <w:tc>
          <w:tcPr>
            <w:tcW w:w="1207" w:type="dxa"/>
            <w:tcBorders>
              <w:top w:val="nil"/>
              <w:left w:val="nil"/>
              <w:bottom w:val="nil"/>
              <w:right w:val="nil"/>
            </w:tcBorders>
            <w:noWrap/>
          </w:tcPr>
          <w:p w:rsidR="00DF08B0" w:rsidRPr="00DF08B0" w:rsidRDefault="00DF08B0" w:rsidP="00DF08B0">
            <w:pPr>
              <w:cnfStyle w:val="000000010000" w:firstRow="0" w:lastRow="0" w:firstColumn="0" w:lastColumn="0" w:oddVBand="0" w:evenVBand="0" w:oddHBand="0" w:evenHBand="1" w:firstRowFirstColumn="0" w:firstRowLastColumn="0" w:lastRowFirstColumn="0" w:lastRowLastColumn="0"/>
            </w:pPr>
            <w:r w:rsidRPr="00DF08B0">
              <w:t>87.9</w:t>
            </w:r>
          </w:p>
        </w:tc>
      </w:tr>
      <w:tr w:rsidR="00DF08B0" w:rsidTr="00F059DE">
        <w:trPr>
          <w:trHeight w:val="423"/>
        </w:trPr>
        <w:tc>
          <w:tcPr>
            <w:cnfStyle w:val="001000000000" w:firstRow="0" w:lastRow="0" w:firstColumn="1" w:lastColumn="0" w:oddVBand="0" w:evenVBand="0" w:oddHBand="0" w:evenHBand="0" w:firstRowFirstColumn="0" w:firstRowLastColumn="0" w:lastRowFirstColumn="0" w:lastRowLastColumn="0"/>
            <w:tcW w:w="2710" w:type="dxa"/>
            <w:tcBorders>
              <w:top w:val="nil"/>
              <w:left w:val="nil"/>
              <w:bottom w:val="nil"/>
              <w:right w:val="nil"/>
            </w:tcBorders>
            <w:noWrap/>
            <w:hideMark/>
          </w:tcPr>
          <w:p w:rsidR="00DF08B0" w:rsidRPr="00DF08B0" w:rsidRDefault="00DF08B0" w:rsidP="00DF08B0">
            <w:pPr>
              <w:pStyle w:val="BodyText3"/>
            </w:pPr>
            <w:r w:rsidRPr="00DF08B0">
              <w:t>Indexation of capital base</w:t>
            </w:r>
          </w:p>
        </w:tc>
        <w:tc>
          <w:tcPr>
            <w:tcW w:w="1206" w:type="dxa"/>
            <w:tcBorders>
              <w:top w:val="nil"/>
              <w:left w:val="nil"/>
              <w:bottom w:val="nil"/>
              <w:right w:val="nil"/>
            </w:tcBorders>
            <w:noWrap/>
          </w:tcPr>
          <w:p w:rsidR="00DF08B0" w:rsidRPr="00DF08B0" w:rsidRDefault="00DF08B0" w:rsidP="00DF08B0">
            <w:pPr>
              <w:cnfStyle w:val="000000000000" w:firstRow="0" w:lastRow="0" w:firstColumn="0" w:lastColumn="0" w:oddVBand="0" w:evenVBand="0" w:oddHBand="0" w:evenHBand="0" w:firstRowFirstColumn="0" w:firstRowLastColumn="0" w:lastRowFirstColumn="0" w:lastRowLastColumn="0"/>
            </w:pPr>
            <w:r w:rsidRPr="00DF08B0">
              <w:t>35.4</w:t>
            </w:r>
          </w:p>
        </w:tc>
        <w:tc>
          <w:tcPr>
            <w:tcW w:w="1206" w:type="dxa"/>
            <w:tcBorders>
              <w:top w:val="nil"/>
              <w:left w:val="nil"/>
              <w:bottom w:val="nil"/>
              <w:right w:val="nil"/>
            </w:tcBorders>
            <w:noWrap/>
          </w:tcPr>
          <w:p w:rsidR="00DF08B0" w:rsidRPr="00DF08B0" w:rsidRDefault="00DF08B0" w:rsidP="00DF08B0">
            <w:pPr>
              <w:cnfStyle w:val="000000000000" w:firstRow="0" w:lastRow="0" w:firstColumn="0" w:lastColumn="0" w:oddVBand="0" w:evenVBand="0" w:oddHBand="0" w:evenHBand="0" w:firstRowFirstColumn="0" w:firstRowLastColumn="0" w:lastRowFirstColumn="0" w:lastRowLastColumn="0"/>
            </w:pPr>
            <w:r w:rsidRPr="00DF08B0">
              <w:t>37.2</w:t>
            </w:r>
          </w:p>
        </w:tc>
        <w:tc>
          <w:tcPr>
            <w:tcW w:w="1207" w:type="dxa"/>
            <w:tcBorders>
              <w:top w:val="nil"/>
              <w:left w:val="nil"/>
              <w:bottom w:val="nil"/>
              <w:right w:val="nil"/>
            </w:tcBorders>
            <w:noWrap/>
          </w:tcPr>
          <w:p w:rsidR="00DF08B0" w:rsidRPr="00DF08B0" w:rsidRDefault="00DF08B0" w:rsidP="00DF08B0">
            <w:pPr>
              <w:cnfStyle w:val="000000000000" w:firstRow="0" w:lastRow="0" w:firstColumn="0" w:lastColumn="0" w:oddVBand="0" w:evenVBand="0" w:oddHBand="0" w:evenHBand="0" w:firstRowFirstColumn="0" w:firstRowLastColumn="0" w:lastRowFirstColumn="0" w:lastRowLastColumn="0"/>
            </w:pPr>
            <w:r w:rsidRPr="00DF08B0">
              <w:t>39.1</w:t>
            </w:r>
          </w:p>
        </w:tc>
        <w:tc>
          <w:tcPr>
            <w:tcW w:w="1206" w:type="dxa"/>
            <w:tcBorders>
              <w:top w:val="nil"/>
              <w:left w:val="nil"/>
              <w:bottom w:val="nil"/>
              <w:right w:val="nil"/>
            </w:tcBorders>
            <w:noWrap/>
          </w:tcPr>
          <w:p w:rsidR="00DF08B0" w:rsidRPr="00DF08B0" w:rsidRDefault="00DF08B0" w:rsidP="00DF08B0">
            <w:pPr>
              <w:cnfStyle w:val="000000000000" w:firstRow="0" w:lastRow="0" w:firstColumn="0" w:lastColumn="0" w:oddVBand="0" w:evenVBand="0" w:oddHBand="0" w:evenHBand="0" w:firstRowFirstColumn="0" w:firstRowLastColumn="0" w:lastRowFirstColumn="0" w:lastRowLastColumn="0"/>
            </w:pPr>
            <w:r w:rsidRPr="00DF08B0">
              <w:t>40.9</w:t>
            </w:r>
          </w:p>
        </w:tc>
        <w:tc>
          <w:tcPr>
            <w:tcW w:w="1207" w:type="dxa"/>
            <w:tcBorders>
              <w:top w:val="nil"/>
              <w:left w:val="nil"/>
              <w:bottom w:val="nil"/>
              <w:right w:val="nil"/>
            </w:tcBorders>
            <w:noWrap/>
          </w:tcPr>
          <w:p w:rsidR="00DF08B0" w:rsidRPr="00DF08B0" w:rsidRDefault="00DF08B0" w:rsidP="00DF08B0">
            <w:pPr>
              <w:cnfStyle w:val="000000000000" w:firstRow="0" w:lastRow="0" w:firstColumn="0" w:lastColumn="0" w:oddVBand="0" w:evenVBand="0" w:oddHBand="0" w:evenHBand="0" w:firstRowFirstColumn="0" w:firstRowLastColumn="0" w:lastRowFirstColumn="0" w:lastRowLastColumn="0"/>
            </w:pPr>
            <w:r w:rsidRPr="00DF08B0">
              <w:t>42.5</w:t>
            </w:r>
          </w:p>
        </w:tc>
      </w:tr>
      <w:tr w:rsidR="00DF08B0" w:rsidTr="00F059DE">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710" w:type="dxa"/>
            <w:tcBorders>
              <w:top w:val="nil"/>
              <w:left w:val="nil"/>
              <w:bottom w:val="nil"/>
              <w:right w:val="nil"/>
            </w:tcBorders>
            <w:noWrap/>
            <w:hideMark/>
          </w:tcPr>
          <w:p w:rsidR="00DF08B0" w:rsidRPr="00DF08B0" w:rsidRDefault="00DF08B0" w:rsidP="00DF08B0">
            <w:pPr>
              <w:pStyle w:val="BodyText3"/>
            </w:pPr>
            <w:r w:rsidRPr="00DF08B0">
              <w:t>Depreciation</w:t>
            </w:r>
          </w:p>
        </w:tc>
        <w:tc>
          <w:tcPr>
            <w:tcW w:w="1206" w:type="dxa"/>
            <w:tcBorders>
              <w:top w:val="nil"/>
              <w:left w:val="nil"/>
              <w:bottom w:val="nil"/>
              <w:right w:val="nil"/>
            </w:tcBorders>
            <w:noWrap/>
          </w:tcPr>
          <w:p w:rsidR="00DF08B0" w:rsidRPr="00DF08B0" w:rsidRDefault="00DF08B0" w:rsidP="00DF08B0">
            <w:pPr>
              <w:cnfStyle w:val="000000010000" w:firstRow="0" w:lastRow="0" w:firstColumn="0" w:lastColumn="0" w:oddVBand="0" w:evenVBand="0" w:oddHBand="0" w:evenHBand="1" w:firstRowFirstColumn="0" w:firstRowLastColumn="0" w:lastRowFirstColumn="0" w:lastRowLastColumn="0"/>
            </w:pPr>
            <w:r>
              <w:t>–</w:t>
            </w:r>
            <w:r w:rsidRPr="00DF08B0">
              <w:t>45.3</w:t>
            </w:r>
          </w:p>
        </w:tc>
        <w:tc>
          <w:tcPr>
            <w:tcW w:w="1206" w:type="dxa"/>
            <w:tcBorders>
              <w:top w:val="nil"/>
              <w:left w:val="nil"/>
              <w:bottom w:val="nil"/>
              <w:right w:val="nil"/>
            </w:tcBorders>
            <w:noWrap/>
          </w:tcPr>
          <w:p w:rsidR="00DF08B0" w:rsidRPr="00DF08B0" w:rsidRDefault="00DF08B0" w:rsidP="00DF08B0">
            <w:pPr>
              <w:cnfStyle w:val="000000010000" w:firstRow="0" w:lastRow="0" w:firstColumn="0" w:lastColumn="0" w:oddVBand="0" w:evenVBand="0" w:oddHBand="0" w:evenHBand="1" w:firstRowFirstColumn="0" w:firstRowLastColumn="0" w:lastRowFirstColumn="0" w:lastRowLastColumn="0"/>
            </w:pPr>
            <w:r>
              <w:t>–</w:t>
            </w:r>
            <w:r w:rsidRPr="00DF08B0">
              <w:t>50.5</w:t>
            </w:r>
          </w:p>
        </w:tc>
        <w:tc>
          <w:tcPr>
            <w:tcW w:w="1207" w:type="dxa"/>
            <w:tcBorders>
              <w:top w:val="nil"/>
              <w:left w:val="nil"/>
              <w:bottom w:val="nil"/>
              <w:right w:val="nil"/>
            </w:tcBorders>
            <w:noWrap/>
          </w:tcPr>
          <w:p w:rsidR="00DF08B0" w:rsidRPr="00DF08B0" w:rsidRDefault="00DF08B0" w:rsidP="00DF08B0">
            <w:pPr>
              <w:cnfStyle w:val="000000010000" w:firstRow="0" w:lastRow="0" w:firstColumn="0" w:lastColumn="0" w:oddVBand="0" w:evenVBand="0" w:oddHBand="0" w:evenHBand="1" w:firstRowFirstColumn="0" w:firstRowLastColumn="0" w:lastRowFirstColumn="0" w:lastRowLastColumn="0"/>
            </w:pPr>
            <w:r>
              <w:t>–</w:t>
            </w:r>
            <w:r w:rsidRPr="00DF08B0">
              <w:t>57.0</w:t>
            </w:r>
          </w:p>
        </w:tc>
        <w:tc>
          <w:tcPr>
            <w:tcW w:w="1206" w:type="dxa"/>
            <w:tcBorders>
              <w:top w:val="nil"/>
              <w:left w:val="nil"/>
              <w:bottom w:val="nil"/>
              <w:right w:val="nil"/>
            </w:tcBorders>
            <w:noWrap/>
          </w:tcPr>
          <w:p w:rsidR="00DF08B0" w:rsidRPr="00DF08B0" w:rsidRDefault="00DF08B0" w:rsidP="00DF08B0">
            <w:pPr>
              <w:cnfStyle w:val="000000010000" w:firstRow="0" w:lastRow="0" w:firstColumn="0" w:lastColumn="0" w:oddVBand="0" w:evenVBand="0" w:oddHBand="0" w:evenHBand="1" w:firstRowFirstColumn="0" w:firstRowLastColumn="0" w:lastRowFirstColumn="0" w:lastRowLastColumn="0"/>
            </w:pPr>
            <w:r>
              <w:t>–</w:t>
            </w:r>
            <w:r w:rsidRPr="00DF08B0">
              <w:t>62.5</w:t>
            </w:r>
          </w:p>
        </w:tc>
        <w:tc>
          <w:tcPr>
            <w:tcW w:w="1207" w:type="dxa"/>
            <w:tcBorders>
              <w:top w:val="nil"/>
              <w:left w:val="nil"/>
              <w:bottom w:val="nil"/>
              <w:right w:val="nil"/>
            </w:tcBorders>
            <w:noWrap/>
          </w:tcPr>
          <w:p w:rsidR="00DF08B0" w:rsidRPr="00DF08B0" w:rsidRDefault="00DF08B0" w:rsidP="00DF08B0">
            <w:pPr>
              <w:cnfStyle w:val="000000010000" w:firstRow="0" w:lastRow="0" w:firstColumn="0" w:lastColumn="0" w:oddVBand="0" w:evenVBand="0" w:oddHBand="0" w:evenHBand="1" w:firstRowFirstColumn="0" w:firstRowLastColumn="0" w:lastRowFirstColumn="0" w:lastRowLastColumn="0"/>
            </w:pPr>
            <w:r>
              <w:t>–</w:t>
            </w:r>
            <w:r w:rsidRPr="00DF08B0">
              <w:t>62.4</w:t>
            </w:r>
          </w:p>
        </w:tc>
      </w:tr>
      <w:tr w:rsidR="00DF08B0" w:rsidTr="00F059DE">
        <w:trPr>
          <w:trHeight w:val="427"/>
        </w:trPr>
        <w:tc>
          <w:tcPr>
            <w:cnfStyle w:val="001000000000" w:firstRow="0" w:lastRow="0" w:firstColumn="1" w:lastColumn="0" w:oddVBand="0" w:evenVBand="0" w:oddHBand="0" w:evenHBand="0" w:firstRowFirstColumn="0" w:firstRowLastColumn="0" w:lastRowFirstColumn="0" w:lastRowLastColumn="0"/>
            <w:tcW w:w="2710" w:type="dxa"/>
            <w:tcBorders>
              <w:top w:val="nil"/>
              <w:left w:val="nil"/>
              <w:bottom w:val="single" w:sz="4" w:space="0" w:color="365F91"/>
              <w:right w:val="nil"/>
            </w:tcBorders>
            <w:noWrap/>
            <w:hideMark/>
          </w:tcPr>
          <w:p w:rsidR="00DF08B0" w:rsidRPr="00DF08B0" w:rsidRDefault="00DF08B0" w:rsidP="00DF08B0">
            <w:pPr>
              <w:pStyle w:val="BodyText3"/>
            </w:pPr>
            <w:r w:rsidRPr="00DF08B0">
              <w:t>Closing capital base</w:t>
            </w:r>
          </w:p>
        </w:tc>
        <w:tc>
          <w:tcPr>
            <w:tcW w:w="1206" w:type="dxa"/>
            <w:tcBorders>
              <w:top w:val="nil"/>
              <w:left w:val="nil"/>
              <w:bottom w:val="single" w:sz="4" w:space="0" w:color="365F91"/>
              <w:right w:val="nil"/>
            </w:tcBorders>
            <w:noWrap/>
          </w:tcPr>
          <w:p w:rsidR="00DF08B0" w:rsidRPr="00DF08B0" w:rsidRDefault="00DF08B0" w:rsidP="00DF08B0">
            <w:pPr>
              <w:cnfStyle w:val="000000000000" w:firstRow="0" w:lastRow="0" w:firstColumn="0" w:lastColumn="0" w:oddVBand="0" w:evenVBand="0" w:oddHBand="0" w:evenHBand="0" w:firstRowFirstColumn="0" w:firstRowLastColumn="0" w:lastRowFirstColumn="0" w:lastRowLastColumn="0"/>
            </w:pPr>
            <w:r w:rsidRPr="00DF08B0">
              <w:t>1489.0</w:t>
            </w:r>
          </w:p>
        </w:tc>
        <w:tc>
          <w:tcPr>
            <w:tcW w:w="1206" w:type="dxa"/>
            <w:tcBorders>
              <w:top w:val="nil"/>
              <w:left w:val="nil"/>
              <w:bottom w:val="single" w:sz="4" w:space="0" w:color="365F91"/>
              <w:right w:val="nil"/>
            </w:tcBorders>
            <w:noWrap/>
          </w:tcPr>
          <w:p w:rsidR="00DF08B0" w:rsidRPr="00DF08B0" w:rsidRDefault="00DF08B0" w:rsidP="00DF08B0">
            <w:pPr>
              <w:cnfStyle w:val="000000000000" w:firstRow="0" w:lastRow="0" w:firstColumn="0" w:lastColumn="0" w:oddVBand="0" w:evenVBand="0" w:oddHBand="0" w:evenHBand="0" w:firstRowFirstColumn="0" w:firstRowLastColumn="0" w:lastRowFirstColumn="0" w:lastRowLastColumn="0"/>
            </w:pPr>
            <w:r w:rsidRPr="00DF08B0">
              <w:t>1566.0</w:t>
            </w:r>
          </w:p>
        </w:tc>
        <w:tc>
          <w:tcPr>
            <w:tcW w:w="1207" w:type="dxa"/>
            <w:tcBorders>
              <w:top w:val="nil"/>
              <w:left w:val="nil"/>
              <w:bottom w:val="single" w:sz="4" w:space="0" w:color="365F91"/>
              <w:right w:val="nil"/>
            </w:tcBorders>
            <w:noWrap/>
          </w:tcPr>
          <w:p w:rsidR="00DF08B0" w:rsidRPr="00DF08B0" w:rsidRDefault="00DF08B0" w:rsidP="00DF08B0">
            <w:pPr>
              <w:cnfStyle w:val="000000000000" w:firstRow="0" w:lastRow="0" w:firstColumn="0" w:lastColumn="0" w:oddVBand="0" w:evenVBand="0" w:oddHBand="0" w:evenHBand="0" w:firstRowFirstColumn="0" w:firstRowLastColumn="0" w:lastRowFirstColumn="0" w:lastRowLastColumn="0"/>
            </w:pPr>
            <w:r w:rsidRPr="00DF08B0">
              <w:t>1636.2</w:t>
            </w:r>
          </w:p>
        </w:tc>
        <w:tc>
          <w:tcPr>
            <w:tcW w:w="1206" w:type="dxa"/>
            <w:tcBorders>
              <w:top w:val="nil"/>
              <w:left w:val="nil"/>
              <w:bottom w:val="single" w:sz="4" w:space="0" w:color="365F91"/>
              <w:right w:val="nil"/>
            </w:tcBorders>
            <w:noWrap/>
          </w:tcPr>
          <w:p w:rsidR="00DF08B0" w:rsidRPr="00DF08B0" w:rsidRDefault="00DF08B0" w:rsidP="00DF08B0">
            <w:pPr>
              <w:cnfStyle w:val="000000000000" w:firstRow="0" w:lastRow="0" w:firstColumn="0" w:lastColumn="0" w:oddVBand="0" w:evenVBand="0" w:oddHBand="0" w:evenHBand="0" w:firstRowFirstColumn="0" w:firstRowLastColumn="0" w:lastRowFirstColumn="0" w:lastRowLastColumn="0"/>
            </w:pPr>
            <w:r w:rsidRPr="00DF08B0">
              <w:t>1699.6</w:t>
            </w:r>
          </w:p>
        </w:tc>
        <w:tc>
          <w:tcPr>
            <w:tcW w:w="1207" w:type="dxa"/>
            <w:tcBorders>
              <w:top w:val="nil"/>
              <w:left w:val="nil"/>
              <w:bottom w:val="single" w:sz="4" w:space="0" w:color="365F91"/>
              <w:right w:val="nil"/>
            </w:tcBorders>
            <w:noWrap/>
          </w:tcPr>
          <w:p w:rsidR="00DF08B0" w:rsidRPr="00DF08B0" w:rsidRDefault="00DF08B0" w:rsidP="00DF08B0">
            <w:pPr>
              <w:cnfStyle w:val="000000000000" w:firstRow="0" w:lastRow="0" w:firstColumn="0" w:lastColumn="0" w:oddVBand="0" w:evenVBand="0" w:oddHBand="0" w:evenHBand="0" w:firstRowFirstColumn="0" w:firstRowLastColumn="0" w:lastRowFirstColumn="0" w:lastRowLastColumn="0"/>
            </w:pPr>
            <w:r w:rsidRPr="00DF08B0">
              <w:t>1767.5</w:t>
            </w:r>
          </w:p>
        </w:tc>
      </w:tr>
    </w:tbl>
    <w:bookmarkEnd w:id="104"/>
    <w:p w:rsidR="00F059DE" w:rsidRPr="00F059DE" w:rsidRDefault="00F059DE" w:rsidP="00F059DE">
      <w:pPr>
        <w:pStyle w:val="AERtablesource"/>
        <w:rPr>
          <w:rFonts w:eastAsia="Calibri"/>
        </w:rPr>
      </w:pPr>
      <w:r w:rsidRPr="00F059DE">
        <w:rPr>
          <w:rFonts w:eastAsia="Calibri"/>
        </w:rPr>
        <w:t xml:space="preserve">Source: </w:t>
      </w:r>
      <w:r w:rsidRPr="00F059DE">
        <w:rPr>
          <w:rFonts w:eastAsia="Calibri"/>
        </w:rPr>
        <w:tab/>
        <w:t>AER analysis.</w:t>
      </w:r>
    </w:p>
    <w:p w:rsidR="00ED15A0" w:rsidRDefault="00ED15A0" w:rsidP="00ED15A0">
      <w:bookmarkStart w:id="105" w:name="_Toc430002790"/>
      <w:bookmarkStart w:id="106" w:name="_Ref433373979"/>
      <w:bookmarkStart w:id="107" w:name="_Ref433375587"/>
      <w:r>
        <w:t>The capital base at the commencement of the 2021–26 access arrangement period will be subject to adjustments consistent with the NGR.</w:t>
      </w:r>
      <w:r w:rsidRPr="00ED15A0">
        <w:rPr>
          <w:rStyle w:val="FootnoteReference"/>
        </w:rPr>
        <w:footnoteReference w:id="30"/>
      </w:r>
      <w:r>
        <w:t xml:space="preserve"> These adjustments include (but are not limited to) </w:t>
      </w:r>
      <w:r w:rsidRPr="00BF4761">
        <w:t>the difference between estimated and actual capex for 2015–16 (the final year of the 2011–16 access arrangement period</w:t>
      </w:r>
      <w:r>
        <w:t xml:space="preserve">), </w:t>
      </w:r>
      <w:r w:rsidRPr="00BF4761">
        <w:t>actual inflation and approved depreciation over the 2016–21 access arrangement period.</w:t>
      </w:r>
      <w:r>
        <w:t xml:space="preserve"> We accept AGN's proposal to use forecast depreciation for the 2016–21 access arrangement period to establish AGN’s opening capital base as at 1 July 2021.</w:t>
      </w:r>
    </w:p>
    <w:p w:rsidR="00710D26" w:rsidRDefault="00710D26" w:rsidP="00710D26">
      <w:pPr>
        <w:pStyle w:val="Heading2"/>
      </w:pPr>
      <w:bookmarkStart w:id="108" w:name="_Ref435793306"/>
      <w:bookmarkStart w:id="109" w:name="_Toc436037697"/>
      <w:r>
        <w:t>Rate of return (return on capital)</w:t>
      </w:r>
      <w:bookmarkEnd w:id="105"/>
      <w:bookmarkEnd w:id="106"/>
      <w:bookmarkEnd w:id="107"/>
      <w:bookmarkEnd w:id="108"/>
      <w:bookmarkEnd w:id="109"/>
    </w:p>
    <w:p w:rsidR="005C6CE2" w:rsidRDefault="005C6CE2" w:rsidP="005C6CE2">
      <w:pPr>
        <w:numPr>
          <w:ilvl w:val="0"/>
          <w:numId w:val="24"/>
        </w:numPr>
      </w:pPr>
      <w:r w:rsidRPr="00112BF8">
        <w:t xml:space="preserve">The return </w:t>
      </w:r>
      <w:r>
        <w:t>on capital provides AGN</w:t>
      </w:r>
      <w:r w:rsidRPr="00112BF8">
        <w:t xml:space="preserve"> </w:t>
      </w:r>
      <w:r>
        <w:t xml:space="preserve">with revenue </w:t>
      </w:r>
      <w:r w:rsidRPr="00112BF8">
        <w:t xml:space="preserve">to service the interest on its loans and give a return on equity to </w:t>
      </w:r>
      <w:r>
        <w:t>shareholders</w:t>
      </w:r>
      <w:r w:rsidRPr="00112BF8">
        <w:t>. T</w:t>
      </w:r>
      <w:r>
        <w:t xml:space="preserve">he return on capital </w:t>
      </w:r>
      <w:r w:rsidRPr="00112BF8">
        <w:t xml:space="preserve">building block is calculated as a product of the rate of return and the value of the </w:t>
      </w:r>
      <w:r>
        <w:t>capital base</w:t>
      </w:r>
      <w:r w:rsidRPr="00112BF8">
        <w:t>.</w:t>
      </w:r>
      <w:r w:rsidRPr="00112BF8">
        <w:rPr>
          <w:rStyle w:val="FootnoteReference"/>
        </w:rPr>
        <w:footnoteReference w:id="31"/>
      </w:r>
    </w:p>
    <w:p w:rsidR="005C6CE2" w:rsidRPr="00112BF8" w:rsidRDefault="005C6CE2" w:rsidP="005C6CE2">
      <w:pPr>
        <w:pStyle w:val="ListParagraph"/>
        <w:numPr>
          <w:ilvl w:val="0"/>
          <w:numId w:val="24"/>
        </w:numPr>
      </w:pPr>
      <w:r w:rsidRPr="006F443A">
        <w:t>The</w:t>
      </w:r>
      <w:r>
        <w:t xml:space="preserve"> NGR set out that the</w:t>
      </w:r>
      <w:r w:rsidRPr="006F443A">
        <w:t xml:space="preserve"> </w:t>
      </w:r>
      <w:r>
        <w:t xml:space="preserve">allowed </w:t>
      </w:r>
      <w:r w:rsidRPr="006F443A">
        <w:t xml:space="preserve">rate of return must be commensurate with the efficient financing costs of a benchmark efficient entity with a similar degree of risk as that which applies to the </w:t>
      </w:r>
      <w:r>
        <w:t>distributor</w:t>
      </w:r>
      <w:r w:rsidRPr="006F443A">
        <w:t xml:space="preserve"> in respect of the prov</w:t>
      </w:r>
      <w:r>
        <w:t>ision of distribution services.</w:t>
      </w:r>
      <w:r w:rsidRPr="006F443A">
        <w:t xml:space="preserve"> The N</w:t>
      </w:r>
      <w:r>
        <w:t>G</w:t>
      </w:r>
      <w:r w:rsidRPr="006F443A">
        <w:t>R refe</w:t>
      </w:r>
      <w:r>
        <w:t>r to this requirement as the 'allowed rate of return objective'</w:t>
      </w:r>
      <w:r w:rsidRPr="006F443A">
        <w:t>.</w:t>
      </w:r>
      <w:r>
        <w:rPr>
          <w:rStyle w:val="FootnoteReference"/>
        </w:rPr>
        <w:footnoteReference w:id="32"/>
      </w:r>
    </w:p>
    <w:p w:rsidR="005C6CE2" w:rsidRDefault="005C6CE2" w:rsidP="005C6CE2">
      <w:pPr>
        <w:numPr>
          <w:ilvl w:val="0"/>
          <w:numId w:val="24"/>
        </w:numPr>
      </w:pPr>
      <w:r w:rsidRPr="006F443A">
        <w:t xml:space="preserve">We have determined an allowed rate of return </w:t>
      </w:r>
      <w:r w:rsidRPr="004C5A48">
        <w:rPr>
          <w:rStyle w:val="AERbody"/>
        </w:rPr>
        <w:t xml:space="preserve">of </w:t>
      </w:r>
      <w:r w:rsidR="00E131D6">
        <w:rPr>
          <w:rStyle w:val="AERbody"/>
        </w:rPr>
        <w:t>6.02</w:t>
      </w:r>
      <w:r w:rsidRPr="006F443A">
        <w:t xml:space="preserve"> per cent (</w:t>
      </w:r>
      <w:r w:rsidR="00E131D6">
        <w:t xml:space="preserve">for 2016–17, </w:t>
      </w:r>
      <w:r w:rsidRPr="006F443A">
        <w:t>nominal vanilla</w:t>
      </w:r>
      <w:r w:rsidRPr="00E97C9A">
        <w:rPr>
          <w:rStyle w:val="AERsuperscript"/>
        </w:rPr>
        <w:footnoteReference w:id="33"/>
      </w:r>
      <w:r w:rsidRPr="006F443A">
        <w:t xml:space="preserve">). We have not accepted </w:t>
      </w:r>
      <w:r>
        <w:t xml:space="preserve">AGN’s proposed </w:t>
      </w:r>
      <w:r w:rsidR="00E131D6">
        <w:t>7.23</w:t>
      </w:r>
      <w:r w:rsidRPr="004C5A48">
        <w:rPr>
          <w:rStyle w:val="AERbody"/>
        </w:rPr>
        <w:t xml:space="preserve"> per</w:t>
      </w:r>
      <w:r w:rsidRPr="006F443A">
        <w:t xml:space="preserve"> cent </w:t>
      </w:r>
      <w:r w:rsidR="008E5D96">
        <w:t xml:space="preserve">rate of </w:t>
      </w:r>
      <w:r w:rsidRPr="006F443A">
        <w:t xml:space="preserve">return. </w:t>
      </w:r>
      <w:r>
        <w:t xml:space="preserve">In accordance with </w:t>
      </w:r>
      <w:r w:rsidR="00B93B66">
        <w:t xml:space="preserve">our </w:t>
      </w:r>
      <w:r>
        <w:t xml:space="preserve">Rate of Return Guideline, we </w:t>
      </w:r>
      <w:r w:rsidRPr="006F443A">
        <w:t>will update the rate of return annual</w:t>
      </w:r>
      <w:r>
        <w:t>ly</w:t>
      </w:r>
      <w:r w:rsidRPr="006F443A">
        <w:t>.</w:t>
      </w:r>
      <w:r w:rsidRPr="00E97C9A">
        <w:rPr>
          <w:rStyle w:val="AERsuperscript"/>
        </w:rPr>
        <w:footnoteReference w:id="34"/>
      </w:r>
      <w:r>
        <w:t xml:space="preserve"> </w:t>
      </w:r>
      <w:r>
        <w:fldChar w:fldCharType="begin"/>
      </w:r>
      <w:r>
        <w:instrText xml:space="preserve"> REF _Ref433621643 \h </w:instrText>
      </w:r>
      <w:r>
        <w:fldChar w:fldCharType="separate"/>
      </w:r>
      <w:r w:rsidR="00E90DAD">
        <w:t xml:space="preserve">Table </w:t>
      </w:r>
      <w:r w:rsidR="00E90DAD">
        <w:rPr>
          <w:noProof/>
        </w:rPr>
        <w:t>5</w:t>
      </w:r>
      <w:r>
        <w:fldChar w:fldCharType="end"/>
      </w:r>
      <w:r>
        <w:t xml:space="preserve"> </w:t>
      </w:r>
      <w:r w:rsidRPr="006F443A">
        <w:t>sets out the parameters we have used to determine the rate of return.</w:t>
      </w:r>
    </w:p>
    <w:p w:rsidR="005C6CE2" w:rsidRDefault="005C6CE2" w:rsidP="009872D3">
      <w:pPr>
        <w:pStyle w:val="Caption"/>
      </w:pPr>
      <w:bookmarkStart w:id="110" w:name="_Ref433621643"/>
      <w:r>
        <w:t xml:space="preserve">Table </w:t>
      </w:r>
      <w:fldSimple w:instr=" SEQ Table \* ARABIC ">
        <w:r w:rsidR="00E90DAD">
          <w:rPr>
            <w:noProof/>
          </w:rPr>
          <w:t>5</w:t>
        </w:r>
      </w:fldSimple>
      <w:bookmarkEnd w:id="110"/>
      <w:r>
        <w:t xml:space="preserve"> AER's draft decision on AGN’s rate of return (nominal)</w:t>
      </w:r>
    </w:p>
    <w:tbl>
      <w:tblPr>
        <w:tblStyle w:val="AERtable-numbers"/>
        <w:tblW w:w="5000" w:type="pct"/>
        <w:tblLook w:val="04A0" w:firstRow="1" w:lastRow="0" w:firstColumn="1" w:lastColumn="0" w:noHBand="0" w:noVBand="1"/>
      </w:tblPr>
      <w:tblGrid>
        <w:gridCol w:w="2473"/>
        <w:gridCol w:w="1554"/>
        <w:gridCol w:w="1556"/>
        <w:gridCol w:w="1554"/>
        <w:gridCol w:w="1556"/>
      </w:tblGrid>
      <w:tr w:rsidR="005C6CE2" w:rsidRPr="00EC650B" w:rsidTr="00EC65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2" w:type="pct"/>
          </w:tcPr>
          <w:p w:rsidR="005C6CE2" w:rsidRPr="00EC650B" w:rsidRDefault="005C6CE2" w:rsidP="009872D3">
            <w:pPr>
              <w:keepNext/>
            </w:pPr>
          </w:p>
        </w:tc>
        <w:tc>
          <w:tcPr>
            <w:tcW w:w="894" w:type="pct"/>
          </w:tcPr>
          <w:p w:rsidR="005C6CE2" w:rsidRPr="00EC650B" w:rsidRDefault="005C6CE2" w:rsidP="009872D3">
            <w:pPr>
              <w:keepNext/>
              <w:cnfStyle w:val="100000000000" w:firstRow="1" w:lastRow="0" w:firstColumn="0" w:lastColumn="0" w:oddVBand="0" w:evenVBand="0" w:oddHBand="0" w:evenHBand="0" w:firstRowFirstColumn="0" w:firstRowLastColumn="0" w:lastRowFirstColumn="0" w:lastRowLastColumn="0"/>
            </w:pPr>
            <w:r w:rsidRPr="00EC650B">
              <w:t>AER previous decision</w:t>
            </w:r>
          </w:p>
          <w:p w:rsidR="005C6CE2" w:rsidRPr="00EC650B" w:rsidRDefault="005C6CE2" w:rsidP="009872D3">
            <w:pPr>
              <w:keepNext/>
              <w:cnfStyle w:val="100000000000" w:firstRow="1" w:lastRow="0" w:firstColumn="0" w:lastColumn="0" w:oddVBand="0" w:evenVBand="0" w:oddHBand="0" w:evenHBand="0" w:firstRowFirstColumn="0" w:firstRowLastColumn="0" w:lastRowFirstColumn="0" w:lastRowLastColumn="0"/>
            </w:pPr>
            <w:r w:rsidRPr="00EC650B">
              <w:t>(2011</w:t>
            </w:r>
            <w:r w:rsidRPr="00EC650B">
              <w:br w:type="column"/>
              <w:t>–16)</w:t>
            </w:r>
          </w:p>
        </w:tc>
        <w:tc>
          <w:tcPr>
            <w:tcW w:w="895" w:type="pct"/>
          </w:tcPr>
          <w:p w:rsidR="005C6CE2" w:rsidRPr="00EC650B" w:rsidRDefault="005C6CE2" w:rsidP="009872D3">
            <w:pPr>
              <w:keepNext/>
              <w:cnfStyle w:val="100000000000" w:firstRow="1" w:lastRow="0" w:firstColumn="0" w:lastColumn="0" w:oddVBand="0" w:evenVBand="0" w:oddHBand="0" w:evenHBand="0" w:firstRowFirstColumn="0" w:firstRowLastColumn="0" w:lastRowFirstColumn="0" w:lastRowLastColumn="0"/>
            </w:pPr>
          </w:p>
          <w:p w:rsidR="005C6CE2" w:rsidRPr="00EC650B" w:rsidRDefault="005C6CE2" w:rsidP="009872D3">
            <w:pPr>
              <w:keepNext/>
              <w:cnfStyle w:val="100000000000" w:firstRow="1" w:lastRow="0" w:firstColumn="0" w:lastColumn="0" w:oddVBand="0" w:evenVBand="0" w:oddHBand="0" w:evenHBand="0" w:firstRowFirstColumn="0" w:firstRowLastColumn="0" w:lastRowFirstColumn="0" w:lastRowLastColumn="0"/>
            </w:pPr>
            <w:r w:rsidRPr="00EC650B">
              <w:t>AGN proposal</w:t>
            </w:r>
          </w:p>
          <w:p w:rsidR="005C6CE2" w:rsidRPr="00EC650B" w:rsidRDefault="005C6CE2" w:rsidP="009872D3">
            <w:pPr>
              <w:keepNext/>
              <w:cnfStyle w:val="100000000000" w:firstRow="1" w:lastRow="0" w:firstColumn="0" w:lastColumn="0" w:oddVBand="0" w:evenVBand="0" w:oddHBand="0" w:evenHBand="0" w:firstRowFirstColumn="0" w:firstRowLastColumn="0" w:lastRowFirstColumn="0" w:lastRowLastColumn="0"/>
            </w:pPr>
            <w:r w:rsidRPr="00EC650B">
              <w:t>(2016–17)(a)</w:t>
            </w:r>
          </w:p>
          <w:p w:rsidR="005C6CE2" w:rsidRPr="00EC650B" w:rsidRDefault="005C6CE2" w:rsidP="009872D3">
            <w:pPr>
              <w:keepNext/>
              <w:cnfStyle w:val="100000000000" w:firstRow="1" w:lastRow="0" w:firstColumn="0" w:lastColumn="0" w:oddVBand="0" w:evenVBand="0" w:oddHBand="0" w:evenHBand="0" w:firstRowFirstColumn="0" w:firstRowLastColumn="0" w:lastRowFirstColumn="0" w:lastRowLastColumn="0"/>
            </w:pPr>
          </w:p>
        </w:tc>
        <w:tc>
          <w:tcPr>
            <w:tcW w:w="894" w:type="pct"/>
          </w:tcPr>
          <w:p w:rsidR="005C6CE2" w:rsidRPr="00EC650B" w:rsidRDefault="005C6CE2" w:rsidP="009872D3">
            <w:pPr>
              <w:keepNext/>
              <w:cnfStyle w:val="100000000000" w:firstRow="1" w:lastRow="0" w:firstColumn="0" w:lastColumn="0" w:oddVBand="0" w:evenVBand="0" w:oddHBand="0" w:evenHBand="0" w:firstRowFirstColumn="0" w:firstRowLastColumn="0" w:lastRowFirstColumn="0" w:lastRowLastColumn="0"/>
            </w:pPr>
            <w:r w:rsidRPr="00EC650B">
              <w:t>AER draft decision</w:t>
            </w:r>
          </w:p>
          <w:p w:rsidR="005C6CE2" w:rsidRPr="00EC650B" w:rsidRDefault="005C6CE2" w:rsidP="009872D3">
            <w:pPr>
              <w:keepNext/>
              <w:cnfStyle w:val="100000000000" w:firstRow="1" w:lastRow="0" w:firstColumn="0" w:lastColumn="0" w:oddVBand="0" w:evenVBand="0" w:oddHBand="0" w:evenHBand="0" w:firstRowFirstColumn="0" w:firstRowLastColumn="0" w:lastRowFirstColumn="0" w:lastRowLastColumn="0"/>
            </w:pPr>
            <w:r w:rsidRPr="00EC650B">
              <w:t>(2016–17)</w:t>
            </w:r>
          </w:p>
        </w:tc>
        <w:tc>
          <w:tcPr>
            <w:tcW w:w="895" w:type="pct"/>
          </w:tcPr>
          <w:p w:rsidR="005C6CE2" w:rsidRPr="00EC650B" w:rsidRDefault="005C6CE2" w:rsidP="009872D3">
            <w:pPr>
              <w:keepNext/>
              <w:cnfStyle w:val="100000000000" w:firstRow="1" w:lastRow="0" w:firstColumn="0" w:lastColumn="0" w:oddVBand="0" w:evenVBand="0" w:oddHBand="0" w:evenHBand="0" w:firstRowFirstColumn="0" w:firstRowLastColumn="0" w:lastRowFirstColumn="0" w:lastRowLastColumn="0"/>
            </w:pPr>
            <w:r w:rsidRPr="00EC650B">
              <w:t>Return over</w:t>
            </w:r>
          </w:p>
          <w:p w:rsidR="005C6CE2" w:rsidRPr="00EC650B" w:rsidRDefault="005C6CE2" w:rsidP="009872D3">
            <w:pPr>
              <w:keepNext/>
              <w:cnfStyle w:val="100000000000" w:firstRow="1" w:lastRow="0" w:firstColumn="0" w:lastColumn="0" w:oddVBand="0" w:evenVBand="0" w:oddHBand="0" w:evenHBand="0" w:firstRowFirstColumn="0" w:firstRowLastColumn="0" w:lastRowFirstColumn="0" w:lastRowLastColumn="0"/>
            </w:pPr>
            <w:r w:rsidRPr="00EC650B">
              <w:t>2016–21 access arrangement period</w:t>
            </w:r>
          </w:p>
        </w:tc>
      </w:tr>
      <w:tr w:rsidR="00E131D6" w:rsidRPr="00EC650B" w:rsidTr="00EC650B">
        <w:tc>
          <w:tcPr>
            <w:cnfStyle w:val="001000000000" w:firstRow="0" w:lastRow="0" w:firstColumn="1" w:lastColumn="0" w:oddVBand="0" w:evenVBand="0" w:oddHBand="0" w:evenHBand="0" w:firstRowFirstColumn="0" w:firstRowLastColumn="0" w:lastRowFirstColumn="0" w:lastRowLastColumn="0"/>
            <w:tcW w:w="1422" w:type="pct"/>
          </w:tcPr>
          <w:p w:rsidR="00E131D6" w:rsidRPr="00EC650B" w:rsidRDefault="00A93392" w:rsidP="009872D3">
            <w:pPr>
              <w:keepNext/>
            </w:pPr>
            <w:r>
              <w:t xml:space="preserve">Return on equity </w:t>
            </w:r>
            <w:r w:rsidR="00E131D6" w:rsidRPr="00EC650B">
              <w:t xml:space="preserve">(nominal post–tax) </w:t>
            </w:r>
          </w:p>
        </w:tc>
        <w:tc>
          <w:tcPr>
            <w:tcW w:w="894" w:type="pct"/>
          </w:tcPr>
          <w:p w:rsidR="00E131D6" w:rsidRPr="00EC650B" w:rsidRDefault="00E131D6" w:rsidP="009872D3">
            <w:pPr>
              <w:keepNext/>
              <w:cnfStyle w:val="000000000000" w:firstRow="0" w:lastRow="0" w:firstColumn="0" w:lastColumn="0" w:oddVBand="0" w:evenVBand="0" w:oddHBand="0" w:evenHBand="0" w:firstRowFirstColumn="0" w:firstRowLastColumn="0" w:lastRowFirstColumn="0" w:lastRowLastColumn="0"/>
            </w:pPr>
            <w:r w:rsidRPr="00EC650B">
              <w:t>10.36%</w:t>
            </w:r>
          </w:p>
        </w:tc>
        <w:tc>
          <w:tcPr>
            <w:tcW w:w="895" w:type="pct"/>
          </w:tcPr>
          <w:p w:rsidR="00E131D6" w:rsidRPr="00EC650B" w:rsidRDefault="00E131D6" w:rsidP="009872D3">
            <w:pPr>
              <w:keepNext/>
              <w:cnfStyle w:val="000000000000" w:firstRow="0" w:lastRow="0" w:firstColumn="0" w:lastColumn="0" w:oddVBand="0" w:evenVBand="0" w:oddHBand="0" w:evenHBand="0" w:firstRowFirstColumn="0" w:firstRowLastColumn="0" w:lastRowFirstColumn="0" w:lastRowLastColumn="0"/>
            </w:pPr>
            <w:r w:rsidRPr="00EC650B">
              <w:t xml:space="preserve">9.91% </w:t>
            </w:r>
          </w:p>
        </w:tc>
        <w:tc>
          <w:tcPr>
            <w:tcW w:w="894" w:type="pct"/>
          </w:tcPr>
          <w:p w:rsidR="00E131D6" w:rsidRPr="00EC650B" w:rsidRDefault="00E131D6" w:rsidP="009872D3">
            <w:pPr>
              <w:keepNext/>
              <w:cnfStyle w:val="000000000000" w:firstRow="0" w:lastRow="0" w:firstColumn="0" w:lastColumn="0" w:oddVBand="0" w:evenVBand="0" w:oddHBand="0" w:evenHBand="0" w:firstRowFirstColumn="0" w:firstRowLastColumn="0" w:lastRowFirstColumn="0" w:lastRowLastColumn="0"/>
            </w:pPr>
            <w:r w:rsidRPr="00EC650B">
              <w:t>7.3%</w:t>
            </w:r>
          </w:p>
        </w:tc>
        <w:tc>
          <w:tcPr>
            <w:tcW w:w="895" w:type="pct"/>
          </w:tcPr>
          <w:p w:rsidR="00E131D6" w:rsidRPr="00EC650B" w:rsidRDefault="00E131D6" w:rsidP="009872D3">
            <w:pPr>
              <w:keepNext/>
              <w:cnfStyle w:val="000000000000" w:firstRow="0" w:lastRow="0" w:firstColumn="0" w:lastColumn="0" w:oddVBand="0" w:evenVBand="0" w:oddHBand="0" w:evenHBand="0" w:firstRowFirstColumn="0" w:firstRowLastColumn="0" w:lastRowFirstColumn="0" w:lastRowLastColumn="0"/>
            </w:pPr>
            <w:r w:rsidRPr="00EC650B">
              <w:t>Remains constant (7.3%)</w:t>
            </w:r>
          </w:p>
        </w:tc>
      </w:tr>
      <w:tr w:rsidR="00E131D6" w:rsidRPr="00EC650B" w:rsidTr="00EC65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2" w:type="pct"/>
          </w:tcPr>
          <w:p w:rsidR="00E131D6" w:rsidRPr="00EC650B" w:rsidRDefault="00A93392" w:rsidP="009872D3">
            <w:pPr>
              <w:keepNext/>
            </w:pPr>
            <w:r>
              <w:t xml:space="preserve">Return on debt </w:t>
            </w:r>
            <w:r w:rsidR="00E131D6" w:rsidRPr="00EC650B">
              <w:t>(nominal pre–tax)</w:t>
            </w:r>
          </w:p>
        </w:tc>
        <w:tc>
          <w:tcPr>
            <w:tcW w:w="894" w:type="pct"/>
          </w:tcPr>
          <w:p w:rsidR="00E131D6" w:rsidRPr="00EC650B" w:rsidRDefault="00476EBB" w:rsidP="009872D3">
            <w:pPr>
              <w:keepNext/>
              <w:cnfStyle w:val="000000010000" w:firstRow="0" w:lastRow="0" w:firstColumn="0" w:lastColumn="0" w:oddVBand="0" w:evenVBand="0" w:oddHBand="0" w:evenHBand="1" w:firstRowFirstColumn="0" w:firstRowLastColumn="0" w:lastRowFirstColumn="0" w:lastRowLastColumn="0"/>
            </w:pPr>
            <w:r w:rsidRPr="00EC650B">
              <w:t>10.23</w:t>
            </w:r>
            <w:r w:rsidR="00E131D6" w:rsidRPr="00EC650B">
              <w:t>%</w:t>
            </w:r>
          </w:p>
        </w:tc>
        <w:tc>
          <w:tcPr>
            <w:tcW w:w="895" w:type="pct"/>
          </w:tcPr>
          <w:p w:rsidR="00E131D6" w:rsidRPr="00EC650B" w:rsidRDefault="00E131D6" w:rsidP="009872D3">
            <w:pPr>
              <w:keepNext/>
              <w:cnfStyle w:val="000000010000" w:firstRow="0" w:lastRow="0" w:firstColumn="0" w:lastColumn="0" w:oddVBand="0" w:evenVBand="0" w:oddHBand="0" w:evenHBand="1" w:firstRowFirstColumn="0" w:firstRowLastColumn="0" w:lastRowFirstColumn="0" w:lastRowLastColumn="0"/>
            </w:pPr>
            <w:r w:rsidRPr="00EC650B">
              <w:t>5.44%</w:t>
            </w:r>
          </w:p>
        </w:tc>
        <w:tc>
          <w:tcPr>
            <w:tcW w:w="894" w:type="pct"/>
          </w:tcPr>
          <w:p w:rsidR="00E131D6" w:rsidRPr="00EC650B" w:rsidRDefault="00E131D6" w:rsidP="009872D3">
            <w:pPr>
              <w:keepNext/>
              <w:cnfStyle w:val="000000010000" w:firstRow="0" w:lastRow="0" w:firstColumn="0" w:lastColumn="0" w:oddVBand="0" w:evenVBand="0" w:oddHBand="0" w:evenHBand="1" w:firstRowFirstColumn="0" w:firstRowLastColumn="0" w:lastRowFirstColumn="0" w:lastRowLastColumn="0"/>
            </w:pPr>
            <w:r w:rsidRPr="00EC650B">
              <w:t>5.16%</w:t>
            </w:r>
          </w:p>
        </w:tc>
        <w:tc>
          <w:tcPr>
            <w:tcW w:w="895" w:type="pct"/>
          </w:tcPr>
          <w:p w:rsidR="00E131D6" w:rsidRPr="00EC650B" w:rsidRDefault="00E131D6" w:rsidP="009872D3">
            <w:pPr>
              <w:keepNext/>
              <w:cnfStyle w:val="000000010000" w:firstRow="0" w:lastRow="0" w:firstColumn="0" w:lastColumn="0" w:oddVBand="0" w:evenVBand="0" w:oddHBand="0" w:evenHBand="1" w:firstRowFirstColumn="0" w:firstRowLastColumn="0" w:lastRowFirstColumn="0" w:lastRowLastColumn="0"/>
            </w:pPr>
            <w:r w:rsidRPr="00EC650B">
              <w:t>Updated annually</w:t>
            </w:r>
          </w:p>
        </w:tc>
      </w:tr>
      <w:tr w:rsidR="00E131D6" w:rsidRPr="00EC650B" w:rsidTr="00EC650B">
        <w:tc>
          <w:tcPr>
            <w:cnfStyle w:val="001000000000" w:firstRow="0" w:lastRow="0" w:firstColumn="1" w:lastColumn="0" w:oddVBand="0" w:evenVBand="0" w:oddHBand="0" w:evenHBand="0" w:firstRowFirstColumn="0" w:firstRowLastColumn="0" w:lastRowFirstColumn="0" w:lastRowLastColumn="0"/>
            <w:tcW w:w="1422" w:type="pct"/>
          </w:tcPr>
          <w:p w:rsidR="00E131D6" w:rsidRPr="00EC650B" w:rsidRDefault="00E131D6" w:rsidP="009872D3">
            <w:pPr>
              <w:keepNext/>
            </w:pPr>
            <w:r w:rsidRPr="00EC650B">
              <w:t>Gearing</w:t>
            </w:r>
          </w:p>
        </w:tc>
        <w:tc>
          <w:tcPr>
            <w:tcW w:w="894" w:type="pct"/>
          </w:tcPr>
          <w:p w:rsidR="00E131D6" w:rsidRPr="00EC650B" w:rsidRDefault="00E131D6" w:rsidP="009872D3">
            <w:pPr>
              <w:keepNext/>
              <w:cnfStyle w:val="000000000000" w:firstRow="0" w:lastRow="0" w:firstColumn="0" w:lastColumn="0" w:oddVBand="0" w:evenVBand="0" w:oddHBand="0" w:evenHBand="0" w:firstRowFirstColumn="0" w:firstRowLastColumn="0" w:lastRowFirstColumn="0" w:lastRowLastColumn="0"/>
            </w:pPr>
            <w:r w:rsidRPr="00EC650B">
              <w:t>60%</w:t>
            </w:r>
          </w:p>
        </w:tc>
        <w:tc>
          <w:tcPr>
            <w:tcW w:w="895" w:type="pct"/>
          </w:tcPr>
          <w:p w:rsidR="00E131D6" w:rsidRPr="00EC650B" w:rsidRDefault="00E131D6" w:rsidP="009872D3">
            <w:pPr>
              <w:keepNext/>
              <w:cnfStyle w:val="000000000000" w:firstRow="0" w:lastRow="0" w:firstColumn="0" w:lastColumn="0" w:oddVBand="0" w:evenVBand="0" w:oddHBand="0" w:evenHBand="0" w:firstRowFirstColumn="0" w:firstRowLastColumn="0" w:lastRowFirstColumn="0" w:lastRowLastColumn="0"/>
            </w:pPr>
            <w:r w:rsidRPr="00EC650B">
              <w:t>60%</w:t>
            </w:r>
          </w:p>
        </w:tc>
        <w:tc>
          <w:tcPr>
            <w:tcW w:w="894" w:type="pct"/>
          </w:tcPr>
          <w:p w:rsidR="00E131D6" w:rsidRPr="00EC650B" w:rsidRDefault="00E131D6" w:rsidP="009872D3">
            <w:pPr>
              <w:keepNext/>
              <w:cnfStyle w:val="000000000000" w:firstRow="0" w:lastRow="0" w:firstColumn="0" w:lastColumn="0" w:oddVBand="0" w:evenVBand="0" w:oddHBand="0" w:evenHBand="0" w:firstRowFirstColumn="0" w:firstRowLastColumn="0" w:lastRowFirstColumn="0" w:lastRowLastColumn="0"/>
            </w:pPr>
            <w:r w:rsidRPr="00EC650B">
              <w:t>60%</w:t>
            </w:r>
          </w:p>
        </w:tc>
        <w:tc>
          <w:tcPr>
            <w:tcW w:w="895" w:type="pct"/>
          </w:tcPr>
          <w:p w:rsidR="00E131D6" w:rsidRPr="00EC650B" w:rsidRDefault="00A93392" w:rsidP="00A93392">
            <w:pPr>
              <w:keepNext/>
              <w:cnfStyle w:val="000000000000" w:firstRow="0" w:lastRow="0" w:firstColumn="0" w:lastColumn="0" w:oddVBand="0" w:evenVBand="0" w:oddHBand="0" w:evenHBand="0" w:firstRowFirstColumn="0" w:firstRowLastColumn="0" w:lastRowFirstColumn="0" w:lastRowLastColumn="0"/>
            </w:pPr>
            <w:r>
              <w:t>Remains constant</w:t>
            </w:r>
            <w:r w:rsidR="00E131D6" w:rsidRPr="00EC650B">
              <w:t xml:space="preserve"> (60%)</w:t>
            </w:r>
            <w:r w:rsidR="00C659D1" w:rsidRPr="008157E7">
              <w:rPr>
                <w:rStyle w:val="AERsuperscript"/>
              </w:rPr>
              <w:t>(b)</w:t>
            </w:r>
          </w:p>
        </w:tc>
      </w:tr>
      <w:tr w:rsidR="00E131D6" w:rsidRPr="00EC650B" w:rsidTr="00EC65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2" w:type="pct"/>
          </w:tcPr>
          <w:p w:rsidR="00E131D6" w:rsidRPr="00EC650B" w:rsidRDefault="00E131D6" w:rsidP="009872D3">
            <w:pPr>
              <w:keepNext/>
            </w:pPr>
            <w:r w:rsidRPr="00EC650B">
              <w:t>Nominal vanilla WACC</w:t>
            </w:r>
          </w:p>
        </w:tc>
        <w:tc>
          <w:tcPr>
            <w:tcW w:w="894" w:type="pct"/>
          </w:tcPr>
          <w:p w:rsidR="00E131D6" w:rsidRPr="00EC650B" w:rsidRDefault="00476EBB" w:rsidP="009872D3">
            <w:pPr>
              <w:keepNext/>
              <w:cnfStyle w:val="000000010000" w:firstRow="0" w:lastRow="0" w:firstColumn="0" w:lastColumn="0" w:oddVBand="0" w:evenVBand="0" w:oddHBand="0" w:evenHBand="1" w:firstRowFirstColumn="0" w:firstRowLastColumn="0" w:lastRowFirstColumn="0" w:lastRowLastColumn="0"/>
            </w:pPr>
            <w:r w:rsidRPr="00EC650B">
              <w:t>10.28</w:t>
            </w:r>
            <w:r w:rsidR="00E131D6" w:rsidRPr="00EC650B">
              <w:t>%</w:t>
            </w:r>
          </w:p>
        </w:tc>
        <w:tc>
          <w:tcPr>
            <w:tcW w:w="895" w:type="pct"/>
          </w:tcPr>
          <w:p w:rsidR="00E131D6" w:rsidRPr="00EC650B" w:rsidRDefault="00E131D6" w:rsidP="009872D3">
            <w:pPr>
              <w:keepNext/>
              <w:cnfStyle w:val="000000010000" w:firstRow="0" w:lastRow="0" w:firstColumn="0" w:lastColumn="0" w:oddVBand="0" w:evenVBand="0" w:oddHBand="0" w:evenHBand="1" w:firstRowFirstColumn="0" w:firstRowLastColumn="0" w:lastRowFirstColumn="0" w:lastRowLastColumn="0"/>
            </w:pPr>
            <w:r w:rsidRPr="00EC650B">
              <w:t>7.23%</w:t>
            </w:r>
          </w:p>
        </w:tc>
        <w:tc>
          <w:tcPr>
            <w:tcW w:w="894" w:type="pct"/>
          </w:tcPr>
          <w:p w:rsidR="00E131D6" w:rsidRPr="00EC650B" w:rsidRDefault="00E131D6" w:rsidP="009872D3">
            <w:pPr>
              <w:keepNext/>
              <w:cnfStyle w:val="000000010000" w:firstRow="0" w:lastRow="0" w:firstColumn="0" w:lastColumn="0" w:oddVBand="0" w:evenVBand="0" w:oddHBand="0" w:evenHBand="1" w:firstRowFirstColumn="0" w:firstRowLastColumn="0" w:lastRowFirstColumn="0" w:lastRowLastColumn="0"/>
            </w:pPr>
            <w:r w:rsidRPr="00EC650B">
              <w:t>6.02%</w:t>
            </w:r>
          </w:p>
        </w:tc>
        <w:tc>
          <w:tcPr>
            <w:tcW w:w="895" w:type="pct"/>
          </w:tcPr>
          <w:p w:rsidR="00E131D6" w:rsidRPr="00EC650B" w:rsidRDefault="00E131D6" w:rsidP="009872D3">
            <w:pPr>
              <w:keepNext/>
              <w:cnfStyle w:val="000000010000" w:firstRow="0" w:lastRow="0" w:firstColumn="0" w:lastColumn="0" w:oddVBand="0" w:evenVBand="0" w:oddHBand="0" w:evenHBand="1" w:firstRowFirstColumn="0" w:firstRowLastColumn="0" w:lastRowFirstColumn="0" w:lastRowLastColumn="0"/>
            </w:pPr>
            <w:r w:rsidRPr="00EC650B">
              <w:t>Updated annually as return on debt is updated</w:t>
            </w:r>
          </w:p>
        </w:tc>
      </w:tr>
      <w:tr w:rsidR="00E131D6" w:rsidRPr="00EC650B" w:rsidTr="00EC650B">
        <w:tc>
          <w:tcPr>
            <w:cnfStyle w:val="001000000000" w:firstRow="0" w:lastRow="0" w:firstColumn="1" w:lastColumn="0" w:oddVBand="0" w:evenVBand="0" w:oddHBand="0" w:evenHBand="0" w:firstRowFirstColumn="0" w:firstRowLastColumn="0" w:lastRowFirstColumn="0" w:lastRowLastColumn="0"/>
            <w:tcW w:w="1422" w:type="pct"/>
          </w:tcPr>
          <w:p w:rsidR="00E131D6" w:rsidRPr="00EC650B" w:rsidRDefault="00E131D6" w:rsidP="009872D3">
            <w:pPr>
              <w:keepNext/>
            </w:pPr>
            <w:r w:rsidRPr="00EC650B">
              <w:t>Forecast inflation</w:t>
            </w:r>
          </w:p>
        </w:tc>
        <w:tc>
          <w:tcPr>
            <w:tcW w:w="894" w:type="pct"/>
          </w:tcPr>
          <w:p w:rsidR="00E131D6" w:rsidRPr="00EC650B" w:rsidRDefault="00E131D6" w:rsidP="009872D3">
            <w:pPr>
              <w:keepNext/>
              <w:cnfStyle w:val="000000000000" w:firstRow="0" w:lastRow="0" w:firstColumn="0" w:lastColumn="0" w:oddVBand="0" w:evenVBand="0" w:oddHBand="0" w:evenHBand="0" w:firstRowFirstColumn="0" w:firstRowLastColumn="0" w:lastRowFirstColumn="0" w:lastRowLastColumn="0"/>
            </w:pPr>
            <w:r w:rsidRPr="00EC650B">
              <w:t>2.55%</w:t>
            </w:r>
          </w:p>
        </w:tc>
        <w:tc>
          <w:tcPr>
            <w:tcW w:w="895" w:type="pct"/>
          </w:tcPr>
          <w:p w:rsidR="00E131D6" w:rsidRPr="00EC650B" w:rsidRDefault="00E131D6" w:rsidP="009872D3">
            <w:pPr>
              <w:keepNext/>
              <w:cnfStyle w:val="000000000000" w:firstRow="0" w:lastRow="0" w:firstColumn="0" w:lastColumn="0" w:oddVBand="0" w:evenVBand="0" w:oddHBand="0" w:evenHBand="0" w:firstRowFirstColumn="0" w:firstRowLastColumn="0" w:lastRowFirstColumn="0" w:lastRowLastColumn="0"/>
            </w:pPr>
            <w:r w:rsidRPr="00EC650B">
              <w:t>2.50%</w:t>
            </w:r>
          </w:p>
        </w:tc>
        <w:tc>
          <w:tcPr>
            <w:tcW w:w="894" w:type="pct"/>
          </w:tcPr>
          <w:p w:rsidR="00E131D6" w:rsidRPr="00EC650B" w:rsidRDefault="00E131D6" w:rsidP="009872D3">
            <w:pPr>
              <w:keepNext/>
              <w:cnfStyle w:val="000000000000" w:firstRow="0" w:lastRow="0" w:firstColumn="0" w:lastColumn="0" w:oddVBand="0" w:evenVBand="0" w:oddHBand="0" w:evenHBand="0" w:firstRowFirstColumn="0" w:firstRowLastColumn="0" w:lastRowFirstColumn="0" w:lastRowLastColumn="0"/>
            </w:pPr>
            <w:r w:rsidRPr="00EC650B">
              <w:t>2.50%</w:t>
            </w:r>
          </w:p>
        </w:tc>
        <w:tc>
          <w:tcPr>
            <w:tcW w:w="895" w:type="pct"/>
          </w:tcPr>
          <w:p w:rsidR="00E131D6" w:rsidRPr="00EC650B" w:rsidRDefault="00E131D6" w:rsidP="009872D3">
            <w:pPr>
              <w:keepNext/>
              <w:cnfStyle w:val="000000000000" w:firstRow="0" w:lastRow="0" w:firstColumn="0" w:lastColumn="0" w:oddVBand="0" w:evenVBand="0" w:oddHBand="0" w:evenHBand="0" w:firstRowFirstColumn="0" w:firstRowLastColumn="0" w:lastRowFirstColumn="0" w:lastRowLastColumn="0"/>
            </w:pPr>
            <w:r w:rsidRPr="00EC650B">
              <w:t>Remains constant (2.50%)</w:t>
            </w:r>
          </w:p>
        </w:tc>
      </w:tr>
    </w:tbl>
    <w:p w:rsidR="00E131D6" w:rsidRPr="008157E7" w:rsidRDefault="00E131D6" w:rsidP="008157E7">
      <w:pPr>
        <w:pStyle w:val="AERtablesource"/>
      </w:pPr>
      <w:bookmarkStart w:id="111" w:name="_Toc417978957"/>
      <w:bookmarkStart w:id="112" w:name="_Toc433541444"/>
      <w:r w:rsidRPr="00C659D1">
        <w:t>Source:</w:t>
      </w:r>
      <w:r w:rsidRPr="00C659D1">
        <w:tab/>
        <w:t xml:space="preserve">AER analysis; Australian Gas Networks, </w:t>
      </w:r>
      <w:r w:rsidRPr="008157E7">
        <w:rPr>
          <w:rStyle w:val="AERtextitalic"/>
          <w:i w:val="0"/>
        </w:rPr>
        <w:t>201</w:t>
      </w:r>
      <w:r w:rsidR="00814815" w:rsidRPr="008157E7">
        <w:rPr>
          <w:rStyle w:val="AERtextitalic"/>
          <w:i w:val="0"/>
        </w:rPr>
        <w:t>6/17 to 20</w:t>
      </w:r>
      <w:r w:rsidRPr="008157E7">
        <w:rPr>
          <w:rStyle w:val="AERtextitalic"/>
          <w:i w:val="0"/>
        </w:rPr>
        <w:t>20</w:t>
      </w:r>
      <w:r w:rsidR="00814815" w:rsidRPr="008157E7">
        <w:rPr>
          <w:rStyle w:val="AERtextitalic"/>
          <w:i w:val="0"/>
        </w:rPr>
        <w:t>/21 Access Arrangement Information: Attachment 10.1 - Rate of Return</w:t>
      </w:r>
      <w:r w:rsidRPr="00C659D1">
        <w:t>, July 2015</w:t>
      </w:r>
      <w:r w:rsidR="007F5164" w:rsidRPr="004D2068">
        <w:t>, p. 59</w:t>
      </w:r>
      <w:r w:rsidRPr="008157E7">
        <w:t xml:space="preserve">; AER, </w:t>
      </w:r>
      <w:r w:rsidRPr="008157E7">
        <w:rPr>
          <w:rStyle w:val="AERtextitalic"/>
          <w:i w:val="0"/>
        </w:rPr>
        <w:t>Final decision: Envestra Ltd Access Arrangement Proposal for the SA Gas network 1 July 2011 – 30 June 16</w:t>
      </w:r>
      <w:r w:rsidRPr="00C659D1">
        <w:t>, June 2011</w:t>
      </w:r>
      <w:r w:rsidR="007F5164" w:rsidRPr="004D2068">
        <w:t>, p. 59</w:t>
      </w:r>
      <w:r w:rsidRPr="008157E7">
        <w:t>.</w:t>
      </w:r>
    </w:p>
    <w:p w:rsidR="00C659D1" w:rsidRPr="008157E7" w:rsidRDefault="00E131D6" w:rsidP="008157E7">
      <w:pPr>
        <w:pStyle w:val="AERtablesource"/>
      </w:pPr>
      <w:r w:rsidRPr="008157E7" w:rsidDel="00527773">
        <w:t xml:space="preserve"> </w:t>
      </w:r>
      <w:r w:rsidRPr="008157E7">
        <w:t>(a)</w:t>
      </w:r>
      <w:r w:rsidRPr="008157E7">
        <w:tab/>
        <w:t>Australian Gas Networks' revised proposal uses values derived from the placeholder averaging periods for risk free rate and rate on debt.</w:t>
      </w:r>
    </w:p>
    <w:p w:rsidR="00E131D6" w:rsidRPr="008157E7" w:rsidRDefault="00C659D1" w:rsidP="008157E7">
      <w:pPr>
        <w:pStyle w:val="AERtablesource"/>
      </w:pPr>
      <w:r w:rsidRPr="008157E7">
        <w:t>(b)</w:t>
      </w:r>
      <w:r w:rsidRPr="008157E7">
        <w:tab/>
        <w:t xml:space="preserve">This rate will be updated in the final decision because our draft decision rate is based on a placeholder averaging period. However, after the rate is updated for the final decision it will then 'remain constant' for the access arrangement period and will not be updated each regulatory year. </w:t>
      </w:r>
      <w:r w:rsidR="00E131D6" w:rsidRPr="008157E7">
        <w:t xml:space="preserve">    </w:t>
      </w:r>
    </w:p>
    <w:p w:rsidR="005C6CE2" w:rsidRPr="00112BF8" w:rsidRDefault="005C6CE2" w:rsidP="005C6CE2">
      <w:pPr>
        <w:pStyle w:val="HeadingBoldBlue"/>
        <w:numPr>
          <w:ilvl w:val="0"/>
          <w:numId w:val="24"/>
        </w:numPr>
      </w:pPr>
      <w:r w:rsidRPr="00112BF8">
        <w:t>Our approach</w:t>
      </w:r>
      <w:bookmarkEnd w:id="111"/>
      <w:bookmarkEnd w:id="112"/>
    </w:p>
    <w:p w:rsidR="005C6CE2" w:rsidRDefault="005C6CE2" w:rsidP="005C6CE2">
      <w:pPr>
        <w:numPr>
          <w:ilvl w:val="0"/>
          <w:numId w:val="24"/>
        </w:numPr>
      </w:pPr>
      <w:r w:rsidRPr="009F741F">
        <w:t>All N</w:t>
      </w:r>
      <w:r>
        <w:t>G</w:t>
      </w:r>
      <w:r w:rsidRPr="009F741F">
        <w:t xml:space="preserve">R requirements relating to the rate of return are subject to the overall rate of return achieving the </w:t>
      </w:r>
      <w:r>
        <w:t>allowed rate of return objective.</w:t>
      </w:r>
      <w:r w:rsidRPr="003D3502">
        <w:rPr>
          <w:rStyle w:val="AERsuperscript"/>
        </w:rPr>
        <w:footnoteReference w:id="35"/>
      </w:r>
      <w:r w:rsidRPr="009F741F">
        <w:t xml:space="preserve"> The N</w:t>
      </w:r>
      <w:r>
        <w:t>G</w:t>
      </w:r>
      <w:r w:rsidRPr="009F741F">
        <w:t xml:space="preserve">R recognise that there </w:t>
      </w:r>
      <w:r>
        <w:t xml:space="preserve">may be </w:t>
      </w:r>
      <w:r w:rsidRPr="009F741F">
        <w:t xml:space="preserve">several plausible answers that could achieve the </w:t>
      </w:r>
      <w:r>
        <w:t>allowed rate of return objective</w:t>
      </w:r>
      <w:r w:rsidRPr="009F741F">
        <w:t xml:space="preserve">. </w:t>
      </w:r>
      <w:r w:rsidRPr="00213E7F">
        <w:t>We agree with stakeholders that predictability</w:t>
      </w:r>
      <w:r w:rsidR="00A7168D">
        <w:t xml:space="preserve"> and consistency</w:t>
      </w:r>
      <w:r w:rsidRPr="00213E7F">
        <w:t xml:space="preserve"> in our approach to rate of return issues</w:t>
      </w:r>
      <w:r>
        <w:t>,</w:t>
      </w:r>
      <w:r w:rsidRPr="00213E7F">
        <w:t xml:space="preserve"> consistent with prevailing market conditions</w:t>
      </w:r>
      <w:r w:rsidR="00B93B66">
        <w:t>,</w:t>
      </w:r>
      <w:r>
        <w:t xml:space="preserve"> </w:t>
      </w:r>
      <w:r w:rsidRPr="00213E7F">
        <w:t>materially benefit</w:t>
      </w:r>
      <w:r>
        <w:t>s</w:t>
      </w:r>
      <w:r w:rsidRPr="00213E7F">
        <w:t xml:space="preserve"> the long term interests of consumers</w:t>
      </w:r>
      <w:r>
        <w:t xml:space="preserve"> and also benefits investors.</w:t>
      </w:r>
      <w:r>
        <w:rPr>
          <w:rStyle w:val="FootnoteReference"/>
        </w:rPr>
        <w:footnoteReference w:id="36"/>
      </w:r>
      <w:r>
        <w:t xml:space="preserve"> </w:t>
      </w:r>
    </w:p>
    <w:p w:rsidR="005C6CE2" w:rsidRPr="004C7E93" w:rsidRDefault="005C6CE2" w:rsidP="005C6CE2">
      <w:pPr>
        <w:rPr>
          <w:rStyle w:val="AERbody"/>
        </w:rPr>
      </w:pPr>
      <w:r w:rsidRPr="004C7E93">
        <w:rPr>
          <w:rStyle w:val="AERbody"/>
        </w:rPr>
        <w:t>We developed our approach prior to the submission of</w:t>
      </w:r>
      <w:r>
        <w:rPr>
          <w:rStyle w:val="AERbody"/>
        </w:rPr>
        <w:t xml:space="preserve"> AGN’s</w:t>
      </w:r>
      <w:r w:rsidRPr="004C7E93">
        <w:rPr>
          <w:rStyle w:val="AERbody"/>
        </w:rPr>
        <w:t xml:space="preserve"> proposal</w:t>
      </w:r>
      <w:r>
        <w:rPr>
          <w:rStyle w:val="AERbody"/>
        </w:rPr>
        <w:t>.</w:t>
      </w:r>
      <w:r w:rsidRPr="004C7E93">
        <w:rPr>
          <w:rStyle w:val="AERbody"/>
        </w:rPr>
        <w:t xml:space="preserve"> </w:t>
      </w:r>
      <w:r>
        <w:rPr>
          <w:rStyle w:val="AERbody"/>
        </w:rPr>
        <w:t>A</w:t>
      </w:r>
      <w:r w:rsidRPr="004C7E93">
        <w:rPr>
          <w:rStyle w:val="AERbody"/>
        </w:rPr>
        <w:t>s required by the rate of return framework</w:t>
      </w:r>
      <w:r>
        <w:rPr>
          <w:rStyle w:val="AERbody"/>
        </w:rPr>
        <w:t>,</w:t>
      </w:r>
      <w:r w:rsidRPr="004C7E93">
        <w:rPr>
          <w:rStyle w:val="AERbody"/>
        </w:rPr>
        <w:t xml:space="preserve"> </w:t>
      </w:r>
      <w:r>
        <w:rPr>
          <w:rStyle w:val="AERbody"/>
        </w:rPr>
        <w:t>i</w:t>
      </w:r>
      <w:r w:rsidRPr="004C7E93">
        <w:rPr>
          <w:rStyle w:val="AERbody"/>
        </w:rPr>
        <w:t>n December 2013 we published the Guideline.</w:t>
      </w:r>
      <w:r w:rsidRPr="00DB0506">
        <w:rPr>
          <w:rStyle w:val="AERsuperscript"/>
        </w:rPr>
        <w:footnoteReference w:id="37"/>
      </w:r>
      <w:r w:rsidRPr="004C7E93">
        <w:rPr>
          <w:rStyle w:val="AERsuperscript"/>
        </w:rPr>
        <w:t xml:space="preserve"> </w:t>
      </w:r>
      <w:r w:rsidRPr="004C7E93">
        <w:rPr>
          <w:rStyle w:val="AERbody"/>
        </w:rPr>
        <w:t xml:space="preserve">The Guideline was </w:t>
      </w:r>
      <w:r>
        <w:rPr>
          <w:rStyle w:val="AERbody"/>
        </w:rPr>
        <w:t>developed</w:t>
      </w:r>
      <w:r w:rsidRPr="004C7E93">
        <w:rPr>
          <w:rStyle w:val="AERbody"/>
        </w:rPr>
        <w:t xml:space="preserve"> through extensive consultation and in</w:t>
      </w:r>
      <w:r>
        <w:rPr>
          <w:rStyle w:val="AERbody"/>
        </w:rPr>
        <w:t>volved</w:t>
      </w:r>
      <w:r w:rsidRPr="004C7E93">
        <w:rPr>
          <w:rStyle w:val="AERbody"/>
        </w:rPr>
        <w:t xml:space="preserve"> effective and inclusive </w:t>
      </w:r>
      <w:r>
        <w:rPr>
          <w:rStyle w:val="AERbody"/>
        </w:rPr>
        <w:t>stakeholder</w:t>
      </w:r>
      <w:r w:rsidRPr="004C7E93">
        <w:rPr>
          <w:rStyle w:val="AERbody"/>
        </w:rPr>
        <w:t xml:space="preserve"> participation.</w:t>
      </w:r>
      <w:r w:rsidRPr="004C7E93">
        <w:rPr>
          <w:rStyle w:val="AERsuperscript"/>
        </w:rPr>
        <w:footnoteReference w:id="38"/>
      </w:r>
      <w:r w:rsidRPr="004C7E93">
        <w:rPr>
          <w:rStyle w:val="AERsuperscript"/>
        </w:rPr>
        <w:t xml:space="preserve"> </w:t>
      </w:r>
    </w:p>
    <w:p w:rsidR="005C6CE2" w:rsidRPr="007A5F3C" w:rsidRDefault="005C6CE2" w:rsidP="009872D3">
      <w:pPr>
        <w:pStyle w:val="HeadingBoldBlue"/>
        <w:keepNext/>
      </w:pPr>
      <w:bookmarkStart w:id="113" w:name="_Toc417978958"/>
      <w:bookmarkStart w:id="114" w:name="_Toc433541445"/>
      <w:r w:rsidRPr="007A5F3C">
        <w:t>Return on debt</w:t>
      </w:r>
      <w:bookmarkEnd w:id="113"/>
      <w:bookmarkEnd w:id="114"/>
    </w:p>
    <w:p w:rsidR="005C6CE2" w:rsidRDefault="005C6CE2" w:rsidP="009872D3">
      <w:pPr>
        <w:keepNext/>
        <w:rPr>
          <w:rStyle w:val="AERtexthighlight"/>
        </w:rPr>
      </w:pPr>
      <w:r w:rsidRPr="007A5F3C">
        <w:t>Previously, we used an on-the-day approach to determine the return on debt.</w:t>
      </w:r>
      <w:r w:rsidRPr="00E97C9A">
        <w:rPr>
          <w:rStyle w:val="AERsuperscript"/>
        </w:rPr>
        <w:footnoteReference w:id="39"/>
      </w:r>
      <w:r w:rsidRPr="00E97C9A">
        <w:rPr>
          <w:rStyle w:val="AERsuperscript"/>
        </w:rPr>
        <w:t xml:space="preserve"> </w:t>
      </w:r>
      <w:r w:rsidRPr="007A5F3C">
        <w:t xml:space="preserve">This is the approach that </w:t>
      </w:r>
      <w:r w:rsidR="00997F7C">
        <w:t>several</w:t>
      </w:r>
      <w:r w:rsidR="00997F7C" w:rsidRPr="007A5F3C">
        <w:t xml:space="preserve"> </w:t>
      </w:r>
      <w:r w:rsidRPr="007A5F3C">
        <w:t xml:space="preserve">Australian regulators continue to use. </w:t>
      </w:r>
      <w:r>
        <w:t>We</w:t>
      </w:r>
      <w:r w:rsidRPr="007A5F3C">
        <w:t xml:space="preserve"> have determined a return on debt estimate that gradually transitions from an on-the-day approach to a trailing average approach.</w:t>
      </w:r>
      <w:r w:rsidRPr="00E97C9A">
        <w:rPr>
          <w:rStyle w:val="AERsuperscript"/>
        </w:rPr>
        <w:footnoteReference w:id="40"/>
      </w:r>
      <w:r w:rsidRPr="007A5F3C">
        <w:t xml:space="preserve"> </w:t>
      </w:r>
      <w:r w:rsidRPr="001F7D31">
        <w:t xml:space="preserve">This is consistent with the </w:t>
      </w:r>
      <w:r>
        <w:t xml:space="preserve">approach </w:t>
      </w:r>
      <w:r w:rsidRPr="001F7D31">
        <w:t>most stakeholders</w:t>
      </w:r>
      <w:r>
        <w:t xml:space="preserve"> supported during the Guideline development process</w:t>
      </w:r>
      <w:r w:rsidRPr="001F7D31">
        <w:t xml:space="preserve">. </w:t>
      </w:r>
    </w:p>
    <w:p w:rsidR="005C6CE2" w:rsidRPr="0003454E" w:rsidRDefault="005C6CE2" w:rsidP="00FE322E">
      <w:r w:rsidRPr="0003454E">
        <w:t>In its proposal, AGN proposed a hybrid transition from the on–the–day to trailing average approach. We have not accepted AGN’s proposal, because we consider it is backward looking and produces a biased estimate of the return on debt. We discuss this</w:t>
      </w:r>
      <w:r w:rsidR="00A7168D">
        <w:t xml:space="preserve"> more extensively</w:t>
      </w:r>
      <w:r w:rsidRPr="0003454E">
        <w:t xml:space="preserve"> in attachment 3 </w:t>
      </w:r>
      <w:r w:rsidR="002040E4">
        <w:t>—</w:t>
      </w:r>
      <w:r w:rsidRPr="0003454E">
        <w:t xml:space="preserve"> rate of return.</w:t>
      </w:r>
    </w:p>
    <w:p w:rsidR="005C6CE2" w:rsidRPr="007A5F3C" w:rsidRDefault="005C6CE2" w:rsidP="005C6CE2">
      <w:pPr>
        <w:pStyle w:val="HeadingBoldBlue"/>
      </w:pPr>
      <w:bookmarkStart w:id="115" w:name="_Toc417978959"/>
      <w:bookmarkStart w:id="116" w:name="_Toc433541446"/>
      <w:r w:rsidRPr="007A5F3C">
        <w:t>Return on equity</w:t>
      </w:r>
      <w:bookmarkEnd w:id="115"/>
      <w:bookmarkEnd w:id="116"/>
    </w:p>
    <w:p w:rsidR="00A7168D" w:rsidRDefault="005C6CE2" w:rsidP="005C6CE2">
      <w:pPr>
        <w:numPr>
          <w:ilvl w:val="0"/>
          <w:numId w:val="24"/>
        </w:numPr>
        <w:rPr>
          <w:rStyle w:val="AERbody"/>
        </w:rPr>
      </w:pPr>
      <w:r>
        <w:rPr>
          <w:rStyle w:val="AERbody"/>
        </w:rPr>
        <w:t>O</w:t>
      </w:r>
      <w:r w:rsidRPr="00E97C9A">
        <w:rPr>
          <w:rStyle w:val="AERbody"/>
        </w:rPr>
        <w:t>ur approach to determining the return on equity</w:t>
      </w:r>
      <w:r>
        <w:rPr>
          <w:rStyle w:val="AERbody"/>
        </w:rPr>
        <w:t xml:space="preserve"> </w:t>
      </w:r>
      <w:r w:rsidRPr="00E97C9A">
        <w:rPr>
          <w:rStyle w:val="AERbody"/>
        </w:rPr>
        <w:t xml:space="preserve">involves considering all of the information before us, through a six step process as set out in the </w:t>
      </w:r>
      <w:r>
        <w:rPr>
          <w:rStyle w:val="AERbody"/>
        </w:rPr>
        <w:t xml:space="preserve">Rate of Return </w:t>
      </w:r>
      <w:r w:rsidRPr="00E97C9A">
        <w:rPr>
          <w:rStyle w:val="AERbody"/>
        </w:rPr>
        <w:t>Guideline (foundation model approach). This includes detailed consideration of a number of financial models for determining the return on equity.</w:t>
      </w:r>
      <w:r w:rsidRPr="004C7E93">
        <w:rPr>
          <w:rStyle w:val="AERsuperscript"/>
        </w:rPr>
        <w:footnoteReference w:id="41"/>
      </w:r>
      <w:r w:rsidRPr="00311A67">
        <w:t xml:space="preserve"> </w:t>
      </w:r>
      <w:r w:rsidRPr="00E97C9A">
        <w:rPr>
          <w:rStyle w:val="AERbody"/>
        </w:rPr>
        <w:t xml:space="preserve">Considering all of this material helps inform a return on equity estimate that contributes to the achievement of the </w:t>
      </w:r>
      <w:r>
        <w:rPr>
          <w:rStyle w:val="AERbody"/>
        </w:rPr>
        <w:t>allowed rate of return objective</w:t>
      </w:r>
      <w:r w:rsidRPr="00E97C9A">
        <w:rPr>
          <w:rStyle w:val="AERbody"/>
        </w:rPr>
        <w:t>.</w:t>
      </w:r>
      <w:r>
        <w:rPr>
          <w:rStyle w:val="AERbody"/>
        </w:rPr>
        <w:t xml:space="preserve"> </w:t>
      </w:r>
    </w:p>
    <w:p w:rsidR="005C6CE2" w:rsidRPr="00E97C9A" w:rsidRDefault="00A7168D" w:rsidP="005C6CE2">
      <w:pPr>
        <w:numPr>
          <w:ilvl w:val="0"/>
          <w:numId w:val="24"/>
        </w:numPr>
        <w:rPr>
          <w:rStyle w:val="AERbody"/>
        </w:rPr>
      </w:pPr>
      <w:r>
        <w:rPr>
          <w:rStyle w:val="AERbody"/>
        </w:rPr>
        <w:t>Notwithstanding the approach set out in the Guideline</w:t>
      </w:r>
      <w:r w:rsidR="005C6CE2">
        <w:rPr>
          <w:rStyle w:val="AERbody"/>
        </w:rPr>
        <w:t xml:space="preserve">, AGN proposed a multi-model approach to calculating the return on equity.  </w:t>
      </w:r>
    </w:p>
    <w:p w:rsidR="005C6CE2" w:rsidRPr="00E97C9A" w:rsidRDefault="005C6CE2" w:rsidP="005C6CE2">
      <w:pPr>
        <w:numPr>
          <w:ilvl w:val="0"/>
          <w:numId w:val="24"/>
        </w:numPr>
        <w:rPr>
          <w:rStyle w:val="AERbody"/>
        </w:rPr>
      </w:pPr>
      <w:r>
        <w:rPr>
          <w:rStyle w:val="AERbody"/>
        </w:rPr>
        <w:t>We consider</w:t>
      </w:r>
      <w:r w:rsidRPr="00E97C9A">
        <w:rPr>
          <w:rStyle w:val="AERbody"/>
        </w:rPr>
        <w:t xml:space="preserve"> that the Sharpe–Lintner capital asset pricing model (SLCAPM) is the superior financial model in terms of estimating expected equity returns. We have therefore adopted this model as our foundation model. </w:t>
      </w:r>
      <w:r>
        <w:rPr>
          <w:rStyle w:val="AERbody"/>
        </w:rPr>
        <w:t>We are persuaded by t</w:t>
      </w:r>
      <w:r w:rsidRPr="00E97C9A">
        <w:rPr>
          <w:rStyle w:val="AERbody"/>
        </w:rPr>
        <w:t>he evidence before us</w:t>
      </w:r>
      <w:r>
        <w:rPr>
          <w:rStyle w:val="AERbody"/>
        </w:rPr>
        <w:t xml:space="preserve"> that</w:t>
      </w:r>
      <w:r w:rsidRPr="00E97C9A">
        <w:rPr>
          <w:rStyle w:val="AERbody"/>
        </w:rPr>
        <w:t xml:space="preserve"> also indicates that</w:t>
      </w:r>
      <w:r>
        <w:rPr>
          <w:rStyle w:val="AERbody"/>
        </w:rPr>
        <w:t>, on balance,</w:t>
      </w:r>
      <w:r w:rsidRPr="00E97C9A">
        <w:rPr>
          <w:rStyle w:val="AERbody"/>
        </w:rPr>
        <w:t xml:space="preserve"> employing our foundation model approach and using the SLCAPM as the foundation model is expected to lead to a rate of return that achieves the </w:t>
      </w:r>
      <w:r>
        <w:rPr>
          <w:rStyle w:val="AERbody"/>
        </w:rPr>
        <w:t>allowed rate of return objective</w:t>
      </w:r>
      <w:r w:rsidRPr="00E97C9A">
        <w:rPr>
          <w:rStyle w:val="AERbody"/>
        </w:rPr>
        <w:t>.</w:t>
      </w:r>
      <w:r w:rsidRPr="00E97C9A">
        <w:rPr>
          <w:rStyle w:val="AERsuperscript"/>
        </w:rPr>
        <w:footnoteReference w:id="42"/>
      </w:r>
    </w:p>
    <w:p w:rsidR="005C6CE2" w:rsidRDefault="005C6CE2" w:rsidP="005C6CE2">
      <w:r w:rsidRPr="00E97C9A">
        <w:rPr>
          <w:rStyle w:val="AERbody"/>
        </w:rPr>
        <w:t>We also evaluated our point estimate from the SLCAPM against other information. The critical allowance for an equity investor in a benchmark efficient entity is the allowed equity risk premium (ERP) over and above the estimated risk free rate at a</w:t>
      </w:r>
      <w:r>
        <w:rPr>
          <w:rStyle w:val="AERbody"/>
        </w:rPr>
        <w:t>ny</w:t>
      </w:r>
      <w:r w:rsidRPr="00E97C9A">
        <w:rPr>
          <w:rStyle w:val="AERbody"/>
        </w:rPr>
        <w:t xml:space="preserve"> given time.</w:t>
      </w:r>
      <w:r w:rsidRPr="00E97C9A">
        <w:rPr>
          <w:rStyle w:val="AERsuperscript"/>
        </w:rPr>
        <w:footnoteReference w:id="43"/>
      </w:r>
      <w:r w:rsidRPr="00E97C9A">
        <w:rPr>
          <w:rStyle w:val="AERsuperscript"/>
        </w:rPr>
        <w:t xml:space="preserve"> </w:t>
      </w:r>
      <w:r w:rsidRPr="00E97C9A">
        <w:rPr>
          <w:rStyle w:val="AERbody"/>
        </w:rPr>
        <w:t>Our estimate of the ERP for the be</w:t>
      </w:r>
      <w:r>
        <w:rPr>
          <w:rStyle w:val="AERbody"/>
        </w:rPr>
        <w:t xml:space="preserve">nchmark efficient entity </w:t>
      </w:r>
      <w:r w:rsidRPr="00FB1645">
        <w:rPr>
          <w:rStyle w:val="AERbody"/>
        </w:rPr>
        <w:t xml:space="preserve">is </w:t>
      </w:r>
      <w:r w:rsidRPr="009D3536">
        <w:t>4.55</w:t>
      </w:r>
      <w:r w:rsidRPr="004C5A48">
        <w:rPr>
          <w:rStyle w:val="AERbody"/>
        </w:rPr>
        <w:t xml:space="preserve"> per</w:t>
      </w:r>
      <w:r w:rsidRPr="00E97C9A">
        <w:rPr>
          <w:rStyle w:val="AERbody"/>
        </w:rPr>
        <w:t xml:space="preserve"> cent</w:t>
      </w:r>
      <w:r>
        <w:rPr>
          <w:rStyle w:val="AERbody"/>
        </w:rPr>
        <w:t xml:space="preserve"> which </w:t>
      </w:r>
      <w:r w:rsidRPr="00E97C9A">
        <w:rPr>
          <w:rStyle w:val="AERbody"/>
        </w:rPr>
        <w:t>is within the range of other information available to inform the return on equity</w:t>
      </w:r>
      <w:r>
        <w:rPr>
          <w:rStyle w:val="AERbody"/>
        </w:rPr>
        <w:t xml:space="preserve"> (see </w:t>
      </w:r>
      <w:r>
        <w:rPr>
          <w:rStyle w:val="AERbody"/>
        </w:rPr>
        <w:fldChar w:fldCharType="begin"/>
      </w:r>
      <w:r>
        <w:rPr>
          <w:rStyle w:val="AERbody"/>
        </w:rPr>
        <w:instrText xml:space="preserve"> REF _Ref433621790 \h </w:instrText>
      </w:r>
      <w:r>
        <w:rPr>
          <w:rStyle w:val="AERbody"/>
        </w:rPr>
      </w:r>
      <w:r>
        <w:rPr>
          <w:rStyle w:val="AERbody"/>
        </w:rPr>
        <w:fldChar w:fldCharType="separate"/>
      </w:r>
      <w:r w:rsidR="00E90DAD">
        <w:t xml:space="preserve">Figure </w:t>
      </w:r>
      <w:r w:rsidR="00E90DAD">
        <w:rPr>
          <w:noProof/>
        </w:rPr>
        <w:t>7</w:t>
      </w:r>
      <w:r>
        <w:rPr>
          <w:rStyle w:val="AERbody"/>
        </w:rPr>
        <w:fldChar w:fldCharType="end"/>
      </w:r>
      <w:r>
        <w:rPr>
          <w:rStyle w:val="AERbody"/>
        </w:rPr>
        <w:t>)</w:t>
      </w:r>
      <w:r w:rsidRPr="00E97C9A">
        <w:rPr>
          <w:rStyle w:val="AERbody"/>
        </w:rPr>
        <w:t xml:space="preserve">. </w:t>
      </w:r>
      <w:r>
        <w:rPr>
          <w:rStyle w:val="AERbody"/>
        </w:rPr>
        <w:t xml:space="preserve">A detailed explanation of our findings on return on equity and this figure can be found attachment </w:t>
      </w:r>
      <w:r w:rsidRPr="00D22AAB">
        <w:rPr>
          <w:rStyle w:val="AERbody"/>
        </w:rPr>
        <w:t xml:space="preserve">3 </w:t>
      </w:r>
      <w:r w:rsidR="002040E4">
        <w:rPr>
          <w:rStyle w:val="AERbody"/>
        </w:rPr>
        <w:t>—</w:t>
      </w:r>
      <w:r w:rsidRPr="00D22AAB">
        <w:rPr>
          <w:rStyle w:val="AERbody"/>
        </w:rPr>
        <w:t xml:space="preserve"> </w:t>
      </w:r>
      <w:r w:rsidR="002040E4">
        <w:rPr>
          <w:rStyle w:val="AERbody"/>
        </w:rPr>
        <w:t>r</w:t>
      </w:r>
      <w:r w:rsidRPr="00D22AAB">
        <w:rPr>
          <w:rStyle w:val="AERbody"/>
        </w:rPr>
        <w:t>ate</w:t>
      </w:r>
      <w:r>
        <w:rPr>
          <w:rStyle w:val="AERbody"/>
        </w:rPr>
        <w:t xml:space="preserve"> of return.</w:t>
      </w:r>
    </w:p>
    <w:p w:rsidR="005C6CE2" w:rsidRDefault="005C6CE2" w:rsidP="005C6CE2">
      <w:pPr>
        <w:pStyle w:val="Caption"/>
      </w:pPr>
      <w:bookmarkStart w:id="117" w:name="_Ref433621790"/>
      <w:r>
        <w:t xml:space="preserve">Figure </w:t>
      </w:r>
      <w:fldSimple w:instr=" SEQ Figure \* ARABIC ">
        <w:r w:rsidR="00E90DAD">
          <w:rPr>
            <w:noProof/>
          </w:rPr>
          <w:t>7</w:t>
        </w:r>
      </w:fldSimple>
      <w:bookmarkEnd w:id="117"/>
      <w:r>
        <w:t xml:space="preserve"> </w:t>
      </w:r>
      <w:r w:rsidRPr="0071767D">
        <w:t xml:space="preserve">Other information comparisons with the AER allowed </w:t>
      </w:r>
      <w:r w:rsidR="00C659D1">
        <w:t>equity risk premium</w:t>
      </w:r>
    </w:p>
    <w:p w:rsidR="005C6CE2" w:rsidRPr="00112BF8" w:rsidRDefault="00E131D6" w:rsidP="005C6CE2">
      <w:pPr>
        <w:numPr>
          <w:ilvl w:val="0"/>
          <w:numId w:val="24"/>
        </w:numPr>
      </w:pPr>
      <w:r w:rsidRPr="00E131D6">
        <w:rPr>
          <w:noProof/>
          <w:lang w:eastAsia="en-AU"/>
        </w:rPr>
        <w:drawing>
          <wp:inline distT="0" distB="0" distL="0" distR="0" wp14:anchorId="47F9B2EA" wp14:editId="5151930C">
            <wp:extent cx="5382895" cy="3738245"/>
            <wp:effectExtent l="0" t="0" r="825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C6CE2" w:rsidRPr="00E33AD2" w:rsidRDefault="005C6CE2" w:rsidP="005C6CE2">
      <w:pPr>
        <w:pStyle w:val="AERtablesource"/>
      </w:pPr>
      <w:r w:rsidRPr="00E33AD2">
        <w:t>Source:</w:t>
      </w:r>
      <w:r w:rsidRPr="00E33AD2">
        <w:tab/>
        <w:t>AER analysis and various submissions and reports.</w:t>
      </w:r>
    </w:p>
    <w:p w:rsidR="00C659D1" w:rsidRPr="00B84D85" w:rsidRDefault="00C659D1" w:rsidP="00C659D1">
      <w:pPr>
        <w:pStyle w:val="AERtablesource"/>
      </w:pPr>
      <w:r w:rsidRPr="00B84D85">
        <w:t xml:space="preserve">Notes: </w:t>
      </w:r>
      <w:r w:rsidRPr="00B84D85">
        <w:tab/>
        <w:t xml:space="preserve">The AER foundation model equity risk premium (ERP) range uses the range and point estimate for MRP and equity beta as set out in step three. The calculation of the Wright approach, debt premium, brokers, and other regulators ranges is outlined in </w:t>
      </w:r>
      <w:r>
        <w:t xml:space="preserve">Attachment 3, </w:t>
      </w:r>
      <w:r w:rsidRPr="00B84D85">
        <w:t xml:space="preserve">Appendices </w:t>
      </w:r>
      <w:r>
        <w:t>E</w:t>
      </w:r>
      <w:r w:rsidRPr="00B84D85">
        <w:t>.1,</w:t>
      </w:r>
      <w:r>
        <w:t xml:space="preserve"> E</w:t>
      </w:r>
      <w:r w:rsidRPr="00B84D85">
        <w:t xml:space="preserve">.2, </w:t>
      </w:r>
      <w:r>
        <w:t>E</w:t>
      </w:r>
      <w:r w:rsidRPr="00B84D85">
        <w:t xml:space="preserve">.4, and </w:t>
      </w:r>
      <w:r>
        <w:t>E</w:t>
      </w:r>
      <w:r w:rsidRPr="00B84D85">
        <w:t>.5 respectively.</w:t>
      </w:r>
    </w:p>
    <w:p w:rsidR="00C659D1" w:rsidRPr="00B84D85" w:rsidRDefault="00C659D1" w:rsidP="00C659D1">
      <w:pPr>
        <w:pStyle w:val="AERtablesource"/>
      </w:pPr>
      <w:r w:rsidRPr="00B84D85">
        <w:tab/>
        <w:t>Grant Samuel's final WACC range included an uplift above an initial SLCAPM range. The lower bound of the Grant Samuel range shown above excludes the uplift while the upper bound includes the uplift and is on the basis that it is an uplift to return on equity. Grant Samuel made no explicit allowance for the impact of Australia's dividend imputation system. We are uncertain as to the extent of any dividend imputation adjustment that should be applied to estimates from other market practitioners. Accordingly, the upper bound of the range shown above includes an adjustment for dividend imputation, while the lower bound does not. The upper shaded portion of the range includes the entirety of the uplift on return on equity and a full dividend imputation adjustment.</w:t>
      </w:r>
      <w:r w:rsidRPr="001E283E">
        <w:rPr>
          <w:rStyle w:val="FootnoteReference"/>
        </w:rPr>
        <w:footnoteReference w:id="44"/>
      </w:r>
      <w:r w:rsidRPr="00B84D85">
        <w:t xml:space="preserve"> </w:t>
      </w:r>
    </w:p>
    <w:p w:rsidR="00C659D1" w:rsidRPr="00E5005D" w:rsidRDefault="00C659D1" w:rsidP="00C659D1">
      <w:pPr>
        <w:pStyle w:val="AERtablesource"/>
      </w:pPr>
      <w:r w:rsidRPr="00B84D85">
        <w:tab/>
      </w:r>
      <w:r w:rsidRPr="00E5005D">
        <w:t xml:space="preserve">The </w:t>
      </w:r>
      <w:r>
        <w:t>service provider proposals</w:t>
      </w:r>
      <w:r w:rsidRPr="00E5005D">
        <w:t xml:space="preserve"> range </w:t>
      </w:r>
      <w:r>
        <w:t>is based on the proposals from businesses for which we are making final or preliminary</w:t>
      </w:r>
      <w:r w:rsidR="00BE5F8D">
        <w:t>/draft</w:t>
      </w:r>
      <w:r>
        <w:t xml:space="preserve"> decisions in October-November 2015</w:t>
      </w:r>
      <w:r w:rsidRPr="00E5005D">
        <w:t>.</w:t>
      </w:r>
      <w:r>
        <w:rPr>
          <w:rStyle w:val="FootnoteReference"/>
        </w:rPr>
        <w:footnoteReference w:id="45"/>
      </w:r>
      <w:r>
        <w:t xml:space="preserve"> Equity risk premiums were calculated as the proposed return on equity less the risk free rate utilised in the service provider's proposed estimation approach.</w:t>
      </w:r>
      <w:r w:rsidRPr="00E5005D">
        <w:t xml:space="preserve"> </w:t>
      </w:r>
    </w:p>
    <w:p w:rsidR="005C6CE2" w:rsidRDefault="00C659D1" w:rsidP="00C659D1">
      <w:pPr>
        <w:pStyle w:val="AERtablesource"/>
      </w:pPr>
      <w:r w:rsidRPr="00E5005D">
        <w:tab/>
        <w:t xml:space="preserve">The CCP/stakeholder range is based on submissions </w:t>
      </w:r>
      <w:r>
        <w:t xml:space="preserve">made </w:t>
      </w:r>
      <w:r w:rsidRPr="00E5005D">
        <w:t>(not including service providers)</w:t>
      </w:r>
      <w:r>
        <w:t xml:space="preserve"> in relation to our final or preliminary</w:t>
      </w:r>
      <w:r w:rsidR="00BE5F8D">
        <w:t>/draft</w:t>
      </w:r>
      <w:r>
        <w:t xml:space="preserve"> decisions in October-November 2015</w:t>
      </w:r>
      <w:r w:rsidRPr="00E5005D">
        <w:t xml:space="preserve">. </w:t>
      </w:r>
      <w:r w:rsidRPr="00B84D85">
        <w:t xml:space="preserve">The lower bound is based on </w:t>
      </w:r>
      <w:r>
        <w:t xml:space="preserve">the Alliance of Electricity Consumers </w:t>
      </w:r>
      <w:r w:rsidRPr="00B84D85">
        <w:t>submission</w:t>
      </w:r>
      <w:r>
        <w:t xml:space="preserve"> on Energex and Ergon Energy revised proposals</w:t>
      </w:r>
      <w:r w:rsidRPr="00B84D85">
        <w:t>. The upper bound is based on Origin</w:t>
      </w:r>
      <w:r>
        <w:t xml:space="preserve"> Energy</w:t>
      </w:r>
      <w:r w:rsidRPr="00B84D85">
        <w:t xml:space="preserve">’s submission on </w:t>
      </w:r>
      <w:r>
        <w:t>the preliminary decision for SA Power Networks</w:t>
      </w:r>
      <w:r w:rsidRPr="00B84D85">
        <w:t>.</w:t>
      </w:r>
      <w:r w:rsidRPr="001E283E">
        <w:rPr>
          <w:rStyle w:val="FootnoteReference"/>
        </w:rPr>
        <w:footnoteReference w:id="46"/>
      </w:r>
    </w:p>
    <w:p w:rsidR="00710D26" w:rsidRDefault="00710D26" w:rsidP="009872D3">
      <w:pPr>
        <w:pStyle w:val="Heading2"/>
        <w:keepNext/>
      </w:pPr>
      <w:bookmarkStart w:id="118" w:name="_Toc430002791"/>
      <w:bookmarkStart w:id="119" w:name="_Ref433375547"/>
      <w:bookmarkStart w:id="120" w:name="_Toc436037698"/>
      <w:r>
        <w:t>Value of imputation credits (gamma)</w:t>
      </w:r>
      <w:bookmarkEnd w:id="118"/>
      <w:bookmarkEnd w:id="119"/>
      <w:bookmarkEnd w:id="120"/>
    </w:p>
    <w:p w:rsidR="005C6CE2" w:rsidRPr="00736376" w:rsidRDefault="005C6CE2" w:rsidP="009872D3">
      <w:pPr>
        <w:keepNext/>
        <w:numPr>
          <w:ilvl w:val="0"/>
          <w:numId w:val="24"/>
        </w:numPr>
      </w:pPr>
      <w:r w:rsidRPr="00736376">
        <w:t>Under the Australian imputation tax system, investors can receive an imputation credit for income tax paid at the company level.</w:t>
      </w:r>
      <w:r w:rsidRPr="00E97C9A">
        <w:rPr>
          <w:rStyle w:val="AERsuperscript"/>
        </w:rPr>
        <w:footnoteReference w:id="47"/>
      </w:r>
      <w:r w:rsidRPr="00736376">
        <w:t xml:space="preserve"> </w:t>
      </w:r>
      <w:r>
        <w:t xml:space="preserve">These are received after company income tax is paid, but before personal income tax is paid. </w:t>
      </w:r>
      <w:r w:rsidRPr="00736376">
        <w:t>For eligible investors, this credit offsets their Australian income tax liabilities. If the amount of imputation credits received exceeds an investor's tax liability, that investor can receive a cash refund for the balance. Imputation credits are therefore a benefit to investors in addition to any cash dividend or capital gains they receive from owning shares.</w:t>
      </w:r>
    </w:p>
    <w:p w:rsidR="005C6CE2" w:rsidRPr="00736376" w:rsidRDefault="005C6CE2" w:rsidP="005C6CE2">
      <w:pPr>
        <w:numPr>
          <w:ilvl w:val="0"/>
          <w:numId w:val="24"/>
        </w:numPr>
      </w:pPr>
      <w:r w:rsidRPr="00736376">
        <w:t>In determining a service provide</w:t>
      </w:r>
      <w:r>
        <w:t xml:space="preserve">r's </w:t>
      </w:r>
      <w:r w:rsidR="005D0FC8">
        <w:t>total revenue</w:t>
      </w:r>
      <w:r>
        <w:t>, the NGR</w:t>
      </w:r>
      <w:r w:rsidRPr="00736376">
        <w:t xml:space="preserve"> require that the estimated cost of corporate income tax be estimated in accordance with a formula that reduces the estimated cost by the 'value of imputation credits'.</w:t>
      </w:r>
      <w:r w:rsidRPr="00E97C9A">
        <w:rPr>
          <w:rStyle w:val="AERsuperscript"/>
        </w:rPr>
        <w:footnoteReference w:id="48"/>
      </w:r>
      <w:r w:rsidRPr="00E97C9A">
        <w:rPr>
          <w:rStyle w:val="AERsuperscript"/>
        </w:rPr>
        <w:t xml:space="preserve"> </w:t>
      </w:r>
      <w:r w:rsidRPr="00736376">
        <w:t xml:space="preserve">That is, the revenue a service provider </w:t>
      </w:r>
      <w:r>
        <w:t>recovers from customers in respect of</w:t>
      </w:r>
      <w:r w:rsidRPr="00736376">
        <w:t xml:space="preserve"> its expected tax liability must be reduced in a manner consistent with the value of imputation credits.</w:t>
      </w:r>
    </w:p>
    <w:p w:rsidR="005C6CE2" w:rsidRPr="004C5A48" w:rsidRDefault="005C6CE2" w:rsidP="005C6CE2">
      <w:pPr>
        <w:rPr>
          <w:rStyle w:val="AERbody"/>
        </w:rPr>
      </w:pPr>
      <w:r>
        <w:rPr>
          <w:rStyle w:val="AERbody"/>
        </w:rPr>
        <w:t xml:space="preserve">Our </w:t>
      </w:r>
      <w:r w:rsidR="00BE5F8D">
        <w:rPr>
          <w:rStyle w:val="AERbody"/>
        </w:rPr>
        <w:t>draft</w:t>
      </w:r>
      <w:r>
        <w:rPr>
          <w:rStyle w:val="AERbody"/>
        </w:rPr>
        <w:t xml:space="preserve"> decision is to adopt a value of imputation credits of </w:t>
      </w:r>
      <w:r w:rsidRPr="009D3536">
        <w:t xml:space="preserve">0.4. This differs from </w:t>
      </w:r>
      <w:r>
        <w:t>AGN’s</w:t>
      </w:r>
      <w:r w:rsidRPr="009D3536">
        <w:t xml:space="preserve"> proposed value of imputation credits of 0.25</w:t>
      </w:r>
      <w:r w:rsidRPr="004C5A48">
        <w:rPr>
          <w:rStyle w:val="AERbody"/>
        </w:rPr>
        <w:t xml:space="preserve">. </w:t>
      </w:r>
    </w:p>
    <w:p w:rsidR="005C6CE2" w:rsidRDefault="005C6CE2" w:rsidP="005C6CE2">
      <w:pPr>
        <w:numPr>
          <w:ilvl w:val="0"/>
          <w:numId w:val="24"/>
        </w:numPr>
      </w:pPr>
      <w:r w:rsidRPr="00736376">
        <w:t xml:space="preserve">Although we have broadly maintained the approach to determining the value of imputation credits set out in the </w:t>
      </w:r>
      <w:r>
        <w:t>R</w:t>
      </w:r>
      <w:r w:rsidRPr="00736376">
        <w:t xml:space="preserve">ate of </w:t>
      </w:r>
      <w:r>
        <w:t>R</w:t>
      </w:r>
      <w:r w:rsidRPr="00736376">
        <w:t xml:space="preserve">eturn </w:t>
      </w:r>
      <w:r>
        <w:t>G</w:t>
      </w:r>
      <w:r w:rsidRPr="00736376">
        <w:t>uideline, we have re-examined the relevant evidence and estimates</w:t>
      </w:r>
      <w:r>
        <w:t xml:space="preserve"> since </w:t>
      </w:r>
      <w:r w:rsidR="008B48DE">
        <w:t>publishing our Guideline</w:t>
      </w:r>
      <w:r w:rsidRPr="00736376">
        <w:t>. This re-examination, and new evidence and advice considered</w:t>
      </w:r>
      <w:r>
        <w:t xml:space="preserve"> </w:t>
      </w:r>
      <w:r w:rsidRPr="00736376">
        <w:t xml:space="preserve">since the </w:t>
      </w:r>
      <w:r>
        <w:t>G</w:t>
      </w:r>
      <w:r w:rsidRPr="00736376">
        <w:t>uideline</w:t>
      </w:r>
      <w:r w:rsidR="00EC650B">
        <w:t xml:space="preserve"> was published</w:t>
      </w:r>
      <w:r w:rsidRPr="00736376">
        <w:t xml:space="preserve">, led us to depart from the value of 0.5 in the </w:t>
      </w:r>
      <w:r>
        <w:t>G</w:t>
      </w:r>
      <w:r w:rsidRPr="00736376">
        <w:t>uideline.</w:t>
      </w:r>
      <w:r w:rsidRPr="00C72325">
        <w:t xml:space="preserve"> Most notably, our updated consideration of the relevant advice and evidence led us to generally lower estimates of the ‘utilisation rate’ </w:t>
      </w:r>
      <w:r>
        <w:t>from</w:t>
      </w:r>
      <w:r w:rsidRPr="00C72325">
        <w:t xml:space="preserve"> the 0.7 estimate in the Guideline.</w:t>
      </w:r>
      <w:r>
        <w:t xml:space="preserve"> </w:t>
      </w:r>
    </w:p>
    <w:p w:rsidR="005C6CE2" w:rsidRPr="00736376" w:rsidRDefault="005C6CE2" w:rsidP="005C6CE2">
      <w:pPr>
        <w:numPr>
          <w:ilvl w:val="0"/>
          <w:numId w:val="24"/>
        </w:numPr>
      </w:pPr>
      <w:r w:rsidRPr="00736376">
        <w:t xml:space="preserve">Estimating the value of imputation credits is a complex and </w:t>
      </w:r>
      <w:r>
        <w:t xml:space="preserve">somewhat </w:t>
      </w:r>
      <w:r w:rsidRPr="00736376">
        <w:t xml:space="preserve">imprecise task. There is no consensus among experts on the appropriate value or estimation techniques to use. </w:t>
      </w:r>
    </w:p>
    <w:p w:rsidR="005C6CE2" w:rsidRPr="00736376" w:rsidRDefault="005C6CE2" w:rsidP="005C6CE2">
      <w:pPr>
        <w:numPr>
          <w:ilvl w:val="0"/>
          <w:numId w:val="24"/>
        </w:numPr>
      </w:pPr>
      <w:r w:rsidRPr="00736376">
        <w:t>Consistent with the relevant academic literature, we estimate the value of imputation credits as the product of the distribution rate and the utilisation rate. While there is a widely accepted approach to estimating the distribution rate, there is no single accepted approach to estimating the utilisation rate</w:t>
      </w:r>
      <w:r>
        <w:t>. There is a</w:t>
      </w:r>
      <w:r w:rsidRPr="00736376">
        <w:t xml:space="preserve"> range of evidence relevant to the utilisation rate</w:t>
      </w:r>
      <w:r>
        <w:t>:</w:t>
      </w:r>
    </w:p>
    <w:p w:rsidR="005C6CE2" w:rsidRPr="00736376" w:rsidRDefault="005C6CE2" w:rsidP="005C6CE2">
      <w:pPr>
        <w:pStyle w:val="AERbulletlistfirststyle"/>
      </w:pPr>
      <w:r>
        <w:t>t</w:t>
      </w:r>
      <w:r w:rsidRPr="00736376">
        <w:t>he proportion of Australian equity held by domestic investors (the 'equity ownership approach')</w:t>
      </w:r>
    </w:p>
    <w:p w:rsidR="005C6CE2" w:rsidRPr="00736376" w:rsidRDefault="005C6CE2" w:rsidP="005C6CE2">
      <w:pPr>
        <w:pStyle w:val="AERbulletlistfirststyle"/>
      </w:pPr>
      <w:r>
        <w:t>t</w:t>
      </w:r>
      <w:r w:rsidRPr="00736376">
        <w:t>he reported value of credits utilised by investors in Australian Taxation Office (ATO) statistics ('tax statistics')</w:t>
      </w:r>
    </w:p>
    <w:p w:rsidR="005C6CE2" w:rsidRPr="00736376" w:rsidRDefault="005C6CE2" w:rsidP="005C6CE2">
      <w:pPr>
        <w:pStyle w:val="AERbulletlistfirststyle"/>
      </w:pPr>
      <w:r>
        <w:t>i</w:t>
      </w:r>
      <w:r w:rsidRPr="00736376">
        <w:t>mplied market value studies—there is no separate market in which imputation credits are traded, and therefore there is no observable market price for imputation credits.</w:t>
      </w:r>
    </w:p>
    <w:p w:rsidR="005C6CE2" w:rsidRPr="00736376" w:rsidRDefault="005C6CE2" w:rsidP="005C6CE2">
      <w:pPr>
        <w:numPr>
          <w:ilvl w:val="0"/>
          <w:numId w:val="24"/>
        </w:numPr>
      </w:pPr>
      <w:r w:rsidRPr="00736376">
        <w:t>In estimating the utilisation rate, we place:</w:t>
      </w:r>
    </w:p>
    <w:p w:rsidR="005C6CE2" w:rsidRPr="00736376" w:rsidRDefault="005C6CE2" w:rsidP="005C6CE2">
      <w:pPr>
        <w:pStyle w:val="AERbulletlistfirststyle"/>
      </w:pPr>
      <w:r w:rsidRPr="00736376">
        <w:t>significant reliance upon the equity ownership approach</w:t>
      </w:r>
    </w:p>
    <w:p w:rsidR="005C6CE2" w:rsidRPr="00736376" w:rsidRDefault="005C6CE2" w:rsidP="005C6CE2">
      <w:pPr>
        <w:pStyle w:val="AERbulletlistfirststyle"/>
      </w:pPr>
      <w:r w:rsidRPr="00736376">
        <w:t>some reliance upon tax statistics</w:t>
      </w:r>
    </w:p>
    <w:p w:rsidR="005C6CE2" w:rsidRPr="00736376" w:rsidRDefault="005C6CE2" w:rsidP="005C6CE2">
      <w:pPr>
        <w:pStyle w:val="AERbulletlistfirststyle"/>
      </w:pPr>
      <w:r w:rsidRPr="00736376">
        <w:t>less reliance upon implied market value studies.</w:t>
      </w:r>
    </w:p>
    <w:p w:rsidR="005C6CE2" w:rsidRPr="00736376" w:rsidRDefault="005C6CE2" w:rsidP="005C6CE2">
      <w:pPr>
        <w:numPr>
          <w:ilvl w:val="0"/>
          <w:numId w:val="24"/>
        </w:numPr>
      </w:pPr>
      <w:r w:rsidRPr="00736376">
        <w:t xml:space="preserve">Overall, the evidence on the distribution rate and the utilisation rate suggests that a reasonable estimate of the value of imputation credits is within the range </w:t>
      </w:r>
      <w:r>
        <w:t xml:space="preserve">of </w:t>
      </w:r>
      <w:r w:rsidRPr="00736376">
        <w:t>0.3 to 0.5. From within this range, we choose a value of 0.4. This is because:</w:t>
      </w:r>
    </w:p>
    <w:p w:rsidR="005C6CE2" w:rsidRPr="00736376" w:rsidRDefault="005C6CE2" w:rsidP="005C6CE2">
      <w:pPr>
        <w:pStyle w:val="AERbulletlistfirststyle"/>
      </w:pPr>
      <w:r>
        <w:t>t</w:t>
      </w:r>
      <w:r w:rsidRPr="00736376">
        <w:t>he equity ownership approach, on which we have placed the most reliance, suggests a value between 0.40 and 0.47 when applied to all equity and between 0.</w:t>
      </w:r>
      <w:r>
        <w:t>29</w:t>
      </w:r>
      <w:r w:rsidRPr="00736376">
        <w:t xml:space="preserve"> and 0.4</w:t>
      </w:r>
      <w:r>
        <w:t>2</w:t>
      </w:r>
      <w:r w:rsidRPr="00736376">
        <w:t xml:space="preserve"> when applied to only listed equity. Therefore, the overlap of the evidence from the equity ownership approach suggests a value between 0.40 and 0.4</w:t>
      </w:r>
      <w:r>
        <w:t>2</w:t>
      </w:r>
      <w:r w:rsidRPr="00736376">
        <w:t>.</w:t>
      </w:r>
    </w:p>
    <w:p w:rsidR="005C6CE2" w:rsidRPr="00736376" w:rsidRDefault="005C6CE2" w:rsidP="005C6CE2">
      <w:pPr>
        <w:pStyle w:val="AERbulletlistfirststyle"/>
      </w:pPr>
      <w:r>
        <w:t>t</w:t>
      </w:r>
      <w:r w:rsidRPr="00736376">
        <w:t>he evidence from tax statistics suggests the value could be lower than 0.4. Therefore, with regard to this evidence and the less reliance we place on it, we choose a value at the lower end of the range suggested by the overlap of evidence from the equity ownership approach (that is, 0.4).</w:t>
      </w:r>
    </w:p>
    <w:p w:rsidR="005C6CE2" w:rsidRPr="003314A3" w:rsidRDefault="005C6CE2" w:rsidP="005C6CE2">
      <w:pPr>
        <w:pStyle w:val="AERbulletlistfirststyle"/>
      </w:pPr>
      <w:r>
        <w:t>a</w:t>
      </w:r>
      <w:r w:rsidRPr="00736376">
        <w:t>n estimate of 0.4 is reasonable in light of both higher and lower estimates from implied market value studies and the lesser degree of reliance we place on these studies. The service providers submitted evidence to support placing more reliance on SFG’s dividend drop off study relative to other implied market value studies. However, we consider that neither the difference from 0.4 of the estimate from this study (0.3</w:t>
      </w:r>
      <w:r>
        <w:t>1</w:t>
      </w:r>
      <w:r w:rsidRPr="00736376">
        <w:t>) nor any increased reliance we might place on it relative to other implied market value studies are sufficient to warrant an estimate lower than 0.4.</w:t>
      </w:r>
    </w:p>
    <w:p w:rsidR="00710D26" w:rsidRDefault="00710D26" w:rsidP="003C3D54">
      <w:pPr>
        <w:pStyle w:val="Heading2"/>
        <w:keepNext/>
      </w:pPr>
      <w:bookmarkStart w:id="121" w:name="_Toc430002792"/>
      <w:bookmarkStart w:id="122" w:name="_Ref433373930"/>
      <w:bookmarkStart w:id="123" w:name="_Ref435794500"/>
      <w:bookmarkStart w:id="124" w:name="_Toc436037699"/>
      <w:r>
        <w:t>Regulatory depreciation (return of capital)</w:t>
      </w:r>
      <w:bookmarkEnd w:id="121"/>
      <w:bookmarkEnd w:id="122"/>
      <w:bookmarkEnd w:id="123"/>
      <w:bookmarkEnd w:id="124"/>
    </w:p>
    <w:p w:rsidR="00D77E30" w:rsidRDefault="005D0FC8" w:rsidP="003C3D54">
      <w:pPr>
        <w:keepNext/>
      </w:pPr>
      <w:r>
        <w:t>R</w:t>
      </w:r>
      <w:r w:rsidR="00BA28F3" w:rsidRPr="00D57689">
        <w:t>egulatory depreciation is a building block component of the annual revenue requirement.</w:t>
      </w:r>
      <w:r w:rsidR="00BA28F3" w:rsidRPr="00D57689">
        <w:rPr>
          <w:rStyle w:val="FootnoteReference"/>
        </w:rPr>
        <w:footnoteReference w:id="49"/>
      </w:r>
      <w:r w:rsidR="00BA28F3" w:rsidRPr="00D57689">
        <w:t xml:space="preserve"> </w:t>
      </w:r>
      <w:r w:rsidR="00D77E30" w:rsidRPr="00CA36EA">
        <w:t xml:space="preserve">When determining the total revenue for </w:t>
      </w:r>
      <w:r w:rsidR="00D77E30">
        <w:t>AGN</w:t>
      </w:r>
      <w:r w:rsidR="00D77E30" w:rsidRPr="00CA36EA">
        <w:t xml:space="preserve">, </w:t>
      </w:r>
      <w:r w:rsidR="00D77E30">
        <w:t>we</w:t>
      </w:r>
      <w:r w:rsidR="00D77E30" w:rsidRPr="00CA36EA">
        <w:t xml:space="preserve"> must decide on the depreciation for the projected capital base (</w:t>
      </w:r>
      <w:r w:rsidR="00D77E30">
        <w:t>otherwise referred to as</w:t>
      </w:r>
      <w:r w:rsidR="00D77E30" w:rsidRPr="00CA36EA">
        <w:t xml:space="preserve"> </w:t>
      </w:r>
      <w:r w:rsidR="00D77E30">
        <w:t>‘</w:t>
      </w:r>
      <w:r w:rsidR="00D77E30" w:rsidRPr="00CA36EA">
        <w:t>return of capital</w:t>
      </w:r>
      <w:r w:rsidR="00D77E30">
        <w:t>’</w:t>
      </w:r>
      <w:r w:rsidR="00D77E30" w:rsidRPr="00CA36EA">
        <w:t>).</w:t>
      </w:r>
      <w:r w:rsidR="00D77E30">
        <w:rPr>
          <w:rStyle w:val="FootnoteReference"/>
        </w:rPr>
        <w:footnoteReference w:id="50"/>
      </w:r>
      <w:r w:rsidR="00D77E30" w:rsidRPr="00CA36EA">
        <w:t xml:space="preserve"> Regulatory depreciation is used to model the nominal asset values over the </w:t>
      </w:r>
      <w:r w:rsidR="00D77E30">
        <w:t>2016–21</w:t>
      </w:r>
      <w:r w:rsidR="00D77E30" w:rsidRPr="00CA36EA">
        <w:t xml:space="preserve"> access arrangement period and the depreciation </w:t>
      </w:r>
      <w:r>
        <w:t>forecast</w:t>
      </w:r>
      <w:r w:rsidRPr="00CA36EA">
        <w:t xml:space="preserve"> </w:t>
      </w:r>
      <w:r w:rsidR="00D77E30" w:rsidRPr="00CA36EA">
        <w:t>in the total revenue requirement.</w:t>
      </w:r>
    </w:p>
    <w:p w:rsidR="00BA28F3" w:rsidRPr="00D57689" w:rsidRDefault="00D77E30" w:rsidP="00BA28F3">
      <w:r w:rsidRPr="00D57689">
        <w:t xml:space="preserve">Ultimately, however, a </w:t>
      </w:r>
      <w:r>
        <w:t>service provider</w:t>
      </w:r>
      <w:r w:rsidRPr="00D57689">
        <w:t xml:space="preserve"> can only recover the capex it has incurred on assets once. The depreciation </w:t>
      </w:r>
      <w:r w:rsidR="005D0FC8">
        <w:t>forecast</w:t>
      </w:r>
      <w:r w:rsidR="005D0FC8" w:rsidRPr="00D57689">
        <w:t xml:space="preserve"> </w:t>
      </w:r>
      <w:r w:rsidRPr="00D57689">
        <w:t xml:space="preserve">reflects how quickly the </w:t>
      </w:r>
      <w:r>
        <w:t>capital base</w:t>
      </w:r>
      <w:r w:rsidRPr="00D57689">
        <w:t xml:space="preserve"> is being recovered and is based on the remaining and standard </w:t>
      </w:r>
      <w:r>
        <w:t>asset</w:t>
      </w:r>
      <w:r w:rsidRPr="00D57689">
        <w:t xml:space="preserve"> lives used in the depreciation calculation. </w:t>
      </w:r>
      <w:r w:rsidR="00BA28F3" w:rsidRPr="00D57689">
        <w:t xml:space="preserve">Higher (or quicker) depreciation leads to higher revenues over the </w:t>
      </w:r>
      <w:r w:rsidR="00D932ED">
        <w:t>access arrangement</w:t>
      </w:r>
      <w:r w:rsidR="00BA28F3" w:rsidRPr="00D57689">
        <w:t xml:space="preserve"> period. It also causes the </w:t>
      </w:r>
      <w:r w:rsidR="00BA28F3">
        <w:t xml:space="preserve">capital base </w:t>
      </w:r>
      <w:r w:rsidR="00BA28F3" w:rsidRPr="00D57689">
        <w:t xml:space="preserve">to reduce more quickly (assuming no further capex). This reduces the return on capital </w:t>
      </w:r>
      <w:r w:rsidR="005D0FC8">
        <w:t>building block</w:t>
      </w:r>
      <w:r w:rsidR="00BA28F3" w:rsidRPr="00D57689">
        <w:t xml:space="preserve">, although this impact is usually </w:t>
      </w:r>
      <w:r w:rsidR="005D0FC8">
        <w:t>less than that of</w:t>
      </w:r>
      <w:r w:rsidR="00BA28F3" w:rsidRPr="00D57689">
        <w:t xml:space="preserve"> the increased depreciation </w:t>
      </w:r>
      <w:r w:rsidR="005D0FC8">
        <w:t>forecast</w:t>
      </w:r>
      <w:r w:rsidR="00BA28F3" w:rsidRPr="00D57689">
        <w:t xml:space="preserve">. </w:t>
      </w:r>
    </w:p>
    <w:p w:rsidR="00BA28F3" w:rsidRDefault="00D77E30" w:rsidP="00BA28F3">
      <w:r>
        <w:t>In making a decision on the proposed depreciation schedule, we assess the compliance of the proposed depreciation schedule with the depreciation criteria set out in the NGR.</w:t>
      </w:r>
      <w:r>
        <w:rPr>
          <w:rStyle w:val="FootnoteReference"/>
        </w:rPr>
        <w:footnoteReference w:id="51"/>
      </w:r>
      <w:r>
        <w:t xml:space="preserve"> We must also take into account the NGO and the revenue and pricing principles.</w:t>
      </w:r>
      <w:r>
        <w:rPr>
          <w:rStyle w:val="FootnoteReference"/>
        </w:rPr>
        <w:footnoteReference w:id="52"/>
      </w:r>
      <w:r>
        <w:t xml:space="preserve"> If a proposed depreciation schedule complies</w:t>
      </w:r>
      <w:r w:rsidR="00D879B6">
        <w:t xml:space="preserve"> with the NGR</w:t>
      </w:r>
      <w:r>
        <w:t xml:space="preserve">, we must approve it. </w:t>
      </w:r>
    </w:p>
    <w:p w:rsidR="00D77E30" w:rsidRDefault="00D77E30" w:rsidP="00D77E30">
      <w:r>
        <w:t>We</w:t>
      </w:r>
      <w:r w:rsidRPr="00CA36EA">
        <w:t xml:space="preserve"> approve</w:t>
      </w:r>
      <w:r>
        <w:t xml:space="preserve"> AGN's</w:t>
      </w:r>
      <w:r w:rsidRPr="00CA36EA">
        <w:t xml:space="preserve"> proposal to use the </w:t>
      </w:r>
      <w:r>
        <w:t xml:space="preserve">real </w:t>
      </w:r>
      <w:r w:rsidRPr="00CA36EA">
        <w:t>straight-line</w:t>
      </w:r>
      <w:r>
        <w:t xml:space="preserve"> </w:t>
      </w:r>
      <w:r w:rsidRPr="00CA36EA">
        <w:t>method to calculate the re</w:t>
      </w:r>
      <w:r>
        <w:t xml:space="preserve">gulatory depreciation allowance. However, we do not approve AGN’s proposed regulatory depreciation </w:t>
      </w:r>
      <w:r w:rsidR="005D0FC8">
        <w:t xml:space="preserve">forecast </w:t>
      </w:r>
      <w:r>
        <w:t>of $</w:t>
      </w:r>
      <w:r w:rsidR="00BB58E3">
        <w:t>93</w:t>
      </w:r>
      <w:r w:rsidR="00001B78">
        <w:t xml:space="preserve">.0 </w:t>
      </w:r>
      <w:r>
        <w:t>million ($nominal) for the 2016–21 access arrangement period.</w:t>
      </w:r>
      <w:r w:rsidRPr="00B04F70">
        <w:rPr>
          <w:vertAlign w:val="superscript"/>
        </w:rPr>
        <w:footnoteReference w:id="53"/>
      </w:r>
      <w:r>
        <w:t xml:space="preserve"> </w:t>
      </w:r>
      <w:r w:rsidRPr="00A27483">
        <w:t xml:space="preserve">Our draft decision on AGN's regulatory depreciation </w:t>
      </w:r>
      <w:r w:rsidR="005D0FC8">
        <w:t>forecast</w:t>
      </w:r>
      <w:r w:rsidR="005D0FC8" w:rsidRPr="00A27483">
        <w:t xml:space="preserve"> </w:t>
      </w:r>
      <w:r w:rsidRPr="00A27483">
        <w:t>is $</w:t>
      </w:r>
      <w:r w:rsidR="00FB0BF0">
        <w:t>82.7</w:t>
      </w:r>
      <w:r w:rsidRPr="00A27483">
        <w:t> million ($nominal) over the 2016–21 access arrangement period</w:t>
      </w:r>
      <w:r w:rsidR="00824A99" w:rsidRPr="00D639D1">
        <w:rPr>
          <w:rStyle w:val="AERbody"/>
        </w:rPr>
        <w:t>, a reduction</w:t>
      </w:r>
      <w:r w:rsidR="00824A99">
        <w:rPr>
          <w:rStyle w:val="AERbody"/>
        </w:rPr>
        <w:t xml:space="preserve"> </w:t>
      </w:r>
      <w:r w:rsidR="00824A99" w:rsidRPr="00D639D1">
        <w:rPr>
          <w:rStyle w:val="AERbody"/>
        </w:rPr>
        <w:t>of $</w:t>
      </w:r>
      <w:r w:rsidR="00FB0BF0">
        <w:rPr>
          <w:rStyle w:val="AERbody"/>
        </w:rPr>
        <w:t>10.</w:t>
      </w:r>
      <w:r w:rsidR="00003901">
        <w:rPr>
          <w:rStyle w:val="AERbody"/>
        </w:rPr>
        <w:t>3</w:t>
      </w:r>
      <w:r w:rsidR="00824A99">
        <w:rPr>
          <w:rStyle w:val="AERbody"/>
        </w:rPr>
        <w:t xml:space="preserve"> </w:t>
      </w:r>
      <w:r w:rsidR="00824A99" w:rsidRPr="00D639D1">
        <w:rPr>
          <w:rStyle w:val="AERbody"/>
        </w:rPr>
        <w:t xml:space="preserve">million ($nominal) or </w:t>
      </w:r>
      <w:r w:rsidR="00FB0BF0">
        <w:rPr>
          <w:rStyle w:val="AERbody"/>
        </w:rPr>
        <w:t>11.</w:t>
      </w:r>
      <w:r w:rsidR="00003901">
        <w:rPr>
          <w:rStyle w:val="AERbody"/>
        </w:rPr>
        <w:t>1</w:t>
      </w:r>
      <w:r w:rsidR="00824A99" w:rsidRPr="00D639D1">
        <w:rPr>
          <w:rStyle w:val="AERbody"/>
        </w:rPr>
        <w:t xml:space="preserve"> per cent compared to the proposed amount. </w:t>
      </w:r>
      <w:r w:rsidR="00824A99">
        <w:t xml:space="preserve">This is </w:t>
      </w:r>
      <w:r w:rsidRPr="00A27483">
        <w:t>set out in</w:t>
      </w:r>
      <w:r>
        <w:t xml:space="preserve"> </w:t>
      </w:r>
      <w:r>
        <w:fldChar w:fldCharType="begin"/>
      </w:r>
      <w:r>
        <w:instrText xml:space="preserve"> REF _Ref433712846 \h </w:instrText>
      </w:r>
      <w:r>
        <w:fldChar w:fldCharType="separate"/>
      </w:r>
      <w:r w:rsidR="00E90DAD">
        <w:t xml:space="preserve">Table </w:t>
      </w:r>
      <w:r w:rsidR="00E90DAD">
        <w:rPr>
          <w:noProof/>
        </w:rPr>
        <w:t>6</w:t>
      </w:r>
      <w:r>
        <w:fldChar w:fldCharType="end"/>
      </w:r>
      <w:r w:rsidRPr="00A27483">
        <w:t>.</w:t>
      </w:r>
    </w:p>
    <w:p w:rsidR="00D77E30" w:rsidRDefault="00D77E30" w:rsidP="00C01149">
      <w:pPr>
        <w:pStyle w:val="Caption"/>
      </w:pPr>
      <w:bookmarkStart w:id="125" w:name="_Ref433712846"/>
      <w:r>
        <w:t xml:space="preserve">Table </w:t>
      </w:r>
      <w:fldSimple w:instr=" SEQ Table \* ARABIC ">
        <w:r w:rsidR="00E90DAD">
          <w:rPr>
            <w:noProof/>
          </w:rPr>
          <w:t>6</w:t>
        </w:r>
      </w:fldSimple>
      <w:bookmarkEnd w:id="125"/>
      <w:r>
        <w:tab/>
        <w:t>AER's draft decision on AGN's regulatory depreciation for the 2016–21 access arrangement period ($million, nominal)</w:t>
      </w:r>
    </w:p>
    <w:tbl>
      <w:tblPr>
        <w:tblStyle w:val="AERtable-numbers"/>
        <w:tblW w:w="8755" w:type="dxa"/>
        <w:tblLayout w:type="fixed"/>
        <w:tblLook w:val="04A0" w:firstRow="1" w:lastRow="0" w:firstColumn="1" w:lastColumn="0" w:noHBand="0" w:noVBand="1"/>
      </w:tblPr>
      <w:tblGrid>
        <w:gridCol w:w="2866"/>
        <w:gridCol w:w="981"/>
        <w:gridCol w:w="982"/>
        <w:gridCol w:w="981"/>
        <w:gridCol w:w="982"/>
        <w:gridCol w:w="981"/>
        <w:gridCol w:w="982"/>
      </w:tblGrid>
      <w:tr w:rsidR="00D77E30" w:rsidRPr="00A575B0" w:rsidTr="00824A9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866" w:type="dxa"/>
            <w:noWrap/>
            <w:hideMark/>
          </w:tcPr>
          <w:p w:rsidR="00D77E30" w:rsidRPr="00A575B0" w:rsidRDefault="00D77E30" w:rsidP="00C01149">
            <w:pPr>
              <w:keepNext/>
            </w:pPr>
          </w:p>
        </w:tc>
        <w:tc>
          <w:tcPr>
            <w:tcW w:w="981" w:type="dxa"/>
            <w:noWrap/>
          </w:tcPr>
          <w:p w:rsidR="00D77E30" w:rsidRPr="00A575B0" w:rsidRDefault="00D77E30" w:rsidP="00C01149">
            <w:pPr>
              <w:keepNext/>
              <w:cnfStyle w:val="100000000000" w:firstRow="1" w:lastRow="0" w:firstColumn="0" w:lastColumn="0" w:oddVBand="0" w:evenVBand="0" w:oddHBand="0" w:evenHBand="0" w:firstRowFirstColumn="0" w:firstRowLastColumn="0" w:lastRowFirstColumn="0" w:lastRowLastColumn="0"/>
            </w:pPr>
            <w:r w:rsidRPr="00A575B0">
              <w:t>2016–17</w:t>
            </w:r>
          </w:p>
        </w:tc>
        <w:tc>
          <w:tcPr>
            <w:tcW w:w="982" w:type="dxa"/>
            <w:noWrap/>
          </w:tcPr>
          <w:p w:rsidR="00D77E30" w:rsidRPr="00A575B0" w:rsidRDefault="00D77E30" w:rsidP="00C01149">
            <w:pPr>
              <w:keepNext/>
              <w:cnfStyle w:val="100000000000" w:firstRow="1" w:lastRow="0" w:firstColumn="0" w:lastColumn="0" w:oddVBand="0" w:evenVBand="0" w:oddHBand="0" w:evenHBand="0" w:firstRowFirstColumn="0" w:firstRowLastColumn="0" w:lastRowFirstColumn="0" w:lastRowLastColumn="0"/>
            </w:pPr>
            <w:r w:rsidRPr="00A575B0">
              <w:t>2017–18</w:t>
            </w:r>
          </w:p>
        </w:tc>
        <w:tc>
          <w:tcPr>
            <w:tcW w:w="981" w:type="dxa"/>
            <w:noWrap/>
          </w:tcPr>
          <w:p w:rsidR="00D77E30" w:rsidRPr="005B4094" w:rsidRDefault="00D77E30" w:rsidP="00C01149">
            <w:pPr>
              <w:keepNext/>
              <w:cnfStyle w:val="100000000000" w:firstRow="1" w:lastRow="0" w:firstColumn="0" w:lastColumn="0" w:oddVBand="0" w:evenVBand="0" w:oddHBand="0" w:evenHBand="0" w:firstRowFirstColumn="0" w:firstRowLastColumn="0" w:lastRowFirstColumn="0" w:lastRowLastColumn="0"/>
            </w:pPr>
            <w:r w:rsidRPr="005B4094">
              <w:t>2018–19</w:t>
            </w:r>
          </w:p>
        </w:tc>
        <w:tc>
          <w:tcPr>
            <w:tcW w:w="982" w:type="dxa"/>
            <w:noWrap/>
          </w:tcPr>
          <w:p w:rsidR="00D77E30" w:rsidRPr="00F77C82" w:rsidRDefault="00D77E30" w:rsidP="00C01149">
            <w:pPr>
              <w:keepNext/>
              <w:cnfStyle w:val="100000000000" w:firstRow="1" w:lastRow="0" w:firstColumn="0" w:lastColumn="0" w:oddVBand="0" w:evenVBand="0" w:oddHBand="0" w:evenHBand="0" w:firstRowFirstColumn="0" w:firstRowLastColumn="0" w:lastRowFirstColumn="0" w:lastRowLastColumn="0"/>
            </w:pPr>
            <w:r w:rsidRPr="005B4094">
              <w:t>2019–20</w:t>
            </w:r>
          </w:p>
        </w:tc>
        <w:tc>
          <w:tcPr>
            <w:tcW w:w="981" w:type="dxa"/>
            <w:noWrap/>
          </w:tcPr>
          <w:p w:rsidR="00D77E30" w:rsidRPr="00F77C82" w:rsidRDefault="00D77E30" w:rsidP="00C01149">
            <w:pPr>
              <w:keepNext/>
              <w:cnfStyle w:val="100000000000" w:firstRow="1" w:lastRow="0" w:firstColumn="0" w:lastColumn="0" w:oddVBand="0" w:evenVBand="0" w:oddHBand="0" w:evenHBand="0" w:firstRowFirstColumn="0" w:firstRowLastColumn="0" w:lastRowFirstColumn="0" w:lastRowLastColumn="0"/>
            </w:pPr>
            <w:r w:rsidRPr="00F77C82">
              <w:t>2020–21</w:t>
            </w:r>
          </w:p>
        </w:tc>
        <w:tc>
          <w:tcPr>
            <w:tcW w:w="982" w:type="dxa"/>
          </w:tcPr>
          <w:p w:rsidR="00D77E30" w:rsidRPr="00F77C82" w:rsidRDefault="00D77E30" w:rsidP="00C01149">
            <w:pPr>
              <w:keepNext/>
              <w:cnfStyle w:val="100000000000" w:firstRow="1" w:lastRow="0" w:firstColumn="0" w:lastColumn="0" w:oddVBand="0" w:evenVBand="0" w:oddHBand="0" w:evenHBand="0" w:firstRowFirstColumn="0" w:firstRowLastColumn="0" w:lastRowFirstColumn="0" w:lastRowLastColumn="0"/>
            </w:pPr>
            <w:r w:rsidRPr="00F77C82">
              <w:t>Total</w:t>
            </w:r>
          </w:p>
        </w:tc>
      </w:tr>
      <w:tr w:rsidR="00001B78" w:rsidRPr="009603F9" w:rsidTr="000C03D6">
        <w:trPr>
          <w:trHeight w:val="300"/>
        </w:trPr>
        <w:tc>
          <w:tcPr>
            <w:cnfStyle w:val="001000000000" w:firstRow="0" w:lastRow="0" w:firstColumn="1" w:lastColumn="0" w:oddVBand="0" w:evenVBand="0" w:oddHBand="0" w:evenHBand="0" w:firstRowFirstColumn="0" w:firstRowLastColumn="0" w:lastRowFirstColumn="0" w:lastRowLastColumn="0"/>
            <w:tcW w:w="2866" w:type="dxa"/>
            <w:noWrap/>
            <w:hideMark/>
          </w:tcPr>
          <w:p w:rsidR="00001B78" w:rsidRPr="00001B78" w:rsidRDefault="00001B78" w:rsidP="00C01149">
            <w:pPr>
              <w:keepNext/>
            </w:pPr>
            <w:r w:rsidRPr="00001B78">
              <w:t>Straight-line depreciation</w:t>
            </w:r>
          </w:p>
        </w:tc>
        <w:tc>
          <w:tcPr>
            <w:tcW w:w="981" w:type="dxa"/>
            <w:noWrap/>
          </w:tcPr>
          <w:p w:rsidR="00001B78" w:rsidRPr="00001B78" w:rsidRDefault="00001B78" w:rsidP="00C01149">
            <w:pPr>
              <w:keepNext/>
              <w:cnfStyle w:val="000000000000" w:firstRow="0" w:lastRow="0" w:firstColumn="0" w:lastColumn="0" w:oddVBand="0" w:evenVBand="0" w:oddHBand="0" w:evenHBand="0" w:firstRowFirstColumn="0" w:firstRowLastColumn="0" w:lastRowFirstColumn="0" w:lastRowLastColumn="0"/>
            </w:pPr>
            <w:r w:rsidRPr="00001B78">
              <w:t>45.3</w:t>
            </w:r>
          </w:p>
        </w:tc>
        <w:tc>
          <w:tcPr>
            <w:tcW w:w="982" w:type="dxa"/>
            <w:noWrap/>
          </w:tcPr>
          <w:p w:rsidR="00001B78" w:rsidRPr="00001B78" w:rsidRDefault="00001B78" w:rsidP="00C01149">
            <w:pPr>
              <w:keepNext/>
              <w:cnfStyle w:val="000000000000" w:firstRow="0" w:lastRow="0" w:firstColumn="0" w:lastColumn="0" w:oddVBand="0" w:evenVBand="0" w:oddHBand="0" w:evenHBand="0" w:firstRowFirstColumn="0" w:firstRowLastColumn="0" w:lastRowFirstColumn="0" w:lastRowLastColumn="0"/>
            </w:pPr>
            <w:r w:rsidRPr="00001B78">
              <w:t>50.5</w:t>
            </w:r>
          </w:p>
        </w:tc>
        <w:tc>
          <w:tcPr>
            <w:tcW w:w="981" w:type="dxa"/>
            <w:noWrap/>
          </w:tcPr>
          <w:p w:rsidR="00001B78" w:rsidRPr="00001B78" w:rsidRDefault="00001B78" w:rsidP="00C01149">
            <w:pPr>
              <w:keepNext/>
              <w:cnfStyle w:val="000000000000" w:firstRow="0" w:lastRow="0" w:firstColumn="0" w:lastColumn="0" w:oddVBand="0" w:evenVBand="0" w:oddHBand="0" w:evenHBand="0" w:firstRowFirstColumn="0" w:firstRowLastColumn="0" w:lastRowFirstColumn="0" w:lastRowLastColumn="0"/>
            </w:pPr>
            <w:r w:rsidRPr="00001B78">
              <w:t>57.0</w:t>
            </w:r>
          </w:p>
        </w:tc>
        <w:tc>
          <w:tcPr>
            <w:tcW w:w="982" w:type="dxa"/>
            <w:noWrap/>
          </w:tcPr>
          <w:p w:rsidR="00001B78" w:rsidRPr="00001B78" w:rsidRDefault="00001B78" w:rsidP="00C01149">
            <w:pPr>
              <w:keepNext/>
              <w:cnfStyle w:val="000000000000" w:firstRow="0" w:lastRow="0" w:firstColumn="0" w:lastColumn="0" w:oddVBand="0" w:evenVBand="0" w:oddHBand="0" w:evenHBand="0" w:firstRowFirstColumn="0" w:firstRowLastColumn="0" w:lastRowFirstColumn="0" w:lastRowLastColumn="0"/>
            </w:pPr>
            <w:r w:rsidRPr="00001B78">
              <w:t>62.5</w:t>
            </w:r>
          </w:p>
        </w:tc>
        <w:tc>
          <w:tcPr>
            <w:tcW w:w="981" w:type="dxa"/>
            <w:noWrap/>
          </w:tcPr>
          <w:p w:rsidR="00001B78" w:rsidRPr="00001B78" w:rsidRDefault="00001B78" w:rsidP="00C01149">
            <w:pPr>
              <w:keepNext/>
              <w:cnfStyle w:val="000000000000" w:firstRow="0" w:lastRow="0" w:firstColumn="0" w:lastColumn="0" w:oddVBand="0" w:evenVBand="0" w:oddHBand="0" w:evenHBand="0" w:firstRowFirstColumn="0" w:firstRowLastColumn="0" w:lastRowFirstColumn="0" w:lastRowLastColumn="0"/>
            </w:pPr>
            <w:r w:rsidRPr="00001B78">
              <w:t>62.4</w:t>
            </w:r>
          </w:p>
        </w:tc>
        <w:tc>
          <w:tcPr>
            <w:tcW w:w="982" w:type="dxa"/>
          </w:tcPr>
          <w:p w:rsidR="00001B78" w:rsidRPr="00001B78" w:rsidRDefault="00001B78" w:rsidP="00C01149">
            <w:pPr>
              <w:keepNext/>
              <w:cnfStyle w:val="000000000000" w:firstRow="0" w:lastRow="0" w:firstColumn="0" w:lastColumn="0" w:oddVBand="0" w:evenVBand="0" w:oddHBand="0" w:evenHBand="0" w:firstRowFirstColumn="0" w:firstRowLastColumn="0" w:lastRowFirstColumn="0" w:lastRowLastColumn="0"/>
            </w:pPr>
            <w:r w:rsidRPr="00001B78">
              <w:t>277.8</w:t>
            </w:r>
          </w:p>
        </w:tc>
      </w:tr>
      <w:tr w:rsidR="00001B78" w:rsidRPr="009603F9" w:rsidTr="00E83F2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6" w:type="dxa"/>
            <w:noWrap/>
          </w:tcPr>
          <w:p w:rsidR="00001B78" w:rsidRPr="00001B78" w:rsidRDefault="00001B78" w:rsidP="00C01149">
            <w:pPr>
              <w:keepNext/>
            </w:pPr>
            <w:r w:rsidRPr="00001B78">
              <w:rPr>
                <w:rStyle w:val="AERtextitalic"/>
              </w:rPr>
              <w:t>Less:</w:t>
            </w:r>
            <w:r w:rsidRPr="00001B78">
              <w:t xml:space="preserve"> indexation on capital base </w:t>
            </w:r>
          </w:p>
        </w:tc>
        <w:tc>
          <w:tcPr>
            <w:tcW w:w="981" w:type="dxa"/>
            <w:noWrap/>
          </w:tcPr>
          <w:p w:rsidR="00001B78" w:rsidRPr="00001B78" w:rsidRDefault="00001B78" w:rsidP="00C01149">
            <w:pPr>
              <w:keepNext/>
              <w:cnfStyle w:val="000000010000" w:firstRow="0" w:lastRow="0" w:firstColumn="0" w:lastColumn="0" w:oddVBand="0" w:evenVBand="0" w:oddHBand="0" w:evenHBand="1" w:firstRowFirstColumn="0" w:firstRowLastColumn="0" w:lastRowFirstColumn="0" w:lastRowLastColumn="0"/>
            </w:pPr>
            <w:r w:rsidRPr="00001B78">
              <w:t>35.4</w:t>
            </w:r>
          </w:p>
        </w:tc>
        <w:tc>
          <w:tcPr>
            <w:tcW w:w="982" w:type="dxa"/>
            <w:noWrap/>
          </w:tcPr>
          <w:p w:rsidR="00001B78" w:rsidRPr="00001B78" w:rsidRDefault="00001B78" w:rsidP="00C01149">
            <w:pPr>
              <w:keepNext/>
              <w:cnfStyle w:val="000000010000" w:firstRow="0" w:lastRow="0" w:firstColumn="0" w:lastColumn="0" w:oddVBand="0" w:evenVBand="0" w:oddHBand="0" w:evenHBand="1" w:firstRowFirstColumn="0" w:firstRowLastColumn="0" w:lastRowFirstColumn="0" w:lastRowLastColumn="0"/>
            </w:pPr>
            <w:r w:rsidRPr="00001B78">
              <w:t>37.2</w:t>
            </w:r>
          </w:p>
        </w:tc>
        <w:tc>
          <w:tcPr>
            <w:tcW w:w="981" w:type="dxa"/>
            <w:noWrap/>
          </w:tcPr>
          <w:p w:rsidR="00001B78" w:rsidRPr="00001B78" w:rsidRDefault="00001B78" w:rsidP="00C01149">
            <w:pPr>
              <w:keepNext/>
              <w:cnfStyle w:val="000000010000" w:firstRow="0" w:lastRow="0" w:firstColumn="0" w:lastColumn="0" w:oddVBand="0" w:evenVBand="0" w:oddHBand="0" w:evenHBand="1" w:firstRowFirstColumn="0" w:firstRowLastColumn="0" w:lastRowFirstColumn="0" w:lastRowLastColumn="0"/>
            </w:pPr>
            <w:r w:rsidRPr="00001B78">
              <w:t>39.1</w:t>
            </w:r>
          </w:p>
        </w:tc>
        <w:tc>
          <w:tcPr>
            <w:tcW w:w="982" w:type="dxa"/>
            <w:noWrap/>
          </w:tcPr>
          <w:p w:rsidR="00001B78" w:rsidRPr="00001B78" w:rsidRDefault="00001B78" w:rsidP="00C01149">
            <w:pPr>
              <w:keepNext/>
              <w:cnfStyle w:val="000000010000" w:firstRow="0" w:lastRow="0" w:firstColumn="0" w:lastColumn="0" w:oddVBand="0" w:evenVBand="0" w:oddHBand="0" w:evenHBand="1" w:firstRowFirstColumn="0" w:firstRowLastColumn="0" w:lastRowFirstColumn="0" w:lastRowLastColumn="0"/>
            </w:pPr>
            <w:r w:rsidRPr="00001B78">
              <w:t>40.9</w:t>
            </w:r>
          </w:p>
        </w:tc>
        <w:tc>
          <w:tcPr>
            <w:tcW w:w="981" w:type="dxa"/>
            <w:noWrap/>
          </w:tcPr>
          <w:p w:rsidR="00001B78" w:rsidRPr="00001B78" w:rsidRDefault="00001B78" w:rsidP="00C01149">
            <w:pPr>
              <w:keepNext/>
              <w:cnfStyle w:val="000000010000" w:firstRow="0" w:lastRow="0" w:firstColumn="0" w:lastColumn="0" w:oddVBand="0" w:evenVBand="0" w:oddHBand="0" w:evenHBand="1" w:firstRowFirstColumn="0" w:firstRowLastColumn="0" w:lastRowFirstColumn="0" w:lastRowLastColumn="0"/>
            </w:pPr>
            <w:r w:rsidRPr="00001B78">
              <w:t>42.5</w:t>
            </w:r>
          </w:p>
        </w:tc>
        <w:tc>
          <w:tcPr>
            <w:tcW w:w="982" w:type="dxa"/>
          </w:tcPr>
          <w:p w:rsidR="00001B78" w:rsidRPr="00001B78" w:rsidRDefault="00001B78" w:rsidP="00C01149">
            <w:pPr>
              <w:keepNext/>
              <w:cnfStyle w:val="000000010000" w:firstRow="0" w:lastRow="0" w:firstColumn="0" w:lastColumn="0" w:oddVBand="0" w:evenVBand="0" w:oddHBand="0" w:evenHBand="1" w:firstRowFirstColumn="0" w:firstRowLastColumn="0" w:lastRowFirstColumn="0" w:lastRowLastColumn="0"/>
            </w:pPr>
            <w:r w:rsidRPr="00001B78">
              <w:t>195.1</w:t>
            </w:r>
          </w:p>
        </w:tc>
      </w:tr>
      <w:tr w:rsidR="00001B78" w:rsidRPr="00A575B0" w:rsidTr="00E83F2E">
        <w:trPr>
          <w:trHeight w:val="300"/>
        </w:trPr>
        <w:tc>
          <w:tcPr>
            <w:cnfStyle w:val="001000000000" w:firstRow="0" w:lastRow="0" w:firstColumn="1" w:lastColumn="0" w:oddVBand="0" w:evenVBand="0" w:oddHBand="0" w:evenHBand="0" w:firstRowFirstColumn="0" w:firstRowLastColumn="0" w:lastRowFirstColumn="0" w:lastRowLastColumn="0"/>
            <w:tcW w:w="2866" w:type="dxa"/>
            <w:noWrap/>
          </w:tcPr>
          <w:p w:rsidR="00001B78" w:rsidRPr="00001B78" w:rsidRDefault="00001B78" w:rsidP="00C01149">
            <w:pPr>
              <w:keepNext/>
              <w:rPr>
                <w:rStyle w:val="Strong"/>
              </w:rPr>
            </w:pPr>
            <w:r w:rsidRPr="00001B78">
              <w:rPr>
                <w:rStyle w:val="Strong"/>
              </w:rPr>
              <w:t>Regulatory depreciation</w:t>
            </w:r>
          </w:p>
        </w:tc>
        <w:tc>
          <w:tcPr>
            <w:tcW w:w="981" w:type="dxa"/>
            <w:noWrap/>
          </w:tcPr>
          <w:p w:rsidR="00001B78" w:rsidRPr="00001B78" w:rsidRDefault="00001B78" w:rsidP="00C01149">
            <w:pPr>
              <w:keepNext/>
              <w:cnfStyle w:val="000000000000" w:firstRow="0" w:lastRow="0" w:firstColumn="0" w:lastColumn="0" w:oddVBand="0" w:evenVBand="0" w:oddHBand="0" w:evenHBand="0" w:firstRowFirstColumn="0" w:firstRowLastColumn="0" w:lastRowFirstColumn="0" w:lastRowLastColumn="0"/>
              <w:rPr>
                <w:rStyle w:val="Strong"/>
              </w:rPr>
            </w:pPr>
            <w:r w:rsidRPr="00001B78">
              <w:rPr>
                <w:rStyle w:val="Strong"/>
              </w:rPr>
              <w:t>9.9</w:t>
            </w:r>
          </w:p>
        </w:tc>
        <w:tc>
          <w:tcPr>
            <w:tcW w:w="982" w:type="dxa"/>
            <w:noWrap/>
          </w:tcPr>
          <w:p w:rsidR="00001B78" w:rsidRPr="00001B78" w:rsidRDefault="00001B78" w:rsidP="00C01149">
            <w:pPr>
              <w:keepNext/>
              <w:cnfStyle w:val="000000000000" w:firstRow="0" w:lastRow="0" w:firstColumn="0" w:lastColumn="0" w:oddVBand="0" w:evenVBand="0" w:oddHBand="0" w:evenHBand="0" w:firstRowFirstColumn="0" w:firstRowLastColumn="0" w:lastRowFirstColumn="0" w:lastRowLastColumn="0"/>
              <w:rPr>
                <w:rStyle w:val="Strong"/>
              </w:rPr>
            </w:pPr>
            <w:r w:rsidRPr="00001B78">
              <w:rPr>
                <w:rStyle w:val="Strong"/>
              </w:rPr>
              <w:t>13.3</w:t>
            </w:r>
          </w:p>
        </w:tc>
        <w:tc>
          <w:tcPr>
            <w:tcW w:w="981" w:type="dxa"/>
            <w:noWrap/>
          </w:tcPr>
          <w:p w:rsidR="00001B78" w:rsidRPr="00001B78" w:rsidRDefault="00001B78" w:rsidP="00C01149">
            <w:pPr>
              <w:keepNext/>
              <w:cnfStyle w:val="000000000000" w:firstRow="0" w:lastRow="0" w:firstColumn="0" w:lastColumn="0" w:oddVBand="0" w:evenVBand="0" w:oddHBand="0" w:evenHBand="0" w:firstRowFirstColumn="0" w:firstRowLastColumn="0" w:lastRowFirstColumn="0" w:lastRowLastColumn="0"/>
              <w:rPr>
                <w:rStyle w:val="Strong"/>
              </w:rPr>
            </w:pPr>
            <w:r w:rsidRPr="00001B78">
              <w:rPr>
                <w:rStyle w:val="Strong"/>
              </w:rPr>
              <w:t>17.9</w:t>
            </w:r>
          </w:p>
        </w:tc>
        <w:tc>
          <w:tcPr>
            <w:tcW w:w="982" w:type="dxa"/>
            <w:noWrap/>
          </w:tcPr>
          <w:p w:rsidR="00001B78" w:rsidRPr="00001B78" w:rsidRDefault="00001B78" w:rsidP="00C01149">
            <w:pPr>
              <w:keepNext/>
              <w:cnfStyle w:val="000000000000" w:firstRow="0" w:lastRow="0" w:firstColumn="0" w:lastColumn="0" w:oddVBand="0" w:evenVBand="0" w:oddHBand="0" w:evenHBand="0" w:firstRowFirstColumn="0" w:firstRowLastColumn="0" w:lastRowFirstColumn="0" w:lastRowLastColumn="0"/>
              <w:rPr>
                <w:rStyle w:val="Strong"/>
              </w:rPr>
            </w:pPr>
            <w:r w:rsidRPr="00001B78">
              <w:rPr>
                <w:rStyle w:val="Strong"/>
              </w:rPr>
              <w:t>21.6</w:t>
            </w:r>
          </w:p>
        </w:tc>
        <w:tc>
          <w:tcPr>
            <w:tcW w:w="981" w:type="dxa"/>
            <w:noWrap/>
          </w:tcPr>
          <w:p w:rsidR="00001B78" w:rsidRPr="00001B78" w:rsidRDefault="00001B78" w:rsidP="00C01149">
            <w:pPr>
              <w:keepNext/>
              <w:cnfStyle w:val="000000000000" w:firstRow="0" w:lastRow="0" w:firstColumn="0" w:lastColumn="0" w:oddVBand="0" w:evenVBand="0" w:oddHBand="0" w:evenHBand="0" w:firstRowFirstColumn="0" w:firstRowLastColumn="0" w:lastRowFirstColumn="0" w:lastRowLastColumn="0"/>
              <w:rPr>
                <w:rStyle w:val="Strong"/>
              </w:rPr>
            </w:pPr>
            <w:r w:rsidRPr="00001B78">
              <w:rPr>
                <w:rStyle w:val="Strong"/>
              </w:rPr>
              <w:t>19.9</w:t>
            </w:r>
          </w:p>
        </w:tc>
        <w:tc>
          <w:tcPr>
            <w:tcW w:w="982" w:type="dxa"/>
          </w:tcPr>
          <w:p w:rsidR="00001B78" w:rsidRPr="00001B78" w:rsidRDefault="00001B78" w:rsidP="00C01149">
            <w:pPr>
              <w:keepNext/>
              <w:cnfStyle w:val="000000000000" w:firstRow="0" w:lastRow="0" w:firstColumn="0" w:lastColumn="0" w:oddVBand="0" w:evenVBand="0" w:oddHBand="0" w:evenHBand="0" w:firstRowFirstColumn="0" w:firstRowLastColumn="0" w:lastRowFirstColumn="0" w:lastRowLastColumn="0"/>
              <w:rPr>
                <w:rStyle w:val="Strong"/>
              </w:rPr>
            </w:pPr>
            <w:r w:rsidRPr="00001B78">
              <w:rPr>
                <w:rStyle w:val="Strong"/>
              </w:rPr>
              <w:t>82.7</w:t>
            </w:r>
          </w:p>
        </w:tc>
      </w:tr>
    </w:tbl>
    <w:p w:rsidR="00D77E30" w:rsidRDefault="00D77E30" w:rsidP="00C01149">
      <w:pPr>
        <w:pStyle w:val="AERtablesource"/>
        <w:keepNext/>
      </w:pPr>
      <w:r>
        <w:t xml:space="preserve">Source: </w:t>
      </w:r>
      <w:r>
        <w:tab/>
        <w:t>AER analysis.</w:t>
      </w:r>
    </w:p>
    <w:p w:rsidR="00824A99" w:rsidRDefault="00824A99" w:rsidP="00824A99">
      <w:pPr>
        <w:rPr>
          <w:rStyle w:val="AERbody"/>
        </w:rPr>
      </w:pPr>
      <w:r>
        <w:rPr>
          <w:rStyle w:val="AERbody"/>
        </w:rPr>
        <w:t>This reduction to AGN’s proposal is required because of:</w:t>
      </w:r>
    </w:p>
    <w:p w:rsidR="00824A99" w:rsidRDefault="00824A99" w:rsidP="00824A99">
      <w:pPr>
        <w:pStyle w:val="AERbulletlistfirststyle"/>
      </w:pPr>
      <w:r>
        <w:t xml:space="preserve">our required updates to the proposed remaining asset lives as at 1 July 2016 </w:t>
      </w:r>
    </w:p>
    <w:p w:rsidR="00776737" w:rsidRDefault="00824A99" w:rsidP="000C03D6">
      <w:pPr>
        <w:pStyle w:val="AERbulletlistfirststyle"/>
        <w:rPr>
          <w:rStyle w:val="AERbody"/>
        </w:rPr>
      </w:pPr>
      <w:r>
        <w:t>our</w:t>
      </w:r>
      <w:r w:rsidRPr="001C0783">
        <w:t xml:space="preserve"> </w:t>
      </w:r>
      <w:r>
        <w:t>draft decision on other components of AGN’s</w:t>
      </w:r>
      <w:r w:rsidRPr="001C0783">
        <w:t xml:space="preserve"> </w:t>
      </w:r>
      <w:r>
        <w:t xml:space="preserve">proposal, which also affect the calculation of </w:t>
      </w:r>
      <w:r w:rsidR="005D0FC8">
        <w:t xml:space="preserve">forecast </w:t>
      </w:r>
      <w:r>
        <w:t xml:space="preserve">regulatory depreciation. These include reductions to AGN’s </w:t>
      </w:r>
      <w:r w:rsidR="00636535" w:rsidRPr="00636535">
        <w:t>opening capital base</w:t>
      </w:r>
      <w:r w:rsidR="00636535">
        <w:t xml:space="preserve"> and</w:t>
      </w:r>
      <w:r w:rsidR="00636535" w:rsidRPr="00636535">
        <w:t xml:space="preserve"> </w:t>
      </w:r>
      <w:r>
        <w:t xml:space="preserve">forecast net capex (see sections </w:t>
      </w:r>
      <w:r w:rsidR="00636535" w:rsidRPr="00636535">
        <w:fldChar w:fldCharType="begin"/>
      </w:r>
      <w:r w:rsidR="00636535" w:rsidRPr="00636535">
        <w:instrText xml:space="preserve"> REF _Ref433713640 \r \h </w:instrText>
      </w:r>
      <w:r w:rsidR="00636535" w:rsidRPr="00636535">
        <w:fldChar w:fldCharType="separate"/>
      </w:r>
      <w:r w:rsidR="00E90DAD">
        <w:t>4.1</w:t>
      </w:r>
      <w:r w:rsidR="00636535" w:rsidRPr="00636535">
        <w:fldChar w:fldCharType="end"/>
      </w:r>
      <w:r>
        <w:t xml:space="preserve"> and</w:t>
      </w:r>
      <w:r w:rsidR="00636535">
        <w:t xml:space="preserve"> </w:t>
      </w:r>
      <w:r w:rsidR="00636535" w:rsidRPr="00636535">
        <w:fldChar w:fldCharType="begin"/>
      </w:r>
      <w:r w:rsidR="00636535" w:rsidRPr="00636535">
        <w:instrText xml:space="preserve"> REF _Ref433713634 \r \h </w:instrText>
      </w:r>
      <w:r w:rsidR="00636535" w:rsidRPr="00636535">
        <w:fldChar w:fldCharType="separate"/>
      </w:r>
      <w:r w:rsidR="00E90DAD">
        <w:t>4.5</w:t>
      </w:r>
      <w:r w:rsidR="00636535" w:rsidRPr="00636535">
        <w:fldChar w:fldCharType="end"/>
      </w:r>
      <w:r>
        <w:t>, respectively)</w:t>
      </w:r>
      <w:r w:rsidR="00B54B40">
        <w:t>.</w:t>
      </w:r>
    </w:p>
    <w:p w:rsidR="001F2E8C" w:rsidRDefault="001F2E8C" w:rsidP="008157E7">
      <w:pPr>
        <w:pStyle w:val="HeadingBoldBlue"/>
        <w:rPr>
          <w:rStyle w:val="AERbody"/>
          <w:rFonts w:cs="Times New Roman"/>
        </w:rPr>
      </w:pPr>
      <w:r>
        <w:rPr>
          <w:rStyle w:val="AERbody"/>
        </w:rPr>
        <w:t>Contingent proposal</w:t>
      </w:r>
      <w:r w:rsidR="008430E1">
        <w:rPr>
          <w:rStyle w:val="AERbody"/>
        </w:rPr>
        <w:t>—</w:t>
      </w:r>
      <w:r>
        <w:rPr>
          <w:rStyle w:val="AERbody"/>
        </w:rPr>
        <w:t>relationship between return on and return of capital</w:t>
      </w:r>
    </w:p>
    <w:p w:rsidR="00141F1F" w:rsidRDefault="00141F1F" w:rsidP="00AA1035">
      <w:pPr>
        <w:rPr>
          <w:rStyle w:val="AERbody"/>
        </w:rPr>
      </w:pPr>
      <w:r w:rsidRPr="00FD197B">
        <w:rPr>
          <w:rStyle w:val="AERbody"/>
        </w:rPr>
        <w:t xml:space="preserve">AGN </w:t>
      </w:r>
      <w:r>
        <w:rPr>
          <w:rStyle w:val="AERbody"/>
        </w:rPr>
        <w:t>submitted that its proposed approach to depreciation was contingent on meeting certain credit metric thresholds, which it considered to be necessary in order to achieve a BBB+ credit rating.</w:t>
      </w:r>
      <w:r>
        <w:rPr>
          <w:rStyle w:val="FootnoteReference"/>
        </w:rPr>
        <w:footnoteReference w:id="54"/>
      </w:r>
      <w:r>
        <w:rPr>
          <w:rStyle w:val="AERbody"/>
        </w:rPr>
        <w:t xml:space="preserve"> The specific credit metrics were two financial ratios used by credit rating agencies, </w:t>
      </w:r>
      <w:r w:rsidRPr="00CD4E71">
        <w:rPr>
          <w:rStyle w:val="Emphasis"/>
        </w:rPr>
        <w:t>Funds From Operations (FFO) to debt</w:t>
      </w:r>
      <w:r>
        <w:rPr>
          <w:rStyle w:val="AERbody"/>
        </w:rPr>
        <w:t xml:space="preserve"> and </w:t>
      </w:r>
      <w:r w:rsidRPr="00CD4E71">
        <w:rPr>
          <w:rStyle w:val="Emphasis"/>
        </w:rPr>
        <w:t>FFO to interest</w:t>
      </w:r>
      <w:r>
        <w:rPr>
          <w:rStyle w:val="AERbody"/>
        </w:rPr>
        <w:t>. AGN also commissioned a review of its assessed credit metrics by Incenta Economic Consulting (Incenta).</w:t>
      </w:r>
      <w:r>
        <w:rPr>
          <w:rStyle w:val="FootnoteReference"/>
        </w:rPr>
        <w:footnoteReference w:id="55"/>
      </w:r>
      <w:r>
        <w:rPr>
          <w:rStyle w:val="AERbody"/>
        </w:rPr>
        <w:t xml:space="preserve"> AGN submitted that it must be allowed </w:t>
      </w:r>
      <w:r w:rsidRPr="00FD197B">
        <w:rPr>
          <w:rStyle w:val="AERbody"/>
        </w:rPr>
        <w:t xml:space="preserve">sufficient cash flow to maintain the benchmark BBB+ credit rating that is assumed </w:t>
      </w:r>
      <w:r>
        <w:rPr>
          <w:rStyle w:val="AERbody"/>
        </w:rPr>
        <w:t>by the AER when</w:t>
      </w:r>
      <w:r w:rsidRPr="00FD197B">
        <w:rPr>
          <w:rStyle w:val="AERbody"/>
        </w:rPr>
        <w:t xml:space="preserve"> setting the rate of return.</w:t>
      </w:r>
      <w:r w:rsidRPr="00803287">
        <w:rPr>
          <w:rStyle w:val="FootnoteReference"/>
        </w:rPr>
        <w:footnoteReference w:id="56"/>
      </w:r>
      <w:r>
        <w:rPr>
          <w:rStyle w:val="AERbody"/>
        </w:rPr>
        <w:t xml:space="preserve"> AGN submitted that if those credit metrics thresholds for a BBB+ credit rating were not met due to a lower rate of return, a different depreciation approach should apply.</w:t>
      </w:r>
      <w:r>
        <w:rPr>
          <w:rStyle w:val="FootnoteReference"/>
        </w:rPr>
        <w:footnoteReference w:id="57"/>
      </w:r>
      <w:r>
        <w:rPr>
          <w:rStyle w:val="AERbody"/>
        </w:rPr>
        <w:t xml:space="preserve"> This alternative approach would produce higher depreciation by adjusting the indexation component of the regulatory depreciation allowance. Hence, the key outcome of AGN’s contingent proposal is that if </w:t>
      </w:r>
      <w:r w:rsidR="00EA54BE">
        <w:rPr>
          <w:rStyle w:val="AERbody"/>
        </w:rPr>
        <w:t>we</w:t>
      </w:r>
      <w:r>
        <w:rPr>
          <w:rStyle w:val="AERbody"/>
        </w:rPr>
        <w:t xml:space="preserve"> reduce the return </w:t>
      </w:r>
      <w:r w:rsidRPr="008157E7">
        <w:rPr>
          <w:rStyle w:val="Emphasis"/>
        </w:rPr>
        <w:t>on</w:t>
      </w:r>
      <w:r>
        <w:rPr>
          <w:rStyle w:val="AERbody"/>
        </w:rPr>
        <w:t xml:space="preserve"> capital building block, </w:t>
      </w:r>
      <w:r w:rsidR="00EA54BE">
        <w:rPr>
          <w:rStyle w:val="AERbody"/>
        </w:rPr>
        <w:t>we</w:t>
      </w:r>
      <w:r>
        <w:rPr>
          <w:rStyle w:val="AERbody"/>
        </w:rPr>
        <w:t xml:space="preserve"> should make an offsetting increase to the return </w:t>
      </w:r>
      <w:r w:rsidRPr="008157E7">
        <w:rPr>
          <w:rStyle w:val="Emphasis"/>
        </w:rPr>
        <w:t>of</w:t>
      </w:r>
      <w:r>
        <w:rPr>
          <w:rStyle w:val="AERbody"/>
        </w:rPr>
        <w:t xml:space="preserve"> capital building block.</w:t>
      </w:r>
    </w:p>
    <w:p w:rsidR="00AA1035" w:rsidRDefault="00AA1035" w:rsidP="00AA1035">
      <w:pPr>
        <w:rPr>
          <w:rStyle w:val="AERbody"/>
        </w:rPr>
      </w:pPr>
      <w:r>
        <w:rPr>
          <w:rStyle w:val="AERbody"/>
        </w:rPr>
        <w:t xml:space="preserve">We do not accept AGN’s </w:t>
      </w:r>
      <w:r w:rsidR="00C149F0">
        <w:rPr>
          <w:rStyle w:val="AERbody"/>
        </w:rPr>
        <w:t xml:space="preserve">contingent </w:t>
      </w:r>
      <w:r>
        <w:rPr>
          <w:rStyle w:val="AERbody"/>
        </w:rPr>
        <w:t>proposal</w:t>
      </w:r>
      <w:r w:rsidR="00C149F0">
        <w:rPr>
          <w:rStyle w:val="AERbody"/>
        </w:rPr>
        <w:t xml:space="preserve"> to adjust the indexation component of the regulatory depreciation building block </w:t>
      </w:r>
      <w:r>
        <w:rPr>
          <w:rStyle w:val="AERbody"/>
        </w:rPr>
        <w:t>for the following reasons:</w:t>
      </w:r>
    </w:p>
    <w:p w:rsidR="00141F1F" w:rsidRDefault="00141F1F" w:rsidP="008157E7">
      <w:pPr>
        <w:pStyle w:val="AERbulletlistfirststyle"/>
        <w:rPr>
          <w:rStyle w:val="AERbody"/>
        </w:rPr>
      </w:pPr>
      <w:r w:rsidRPr="00A8118B">
        <w:rPr>
          <w:rStyle w:val="AERbody"/>
        </w:rPr>
        <w:t xml:space="preserve">AGN’s contingent proposal </w:t>
      </w:r>
      <w:r>
        <w:rPr>
          <w:rStyle w:val="AERbody"/>
        </w:rPr>
        <w:t xml:space="preserve">appears to be </w:t>
      </w:r>
      <w:r w:rsidRPr="00A8118B">
        <w:rPr>
          <w:rStyle w:val="AERbody"/>
        </w:rPr>
        <w:t xml:space="preserve">incomplete and not fully specified. Therefore, we consider AGN’s proposal is incapable of being accepted even if we </w:t>
      </w:r>
      <w:r>
        <w:rPr>
          <w:rStyle w:val="AERbody"/>
        </w:rPr>
        <w:t>were persuaded</w:t>
      </w:r>
      <w:r w:rsidRPr="00A8118B">
        <w:rPr>
          <w:rStyle w:val="AERbody"/>
        </w:rPr>
        <w:t xml:space="preserve"> that some adjustment to indexation </w:t>
      </w:r>
      <w:r>
        <w:rPr>
          <w:rStyle w:val="AERbody"/>
        </w:rPr>
        <w:t>was necessary (which we do not)</w:t>
      </w:r>
      <w:r w:rsidRPr="00A8118B">
        <w:rPr>
          <w:rStyle w:val="AERbody"/>
        </w:rPr>
        <w:t>.</w:t>
      </w:r>
      <w:r>
        <w:rPr>
          <w:rStyle w:val="AERbody"/>
        </w:rPr>
        <w:t xml:space="preserve"> I</w:t>
      </w:r>
      <w:r w:rsidRPr="00A8118B">
        <w:rPr>
          <w:rStyle w:val="AERbody"/>
        </w:rPr>
        <w:t xml:space="preserve">t is not possible for us and other stakeholders to undertake a full assessment of this </w:t>
      </w:r>
      <w:r>
        <w:rPr>
          <w:rStyle w:val="AERbody"/>
        </w:rPr>
        <w:t xml:space="preserve">incomplete contingent </w:t>
      </w:r>
      <w:r w:rsidRPr="00A8118B">
        <w:rPr>
          <w:rStyle w:val="AERbody"/>
        </w:rPr>
        <w:t xml:space="preserve">proposal. </w:t>
      </w:r>
      <w:r>
        <w:rPr>
          <w:rStyle w:val="AERbody"/>
        </w:rPr>
        <w:t>W</w:t>
      </w:r>
      <w:r w:rsidRPr="00A8118B">
        <w:rPr>
          <w:rStyle w:val="AERbody"/>
        </w:rPr>
        <w:t>e note that a number of stakeholders do not agree</w:t>
      </w:r>
      <w:r>
        <w:rPr>
          <w:rStyle w:val="AERbody"/>
        </w:rPr>
        <w:t xml:space="preserve"> in principle</w:t>
      </w:r>
      <w:r w:rsidRPr="00A8118B">
        <w:rPr>
          <w:rStyle w:val="AERbody"/>
        </w:rPr>
        <w:t xml:space="preserve"> with AGN’s proposal to increase its depreciation and change the indexation on the capital base if </w:t>
      </w:r>
      <w:r w:rsidR="00EA54BE">
        <w:rPr>
          <w:rStyle w:val="AERbody"/>
        </w:rPr>
        <w:t>we</w:t>
      </w:r>
      <w:r w:rsidRPr="00A8118B">
        <w:rPr>
          <w:rStyle w:val="AERbody"/>
        </w:rPr>
        <w:t xml:space="preserve"> det</w:t>
      </w:r>
      <w:r>
        <w:rPr>
          <w:rStyle w:val="AERbody"/>
        </w:rPr>
        <w:t>ermine a lower rate of return.</w:t>
      </w:r>
      <w:r>
        <w:rPr>
          <w:rStyle w:val="FootnoteReference"/>
        </w:rPr>
        <w:footnoteReference w:id="58"/>
      </w:r>
    </w:p>
    <w:p w:rsidR="00141F1F" w:rsidRDefault="00141F1F" w:rsidP="00141F1F">
      <w:pPr>
        <w:pStyle w:val="AERbulletlistfirststyle"/>
        <w:rPr>
          <w:rStyle w:val="AERbody"/>
        </w:rPr>
      </w:pPr>
      <w:r w:rsidRPr="00A8118B">
        <w:rPr>
          <w:rStyle w:val="AERbody"/>
        </w:rPr>
        <w:t xml:space="preserve">We are not persuaded by either AGN’s or Incenta’s analysis of credit metrics for the reasons set out in </w:t>
      </w:r>
      <w:r>
        <w:rPr>
          <w:rStyle w:val="AERbody"/>
        </w:rPr>
        <w:t>attachment 3</w:t>
      </w:r>
      <w:r w:rsidRPr="00A8118B">
        <w:rPr>
          <w:rStyle w:val="AERbody"/>
        </w:rPr>
        <w:t xml:space="preserve">. Therefore, we are not satisfied that there is evidence that </w:t>
      </w:r>
      <w:r>
        <w:rPr>
          <w:rStyle w:val="AERbody"/>
        </w:rPr>
        <w:t xml:space="preserve">a benchmark business in the circumstances of </w:t>
      </w:r>
      <w:r w:rsidRPr="00A8118B">
        <w:rPr>
          <w:rStyle w:val="AERbody"/>
        </w:rPr>
        <w:t>AGN faces a credit rating downgrade or a financeability problem more generally.</w:t>
      </w:r>
      <w:r>
        <w:rPr>
          <w:rStyle w:val="AERbody"/>
        </w:rPr>
        <w:t xml:space="preserve"> Overall, we consider that the approach to evaluating credit metrics, as documented in AGN’s proposal and Incenta’s report, gives undue weight to the metrics as an indicator of creditworthiness, and is based on assumptions which are not satisfactorily tested or substantiated. </w:t>
      </w:r>
    </w:p>
    <w:p w:rsidR="00AA1035" w:rsidRDefault="00141F1F" w:rsidP="008157E7">
      <w:pPr>
        <w:pStyle w:val="AERbulletlistfirststyle"/>
      </w:pPr>
      <w:r w:rsidRPr="00A8118B">
        <w:rPr>
          <w:rStyle w:val="AERbody"/>
        </w:rPr>
        <w:t>Even if we accepted that there was evidence of a financeability problem, neither AGN nor Incenta has demonstrat</w:t>
      </w:r>
      <w:r>
        <w:rPr>
          <w:rStyle w:val="AERbody"/>
        </w:rPr>
        <w:t xml:space="preserve">ed why its accelerated depreciation </w:t>
      </w:r>
      <w:r w:rsidRPr="00A8118B">
        <w:rPr>
          <w:rStyle w:val="AERbody"/>
        </w:rPr>
        <w:t xml:space="preserve">would achieve the depreciation criteria in the rules </w:t>
      </w:r>
      <w:r>
        <w:rPr>
          <w:rStyle w:val="AERbody"/>
        </w:rPr>
        <w:t>and</w:t>
      </w:r>
      <w:r w:rsidRPr="00A8118B">
        <w:rPr>
          <w:rStyle w:val="AERbody"/>
        </w:rPr>
        <w:t xml:space="preserve"> be in the long term interests of consumers. </w:t>
      </w:r>
      <w:r>
        <w:rPr>
          <w:rStyle w:val="AERbody"/>
        </w:rPr>
        <w:t>T</w:t>
      </w:r>
      <w:r w:rsidRPr="00A8118B">
        <w:rPr>
          <w:rStyle w:val="AERbody"/>
        </w:rPr>
        <w:t>herefore</w:t>
      </w:r>
      <w:r>
        <w:rPr>
          <w:rStyle w:val="AERbody"/>
        </w:rPr>
        <w:t>, we are</w:t>
      </w:r>
      <w:r w:rsidRPr="00A8118B">
        <w:rPr>
          <w:rStyle w:val="AERbody"/>
        </w:rPr>
        <w:t xml:space="preserve"> not persuaded that </w:t>
      </w:r>
      <w:r>
        <w:rPr>
          <w:rStyle w:val="AERbody"/>
        </w:rPr>
        <w:t>an</w:t>
      </w:r>
      <w:r w:rsidRPr="00A8118B">
        <w:rPr>
          <w:rStyle w:val="AERbody"/>
        </w:rPr>
        <w:t xml:space="preserve"> adjustment to indexation would be an effective response to evidence of a financeability problem.</w:t>
      </w:r>
    </w:p>
    <w:p w:rsidR="00710D26" w:rsidRDefault="00710D26" w:rsidP="00710D26">
      <w:pPr>
        <w:pStyle w:val="Heading2"/>
      </w:pPr>
      <w:bookmarkStart w:id="126" w:name="_Toc430002793"/>
      <w:bookmarkStart w:id="127" w:name="_Ref433373913"/>
      <w:bookmarkStart w:id="128" w:name="_Ref433375595"/>
      <w:bookmarkStart w:id="129" w:name="_Ref433713634"/>
      <w:bookmarkStart w:id="130" w:name="_Ref435794475"/>
      <w:bookmarkStart w:id="131" w:name="_Toc436037700"/>
      <w:r>
        <w:t>Capital expenditure</w:t>
      </w:r>
      <w:bookmarkEnd w:id="126"/>
      <w:bookmarkEnd w:id="127"/>
      <w:bookmarkEnd w:id="128"/>
      <w:bookmarkEnd w:id="129"/>
      <w:bookmarkEnd w:id="130"/>
      <w:bookmarkEnd w:id="131"/>
    </w:p>
    <w:p w:rsidR="00B930C9" w:rsidRDefault="00B930C9" w:rsidP="00B930C9">
      <w:r w:rsidRPr="00B94B4D">
        <w:t xml:space="preserve">Capital expenditure (capex) refers to the capital expenses incurred in the provision of network services. The return on and of forecast capex for </w:t>
      </w:r>
      <w:r>
        <w:t>reference</w:t>
      </w:r>
      <w:r w:rsidRPr="00B94B4D">
        <w:t xml:space="preserve"> services are two of the building blocks we use to determine a service provider's total revenue requirement.</w:t>
      </w:r>
    </w:p>
    <w:p w:rsidR="00710D26" w:rsidRDefault="000F769E" w:rsidP="00710D26">
      <w:r w:rsidRPr="00F745EE">
        <w:t xml:space="preserve">We must make two decisions regarding </w:t>
      </w:r>
      <w:r w:rsidR="00EC697C">
        <w:t>AGN</w:t>
      </w:r>
      <w:r>
        <w:t>’s</w:t>
      </w:r>
      <w:r w:rsidRPr="00F745EE">
        <w:t xml:space="preserve"> capex. First, we are required to assess past </w:t>
      </w:r>
      <w:r>
        <w:t>capex</w:t>
      </w:r>
      <w:r w:rsidRPr="00F745EE">
        <w:t xml:space="preserve"> and determine whether it meets the criteria set out in the NGR to be added to the starting capital base.</w:t>
      </w:r>
      <w:r w:rsidRPr="00F745EE">
        <w:rPr>
          <w:rStyle w:val="FootnoteReference"/>
        </w:rPr>
        <w:footnoteReference w:id="59"/>
      </w:r>
      <w:r w:rsidRPr="00F745EE">
        <w:t xml:space="preserve"> Where capex meets these criteria, it is referred to as "conforming</w:t>
      </w:r>
      <w:r>
        <w:t xml:space="preserve"> capex</w:t>
      </w:r>
      <w:r w:rsidRPr="00F745EE">
        <w:t>".</w:t>
      </w:r>
      <w:r w:rsidRPr="00F745EE">
        <w:rPr>
          <w:rStyle w:val="FootnoteReference"/>
        </w:rPr>
        <w:footnoteReference w:id="60"/>
      </w:r>
      <w:r w:rsidRPr="00F745EE">
        <w:t xml:space="preserve"> Secondly, we are required to assess </w:t>
      </w:r>
      <w:r w:rsidR="00EC697C">
        <w:t>AGN</w:t>
      </w:r>
      <w:r>
        <w:t xml:space="preserve">’s </w:t>
      </w:r>
      <w:r w:rsidRPr="00F745EE">
        <w:t>forecast of required capex for the 201</w:t>
      </w:r>
      <w:r>
        <w:t>6</w:t>
      </w:r>
      <w:r w:rsidR="005A6845">
        <w:t>–</w:t>
      </w:r>
      <w:r w:rsidRPr="00F745EE">
        <w:t>2</w:t>
      </w:r>
      <w:r>
        <w:t>1</w:t>
      </w:r>
      <w:r w:rsidRPr="00F745EE">
        <w:t xml:space="preserve"> </w:t>
      </w:r>
      <w:r>
        <w:t>access arrangement period to determine whether it is conforming capex</w:t>
      </w:r>
      <w:r w:rsidRPr="00F745EE">
        <w:t>.</w:t>
      </w:r>
    </w:p>
    <w:p w:rsidR="00C4707E" w:rsidRDefault="00E218B7" w:rsidP="00710D26">
      <w:pPr>
        <w:pStyle w:val="ListParagraph"/>
        <w:numPr>
          <w:ilvl w:val="0"/>
          <w:numId w:val="24"/>
        </w:numPr>
      </w:pPr>
      <w:r w:rsidRPr="00E218B7">
        <w:t>We consider that the $</w:t>
      </w:r>
      <w:r w:rsidR="00F142AD">
        <w:t>392.6</w:t>
      </w:r>
      <w:r w:rsidRPr="00E218B7">
        <w:t xml:space="preserve"> million ($20</w:t>
      </w:r>
      <w:r w:rsidR="00E526A6">
        <w:t>14-</w:t>
      </w:r>
      <w:r w:rsidRPr="00E218B7">
        <w:t>15) net capex incurred by AGN for 2010–15</w:t>
      </w:r>
      <w:r w:rsidR="008430E1">
        <w:rPr>
          <w:rStyle w:val="FootnoteReference"/>
        </w:rPr>
        <w:footnoteReference w:id="61"/>
      </w:r>
      <w:r w:rsidRPr="00E218B7">
        <w:t xml:space="preserve"> is conforming capex that complies with r</w:t>
      </w:r>
      <w:r w:rsidR="001F2E8C">
        <w:t>ule</w:t>
      </w:r>
      <w:r w:rsidRPr="00E218B7">
        <w:t xml:space="preserve"> 79(1) of the NGR.</w:t>
      </w:r>
      <w:r>
        <w:t xml:space="preserve"> This amount will be rolled into AGN's opening capital base.</w:t>
      </w:r>
    </w:p>
    <w:p w:rsidR="00F25487" w:rsidRDefault="00C270A1" w:rsidP="00132E30">
      <w:r>
        <w:t>We</w:t>
      </w:r>
      <w:r w:rsidRPr="00CA131C">
        <w:t xml:space="preserve"> approve $</w:t>
      </w:r>
      <w:r>
        <w:t>393.0</w:t>
      </w:r>
      <w:r w:rsidRPr="00CA131C">
        <w:t xml:space="preserve"> million ($201</w:t>
      </w:r>
      <w:r>
        <w:t>4–15</w:t>
      </w:r>
      <w:r w:rsidRPr="00CA131C">
        <w:t xml:space="preserve">) of </w:t>
      </w:r>
      <w:r>
        <w:t>AGN</w:t>
      </w:r>
      <w:r w:rsidRPr="00CA131C">
        <w:t>'s proposed $</w:t>
      </w:r>
      <w:r>
        <w:t>687.3</w:t>
      </w:r>
      <w:r w:rsidRPr="00CA131C">
        <w:t xml:space="preserve"> million ($20</w:t>
      </w:r>
      <w:r>
        <w:t>14–</w:t>
      </w:r>
      <w:r w:rsidRPr="00CA131C">
        <w:t>1</w:t>
      </w:r>
      <w:r>
        <w:t>5</w:t>
      </w:r>
      <w:r w:rsidRPr="00CA131C">
        <w:t xml:space="preserve">) total net capex for </w:t>
      </w:r>
      <w:r>
        <w:t xml:space="preserve">the </w:t>
      </w:r>
      <w:r w:rsidRPr="00CA131C">
        <w:t>201</w:t>
      </w:r>
      <w:r>
        <w:t>6</w:t>
      </w:r>
      <w:r w:rsidRPr="00CA131C">
        <w:t>–</w:t>
      </w:r>
      <w:r>
        <w:t>21</w:t>
      </w:r>
      <w:r w:rsidRPr="00CA131C">
        <w:t xml:space="preserve"> </w:t>
      </w:r>
      <w:r>
        <w:t xml:space="preserve">access arrangement period </w:t>
      </w:r>
      <w:r w:rsidRPr="00CA131C">
        <w:t>as conforming capex under r</w:t>
      </w:r>
      <w:r w:rsidR="005A6845">
        <w:t>ule</w:t>
      </w:r>
      <w:r w:rsidRPr="00CA131C">
        <w:t xml:space="preserve"> 79(1) of th</w:t>
      </w:r>
      <w:r>
        <w:t xml:space="preserve">e NGR. This is 43.8 per cent less than AGN’s proposed capex. Much of this reduction is because we did not have sufficient information to find the proposed expenditures to be prudent or efficient. We have identified where further information needs to be provided by AGN in order for us to be satisfied that the proposed expenditures meets the NGR. </w:t>
      </w:r>
      <w:r w:rsidR="001F2E8C">
        <w:t xml:space="preserve">In attachment 6—which sets out our draft decision </w:t>
      </w:r>
      <w:r w:rsidR="00EA54BE">
        <w:t xml:space="preserve">on </w:t>
      </w:r>
      <w:r w:rsidR="001F2E8C">
        <w:t>capex—</w:t>
      </w:r>
      <w:r w:rsidR="00EA54BE">
        <w:t>w</w:t>
      </w:r>
      <w:r w:rsidR="00E14F2B">
        <w:t xml:space="preserve">e have identified where further information needs to be provided by AGN in order for us to be satisfied that </w:t>
      </w:r>
      <w:r w:rsidR="00EA54BE">
        <w:t>its</w:t>
      </w:r>
      <w:r w:rsidR="00E14F2B">
        <w:t xml:space="preserve"> proposed </w:t>
      </w:r>
      <w:r w:rsidR="00EA54BE">
        <w:t xml:space="preserve">forecast </w:t>
      </w:r>
      <w:r w:rsidR="00E14F2B">
        <w:t xml:space="preserve">expenditure meets the criteria set out in the NGR.  </w:t>
      </w:r>
    </w:p>
    <w:p w:rsidR="004F6080" w:rsidRDefault="009872D3" w:rsidP="004F6080">
      <w:r>
        <w:fldChar w:fldCharType="begin"/>
      </w:r>
      <w:r>
        <w:instrText xml:space="preserve"> REF _Ref434480343 \h </w:instrText>
      </w:r>
      <w:r>
        <w:fldChar w:fldCharType="separate"/>
      </w:r>
      <w:r w:rsidR="00E90DAD" w:rsidRPr="00D932ED">
        <w:t xml:space="preserve">Figure </w:t>
      </w:r>
      <w:r w:rsidR="00E90DAD">
        <w:rPr>
          <w:noProof/>
        </w:rPr>
        <w:t>8</w:t>
      </w:r>
      <w:r>
        <w:fldChar w:fldCharType="end"/>
      </w:r>
      <w:r>
        <w:t xml:space="preserve"> </w:t>
      </w:r>
      <w:r w:rsidR="004F6080">
        <w:t>shows the difference between AGN's past and proposed forecast capex</w:t>
      </w:r>
      <w:r w:rsidR="001F2E8C">
        <w:t>,</w:t>
      </w:r>
      <w:r w:rsidR="004F6080">
        <w:t xml:space="preserve"> and the forecasts we have approved in our previous decision for 2011–16 and this draft decision</w:t>
      </w:r>
      <w:r w:rsidR="00C270A1">
        <w:t xml:space="preserve"> for 2016–21</w:t>
      </w:r>
      <w:r w:rsidR="004F6080">
        <w:t>.</w:t>
      </w:r>
    </w:p>
    <w:p w:rsidR="004F6080" w:rsidRPr="00D932ED" w:rsidRDefault="004F6080" w:rsidP="004F6080">
      <w:pPr>
        <w:pStyle w:val="Caption"/>
        <w:rPr>
          <w:rStyle w:val="Strong"/>
          <w:b/>
          <w:bCs/>
        </w:rPr>
      </w:pPr>
      <w:bookmarkStart w:id="132" w:name="_Ref434480343"/>
      <w:r w:rsidRPr="00D932ED">
        <w:t xml:space="preserve">Figure </w:t>
      </w:r>
      <w:fldSimple w:instr=" SEQ Figure \* ARABIC ">
        <w:r w:rsidR="00E90DAD">
          <w:rPr>
            <w:noProof/>
          </w:rPr>
          <w:t>8</w:t>
        </w:r>
      </w:fldSimple>
      <w:bookmarkEnd w:id="132"/>
      <w:r w:rsidRPr="00D932ED">
        <w:t xml:space="preserve"> </w:t>
      </w:r>
      <w:r w:rsidRPr="00D932ED">
        <w:rPr>
          <w:rStyle w:val="Strong"/>
          <w:b/>
          <w:bCs/>
        </w:rPr>
        <w:t>AER draft decision compared to AGN’s past and proposed capex ($million, $2014-15)</w:t>
      </w:r>
    </w:p>
    <w:p w:rsidR="004F6080" w:rsidRDefault="004F6080" w:rsidP="004F6080">
      <w:r w:rsidRPr="00D932ED">
        <w:rPr>
          <w:noProof/>
          <w:lang w:eastAsia="en-AU"/>
        </w:rPr>
        <w:drawing>
          <wp:inline distT="0" distB="0" distL="0" distR="0" wp14:anchorId="771CF395" wp14:editId="2CB9A599">
            <wp:extent cx="5382895" cy="3077827"/>
            <wp:effectExtent l="0" t="0" r="825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82895" cy="3077827"/>
                    </a:xfrm>
                    <a:prstGeom prst="rect">
                      <a:avLst/>
                    </a:prstGeom>
                    <a:noFill/>
                    <a:ln>
                      <a:noFill/>
                    </a:ln>
                  </pic:spPr>
                </pic:pic>
              </a:graphicData>
            </a:graphic>
          </wp:inline>
        </w:drawing>
      </w:r>
    </w:p>
    <w:p w:rsidR="004F6080" w:rsidRPr="00D932ED" w:rsidRDefault="004F6080" w:rsidP="004F6080">
      <w:pPr>
        <w:pStyle w:val="AERtablesource"/>
      </w:pPr>
      <w:r>
        <w:t xml:space="preserve">Source: </w:t>
      </w:r>
      <w:r w:rsidR="005A6845">
        <w:tab/>
      </w:r>
      <w:r>
        <w:t>AER analysis</w:t>
      </w:r>
      <w:r w:rsidR="005A6845">
        <w:t>.</w:t>
      </w:r>
    </w:p>
    <w:p w:rsidR="00C4707E" w:rsidRDefault="00C4707E" w:rsidP="00132E30">
      <w:r>
        <w:fldChar w:fldCharType="begin"/>
      </w:r>
      <w:r>
        <w:instrText xml:space="preserve"> REF _Ref433898532 \h </w:instrText>
      </w:r>
      <w:r>
        <w:fldChar w:fldCharType="separate"/>
      </w:r>
      <w:r w:rsidR="00E90DAD">
        <w:t xml:space="preserve">Table </w:t>
      </w:r>
      <w:r w:rsidR="00E90DAD">
        <w:rPr>
          <w:noProof/>
        </w:rPr>
        <w:t>7</w:t>
      </w:r>
      <w:r>
        <w:fldChar w:fldCharType="end"/>
      </w:r>
      <w:r>
        <w:t xml:space="preserve"> </w:t>
      </w:r>
      <w:r w:rsidRPr="00C4707E">
        <w:t xml:space="preserve">shows AGN's proposed capex </w:t>
      </w:r>
      <w:r w:rsidR="001F2E8C">
        <w:t xml:space="preserve">forecast </w:t>
      </w:r>
      <w:r w:rsidRPr="00C4707E">
        <w:t xml:space="preserve">compared with </w:t>
      </w:r>
      <w:r>
        <w:t>our</w:t>
      </w:r>
      <w:r w:rsidRPr="00C4707E">
        <w:t xml:space="preserve"> approved </w:t>
      </w:r>
      <w:r w:rsidR="001F2E8C">
        <w:t>forecast</w:t>
      </w:r>
      <w:r w:rsidR="001F2E8C" w:rsidRPr="00C4707E">
        <w:t xml:space="preserve"> </w:t>
      </w:r>
      <w:r w:rsidRPr="00C4707E">
        <w:t xml:space="preserve">for each category. </w:t>
      </w:r>
      <w:bookmarkStart w:id="133" w:name="_Ref424748713"/>
    </w:p>
    <w:p w:rsidR="00C4707E" w:rsidRDefault="00C4707E" w:rsidP="00C4707E">
      <w:pPr>
        <w:numPr>
          <w:ilvl w:val="0"/>
          <w:numId w:val="24"/>
        </w:numPr>
      </w:pPr>
      <w:r w:rsidRPr="00B04258">
        <w:t xml:space="preserve">The outcomes of </w:t>
      </w:r>
      <w:r>
        <w:t>our assessment</w:t>
      </w:r>
      <w:r w:rsidRPr="00B04258">
        <w:t xml:space="preserve"> revealed that some aspects of </w:t>
      </w:r>
      <w:r>
        <w:t>AGN’s</w:t>
      </w:r>
      <w:r w:rsidRPr="00B04258">
        <w:t xml:space="preserve"> </w:t>
      </w:r>
      <w:r w:rsidR="001F2E8C">
        <w:t xml:space="preserve">forecast, </w:t>
      </w:r>
      <w:r>
        <w:t>such as capex for meter replacement and telemetry</w:t>
      </w:r>
      <w:r w:rsidR="001F2E8C">
        <w:t>,</w:t>
      </w:r>
      <w:r>
        <w:t xml:space="preserve"> </w:t>
      </w:r>
      <w:r w:rsidRPr="00B04258">
        <w:t>were consistent with the N</w:t>
      </w:r>
      <w:r>
        <w:t>G</w:t>
      </w:r>
      <w:r w:rsidRPr="00B04258">
        <w:t>R requirements</w:t>
      </w:r>
      <w:r>
        <w:t>. That is,</w:t>
      </w:r>
      <w:r w:rsidRPr="00B04258">
        <w:t xml:space="preserve"> </w:t>
      </w:r>
      <w:r>
        <w:t xml:space="preserve">the </w:t>
      </w:r>
      <w:r w:rsidR="001F2E8C">
        <w:t xml:space="preserve">forecast </w:t>
      </w:r>
      <w:r>
        <w:t>expenditures are justified</w:t>
      </w:r>
      <w:r w:rsidR="001F2E8C">
        <w:t>,</w:t>
      </w:r>
      <w:r>
        <w:t xml:space="preserve"> and </w:t>
      </w:r>
      <w:r w:rsidR="001F2E8C">
        <w:t xml:space="preserve">are such as </w:t>
      </w:r>
      <w:r>
        <w:t>would be incurred by a prudent service provider acting efficiently, in accordance with accepted good industry practice, to achieve the lowest sustainable cost of providing services</w:t>
      </w:r>
      <w:r w:rsidRPr="00B04258">
        <w:t>.</w:t>
      </w:r>
      <w:r>
        <w:rPr>
          <w:rStyle w:val="FootnoteReference"/>
        </w:rPr>
        <w:footnoteReference w:id="62"/>
      </w:r>
      <w:r w:rsidRPr="00B04258">
        <w:t> </w:t>
      </w:r>
    </w:p>
    <w:p w:rsidR="00C4707E" w:rsidRDefault="00C4707E" w:rsidP="00C4707E">
      <w:pPr>
        <w:numPr>
          <w:ilvl w:val="0"/>
          <w:numId w:val="24"/>
        </w:numPr>
      </w:pPr>
      <w:r w:rsidRPr="00B04258">
        <w:t xml:space="preserve">We found that other aspects of </w:t>
      </w:r>
      <w:r>
        <w:t xml:space="preserve">AGN’s </w:t>
      </w:r>
      <w:r w:rsidR="001F2E8C">
        <w:t>forecast</w:t>
      </w:r>
      <w:r>
        <w:t xml:space="preserve">, in particular, its </w:t>
      </w:r>
      <w:r w:rsidR="001F2E8C">
        <w:t xml:space="preserve">forecast </w:t>
      </w:r>
      <w:r>
        <w:t>capex for connections, IT and mains replacement, did not meet the</w:t>
      </w:r>
      <w:r w:rsidRPr="00B04258">
        <w:t xml:space="preserve"> N</w:t>
      </w:r>
      <w:r>
        <w:t>G</w:t>
      </w:r>
      <w:r w:rsidRPr="00B04258">
        <w:t>R</w:t>
      </w:r>
      <w:r>
        <w:t xml:space="preserve"> requirements. </w:t>
      </w:r>
      <w:r w:rsidR="00C270A1">
        <w:t xml:space="preserve">As such we have not approved them in this draft decision. It is open to AGN to provide further information in its revised proposed access arrangement to address </w:t>
      </w:r>
      <w:r w:rsidR="008430E1">
        <w:t>our concerns</w:t>
      </w:r>
      <w:r w:rsidR="00C270A1">
        <w:t>.</w:t>
      </w:r>
    </w:p>
    <w:p w:rsidR="00C4707E" w:rsidRDefault="00C4707E" w:rsidP="004F6080">
      <w:pPr>
        <w:pStyle w:val="Caption"/>
      </w:pPr>
      <w:bookmarkStart w:id="134" w:name="_Ref433898532"/>
      <w:bookmarkEnd w:id="133"/>
      <w:r>
        <w:t xml:space="preserve">Table </w:t>
      </w:r>
      <w:fldSimple w:instr=" SEQ Table \* ARABIC ">
        <w:r w:rsidR="00E90DAD">
          <w:rPr>
            <w:noProof/>
          </w:rPr>
          <w:t>7</w:t>
        </w:r>
      </w:fldSimple>
      <w:bookmarkEnd w:id="134"/>
      <w:r>
        <w:tab/>
      </w:r>
      <w:r w:rsidRPr="00A4447D">
        <w:t xml:space="preserve">Comparison of AER approved and </w:t>
      </w:r>
      <w:r>
        <w:t>AGN</w:t>
      </w:r>
      <w:r w:rsidRPr="00A4447D">
        <w:t>'s proposed capital expenditure over the 201</w:t>
      </w:r>
      <w:r>
        <w:t>6–21</w:t>
      </w:r>
      <w:r w:rsidRPr="00A4447D">
        <w:t xml:space="preserve"> access arrangement period ($million, 201</w:t>
      </w:r>
      <w:r w:rsidR="009872D3">
        <w:t>4–15</w:t>
      </w:r>
      <w:r w:rsidRPr="00A4447D">
        <w:t>)</w:t>
      </w:r>
    </w:p>
    <w:tbl>
      <w:tblPr>
        <w:tblStyle w:val="AERtable-numbers"/>
        <w:tblW w:w="4791" w:type="pct"/>
        <w:tblLook w:val="04A0" w:firstRow="1" w:lastRow="0" w:firstColumn="1" w:lastColumn="0" w:noHBand="0" w:noVBand="1"/>
      </w:tblPr>
      <w:tblGrid>
        <w:gridCol w:w="3126"/>
        <w:gridCol w:w="1660"/>
        <w:gridCol w:w="1560"/>
        <w:gridCol w:w="1984"/>
      </w:tblGrid>
      <w:tr w:rsidR="00C270A1" w:rsidRPr="006250CD" w:rsidTr="00C270A1">
        <w:trPr>
          <w:cnfStyle w:val="100000000000" w:firstRow="1" w:lastRow="0" w:firstColumn="0" w:lastColumn="0" w:oddVBand="0" w:evenVBand="0" w:oddHBand="0"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1876" w:type="pct"/>
            <w:hideMark/>
          </w:tcPr>
          <w:p w:rsidR="00C270A1" w:rsidRPr="00C270A1" w:rsidRDefault="00C270A1" w:rsidP="00C270A1">
            <w:r w:rsidRPr="00C270A1">
              <w:t> Category</w:t>
            </w:r>
          </w:p>
        </w:tc>
        <w:tc>
          <w:tcPr>
            <w:tcW w:w="996" w:type="pct"/>
            <w:hideMark/>
          </w:tcPr>
          <w:p w:rsidR="00C270A1" w:rsidRPr="00C270A1" w:rsidRDefault="00C270A1" w:rsidP="00C270A1">
            <w:pPr>
              <w:cnfStyle w:val="100000000000" w:firstRow="1" w:lastRow="0" w:firstColumn="0" w:lastColumn="0" w:oddVBand="0" w:evenVBand="0" w:oddHBand="0" w:evenHBand="0" w:firstRowFirstColumn="0" w:firstRowLastColumn="0" w:lastRowFirstColumn="0" w:lastRowLastColumn="0"/>
            </w:pPr>
            <w:r w:rsidRPr="00C270A1">
              <w:t>Proposed </w:t>
            </w:r>
          </w:p>
        </w:tc>
        <w:tc>
          <w:tcPr>
            <w:tcW w:w="936" w:type="pct"/>
            <w:hideMark/>
          </w:tcPr>
          <w:p w:rsidR="00C270A1" w:rsidRPr="00C270A1" w:rsidRDefault="00C270A1" w:rsidP="00C270A1">
            <w:pPr>
              <w:cnfStyle w:val="100000000000" w:firstRow="1" w:lastRow="0" w:firstColumn="0" w:lastColumn="0" w:oddVBand="0" w:evenVBand="0" w:oddHBand="0" w:evenHBand="0" w:firstRowFirstColumn="0" w:firstRowLastColumn="0" w:lastRowFirstColumn="0" w:lastRowLastColumn="0"/>
            </w:pPr>
            <w:r w:rsidRPr="00C270A1">
              <w:t>Approved</w:t>
            </w:r>
          </w:p>
        </w:tc>
        <w:tc>
          <w:tcPr>
            <w:tcW w:w="1191" w:type="pct"/>
            <w:hideMark/>
          </w:tcPr>
          <w:p w:rsidR="00C270A1" w:rsidRPr="00C270A1" w:rsidRDefault="00C270A1" w:rsidP="00C270A1">
            <w:pPr>
              <w:cnfStyle w:val="100000000000" w:firstRow="1" w:lastRow="0" w:firstColumn="0" w:lastColumn="0" w:oddVBand="0" w:evenVBand="0" w:oddHBand="0" w:evenHBand="0" w:firstRowFirstColumn="0" w:firstRowLastColumn="0" w:lastRowFirstColumn="0" w:lastRowLastColumn="0"/>
            </w:pPr>
            <w:r w:rsidRPr="00C270A1">
              <w:t>Difference ($millions)</w:t>
            </w:r>
          </w:p>
        </w:tc>
      </w:tr>
      <w:tr w:rsidR="00C270A1" w:rsidRPr="006250CD" w:rsidTr="00C270A1">
        <w:trPr>
          <w:trHeight w:val="450"/>
        </w:trPr>
        <w:tc>
          <w:tcPr>
            <w:cnfStyle w:val="001000000000" w:firstRow="0" w:lastRow="0" w:firstColumn="1" w:lastColumn="0" w:oddVBand="0" w:evenVBand="0" w:oddHBand="0" w:evenHBand="0" w:firstRowFirstColumn="0" w:firstRowLastColumn="0" w:lastRowFirstColumn="0" w:lastRowLastColumn="0"/>
            <w:tcW w:w="1876" w:type="pct"/>
            <w:hideMark/>
          </w:tcPr>
          <w:p w:rsidR="00C270A1" w:rsidRPr="00C270A1" w:rsidRDefault="00C270A1" w:rsidP="00C270A1">
            <w:r w:rsidRPr="00C270A1">
              <w:t>Mains replacement</w:t>
            </w:r>
          </w:p>
        </w:tc>
        <w:tc>
          <w:tcPr>
            <w:tcW w:w="996" w:type="pct"/>
            <w:hideMark/>
          </w:tcPr>
          <w:p w:rsidR="00C270A1" w:rsidRPr="00C270A1" w:rsidRDefault="00C270A1" w:rsidP="00C270A1">
            <w:pPr>
              <w:cnfStyle w:val="000000000000" w:firstRow="0" w:lastRow="0" w:firstColumn="0" w:lastColumn="0" w:oddVBand="0" w:evenVBand="0" w:oddHBand="0" w:evenHBand="0" w:firstRowFirstColumn="0" w:firstRowLastColumn="0" w:lastRowFirstColumn="0" w:lastRowLastColumn="0"/>
            </w:pPr>
            <w:r w:rsidRPr="00C270A1">
              <w:t>369.9</w:t>
            </w:r>
          </w:p>
        </w:tc>
        <w:tc>
          <w:tcPr>
            <w:tcW w:w="936" w:type="pct"/>
            <w:hideMark/>
          </w:tcPr>
          <w:p w:rsidR="00C270A1" w:rsidRPr="00C270A1" w:rsidRDefault="00C270A1" w:rsidP="00C270A1">
            <w:pPr>
              <w:cnfStyle w:val="000000000000" w:firstRow="0" w:lastRow="0" w:firstColumn="0" w:lastColumn="0" w:oddVBand="0" w:evenVBand="0" w:oddHBand="0" w:evenHBand="0" w:firstRowFirstColumn="0" w:firstRowLastColumn="0" w:lastRowFirstColumn="0" w:lastRowLastColumn="0"/>
            </w:pPr>
            <w:r w:rsidRPr="00C270A1">
              <w:t>167.7</w:t>
            </w:r>
          </w:p>
        </w:tc>
        <w:tc>
          <w:tcPr>
            <w:tcW w:w="1191" w:type="pct"/>
            <w:hideMark/>
          </w:tcPr>
          <w:p w:rsidR="00C270A1" w:rsidRPr="00C270A1" w:rsidRDefault="00C270A1" w:rsidP="00C270A1">
            <w:pPr>
              <w:cnfStyle w:val="000000000000" w:firstRow="0" w:lastRow="0" w:firstColumn="0" w:lastColumn="0" w:oddVBand="0" w:evenVBand="0" w:oddHBand="0" w:evenHBand="0" w:firstRowFirstColumn="0" w:firstRowLastColumn="0" w:lastRowFirstColumn="0" w:lastRowLastColumn="0"/>
            </w:pPr>
            <w:r w:rsidRPr="00C270A1">
              <w:t>-202.2</w:t>
            </w:r>
          </w:p>
        </w:tc>
      </w:tr>
      <w:tr w:rsidR="00C270A1" w:rsidRPr="006250CD" w:rsidTr="00C270A1">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876" w:type="pct"/>
            <w:hideMark/>
          </w:tcPr>
          <w:p w:rsidR="00C270A1" w:rsidRPr="00C270A1" w:rsidRDefault="00C270A1" w:rsidP="00C270A1">
            <w:r w:rsidRPr="00C270A1">
              <w:t>Meter replacement</w:t>
            </w:r>
          </w:p>
        </w:tc>
        <w:tc>
          <w:tcPr>
            <w:tcW w:w="996" w:type="pct"/>
            <w:hideMark/>
          </w:tcPr>
          <w:p w:rsidR="00C270A1" w:rsidRPr="00C270A1" w:rsidRDefault="00C270A1" w:rsidP="00C270A1">
            <w:pPr>
              <w:cnfStyle w:val="000000010000" w:firstRow="0" w:lastRow="0" w:firstColumn="0" w:lastColumn="0" w:oddVBand="0" w:evenVBand="0" w:oddHBand="0" w:evenHBand="1" w:firstRowFirstColumn="0" w:firstRowLastColumn="0" w:lastRowFirstColumn="0" w:lastRowLastColumn="0"/>
            </w:pPr>
            <w:r w:rsidRPr="00C270A1">
              <w:t>17.1</w:t>
            </w:r>
          </w:p>
        </w:tc>
        <w:tc>
          <w:tcPr>
            <w:tcW w:w="936" w:type="pct"/>
            <w:hideMark/>
          </w:tcPr>
          <w:p w:rsidR="00C270A1" w:rsidRPr="00C270A1" w:rsidRDefault="00C270A1" w:rsidP="00C270A1">
            <w:pPr>
              <w:cnfStyle w:val="000000010000" w:firstRow="0" w:lastRow="0" w:firstColumn="0" w:lastColumn="0" w:oddVBand="0" w:evenVBand="0" w:oddHBand="0" w:evenHBand="1" w:firstRowFirstColumn="0" w:firstRowLastColumn="0" w:lastRowFirstColumn="0" w:lastRowLastColumn="0"/>
            </w:pPr>
            <w:r w:rsidRPr="00C270A1">
              <w:t>17.1</w:t>
            </w:r>
          </w:p>
        </w:tc>
        <w:tc>
          <w:tcPr>
            <w:tcW w:w="1191" w:type="pct"/>
            <w:hideMark/>
          </w:tcPr>
          <w:p w:rsidR="00C270A1" w:rsidRPr="00C270A1" w:rsidRDefault="00C270A1" w:rsidP="00C270A1">
            <w:pPr>
              <w:cnfStyle w:val="000000010000" w:firstRow="0" w:lastRow="0" w:firstColumn="0" w:lastColumn="0" w:oddVBand="0" w:evenVBand="0" w:oddHBand="0" w:evenHBand="1" w:firstRowFirstColumn="0" w:firstRowLastColumn="0" w:lastRowFirstColumn="0" w:lastRowLastColumn="0"/>
            </w:pPr>
            <w:r w:rsidRPr="00C270A1">
              <w:t>0.0</w:t>
            </w:r>
          </w:p>
        </w:tc>
      </w:tr>
      <w:tr w:rsidR="00C270A1" w:rsidRPr="006250CD" w:rsidTr="00C270A1">
        <w:trPr>
          <w:trHeight w:val="450"/>
        </w:trPr>
        <w:tc>
          <w:tcPr>
            <w:cnfStyle w:val="001000000000" w:firstRow="0" w:lastRow="0" w:firstColumn="1" w:lastColumn="0" w:oddVBand="0" w:evenVBand="0" w:oddHBand="0" w:evenHBand="0" w:firstRowFirstColumn="0" w:firstRowLastColumn="0" w:lastRowFirstColumn="0" w:lastRowLastColumn="0"/>
            <w:tcW w:w="1876" w:type="pct"/>
            <w:hideMark/>
          </w:tcPr>
          <w:p w:rsidR="00C270A1" w:rsidRPr="00C270A1" w:rsidRDefault="00C270A1" w:rsidP="00C270A1">
            <w:r w:rsidRPr="00C270A1">
              <w:t>Augmentation</w:t>
            </w:r>
          </w:p>
        </w:tc>
        <w:tc>
          <w:tcPr>
            <w:tcW w:w="996" w:type="pct"/>
            <w:hideMark/>
          </w:tcPr>
          <w:p w:rsidR="00C270A1" w:rsidRPr="00C270A1" w:rsidRDefault="00C270A1" w:rsidP="00C270A1">
            <w:pPr>
              <w:cnfStyle w:val="000000000000" w:firstRow="0" w:lastRow="0" w:firstColumn="0" w:lastColumn="0" w:oddVBand="0" w:evenVBand="0" w:oddHBand="0" w:evenHBand="0" w:firstRowFirstColumn="0" w:firstRowLastColumn="0" w:lastRowFirstColumn="0" w:lastRowLastColumn="0"/>
            </w:pPr>
            <w:r w:rsidRPr="00C270A1">
              <w:t>17.9</w:t>
            </w:r>
          </w:p>
        </w:tc>
        <w:tc>
          <w:tcPr>
            <w:tcW w:w="936" w:type="pct"/>
            <w:hideMark/>
          </w:tcPr>
          <w:p w:rsidR="00C270A1" w:rsidRPr="00C270A1" w:rsidRDefault="00C270A1" w:rsidP="00C270A1">
            <w:pPr>
              <w:cnfStyle w:val="000000000000" w:firstRow="0" w:lastRow="0" w:firstColumn="0" w:lastColumn="0" w:oddVBand="0" w:evenVBand="0" w:oddHBand="0" w:evenHBand="0" w:firstRowFirstColumn="0" w:firstRowLastColumn="0" w:lastRowFirstColumn="0" w:lastRowLastColumn="0"/>
            </w:pPr>
            <w:r w:rsidRPr="00C270A1">
              <w:t>4.1</w:t>
            </w:r>
          </w:p>
        </w:tc>
        <w:tc>
          <w:tcPr>
            <w:tcW w:w="1191" w:type="pct"/>
            <w:hideMark/>
          </w:tcPr>
          <w:p w:rsidR="00C270A1" w:rsidRPr="00C270A1" w:rsidRDefault="00C270A1" w:rsidP="00C270A1">
            <w:pPr>
              <w:cnfStyle w:val="000000000000" w:firstRow="0" w:lastRow="0" w:firstColumn="0" w:lastColumn="0" w:oddVBand="0" w:evenVBand="0" w:oddHBand="0" w:evenHBand="0" w:firstRowFirstColumn="0" w:firstRowLastColumn="0" w:lastRowFirstColumn="0" w:lastRowLastColumn="0"/>
            </w:pPr>
            <w:r w:rsidRPr="00C270A1">
              <w:t>-13.8</w:t>
            </w:r>
          </w:p>
        </w:tc>
      </w:tr>
      <w:tr w:rsidR="00C270A1" w:rsidRPr="006250CD" w:rsidTr="00C270A1">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876" w:type="pct"/>
            <w:hideMark/>
          </w:tcPr>
          <w:p w:rsidR="00C270A1" w:rsidRPr="00C270A1" w:rsidRDefault="00C270A1" w:rsidP="00C270A1">
            <w:r w:rsidRPr="00C270A1">
              <w:t>Telemetry</w:t>
            </w:r>
          </w:p>
        </w:tc>
        <w:tc>
          <w:tcPr>
            <w:tcW w:w="996" w:type="pct"/>
            <w:hideMark/>
          </w:tcPr>
          <w:p w:rsidR="00C270A1" w:rsidRPr="00C270A1" w:rsidRDefault="00C270A1" w:rsidP="00C270A1">
            <w:pPr>
              <w:cnfStyle w:val="000000010000" w:firstRow="0" w:lastRow="0" w:firstColumn="0" w:lastColumn="0" w:oddVBand="0" w:evenVBand="0" w:oddHBand="0" w:evenHBand="1" w:firstRowFirstColumn="0" w:firstRowLastColumn="0" w:lastRowFirstColumn="0" w:lastRowLastColumn="0"/>
            </w:pPr>
            <w:r w:rsidRPr="00C270A1">
              <w:t>1.1</w:t>
            </w:r>
          </w:p>
        </w:tc>
        <w:tc>
          <w:tcPr>
            <w:tcW w:w="936" w:type="pct"/>
            <w:hideMark/>
          </w:tcPr>
          <w:p w:rsidR="00C270A1" w:rsidRPr="00C270A1" w:rsidRDefault="00C270A1" w:rsidP="00C270A1">
            <w:pPr>
              <w:cnfStyle w:val="000000010000" w:firstRow="0" w:lastRow="0" w:firstColumn="0" w:lastColumn="0" w:oddVBand="0" w:evenVBand="0" w:oddHBand="0" w:evenHBand="1" w:firstRowFirstColumn="0" w:firstRowLastColumn="0" w:lastRowFirstColumn="0" w:lastRowLastColumn="0"/>
            </w:pPr>
            <w:r w:rsidRPr="00C270A1">
              <w:t>1.1</w:t>
            </w:r>
          </w:p>
        </w:tc>
        <w:tc>
          <w:tcPr>
            <w:tcW w:w="1191" w:type="pct"/>
            <w:hideMark/>
          </w:tcPr>
          <w:p w:rsidR="00C270A1" w:rsidRPr="00C270A1" w:rsidRDefault="00C270A1" w:rsidP="00C270A1">
            <w:pPr>
              <w:cnfStyle w:val="000000010000" w:firstRow="0" w:lastRow="0" w:firstColumn="0" w:lastColumn="0" w:oddVBand="0" w:evenVBand="0" w:oddHBand="0" w:evenHBand="1" w:firstRowFirstColumn="0" w:firstRowLastColumn="0" w:lastRowFirstColumn="0" w:lastRowLastColumn="0"/>
            </w:pPr>
            <w:r w:rsidRPr="00C270A1">
              <w:t>0.0</w:t>
            </w:r>
          </w:p>
        </w:tc>
      </w:tr>
      <w:tr w:rsidR="00C270A1" w:rsidRPr="006250CD" w:rsidTr="00C270A1">
        <w:trPr>
          <w:trHeight w:val="450"/>
        </w:trPr>
        <w:tc>
          <w:tcPr>
            <w:cnfStyle w:val="001000000000" w:firstRow="0" w:lastRow="0" w:firstColumn="1" w:lastColumn="0" w:oddVBand="0" w:evenVBand="0" w:oddHBand="0" w:evenHBand="0" w:firstRowFirstColumn="0" w:firstRowLastColumn="0" w:lastRowFirstColumn="0" w:lastRowLastColumn="0"/>
            <w:tcW w:w="1876" w:type="pct"/>
            <w:hideMark/>
          </w:tcPr>
          <w:p w:rsidR="00C270A1" w:rsidRPr="00C270A1" w:rsidRDefault="00C270A1" w:rsidP="00C270A1">
            <w:r w:rsidRPr="00C270A1">
              <w:t>Regulators</w:t>
            </w:r>
          </w:p>
        </w:tc>
        <w:tc>
          <w:tcPr>
            <w:tcW w:w="996" w:type="pct"/>
            <w:hideMark/>
          </w:tcPr>
          <w:p w:rsidR="00C270A1" w:rsidRPr="00C270A1" w:rsidRDefault="00C270A1" w:rsidP="00C270A1">
            <w:pPr>
              <w:cnfStyle w:val="000000000000" w:firstRow="0" w:lastRow="0" w:firstColumn="0" w:lastColumn="0" w:oddVBand="0" w:evenVBand="0" w:oddHBand="0" w:evenHBand="0" w:firstRowFirstColumn="0" w:firstRowLastColumn="0" w:lastRowFirstColumn="0" w:lastRowLastColumn="0"/>
            </w:pPr>
            <w:r w:rsidRPr="00C270A1">
              <w:t>13.6</w:t>
            </w:r>
          </w:p>
        </w:tc>
        <w:tc>
          <w:tcPr>
            <w:tcW w:w="936" w:type="pct"/>
            <w:hideMark/>
          </w:tcPr>
          <w:p w:rsidR="00C270A1" w:rsidRPr="00C270A1" w:rsidRDefault="00C270A1" w:rsidP="00C270A1">
            <w:pPr>
              <w:cnfStyle w:val="000000000000" w:firstRow="0" w:lastRow="0" w:firstColumn="0" w:lastColumn="0" w:oddVBand="0" w:evenVBand="0" w:oddHBand="0" w:evenHBand="0" w:firstRowFirstColumn="0" w:firstRowLastColumn="0" w:lastRowFirstColumn="0" w:lastRowLastColumn="0"/>
            </w:pPr>
            <w:r w:rsidRPr="00C270A1">
              <w:t>11.0</w:t>
            </w:r>
          </w:p>
        </w:tc>
        <w:tc>
          <w:tcPr>
            <w:tcW w:w="1191" w:type="pct"/>
            <w:hideMark/>
          </w:tcPr>
          <w:p w:rsidR="00C270A1" w:rsidRPr="00C270A1" w:rsidRDefault="00C270A1" w:rsidP="00C270A1">
            <w:pPr>
              <w:cnfStyle w:val="000000000000" w:firstRow="0" w:lastRow="0" w:firstColumn="0" w:lastColumn="0" w:oddVBand="0" w:evenVBand="0" w:oddHBand="0" w:evenHBand="0" w:firstRowFirstColumn="0" w:firstRowLastColumn="0" w:lastRowFirstColumn="0" w:lastRowLastColumn="0"/>
            </w:pPr>
            <w:r w:rsidRPr="00C270A1">
              <w:t>-2.7</w:t>
            </w:r>
          </w:p>
        </w:tc>
      </w:tr>
      <w:tr w:rsidR="00C270A1" w:rsidRPr="006250CD" w:rsidTr="00C270A1">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876" w:type="pct"/>
            <w:hideMark/>
          </w:tcPr>
          <w:p w:rsidR="00C270A1" w:rsidRPr="00C270A1" w:rsidRDefault="00C270A1" w:rsidP="00C270A1">
            <w:r w:rsidRPr="00C270A1">
              <w:t>IT</w:t>
            </w:r>
          </w:p>
        </w:tc>
        <w:tc>
          <w:tcPr>
            <w:tcW w:w="996" w:type="pct"/>
            <w:hideMark/>
          </w:tcPr>
          <w:p w:rsidR="00C270A1" w:rsidRPr="00C270A1" w:rsidRDefault="00C270A1" w:rsidP="00C270A1">
            <w:pPr>
              <w:cnfStyle w:val="000000010000" w:firstRow="0" w:lastRow="0" w:firstColumn="0" w:lastColumn="0" w:oddVBand="0" w:evenVBand="0" w:oddHBand="0" w:evenHBand="1" w:firstRowFirstColumn="0" w:firstRowLastColumn="0" w:lastRowFirstColumn="0" w:lastRowLastColumn="0"/>
            </w:pPr>
            <w:r w:rsidRPr="00C270A1">
              <w:t>59.7</w:t>
            </w:r>
          </w:p>
        </w:tc>
        <w:tc>
          <w:tcPr>
            <w:tcW w:w="936" w:type="pct"/>
            <w:hideMark/>
          </w:tcPr>
          <w:p w:rsidR="00C270A1" w:rsidRPr="00C270A1" w:rsidRDefault="00C270A1" w:rsidP="00C270A1">
            <w:pPr>
              <w:cnfStyle w:val="000000010000" w:firstRow="0" w:lastRow="0" w:firstColumn="0" w:lastColumn="0" w:oddVBand="0" w:evenVBand="0" w:oddHBand="0" w:evenHBand="1" w:firstRowFirstColumn="0" w:firstRowLastColumn="0" w:lastRowFirstColumn="0" w:lastRowLastColumn="0"/>
            </w:pPr>
            <w:r w:rsidRPr="00C270A1">
              <w:t>37.9</w:t>
            </w:r>
          </w:p>
        </w:tc>
        <w:tc>
          <w:tcPr>
            <w:tcW w:w="1191" w:type="pct"/>
            <w:hideMark/>
          </w:tcPr>
          <w:p w:rsidR="00C270A1" w:rsidRPr="00C270A1" w:rsidRDefault="00C270A1" w:rsidP="00C270A1">
            <w:pPr>
              <w:cnfStyle w:val="000000010000" w:firstRow="0" w:lastRow="0" w:firstColumn="0" w:lastColumn="0" w:oddVBand="0" w:evenVBand="0" w:oddHBand="0" w:evenHBand="1" w:firstRowFirstColumn="0" w:firstRowLastColumn="0" w:lastRowFirstColumn="0" w:lastRowLastColumn="0"/>
            </w:pPr>
            <w:r w:rsidRPr="00C270A1">
              <w:t>-21.8</w:t>
            </w:r>
          </w:p>
        </w:tc>
      </w:tr>
      <w:tr w:rsidR="00C270A1" w:rsidRPr="006250CD" w:rsidTr="00C270A1">
        <w:trPr>
          <w:trHeight w:val="450"/>
        </w:trPr>
        <w:tc>
          <w:tcPr>
            <w:cnfStyle w:val="001000000000" w:firstRow="0" w:lastRow="0" w:firstColumn="1" w:lastColumn="0" w:oddVBand="0" w:evenVBand="0" w:oddHBand="0" w:evenHBand="0" w:firstRowFirstColumn="0" w:firstRowLastColumn="0" w:lastRowFirstColumn="0" w:lastRowLastColumn="0"/>
            <w:tcW w:w="1876" w:type="pct"/>
            <w:hideMark/>
          </w:tcPr>
          <w:p w:rsidR="00C270A1" w:rsidRPr="00C270A1" w:rsidRDefault="00C270A1" w:rsidP="00C270A1">
            <w:r w:rsidRPr="00C270A1">
              <w:t>Growth assets</w:t>
            </w:r>
            <w:r w:rsidRPr="008157E7">
              <w:rPr>
                <w:rStyle w:val="AERsuperscript"/>
              </w:rPr>
              <w:t>a</w:t>
            </w:r>
          </w:p>
        </w:tc>
        <w:tc>
          <w:tcPr>
            <w:tcW w:w="996" w:type="pct"/>
            <w:hideMark/>
          </w:tcPr>
          <w:p w:rsidR="00C270A1" w:rsidRPr="00C270A1" w:rsidRDefault="00C270A1" w:rsidP="00C270A1">
            <w:pPr>
              <w:cnfStyle w:val="000000000000" w:firstRow="0" w:lastRow="0" w:firstColumn="0" w:lastColumn="0" w:oddVBand="0" w:evenVBand="0" w:oddHBand="0" w:evenHBand="0" w:firstRowFirstColumn="0" w:firstRowLastColumn="0" w:lastRowFirstColumn="0" w:lastRowLastColumn="0"/>
            </w:pPr>
            <w:r w:rsidRPr="00C270A1">
              <w:t>90.6</w:t>
            </w:r>
          </w:p>
        </w:tc>
        <w:tc>
          <w:tcPr>
            <w:tcW w:w="936" w:type="pct"/>
            <w:hideMark/>
          </w:tcPr>
          <w:p w:rsidR="00C270A1" w:rsidRPr="00C270A1" w:rsidRDefault="00C270A1" w:rsidP="00C270A1">
            <w:pPr>
              <w:cnfStyle w:val="000000000000" w:firstRow="0" w:lastRow="0" w:firstColumn="0" w:lastColumn="0" w:oddVBand="0" w:evenVBand="0" w:oddHBand="0" w:evenHBand="0" w:firstRowFirstColumn="0" w:firstRowLastColumn="0" w:lastRowFirstColumn="0" w:lastRowLastColumn="0"/>
            </w:pPr>
            <w:r w:rsidRPr="00C270A1">
              <w:t>85.4</w:t>
            </w:r>
          </w:p>
        </w:tc>
        <w:tc>
          <w:tcPr>
            <w:tcW w:w="1191" w:type="pct"/>
            <w:hideMark/>
          </w:tcPr>
          <w:p w:rsidR="00C270A1" w:rsidRPr="00C270A1" w:rsidRDefault="00C270A1" w:rsidP="00C270A1">
            <w:pPr>
              <w:cnfStyle w:val="000000000000" w:firstRow="0" w:lastRow="0" w:firstColumn="0" w:lastColumn="0" w:oddVBand="0" w:evenVBand="0" w:oddHBand="0" w:evenHBand="0" w:firstRowFirstColumn="0" w:firstRowLastColumn="0" w:lastRowFirstColumn="0" w:lastRowLastColumn="0"/>
            </w:pPr>
            <w:r w:rsidRPr="00C270A1">
              <w:t>-5.2</w:t>
            </w:r>
          </w:p>
        </w:tc>
      </w:tr>
      <w:tr w:rsidR="00C270A1" w:rsidRPr="006250CD" w:rsidTr="00C270A1">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876" w:type="pct"/>
            <w:hideMark/>
          </w:tcPr>
          <w:p w:rsidR="00C270A1" w:rsidRPr="00C270A1" w:rsidRDefault="00C270A1" w:rsidP="00C270A1">
            <w:r w:rsidRPr="00C270A1">
              <w:t>Other distribution system</w:t>
            </w:r>
          </w:p>
        </w:tc>
        <w:tc>
          <w:tcPr>
            <w:tcW w:w="996" w:type="pct"/>
            <w:hideMark/>
          </w:tcPr>
          <w:p w:rsidR="00C270A1" w:rsidRPr="00C270A1" w:rsidRDefault="00C270A1" w:rsidP="00C270A1">
            <w:pPr>
              <w:cnfStyle w:val="000000010000" w:firstRow="0" w:lastRow="0" w:firstColumn="0" w:lastColumn="0" w:oddVBand="0" w:evenVBand="0" w:oddHBand="0" w:evenHBand="1" w:firstRowFirstColumn="0" w:firstRowLastColumn="0" w:lastRowFirstColumn="0" w:lastRowLastColumn="0"/>
            </w:pPr>
            <w:r w:rsidRPr="00C270A1">
              <w:t>37.0</w:t>
            </w:r>
          </w:p>
        </w:tc>
        <w:tc>
          <w:tcPr>
            <w:tcW w:w="936" w:type="pct"/>
            <w:hideMark/>
          </w:tcPr>
          <w:p w:rsidR="00C270A1" w:rsidRPr="00C270A1" w:rsidRDefault="00C270A1" w:rsidP="00C270A1">
            <w:pPr>
              <w:cnfStyle w:val="000000010000" w:firstRow="0" w:lastRow="0" w:firstColumn="0" w:lastColumn="0" w:oddVBand="0" w:evenVBand="0" w:oddHBand="0" w:evenHBand="1" w:firstRowFirstColumn="0" w:firstRowLastColumn="0" w:lastRowFirstColumn="0" w:lastRowLastColumn="0"/>
            </w:pPr>
            <w:r w:rsidRPr="00C270A1">
              <w:t>10.0</w:t>
            </w:r>
          </w:p>
        </w:tc>
        <w:tc>
          <w:tcPr>
            <w:tcW w:w="1191" w:type="pct"/>
            <w:hideMark/>
          </w:tcPr>
          <w:p w:rsidR="00C270A1" w:rsidRPr="00C270A1" w:rsidRDefault="00C270A1" w:rsidP="00C270A1">
            <w:pPr>
              <w:cnfStyle w:val="000000010000" w:firstRow="0" w:lastRow="0" w:firstColumn="0" w:lastColumn="0" w:oddVBand="0" w:evenVBand="0" w:oddHBand="0" w:evenHBand="1" w:firstRowFirstColumn="0" w:firstRowLastColumn="0" w:lastRowFirstColumn="0" w:lastRowLastColumn="0"/>
            </w:pPr>
            <w:r w:rsidRPr="00C270A1">
              <w:t>-26.9</w:t>
            </w:r>
          </w:p>
        </w:tc>
      </w:tr>
      <w:tr w:rsidR="00C270A1" w:rsidRPr="006250CD" w:rsidTr="00C270A1">
        <w:trPr>
          <w:trHeight w:val="450"/>
        </w:trPr>
        <w:tc>
          <w:tcPr>
            <w:cnfStyle w:val="001000000000" w:firstRow="0" w:lastRow="0" w:firstColumn="1" w:lastColumn="0" w:oddVBand="0" w:evenVBand="0" w:oddHBand="0" w:evenHBand="0" w:firstRowFirstColumn="0" w:firstRowLastColumn="0" w:lastRowFirstColumn="0" w:lastRowLastColumn="0"/>
            <w:tcW w:w="1876" w:type="pct"/>
            <w:hideMark/>
          </w:tcPr>
          <w:p w:rsidR="00C270A1" w:rsidRPr="00C270A1" w:rsidRDefault="00C270A1" w:rsidP="00C270A1">
            <w:r w:rsidRPr="00C270A1">
              <w:t>Other non-distribution system</w:t>
            </w:r>
          </w:p>
        </w:tc>
        <w:tc>
          <w:tcPr>
            <w:tcW w:w="996" w:type="pct"/>
            <w:hideMark/>
          </w:tcPr>
          <w:p w:rsidR="00C270A1" w:rsidRPr="00C270A1" w:rsidRDefault="00C270A1" w:rsidP="00C270A1">
            <w:pPr>
              <w:cnfStyle w:val="000000000000" w:firstRow="0" w:lastRow="0" w:firstColumn="0" w:lastColumn="0" w:oddVBand="0" w:evenVBand="0" w:oddHBand="0" w:evenHBand="0" w:firstRowFirstColumn="0" w:firstRowLastColumn="0" w:lastRowFirstColumn="0" w:lastRowLastColumn="0"/>
            </w:pPr>
            <w:r w:rsidRPr="00C270A1">
              <w:t>5.0</w:t>
            </w:r>
          </w:p>
        </w:tc>
        <w:tc>
          <w:tcPr>
            <w:tcW w:w="936" w:type="pct"/>
            <w:hideMark/>
          </w:tcPr>
          <w:p w:rsidR="00C270A1" w:rsidRPr="00C270A1" w:rsidRDefault="00C270A1" w:rsidP="00C270A1">
            <w:pPr>
              <w:cnfStyle w:val="000000000000" w:firstRow="0" w:lastRow="0" w:firstColumn="0" w:lastColumn="0" w:oddVBand="0" w:evenVBand="0" w:oddHBand="0" w:evenHBand="0" w:firstRowFirstColumn="0" w:firstRowLastColumn="0" w:lastRowFirstColumn="0" w:lastRowLastColumn="0"/>
            </w:pPr>
            <w:r w:rsidRPr="00C270A1">
              <w:t>5.0</w:t>
            </w:r>
          </w:p>
        </w:tc>
        <w:tc>
          <w:tcPr>
            <w:tcW w:w="1191" w:type="pct"/>
            <w:hideMark/>
          </w:tcPr>
          <w:p w:rsidR="00C270A1" w:rsidRPr="00C270A1" w:rsidRDefault="00C270A1" w:rsidP="00C270A1">
            <w:pPr>
              <w:cnfStyle w:val="000000000000" w:firstRow="0" w:lastRow="0" w:firstColumn="0" w:lastColumn="0" w:oddVBand="0" w:evenVBand="0" w:oddHBand="0" w:evenHBand="0" w:firstRowFirstColumn="0" w:firstRowLastColumn="0" w:lastRowFirstColumn="0" w:lastRowLastColumn="0"/>
            </w:pPr>
            <w:r w:rsidRPr="00C270A1">
              <w:t>0.0</w:t>
            </w:r>
          </w:p>
        </w:tc>
      </w:tr>
      <w:tr w:rsidR="00C270A1" w:rsidRPr="006250CD" w:rsidTr="00C270A1">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876" w:type="pct"/>
          </w:tcPr>
          <w:p w:rsidR="00C270A1" w:rsidRPr="00C270A1" w:rsidRDefault="00C270A1" w:rsidP="00C270A1">
            <w:r w:rsidRPr="00C270A1">
              <w:t>Escalation</w:t>
            </w:r>
          </w:p>
        </w:tc>
        <w:tc>
          <w:tcPr>
            <w:tcW w:w="996" w:type="pct"/>
          </w:tcPr>
          <w:p w:rsidR="00C270A1" w:rsidRPr="00C270A1" w:rsidRDefault="00C270A1" w:rsidP="00C270A1">
            <w:pPr>
              <w:cnfStyle w:val="000000010000" w:firstRow="0" w:lastRow="0" w:firstColumn="0" w:lastColumn="0" w:oddVBand="0" w:evenVBand="0" w:oddHBand="0" w:evenHBand="1" w:firstRowFirstColumn="0" w:firstRowLastColumn="0" w:lastRowFirstColumn="0" w:lastRowLastColumn="0"/>
            </w:pPr>
            <w:r w:rsidRPr="00C270A1">
              <w:t>14.9</w:t>
            </w:r>
          </w:p>
        </w:tc>
        <w:tc>
          <w:tcPr>
            <w:tcW w:w="936" w:type="pct"/>
          </w:tcPr>
          <w:p w:rsidR="00C270A1" w:rsidRPr="00C270A1" w:rsidRDefault="00C270A1" w:rsidP="00C270A1">
            <w:pPr>
              <w:cnfStyle w:val="000000010000" w:firstRow="0" w:lastRow="0" w:firstColumn="0" w:lastColumn="0" w:oddVBand="0" w:evenVBand="0" w:oddHBand="0" w:evenHBand="1" w:firstRowFirstColumn="0" w:firstRowLastColumn="0" w:lastRowFirstColumn="0" w:lastRowLastColumn="0"/>
            </w:pPr>
            <w:r w:rsidRPr="00C270A1">
              <w:t>7.0</w:t>
            </w:r>
          </w:p>
        </w:tc>
        <w:tc>
          <w:tcPr>
            <w:tcW w:w="1191" w:type="pct"/>
          </w:tcPr>
          <w:p w:rsidR="00C270A1" w:rsidRPr="00C270A1" w:rsidRDefault="00C270A1" w:rsidP="00C270A1">
            <w:pPr>
              <w:cnfStyle w:val="000000010000" w:firstRow="0" w:lastRow="0" w:firstColumn="0" w:lastColumn="0" w:oddVBand="0" w:evenVBand="0" w:oddHBand="0" w:evenHBand="1" w:firstRowFirstColumn="0" w:firstRowLastColumn="0" w:lastRowFirstColumn="0" w:lastRowLastColumn="0"/>
            </w:pPr>
            <w:r w:rsidRPr="00C270A1">
              <w:t>-7.9</w:t>
            </w:r>
          </w:p>
        </w:tc>
      </w:tr>
      <w:tr w:rsidR="00C270A1" w:rsidRPr="006250CD" w:rsidTr="00C270A1">
        <w:trPr>
          <w:trHeight w:val="450"/>
        </w:trPr>
        <w:tc>
          <w:tcPr>
            <w:cnfStyle w:val="001000000000" w:firstRow="0" w:lastRow="0" w:firstColumn="1" w:lastColumn="0" w:oddVBand="0" w:evenVBand="0" w:oddHBand="0" w:evenHBand="0" w:firstRowFirstColumn="0" w:firstRowLastColumn="0" w:lastRowFirstColumn="0" w:lastRowLastColumn="0"/>
            <w:tcW w:w="1876" w:type="pct"/>
            <w:hideMark/>
          </w:tcPr>
          <w:p w:rsidR="00C270A1" w:rsidRPr="00C270A1" w:rsidRDefault="00C270A1" w:rsidP="00C270A1">
            <w:r w:rsidRPr="00C270A1">
              <w:t>Overheads</w:t>
            </w:r>
          </w:p>
        </w:tc>
        <w:tc>
          <w:tcPr>
            <w:tcW w:w="996" w:type="pct"/>
            <w:hideMark/>
          </w:tcPr>
          <w:p w:rsidR="00C270A1" w:rsidRPr="00C270A1" w:rsidRDefault="00C270A1" w:rsidP="00C270A1">
            <w:pPr>
              <w:cnfStyle w:val="000000000000" w:firstRow="0" w:lastRow="0" w:firstColumn="0" w:lastColumn="0" w:oddVBand="0" w:evenVBand="0" w:oddHBand="0" w:evenHBand="0" w:firstRowFirstColumn="0" w:firstRowLastColumn="0" w:lastRowFirstColumn="0" w:lastRowLastColumn="0"/>
            </w:pPr>
            <w:r w:rsidRPr="00C270A1">
              <w:t>60.4</w:t>
            </w:r>
          </w:p>
        </w:tc>
        <w:tc>
          <w:tcPr>
            <w:tcW w:w="936" w:type="pct"/>
            <w:hideMark/>
          </w:tcPr>
          <w:p w:rsidR="00C270A1" w:rsidRPr="00C270A1" w:rsidRDefault="00C270A1" w:rsidP="00C270A1">
            <w:pPr>
              <w:cnfStyle w:val="000000000000" w:firstRow="0" w:lastRow="0" w:firstColumn="0" w:lastColumn="0" w:oddVBand="0" w:evenVBand="0" w:oddHBand="0" w:evenHBand="0" w:firstRowFirstColumn="0" w:firstRowLastColumn="0" w:lastRowFirstColumn="0" w:lastRowLastColumn="0"/>
            </w:pPr>
            <w:r w:rsidRPr="00C270A1">
              <w:t>46.8</w:t>
            </w:r>
          </w:p>
        </w:tc>
        <w:tc>
          <w:tcPr>
            <w:tcW w:w="1191" w:type="pct"/>
            <w:hideMark/>
          </w:tcPr>
          <w:p w:rsidR="00C270A1" w:rsidRPr="00C270A1" w:rsidRDefault="00C270A1" w:rsidP="00C270A1">
            <w:pPr>
              <w:cnfStyle w:val="000000000000" w:firstRow="0" w:lastRow="0" w:firstColumn="0" w:lastColumn="0" w:oddVBand="0" w:evenVBand="0" w:oddHBand="0" w:evenHBand="0" w:firstRowFirstColumn="0" w:firstRowLastColumn="0" w:lastRowFirstColumn="0" w:lastRowLastColumn="0"/>
            </w:pPr>
            <w:r w:rsidRPr="00C270A1">
              <w:t>-13.7</w:t>
            </w:r>
          </w:p>
        </w:tc>
      </w:tr>
      <w:tr w:rsidR="00C270A1" w:rsidRPr="006250CD" w:rsidTr="00C270A1">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876" w:type="pct"/>
            <w:hideMark/>
          </w:tcPr>
          <w:p w:rsidR="00C270A1" w:rsidRPr="00C270A1" w:rsidRDefault="00C270A1" w:rsidP="00C270A1">
            <w:r w:rsidRPr="00C270A1">
              <w:t>NET TOTAL CAPITAL EXPENDITURE</w:t>
            </w:r>
          </w:p>
        </w:tc>
        <w:tc>
          <w:tcPr>
            <w:tcW w:w="996" w:type="pct"/>
            <w:hideMark/>
          </w:tcPr>
          <w:p w:rsidR="00C270A1" w:rsidRPr="00C270A1" w:rsidRDefault="00C270A1" w:rsidP="00C270A1">
            <w:pPr>
              <w:cnfStyle w:val="000000010000" w:firstRow="0" w:lastRow="0" w:firstColumn="0" w:lastColumn="0" w:oddVBand="0" w:evenVBand="0" w:oddHBand="0" w:evenHBand="1" w:firstRowFirstColumn="0" w:firstRowLastColumn="0" w:lastRowFirstColumn="0" w:lastRowLastColumn="0"/>
            </w:pPr>
            <w:r w:rsidRPr="00C270A1">
              <w:t>687.3</w:t>
            </w:r>
          </w:p>
        </w:tc>
        <w:tc>
          <w:tcPr>
            <w:tcW w:w="936" w:type="pct"/>
            <w:hideMark/>
          </w:tcPr>
          <w:p w:rsidR="00C270A1" w:rsidRPr="00C270A1" w:rsidRDefault="00C270A1" w:rsidP="00C270A1">
            <w:pPr>
              <w:cnfStyle w:val="000000010000" w:firstRow="0" w:lastRow="0" w:firstColumn="0" w:lastColumn="0" w:oddVBand="0" w:evenVBand="0" w:oddHBand="0" w:evenHBand="1" w:firstRowFirstColumn="0" w:firstRowLastColumn="0" w:lastRowFirstColumn="0" w:lastRowLastColumn="0"/>
            </w:pPr>
            <w:r w:rsidRPr="00C270A1">
              <w:t>393.0</w:t>
            </w:r>
          </w:p>
        </w:tc>
        <w:tc>
          <w:tcPr>
            <w:tcW w:w="1191" w:type="pct"/>
            <w:hideMark/>
          </w:tcPr>
          <w:p w:rsidR="00C270A1" w:rsidRPr="00C270A1" w:rsidRDefault="00C270A1" w:rsidP="00C270A1">
            <w:pPr>
              <w:cnfStyle w:val="000000010000" w:firstRow="0" w:lastRow="0" w:firstColumn="0" w:lastColumn="0" w:oddVBand="0" w:evenVBand="0" w:oddHBand="0" w:evenHBand="1" w:firstRowFirstColumn="0" w:firstRowLastColumn="0" w:lastRowFirstColumn="0" w:lastRowLastColumn="0"/>
            </w:pPr>
            <w:r w:rsidRPr="00C270A1">
              <w:t>-294.3</w:t>
            </w:r>
          </w:p>
        </w:tc>
      </w:tr>
      <w:tr w:rsidR="00C270A1" w:rsidRPr="006250CD" w:rsidTr="00C270A1">
        <w:trPr>
          <w:trHeight w:val="450"/>
        </w:trPr>
        <w:tc>
          <w:tcPr>
            <w:cnfStyle w:val="001000000000" w:firstRow="0" w:lastRow="0" w:firstColumn="1" w:lastColumn="0" w:oddVBand="0" w:evenVBand="0" w:oddHBand="0" w:evenHBand="0" w:firstRowFirstColumn="0" w:firstRowLastColumn="0" w:lastRowFirstColumn="0" w:lastRowLastColumn="0"/>
            <w:tcW w:w="1876" w:type="pct"/>
            <w:hideMark/>
          </w:tcPr>
          <w:p w:rsidR="00C270A1" w:rsidRPr="00C270A1" w:rsidRDefault="00C270A1" w:rsidP="00C270A1">
            <w:r w:rsidRPr="00C270A1">
              <w:t>Contributions</w:t>
            </w:r>
          </w:p>
        </w:tc>
        <w:tc>
          <w:tcPr>
            <w:tcW w:w="996" w:type="pct"/>
            <w:hideMark/>
          </w:tcPr>
          <w:p w:rsidR="00C270A1" w:rsidRPr="00C270A1" w:rsidRDefault="00C270A1" w:rsidP="00C270A1">
            <w:pPr>
              <w:cnfStyle w:val="000000000000" w:firstRow="0" w:lastRow="0" w:firstColumn="0" w:lastColumn="0" w:oddVBand="0" w:evenVBand="0" w:oddHBand="0" w:evenHBand="0" w:firstRowFirstColumn="0" w:firstRowLastColumn="0" w:lastRowFirstColumn="0" w:lastRowLastColumn="0"/>
            </w:pPr>
            <w:r w:rsidRPr="00C270A1">
              <w:t>3.6</w:t>
            </w:r>
          </w:p>
        </w:tc>
        <w:tc>
          <w:tcPr>
            <w:tcW w:w="936" w:type="pct"/>
            <w:hideMark/>
          </w:tcPr>
          <w:p w:rsidR="00C270A1" w:rsidRPr="00C270A1" w:rsidRDefault="00C270A1" w:rsidP="00C270A1">
            <w:pPr>
              <w:cnfStyle w:val="000000000000" w:firstRow="0" w:lastRow="0" w:firstColumn="0" w:lastColumn="0" w:oddVBand="0" w:evenVBand="0" w:oddHBand="0" w:evenHBand="0" w:firstRowFirstColumn="0" w:firstRowLastColumn="0" w:lastRowFirstColumn="0" w:lastRowLastColumn="0"/>
            </w:pPr>
            <w:r w:rsidRPr="00C270A1">
              <w:t>3.6</w:t>
            </w:r>
          </w:p>
        </w:tc>
        <w:tc>
          <w:tcPr>
            <w:tcW w:w="1191" w:type="pct"/>
            <w:hideMark/>
          </w:tcPr>
          <w:p w:rsidR="00C270A1" w:rsidRPr="00C270A1" w:rsidRDefault="00C270A1" w:rsidP="00C270A1">
            <w:pPr>
              <w:cnfStyle w:val="000000000000" w:firstRow="0" w:lastRow="0" w:firstColumn="0" w:lastColumn="0" w:oddVBand="0" w:evenVBand="0" w:oddHBand="0" w:evenHBand="0" w:firstRowFirstColumn="0" w:firstRowLastColumn="0" w:lastRowFirstColumn="0" w:lastRowLastColumn="0"/>
            </w:pPr>
            <w:r w:rsidRPr="00C270A1">
              <w:t>0.0</w:t>
            </w:r>
          </w:p>
        </w:tc>
      </w:tr>
      <w:tr w:rsidR="00C270A1" w:rsidRPr="006250CD" w:rsidTr="00C270A1">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876" w:type="pct"/>
            <w:hideMark/>
          </w:tcPr>
          <w:p w:rsidR="00C270A1" w:rsidRPr="00C270A1" w:rsidRDefault="00C270A1" w:rsidP="00C270A1">
            <w:r w:rsidRPr="00C270A1">
              <w:t>GROSS TOTAL CAPITAL EXPENDITURE</w:t>
            </w:r>
          </w:p>
        </w:tc>
        <w:tc>
          <w:tcPr>
            <w:tcW w:w="996" w:type="pct"/>
            <w:hideMark/>
          </w:tcPr>
          <w:p w:rsidR="00C270A1" w:rsidRPr="00C270A1" w:rsidRDefault="00C270A1" w:rsidP="00C270A1">
            <w:pPr>
              <w:cnfStyle w:val="000000010000" w:firstRow="0" w:lastRow="0" w:firstColumn="0" w:lastColumn="0" w:oddVBand="0" w:evenVBand="0" w:oddHBand="0" w:evenHBand="1" w:firstRowFirstColumn="0" w:firstRowLastColumn="0" w:lastRowFirstColumn="0" w:lastRowLastColumn="0"/>
            </w:pPr>
            <w:r w:rsidRPr="00C270A1">
              <w:t>690.8</w:t>
            </w:r>
          </w:p>
        </w:tc>
        <w:tc>
          <w:tcPr>
            <w:tcW w:w="936" w:type="pct"/>
            <w:hideMark/>
          </w:tcPr>
          <w:p w:rsidR="00C270A1" w:rsidRPr="00C270A1" w:rsidRDefault="00C270A1" w:rsidP="00C270A1">
            <w:pPr>
              <w:cnfStyle w:val="000000010000" w:firstRow="0" w:lastRow="0" w:firstColumn="0" w:lastColumn="0" w:oddVBand="0" w:evenVBand="0" w:oddHBand="0" w:evenHBand="1" w:firstRowFirstColumn="0" w:firstRowLastColumn="0" w:lastRowFirstColumn="0" w:lastRowLastColumn="0"/>
            </w:pPr>
            <w:r w:rsidRPr="00C270A1">
              <w:t>396.6</w:t>
            </w:r>
          </w:p>
        </w:tc>
        <w:tc>
          <w:tcPr>
            <w:tcW w:w="1191" w:type="pct"/>
            <w:hideMark/>
          </w:tcPr>
          <w:p w:rsidR="00C270A1" w:rsidRPr="00C270A1" w:rsidRDefault="00C270A1" w:rsidP="00C270A1">
            <w:pPr>
              <w:cnfStyle w:val="000000010000" w:firstRow="0" w:lastRow="0" w:firstColumn="0" w:lastColumn="0" w:oddVBand="0" w:evenVBand="0" w:oddHBand="0" w:evenHBand="1" w:firstRowFirstColumn="0" w:firstRowLastColumn="0" w:lastRowFirstColumn="0" w:lastRowLastColumn="0"/>
            </w:pPr>
            <w:r w:rsidRPr="00C270A1">
              <w:t>-294.3</w:t>
            </w:r>
          </w:p>
        </w:tc>
      </w:tr>
    </w:tbl>
    <w:p w:rsidR="00C270A1" w:rsidRDefault="00C270A1" w:rsidP="00C270A1">
      <w:pPr>
        <w:pStyle w:val="AERtablesource"/>
      </w:pPr>
      <w:r w:rsidRPr="00DE44F6">
        <w:t>Source:</w:t>
      </w:r>
      <w:r w:rsidRPr="00DE44F6">
        <w:tab/>
        <w:t>AER analysis.</w:t>
      </w:r>
    </w:p>
    <w:p w:rsidR="00C270A1" w:rsidRPr="003A3495" w:rsidRDefault="00C270A1" w:rsidP="00C270A1">
      <w:pPr>
        <w:pStyle w:val="AERtablesource"/>
      </w:pPr>
      <w:r>
        <w:t xml:space="preserve">Notes: </w:t>
      </w:r>
      <w:r>
        <w:tab/>
        <w:t>(a)</w:t>
      </w:r>
      <w:r>
        <w:tab/>
        <w:t>AGN proposed growth assets capex as net capex</w:t>
      </w:r>
      <w:r w:rsidR="005A6845">
        <w:t>.</w:t>
      </w:r>
    </w:p>
    <w:p w:rsidR="00C4707E" w:rsidRDefault="00C4707E" w:rsidP="008157E7">
      <w:bookmarkStart w:id="135" w:name="_Ref403468188"/>
      <w:bookmarkStart w:id="136" w:name="_Ref403468179"/>
      <w:r>
        <w:t xml:space="preserve">As can be seen in </w:t>
      </w:r>
      <w:r>
        <w:fldChar w:fldCharType="begin"/>
      </w:r>
      <w:r>
        <w:instrText xml:space="preserve"> REF _Ref433898532 \h </w:instrText>
      </w:r>
      <w:r>
        <w:fldChar w:fldCharType="separate"/>
      </w:r>
      <w:r w:rsidR="00E90DAD">
        <w:t xml:space="preserve">Table </w:t>
      </w:r>
      <w:r w:rsidR="00E90DAD">
        <w:rPr>
          <w:noProof/>
        </w:rPr>
        <w:t>7</w:t>
      </w:r>
      <w:r>
        <w:fldChar w:fldCharType="end"/>
      </w:r>
      <w:r>
        <w:t xml:space="preserve">, the main differences between AGN’s proposed capex </w:t>
      </w:r>
      <w:r w:rsidR="001F2E8C">
        <w:t xml:space="preserve">forecast </w:t>
      </w:r>
      <w:r>
        <w:t xml:space="preserve">and our </w:t>
      </w:r>
      <w:r w:rsidR="001F2E8C">
        <w:t xml:space="preserve">draft decision on </w:t>
      </w:r>
      <w:r>
        <w:t>total</w:t>
      </w:r>
      <w:r w:rsidR="001F2E8C">
        <w:t xml:space="preserve"> forecast</w:t>
      </w:r>
      <w:r>
        <w:t xml:space="preserve"> capex for the 2016–21 access arrangement period concern the following:</w:t>
      </w:r>
    </w:p>
    <w:bookmarkEnd w:id="135"/>
    <w:bookmarkEnd w:id="136"/>
    <w:p w:rsidR="00C4707E" w:rsidRPr="00C4707E" w:rsidRDefault="00C4707E" w:rsidP="00C4707E">
      <w:pPr>
        <w:pStyle w:val="AERbulletlistfirststyle"/>
      </w:pPr>
      <w:r>
        <w:t>Mains replacement—</w:t>
      </w:r>
      <w:r w:rsidR="00440114">
        <w:t>we</w:t>
      </w:r>
      <w:r>
        <w:t xml:space="preserve"> have included $</w:t>
      </w:r>
      <w:r w:rsidR="00F142AD">
        <w:t>167.7</w:t>
      </w:r>
      <w:r>
        <w:t xml:space="preserve"> million ($20</w:t>
      </w:r>
      <w:r w:rsidR="00F142AD">
        <w:t>14–</w:t>
      </w:r>
      <w:r>
        <w:t>15, unescalated direct costs) of mains replacement</w:t>
      </w:r>
      <w:r w:rsidRPr="00C4707E">
        <w:t xml:space="preserve"> capex in our alternative capex </w:t>
      </w:r>
      <w:r w:rsidR="001F2E8C">
        <w:t>forecast</w:t>
      </w:r>
      <w:r w:rsidRPr="00C4707E">
        <w:t xml:space="preserve">. This is a reduction of </w:t>
      </w:r>
      <w:r w:rsidR="00F142AD">
        <w:t>5</w:t>
      </w:r>
      <w:r w:rsidR="00C270A1">
        <w:t>4.6</w:t>
      </w:r>
      <w:r w:rsidRPr="00C4707E">
        <w:t xml:space="preserve"> per cent from AGN's forecast expenditure of $369.9 million ($2015, unescalated direct costs) for its mains replacement program. </w:t>
      </w:r>
      <w:r w:rsidR="00C270A1">
        <w:t>AGN has not provided evidence in the form of a rigorous (quantitative) risk assessment to demonstrate that its forecast mains replacement</w:t>
      </w:r>
      <w:r w:rsidR="00C270A1" w:rsidRPr="00035C77">
        <w:t xml:space="preserve"> </w:t>
      </w:r>
      <w:r w:rsidR="00C270A1">
        <w:t>capex</w:t>
      </w:r>
      <w:r w:rsidR="00C270A1" w:rsidRPr="00035C77">
        <w:t xml:space="preserve"> is </w:t>
      </w:r>
      <w:r w:rsidR="00C270A1">
        <w:t>conforming capex over the 2016</w:t>
      </w:r>
      <w:r w:rsidR="005A6845">
        <w:t>–</w:t>
      </w:r>
      <w:r w:rsidR="00C270A1">
        <w:t>21 access arrangement period that complies with rule 79</w:t>
      </w:r>
      <w:r w:rsidR="00C270A1" w:rsidRPr="00035C77">
        <w:t>.</w:t>
      </w:r>
    </w:p>
    <w:p w:rsidR="00C4707E" w:rsidRDefault="00C4707E" w:rsidP="00C4707E">
      <w:pPr>
        <w:pStyle w:val="AERbulletlistfirststyle"/>
      </w:pPr>
      <w:r>
        <w:t>IT—</w:t>
      </w:r>
      <w:r w:rsidR="00440114">
        <w:t>we</w:t>
      </w:r>
      <w:r>
        <w:t xml:space="preserve"> have included $</w:t>
      </w:r>
      <w:r w:rsidR="00F142AD">
        <w:t>37.9</w:t>
      </w:r>
      <w:r>
        <w:t xml:space="preserve"> million ($20</w:t>
      </w:r>
      <w:r w:rsidR="00F142AD">
        <w:t>14–</w:t>
      </w:r>
      <w:r>
        <w:t xml:space="preserve">15, unescalated direct costs) of IT capex in our alternative capex </w:t>
      </w:r>
      <w:r w:rsidR="001F2E8C">
        <w:t>forecast</w:t>
      </w:r>
      <w:r>
        <w:t xml:space="preserve">. This is a reduction of </w:t>
      </w:r>
      <w:r w:rsidR="00C270A1">
        <w:t xml:space="preserve">36.5 </w:t>
      </w:r>
      <w:r>
        <w:t>per cent from AGN’s forecast expenditure of $</w:t>
      </w:r>
      <w:r w:rsidR="00F142AD">
        <w:t>59</w:t>
      </w:r>
      <w:r>
        <w:t xml:space="preserve">.7 million ($2015) for its IT program. </w:t>
      </w:r>
      <w:r w:rsidR="00C270A1">
        <w:t xml:space="preserve">We reviewed AGN’s nine proposed individual IT projects against rule 79 of the NGR. Of the nine proposed projects, we consider that forecast capex for five projects is justified. </w:t>
      </w:r>
      <w:r w:rsidR="00026B24">
        <w:t>Capex in respect of t</w:t>
      </w:r>
      <w:r w:rsidR="00C270A1">
        <w:t>he other four projects w</w:t>
      </w:r>
      <w:r w:rsidR="00026B24">
        <w:t>as</w:t>
      </w:r>
      <w:r w:rsidR="00C270A1">
        <w:t xml:space="preserve"> not included in our forecast because we </w:t>
      </w:r>
      <w:r w:rsidR="00026B24">
        <w:t>considered</w:t>
      </w:r>
      <w:r w:rsidR="00C270A1">
        <w:t xml:space="preserve"> that </w:t>
      </w:r>
      <w:r w:rsidR="00026B24">
        <w:t xml:space="preserve">capex for </w:t>
      </w:r>
      <w:r w:rsidR="00C270A1">
        <w:t>these w</w:t>
      </w:r>
      <w:r w:rsidR="00026B24">
        <w:t>as</w:t>
      </w:r>
      <w:r w:rsidR="00C270A1">
        <w:t xml:space="preserve"> not consistent with the</w:t>
      </w:r>
      <w:r w:rsidR="00026B24">
        <w:t xml:space="preserve"> conforming capex criteria in the</w:t>
      </w:r>
      <w:r w:rsidR="00C270A1">
        <w:t xml:space="preserve"> NGR.</w:t>
      </w:r>
    </w:p>
    <w:p w:rsidR="00C4707E" w:rsidRDefault="00C4707E" w:rsidP="00C4707E">
      <w:pPr>
        <w:pStyle w:val="AERbulletlistfirststyle"/>
      </w:pPr>
      <w:r>
        <w:t>Augmentation—</w:t>
      </w:r>
      <w:r w:rsidR="00440114">
        <w:t>we</w:t>
      </w:r>
      <w:r>
        <w:t xml:space="preserve"> have included </w:t>
      </w:r>
      <w:r w:rsidRPr="00035DA4">
        <w:t>$</w:t>
      </w:r>
      <w:r>
        <w:t xml:space="preserve">4.1 </w:t>
      </w:r>
      <w:r w:rsidRPr="00035DA4">
        <w:t>million ($</w:t>
      </w:r>
      <w:r>
        <w:t>20</w:t>
      </w:r>
      <w:r w:rsidR="00F142AD">
        <w:t>14–</w:t>
      </w:r>
      <w:r>
        <w:t>15</w:t>
      </w:r>
      <w:r w:rsidRPr="00035DA4">
        <w:t>, unescalated direct costs) of augmentation capex in o</w:t>
      </w:r>
      <w:r>
        <w:t xml:space="preserve">ur alternative capex </w:t>
      </w:r>
      <w:r w:rsidR="001F2E8C">
        <w:t>forecast</w:t>
      </w:r>
      <w:r>
        <w:t>. This is a reduction of 77</w:t>
      </w:r>
      <w:r w:rsidR="00C270A1">
        <w:t>.1</w:t>
      </w:r>
      <w:r w:rsidR="00F142AD">
        <w:t xml:space="preserve"> </w:t>
      </w:r>
      <w:r>
        <w:t>per cent from AGN’s forecast expenditure of $17.9 million (</w:t>
      </w:r>
      <w:r w:rsidRPr="00035DA4">
        <w:t>$</w:t>
      </w:r>
      <w:r>
        <w:t>2015</w:t>
      </w:r>
      <w:r w:rsidRPr="00035DA4">
        <w:t>, unescalated direct costs)</w:t>
      </w:r>
      <w:r>
        <w:t xml:space="preserve"> for augmentation</w:t>
      </w:r>
      <w:r w:rsidRPr="00035DA4">
        <w:t xml:space="preserve">. </w:t>
      </w:r>
      <w:r w:rsidR="00C270A1">
        <w:t xml:space="preserve">This adjustment is largely driven by a reduction in AGN’s forecast expenditure for two projects </w:t>
      </w:r>
      <w:r w:rsidR="00C270A1">
        <w:noBreakHyphen/>
        <w:t xml:space="preserve"> the Southern Transmission Pipeline  and Murray Bridge.</w:t>
      </w:r>
    </w:p>
    <w:p w:rsidR="00C4707E" w:rsidRDefault="00C4707E" w:rsidP="00C4707E">
      <w:pPr>
        <w:pStyle w:val="AERbulletlistfirststyle"/>
      </w:pPr>
      <w:r>
        <w:t>Other distribution system capex</w:t>
      </w:r>
      <w:r w:rsidRPr="00C4707E">
        <w:rPr>
          <w:rStyle w:val="FootnoteReference"/>
        </w:rPr>
        <w:footnoteReference w:id="63"/>
      </w:r>
      <w:r>
        <w:t>—</w:t>
      </w:r>
      <w:r w:rsidR="00440114">
        <w:t>we</w:t>
      </w:r>
      <w:r>
        <w:t xml:space="preserve"> have included </w:t>
      </w:r>
      <w:r w:rsidRPr="00035DA4">
        <w:t>$</w:t>
      </w:r>
      <w:r>
        <w:t xml:space="preserve">10.0 </w:t>
      </w:r>
      <w:r w:rsidRPr="00035DA4">
        <w:t>million ($201</w:t>
      </w:r>
      <w:r>
        <w:t>4–15</w:t>
      </w:r>
      <w:r w:rsidRPr="00035DA4">
        <w:t xml:space="preserve">, unescalated direct costs) of </w:t>
      </w:r>
      <w:r>
        <w:t>other distribution system</w:t>
      </w:r>
      <w:r w:rsidRPr="00035DA4">
        <w:t xml:space="preserve"> capex in o</w:t>
      </w:r>
      <w:r>
        <w:t xml:space="preserve">ur alternative capex </w:t>
      </w:r>
      <w:r w:rsidR="001F2E8C">
        <w:t>forecast</w:t>
      </w:r>
      <w:r>
        <w:t xml:space="preserve">. This is a reduction of </w:t>
      </w:r>
      <w:r w:rsidR="00F142AD">
        <w:t>73</w:t>
      </w:r>
      <w:r>
        <w:t xml:space="preserve"> per cent from AGN’s forecast of $37 million for other distribution system capex. </w:t>
      </w:r>
      <w:r w:rsidR="00C270A1">
        <w:t xml:space="preserve">The adjustment is driven by not including a capex amount for the proposed in line camera to inspect HDPE mains, </w:t>
      </w:r>
      <w:r w:rsidR="00EA54BE">
        <w:t>for which</w:t>
      </w:r>
      <w:r w:rsidR="00C270A1">
        <w:t xml:space="preserve"> we did not have a cost benefit analysis to assess prudency and efficiency of the proposed capex. We have also included alternative capex estimates for four projects that were proposed by AGN.</w:t>
      </w:r>
    </w:p>
    <w:p w:rsidR="004C540B" w:rsidRDefault="004C540B" w:rsidP="004C540B">
      <w:r>
        <w:t>We set out our reasons for our draft decision on AGN's conforming capex for both the current (2011–16) access arrangement period and the forecast (2016–21) period in attachment 6.</w:t>
      </w:r>
      <w:r w:rsidR="00A7168D">
        <w:t xml:space="preserve"> Our draft decision also provides AGN with direction where we need more compelling evidence if its proposal is to be accepted. AGN may respond to these in its revised proposal.</w:t>
      </w:r>
    </w:p>
    <w:p w:rsidR="00710D26" w:rsidRDefault="00710D26" w:rsidP="00710D26">
      <w:pPr>
        <w:pStyle w:val="Heading2"/>
      </w:pPr>
      <w:bookmarkStart w:id="137" w:name="_Toc430002794"/>
      <w:bookmarkStart w:id="138" w:name="_Ref433375603"/>
      <w:bookmarkStart w:id="139" w:name="_Ref434321578"/>
      <w:bookmarkStart w:id="140" w:name="_Toc436037701"/>
      <w:r>
        <w:t>Operating expenditure</w:t>
      </w:r>
      <w:bookmarkEnd w:id="137"/>
      <w:bookmarkEnd w:id="138"/>
      <w:bookmarkEnd w:id="139"/>
      <w:bookmarkEnd w:id="140"/>
    </w:p>
    <w:p w:rsidR="005C6CE2" w:rsidRDefault="005C6CE2" w:rsidP="005C6CE2">
      <w:r w:rsidRPr="002A35F5">
        <w:t xml:space="preserve">Forecast opex is the forecast </w:t>
      </w:r>
      <w:r>
        <w:t xml:space="preserve">of </w:t>
      </w:r>
      <w:r w:rsidRPr="002A35F5">
        <w:t>operating, maintenance and other non</w:t>
      </w:r>
      <w:r>
        <w:t>–</w:t>
      </w:r>
      <w:r w:rsidRPr="002A35F5">
        <w:t xml:space="preserve">capital costs incurred in the provision of </w:t>
      </w:r>
      <w:r w:rsidR="007F2DCD">
        <w:t>reference</w:t>
      </w:r>
      <w:r w:rsidR="007F2DCD" w:rsidRPr="002A35F5">
        <w:t xml:space="preserve"> </w:t>
      </w:r>
      <w:r w:rsidRPr="002A35F5">
        <w:t>services. It includes</w:t>
      </w:r>
      <w:r>
        <w:t xml:space="preserve"> the</w:t>
      </w:r>
      <w:r w:rsidRPr="002A35F5">
        <w:t xml:space="preserve"> labour costs and other non</w:t>
      </w:r>
      <w:r>
        <w:t>–</w:t>
      </w:r>
      <w:r w:rsidRPr="002A35F5">
        <w:t xml:space="preserve">capital costs that a prudent service provider is likely to require during </w:t>
      </w:r>
      <w:r w:rsidR="007F2DCD">
        <w:t>an</w:t>
      </w:r>
      <w:r w:rsidRPr="002A35F5">
        <w:t xml:space="preserve"> access arrangement period for the efficient operation of its pipeline.</w:t>
      </w:r>
    </w:p>
    <w:p w:rsidR="005C6CE2" w:rsidRDefault="005C6CE2" w:rsidP="005C6CE2">
      <w:r w:rsidRPr="00B7008B">
        <w:t>AGN propose</w:t>
      </w:r>
      <w:r>
        <w:t>d</w:t>
      </w:r>
      <w:r w:rsidRPr="00B7008B">
        <w:t xml:space="preserve"> total </w:t>
      </w:r>
      <w:r w:rsidR="001F2E8C">
        <w:t xml:space="preserve">forecast </w:t>
      </w:r>
      <w:r w:rsidRPr="00B7008B">
        <w:t xml:space="preserve">opex of $357 million </w:t>
      </w:r>
      <w:r w:rsidR="00D879B6">
        <w:t>($2015</w:t>
      </w:r>
      <w:r w:rsidR="00FF3122">
        <w:t>–</w:t>
      </w:r>
      <w:r w:rsidR="00D879B6">
        <w:t xml:space="preserve">16) </w:t>
      </w:r>
      <w:r w:rsidRPr="00B7008B">
        <w:t>over the next (</w:t>
      </w:r>
      <w:r>
        <w:t>2016–21</w:t>
      </w:r>
      <w:r w:rsidRPr="00B7008B">
        <w:t>) period, equivalent t</w:t>
      </w:r>
      <w:r>
        <w:t>o an average annual opex of $71 </w:t>
      </w:r>
      <w:r w:rsidRPr="00B7008B">
        <w:t>million</w:t>
      </w:r>
      <w:r w:rsidR="00D879B6">
        <w:t xml:space="preserve"> ($2015</w:t>
      </w:r>
      <w:r w:rsidR="00FF3122">
        <w:t>–</w:t>
      </w:r>
      <w:r w:rsidR="00D879B6">
        <w:t>16)</w:t>
      </w:r>
      <w:r w:rsidRPr="00B7008B">
        <w:t xml:space="preserve">. </w:t>
      </w:r>
      <w:r w:rsidRPr="00353D8B">
        <w:t xml:space="preserve">We are not satisfied that the forecast of total opex </w:t>
      </w:r>
      <w:r>
        <w:t xml:space="preserve">AGN </w:t>
      </w:r>
      <w:r w:rsidRPr="00353D8B">
        <w:t>proposed reflects the opex criteria and the criteria for forecasts and estimates</w:t>
      </w:r>
      <w:r w:rsidR="0083141E">
        <w:t xml:space="preserve"> under the NGR</w:t>
      </w:r>
      <w:r w:rsidRPr="00353D8B">
        <w:t>.</w:t>
      </w:r>
      <w:r>
        <w:rPr>
          <w:rStyle w:val="FootnoteReference"/>
        </w:rPr>
        <w:footnoteReference w:id="64"/>
      </w:r>
      <w:r w:rsidRPr="00353D8B">
        <w:t xml:space="preserve"> </w:t>
      </w:r>
      <w:r w:rsidR="000F769E">
        <w:t xml:space="preserve">Our approved opex forecast—which we consider </w:t>
      </w:r>
      <w:r w:rsidR="001F2E8C">
        <w:t xml:space="preserve">is such as </w:t>
      </w:r>
      <w:r w:rsidR="000F769E">
        <w:t>would be incurred by a prudent service provider acting efficiently, in accordance with accepted good industry practice, to achieve the lowest sustainable cost of delivering pipeline services</w:t>
      </w:r>
      <w:r w:rsidR="000F769E">
        <w:rPr>
          <w:rStyle w:val="FootnoteReference"/>
        </w:rPr>
        <w:footnoteReference w:id="65"/>
      </w:r>
      <w:r w:rsidR="000F769E">
        <w:t>—</w:t>
      </w:r>
      <w:r w:rsidRPr="00353D8B">
        <w:t xml:space="preserve"> is </w:t>
      </w:r>
      <w:r>
        <w:t xml:space="preserve">$ </w:t>
      </w:r>
      <w:r w:rsidR="005A4F2B">
        <w:t xml:space="preserve">342 </w:t>
      </w:r>
      <w:r>
        <w:t>million</w:t>
      </w:r>
      <w:r w:rsidR="002F1CDC">
        <w:t xml:space="preserve">, </w:t>
      </w:r>
      <w:r>
        <w:t xml:space="preserve">a </w:t>
      </w:r>
      <w:r w:rsidR="005A4F2B">
        <w:t xml:space="preserve">four </w:t>
      </w:r>
      <w:r>
        <w:t>per cent reduction from AGN’s proposal</w:t>
      </w:r>
      <w:r w:rsidR="002F1CDC">
        <w:t xml:space="preserve">. This is </w:t>
      </w:r>
      <w:r w:rsidR="004F6080">
        <w:t xml:space="preserve">illustrated in </w:t>
      </w:r>
      <w:r w:rsidR="009872D3">
        <w:fldChar w:fldCharType="begin"/>
      </w:r>
      <w:r w:rsidR="009872D3">
        <w:instrText xml:space="preserve"> REF _Ref434480452 \h </w:instrText>
      </w:r>
      <w:r w:rsidR="009872D3">
        <w:fldChar w:fldCharType="separate"/>
      </w:r>
      <w:r w:rsidR="00E90DAD" w:rsidRPr="005D48D9">
        <w:t xml:space="preserve">Figure </w:t>
      </w:r>
      <w:r w:rsidR="00E90DAD">
        <w:rPr>
          <w:noProof/>
        </w:rPr>
        <w:t>9</w:t>
      </w:r>
      <w:r w:rsidR="009872D3">
        <w:fldChar w:fldCharType="end"/>
      </w:r>
      <w:r w:rsidRPr="00353D8B">
        <w:t>.</w:t>
      </w:r>
    </w:p>
    <w:p w:rsidR="004F6080" w:rsidRPr="005D48D9" w:rsidRDefault="004F6080" w:rsidP="004F6080">
      <w:pPr>
        <w:pStyle w:val="Caption"/>
        <w:rPr>
          <w:rStyle w:val="Strong"/>
          <w:b/>
          <w:bCs/>
        </w:rPr>
      </w:pPr>
      <w:bookmarkStart w:id="141" w:name="_Ref434480452"/>
      <w:r w:rsidRPr="005D48D9">
        <w:t xml:space="preserve">Figure </w:t>
      </w:r>
      <w:fldSimple w:instr=" SEQ Figure \* ARABIC ">
        <w:r w:rsidR="00E90DAD">
          <w:rPr>
            <w:noProof/>
          </w:rPr>
          <w:t>9</w:t>
        </w:r>
      </w:fldSimple>
      <w:bookmarkEnd w:id="141"/>
      <w:r w:rsidRPr="005D48D9">
        <w:t xml:space="preserve"> </w:t>
      </w:r>
      <w:r w:rsidRPr="005D48D9">
        <w:rPr>
          <w:rStyle w:val="Strong"/>
          <w:b/>
          <w:bCs/>
        </w:rPr>
        <w:t xml:space="preserve">AER draft decision compared to AGN’s past and proposed opex ($million, $2015-16) </w:t>
      </w:r>
    </w:p>
    <w:p w:rsidR="004F6080" w:rsidRDefault="00DD7B45" w:rsidP="004F6080">
      <w:r w:rsidRPr="00DD7B45">
        <w:rPr>
          <w:noProof/>
          <w:lang w:eastAsia="en-AU"/>
        </w:rPr>
        <w:drawing>
          <wp:inline distT="0" distB="0" distL="0" distR="0" wp14:anchorId="6912ABD5" wp14:editId="0C56EEA3">
            <wp:extent cx="4581525" cy="27527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rsidR="004F6080" w:rsidRDefault="004F6080" w:rsidP="004F6080">
      <w:pPr>
        <w:pStyle w:val="AERtablesource"/>
      </w:pPr>
      <w:r w:rsidRPr="002019E3">
        <w:t xml:space="preserve">Source: </w:t>
      </w:r>
      <w:r w:rsidR="00FF3122">
        <w:tab/>
      </w:r>
      <w:r w:rsidRPr="002019E3">
        <w:t>AGN opex model and RIN; and AER analysis.</w:t>
      </w:r>
    </w:p>
    <w:p w:rsidR="004F6080" w:rsidRPr="004F6080" w:rsidRDefault="004F6080" w:rsidP="0003454E">
      <w:r>
        <w:fldChar w:fldCharType="begin"/>
      </w:r>
      <w:r>
        <w:instrText xml:space="preserve"> REF _Ref433703383 \h </w:instrText>
      </w:r>
      <w:r>
        <w:fldChar w:fldCharType="separate"/>
      </w:r>
      <w:r w:rsidR="00E90DAD">
        <w:t xml:space="preserve">Table </w:t>
      </w:r>
      <w:r w:rsidR="00E90DAD">
        <w:rPr>
          <w:noProof/>
        </w:rPr>
        <w:t>8</w:t>
      </w:r>
      <w:r>
        <w:fldChar w:fldCharType="end"/>
      </w:r>
      <w:r>
        <w:t xml:space="preserve"> </w:t>
      </w:r>
      <w:r w:rsidR="007F2DCD">
        <w:t>shows</w:t>
      </w:r>
      <w:r>
        <w:t xml:space="preserve"> the difference between AGN’s propos</w:t>
      </w:r>
      <w:r w:rsidR="001F2E8C">
        <w:t>ed forecast opex</w:t>
      </w:r>
      <w:r>
        <w:t xml:space="preserve"> and </w:t>
      </w:r>
      <w:r w:rsidR="001F2E8C">
        <w:t xml:space="preserve">the forecast in </w:t>
      </w:r>
      <w:r>
        <w:t>our draft decision.</w:t>
      </w:r>
    </w:p>
    <w:p w:rsidR="005C6CE2" w:rsidRDefault="009A1B5F" w:rsidP="00FF3122">
      <w:pPr>
        <w:pStyle w:val="Caption"/>
      </w:pPr>
      <w:bookmarkStart w:id="142" w:name="_Ref433703383"/>
      <w:r>
        <w:t xml:space="preserve">Table </w:t>
      </w:r>
      <w:fldSimple w:instr=" SEQ Table \* ARABIC ">
        <w:r w:rsidR="00E90DAD">
          <w:rPr>
            <w:noProof/>
          </w:rPr>
          <w:t>8</w:t>
        </w:r>
      </w:fldSimple>
      <w:bookmarkEnd w:id="142"/>
      <w:r w:rsidR="005C6CE2" w:rsidRPr="00353D8B">
        <w:tab/>
        <w:t>Draft decision on total opex—</w:t>
      </w:r>
      <w:r w:rsidR="005C6CE2">
        <w:t>A</w:t>
      </w:r>
      <w:r w:rsidR="005C6CE2" w:rsidRPr="00353D8B">
        <w:t>GN ($million, 201</w:t>
      </w:r>
      <w:r w:rsidR="005C6CE2">
        <w:t>5</w:t>
      </w:r>
      <w:r w:rsidR="005C6CE2" w:rsidRPr="00353D8B">
        <w:t>–1</w:t>
      </w:r>
      <w:r w:rsidR="005C6CE2">
        <w:t>6</w:t>
      </w:r>
      <w:r w:rsidR="005C6CE2" w:rsidRPr="00353D8B">
        <w:t>)</w:t>
      </w:r>
    </w:p>
    <w:tbl>
      <w:tblPr>
        <w:tblStyle w:val="AERtable-numbers"/>
        <w:tblW w:w="0" w:type="auto"/>
        <w:tblLook w:val="04A0" w:firstRow="1" w:lastRow="0" w:firstColumn="1" w:lastColumn="0" w:noHBand="0" w:noVBand="1"/>
      </w:tblPr>
      <w:tblGrid>
        <w:gridCol w:w="1323"/>
        <w:gridCol w:w="1245"/>
        <w:gridCol w:w="1245"/>
        <w:gridCol w:w="1245"/>
        <w:gridCol w:w="1245"/>
        <w:gridCol w:w="1245"/>
        <w:gridCol w:w="1145"/>
      </w:tblGrid>
      <w:tr w:rsidR="005C6CE2" w:rsidRPr="007E41FA" w:rsidTr="007E41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3" w:type="dxa"/>
          </w:tcPr>
          <w:p w:rsidR="005C6CE2" w:rsidRPr="007E41FA" w:rsidRDefault="005C6CE2" w:rsidP="00FF3122">
            <w:pPr>
              <w:keepNext/>
            </w:pPr>
          </w:p>
        </w:tc>
        <w:tc>
          <w:tcPr>
            <w:tcW w:w="1245" w:type="dxa"/>
          </w:tcPr>
          <w:p w:rsidR="005C6CE2" w:rsidRPr="007E41FA" w:rsidRDefault="005C6CE2" w:rsidP="00FF3122">
            <w:pPr>
              <w:keepNext/>
              <w:cnfStyle w:val="100000000000" w:firstRow="1" w:lastRow="0" w:firstColumn="0" w:lastColumn="0" w:oddVBand="0" w:evenVBand="0" w:oddHBand="0" w:evenHBand="0" w:firstRowFirstColumn="0" w:firstRowLastColumn="0" w:lastRowFirstColumn="0" w:lastRowLastColumn="0"/>
            </w:pPr>
            <w:r w:rsidRPr="007E41FA">
              <w:t>2016-17</w:t>
            </w:r>
          </w:p>
        </w:tc>
        <w:tc>
          <w:tcPr>
            <w:tcW w:w="1245" w:type="dxa"/>
          </w:tcPr>
          <w:p w:rsidR="005C6CE2" w:rsidRPr="007E41FA" w:rsidRDefault="005C6CE2" w:rsidP="00FF3122">
            <w:pPr>
              <w:keepNext/>
              <w:cnfStyle w:val="100000000000" w:firstRow="1" w:lastRow="0" w:firstColumn="0" w:lastColumn="0" w:oddVBand="0" w:evenVBand="0" w:oddHBand="0" w:evenHBand="0" w:firstRowFirstColumn="0" w:firstRowLastColumn="0" w:lastRowFirstColumn="0" w:lastRowLastColumn="0"/>
            </w:pPr>
            <w:r w:rsidRPr="007E41FA">
              <w:t>2017-18</w:t>
            </w:r>
          </w:p>
        </w:tc>
        <w:tc>
          <w:tcPr>
            <w:tcW w:w="1245" w:type="dxa"/>
          </w:tcPr>
          <w:p w:rsidR="005C6CE2" w:rsidRPr="007E41FA" w:rsidRDefault="005C6CE2" w:rsidP="00FF3122">
            <w:pPr>
              <w:keepNext/>
              <w:cnfStyle w:val="100000000000" w:firstRow="1" w:lastRow="0" w:firstColumn="0" w:lastColumn="0" w:oddVBand="0" w:evenVBand="0" w:oddHBand="0" w:evenHBand="0" w:firstRowFirstColumn="0" w:firstRowLastColumn="0" w:lastRowFirstColumn="0" w:lastRowLastColumn="0"/>
            </w:pPr>
            <w:r w:rsidRPr="007E41FA">
              <w:t>2018-19</w:t>
            </w:r>
          </w:p>
        </w:tc>
        <w:tc>
          <w:tcPr>
            <w:tcW w:w="1245" w:type="dxa"/>
          </w:tcPr>
          <w:p w:rsidR="005C6CE2" w:rsidRPr="007E41FA" w:rsidRDefault="005C6CE2" w:rsidP="00FF3122">
            <w:pPr>
              <w:keepNext/>
              <w:cnfStyle w:val="100000000000" w:firstRow="1" w:lastRow="0" w:firstColumn="0" w:lastColumn="0" w:oddVBand="0" w:evenVBand="0" w:oddHBand="0" w:evenHBand="0" w:firstRowFirstColumn="0" w:firstRowLastColumn="0" w:lastRowFirstColumn="0" w:lastRowLastColumn="0"/>
            </w:pPr>
            <w:r w:rsidRPr="007E41FA">
              <w:t>2019-20</w:t>
            </w:r>
          </w:p>
        </w:tc>
        <w:tc>
          <w:tcPr>
            <w:tcW w:w="1245" w:type="dxa"/>
          </w:tcPr>
          <w:p w:rsidR="005C6CE2" w:rsidRPr="007E41FA" w:rsidRDefault="005C6CE2" w:rsidP="00FF3122">
            <w:pPr>
              <w:keepNext/>
              <w:cnfStyle w:val="100000000000" w:firstRow="1" w:lastRow="0" w:firstColumn="0" w:lastColumn="0" w:oddVBand="0" w:evenVBand="0" w:oddHBand="0" w:evenHBand="0" w:firstRowFirstColumn="0" w:firstRowLastColumn="0" w:lastRowFirstColumn="0" w:lastRowLastColumn="0"/>
            </w:pPr>
            <w:r w:rsidRPr="007E41FA">
              <w:t>2020-21</w:t>
            </w:r>
          </w:p>
        </w:tc>
        <w:tc>
          <w:tcPr>
            <w:tcW w:w="1145" w:type="dxa"/>
          </w:tcPr>
          <w:p w:rsidR="005C6CE2" w:rsidRPr="007E41FA" w:rsidRDefault="005C6CE2" w:rsidP="00FF3122">
            <w:pPr>
              <w:keepNext/>
              <w:cnfStyle w:val="100000000000" w:firstRow="1" w:lastRow="0" w:firstColumn="0" w:lastColumn="0" w:oddVBand="0" w:evenVBand="0" w:oddHBand="0" w:evenHBand="0" w:firstRowFirstColumn="0" w:firstRowLastColumn="0" w:lastRowFirstColumn="0" w:lastRowLastColumn="0"/>
            </w:pPr>
            <w:r w:rsidRPr="007E41FA">
              <w:t>Total</w:t>
            </w:r>
          </w:p>
        </w:tc>
      </w:tr>
      <w:tr w:rsidR="005C6CE2" w:rsidRPr="007E41FA" w:rsidTr="007E41FA">
        <w:tc>
          <w:tcPr>
            <w:cnfStyle w:val="001000000000" w:firstRow="0" w:lastRow="0" w:firstColumn="1" w:lastColumn="0" w:oddVBand="0" w:evenVBand="0" w:oddHBand="0" w:evenHBand="0" w:firstRowFirstColumn="0" w:firstRowLastColumn="0" w:lastRowFirstColumn="0" w:lastRowLastColumn="0"/>
            <w:tcW w:w="1323" w:type="dxa"/>
          </w:tcPr>
          <w:p w:rsidR="005C6CE2" w:rsidRPr="007E41FA" w:rsidRDefault="005C6CE2" w:rsidP="00FF3122">
            <w:pPr>
              <w:keepNext/>
            </w:pPr>
            <w:r w:rsidRPr="007E41FA">
              <w:t>AGN’s proposal</w:t>
            </w:r>
          </w:p>
        </w:tc>
        <w:tc>
          <w:tcPr>
            <w:tcW w:w="1245" w:type="dxa"/>
          </w:tcPr>
          <w:p w:rsidR="005C6CE2" w:rsidRPr="007E41FA" w:rsidRDefault="005C6CE2" w:rsidP="00FF3122">
            <w:pPr>
              <w:keepNext/>
              <w:cnfStyle w:val="000000000000" w:firstRow="0" w:lastRow="0" w:firstColumn="0" w:lastColumn="0" w:oddVBand="0" w:evenVBand="0" w:oddHBand="0" w:evenHBand="0" w:firstRowFirstColumn="0" w:firstRowLastColumn="0" w:lastRowFirstColumn="0" w:lastRowLastColumn="0"/>
            </w:pPr>
            <w:r w:rsidRPr="007E41FA">
              <w:t>68.38</w:t>
            </w:r>
          </w:p>
        </w:tc>
        <w:tc>
          <w:tcPr>
            <w:tcW w:w="1245" w:type="dxa"/>
          </w:tcPr>
          <w:p w:rsidR="005C6CE2" w:rsidRPr="007E41FA" w:rsidRDefault="005C6CE2" w:rsidP="00FF3122">
            <w:pPr>
              <w:keepNext/>
              <w:cnfStyle w:val="000000000000" w:firstRow="0" w:lastRow="0" w:firstColumn="0" w:lastColumn="0" w:oddVBand="0" w:evenVBand="0" w:oddHBand="0" w:evenHBand="0" w:firstRowFirstColumn="0" w:firstRowLastColumn="0" w:lastRowFirstColumn="0" w:lastRowLastColumn="0"/>
            </w:pPr>
            <w:r w:rsidRPr="007E41FA">
              <w:t>70.58</w:t>
            </w:r>
          </w:p>
        </w:tc>
        <w:tc>
          <w:tcPr>
            <w:tcW w:w="1245" w:type="dxa"/>
          </w:tcPr>
          <w:p w:rsidR="005C6CE2" w:rsidRPr="007E41FA" w:rsidRDefault="005C6CE2" w:rsidP="00FF3122">
            <w:pPr>
              <w:keepNext/>
              <w:cnfStyle w:val="000000000000" w:firstRow="0" w:lastRow="0" w:firstColumn="0" w:lastColumn="0" w:oddVBand="0" w:evenVBand="0" w:oddHBand="0" w:evenHBand="0" w:firstRowFirstColumn="0" w:firstRowLastColumn="0" w:lastRowFirstColumn="0" w:lastRowLastColumn="0"/>
            </w:pPr>
            <w:r w:rsidRPr="007E41FA">
              <w:t>72.44</w:t>
            </w:r>
          </w:p>
        </w:tc>
        <w:tc>
          <w:tcPr>
            <w:tcW w:w="1245" w:type="dxa"/>
          </w:tcPr>
          <w:p w:rsidR="005C6CE2" w:rsidRPr="007E41FA" w:rsidRDefault="005C6CE2" w:rsidP="00FF3122">
            <w:pPr>
              <w:keepNext/>
              <w:cnfStyle w:val="000000000000" w:firstRow="0" w:lastRow="0" w:firstColumn="0" w:lastColumn="0" w:oddVBand="0" w:evenVBand="0" w:oddHBand="0" w:evenHBand="0" w:firstRowFirstColumn="0" w:firstRowLastColumn="0" w:lastRowFirstColumn="0" w:lastRowLastColumn="0"/>
            </w:pPr>
            <w:r w:rsidRPr="007E41FA">
              <w:t>72.64</w:t>
            </w:r>
          </w:p>
        </w:tc>
        <w:tc>
          <w:tcPr>
            <w:tcW w:w="1245" w:type="dxa"/>
          </w:tcPr>
          <w:p w:rsidR="005C6CE2" w:rsidRPr="007E41FA" w:rsidRDefault="005C6CE2" w:rsidP="00FF3122">
            <w:pPr>
              <w:keepNext/>
              <w:cnfStyle w:val="000000000000" w:firstRow="0" w:lastRow="0" w:firstColumn="0" w:lastColumn="0" w:oddVBand="0" w:evenVBand="0" w:oddHBand="0" w:evenHBand="0" w:firstRowFirstColumn="0" w:firstRowLastColumn="0" w:lastRowFirstColumn="0" w:lastRowLastColumn="0"/>
            </w:pPr>
            <w:r w:rsidRPr="007E41FA">
              <w:t>73.39</w:t>
            </w:r>
          </w:p>
        </w:tc>
        <w:tc>
          <w:tcPr>
            <w:tcW w:w="1145" w:type="dxa"/>
          </w:tcPr>
          <w:p w:rsidR="005C6CE2" w:rsidRPr="007E41FA" w:rsidRDefault="005C6CE2" w:rsidP="00FF3122">
            <w:pPr>
              <w:keepNext/>
              <w:cnfStyle w:val="000000000000" w:firstRow="0" w:lastRow="0" w:firstColumn="0" w:lastColumn="0" w:oddVBand="0" w:evenVBand="0" w:oddHBand="0" w:evenHBand="0" w:firstRowFirstColumn="0" w:firstRowLastColumn="0" w:lastRowFirstColumn="0" w:lastRowLastColumn="0"/>
            </w:pPr>
            <w:r w:rsidRPr="007E41FA">
              <w:t>357.43</w:t>
            </w:r>
          </w:p>
        </w:tc>
      </w:tr>
      <w:tr w:rsidR="005C6CE2" w:rsidRPr="007E41FA" w:rsidTr="007E41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3" w:type="dxa"/>
          </w:tcPr>
          <w:p w:rsidR="005C6CE2" w:rsidRPr="007E41FA" w:rsidRDefault="005C6CE2" w:rsidP="00FF3122">
            <w:pPr>
              <w:keepNext/>
            </w:pPr>
            <w:r w:rsidRPr="007E41FA">
              <w:t>AER draft decision</w:t>
            </w:r>
          </w:p>
        </w:tc>
        <w:tc>
          <w:tcPr>
            <w:tcW w:w="1245" w:type="dxa"/>
          </w:tcPr>
          <w:p w:rsidR="005C6CE2" w:rsidRPr="007E41FA" w:rsidRDefault="005A4F2B" w:rsidP="00FF3122">
            <w:pPr>
              <w:keepNext/>
              <w:cnfStyle w:val="000000010000" w:firstRow="0" w:lastRow="0" w:firstColumn="0" w:lastColumn="0" w:oddVBand="0" w:evenVBand="0" w:oddHBand="0" w:evenHBand="1" w:firstRowFirstColumn="0" w:firstRowLastColumn="0" w:lastRowFirstColumn="0" w:lastRowLastColumn="0"/>
            </w:pPr>
            <w:r>
              <w:t>67.66</w:t>
            </w:r>
          </w:p>
        </w:tc>
        <w:tc>
          <w:tcPr>
            <w:tcW w:w="1245" w:type="dxa"/>
          </w:tcPr>
          <w:p w:rsidR="005C6CE2" w:rsidRPr="007E41FA" w:rsidRDefault="005A4F2B" w:rsidP="00FF3122">
            <w:pPr>
              <w:keepNext/>
              <w:cnfStyle w:val="000000010000" w:firstRow="0" w:lastRow="0" w:firstColumn="0" w:lastColumn="0" w:oddVBand="0" w:evenVBand="0" w:oddHBand="0" w:evenHBand="1" w:firstRowFirstColumn="0" w:firstRowLastColumn="0" w:lastRowFirstColumn="0" w:lastRowLastColumn="0"/>
            </w:pPr>
            <w:r>
              <w:t>68.55</w:t>
            </w:r>
          </w:p>
        </w:tc>
        <w:tc>
          <w:tcPr>
            <w:tcW w:w="1245" w:type="dxa"/>
          </w:tcPr>
          <w:p w:rsidR="005C6CE2" w:rsidRPr="007E41FA" w:rsidRDefault="005A4F2B" w:rsidP="00FF3122">
            <w:pPr>
              <w:keepNext/>
              <w:cnfStyle w:val="000000010000" w:firstRow="0" w:lastRow="0" w:firstColumn="0" w:lastColumn="0" w:oddVBand="0" w:evenVBand="0" w:oddHBand="0" w:evenHBand="1" w:firstRowFirstColumn="0" w:firstRowLastColumn="0" w:lastRowFirstColumn="0" w:lastRowLastColumn="0"/>
            </w:pPr>
            <w:r>
              <w:t>68.90</w:t>
            </w:r>
          </w:p>
        </w:tc>
        <w:tc>
          <w:tcPr>
            <w:tcW w:w="1245" w:type="dxa"/>
          </w:tcPr>
          <w:p w:rsidR="005C6CE2" w:rsidRPr="007E41FA" w:rsidRDefault="005A4F2B" w:rsidP="00FF3122">
            <w:pPr>
              <w:keepNext/>
              <w:cnfStyle w:val="000000010000" w:firstRow="0" w:lastRow="0" w:firstColumn="0" w:lastColumn="0" w:oddVBand="0" w:evenVBand="0" w:oddHBand="0" w:evenHBand="1" w:firstRowFirstColumn="0" w:firstRowLastColumn="0" w:lastRowFirstColumn="0" w:lastRowLastColumn="0"/>
            </w:pPr>
            <w:r>
              <w:t>68.61</w:t>
            </w:r>
          </w:p>
        </w:tc>
        <w:tc>
          <w:tcPr>
            <w:tcW w:w="1245" w:type="dxa"/>
          </w:tcPr>
          <w:p w:rsidR="005C6CE2" w:rsidRPr="007E41FA" w:rsidRDefault="005A4F2B" w:rsidP="00FF3122">
            <w:pPr>
              <w:keepNext/>
              <w:cnfStyle w:val="000000010000" w:firstRow="0" w:lastRow="0" w:firstColumn="0" w:lastColumn="0" w:oddVBand="0" w:evenVBand="0" w:oddHBand="0" w:evenHBand="1" w:firstRowFirstColumn="0" w:firstRowLastColumn="0" w:lastRowFirstColumn="0" w:lastRowLastColumn="0"/>
            </w:pPr>
            <w:r>
              <w:t>68.62</w:t>
            </w:r>
          </w:p>
        </w:tc>
        <w:tc>
          <w:tcPr>
            <w:tcW w:w="1145" w:type="dxa"/>
          </w:tcPr>
          <w:p w:rsidR="005C6CE2" w:rsidRPr="007E41FA" w:rsidRDefault="005A4F2B" w:rsidP="00FF3122">
            <w:pPr>
              <w:keepNext/>
              <w:cnfStyle w:val="000000010000" w:firstRow="0" w:lastRow="0" w:firstColumn="0" w:lastColumn="0" w:oddVBand="0" w:evenVBand="0" w:oddHBand="0" w:evenHBand="1" w:firstRowFirstColumn="0" w:firstRowLastColumn="0" w:lastRowFirstColumn="0" w:lastRowLastColumn="0"/>
            </w:pPr>
            <w:r>
              <w:t>342.35</w:t>
            </w:r>
          </w:p>
        </w:tc>
      </w:tr>
      <w:tr w:rsidR="005C6CE2" w:rsidRPr="007E41FA" w:rsidTr="007E41FA">
        <w:tc>
          <w:tcPr>
            <w:cnfStyle w:val="001000000000" w:firstRow="0" w:lastRow="0" w:firstColumn="1" w:lastColumn="0" w:oddVBand="0" w:evenVBand="0" w:oddHBand="0" w:evenHBand="0" w:firstRowFirstColumn="0" w:firstRowLastColumn="0" w:lastRowFirstColumn="0" w:lastRowLastColumn="0"/>
            <w:tcW w:w="1323" w:type="dxa"/>
          </w:tcPr>
          <w:p w:rsidR="005C6CE2" w:rsidRPr="007E41FA" w:rsidRDefault="005C6CE2" w:rsidP="00FF3122">
            <w:pPr>
              <w:keepNext/>
            </w:pPr>
            <w:r w:rsidRPr="007E41FA">
              <w:t>Difference</w:t>
            </w:r>
          </w:p>
        </w:tc>
        <w:tc>
          <w:tcPr>
            <w:tcW w:w="1245" w:type="dxa"/>
          </w:tcPr>
          <w:p w:rsidR="005C6CE2" w:rsidRPr="007E41FA" w:rsidRDefault="005A4F2B" w:rsidP="00FF3122">
            <w:pPr>
              <w:keepNext/>
              <w:cnfStyle w:val="000000000000" w:firstRow="0" w:lastRow="0" w:firstColumn="0" w:lastColumn="0" w:oddVBand="0" w:evenVBand="0" w:oddHBand="0" w:evenHBand="0" w:firstRowFirstColumn="0" w:firstRowLastColumn="0" w:lastRowFirstColumn="0" w:lastRowLastColumn="0"/>
            </w:pPr>
            <w:r>
              <w:t>–0.73</w:t>
            </w:r>
          </w:p>
        </w:tc>
        <w:tc>
          <w:tcPr>
            <w:tcW w:w="1245" w:type="dxa"/>
          </w:tcPr>
          <w:p w:rsidR="005C6CE2" w:rsidRPr="007E41FA" w:rsidRDefault="005A4F2B" w:rsidP="00FF3122">
            <w:pPr>
              <w:keepNext/>
              <w:cnfStyle w:val="000000000000" w:firstRow="0" w:lastRow="0" w:firstColumn="0" w:lastColumn="0" w:oddVBand="0" w:evenVBand="0" w:oddHBand="0" w:evenHBand="0" w:firstRowFirstColumn="0" w:firstRowLastColumn="0" w:lastRowFirstColumn="0" w:lastRowLastColumn="0"/>
            </w:pPr>
            <w:r>
              <w:t>–2.03</w:t>
            </w:r>
          </w:p>
        </w:tc>
        <w:tc>
          <w:tcPr>
            <w:tcW w:w="1245" w:type="dxa"/>
          </w:tcPr>
          <w:p w:rsidR="005C6CE2" w:rsidRPr="007E41FA" w:rsidRDefault="005A4F2B" w:rsidP="00FF3122">
            <w:pPr>
              <w:keepNext/>
              <w:cnfStyle w:val="000000000000" w:firstRow="0" w:lastRow="0" w:firstColumn="0" w:lastColumn="0" w:oddVBand="0" w:evenVBand="0" w:oddHBand="0" w:evenHBand="0" w:firstRowFirstColumn="0" w:firstRowLastColumn="0" w:lastRowFirstColumn="0" w:lastRowLastColumn="0"/>
            </w:pPr>
            <w:r>
              <w:t>–3.54</w:t>
            </w:r>
          </w:p>
        </w:tc>
        <w:tc>
          <w:tcPr>
            <w:tcW w:w="1245" w:type="dxa"/>
          </w:tcPr>
          <w:p w:rsidR="005C6CE2" w:rsidRPr="007E41FA" w:rsidRDefault="005A4F2B" w:rsidP="00FF3122">
            <w:pPr>
              <w:keepNext/>
              <w:cnfStyle w:val="000000000000" w:firstRow="0" w:lastRow="0" w:firstColumn="0" w:lastColumn="0" w:oddVBand="0" w:evenVBand="0" w:oddHBand="0" w:evenHBand="0" w:firstRowFirstColumn="0" w:firstRowLastColumn="0" w:lastRowFirstColumn="0" w:lastRowLastColumn="0"/>
            </w:pPr>
            <w:r>
              <w:t>–4.03</w:t>
            </w:r>
          </w:p>
        </w:tc>
        <w:tc>
          <w:tcPr>
            <w:tcW w:w="1245" w:type="dxa"/>
          </w:tcPr>
          <w:p w:rsidR="005C6CE2" w:rsidRPr="007E41FA" w:rsidRDefault="005A4F2B" w:rsidP="00FF3122">
            <w:pPr>
              <w:keepNext/>
              <w:cnfStyle w:val="000000000000" w:firstRow="0" w:lastRow="0" w:firstColumn="0" w:lastColumn="0" w:oddVBand="0" w:evenVBand="0" w:oddHBand="0" w:evenHBand="0" w:firstRowFirstColumn="0" w:firstRowLastColumn="0" w:lastRowFirstColumn="0" w:lastRowLastColumn="0"/>
            </w:pPr>
            <w:r>
              <w:t>–4.77</w:t>
            </w:r>
          </w:p>
        </w:tc>
        <w:tc>
          <w:tcPr>
            <w:tcW w:w="1145" w:type="dxa"/>
          </w:tcPr>
          <w:p w:rsidR="005C6CE2" w:rsidRPr="007E41FA" w:rsidRDefault="005A4F2B" w:rsidP="00FF3122">
            <w:pPr>
              <w:keepNext/>
              <w:cnfStyle w:val="000000000000" w:firstRow="0" w:lastRow="0" w:firstColumn="0" w:lastColumn="0" w:oddVBand="0" w:evenVBand="0" w:oddHBand="0" w:evenHBand="0" w:firstRowFirstColumn="0" w:firstRowLastColumn="0" w:lastRowFirstColumn="0" w:lastRowLastColumn="0"/>
            </w:pPr>
            <w:r>
              <w:t>–15.09</w:t>
            </w:r>
          </w:p>
        </w:tc>
      </w:tr>
    </w:tbl>
    <w:p w:rsidR="005C6CE2" w:rsidRPr="00B47806" w:rsidRDefault="005C6CE2" w:rsidP="00FF3122">
      <w:pPr>
        <w:pStyle w:val="AERtablesource"/>
        <w:keepNext/>
      </w:pPr>
      <w:r w:rsidRPr="00B47806">
        <w:t>Source:</w:t>
      </w:r>
      <w:r w:rsidRPr="00B47806">
        <w:tab/>
        <w:t>AER analysis.</w:t>
      </w:r>
    </w:p>
    <w:p w:rsidR="005C6CE2" w:rsidRDefault="005C6CE2" w:rsidP="009A1B5F">
      <w:pPr>
        <w:pStyle w:val="AERtablesource"/>
      </w:pPr>
      <w:r w:rsidRPr="00B47806">
        <w:t>Note:</w:t>
      </w:r>
      <w:r w:rsidRPr="00B47806">
        <w:tab/>
        <w:t>Excludes debt raising costs.</w:t>
      </w:r>
    </w:p>
    <w:p w:rsidR="005C6CE2" w:rsidRPr="00834C9A" w:rsidRDefault="005C6CE2" w:rsidP="005C6CE2">
      <w:r w:rsidRPr="00834C9A">
        <w:t>The</w:t>
      </w:r>
      <w:r w:rsidR="007F2DCD">
        <w:t xml:space="preserve"> key</w:t>
      </w:r>
      <w:r w:rsidRPr="00834C9A">
        <w:t xml:space="preserve"> areas of difference between our</w:t>
      </w:r>
      <w:r w:rsidR="005D48D9">
        <w:t xml:space="preserve"> opex</w:t>
      </w:r>
      <w:r w:rsidRPr="00834C9A">
        <w:t xml:space="preserve"> forecast and AGN's forecast are:</w:t>
      </w:r>
    </w:p>
    <w:p w:rsidR="007A5DC1" w:rsidRPr="007A5DC1" w:rsidRDefault="007A5DC1" w:rsidP="007A5DC1">
      <w:pPr>
        <w:pStyle w:val="AERbulletlistfirststyle"/>
      </w:pPr>
      <w:r w:rsidRPr="007A5DC1">
        <w:t>Category specific forecasts – we do not agree that the category specific forecasts developed by AGN for ancillary reference services, network management fee and insurance result in a total opex forecast that meets the opex criteria. We have, however, included AGN's category specific forecast for unaccounted for gas (UAFG) in our opex forecast.</w:t>
      </w:r>
      <w:r>
        <w:t xml:space="preserve"> This is discussed further below.</w:t>
      </w:r>
    </w:p>
    <w:p w:rsidR="007A5DC1" w:rsidRPr="007A5DC1" w:rsidRDefault="007A5DC1" w:rsidP="007A5DC1">
      <w:pPr>
        <w:pStyle w:val="AERbulletlistfirststyle"/>
      </w:pPr>
      <w:r w:rsidRPr="007A5DC1">
        <w:t xml:space="preserve">Rate of change – We consider AGN’s forecast of price changes is not the best estimate of a rate of change in the circumstances. As such we consider that including it in our forecast of total opex would not lead to a forecast of opex that complies with the opex criteria. </w:t>
      </w:r>
      <w:r w:rsidR="007F2DCD">
        <w:t>We have applied a rate of change that takes into account more recent labour cost forecasts, the impact of output growth and productivity changes.</w:t>
      </w:r>
    </w:p>
    <w:p w:rsidR="007A5DC1" w:rsidRPr="007A5DC1" w:rsidRDefault="007A5DC1" w:rsidP="007A5DC1">
      <w:pPr>
        <w:pStyle w:val="AERbulletlistfirststyle"/>
      </w:pPr>
      <w:r w:rsidRPr="007A5DC1">
        <w:t xml:space="preserve">Step changes – We have not included forecast increases in opex related to step changes. We consider the new opex requirements identified by AGN do not relate to new obligations facing AGN or other changes in AGN’s circumstances requiring a material increase in opex for the 2016–21 access arrangement period. </w:t>
      </w:r>
    </w:p>
    <w:p w:rsidR="00D932ED" w:rsidRDefault="00D932ED" w:rsidP="00D932ED">
      <w:pPr>
        <w:pStyle w:val="HeadingBoldBlue"/>
      </w:pPr>
      <w:r>
        <w:t xml:space="preserve">Unaccounted for gas </w:t>
      </w:r>
    </w:p>
    <w:p w:rsidR="00E56AE1" w:rsidRDefault="00E56AE1" w:rsidP="00E56AE1">
      <w:r>
        <w:t>UAFG is the difference between the volume of gas that enters a distribution pipeline and the volume of gas billed to customers.</w:t>
      </w:r>
      <w:r>
        <w:rPr>
          <w:rStyle w:val="FootnoteReference"/>
        </w:rPr>
        <w:footnoteReference w:id="66"/>
      </w:r>
      <w:r>
        <w:t xml:space="preserve"> UAFG costs are determined by AGN as the product of forecast UAFG volumes and the price of gas </w:t>
      </w:r>
      <w:r w:rsidR="00F9358B">
        <w:t xml:space="preserve">AGN must </w:t>
      </w:r>
      <w:r>
        <w:t xml:space="preserve">purchase to supply UAFG. AGN forecast UAFG costs of $56 million ($2015–16) in the 2016–21 period, around 16 per cent of </w:t>
      </w:r>
      <w:r w:rsidR="00837E20">
        <w:t xml:space="preserve">its </w:t>
      </w:r>
      <w:r>
        <w:t>total opex</w:t>
      </w:r>
      <w:r w:rsidR="00837E20" w:rsidRPr="00837E20">
        <w:t xml:space="preserve"> </w:t>
      </w:r>
      <w:r w:rsidR="00837E20">
        <w:t>forecast</w:t>
      </w:r>
      <w:r>
        <w:t>.</w:t>
      </w:r>
    </w:p>
    <w:p w:rsidR="00E56AE1" w:rsidRDefault="00E56AE1" w:rsidP="00E56AE1">
      <w:r>
        <w:t>AGN</w:t>
      </w:r>
      <w:r w:rsidR="00F9358B">
        <w:t xml:space="preserve"> </w:t>
      </w:r>
      <w:r>
        <w:t xml:space="preserve">is </w:t>
      </w:r>
      <w:r w:rsidR="00F9358B">
        <w:t xml:space="preserve">currently </w:t>
      </w:r>
      <w:r>
        <w:t xml:space="preserve">participating in </w:t>
      </w:r>
      <w:r w:rsidR="006F68A1">
        <w:t xml:space="preserve">AEMO’s </w:t>
      </w:r>
      <w:r>
        <w:t>review of the arrangements for the treatment of UAFG, which is considering transferring the responsibility for supplying UAFG from AGN to retailers and self–contracting users</w:t>
      </w:r>
      <w:r w:rsidR="00840954" w:rsidRPr="000B4584">
        <w:t>.</w:t>
      </w:r>
      <w:r w:rsidR="00840954">
        <w:rPr>
          <w:rStyle w:val="FootnoteReference"/>
        </w:rPr>
        <w:footnoteReference w:id="67"/>
      </w:r>
      <w:r w:rsidR="00840954" w:rsidRPr="000B4584">
        <w:t xml:space="preserve"> If the proposal is implemented</w:t>
      </w:r>
      <w:r w:rsidR="00440114">
        <w:t xml:space="preserve">, </w:t>
      </w:r>
      <w:r w:rsidR="00840954">
        <w:t>one potential outcome is that</w:t>
      </w:r>
      <w:r w:rsidR="00840954" w:rsidRPr="000B4584">
        <w:t xml:space="preserve"> AGN</w:t>
      </w:r>
      <w:r w:rsidR="00840954">
        <w:t xml:space="preserve"> would not incur any</w:t>
      </w:r>
      <w:r w:rsidR="00840954" w:rsidRPr="000B4584">
        <w:t xml:space="preserve"> UAFG costs. </w:t>
      </w:r>
      <w:r w:rsidR="00840954">
        <w:t>If this occurred, t</w:t>
      </w:r>
      <w:r>
        <w:t>his reduction in costs will be passed through to customers through the cost pass through mechanism.</w:t>
      </w:r>
    </w:p>
    <w:p w:rsidR="00710D26" w:rsidRDefault="006F68A1" w:rsidP="00710D26">
      <w:r>
        <w:t xml:space="preserve">For </w:t>
      </w:r>
      <w:r w:rsidR="00F9358B">
        <w:t>the</w:t>
      </w:r>
      <w:r>
        <w:t xml:space="preserve"> purposes</w:t>
      </w:r>
      <w:r w:rsidR="00F9358B">
        <w:t xml:space="preserve"> of this draft decision we cannot pre-empt the outcomes of AEMO’s review and </w:t>
      </w:r>
      <w:r>
        <w:t xml:space="preserve">must assess AGN’s forecast of UAFG costs as though this change will not occur. There is considerable uncertainty around AGN’s UAFG expenditure forecast, arising from possible forecasting error impacting UAFG volumes and gas prices. In other jurisdictions we have dealt with the uncertainty around UAFG forecasting through the application of a tariff variation mechanism. We consider there is considerable merit in applying a similar approach to AGN’s UAFG expenditure forecast to reduce the exposure of AGN and its customers from windfall gains or losses arising </w:t>
      </w:r>
      <w:r w:rsidR="005D48D9">
        <w:t xml:space="preserve">from </w:t>
      </w:r>
      <w:r>
        <w:t xml:space="preserve">significant variations in gas prices. </w:t>
      </w:r>
      <w:r w:rsidR="00837E20">
        <w:t xml:space="preserve">By specifically targeting changes in price, rather than changes in volume, this </w:t>
      </w:r>
      <w:r>
        <w:t>mechanism</w:t>
      </w:r>
      <w:r w:rsidR="00837E20">
        <w:t xml:space="preserve"> will </w:t>
      </w:r>
      <w:r>
        <w:t>still</w:t>
      </w:r>
      <w:r w:rsidR="00837E20">
        <w:t xml:space="preserve"> maintain</w:t>
      </w:r>
      <w:r>
        <w:t xml:space="preserve"> incentives on AGN to reduce the UAFG volume. </w:t>
      </w:r>
    </w:p>
    <w:p w:rsidR="005A6C3A" w:rsidRDefault="005A6C3A" w:rsidP="00710D26">
      <w:r>
        <w:t xml:space="preserve">This approach requires us to maintain a category specific forecast </w:t>
      </w:r>
      <w:r w:rsidR="005D48D9">
        <w:t xml:space="preserve">for </w:t>
      </w:r>
      <w:r>
        <w:t>UAFG expenditure</w:t>
      </w:r>
      <w:r w:rsidR="00837E20">
        <w:t xml:space="preserve"> within the total opex forecast</w:t>
      </w:r>
      <w:r>
        <w:t xml:space="preserve">. As a consequence, </w:t>
      </w:r>
      <w:r w:rsidR="00837E20">
        <w:t xml:space="preserve">AGN's expenditure on </w:t>
      </w:r>
      <w:r>
        <w:t>UAFG will no longer be subject to the efficiency carry</w:t>
      </w:r>
      <w:r w:rsidR="00D932ED">
        <w:t>over</w:t>
      </w:r>
      <w:r>
        <w:t xml:space="preserve"> mechanism applying to AGN.</w:t>
      </w:r>
    </w:p>
    <w:p w:rsidR="00710D26" w:rsidRPr="005B27F4" w:rsidRDefault="00710D26" w:rsidP="009872D3">
      <w:pPr>
        <w:pStyle w:val="Heading2"/>
        <w:keepNext/>
        <w:ind w:left="578" w:hanging="578"/>
      </w:pPr>
      <w:bookmarkStart w:id="143" w:name="_Toc430002795"/>
      <w:bookmarkStart w:id="144" w:name="_Ref433706606"/>
      <w:bookmarkStart w:id="145" w:name="_Ref433714490"/>
      <w:bookmarkStart w:id="146" w:name="_Toc436037702"/>
      <w:r w:rsidRPr="005B27F4">
        <w:t xml:space="preserve">Efficiency carryover </w:t>
      </w:r>
      <w:r w:rsidR="003C3D54">
        <w:t>mechanism</w:t>
      </w:r>
      <w:bookmarkEnd w:id="143"/>
      <w:bookmarkEnd w:id="144"/>
      <w:bookmarkEnd w:id="145"/>
      <w:bookmarkEnd w:id="146"/>
    </w:p>
    <w:p w:rsidR="00F9358B" w:rsidRDefault="00F9358B" w:rsidP="008157E7">
      <w:r w:rsidRPr="0082272C">
        <w:rPr>
          <w:rStyle w:val="AERbody"/>
        </w:rPr>
        <w:t>An efficiency carryover mechanism provides an additional incentive for service providers to pursue efficiency improvements in opex.</w:t>
      </w:r>
      <w:r>
        <w:rPr>
          <w:rStyle w:val="AERbody"/>
        </w:rPr>
        <w:t xml:space="preserve"> </w:t>
      </w:r>
    </w:p>
    <w:p w:rsidR="00F9358B" w:rsidRDefault="00F9358B" w:rsidP="00F9358B">
      <w:r w:rsidRPr="0082272C">
        <w:rPr>
          <w:rStyle w:val="AERbody"/>
        </w:rPr>
        <w:t xml:space="preserve">An efficiency carryover mechanism </w:t>
      </w:r>
      <w:r>
        <w:rPr>
          <w:rStyle w:val="AERbody"/>
        </w:rPr>
        <w:t xml:space="preserve">applied to AGN </w:t>
      </w:r>
      <w:r w:rsidRPr="0082272C">
        <w:rPr>
          <w:rStyle w:val="AERbody"/>
        </w:rPr>
        <w:t>during the 201</w:t>
      </w:r>
      <w:r>
        <w:rPr>
          <w:rStyle w:val="AERbody"/>
        </w:rPr>
        <w:t xml:space="preserve">1–16 access arrangement period. </w:t>
      </w:r>
      <w:r w:rsidR="002C2A8C">
        <w:fldChar w:fldCharType="begin"/>
      </w:r>
      <w:r w:rsidR="002C2A8C">
        <w:instrText xml:space="preserve"> REF _Ref433707142 \h </w:instrText>
      </w:r>
      <w:r w:rsidR="002C2A8C">
        <w:fldChar w:fldCharType="separate"/>
      </w:r>
      <w:r w:rsidR="00E90DAD">
        <w:t xml:space="preserve">Table </w:t>
      </w:r>
      <w:r w:rsidR="00E90DAD">
        <w:rPr>
          <w:noProof/>
        </w:rPr>
        <w:t>9</w:t>
      </w:r>
      <w:r w:rsidR="002C2A8C">
        <w:fldChar w:fldCharType="end"/>
      </w:r>
      <w:r w:rsidR="002C2A8C">
        <w:t xml:space="preserve"> shows our draft decision on the carryover amounts</w:t>
      </w:r>
      <w:r>
        <w:t xml:space="preserve"> from </w:t>
      </w:r>
      <w:r w:rsidR="00B523A5">
        <w:t>that</w:t>
      </w:r>
      <w:r>
        <w:t xml:space="preserve"> period </w:t>
      </w:r>
      <w:r w:rsidR="002C2A8C">
        <w:t xml:space="preserve">that will be added </w:t>
      </w:r>
      <w:r>
        <w:t>to the revenue building blocks for the 2016–21 access arrangement period.</w:t>
      </w:r>
      <w:r>
        <w:rPr>
          <w:rStyle w:val="FootnoteReference"/>
        </w:rPr>
        <w:footnoteReference w:id="68"/>
      </w:r>
      <w:r>
        <w:t xml:space="preserve"> </w:t>
      </w:r>
    </w:p>
    <w:p w:rsidR="00F9358B" w:rsidRDefault="00F9358B" w:rsidP="00F9358B">
      <w:pPr>
        <w:pStyle w:val="Caption"/>
      </w:pPr>
      <w:bookmarkStart w:id="147" w:name="_Ref433707142"/>
      <w:r>
        <w:t xml:space="preserve">Table </w:t>
      </w:r>
      <w:fldSimple w:instr=" SEQ Table \* ARABIC ">
        <w:r w:rsidR="00E90DAD">
          <w:rPr>
            <w:noProof/>
          </w:rPr>
          <w:t>9</w:t>
        </w:r>
      </w:fldSimple>
      <w:bookmarkEnd w:id="147"/>
      <w:r>
        <w:tab/>
        <w:t>AER’s draft decision on AGN’s carryover amounts ($million, $2015–16)</w:t>
      </w:r>
    </w:p>
    <w:tbl>
      <w:tblPr>
        <w:tblStyle w:val="AERtable-numbers"/>
        <w:tblW w:w="4811" w:type="pct"/>
        <w:tblInd w:w="108" w:type="dxa"/>
        <w:tblLayout w:type="fixed"/>
        <w:tblLook w:val="04A0" w:firstRow="1" w:lastRow="0" w:firstColumn="1" w:lastColumn="0" w:noHBand="0" w:noVBand="1"/>
      </w:tblPr>
      <w:tblGrid>
        <w:gridCol w:w="3189"/>
        <w:gridCol w:w="862"/>
        <w:gridCol w:w="863"/>
        <w:gridCol w:w="863"/>
        <w:gridCol w:w="861"/>
        <w:gridCol w:w="863"/>
        <w:gridCol w:w="863"/>
      </w:tblGrid>
      <w:tr w:rsidR="00F9358B" w:rsidRPr="005764BE" w:rsidTr="00E83F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6" w:type="pct"/>
            <w:vAlign w:val="top"/>
          </w:tcPr>
          <w:p w:rsidR="00F9358B" w:rsidRPr="005764BE" w:rsidRDefault="00F9358B" w:rsidP="00E83F2E">
            <w:pPr>
              <w:spacing w:line="240" w:lineRule="auto"/>
              <w:rPr>
                <w:szCs w:val="16"/>
              </w:rPr>
            </w:pPr>
          </w:p>
        </w:tc>
        <w:tc>
          <w:tcPr>
            <w:tcW w:w="515" w:type="pct"/>
            <w:vAlign w:val="top"/>
          </w:tcPr>
          <w:p w:rsidR="00F9358B" w:rsidRPr="005764BE" w:rsidRDefault="00F9358B" w:rsidP="00E83F2E">
            <w:pPr>
              <w:spacing w:line="240" w:lineRule="auto"/>
              <w:cnfStyle w:val="100000000000" w:firstRow="1" w:lastRow="0" w:firstColumn="0" w:lastColumn="0" w:oddVBand="0" w:evenVBand="0" w:oddHBand="0" w:evenHBand="0" w:firstRowFirstColumn="0" w:firstRowLastColumn="0" w:lastRowFirstColumn="0" w:lastRowLastColumn="0"/>
              <w:rPr>
                <w:szCs w:val="16"/>
              </w:rPr>
            </w:pPr>
            <w:r>
              <w:rPr>
                <w:szCs w:val="16"/>
              </w:rPr>
              <w:t>2016</w:t>
            </w:r>
            <w:r>
              <w:rPr>
                <w:szCs w:val="16"/>
              </w:rPr>
              <w:noBreakHyphen/>
              <w:t>17</w:t>
            </w:r>
          </w:p>
        </w:tc>
        <w:tc>
          <w:tcPr>
            <w:tcW w:w="516" w:type="pct"/>
            <w:vAlign w:val="top"/>
          </w:tcPr>
          <w:p w:rsidR="00F9358B" w:rsidRPr="005764BE" w:rsidRDefault="00F9358B" w:rsidP="00E83F2E">
            <w:pPr>
              <w:spacing w:line="240" w:lineRule="auto"/>
              <w:cnfStyle w:val="100000000000" w:firstRow="1" w:lastRow="0" w:firstColumn="0" w:lastColumn="0" w:oddVBand="0" w:evenVBand="0" w:oddHBand="0" w:evenHBand="0" w:firstRowFirstColumn="0" w:firstRowLastColumn="0" w:lastRowFirstColumn="0" w:lastRowLastColumn="0"/>
              <w:rPr>
                <w:szCs w:val="16"/>
              </w:rPr>
            </w:pPr>
            <w:r>
              <w:rPr>
                <w:szCs w:val="16"/>
              </w:rPr>
              <w:t>2017</w:t>
            </w:r>
            <w:r>
              <w:rPr>
                <w:szCs w:val="16"/>
              </w:rPr>
              <w:noBreakHyphen/>
              <w:t>18</w:t>
            </w:r>
          </w:p>
        </w:tc>
        <w:tc>
          <w:tcPr>
            <w:tcW w:w="516" w:type="pct"/>
            <w:vAlign w:val="top"/>
          </w:tcPr>
          <w:p w:rsidR="00F9358B" w:rsidRPr="005764BE" w:rsidRDefault="00F9358B" w:rsidP="00E83F2E">
            <w:pPr>
              <w:spacing w:line="240" w:lineRule="auto"/>
              <w:cnfStyle w:val="100000000000" w:firstRow="1" w:lastRow="0" w:firstColumn="0" w:lastColumn="0" w:oddVBand="0" w:evenVBand="0" w:oddHBand="0" w:evenHBand="0" w:firstRowFirstColumn="0" w:firstRowLastColumn="0" w:lastRowFirstColumn="0" w:lastRowLastColumn="0"/>
              <w:rPr>
                <w:szCs w:val="16"/>
              </w:rPr>
            </w:pPr>
            <w:r>
              <w:rPr>
                <w:szCs w:val="16"/>
              </w:rPr>
              <w:t>20</w:t>
            </w:r>
            <w:r w:rsidRPr="005764BE">
              <w:rPr>
                <w:szCs w:val="16"/>
              </w:rPr>
              <w:t>1</w:t>
            </w:r>
            <w:r>
              <w:rPr>
                <w:szCs w:val="16"/>
              </w:rPr>
              <w:t>8</w:t>
            </w:r>
            <w:r>
              <w:rPr>
                <w:szCs w:val="16"/>
              </w:rPr>
              <w:noBreakHyphen/>
              <w:t>19</w:t>
            </w:r>
          </w:p>
        </w:tc>
        <w:tc>
          <w:tcPr>
            <w:tcW w:w="515" w:type="pct"/>
            <w:vAlign w:val="top"/>
          </w:tcPr>
          <w:p w:rsidR="00F9358B" w:rsidRPr="005764BE" w:rsidRDefault="00F9358B" w:rsidP="00E83F2E">
            <w:pPr>
              <w:spacing w:line="240" w:lineRule="auto"/>
              <w:cnfStyle w:val="100000000000" w:firstRow="1" w:lastRow="0" w:firstColumn="0" w:lastColumn="0" w:oddVBand="0" w:evenVBand="0" w:oddHBand="0" w:evenHBand="0" w:firstRowFirstColumn="0" w:firstRowLastColumn="0" w:lastRowFirstColumn="0" w:lastRowLastColumn="0"/>
              <w:rPr>
                <w:szCs w:val="16"/>
              </w:rPr>
            </w:pPr>
            <w:r>
              <w:rPr>
                <w:szCs w:val="16"/>
              </w:rPr>
              <w:t>20</w:t>
            </w:r>
            <w:r w:rsidRPr="005764BE">
              <w:rPr>
                <w:szCs w:val="16"/>
              </w:rPr>
              <w:t>1</w:t>
            </w:r>
            <w:r>
              <w:rPr>
                <w:szCs w:val="16"/>
              </w:rPr>
              <w:t>9</w:t>
            </w:r>
            <w:r>
              <w:rPr>
                <w:szCs w:val="16"/>
              </w:rPr>
              <w:noBreakHyphen/>
              <w:t>20</w:t>
            </w:r>
          </w:p>
        </w:tc>
        <w:tc>
          <w:tcPr>
            <w:tcW w:w="516" w:type="pct"/>
            <w:vAlign w:val="top"/>
          </w:tcPr>
          <w:p w:rsidR="00F9358B" w:rsidRPr="005764BE" w:rsidRDefault="00F9358B" w:rsidP="00E83F2E">
            <w:pPr>
              <w:spacing w:line="240" w:lineRule="auto"/>
              <w:cnfStyle w:val="100000000000" w:firstRow="1" w:lastRow="0" w:firstColumn="0" w:lastColumn="0" w:oddVBand="0" w:evenVBand="0" w:oddHBand="0" w:evenHBand="0" w:firstRowFirstColumn="0" w:firstRowLastColumn="0" w:lastRowFirstColumn="0" w:lastRowLastColumn="0"/>
              <w:rPr>
                <w:szCs w:val="16"/>
              </w:rPr>
            </w:pPr>
            <w:r>
              <w:rPr>
                <w:szCs w:val="16"/>
              </w:rPr>
              <w:t>2020</w:t>
            </w:r>
            <w:r>
              <w:rPr>
                <w:szCs w:val="16"/>
              </w:rPr>
              <w:noBreakHyphen/>
              <w:t>21</w:t>
            </w:r>
          </w:p>
        </w:tc>
        <w:tc>
          <w:tcPr>
            <w:tcW w:w="516" w:type="pct"/>
          </w:tcPr>
          <w:p w:rsidR="00F9358B" w:rsidRDefault="00F9358B" w:rsidP="00E83F2E">
            <w:pPr>
              <w:spacing w:line="240" w:lineRule="auto"/>
              <w:cnfStyle w:val="100000000000" w:firstRow="1" w:lastRow="0" w:firstColumn="0" w:lastColumn="0" w:oddVBand="0" w:evenVBand="0" w:oddHBand="0" w:evenHBand="0" w:firstRowFirstColumn="0" w:firstRowLastColumn="0" w:lastRowFirstColumn="0" w:lastRowLastColumn="0"/>
              <w:rPr>
                <w:szCs w:val="16"/>
              </w:rPr>
            </w:pPr>
            <w:r>
              <w:rPr>
                <w:szCs w:val="16"/>
              </w:rPr>
              <w:t>Total</w:t>
            </w:r>
          </w:p>
        </w:tc>
      </w:tr>
      <w:tr w:rsidR="00186844" w:rsidRPr="005764BE" w:rsidTr="00E83F2E">
        <w:tc>
          <w:tcPr>
            <w:cnfStyle w:val="001000000000" w:firstRow="0" w:lastRow="0" w:firstColumn="1" w:lastColumn="0" w:oddVBand="0" w:evenVBand="0" w:oddHBand="0" w:evenHBand="0" w:firstRowFirstColumn="0" w:firstRowLastColumn="0" w:lastRowFirstColumn="0" w:lastRowLastColumn="0"/>
            <w:tcW w:w="1906" w:type="pct"/>
            <w:vAlign w:val="top"/>
          </w:tcPr>
          <w:p w:rsidR="00186844" w:rsidRPr="00186844" w:rsidRDefault="00186844" w:rsidP="00186844">
            <w:r w:rsidRPr="00186844">
              <w:t>AER draft decision on carryover amounts</w:t>
            </w:r>
          </w:p>
        </w:tc>
        <w:tc>
          <w:tcPr>
            <w:tcW w:w="515" w:type="pct"/>
            <w:vAlign w:val="top"/>
          </w:tcPr>
          <w:p w:rsidR="00186844" w:rsidRPr="00186844" w:rsidRDefault="00186844" w:rsidP="00186844">
            <w:pPr>
              <w:cnfStyle w:val="000000000000" w:firstRow="0" w:lastRow="0" w:firstColumn="0" w:lastColumn="0" w:oddVBand="0" w:evenVBand="0" w:oddHBand="0" w:evenHBand="0" w:firstRowFirstColumn="0" w:firstRowLastColumn="0" w:lastRowFirstColumn="0" w:lastRowLastColumn="0"/>
            </w:pPr>
            <w:r w:rsidRPr="00186844">
              <w:t>6.7</w:t>
            </w:r>
          </w:p>
        </w:tc>
        <w:tc>
          <w:tcPr>
            <w:tcW w:w="516" w:type="pct"/>
            <w:vAlign w:val="top"/>
          </w:tcPr>
          <w:p w:rsidR="00186844" w:rsidRPr="00186844" w:rsidRDefault="00186844" w:rsidP="00186844">
            <w:pPr>
              <w:cnfStyle w:val="000000000000" w:firstRow="0" w:lastRow="0" w:firstColumn="0" w:lastColumn="0" w:oddVBand="0" w:evenVBand="0" w:oddHBand="0" w:evenHBand="0" w:firstRowFirstColumn="0" w:firstRowLastColumn="0" w:lastRowFirstColumn="0" w:lastRowLastColumn="0"/>
            </w:pPr>
            <w:r w:rsidRPr="00186844">
              <w:t>(1.3)</w:t>
            </w:r>
          </w:p>
        </w:tc>
        <w:tc>
          <w:tcPr>
            <w:tcW w:w="516" w:type="pct"/>
            <w:vAlign w:val="top"/>
          </w:tcPr>
          <w:p w:rsidR="00186844" w:rsidRPr="00186844" w:rsidRDefault="00186844" w:rsidP="00186844">
            <w:pPr>
              <w:cnfStyle w:val="000000000000" w:firstRow="0" w:lastRow="0" w:firstColumn="0" w:lastColumn="0" w:oddVBand="0" w:evenVBand="0" w:oddHBand="0" w:evenHBand="0" w:firstRowFirstColumn="0" w:firstRowLastColumn="0" w:lastRowFirstColumn="0" w:lastRowLastColumn="0"/>
            </w:pPr>
            <w:r w:rsidRPr="00186844">
              <w:t>(2.1)</w:t>
            </w:r>
          </w:p>
        </w:tc>
        <w:tc>
          <w:tcPr>
            <w:tcW w:w="515" w:type="pct"/>
            <w:vAlign w:val="top"/>
          </w:tcPr>
          <w:p w:rsidR="00186844" w:rsidRPr="00186844" w:rsidRDefault="00186844" w:rsidP="00186844">
            <w:pPr>
              <w:cnfStyle w:val="000000000000" w:firstRow="0" w:lastRow="0" w:firstColumn="0" w:lastColumn="0" w:oddVBand="0" w:evenVBand="0" w:oddHBand="0" w:evenHBand="0" w:firstRowFirstColumn="0" w:firstRowLastColumn="0" w:lastRowFirstColumn="0" w:lastRowLastColumn="0"/>
            </w:pPr>
            <w:r w:rsidRPr="00186844">
              <w:t>1.5</w:t>
            </w:r>
          </w:p>
        </w:tc>
        <w:tc>
          <w:tcPr>
            <w:tcW w:w="516" w:type="pct"/>
            <w:vAlign w:val="top"/>
          </w:tcPr>
          <w:p w:rsidR="00186844" w:rsidRPr="00186844" w:rsidRDefault="00186844" w:rsidP="00186844">
            <w:pPr>
              <w:cnfStyle w:val="000000000000" w:firstRow="0" w:lastRow="0" w:firstColumn="0" w:lastColumn="0" w:oddVBand="0" w:evenVBand="0" w:oddHBand="0" w:evenHBand="0" w:firstRowFirstColumn="0" w:firstRowLastColumn="0" w:lastRowFirstColumn="0" w:lastRowLastColumn="0"/>
            </w:pPr>
            <w:r w:rsidRPr="00186844">
              <w:t>0.0</w:t>
            </w:r>
          </w:p>
        </w:tc>
        <w:tc>
          <w:tcPr>
            <w:tcW w:w="516" w:type="pct"/>
          </w:tcPr>
          <w:p w:rsidR="00186844" w:rsidRPr="00186844" w:rsidRDefault="00186844" w:rsidP="00186844">
            <w:pPr>
              <w:cnfStyle w:val="000000000000" w:firstRow="0" w:lastRow="0" w:firstColumn="0" w:lastColumn="0" w:oddVBand="0" w:evenVBand="0" w:oddHBand="0" w:evenHBand="0" w:firstRowFirstColumn="0" w:firstRowLastColumn="0" w:lastRowFirstColumn="0" w:lastRowLastColumn="0"/>
            </w:pPr>
            <w:r w:rsidRPr="00186844">
              <w:t>4.8</w:t>
            </w:r>
          </w:p>
        </w:tc>
      </w:tr>
    </w:tbl>
    <w:p w:rsidR="00F9358B" w:rsidRDefault="00F9358B" w:rsidP="00F9358B">
      <w:pPr>
        <w:pStyle w:val="AERtablesource"/>
        <w:rPr>
          <w:rStyle w:val="AERbody"/>
        </w:rPr>
      </w:pPr>
      <w:r>
        <w:t>Source:</w:t>
      </w:r>
      <w:r>
        <w:tab/>
        <w:t>AER analysis.</w:t>
      </w:r>
    </w:p>
    <w:p w:rsidR="00760660" w:rsidRDefault="00863B34" w:rsidP="00C87A87">
      <w:r w:rsidRPr="00C87A87">
        <w:t xml:space="preserve">AGN proposed a different efficiency carryover mechanism </w:t>
      </w:r>
      <w:r w:rsidR="002C2A8C">
        <w:t>for</w:t>
      </w:r>
      <w:r w:rsidRPr="00C87A87">
        <w:t xml:space="preserve"> the 2016–21 access arrangement period. </w:t>
      </w:r>
      <w:r w:rsidR="00760660">
        <w:t xml:space="preserve">We agree that AGN should continue to be subject to an efficiency carryover mechanism. However, we are concerned that AGN’s proposed scheme does not adequately address the main functions of an efficiency carryover mechanism, and </w:t>
      </w:r>
      <w:r w:rsidR="00877D3C">
        <w:t>therefore</w:t>
      </w:r>
      <w:r w:rsidR="00760660">
        <w:t xml:space="preserve"> do not accept the changes it has proposed. </w:t>
      </w:r>
    </w:p>
    <w:p w:rsidR="001626DF" w:rsidRDefault="00863B34" w:rsidP="00C87A87">
      <w:r w:rsidRPr="00C87A87">
        <w:t xml:space="preserve">The key change that AGN proposed was to allow it to retain an increased (50 per cent) share of efficiency gains, which would decrease the share </w:t>
      </w:r>
      <w:r w:rsidR="00B523A5">
        <w:t>allocated to</w:t>
      </w:r>
      <w:r w:rsidR="00B523A5" w:rsidRPr="00C87A87">
        <w:t xml:space="preserve"> </w:t>
      </w:r>
      <w:r w:rsidRPr="00C87A87">
        <w:t>consumers.</w:t>
      </w:r>
      <w:r w:rsidRPr="007B2712">
        <w:rPr>
          <w:rStyle w:val="AERsuperscript"/>
        </w:rPr>
        <w:footnoteReference w:id="69"/>
      </w:r>
      <w:r w:rsidRPr="00C87A87">
        <w:t xml:space="preserve"> </w:t>
      </w:r>
      <w:r w:rsidR="00760660">
        <w:t xml:space="preserve">We do not </w:t>
      </w:r>
      <w:r w:rsidR="00760660" w:rsidRPr="00C87A87">
        <w:t>accept AGN’s argument that businesses require an increased share of efficiency gains as time passes to ensure they continue to seek efficiency gains. Actual business behaviour, including that of AGN, has been to</w:t>
      </w:r>
      <w:r w:rsidR="00760660">
        <w:t xml:space="preserve"> continue to</w:t>
      </w:r>
      <w:r w:rsidR="00760660" w:rsidRPr="00C87A87">
        <w:t xml:space="preserve"> seek efficiencies under the existing incentive scheme.</w:t>
      </w:r>
      <w:r w:rsidR="00760660">
        <w:t xml:space="preserve"> Further, o</w:t>
      </w:r>
      <w:r w:rsidR="001626DF">
        <w:t xml:space="preserve">ur review of AGN’s </w:t>
      </w:r>
      <w:r w:rsidR="001626DF" w:rsidRPr="00332956">
        <w:t>proposed scheme</w:t>
      </w:r>
      <w:r w:rsidR="001626DF">
        <w:t xml:space="preserve"> shows that:</w:t>
      </w:r>
    </w:p>
    <w:p w:rsidR="001626DF" w:rsidRDefault="001626DF" w:rsidP="007B2712">
      <w:pPr>
        <w:pStyle w:val="AERbulletlistfirststyle"/>
      </w:pPr>
      <w:r w:rsidRPr="00332956">
        <w:t xml:space="preserve">AGN would achieve </w:t>
      </w:r>
      <w:r>
        <w:t>an even</w:t>
      </w:r>
      <w:r w:rsidRPr="00332956">
        <w:t xml:space="preserve"> greater share of efficiency gains </w:t>
      </w:r>
      <w:r>
        <w:t>(closer to 75</w:t>
      </w:r>
      <w:r w:rsidR="00B523A5">
        <w:t> </w:t>
      </w:r>
      <w:r>
        <w:t xml:space="preserve">per cent) </w:t>
      </w:r>
      <w:r w:rsidRPr="00332956">
        <w:t>using its proposed equations</w:t>
      </w:r>
      <w:r>
        <w:t>,</w:t>
      </w:r>
      <w:r w:rsidRPr="00332956">
        <w:t xml:space="preserve"> compared to maintaining the approach in the current efficiency carryover mechanism. </w:t>
      </w:r>
    </w:p>
    <w:p w:rsidR="001626DF" w:rsidRDefault="001626DF" w:rsidP="007B2712">
      <w:pPr>
        <w:pStyle w:val="AERbulletlistfirststyle"/>
      </w:pPr>
      <w:r>
        <w:t>AGN’s proposed equations also provide</w:t>
      </w:r>
      <w:r w:rsidR="00B523A5">
        <w:t>d</w:t>
      </w:r>
      <w:r>
        <w:t xml:space="preserve"> an incentive for AGN to increase expenditure in the base year, rewarding it for efficiency losses. </w:t>
      </w:r>
    </w:p>
    <w:p w:rsidR="001626DF" w:rsidRDefault="001626DF" w:rsidP="007B2712">
      <w:pPr>
        <w:pStyle w:val="AERbulletlistfirststyle"/>
      </w:pPr>
      <w:r>
        <w:t>AGN’s proposed mechanism provide</w:t>
      </w:r>
      <w:r w:rsidR="00B523A5">
        <w:t>d</w:t>
      </w:r>
      <w:r>
        <w:t xml:space="preserve"> a reward for non-recurrent efficiency gains made in the final year that is greater than the value of the efficiency gain, making network customers worse off.</w:t>
      </w:r>
    </w:p>
    <w:p w:rsidR="00C87A87" w:rsidRDefault="00C87A87" w:rsidP="00C87A87">
      <w:r>
        <w:t xml:space="preserve">Our draft decision </w:t>
      </w:r>
      <w:r w:rsidR="00C252BF">
        <w:t xml:space="preserve">instead </w:t>
      </w:r>
      <w:r>
        <w:t xml:space="preserve">requires AGN to amend its access arrangement to include a mechanism consistent with the Efficient Benefit Sharing Scheme (EBSS) for Electricity Network Service Providers </w:t>
      </w:r>
      <w:r w:rsidR="00BD09F7">
        <w:t xml:space="preserve">which </w:t>
      </w:r>
      <w:r>
        <w:t>we released in November 2013.</w:t>
      </w:r>
      <w:r>
        <w:rPr>
          <w:rStyle w:val="FootnoteReference"/>
        </w:rPr>
        <w:footnoteReference w:id="70"/>
      </w:r>
      <w:r>
        <w:t xml:space="preserve"> Th</w:t>
      </w:r>
      <w:r w:rsidR="00BC09FD">
        <w:t>is</w:t>
      </w:r>
      <w:r>
        <w:t xml:space="preserve"> will </w:t>
      </w:r>
      <w:r w:rsidR="00CA5840">
        <w:t>retain the current 30:70</w:t>
      </w:r>
      <w:r>
        <w:t xml:space="preserve"> sharing ratio</w:t>
      </w:r>
      <w:r w:rsidR="00C45424">
        <w:t>, and will streamline and reduce the costs excluded from the operation of the mechanism. It will also</w:t>
      </w:r>
      <w:r w:rsidR="00CA5840">
        <w:t xml:space="preserve"> align </w:t>
      </w:r>
      <w:r>
        <w:t xml:space="preserve">the equations in </w:t>
      </w:r>
      <w:r w:rsidR="00CA5840">
        <w:t xml:space="preserve">AGN's </w:t>
      </w:r>
      <w:r>
        <w:t>access arrangement to give effect to the carryover mechanism</w:t>
      </w:r>
      <w:r w:rsidR="00CA5840">
        <w:t xml:space="preserve"> with those used in electricity determinations</w:t>
      </w:r>
      <w:r w:rsidR="00C45424">
        <w:t>, which we consider better support a revealed opex forecasting approach</w:t>
      </w:r>
      <w:r>
        <w:t>.</w:t>
      </w:r>
    </w:p>
    <w:p w:rsidR="00710D26" w:rsidRDefault="00710D26" w:rsidP="009945CB">
      <w:pPr>
        <w:pStyle w:val="Heading2"/>
        <w:keepNext/>
      </w:pPr>
      <w:bookmarkStart w:id="148" w:name="_Toc430002796"/>
      <w:bookmarkStart w:id="149" w:name="_Toc436037703"/>
      <w:r>
        <w:t>Corporate income tax</w:t>
      </w:r>
      <w:bookmarkEnd w:id="148"/>
      <w:bookmarkEnd w:id="149"/>
    </w:p>
    <w:p w:rsidR="00954449" w:rsidRDefault="009945CB" w:rsidP="00954449">
      <w:r w:rsidRPr="00FD50DB">
        <w:t xml:space="preserve">When determining the total revenue for </w:t>
      </w:r>
      <w:r>
        <w:t>AGN</w:t>
      </w:r>
      <w:r w:rsidRPr="00FD50DB">
        <w:t xml:space="preserve">, we must estimate </w:t>
      </w:r>
      <w:r>
        <w:t>AGN</w:t>
      </w:r>
      <w:r w:rsidRPr="00FD50DB">
        <w:t>’s cost of corporate income tax.</w:t>
      </w:r>
      <w:r w:rsidRPr="00FD50DB">
        <w:rPr>
          <w:rStyle w:val="FootnoteReference"/>
        </w:rPr>
        <w:footnoteReference w:id="71"/>
      </w:r>
      <w:r w:rsidRPr="00FD50DB">
        <w:t xml:space="preserve"> </w:t>
      </w:r>
      <w:r>
        <w:t>AGN</w:t>
      </w:r>
      <w:r w:rsidRPr="00FD50DB">
        <w:t xml:space="preserve"> has adopted the post-tax framework to derive its </w:t>
      </w:r>
      <w:r w:rsidR="00640167">
        <w:t xml:space="preserve">total </w:t>
      </w:r>
      <w:r w:rsidRPr="00FD50DB">
        <w:t xml:space="preserve">revenue requirement for the </w:t>
      </w:r>
      <w:r>
        <w:t>2016–21</w:t>
      </w:r>
      <w:r w:rsidRPr="00FD50DB">
        <w:t xml:space="preserve"> access arrangement period.</w:t>
      </w:r>
      <w:r w:rsidRPr="00FD50DB">
        <w:rPr>
          <w:rStyle w:val="FootnoteReference"/>
        </w:rPr>
        <w:footnoteReference w:id="72"/>
      </w:r>
      <w:r w:rsidRPr="00FD50DB">
        <w:t xml:space="preserve"> Under the post-tax framework, a separate corporate income tax </w:t>
      </w:r>
      <w:r w:rsidR="00F77F55">
        <w:t>building block</w:t>
      </w:r>
      <w:r w:rsidR="00640167" w:rsidRPr="00FD50DB">
        <w:t xml:space="preserve"> </w:t>
      </w:r>
      <w:r w:rsidRPr="00FD50DB">
        <w:t>is calculated</w:t>
      </w:r>
      <w:r w:rsidR="00F77F55">
        <w:t>, based on the estimated cost of corporate income tax less the value of imputation credits</w:t>
      </w:r>
      <w:r w:rsidRPr="00FD50DB">
        <w:t xml:space="preserve">. </w:t>
      </w:r>
      <w:r w:rsidR="00954449" w:rsidRPr="00FD50DB">
        <w:t>The corporate income tax building block feeds directly into the annual revenue requirement.</w:t>
      </w:r>
    </w:p>
    <w:p w:rsidR="0072127D" w:rsidRDefault="0072127D" w:rsidP="0072127D">
      <w:pPr>
        <w:rPr>
          <w:rStyle w:val="AERbody"/>
        </w:rPr>
      </w:pPr>
      <w:r>
        <w:t>Our</w:t>
      </w:r>
      <w:r w:rsidRPr="009C2602">
        <w:t xml:space="preserve"> draft decision on </w:t>
      </w:r>
      <w:r>
        <w:t>AGN’s</w:t>
      </w:r>
      <w:r w:rsidRPr="009C2602">
        <w:t xml:space="preserve"> </w:t>
      </w:r>
      <w:r>
        <w:t>corporate income tax</w:t>
      </w:r>
      <w:r w:rsidRPr="009C2602">
        <w:t xml:space="preserve"> </w:t>
      </w:r>
      <w:r w:rsidR="00F77F55">
        <w:t>building block</w:t>
      </w:r>
      <w:r w:rsidR="00640167" w:rsidRPr="009C2602">
        <w:t xml:space="preserve"> </w:t>
      </w:r>
      <w:r w:rsidRPr="009C2602">
        <w:t xml:space="preserve">over the </w:t>
      </w:r>
      <w:r>
        <w:rPr>
          <w:rStyle w:val="AERbody"/>
        </w:rPr>
        <w:t>2016</w:t>
      </w:r>
      <w:r w:rsidRPr="00B077E0">
        <w:rPr>
          <w:rStyle w:val="AERbody"/>
        </w:rPr>
        <w:t>–</w:t>
      </w:r>
      <w:r>
        <w:rPr>
          <w:rStyle w:val="AERbody"/>
        </w:rPr>
        <w:t>21</w:t>
      </w:r>
      <w:r w:rsidRPr="00B077E0">
        <w:rPr>
          <w:rStyle w:val="AERbody"/>
        </w:rPr>
        <w:t xml:space="preserve"> </w:t>
      </w:r>
      <w:r w:rsidRPr="009C2602">
        <w:t>access arrangement period is $</w:t>
      </w:r>
      <w:r w:rsidR="00286DEF">
        <w:t xml:space="preserve">10.8 </w:t>
      </w:r>
      <w:r>
        <w:t xml:space="preserve">million ($nominal), as set out in </w:t>
      </w:r>
      <w:r>
        <w:fldChar w:fldCharType="begin"/>
      </w:r>
      <w:r>
        <w:instrText xml:space="preserve"> REF _Ref433377395 \h </w:instrText>
      </w:r>
      <w:r>
        <w:fldChar w:fldCharType="separate"/>
      </w:r>
      <w:r w:rsidR="00E90DAD">
        <w:t xml:space="preserve">Table </w:t>
      </w:r>
      <w:r w:rsidR="00E90DAD">
        <w:rPr>
          <w:noProof/>
        </w:rPr>
        <w:t>10</w:t>
      </w:r>
      <w:r>
        <w:fldChar w:fldCharType="end"/>
      </w:r>
      <w:r>
        <w:t xml:space="preserve">. </w:t>
      </w:r>
      <w:r w:rsidRPr="009C2602">
        <w:t>This represents a reduction of $</w:t>
      </w:r>
      <w:r w:rsidR="00652E08">
        <w:t xml:space="preserve">27.3 </w:t>
      </w:r>
      <w:r w:rsidRPr="009C2602">
        <w:t>million (</w:t>
      </w:r>
      <w:r>
        <w:t>$</w:t>
      </w:r>
      <w:r w:rsidRPr="009C2602">
        <w:t xml:space="preserve">nominal) or </w:t>
      </w:r>
      <w:r w:rsidR="00652E08">
        <w:t xml:space="preserve">71.7 </w:t>
      </w:r>
      <w:r w:rsidRPr="009C2602">
        <w:t xml:space="preserve">per cent of </w:t>
      </w:r>
      <w:r>
        <w:t>AGN’</w:t>
      </w:r>
      <w:r w:rsidRPr="009C2602">
        <w:t xml:space="preserve">s proposed </w:t>
      </w:r>
      <w:r>
        <w:t>corporate income tax</w:t>
      </w:r>
      <w:r w:rsidR="00F77F55">
        <w:t xml:space="preserve"> building block</w:t>
      </w:r>
      <w:r>
        <w:t>.</w:t>
      </w:r>
    </w:p>
    <w:p w:rsidR="0072127D" w:rsidRPr="00FD50DB" w:rsidRDefault="0072127D" w:rsidP="00C01149">
      <w:pPr>
        <w:pStyle w:val="Caption"/>
      </w:pPr>
      <w:bookmarkStart w:id="150" w:name="_Ref433377395"/>
      <w:r>
        <w:t xml:space="preserve">Table </w:t>
      </w:r>
      <w:fldSimple w:instr=" SEQ Table \* ARABIC ">
        <w:r w:rsidR="00E90DAD">
          <w:rPr>
            <w:noProof/>
          </w:rPr>
          <w:t>10</w:t>
        </w:r>
      </w:fldSimple>
      <w:bookmarkEnd w:id="150"/>
      <w:r>
        <w:t xml:space="preserve"> AER’</w:t>
      </w:r>
      <w:r w:rsidRPr="00FD50DB">
        <w:t xml:space="preserve">s draft decision on </w:t>
      </w:r>
      <w:r w:rsidR="00F77F55">
        <w:t xml:space="preserve">the </w:t>
      </w:r>
      <w:r w:rsidRPr="00FD50DB">
        <w:t xml:space="preserve">corporate income tax </w:t>
      </w:r>
      <w:r w:rsidR="00F77F55">
        <w:t xml:space="preserve">building block </w:t>
      </w:r>
      <w:r w:rsidRPr="00FD50DB">
        <w:t xml:space="preserve">for </w:t>
      </w:r>
      <w:r>
        <w:t>AGN</w:t>
      </w:r>
      <w:r w:rsidRPr="00FD50DB">
        <w:t xml:space="preserve"> </w:t>
      </w:r>
      <w:r w:rsidR="000D154B">
        <w:t xml:space="preserve">for the 2016–21 access arrangement period </w:t>
      </w:r>
      <w:r w:rsidRPr="00FD50DB">
        <w:t xml:space="preserve">($million, nominal)  </w:t>
      </w:r>
    </w:p>
    <w:tbl>
      <w:tblPr>
        <w:tblStyle w:val="AERtable-numbers"/>
        <w:tblW w:w="8688" w:type="dxa"/>
        <w:tblLayout w:type="fixed"/>
        <w:tblLook w:val="01E0" w:firstRow="1" w:lastRow="1" w:firstColumn="1" w:lastColumn="1" w:noHBand="0" w:noVBand="0"/>
      </w:tblPr>
      <w:tblGrid>
        <w:gridCol w:w="3085"/>
        <w:gridCol w:w="933"/>
        <w:gridCol w:w="934"/>
        <w:gridCol w:w="934"/>
        <w:gridCol w:w="934"/>
        <w:gridCol w:w="934"/>
        <w:gridCol w:w="934"/>
      </w:tblGrid>
      <w:tr w:rsidR="0072127D" w:rsidRPr="006C50F0" w:rsidTr="0003454E">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085" w:type="dxa"/>
          </w:tcPr>
          <w:p w:rsidR="0072127D" w:rsidRPr="006C50F0" w:rsidRDefault="0072127D" w:rsidP="00C01149">
            <w:pPr>
              <w:keepNext/>
            </w:pPr>
          </w:p>
        </w:tc>
        <w:tc>
          <w:tcPr>
            <w:tcW w:w="933" w:type="dxa"/>
          </w:tcPr>
          <w:p w:rsidR="0072127D" w:rsidRPr="006C50F0" w:rsidRDefault="0072127D" w:rsidP="00C01149">
            <w:pPr>
              <w:keepNext/>
              <w:cnfStyle w:val="100000000000" w:firstRow="1" w:lastRow="0" w:firstColumn="0" w:lastColumn="0" w:oddVBand="0" w:evenVBand="0" w:oddHBand="0" w:evenHBand="0" w:firstRowFirstColumn="0" w:firstRowLastColumn="0" w:lastRowFirstColumn="0" w:lastRowLastColumn="0"/>
            </w:pPr>
            <w:r w:rsidRPr="006C50F0">
              <w:t>2016–17</w:t>
            </w:r>
          </w:p>
        </w:tc>
        <w:tc>
          <w:tcPr>
            <w:tcW w:w="934" w:type="dxa"/>
          </w:tcPr>
          <w:p w:rsidR="0072127D" w:rsidRPr="006C50F0" w:rsidRDefault="0072127D" w:rsidP="00C01149">
            <w:pPr>
              <w:keepNext/>
              <w:cnfStyle w:val="100000000000" w:firstRow="1" w:lastRow="0" w:firstColumn="0" w:lastColumn="0" w:oddVBand="0" w:evenVBand="0" w:oddHBand="0" w:evenHBand="0" w:firstRowFirstColumn="0" w:firstRowLastColumn="0" w:lastRowFirstColumn="0" w:lastRowLastColumn="0"/>
            </w:pPr>
            <w:r w:rsidRPr="006C50F0">
              <w:t>2017–18</w:t>
            </w:r>
          </w:p>
        </w:tc>
        <w:tc>
          <w:tcPr>
            <w:tcW w:w="934" w:type="dxa"/>
          </w:tcPr>
          <w:p w:rsidR="0072127D" w:rsidRPr="006C50F0" w:rsidRDefault="0072127D" w:rsidP="00C01149">
            <w:pPr>
              <w:keepNext/>
              <w:cnfStyle w:val="100000000000" w:firstRow="1" w:lastRow="0" w:firstColumn="0" w:lastColumn="0" w:oddVBand="0" w:evenVBand="0" w:oddHBand="0" w:evenHBand="0" w:firstRowFirstColumn="0" w:firstRowLastColumn="0" w:lastRowFirstColumn="0" w:lastRowLastColumn="0"/>
            </w:pPr>
            <w:r w:rsidRPr="006C50F0">
              <w:t>2018–19</w:t>
            </w:r>
          </w:p>
        </w:tc>
        <w:tc>
          <w:tcPr>
            <w:tcW w:w="934" w:type="dxa"/>
          </w:tcPr>
          <w:p w:rsidR="0072127D" w:rsidRPr="006C50F0" w:rsidRDefault="0072127D" w:rsidP="00C01149">
            <w:pPr>
              <w:keepNext/>
              <w:cnfStyle w:val="100000000000" w:firstRow="1" w:lastRow="0" w:firstColumn="0" w:lastColumn="0" w:oddVBand="0" w:evenVBand="0" w:oddHBand="0" w:evenHBand="0" w:firstRowFirstColumn="0" w:firstRowLastColumn="0" w:lastRowFirstColumn="0" w:lastRowLastColumn="0"/>
            </w:pPr>
            <w:r w:rsidRPr="006C50F0">
              <w:t>2019–20</w:t>
            </w:r>
          </w:p>
        </w:tc>
        <w:tc>
          <w:tcPr>
            <w:tcW w:w="934" w:type="dxa"/>
          </w:tcPr>
          <w:p w:rsidR="0072127D" w:rsidRPr="006C50F0" w:rsidRDefault="0072127D" w:rsidP="00C01149">
            <w:pPr>
              <w:keepNext/>
              <w:cnfStyle w:val="100000000000" w:firstRow="1" w:lastRow="0" w:firstColumn="0" w:lastColumn="0" w:oddVBand="0" w:evenVBand="0" w:oddHBand="0" w:evenHBand="0" w:firstRowFirstColumn="0" w:firstRowLastColumn="0" w:lastRowFirstColumn="0" w:lastRowLastColumn="0"/>
            </w:pPr>
            <w:r w:rsidRPr="006C50F0">
              <w:t>2020–21</w:t>
            </w:r>
          </w:p>
        </w:tc>
        <w:tc>
          <w:tcPr>
            <w:tcW w:w="934" w:type="dxa"/>
          </w:tcPr>
          <w:p w:rsidR="0072127D" w:rsidRPr="006C50F0" w:rsidRDefault="0072127D" w:rsidP="00C01149">
            <w:pPr>
              <w:keepNext/>
              <w:cnfStyle w:val="100000000000" w:firstRow="1" w:lastRow="0" w:firstColumn="0" w:lastColumn="0" w:oddVBand="0" w:evenVBand="0" w:oddHBand="0" w:evenHBand="0" w:firstRowFirstColumn="0" w:firstRowLastColumn="0" w:lastRowFirstColumn="0" w:lastRowLastColumn="0"/>
            </w:pPr>
            <w:r w:rsidRPr="006C50F0">
              <w:t>Total</w:t>
            </w:r>
          </w:p>
        </w:tc>
      </w:tr>
      <w:tr w:rsidR="007C1063" w:rsidRPr="006C50F0" w:rsidTr="0003454E">
        <w:trPr>
          <w:trHeight w:val="278"/>
        </w:trPr>
        <w:tc>
          <w:tcPr>
            <w:cnfStyle w:val="001000000000" w:firstRow="0" w:lastRow="0" w:firstColumn="1" w:lastColumn="0" w:oddVBand="0" w:evenVBand="0" w:oddHBand="0" w:evenHBand="0" w:firstRowFirstColumn="0" w:firstRowLastColumn="0" w:lastRowFirstColumn="0" w:lastRowLastColumn="0"/>
            <w:tcW w:w="3085" w:type="dxa"/>
          </w:tcPr>
          <w:p w:rsidR="007C1063" w:rsidRPr="006C50F0" w:rsidRDefault="007C1063" w:rsidP="00C01149">
            <w:pPr>
              <w:keepNext/>
            </w:pPr>
            <w:r w:rsidRPr="006C50F0">
              <w:t>Tax payable</w:t>
            </w:r>
          </w:p>
        </w:tc>
        <w:tc>
          <w:tcPr>
            <w:tcW w:w="933" w:type="dxa"/>
          </w:tcPr>
          <w:p w:rsidR="007C1063" w:rsidRPr="006C50F0" w:rsidRDefault="007C1063" w:rsidP="00C01149">
            <w:pPr>
              <w:keepNext/>
              <w:cnfStyle w:val="000000000000" w:firstRow="0" w:lastRow="0" w:firstColumn="0" w:lastColumn="0" w:oddVBand="0" w:evenVBand="0" w:oddHBand="0" w:evenHBand="0" w:firstRowFirstColumn="0" w:firstRowLastColumn="0" w:lastRowFirstColumn="0" w:lastRowLastColumn="0"/>
            </w:pPr>
            <w:r w:rsidRPr="006C50F0">
              <w:t>3.7</w:t>
            </w:r>
          </w:p>
        </w:tc>
        <w:tc>
          <w:tcPr>
            <w:tcW w:w="934" w:type="dxa"/>
          </w:tcPr>
          <w:p w:rsidR="007C1063" w:rsidRPr="006C50F0" w:rsidRDefault="007C1063" w:rsidP="00C01149">
            <w:pPr>
              <w:keepNext/>
              <w:cnfStyle w:val="000000000000" w:firstRow="0" w:lastRow="0" w:firstColumn="0" w:lastColumn="0" w:oddVBand="0" w:evenVBand="0" w:oddHBand="0" w:evenHBand="0" w:firstRowFirstColumn="0" w:firstRowLastColumn="0" w:lastRowFirstColumn="0" w:lastRowLastColumn="0"/>
            </w:pPr>
            <w:r w:rsidRPr="006C50F0">
              <w:t>3.4</w:t>
            </w:r>
          </w:p>
        </w:tc>
        <w:tc>
          <w:tcPr>
            <w:tcW w:w="934" w:type="dxa"/>
          </w:tcPr>
          <w:p w:rsidR="007C1063" w:rsidRPr="006C50F0" w:rsidRDefault="007C1063" w:rsidP="00C01149">
            <w:pPr>
              <w:keepNext/>
              <w:cnfStyle w:val="000000000000" w:firstRow="0" w:lastRow="0" w:firstColumn="0" w:lastColumn="0" w:oddVBand="0" w:evenVBand="0" w:oddHBand="0" w:evenHBand="0" w:firstRowFirstColumn="0" w:firstRowLastColumn="0" w:lastRowFirstColumn="0" w:lastRowLastColumn="0"/>
            </w:pPr>
            <w:r w:rsidRPr="006C50F0">
              <w:t>3.3</w:t>
            </w:r>
          </w:p>
        </w:tc>
        <w:tc>
          <w:tcPr>
            <w:tcW w:w="934" w:type="dxa"/>
          </w:tcPr>
          <w:p w:rsidR="007C1063" w:rsidRPr="006C50F0" w:rsidRDefault="007C1063" w:rsidP="00C01149">
            <w:pPr>
              <w:keepNext/>
              <w:cnfStyle w:val="000000000000" w:firstRow="0" w:lastRow="0" w:firstColumn="0" w:lastColumn="0" w:oddVBand="0" w:evenVBand="0" w:oddHBand="0" w:evenHBand="0" w:firstRowFirstColumn="0" w:firstRowLastColumn="0" w:lastRowFirstColumn="0" w:lastRowLastColumn="0"/>
            </w:pPr>
            <w:r w:rsidRPr="006C50F0">
              <w:t>4.7</w:t>
            </w:r>
          </w:p>
        </w:tc>
        <w:tc>
          <w:tcPr>
            <w:tcW w:w="934" w:type="dxa"/>
          </w:tcPr>
          <w:p w:rsidR="007C1063" w:rsidRPr="006C50F0" w:rsidRDefault="007C1063" w:rsidP="00C01149">
            <w:pPr>
              <w:keepNext/>
              <w:cnfStyle w:val="000000000000" w:firstRow="0" w:lastRow="0" w:firstColumn="0" w:lastColumn="0" w:oddVBand="0" w:evenVBand="0" w:oddHBand="0" w:evenHBand="0" w:firstRowFirstColumn="0" w:firstRowLastColumn="0" w:lastRowFirstColumn="0" w:lastRowLastColumn="0"/>
            </w:pPr>
            <w:r w:rsidRPr="006C50F0">
              <w:t>2.9</w:t>
            </w:r>
          </w:p>
        </w:tc>
        <w:tc>
          <w:tcPr>
            <w:tcW w:w="934" w:type="dxa"/>
          </w:tcPr>
          <w:p w:rsidR="007C1063" w:rsidRPr="006C50F0" w:rsidRDefault="007C1063" w:rsidP="00C01149">
            <w:pPr>
              <w:keepNext/>
              <w:cnfStyle w:val="000000000000" w:firstRow="0" w:lastRow="0" w:firstColumn="0" w:lastColumn="0" w:oddVBand="0" w:evenVBand="0" w:oddHBand="0" w:evenHBand="0" w:firstRowFirstColumn="0" w:firstRowLastColumn="0" w:lastRowFirstColumn="0" w:lastRowLastColumn="0"/>
            </w:pPr>
            <w:r w:rsidRPr="006C50F0">
              <w:t>18.0</w:t>
            </w:r>
          </w:p>
        </w:tc>
      </w:tr>
      <w:tr w:rsidR="007C1063" w:rsidRPr="006C50F0" w:rsidTr="0003454E">
        <w:trPr>
          <w:cnfStyle w:val="000000010000" w:firstRow="0" w:lastRow="0" w:firstColumn="0" w:lastColumn="0" w:oddVBand="0" w:evenVBand="0" w:oddHBand="0" w:evenHBand="1"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3085" w:type="dxa"/>
          </w:tcPr>
          <w:p w:rsidR="007C1063" w:rsidRPr="006C50F0" w:rsidRDefault="007C1063" w:rsidP="00C01149">
            <w:pPr>
              <w:keepNext/>
            </w:pPr>
            <w:r w:rsidRPr="006C50F0">
              <w:rPr>
                <w:rStyle w:val="Emphasis"/>
              </w:rPr>
              <w:t>Less</w:t>
            </w:r>
            <w:r w:rsidRPr="006C50F0">
              <w:t>: value of imputation credits</w:t>
            </w:r>
          </w:p>
        </w:tc>
        <w:tc>
          <w:tcPr>
            <w:tcW w:w="933" w:type="dxa"/>
          </w:tcPr>
          <w:p w:rsidR="007C1063" w:rsidRPr="006C50F0" w:rsidRDefault="007C1063" w:rsidP="00C01149">
            <w:pPr>
              <w:keepNext/>
              <w:cnfStyle w:val="000000010000" w:firstRow="0" w:lastRow="0" w:firstColumn="0" w:lastColumn="0" w:oddVBand="0" w:evenVBand="0" w:oddHBand="0" w:evenHBand="1" w:firstRowFirstColumn="0" w:firstRowLastColumn="0" w:lastRowFirstColumn="0" w:lastRowLastColumn="0"/>
            </w:pPr>
            <w:r w:rsidRPr="006C50F0">
              <w:t>1.5</w:t>
            </w:r>
          </w:p>
        </w:tc>
        <w:tc>
          <w:tcPr>
            <w:tcW w:w="934" w:type="dxa"/>
          </w:tcPr>
          <w:p w:rsidR="007C1063" w:rsidRPr="006C50F0" w:rsidRDefault="007C1063" w:rsidP="00C01149">
            <w:pPr>
              <w:keepNext/>
              <w:cnfStyle w:val="000000010000" w:firstRow="0" w:lastRow="0" w:firstColumn="0" w:lastColumn="0" w:oddVBand="0" w:evenVBand="0" w:oddHBand="0" w:evenHBand="1" w:firstRowFirstColumn="0" w:firstRowLastColumn="0" w:lastRowFirstColumn="0" w:lastRowLastColumn="0"/>
            </w:pPr>
            <w:r w:rsidRPr="006C50F0">
              <w:t>1.4</w:t>
            </w:r>
          </w:p>
        </w:tc>
        <w:tc>
          <w:tcPr>
            <w:tcW w:w="934" w:type="dxa"/>
          </w:tcPr>
          <w:p w:rsidR="007C1063" w:rsidRPr="006C50F0" w:rsidRDefault="007C1063" w:rsidP="00C01149">
            <w:pPr>
              <w:keepNext/>
              <w:cnfStyle w:val="000000010000" w:firstRow="0" w:lastRow="0" w:firstColumn="0" w:lastColumn="0" w:oddVBand="0" w:evenVBand="0" w:oddHBand="0" w:evenHBand="1" w:firstRowFirstColumn="0" w:firstRowLastColumn="0" w:lastRowFirstColumn="0" w:lastRowLastColumn="0"/>
            </w:pPr>
            <w:r w:rsidRPr="006C50F0">
              <w:t>1.3</w:t>
            </w:r>
          </w:p>
        </w:tc>
        <w:tc>
          <w:tcPr>
            <w:tcW w:w="934" w:type="dxa"/>
          </w:tcPr>
          <w:p w:rsidR="007C1063" w:rsidRPr="006C50F0" w:rsidRDefault="007C1063" w:rsidP="00C01149">
            <w:pPr>
              <w:keepNext/>
              <w:cnfStyle w:val="000000010000" w:firstRow="0" w:lastRow="0" w:firstColumn="0" w:lastColumn="0" w:oddVBand="0" w:evenVBand="0" w:oddHBand="0" w:evenHBand="1" w:firstRowFirstColumn="0" w:firstRowLastColumn="0" w:lastRowFirstColumn="0" w:lastRowLastColumn="0"/>
            </w:pPr>
            <w:r w:rsidRPr="006C50F0">
              <w:t>1.9</w:t>
            </w:r>
          </w:p>
        </w:tc>
        <w:tc>
          <w:tcPr>
            <w:tcW w:w="934" w:type="dxa"/>
          </w:tcPr>
          <w:p w:rsidR="007C1063" w:rsidRPr="006C50F0" w:rsidRDefault="007C1063" w:rsidP="00C01149">
            <w:pPr>
              <w:keepNext/>
              <w:cnfStyle w:val="000000010000" w:firstRow="0" w:lastRow="0" w:firstColumn="0" w:lastColumn="0" w:oddVBand="0" w:evenVBand="0" w:oddHBand="0" w:evenHBand="1" w:firstRowFirstColumn="0" w:firstRowLastColumn="0" w:lastRowFirstColumn="0" w:lastRowLastColumn="0"/>
            </w:pPr>
            <w:r w:rsidRPr="006C50F0">
              <w:t>1.1</w:t>
            </w:r>
          </w:p>
        </w:tc>
        <w:tc>
          <w:tcPr>
            <w:tcW w:w="934" w:type="dxa"/>
          </w:tcPr>
          <w:p w:rsidR="007C1063" w:rsidRPr="006C50F0" w:rsidRDefault="007C1063" w:rsidP="00C01149">
            <w:pPr>
              <w:keepNext/>
              <w:cnfStyle w:val="000000010000" w:firstRow="0" w:lastRow="0" w:firstColumn="0" w:lastColumn="0" w:oddVBand="0" w:evenVBand="0" w:oddHBand="0" w:evenHBand="1" w:firstRowFirstColumn="0" w:firstRowLastColumn="0" w:lastRowFirstColumn="0" w:lastRowLastColumn="0"/>
            </w:pPr>
            <w:r w:rsidRPr="006C50F0">
              <w:t>7.2</w:t>
            </w:r>
          </w:p>
        </w:tc>
      </w:tr>
      <w:tr w:rsidR="007C1063" w:rsidRPr="006C50F0" w:rsidTr="0003454E">
        <w:trPr>
          <w:trHeight w:val="467"/>
        </w:trPr>
        <w:tc>
          <w:tcPr>
            <w:cnfStyle w:val="001000000000" w:firstRow="0" w:lastRow="0" w:firstColumn="1" w:lastColumn="0" w:oddVBand="0" w:evenVBand="0" w:oddHBand="0" w:evenHBand="0" w:firstRowFirstColumn="0" w:firstRowLastColumn="0" w:lastRowFirstColumn="0" w:lastRowLastColumn="0"/>
            <w:tcW w:w="3085" w:type="dxa"/>
          </w:tcPr>
          <w:p w:rsidR="007C1063" w:rsidRPr="006C50F0" w:rsidRDefault="007C1063" w:rsidP="00C01149">
            <w:pPr>
              <w:keepNext/>
              <w:rPr>
                <w:rStyle w:val="Strong"/>
              </w:rPr>
            </w:pPr>
            <w:r w:rsidRPr="006C50F0">
              <w:rPr>
                <w:rStyle w:val="Strong"/>
              </w:rPr>
              <w:t xml:space="preserve">Net corporate income tax </w:t>
            </w:r>
            <w:r w:rsidR="00F77F55">
              <w:rPr>
                <w:rStyle w:val="Strong"/>
              </w:rPr>
              <w:t>building block</w:t>
            </w:r>
          </w:p>
        </w:tc>
        <w:tc>
          <w:tcPr>
            <w:tcW w:w="933" w:type="dxa"/>
          </w:tcPr>
          <w:p w:rsidR="007C1063" w:rsidRPr="006C50F0" w:rsidRDefault="007C1063" w:rsidP="00C01149">
            <w:pPr>
              <w:keepNext/>
              <w:cnfStyle w:val="000000000000" w:firstRow="0" w:lastRow="0" w:firstColumn="0" w:lastColumn="0" w:oddVBand="0" w:evenVBand="0" w:oddHBand="0" w:evenHBand="0" w:firstRowFirstColumn="0" w:firstRowLastColumn="0" w:lastRowFirstColumn="0" w:lastRowLastColumn="0"/>
            </w:pPr>
            <w:r w:rsidRPr="006C50F0">
              <w:t>2.2</w:t>
            </w:r>
          </w:p>
        </w:tc>
        <w:tc>
          <w:tcPr>
            <w:tcW w:w="934" w:type="dxa"/>
          </w:tcPr>
          <w:p w:rsidR="007C1063" w:rsidRPr="006C50F0" w:rsidRDefault="007C1063" w:rsidP="00C01149">
            <w:pPr>
              <w:keepNext/>
              <w:cnfStyle w:val="000000000000" w:firstRow="0" w:lastRow="0" w:firstColumn="0" w:lastColumn="0" w:oddVBand="0" w:evenVBand="0" w:oddHBand="0" w:evenHBand="0" w:firstRowFirstColumn="0" w:firstRowLastColumn="0" w:lastRowFirstColumn="0" w:lastRowLastColumn="0"/>
            </w:pPr>
            <w:r w:rsidRPr="006C50F0">
              <w:t>2.0</w:t>
            </w:r>
          </w:p>
        </w:tc>
        <w:tc>
          <w:tcPr>
            <w:tcW w:w="934" w:type="dxa"/>
          </w:tcPr>
          <w:p w:rsidR="007C1063" w:rsidRPr="006C50F0" w:rsidRDefault="007C1063" w:rsidP="00C01149">
            <w:pPr>
              <w:keepNext/>
              <w:cnfStyle w:val="000000000000" w:firstRow="0" w:lastRow="0" w:firstColumn="0" w:lastColumn="0" w:oddVBand="0" w:evenVBand="0" w:oddHBand="0" w:evenHBand="0" w:firstRowFirstColumn="0" w:firstRowLastColumn="0" w:lastRowFirstColumn="0" w:lastRowLastColumn="0"/>
            </w:pPr>
            <w:r w:rsidRPr="006C50F0">
              <w:t>2.0</w:t>
            </w:r>
          </w:p>
        </w:tc>
        <w:tc>
          <w:tcPr>
            <w:tcW w:w="934" w:type="dxa"/>
          </w:tcPr>
          <w:p w:rsidR="007C1063" w:rsidRPr="006C50F0" w:rsidRDefault="007C1063" w:rsidP="00C01149">
            <w:pPr>
              <w:keepNext/>
              <w:cnfStyle w:val="000000000000" w:firstRow="0" w:lastRow="0" w:firstColumn="0" w:lastColumn="0" w:oddVBand="0" w:evenVBand="0" w:oddHBand="0" w:evenHBand="0" w:firstRowFirstColumn="0" w:firstRowLastColumn="0" w:lastRowFirstColumn="0" w:lastRowLastColumn="0"/>
            </w:pPr>
            <w:r w:rsidRPr="006C50F0">
              <w:t>2.8</w:t>
            </w:r>
          </w:p>
        </w:tc>
        <w:tc>
          <w:tcPr>
            <w:tcW w:w="934" w:type="dxa"/>
          </w:tcPr>
          <w:p w:rsidR="007C1063" w:rsidRPr="006C50F0" w:rsidRDefault="007C1063" w:rsidP="00C01149">
            <w:pPr>
              <w:keepNext/>
              <w:cnfStyle w:val="000000000000" w:firstRow="0" w:lastRow="0" w:firstColumn="0" w:lastColumn="0" w:oddVBand="0" w:evenVBand="0" w:oddHBand="0" w:evenHBand="0" w:firstRowFirstColumn="0" w:firstRowLastColumn="0" w:lastRowFirstColumn="0" w:lastRowLastColumn="0"/>
            </w:pPr>
            <w:r w:rsidRPr="006C50F0">
              <w:t>1.7</w:t>
            </w:r>
          </w:p>
        </w:tc>
        <w:tc>
          <w:tcPr>
            <w:tcW w:w="934" w:type="dxa"/>
          </w:tcPr>
          <w:p w:rsidR="007C1063" w:rsidRPr="006C50F0" w:rsidRDefault="007C1063" w:rsidP="00C01149">
            <w:pPr>
              <w:keepNext/>
              <w:cnfStyle w:val="000000000000" w:firstRow="0" w:lastRow="0" w:firstColumn="0" w:lastColumn="0" w:oddVBand="0" w:evenVBand="0" w:oddHBand="0" w:evenHBand="0" w:firstRowFirstColumn="0" w:firstRowLastColumn="0" w:lastRowFirstColumn="0" w:lastRowLastColumn="0"/>
            </w:pPr>
            <w:r w:rsidRPr="006C50F0">
              <w:t>10.8</w:t>
            </w:r>
          </w:p>
        </w:tc>
      </w:tr>
    </w:tbl>
    <w:p w:rsidR="0072127D" w:rsidRDefault="0072127D" w:rsidP="00C01149">
      <w:pPr>
        <w:pStyle w:val="AERtablesource"/>
        <w:keepNext/>
      </w:pPr>
      <w:r>
        <w:t>S</w:t>
      </w:r>
      <w:r w:rsidRPr="00FD50DB">
        <w:t xml:space="preserve">ource: </w:t>
      </w:r>
      <w:r w:rsidRPr="00FD50DB">
        <w:tab/>
        <w:t>AER analysis.</w:t>
      </w:r>
    </w:p>
    <w:p w:rsidR="00954449" w:rsidRPr="00407443" w:rsidRDefault="00164E0C" w:rsidP="00954449">
      <w:r w:rsidRPr="00407443">
        <w:t xml:space="preserve">We accept </w:t>
      </w:r>
      <w:r>
        <w:t>AGN</w:t>
      </w:r>
      <w:r w:rsidRPr="00407443">
        <w:t xml:space="preserve">’s proposed </w:t>
      </w:r>
      <w:r>
        <w:t>approach</w:t>
      </w:r>
      <w:r w:rsidRPr="00407443">
        <w:t xml:space="preserve"> </w:t>
      </w:r>
      <w:r w:rsidR="00F77F55">
        <w:t>to</w:t>
      </w:r>
      <w:r w:rsidR="00F77F55" w:rsidRPr="00407443">
        <w:t xml:space="preserve"> </w:t>
      </w:r>
      <w:r w:rsidRPr="00407443">
        <w:t xml:space="preserve">calculating </w:t>
      </w:r>
      <w:r w:rsidR="00F77F55">
        <w:t xml:space="preserve">the </w:t>
      </w:r>
      <w:r>
        <w:t>corporate income tax</w:t>
      </w:r>
      <w:r w:rsidR="00F77F55">
        <w:t xml:space="preserve"> building block</w:t>
      </w:r>
      <w:r>
        <w:t>.</w:t>
      </w:r>
      <w:r w:rsidRPr="00407443">
        <w:t xml:space="preserve"> </w:t>
      </w:r>
      <w:r>
        <w:t xml:space="preserve">The difference between our draft decision and AGN’s proposal </w:t>
      </w:r>
      <w:r w:rsidR="00BC2BC1" w:rsidRPr="00FD50DB">
        <w:t xml:space="preserve">is mainly </w:t>
      </w:r>
      <w:r w:rsidR="00BC2BC1">
        <w:t xml:space="preserve">a consequence </w:t>
      </w:r>
      <w:r w:rsidR="00BC2BC1" w:rsidRPr="00FD50DB">
        <w:t>of our adjustment</w:t>
      </w:r>
      <w:r>
        <w:t>s</w:t>
      </w:r>
      <w:r w:rsidR="00BC2BC1" w:rsidRPr="00FD50DB">
        <w:t xml:space="preserve"> to</w:t>
      </w:r>
      <w:r w:rsidR="00954449" w:rsidRPr="00407443">
        <w:t>:</w:t>
      </w:r>
    </w:p>
    <w:p w:rsidR="000D154B" w:rsidRDefault="00954449" w:rsidP="00954449">
      <w:pPr>
        <w:pStyle w:val="AERbulletlistfirststyle"/>
      </w:pPr>
      <w:r>
        <w:t>the opening tax asset base as at 1 July 2016</w:t>
      </w:r>
      <w:r w:rsidR="00164E0C">
        <w:t>,</w:t>
      </w:r>
      <w:r w:rsidR="001A15A1">
        <w:t xml:space="preserve"> from</w:t>
      </w:r>
      <w:r w:rsidR="00164E0C">
        <w:t xml:space="preserve"> </w:t>
      </w:r>
      <w:r w:rsidR="0018661C">
        <w:t>AGN’s proposed</w:t>
      </w:r>
      <w:r w:rsidR="00164E0C">
        <w:t xml:space="preserve"> $615.6 million ($nominal) as at 1 July 2016 to </w:t>
      </w:r>
      <w:r w:rsidR="00164E0C" w:rsidRPr="00896D81">
        <w:rPr>
          <w:rStyle w:val="AERbody"/>
        </w:rPr>
        <w:t>$</w:t>
      </w:r>
      <w:r w:rsidR="00164E0C">
        <w:rPr>
          <w:rStyle w:val="AERbody"/>
        </w:rPr>
        <w:t>619.7 </w:t>
      </w:r>
      <w:r w:rsidR="00164E0C" w:rsidRPr="00896D81">
        <w:rPr>
          <w:rStyle w:val="AERbody"/>
        </w:rPr>
        <w:t>million ($nominal</w:t>
      </w:r>
      <w:r w:rsidR="00164E0C" w:rsidRPr="00896D81">
        <w:t>)</w:t>
      </w:r>
    </w:p>
    <w:p w:rsidR="000D154B" w:rsidRDefault="000D154B" w:rsidP="00954449">
      <w:pPr>
        <w:pStyle w:val="AERbulletlistfirststyle"/>
      </w:pPr>
      <w:r>
        <w:t>remaining tax asset lives as at 1 July 2016</w:t>
      </w:r>
    </w:p>
    <w:p w:rsidR="00954449" w:rsidRDefault="008051AA" w:rsidP="00954449">
      <w:pPr>
        <w:pStyle w:val="AERbulletlistfirststyle"/>
      </w:pPr>
      <w:r>
        <w:t xml:space="preserve">AGN's proposed tax treatment of revenue adjustments associated with the </w:t>
      </w:r>
      <w:r w:rsidR="00FB0D22">
        <w:t>efficiency carryover mechanism</w:t>
      </w:r>
      <w:r w:rsidR="00164E0C">
        <w:t xml:space="preserve"> </w:t>
      </w:r>
    </w:p>
    <w:p w:rsidR="00954449" w:rsidRPr="00F8282A" w:rsidRDefault="00954449" w:rsidP="00954449">
      <w:pPr>
        <w:pStyle w:val="AERbulletlistfirststyle"/>
        <w:rPr>
          <w:rStyle w:val="AERtexthighlight"/>
          <w:shd w:val="clear" w:color="auto" w:fill="auto"/>
        </w:rPr>
      </w:pPr>
      <w:r w:rsidRPr="00F8282A">
        <w:t xml:space="preserve">the value of </w:t>
      </w:r>
      <w:r w:rsidRPr="00F8282A">
        <w:rPr>
          <w:rStyle w:val="AERbody"/>
        </w:rPr>
        <w:t>gamma</w:t>
      </w:r>
      <w:r w:rsidR="00164E0C">
        <w:rPr>
          <w:rStyle w:val="AERbody"/>
        </w:rPr>
        <w:t xml:space="preserve">, </w:t>
      </w:r>
      <w:r w:rsidRPr="00F8282A">
        <w:rPr>
          <w:rStyle w:val="AERbody"/>
        </w:rPr>
        <w:t>from 0.25</w:t>
      </w:r>
      <w:r w:rsidR="0072127D">
        <w:rPr>
          <w:rStyle w:val="AERbody"/>
        </w:rPr>
        <w:t xml:space="preserve"> to 0.4</w:t>
      </w:r>
      <w:r w:rsidR="001D2B16">
        <w:rPr>
          <w:rStyle w:val="AERbody"/>
        </w:rPr>
        <w:t>0</w:t>
      </w:r>
      <w:r w:rsidRPr="00F8282A">
        <w:rPr>
          <w:rStyle w:val="AERbody"/>
        </w:rPr>
        <w:t xml:space="preserve"> (</w:t>
      </w:r>
      <w:r>
        <w:rPr>
          <w:rStyle w:val="AERbody"/>
        </w:rPr>
        <w:t xml:space="preserve">see section </w:t>
      </w:r>
      <w:r>
        <w:rPr>
          <w:rStyle w:val="AERbody"/>
        </w:rPr>
        <w:fldChar w:fldCharType="begin"/>
      </w:r>
      <w:r>
        <w:rPr>
          <w:rStyle w:val="AERbody"/>
        </w:rPr>
        <w:instrText xml:space="preserve"> REF _Ref433375547 \r \h </w:instrText>
      </w:r>
      <w:r>
        <w:rPr>
          <w:rStyle w:val="AERbody"/>
        </w:rPr>
      </w:r>
      <w:r>
        <w:rPr>
          <w:rStyle w:val="AERbody"/>
        </w:rPr>
        <w:fldChar w:fldCharType="separate"/>
      </w:r>
      <w:r w:rsidR="00E90DAD">
        <w:rPr>
          <w:rStyle w:val="AERbody"/>
        </w:rPr>
        <w:t>4.3</w:t>
      </w:r>
      <w:r>
        <w:rPr>
          <w:rStyle w:val="AERbody"/>
        </w:rPr>
        <w:fldChar w:fldCharType="end"/>
      </w:r>
      <w:r w:rsidRPr="00F8282A">
        <w:rPr>
          <w:rStyle w:val="AERbody"/>
        </w:rPr>
        <w:t>)</w:t>
      </w:r>
    </w:p>
    <w:p w:rsidR="00954449" w:rsidRPr="00F8282A" w:rsidRDefault="00954449" w:rsidP="00954449">
      <w:pPr>
        <w:pStyle w:val="AERbulletlistfirststyle"/>
      </w:pPr>
      <w:r w:rsidRPr="00F8282A">
        <w:rPr>
          <w:rStyle w:val="AERbody"/>
        </w:rPr>
        <w:t>other building block components</w:t>
      </w:r>
      <w:r w:rsidR="00164E0C">
        <w:rPr>
          <w:rStyle w:val="AERbody"/>
        </w:rPr>
        <w:t>, including reductions</w:t>
      </w:r>
      <w:r w:rsidR="0072127D">
        <w:rPr>
          <w:rStyle w:val="AERbody"/>
        </w:rPr>
        <w:t xml:space="preserve"> made in this draft decision</w:t>
      </w:r>
      <w:r w:rsidR="00164E0C">
        <w:rPr>
          <w:rStyle w:val="AERbody"/>
        </w:rPr>
        <w:t xml:space="preserve"> to the</w:t>
      </w:r>
      <w:r>
        <w:rPr>
          <w:rStyle w:val="AERbody"/>
        </w:rPr>
        <w:t xml:space="preserve"> rate of return, </w:t>
      </w:r>
      <w:r w:rsidRPr="00F8282A">
        <w:rPr>
          <w:rStyle w:val="AERbody"/>
        </w:rPr>
        <w:t xml:space="preserve">forecast capex </w:t>
      </w:r>
      <w:r>
        <w:rPr>
          <w:rStyle w:val="AERbody"/>
        </w:rPr>
        <w:t>and forecast opex (see sections</w:t>
      </w:r>
      <w:r w:rsidR="00C659D1">
        <w:rPr>
          <w:rStyle w:val="AERbody"/>
        </w:rPr>
        <w:t xml:space="preserve"> </w:t>
      </w:r>
      <w:r w:rsidR="00C659D1">
        <w:rPr>
          <w:rStyle w:val="AERbody"/>
        </w:rPr>
        <w:fldChar w:fldCharType="begin"/>
      </w:r>
      <w:r w:rsidR="00C659D1">
        <w:rPr>
          <w:rStyle w:val="AERbody"/>
        </w:rPr>
        <w:instrText xml:space="preserve"> REF _Ref435793306 \r \h </w:instrText>
      </w:r>
      <w:r w:rsidR="00C659D1">
        <w:rPr>
          <w:rStyle w:val="AERbody"/>
        </w:rPr>
      </w:r>
      <w:r w:rsidR="00C659D1">
        <w:rPr>
          <w:rStyle w:val="AERbody"/>
        </w:rPr>
        <w:fldChar w:fldCharType="separate"/>
      </w:r>
      <w:r w:rsidR="00E90DAD">
        <w:rPr>
          <w:rStyle w:val="AERbody"/>
        </w:rPr>
        <w:t>4.2</w:t>
      </w:r>
      <w:r w:rsidR="00C659D1">
        <w:rPr>
          <w:rStyle w:val="AERbody"/>
        </w:rPr>
        <w:fldChar w:fldCharType="end"/>
      </w:r>
      <w:r>
        <w:rPr>
          <w:rStyle w:val="AERbody"/>
        </w:rPr>
        <w:t xml:space="preserve">, </w:t>
      </w:r>
      <w:r>
        <w:rPr>
          <w:rStyle w:val="AERbody"/>
        </w:rPr>
        <w:fldChar w:fldCharType="begin"/>
      </w:r>
      <w:r>
        <w:rPr>
          <w:rStyle w:val="AERbody"/>
        </w:rPr>
        <w:instrText xml:space="preserve"> REF _Ref433375595 \r \h </w:instrText>
      </w:r>
      <w:r>
        <w:rPr>
          <w:rStyle w:val="AERbody"/>
        </w:rPr>
      </w:r>
      <w:r>
        <w:rPr>
          <w:rStyle w:val="AERbody"/>
        </w:rPr>
        <w:fldChar w:fldCharType="separate"/>
      </w:r>
      <w:r w:rsidR="00E90DAD">
        <w:rPr>
          <w:rStyle w:val="AERbody"/>
        </w:rPr>
        <w:t>4.5</w:t>
      </w:r>
      <w:r>
        <w:rPr>
          <w:rStyle w:val="AERbody"/>
        </w:rPr>
        <w:fldChar w:fldCharType="end"/>
      </w:r>
      <w:r>
        <w:rPr>
          <w:rStyle w:val="AERbody"/>
        </w:rPr>
        <w:t xml:space="preserve"> and </w:t>
      </w:r>
      <w:r>
        <w:rPr>
          <w:rStyle w:val="AERbody"/>
        </w:rPr>
        <w:fldChar w:fldCharType="begin"/>
      </w:r>
      <w:r>
        <w:rPr>
          <w:rStyle w:val="AERbody"/>
        </w:rPr>
        <w:instrText xml:space="preserve"> REF _Ref433375603 \r \h </w:instrText>
      </w:r>
      <w:r>
        <w:rPr>
          <w:rStyle w:val="AERbody"/>
        </w:rPr>
      </w:r>
      <w:r>
        <w:rPr>
          <w:rStyle w:val="AERbody"/>
        </w:rPr>
        <w:fldChar w:fldCharType="separate"/>
      </w:r>
      <w:r w:rsidR="00E90DAD">
        <w:rPr>
          <w:rStyle w:val="AERbody"/>
        </w:rPr>
        <w:t>4.6</w:t>
      </w:r>
      <w:r>
        <w:rPr>
          <w:rStyle w:val="AERbody"/>
        </w:rPr>
        <w:fldChar w:fldCharType="end"/>
      </w:r>
      <w:r>
        <w:rPr>
          <w:rStyle w:val="AERbody"/>
        </w:rPr>
        <w:t>, respectively)</w:t>
      </w:r>
      <w:r w:rsidRPr="00F8282A">
        <w:t>.</w:t>
      </w:r>
      <w:r w:rsidRPr="009C2A22">
        <w:rPr>
          <w:rStyle w:val="FootnoteReference"/>
        </w:rPr>
        <w:footnoteReference w:id="73"/>
      </w:r>
      <w:r w:rsidRPr="00F8282A">
        <w:t xml:space="preserve"> </w:t>
      </w:r>
    </w:p>
    <w:p w:rsidR="009945CB" w:rsidRPr="00FD50DB" w:rsidRDefault="009945CB" w:rsidP="009945CB">
      <w:pPr>
        <w:keepNext/>
      </w:pPr>
    </w:p>
    <w:p w:rsidR="00710D26" w:rsidRDefault="0008233B" w:rsidP="00710D26">
      <w:pPr>
        <w:pStyle w:val="Heading1"/>
      </w:pPr>
      <w:bookmarkStart w:id="151" w:name="_Toc430002797"/>
      <w:bookmarkStart w:id="152" w:name="_Ref434479226"/>
      <w:bookmarkStart w:id="153" w:name="_Toc436037704"/>
      <w:r>
        <w:t>Demand, r</w:t>
      </w:r>
      <w:r w:rsidR="00710D26">
        <w:t xml:space="preserve">eference </w:t>
      </w:r>
      <w:bookmarkEnd w:id="151"/>
      <w:r w:rsidR="00B52115">
        <w:t>tariffs and incentive schemes</w:t>
      </w:r>
      <w:bookmarkEnd w:id="152"/>
      <w:bookmarkEnd w:id="153"/>
    </w:p>
    <w:p w:rsidR="00B52115" w:rsidRDefault="0008233B" w:rsidP="000F769E">
      <w:pPr>
        <w:pStyle w:val="Heading2"/>
      </w:pPr>
      <w:bookmarkStart w:id="154" w:name="_Toc436037705"/>
      <w:r>
        <w:t>Demand</w:t>
      </w:r>
      <w:bookmarkEnd w:id="154"/>
    </w:p>
    <w:p w:rsidR="0008233B" w:rsidRDefault="000F769E" w:rsidP="000F769E">
      <w:r>
        <w:t xml:space="preserve">Demand is an important input to the derivation of </w:t>
      </w:r>
      <w:r w:rsidR="00EC697C">
        <w:t>AGN</w:t>
      </w:r>
      <w:r>
        <w:t>’s reference tariffs. Tariff prices depend on estimates of total demand (GJ/day). Changes in these forecasts will translate into changed tariff prices. In simple terms, tariff prices are determined by cost divided by total demand (GJ/day), such that an increase in forecast demand has the effect of reducing the tariff price and vice versa. Demand forecasts also affect capex and opex linked to increased network capacity.</w:t>
      </w:r>
    </w:p>
    <w:p w:rsidR="009321EF" w:rsidRDefault="009321EF" w:rsidP="009321EF">
      <w:r>
        <w:t>Our review of the forecasts AGN proposed has identified concerns with the forecasting method that Core Energy has used to forecast consumption per connection for residential and commercial (or 'volume') customers.</w:t>
      </w:r>
      <w:r w:rsidRPr="00AC4CA1">
        <w:t xml:space="preserve"> </w:t>
      </w:r>
      <w:r>
        <w:t>We are not satisfied that these forecasts comply with the NGR. They have not been arrived at on a reasonable basis and are not the best estimates in the circumstances.</w:t>
      </w:r>
      <w:r>
        <w:rPr>
          <w:rStyle w:val="FootnoteReference"/>
        </w:rPr>
        <w:footnoteReference w:id="74"/>
      </w:r>
    </w:p>
    <w:p w:rsidR="00E83F2E" w:rsidRDefault="009321EF" w:rsidP="00E83F2E">
      <w:r>
        <w:t>We have developed alternative demand forecasts that we consider address these concerns and comply with the NGR. We have used these alternative demand forecasts in this draft decision.</w:t>
      </w:r>
      <w:r w:rsidRPr="00AC4CA1">
        <w:rPr>
          <w:rStyle w:val="AERbody"/>
        </w:rPr>
        <w:t xml:space="preserve"> </w:t>
      </w:r>
      <w:r>
        <w:rPr>
          <w:rStyle w:val="AERbody"/>
        </w:rPr>
        <w:t xml:space="preserve">These </w:t>
      </w:r>
      <w:r w:rsidRPr="002F3E2B">
        <w:rPr>
          <w:rStyle w:val="AERbody"/>
        </w:rPr>
        <w:t xml:space="preserve">forecasts are set out in </w:t>
      </w:r>
      <w:r>
        <w:rPr>
          <w:rStyle w:val="AERbody"/>
        </w:rPr>
        <w:t>attachment 13 to this draft decision. In particular, they</w:t>
      </w:r>
      <w:r>
        <w:t xml:space="preserve"> result in an annual average decline in forecast consumption per connection over the 2016–21 access arrangement period of:</w:t>
      </w:r>
    </w:p>
    <w:p w:rsidR="00E83F2E" w:rsidRDefault="00E83F2E" w:rsidP="00E83F2E">
      <w:pPr>
        <w:pStyle w:val="ListParagraph"/>
        <w:numPr>
          <w:ilvl w:val="0"/>
          <w:numId w:val="31"/>
        </w:numPr>
      </w:pPr>
      <w:r>
        <w:t>-3.</w:t>
      </w:r>
      <w:r w:rsidR="00960FBE">
        <w:t>5</w:t>
      </w:r>
      <w:r>
        <w:t>3 per cent for all residential customers, compared to AGN’s estimate of -3.96 per cent</w:t>
      </w:r>
      <w:r w:rsidR="006F6954">
        <w:t>;</w:t>
      </w:r>
    </w:p>
    <w:p w:rsidR="00E83F2E" w:rsidRPr="00E77CBB" w:rsidRDefault="00E83F2E" w:rsidP="00E83F2E">
      <w:pPr>
        <w:pStyle w:val="ListParagraph"/>
        <w:numPr>
          <w:ilvl w:val="0"/>
          <w:numId w:val="31"/>
        </w:numPr>
      </w:pPr>
      <w:r>
        <w:t>-1.</w:t>
      </w:r>
      <w:r w:rsidR="00960FBE">
        <w:t>44</w:t>
      </w:r>
      <w:r>
        <w:t xml:space="preserve"> per cent for all commercial customers, compared to AGN’s estimate of -1.9 per cent. </w:t>
      </w:r>
    </w:p>
    <w:p w:rsidR="00856540" w:rsidRPr="00C433C7" w:rsidRDefault="00856540" w:rsidP="006C50F0">
      <w:r w:rsidRPr="00C433C7">
        <w:t>Demand forecast are a critical input into the calculation of reference tariffs and approved capex and opex. In particular, demand forecasts will impact our decision on:</w:t>
      </w:r>
    </w:p>
    <w:p w:rsidR="00856540" w:rsidRPr="00C433C7" w:rsidRDefault="007673BC" w:rsidP="00856540">
      <w:pPr>
        <w:pStyle w:val="AERbulletlistfirststyle"/>
        <w:rPr>
          <w:rFonts w:cstheme="minorBidi"/>
        </w:rPr>
      </w:pPr>
      <w:r>
        <w:rPr>
          <w:rFonts w:cstheme="minorBidi"/>
        </w:rPr>
        <w:t>forecast</w:t>
      </w:r>
      <w:r w:rsidR="00856540" w:rsidRPr="00C433C7">
        <w:rPr>
          <w:rFonts w:cstheme="minorBidi"/>
        </w:rPr>
        <w:t xml:space="preserve"> connections capex </w:t>
      </w:r>
      <w:r w:rsidR="00856540" w:rsidRPr="00C433C7">
        <w:rPr>
          <w:rFonts w:cstheme="minorBidi"/>
        </w:rPr>
        <w:noBreakHyphen/>
        <w:t xml:space="preserve"> the number of new connections forecast </w:t>
      </w:r>
      <w:r w:rsidR="00856540">
        <w:rPr>
          <w:rFonts w:cstheme="minorBidi"/>
        </w:rPr>
        <w:t>has informed</w:t>
      </w:r>
      <w:r w:rsidR="00856540" w:rsidRPr="00C433C7">
        <w:rPr>
          <w:rFonts w:cstheme="minorBidi"/>
        </w:rPr>
        <w:t xml:space="preserve"> our decision on the appro</w:t>
      </w:r>
      <w:r w:rsidR="00856540">
        <w:rPr>
          <w:rFonts w:cstheme="minorBidi"/>
        </w:rPr>
        <w:t>ved connections capex allowance</w:t>
      </w:r>
      <w:r>
        <w:rPr>
          <w:rFonts w:cstheme="minorBidi"/>
        </w:rPr>
        <w:t>.</w:t>
      </w:r>
    </w:p>
    <w:p w:rsidR="00856540" w:rsidRPr="00C433C7" w:rsidRDefault="007673BC" w:rsidP="00856540">
      <w:pPr>
        <w:pStyle w:val="Bulletpoint"/>
        <w:numPr>
          <w:ilvl w:val="0"/>
          <w:numId w:val="2"/>
        </w:numPr>
        <w:rPr>
          <w:rFonts w:cstheme="minorBidi"/>
        </w:rPr>
      </w:pPr>
      <w:r>
        <w:rPr>
          <w:rFonts w:cstheme="minorBidi"/>
        </w:rPr>
        <w:t>forecast</w:t>
      </w:r>
      <w:r w:rsidR="00856540" w:rsidRPr="00C433C7">
        <w:rPr>
          <w:rFonts w:cstheme="minorBidi"/>
        </w:rPr>
        <w:t xml:space="preserve"> opex </w:t>
      </w:r>
      <w:r w:rsidR="00856540" w:rsidRPr="00C433C7">
        <w:rPr>
          <w:rFonts w:cstheme="minorBidi"/>
        </w:rPr>
        <w:noBreakHyphen/>
        <w:t xml:space="preserve"> forecast total connections numbers and total consumption (output growth) </w:t>
      </w:r>
      <w:r w:rsidR="00856540">
        <w:rPr>
          <w:rFonts w:cstheme="minorBidi"/>
        </w:rPr>
        <w:t>has been</w:t>
      </w:r>
      <w:r w:rsidR="00856540" w:rsidRPr="00C433C7">
        <w:rPr>
          <w:rFonts w:cstheme="minorBidi"/>
        </w:rPr>
        <w:t xml:space="preserve"> used in derive the additional opex required to service the larger network.</w:t>
      </w:r>
    </w:p>
    <w:p w:rsidR="00856540" w:rsidRPr="005D2413" w:rsidRDefault="00856540" w:rsidP="00856540">
      <w:pPr>
        <w:pStyle w:val="AERbulletlistfirststyle"/>
        <w:rPr>
          <w:rFonts w:cstheme="minorBidi"/>
        </w:rPr>
      </w:pPr>
      <w:r w:rsidRPr="00C433C7">
        <w:rPr>
          <w:rFonts w:cstheme="minorBidi"/>
        </w:rPr>
        <w:t xml:space="preserve">tariff prices </w:t>
      </w:r>
      <w:r w:rsidRPr="00C433C7">
        <w:rPr>
          <w:rFonts w:cstheme="minorBidi"/>
        </w:rPr>
        <w:noBreakHyphen/>
        <w:t xml:space="preserve"> tariff prices depend on forecast consumption per connection. Changes in these forecasts </w:t>
      </w:r>
      <w:r>
        <w:rPr>
          <w:rFonts w:cstheme="minorBidi"/>
        </w:rPr>
        <w:t>have been</w:t>
      </w:r>
      <w:r w:rsidRPr="00C433C7">
        <w:rPr>
          <w:rFonts w:cstheme="minorBidi"/>
        </w:rPr>
        <w:t xml:space="preserve"> translate</w:t>
      </w:r>
      <w:r>
        <w:rPr>
          <w:rFonts w:cstheme="minorBidi"/>
        </w:rPr>
        <w:t>d</w:t>
      </w:r>
      <w:r w:rsidRPr="00C433C7">
        <w:rPr>
          <w:rFonts w:cstheme="minorBidi"/>
        </w:rPr>
        <w:t xml:space="preserve"> into changed tariff prices. In simple terms, tariff prices are determined by cost divided by quantity (where quantity is measured by </w:t>
      </w:r>
      <w:r w:rsidR="00B86177">
        <w:rPr>
          <w:rFonts w:cstheme="minorBidi"/>
        </w:rPr>
        <w:t>consumption</w:t>
      </w:r>
      <w:r w:rsidRPr="00C433C7">
        <w:rPr>
          <w:rFonts w:cstheme="minorBidi"/>
        </w:rPr>
        <w:t xml:space="preserve"> per connection). This means that </w:t>
      </w:r>
      <w:r>
        <w:rPr>
          <w:rFonts w:cstheme="minorBidi"/>
        </w:rPr>
        <w:t>the</w:t>
      </w:r>
      <w:r w:rsidRPr="00C433C7">
        <w:rPr>
          <w:rFonts w:cstheme="minorBidi"/>
        </w:rPr>
        <w:t xml:space="preserve"> increase in forecast </w:t>
      </w:r>
      <w:r w:rsidR="00B86177">
        <w:rPr>
          <w:rFonts w:cstheme="minorBidi"/>
        </w:rPr>
        <w:t>consumption</w:t>
      </w:r>
      <w:r w:rsidRPr="00C433C7">
        <w:rPr>
          <w:rFonts w:cstheme="minorBidi"/>
        </w:rPr>
        <w:t xml:space="preserve"> </w:t>
      </w:r>
      <w:r>
        <w:rPr>
          <w:rFonts w:cstheme="minorBidi"/>
        </w:rPr>
        <w:t xml:space="preserve">in this draft decision </w:t>
      </w:r>
      <w:r w:rsidR="00B86177">
        <w:rPr>
          <w:rFonts w:cstheme="minorBidi"/>
        </w:rPr>
        <w:t xml:space="preserve">relative to AGN’s proposal </w:t>
      </w:r>
      <w:r w:rsidRPr="00C433C7">
        <w:rPr>
          <w:rFonts w:cstheme="minorBidi"/>
        </w:rPr>
        <w:t>has the effect of reducing the tariff price.</w:t>
      </w:r>
    </w:p>
    <w:p w:rsidR="00B52115" w:rsidRDefault="00B52115" w:rsidP="000F769E">
      <w:pPr>
        <w:pStyle w:val="Heading2"/>
      </w:pPr>
      <w:bookmarkStart w:id="155" w:name="_Toc436037706"/>
      <w:r>
        <w:t>Services covered by the access arrangement</w:t>
      </w:r>
      <w:bookmarkEnd w:id="155"/>
    </w:p>
    <w:p w:rsidR="00A62C1D" w:rsidRDefault="00A62C1D" w:rsidP="000F769E">
      <w:r>
        <w:t xml:space="preserve">Our draft decision accepts the reference services </w:t>
      </w:r>
      <w:r w:rsidRPr="00A62C1D">
        <w:t>AGN proposes to offer on its network over the 2016–21 access arrangement period</w:t>
      </w:r>
      <w:r>
        <w:t xml:space="preserve">. </w:t>
      </w:r>
      <w:r w:rsidRPr="00A62C1D">
        <w:t xml:space="preserve">We consider that the reference services </w:t>
      </w:r>
      <w:r w:rsidR="00840954">
        <w:t>proposed</w:t>
      </w:r>
      <w:r w:rsidR="00840954" w:rsidRPr="00A62C1D">
        <w:t xml:space="preserve"> </w:t>
      </w:r>
      <w:r w:rsidRPr="00A62C1D">
        <w:t>by AGN are likely to be sought by a significant part of the market. This means they must be covered by the access arrangement.</w:t>
      </w:r>
    </w:p>
    <w:p w:rsidR="00A62C1D" w:rsidRDefault="00A62C1D" w:rsidP="000F769E">
      <w:r>
        <w:t>The proposed haulage reference services—domestic, demand a</w:t>
      </w:r>
      <w:r w:rsidR="00F93714">
        <w:t>nd commercial—</w:t>
      </w:r>
      <w:r>
        <w:t>are consistent with the haulage reference services offered by AGN during the 2011–16 access arrangement period.</w:t>
      </w:r>
    </w:p>
    <w:p w:rsidR="00A62C1D" w:rsidRDefault="00A62C1D" w:rsidP="000F769E">
      <w:r>
        <w:t>AGN proposed six ancillary reference services. Three of these services—disconnection, reconnection and special meter read—are consistent with the ancillary reference services offered by AGN over the 2011–16 access arrangement period. AGN also proposed three additional ancillary reference services for meter gas installation tests, meter removal and meter reinstallation after being requested to do so from its engagement with the retailer reference group.</w:t>
      </w:r>
      <w:r>
        <w:rPr>
          <w:rStyle w:val="FootnoteReference"/>
        </w:rPr>
        <w:footnoteReference w:id="75"/>
      </w:r>
    </w:p>
    <w:p w:rsidR="00E451F0" w:rsidRDefault="00E451F0" w:rsidP="000F769E">
      <w:r w:rsidRPr="00E451F0">
        <w:t>The reasons for our draft decision are set out in attachment 1</w:t>
      </w:r>
      <w:r>
        <w:t>.</w:t>
      </w:r>
    </w:p>
    <w:p w:rsidR="00B52115" w:rsidRDefault="00B52115" w:rsidP="000F769E">
      <w:pPr>
        <w:pStyle w:val="Heading2"/>
      </w:pPr>
      <w:bookmarkStart w:id="156" w:name="_Toc436037707"/>
      <w:r>
        <w:t>Reference tariff setting</w:t>
      </w:r>
      <w:bookmarkEnd w:id="156"/>
    </w:p>
    <w:p w:rsidR="00B52115" w:rsidRDefault="00A62C1D" w:rsidP="000F769E">
      <w:r>
        <w:t xml:space="preserve">Our draft decision </w:t>
      </w:r>
      <w:r w:rsidRPr="00A62C1D">
        <w:t>accept</w:t>
      </w:r>
      <w:r>
        <w:t>s</w:t>
      </w:r>
      <w:r w:rsidRPr="00A62C1D">
        <w:t xml:space="preserve"> AGN’s proposed structure of reference tariffs for the 2016–21 access arrangement period. We are satisfied the proposed structure of the reference tariffs complies with the requirements of the NGR.</w:t>
      </w:r>
      <w:r>
        <w:rPr>
          <w:rStyle w:val="FootnoteReference"/>
        </w:rPr>
        <w:footnoteReference w:id="76"/>
      </w:r>
      <w:r w:rsidR="00E451F0" w:rsidRPr="00E451F0">
        <w:t xml:space="preserve"> </w:t>
      </w:r>
      <w:r w:rsidR="00E451F0">
        <w:t>The tariff structure is consistent with that applied in the current access arrangement.</w:t>
      </w:r>
      <w:r w:rsidR="00E451F0">
        <w:rPr>
          <w:rStyle w:val="FootnoteReference"/>
        </w:rPr>
        <w:footnoteReference w:id="77"/>
      </w:r>
      <w:r w:rsidR="00E451F0">
        <w:t xml:space="preserve"> </w:t>
      </w:r>
      <w:r w:rsidRPr="00A62C1D">
        <w:t>However, we consider the quantum of the proposed reference tariffs must be amended to reflect the revised revenue allowance based on this draft decision.</w:t>
      </w:r>
    </w:p>
    <w:p w:rsidR="00E451F0" w:rsidRDefault="00E451F0" w:rsidP="000F769E">
      <w:r w:rsidRPr="00E451F0">
        <w:t>The reasons for our draft decision are set out in attachment 1</w:t>
      </w:r>
      <w:r>
        <w:t>0</w:t>
      </w:r>
      <w:r w:rsidRPr="00E451F0">
        <w:t>.</w:t>
      </w:r>
    </w:p>
    <w:p w:rsidR="00B52115" w:rsidRDefault="00B52115" w:rsidP="00032619">
      <w:pPr>
        <w:pStyle w:val="Heading2"/>
        <w:keepNext/>
      </w:pPr>
      <w:bookmarkStart w:id="157" w:name="_Toc436037708"/>
      <w:r>
        <w:t>Reference tariff variation mechanism</w:t>
      </w:r>
      <w:bookmarkEnd w:id="157"/>
    </w:p>
    <w:p w:rsidR="000F769E" w:rsidRDefault="000F769E" w:rsidP="00032619">
      <w:pPr>
        <w:keepNext/>
      </w:pPr>
      <w:r>
        <w:t>The reference tariff variation mechanism:</w:t>
      </w:r>
    </w:p>
    <w:p w:rsidR="000F769E" w:rsidRDefault="000F769E" w:rsidP="000F769E">
      <w:pPr>
        <w:pStyle w:val="AERbulletlistfirststyle"/>
      </w:pPr>
      <w:r>
        <w:t>permits building block revenues to be recovered smoothly over the access arrangement period, subject to any differences between forecast and actual demand</w:t>
      </w:r>
    </w:p>
    <w:p w:rsidR="000F769E" w:rsidRDefault="000F769E" w:rsidP="000F769E">
      <w:pPr>
        <w:pStyle w:val="AERbulletlistfirststyle"/>
      </w:pPr>
      <w:r>
        <w:t>accounts for actual inflation</w:t>
      </w:r>
    </w:p>
    <w:p w:rsidR="000F769E" w:rsidRDefault="000F769E" w:rsidP="000F769E">
      <w:pPr>
        <w:pStyle w:val="AERbulletlistfirststyle"/>
      </w:pPr>
      <w:r>
        <w:t>accommodates other reference tariff variation adjustments that may be required, such as approved cost pass through events, and</w:t>
      </w:r>
    </w:p>
    <w:p w:rsidR="000F769E" w:rsidRDefault="000F769E" w:rsidP="000F769E">
      <w:pPr>
        <w:pStyle w:val="AERbulletlistfirststyle"/>
      </w:pPr>
      <w:r>
        <w:t>sets administrative procedures for the approval of any proposed changes to reference tariffs.</w:t>
      </w:r>
    </w:p>
    <w:p w:rsidR="00C659D1" w:rsidRDefault="000F769E" w:rsidP="00C659D1">
      <w:r>
        <w:t xml:space="preserve">Our draft decision does not approve the reference tariff variation mechanism </w:t>
      </w:r>
      <w:r w:rsidR="00E451F0">
        <w:t xml:space="preserve">as proposed by </w:t>
      </w:r>
      <w:r>
        <w:t>AGN</w:t>
      </w:r>
      <w:r w:rsidR="00C659D1">
        <w:t>. In particular:</w:t>
      </w:r>
    </w:p>
    <w:p w:rsidR="00C659D1" w:rsidRPr="00C659D1" w:rsidRDefault="00C659D1" w:rsidP="00C659D1">
      <w:pPr>
        <w:pStyle w:val="AERbulletlistfirststyle"/>
      </w:pPr>
      <w:r>
        <w:t xml:space="preserve">the proposed </w:t>
      </w:r>
      <w:r w:rsidRPr="00C659D1">
        <w:t>initial reference tariffs and X factors must be revised to reflect the changes to the forecast total revenue identified in the overview attachment of this draft decision</w:t>
      </w:r>
    </w:p>
    <w:p w:rsidR="00C659D1" w:rsidRPr="00C659D1" w:rsidRDefault="00C659D1" w:rsidP="00C659D1">
      <w:pPr>
        <w:pStyle w:val="AERbulletlistfirststyle"/>
      </w:pPr>
      <w:r>
        <w:t xml:space="preserve">we do not accept </w:t>
      </w:r>
      <w:r w:rsidRPr="00C659D1">
        <w:t>definitions for certain parameters within the control and rebalancing mechanisms</w:t>
      </w:r>
    </w:p>
    <w:p w:rsidR="00C659D1" w:rsidRDefault="00C659D1" w:rsidP="00C659D1">
      <w:pPr>
        <w:pStyle w:val="AERbulletlistfirststyle"/>
      </w:pPr>
      <w:r>
        <w:t>we do not accept AGN's reference tariff variation process</w:t>
      </w:r>
      <w:r w:rsidRPr="00C659D1">
        <w:t xml:space="preserve"> </w:t>
      </w:r>
    </w:p>
    <w:p w:rsidR="00C659D1" w:rsidRDefault="00C659D1" w:rsidP="00C659D1">
      <w:pPr>
        <w:pStyle w:val="AERbulletlistfirststyle"/>
      </w:pPr>
      <w:r>
        <w:t xml:space="preserve">we do not approve the cost pass through events proposed by AGN. We require amendments to the definitions of AGN’s proposed </w:t>
      </w:r>
      <w:r w:rsidR="001A5994">
        <w:t>regulatory change</w:t>
      </w:r>
      <w:r>
        <w:t xml:space="preserve"> event, service standard event, terrorism</w:t>
      </w:r>
      <w:r w:rsidRPr="00BA4CD9">
        <w:t xml:space="preserve"> event</w:t>
      </w:r>
      <w:r>
        <w:t>,</w:t>
      </w:r>
      <w:r w:rsidRPr="000F769E">
        <w:t xml:space="preserve"> </w:t>
      </w:r>
      <w:r>
        <w:t>network user failure</w:t>
      </w:r>
      <w:r w:rsidRPr="00BA4CD9">
        <w:t xml:space="preserve"> event</w:t>
      </w:r>
      <w:r>
        <w:t>,</w:t>
      </w:r>
      <w:r w:rsidRPr="000F769E">
        <w:t xml:space="preserve"> </w:t>
      </w:r>
      <w:r>
        <w:t>insurer credit risk</w:t>
      </w:r>
      <w:r w:rsidRPr="00BA4CD9">
        <w:t xml:space="preserve"> event</w:t>
      </w:r>
      <w:r>
        <w:t>,</w:t>
      </w:r>
      <w:r w:rsidRPr="000F769E">
        <w:t xml:space="preserve"> </w:t>
      </w:r>
      <w:r>
        <w:t>insurance cap</w:t>
      </w:r>
      <w:r w:rsidRPr="00BA4CD9">
        <w:t xml:space="preserve"> event</w:t>
      </w:r>
      <w:r>
        <w:t xml:space="preserve"> and tax change event. We do not approve AGN’s proposed significant safety event, security of supply event and significant extension event.</w:t>
      </w:r>
    </w:p>
    <w:p w:rsidR="00C659D1" w:rsidRDefault="00C659D1" w:rsidP="00C659D1">
      <w:pPr>
        <w:pStyle w:val="AERbulletlistfirststyle"/>
      </w:pPr>
      <w:r>
        <w:t>our draft decision also requires amendments to AGN’s access arrangement so that it more clearly includes the efficiency of AGN's actions in relation to the risk of a pass through event occurring and the magnitude of costs incurred as a result of the event as a matter that will be relevant to our assessment of a cost pass through application.</w:t>
      </w:r>
    </w:p>
    <w:p w:rsidR="00C659D1" w:rsidRDefault="00C659D1" w:rsidP="00C659D1">
      <w:r w:rsidRPr="00C377E6">
        <w:t>We have also included in AGN's reference tariff variation mechanism adjustment factors</w:t>
      </w:r>
      <w:r>
        <w:t xml:space="preserve"> to </w:t>
      </w:r>
      <w:r w:rsidRPr="00432758">
        <w:t xml:space="preserve">accommodate </w:t>
      </w:r>
      <w:r>
        <w:t xml:space="preserve">additional variations to </w:t>
      </w:r>
      <w:r w:rsidRPr="00432758">
        <w:t>reference tariff</w:t>
      </w:r>
      <w:r>
        <w:t>s with respect to:</w:t>
      </w:r>
    </w:p>
    <w:p w:rsidR="00C659D1" w:rsidRPr="00C659D1" w:rsidRDefault="00C659D1" w:rsidP="00C659D1">
      <w:pPr>
        <w:pStyle w:val="AERbulletlistfirststyle"/>
      </w:pPr>
      <w:r w:rsidRPr="00432758">
        <w:t>an approved cost pass through event</w:t>
      </w:r>
    </w:p>
    <w:p w:rsidR="00C659D1" w:rsidRPr="00C659D1" w:rsidRDefault="00C659D1" w:rsidP="00C659D1">
      <w:pPr>
        <w:pStyle w:val="AERbulletlistfirststyle"/>
      </w:pPr>
      <w:r>
        <w:t xml:space="preserve">price variations </w:t>
      </w:r>
      <w:r w:rsidRPr="00C659D1">
        <w:t xml:space="preserve">for gas required to meet UAFG </w:t>
      </w:r>
      <w:r w:rsidR="007673BC">
        <w:t>obligations</w:t>
      </w:r>
      <w:r w:rsidRPr="00C659D1">
        <w:t>).</w:t>
      </w:r>
    </w:p>
    <w:p w:rsidR="00E451F0" w:rsidRPr="00E451F0" w:rsidRDefault="00E451F0" w:rsidP="00E451F0">
      <w:r w:rsidRPr="00E451F0">
        <w:t>The reasons for our draft decis</w:t>
      </w:r>
      <w:r>
        <w:t>ion are set out in attachment 11</w:t>
      </w:r>
      <w:r w:rsidRPr="00E451F0">
        <w:t>.</w:t>
      </w:r>
    </w:p>
    <w:p w:rsidR="00B52115" w:rsidRPr="00B52115" w:rsidRDefault="00B52115" w:rsidP="000F769E">
      <w:pPr>
        <w:pStyle w:val="Heading2"/>
      </w:pPr>
      <w:bookmarkStart w:id="158" w:name="_Ref435451812"/>
      <w:bookmarkStart w:id="159" w:name="_Toc436037709"/>
      <w:r>
        <w:t>Incentive schemes</w:t>
      </w:r>
      <w:bookmarkEnd w:id="158"/>
      <w:bookmarkEnd w:id="159"/>
    </w:p>
    <w:p w:rsidR="00F45D99" w:rsidRDefault="00F45D99" w:rsidP="00F45D99">
      <w:r w:rsidRPr="002E2B8C">
        <w:t>We aim to incentivise service providers such as AGN to make efficient decisions on when and what type of expenditure to incur, and to balance expenditure efficiencies with service quality.</w:t>
      </w:r>
      <w:r>
        <w:t xml:space="preserve"> There are a number of incentives that already exist in the framework that applies to AGN's access arrangement. For example, the NGR allow AGN </w:t>
      </w:r>
      <w:r w:rsidR="0083141E">
        <w:t xml:space="preserve">to </w:t>
      </w:r>
      <w:r>
        <w:t xml:space="preserve">retain the full value of its approve capex forecast, including any amount it saves through more efficient delivery of its capex program, until the end of the access arrangement period. In addition, we review the capex it actually spends at the end of the period so that only conforming capex is rolled into its capital base. AGN has also described gas as a 'fuel of choice'—as an alternative energy source, it must compete with electricity—creating further incentives to remain cost efficient, and competitive in price and the quality of service. </w:t>
      </w:r>
    </w:p>
    <w:p w:rsidR="00F45D99" w:rsidRDefault="00F45D99" w:rsidP="00F45D99">
      <w:r>
        <w:t>In addition to these inherent incentives, the NGR also allow the inclusion of one or more targeted i</w:t>
      </w:r>
      <w:r w:rsidRPr="002E2B8C">
        <w:t xml:space="preserve">ncentive schemes </w:t>
      </w:r>
      <w:r>
        <w:t xml:space="preserve">in an access arrangement, to supplement the incentives under the regulatory regime and encourage efficiency in the provision of services. </w:t>
      </w:r>
    </w:p>
    <w:p w:rsidR="00F45D99" w:rsidRDefault="00F45D99" w:rsidP="00F45D99">
      <w:r>
        <w:t>In addition to its proposed changes to the efficiency carryover mechanism, discussed in section 4.7, AGN proposed the introduction of three new incentive schemes in its 2</w:t>
      </w:r>
      <w:r w:rsidR="007673BC">
        <w:t>016–21 access arrangement</w:t>
      </w:r>
      <w:r>
        <w:t>:</w:t>
      </w:r>
    </w:p>
    <w:p w:rsidR="00F45D99" w:rsidRDefault="007673BC" w:rsidP="00F45D99">
      <w:pPr>
        <w:pStyle w:val="AERbulletlistfirststyle"/>
      </w:pPr>
      <w:r>
        <w:t>a</w:t>
      </w:r>
      <w:r w:rsidR="00F45D99">
        <w:t xml:space="preserve"> capital expenditure sharing scheme (</w:t>
      </w:r>
      <w:r w:rsidR="00F45D99" w:rsidRPr="00276146">
        <w:t>CESS</w:t>
      </w:r>
      <w:r w:rsidR="00F45D99">
        <w:t>)</w:t>
      </w:r>
    </w:p>
    <w:p w:rsidR="00F45D99" w:rsidRDefault="007673BC" w:rsidP="00F45D99">
      <w:pPr>
        <w:pStyle w:val="AERbulletlistfirststyle"/>
      </w:pPr>
      <w:r>
        <w:t>a</w:t>
      </w:r>
      <w:r w:rsidR="00F45D99">
        <w:t xml:space="preserve"> customer service incentive scheme (CSIS), and</w:t>
      </w:r>
    </w:p>
    <w:p w:rsidR="00F45D99" w:rsidRDefault="007673BC" w:rsidP="00F45D99">
      <w:pPr>
        <w:pStyle w:val="AERbulletlistfirststyle"/>
      </w:pPr>
      <w:r>
        <w:t>a</w:t>
      </w:r>
      <w:r w:rsidR="00F45D99">
        <w:t xml:space="preserve"> network innovation scheme (NIS).</w:t>
      </w:r>
    </w:p>
    <w:p w:rsidR="00F45D99" w:rsidRDefault="00F45D99" w:rsidP="00F45D99">
      <w:r>
        <w:t>As part of our Better regulation program in 2013, we consulted on and developed a CESS to apply to electricity network service providers under the NER. The electricity CESS will apply for the first time in the electricity distribution and transmission determinations we made in April 2015 (for New South Wales and ACT distribution networks and New South Wales and Tasmanian transmission networks). However, to date we have not considered development or application of a CESS for gas service providers. AGN's proposed CSIS and NIS are new schemes that we have not applied before in electricity or gas decisions.</w:t>
      </w:r>
    </w:p>
    <w:p w:rsidR="0049086C" w:rsidRDefault="00F45D99" w:rsidP="00243737">
      <w:r>
        <w:t xml:space="preserve">Where we have developed and introduced new incentive schemes under the NER—including the CESS—we have done this in conjunction with consideration of related forecasting methodologies and complementary schemes, and as part of extended consultation with stakeholders, including other service providers. </w:t>
      </w:r>
      <w:r w:rsidR="0049086C">
        <w:t>It is unusual for us to consider introduction of a new incentive scheme in the context of an individual access arrangement or service provider.</w:t>
      </w:r>
    </w:p>
    <w:p w:rsidR="00243737" w:rsidRDefault="00F45D99" w:rsidP="00243737">
      <w:r>
        <w:t xml:space="preserve">We consider </w:t>
      </w:r>
      <w:r w:rsidR="00243737">
        <w:t xml:space="preserve">it preferable that </w:t>
      </w:r>
      <w:r>
        <w:t>the development and implementation of</w:t>
      </w:r>
      <w:r w:rsidR="00243737">
        <w:t xml:space="preserve"> any</w:t>
      </w:r>
      <w:r>
        <w:t xml:space="preserve"> new incentive schemes under the NGR be subject to</w:t>
      </w:r>
      <w:r w:rsidRPr="00276146">
        <w:t xml:space="preserve"> a similar consultative, informed and industry-wide process.</w:t>
      </w:r>
      <w:r>
        <w:t xml:space="preserve"> </w:t>
      </w:r>
      <w:r w:rsidR="00243737">
        <w:t>Our draft decision does not accept the introduction of these new schemes in AGN's access arrangement at this time.</w:t>
      </w:r>
    </w:p>
    <w:p w:rsidR="00F45D99" w:rsidRDefault="00F45D99" w:rsidP="00F45D99">
      <w:r>
        <w:t>In this context we note that there are conflicting views on the benefits of these schemes in gas</w:t>
      </w:r>
      <w:r w:rsidR="00243737">
        <w:t>, which require further exploration through an appropriate consultation process</w:t>
      </w:r>
      <w:r>
        <w:t xml:space="preserve">. </w:t>
      </w:r>
    </w:p>
    <w:p w:rsidR="00F45D99" w:rsidRDefault="00F45D99" w:rsidP="00F45D99">
      <w:r>
        <w:t xml:space="preserve">For example, while AGN has proposed a CESS, other gas service providers who </w:t>
      </w:r>
      <w:r w:rsidR="00741727">
        <w:t xml:space="preserve">submitted </w:t>
      </w:r>
      <w:r>
        <w:t>their proposals at the same time as AGN have said that they do not support introduction of a CESS in their own access arrangements.</w:t>
      </w:r>
      <w:r>
        <w:rPr>
          <w:rStyle w:val="FootnoteReference"/>
        </w:rPr>
        <w:footnoteReference w:id="78"/>
      </w:r>
      <w:r>
        <w:t xml:space="preserve"> </w:t>
      </w:r>
      <w:r w:rsidR="00C01149">
        <w:t>T</w:t>
      </w:r>
      <w:r w:rsidR="00C01149" w:rsidRPr="001009D0">
        <w:t>he CCP indicated support for a CESS that was aligned with an opex efficiency carryover mechanism to ba</w:t>
      </w:r>
      <w:r w:rsidR="00C01149">
        <w:t>lance incentives across opex and capex, but it did not support the scheme that AGN proposed.</w:t>
      </w:r>
      <w:r w:rsidR="00C01149" w:rsidRPr="001009D0">
        <w:t xml:space="preserve"> </w:t>
      </w:r>
      <w:r>
        <w:t>In their submissions on AGN's proposal Origin Energy and AGL cautioned against the introduction of a CESS that was not carefully calibrated with the regulatory framework, and may not be sufficiently transparent, enforceable or equitable. SACOSS suggested that introduction of a CESS in 2016–21 was unnecessary given existing incentives to seek capex efficiencies, and unadvisable given difficulties forecasting efficient capex for that period.</w:t>
      </w:r>
    </w:p>
    <w:p w:rsidR="00F45D99" w:rsidRDefault="00F45D99" w:rsidP="00F45D99">
      <w:r>
        <w:t>Stakeholder submissions on AGN's proposed NIS also suggest that further consideration is required. The Alternative Technology Association considered innovation incentives inappropriate given gas is a competing fuel. While the CCP and the Government of South Australia saw potential benefit in the kind of projects a NIS would support, both pointed to the need for clearer criteria and boundaries were such a scheme to be introduced.</w:t>
      </w:r>
    </w:p>
    <w:p w:rsidR="00243737" w:rsidRDefault="00F45D99" w:rsidP="00243737">
      <w:pPr>
        <w:pStyle w:val="ListParagraph"/>
        <w:numPr>
          <w:ilvl w:val="0"/>
          <w:numId w:val="24"/>
        </w:numPr>
      </w:pPr>
      <w:r>
        <w:t xml:space="preserve">We also have concerns about AGN's proposed introduction of </w:t>
      </w:r>
      <w:r w:rsidR="00243737">
        <w:t xml:space="preserve">a </w:t>
      </w:r>
      <w:r>
        <w:t xml:space="preserve">CSIS, when this scheme has </w:t>
      </w:r>
      <w:r w:rsidR="00243737">
        <w:t>yet to be developed</w:t>
      </w:r>
      <w:r>
        <w:t xml:space="preserve">. </w:t>
      </w:r>
      <w:r w:rsidR="00243737">
        <w:t>The Essential Services Commission of South Australia (ESCOSA), in its recent decision on the service standards that will apply to AGN in the 2016–21 access arrangement period, noted that:</w:t>
      </w:r>
      <w:r w:rsidR="00243737">
        <w:rPr>
          <w:rStyle w:val="FootnoteReference"/>
        </w:rPr>
        <w:footnoteReference w:id="79"/>
      </w:r>
    </w:p>
    <w:p w:rsidR="00243737" w:rsidRDefault="00243737" w:rsidP="00243737">
      <w:pPr>
        <w:pStyle w:val="AERquote"/>
      </w:pPr>
      <w:r>
        <w:t>This review has determined that AGN's current service levels are appropriate and should be maintained for the 2016-2021 regulatory period.</w:t>
      </w:r>
    </w:p>
    <w:p w:rsidR="00F45D99" w:rsidRDefault="00243737" w:rsidP="0083141E">
      <w:pPr>
        <w:pStyle w:val="AERquote"/>
      </w:pPr>
      <w:r>
        <w:t>Participants in AGN's stakeholder engagement program were generally satisfied with AGN's gas distribution services and reluctant to pay for improvements to current service levels.</w:t>
      </w:r>
    </w:p>
    <w:p w:rsidR="00243737" w:rsidRDefault="00243737" w:rsidP="00F45D99">
      <w:r>
        <w:t>Stakeholder submissions on the proposal for a CSIS questioned the need to incentivise what was a fundamental business imperative, and based on the ESCOSA report did not support the introduction of a CSIS. It is difficult to assess the extent to which AGN's proposed CSIS would address these concerns when the scheme itself has yet to be developed.</w:t>
      </w:r>
    </w:p>
    <w:p w:rsidR="00F45D99" w:rsidRPr="00F45D99" w:rsidRDefault="00F45D99" w:rsidP="00F45D99">
      <w:r w:rsidRPr="00F45D99">
        <w:t xml:space="preserve">The reasons for our </w:t>
      </w:r>
      <w:r w:rsidR="00243737">
        <w:t>draft decision on AGN's proposed</w:t>
      </w:r>
      <w:r w:rsidRPr="00F45D99">
        <w:t xml:space="preserve"> CESS, CSIS and NIS are </w:t>
      </w:r>
      <w:r w:rsidR="00243737">
        <w:t>set out</w:t>
      </w:r>
      <w:r w:rsidR="00243737" w:rsidRPr="00F45D99">
        <w:t xml:space="preserve"> </w:t>
      </w:r>
      <w:r w:rsidRPr="00F45D99">
        <w:t>in Attachment 14.</w:t>
      </w:r>
    </w:p>
    <w:p w:rsidR="00710D26" w:rsidRDefault="00710D26" w:rsidP="00710D26">
      <w:pPr>
        <w:pStyle w:val="Heading1"/>
      </w:pPr>
      <w:bookmarkStart w:id="160" w:name="_Toc430002798"/>
      <w:bookmarkStart w:id="161" w:name="_Ref434479237"/>
      <w:bookmarkStart w:id="162" w:name="_Ref434479243"/>
      <w:bookmarkStart w:id="163" w:name="_Ref434479445"/>
      <w:bookmarkStart w:id="164" w:name="_Toc436037710"/>
      <w:r>
        <w:t>Non-tariff components</w:t>
      </w:r>
      <w:bookmarkEnd w:id="160"/>
      <w:bookmarkEnd w:id="161"/>
      <w:bookmarkEnd w:id="162"/>
      <w:bookmarkEnd w:id="163"/>
      <w:bookmarkEnd w:id="164"/>
    </w:p>
    <w:p w:rsidR="00A10BF9" w:rsidRDefault="00A10BF9" w:rsidP="00A10BF9">
      <w:r w:rsidRPr="00A10BF9">
        <w:t xml:space="preserve">AGN’s proposed 2016–21 access arrangement sets out terms and conditions on which AGN offers to supply </w:t>
      </w:r>
      <w:r w:rsidR="003D0887">
        <w:t>s</w:t>
      </w:r>
      <w:r w:rsidRPr="00A10BF9">
        <w:t>ervices.</w:t>
      </w:r>
      <w:r>
        <w:t xml:space="preserve"> </w:t>
      </w:r>
      <w:r w:rsidR="00714123" w:rsidRPr="00A10BF9">
        <w:t>The</w:t>
      </w:r>
      <w:r w:rsidR="00714123">
        <w:t>se</w:t>
      </w:r>
      <w:r w:rsidR="00714123" w:rsidRPr="00A10BF9">
        <w:t xml:space="preserve"> </w:t>
      </w:r>
      <w:r w:rsidRPr="00A10BF9">
        <w:t>describe the relationship between AGN and users, including setting out, amongst other things, their obligations and liabilities under the agreement.</w:t>
      </w:r>
    </w:p>
    <w:p w:rsidR="003D0887" w:rsidRDefault="003D0887" w:rsidP="00A10BF9">
      <w:r>
        <w:t>We are satisfied that most of the proposed terms and conditions are consistent with the NGO, NGR and applicable market procedures. However, our draft decision requires AGN to make a number of revisions to its terms and conditions to improve clarity and certainty for users.</w:t>
      </w:r>
    </w:p>
    <w:p w:rsidR="00A10BF9" w:rsidRDefault="00A10BF9" w:rsidP="00A10BF9">
      <w:r>
        <w:t>AGN’s access arrangement also includes specific provisions around:</w:t>
      </w:r>
    </w:p>
    <w:p w:rsidR="00A10BF9" w:rsidRDefault="00A10BF9" w:rsidP="00A10BF9">
      <w:pPr>
        <w:pStyle w:val="AERbulletlistfirststyle"/>
      </w:pPr>
      <w:r>
        <w:t>review submission date and revision commencement date</w:t>
      </w:r>
    </w:p>
    <w:p w:rsidR="00A10BF9" w:rsidRDefault="00A10BF9" w:rsidP="00A10BF9">
      <w:pPr>
        <w:pStyle w:val="AERbulletlistfirststyle"/>
      </w:pPr>
      <w:r>
        <w:t>extension and expansion requirements</w:t>
      </w:r>
    </w:p>
    <w:p w:rsidR="00A10BF9" w:rsidRDefault="00A10BF9" w:rsidP="00A10BF9">
      <w:pPr>
        <w:pStyle w:val="AERbulletlistfirststyle"/>
      </w:pPr>
      <w:r>
        <w:t>capacity trading requirements</w:t>
      </w:r>
    </w:p>
    <w:p w:rsidR="00A10BF9" w:rsidRDefault="003D0887" w:rsidP="00A10BF9">
      <w:pPr>
        <w:pStyle w:val="AERbulletlistfirststyle"/>
      </w:pPr>
      <w:r>
        <w:t xml:space="preserve">provisions for </w:t>
      </w:r>
      <w:r w:rsidR="00A10BF9">
        <w:t>changing receipt and delivery points</w:t>
      </w:r>
    </w:p>
    <w:p w:rsidR="00A10BF9" w:rsidRDefault="003D0887" w:rsidP="00A10BF9">
      <w:r>
        <w:t>We have approved AGN's proposed extension and expansion requirements, but our draft decision requires amendments to clarify the capacity trading requirements and provisions for changing receipt and delivery points. We have not accepted AGN's proposed review submission and revision commencement dates</w:t>
      </w:r>
      <w:r w:rsidR="00F9155A">
        <w:t xml:space="preserve"> for our next review. These </w:t>
      </w:r>
      <w:r w:rsidR="00BA065C">
        <w:t xml:space="preserve">set out </w:t>
      </w:r>
      <w:r w:rsidR="00F9155A">
        <w:t xml:space="preserve">the date by which </w:t>
      </w:r>
      <w:r w:rsidR="00BA065C">
        <w:t xml:space="preserve">AGN </w:t>
      </w:r>
      <w:r w:rsidR="00F9155A">
        <w:t>must</w:t>
      </w:r>
      <w:r w:rsidR="00BA065C">
        <w:t xml:space="preserve"> submit its proposal</w:t>
      </w:r>
      <w:r w:rsidR="00F9155A">
        <w:t xml:space="preserve"> for the next access arrangement period</w:t>
      </w:r>
      <w:r w:rsidR="00BA065C">
        <w:t xml:space="preserve">, and the date </w:t>
      </w:r>
      <w:r w:rsidR="00F9155A">
        <w:t>on which approved revisions under that proposal are intended to commence. The NGR require</w:t>
      </w:r>
      <w:r>
        <w:t xml:space="preserve"> AGN to specify single dates for each of these, </w:t>
      </w:r>
      <w:r w:rsidR="00F9155A">
        <w:t>and not alternative dates as AGN has proposed</w:t>
      </w:r>
      <w:r>
        <w:t>.</w:t>
      </w:r>
      <w:r w:rsidR="0003454E">
        <w:t xml:space="preserve"> Our draft decision nominates a review submission date of 1 July 2020 and a revision commencement date of 1 July 2021.</w:t>
      </w:r>
    </w:p>
    <w:p w:rsidR="00B31B18" w:rsidRPr="00B31B18" w:rsidRDefault="00A10BF9" w:rsidP="00A10BF9">
      <w:r>
        <w:t xml:space="preserve">The reasons for our </w:t>
      </w:r>
      <w:r w:rsidR="00E451F0">
        <w:t xml:space="preserve">draft </w:t>
      </w:r>
      <w:r>
        <w:t>decision are set out in attachment 12.</w:t>
      </w:r>
    </w:p>
    <w:p w:rsidR="00710D26" w:rsidRDefault="00710D26" w:rsidP="00710D26"/>
    <w:p w:rsidR="00710D26" w:rsidRDefault="00710D26" w:rsidP="00710D26">
      <w:pPr>
        <w:pStyle w:val="Heading1"/>
      </w:pPr>
      <w:bookmarkStart w:id="165" w:name="_Toc430002799"/>
      <w:bookmarkStart w:id="166" w:name="_Ref434479178"/>
      <w:bookmarkStart w:id="167" w:name="_Ref434479254"/>
      <w:bookmarkStart w:id="168" w:name="_Toc436037711"/>
      <w:r>
        <w:t>Understanding the NGO</w:t>
      </w:r>
      <w:bookmarkEnd w:id="165"/>
      <w:bookmarkEnd w:id="166"/>
      <w:bookmarkEnd w:id="167"/>
      <w:bookmarkEnd w:id="168"/>
    </w:p>
    <w:p w:rsidR="00345731" w:rsidRDefault="00696094" w:rsidP="00696094">
      <w:pPr>
        <w:numPr>
          <w:ilvl w:val="0"/>
          <w:numId w:val="24"/>
        </w:numPr>
      </w:pPr>
      <w:r w:rsidRPr="006C7462">
        <w:t>The N</w:t>
      </w:r>
      <w:r>
        <w:t>G</w:t>
      </w:r>
      <w:r w:rsidRPr="006C7462">
        <w:t xml:space="preserve">O is the central feature of the </w:t>
      </w:r>
      <w:r>
        <w:t>regulatory</w:t>
      </w:r>
      <w:r w:rsidRPr="006C7462">
        <w:t xml:space="preserve"> framework. The N</w:t>
      </w:r>
      <w:r>
        <w:t>G</w:t>
      </w:r>
      <w:r w:rsidRPr="006C7462">
        <w:t>O is</w:t>
      </w:r>
    </w:p>
    <w:p w:rsidR="00696094" w:rsidRDefault="00696094" w:rsidP="007B2712">
      <w:pPr>
        <w:pStyle w:val="AERquoteindent2"/>
      </w:pPr>
      <w:r w:rsidRPr="006C7462">
        <w:t xml:space="preserve">to promote efficient investment in, and efficient operation and use of, </w:t>
      </w:r>
      <w:r>
        <w:t xml:space="preserve">natural gas </w:t>
      </w:r>
      <w:r w:rsidRPr="006C7462">
        <w:t xml:space="preserve">services for the long term interests of consumers of </w:t>
      </w:r>
      <w:r>
        <w:t>natural gas</w:t>
      </w:r>
      <w:r w:rsidRPr="006C7462">
        <w:t xml:space="preserve"> with respect to</w:t>
      </w:r>
      <w:r w:rsidRPr="00C5352F">
        <w:t xml:space="preserve"> </w:t>
      </w:r>
      <w:r w:rsidRPr="006C7462">
        <w:t xml:space="preserve">price, quality, safety, reliability and security of supply of </w:t>
      </w:r>
      <w:r>
        <w:t>natural gas.</w:t>
      </w:r>
      <w:r w:rsidRPr="00932612">
        <w:rPr>
          <w:rStyle w:val="FootnoteReference"/>
        </w:rPr>
        <w:t xml:space="preserve"> </w:t>
      </w:r>
      <w:r w:rsidRPr="006C7462">
        <w:rPr>
          <w:rStyle w:val="FootnoteReference"/>
        </w:rPr>
        <w:footnoteReference w:id="80"/>
      </w:r>
      <w:r w:rsidRPr="006C7462">
        <w:t xml:space="preserve">  </w:t>
      </w:r>
    </w:p>
    <w:p w:rsidR="00C91C77" w:rsidRPr="006C7462" w:rsidRDefault="00C91C77" w:rsidP="00C91C77">
      <w:pPr>
        <w:pStyle w:val="ListParagraph"/>
        <w:numPr>
          <w:ilvl w:val="0"/>
          <w:numId w:val="24"/>
        </w:numPr>
      </w:pPr>
      <w:r w:rsidRPr="006C7462">
        <w:t>Energy Ministers have provided us with</w:t>
      </w:r>
      <w:r>
        <w:t xml:space="preserve"> a substantial body of explanatory material</w:t>
      </w:r>
      <w:r w:rsidRPr="006C7462">
        <w:t xml:space="preserve"> that guides our </w:t>
      </w:r>
      <w:r>
        <w:t>understanding of the NG</w:t>
      </w:r>
      <w:r w:rsidRPr="006C7462">
        <w:t>O.</w:t>
      </w:r>
      <w:r w:rsidRPr="006C7462">
        <w:rPr>
          <w:rStyle w:val="FootnoteReference"/>
        </w:rPr>
        <w:footnoteReference w:id="81"/>
      </w:r>
      <w:r>
        <w:t xml:space="preserve"> </w:t>
      </w:r>
      <w:r w:rsidRPr="006C7462">
        <w:t>The long term interests of consumers are no</w:t>
      </w:r>
      <w:r>
        <w:t>t delivered by any one of the NG</w:t>
      </w:r>
      <w:r w:rsidRPr="006C7462">
        <w:t>O's factors in isolation, but rather by balancing them</w:t>
      </w:r>
      <w:r>
        <w:t xml:space="preserve"> in reaching a regulatory decision</w:t>
      </w:r>
      <w:r w:rsidRPr="006C7462">
        <w:t>.</w:t>
      </w:r>
      <w:r w:rsidRPr="006C7462">
        <w:rPr>
          <w:rStyle w:val="FootnoteReference"/>
        </w:rPr>
        <w:footnoteReference w:id="82"/>
      </w:r>
    </w:p>
    <w:p w:rsidR="00C91C77" w:rsidRDefault="00C91C77" w:rsidP="00C91C77">
      <w:pPr>
        <w:pStyle w:val="ListParagraph"/>
        <w:numPr>
          <w:ilvl w:val="0"/>
          <w:numId w:val="24"/>
        </w:numPr>
      </w:pPr>
      <w:r w:rsidRPr="006C7462">
        <w:t>In general, we consider that we will achieve this balance and, therefore, contrib</w:t>
      </w:r>
      <w:r>
        <w:t>ute to the achievement of the NG</w:t>
      </w:r>
      <w:r w:rsidRPr="006C7462">
        <w:t>O</w:t>
      </w:r>
      <w:r>
        <w:t>,</w:t>
      </w:r>
      <w:r w:rsidRPr="006C7462">
        <w:t xml:space="preserve"> where consumers </w:t>
      </w:r>
      <w:r>
        <w:t>are provided</w:t>
      </w:r>
      <w:r w:rsidRPr="006C7462">
        <w:t xml:space="preserve"> a reasonable level of </w:t>
      </w:r>
      <w:r>
        <w:t xml:space="preserve">safe and reliable </w:t>
      </w:r>
      <w:r w:rsidRPr="006C7462">
        <w:t xml:space="preserve">service </w:t>
      </w:r>
      <w:r>
        <w:t xml:space="preserve">that they value </w:t>
      </w:r>
      <w:r w:rsidRPr="006C7462">
        <w:t xml:space="preserve">at </w:t>
      </w:r>
      <w:r>
        <w:t>least cost in the long run</w:t>
      </w:r>
      <w:r w:rsidRPr="006C7462">
        <w:t>.</w:t>
      </w:r>
      <w:r w:rsidRPr="006C7462">
        <w:rPr>
          <w:rStyle w:val="FootnoteReference"/>
        </w:rPr>
        <w:footnoteReference w:id="83"/>
      </w:r>
      <w:r w:rsidR="00345731">
        <w:t xml:space="preserve"> We have also considered the quality and reliability of services provided to consumers. For example, the opex allowance and pass through mechanism approved in this draft decision has been set so that AGN can meet existing and new regulatory requirements. Our approved capex forecast includes expenditure to replace assets that are aged or in unacceptable condition. It also allows for augmentation and connections capex </w:t>
      </w:r>
      <w:r w:rsidR="006F6954">
        <w:t>catering</w:t>
      </w:r>
      <w:r w:rsidR="00345731">
        <w:t xml:space="preserve"> for expected areas of growth, and for upgrades to IT systems to maintain current service levels.</w:t>
      </w:r>
    </w:p>
    <w:p w:rsidR="00C91C77" w:rsidRDefault="00C91C77" w:rsidP="00C91C77">
      <w:pPr>
        <w:pStyle w:val="ListParagraph"/>
        <w:numPr>
          <w:ilvl w:val="0"/>
          <w:numId w:val="24"/>
        </w:numPr>
      </w:pPr>
      <w:r w:rsidRPr="006C7462">
        <w:t xml:space="preserve">The nature of decisions </w:t>
      </w:r>
      <w:r>
        <w:t>under the NGR</w:t>
      </w:r>
      <w:r w:rsidRPr="006C7462">
        <w:t xml:space="preserve"> is such that there may be a range of economically efficient decisions, with different implications for the long term interests of consumers.</w:t>
      </w:r>
      <w:r w:rsidRPr="006C7462">
        <w:rPr>
          <w:rStyle w:val="FootnoteReference"/>
        </w:rPr>
        <w:footnoteReference w:id="84"/>
      </w:r>
      <w:r w:rsidRPr="006C7462">
        <w:t xml:space="preserve"> At the same time, however, there are a range of outcomes tha</w:t>
      </w:r>
      <w:r>
        <w:t>t are unlikely to advance the NG</w:t>
      </w:r>
      <w:r w:rsidRPr="006C7462">
        <w:t>O</w:t>
      </w:r>
      <w:r>
        <w:t>, or advance the NGO</w:t>
      </w:r>
      <w:r w:rsidRPr="006C7462">
        <w:t xml:space="preserve"> to </w:t>
      </w:r>
      <w:r>
        <w:t>the degree that others would</w:t>
      </w:r>
      <w:r w:rsidRPr="006C7462">
        <w:t xml:space="preserve">. </w:t>
      </w:r>
    </w:p>
    <w:p w:rsidR="00C91C77" w:rsidRDefault="00C91C77" w:rsidP="00C91C77">
      <w:pPr>
        <w:pStyle w:val="ListParagraph"/>
        <w:numPr>
          <w:ilvl w:val="0"/>
          <w:numId w:val="24"/>
        </w:numPr>
      </w:pPr>
      <w:r w:rsidRPr="006C7462">
        <w:t>For example</w:t>
      </w:r>
      <w:r>
        <w:t>, we do not consider that the NG</w:t>
      </w:r>
      <w:r w:rsidRPr="006C7462">
        <w:t>O would be advanced if allowed revenues encourage overinvestment and result in prices so high that consumers are unwilling or unable to efficiently use the network.</w:t>
      </w:r>
      <w:r w:rsidRPr="006C7462">
        <w:rPr>
          <w:rStyle w:val="FootnoteReference"/>
        </w:rPr>
        <w:footnoteReference w:id="85"/>
      </w:r>
      <w:r w:rsidRPr="006C7462">
        <w:t xml:space="preserve"> This could have significant longer term pricing implications for those consumers who continue to use network services.</w:t>
      </w:r>
    </w:p>
    <w:p w:rsidR="00C91C77" w:rsidRDefault="00C91C77" w:rsidP="00C91C77">
      <w:pPr>
        <w:pStyle w:val="ListParagraph"/>
        <w:numPr>
          <w:ilvl w:val="0"/>
          <w:numId w:val="24"/>
        </w:numPr>
      </w:pPr>
      <w:r w:rsidRPr="006C7462">
        <w:t>Eq</w:t>
      </w:r>
      <w:r>
        <w:t>ually, we do not consider the NG</w:t>
      </w:r>
      <w:r w:rsidRPr="006C7462">
        <w:t xml:space="preserve">O would be advanced if allowed revenues result in prices so low that investors are unwilling to invest as required to adequately maintain the appropriate quality and level of service, </w:t>
      </w:r>
      <w:r>
        <w:t xml:space="preserve">and where customers are making more use of the network than is sustainable. This could </w:t>
      </w:r>
      <w:r w:rsidRPr="006C7462">
        <w:t>creat</w:t>
      </w:r>
      <w:r>
        <w:t>e</w:t>
      </w:r>
      <w:r w:rsidRPr="006C7462">
        <w:t xml:space="preserve"> longer term problems in the network</w:t>
      </w:r>
      <w:r w:rsidRPr="006C7462">
        <w:rPr>
          <w:rStyle w:val="FootnoteReference"/>
        </w:rPr>
        <w:footnoteReference w:id="86"/>
      </w:r>
      <w:r w:rsidRPr="006C7462">
        <w:t xml:space="preserve"> </w:t>
      </w:r>
      <w:r>
        <w:t>and</w:t>
      </w:r>
      <w:r w:rsidRPr="006C7462">
        <w:t xml:space="preserve"> </w:t>
      </w:r>
      <w:r>
        <w:t>could</w:t>
      </w:r>
      <w:r w:rsidRPr="006C7462">
        <w:t xml:space="preserve"> have adverse consequences for safety, security and reliability of the network. </w:t>
      </w:r>
    </w:p>
    <w:p w:rsidR="00696094" w:rsidRPr="003B504B" w:rsidRDefault="00696094" w:rsidP="00696094">
      <w:r w:rsidRPr="006C7462">
        <w:t>The N</w:t>
      </w:r>
      <w:r>
        <w:t>G</w:t>
      </w:r>
      <w:r w:rsidRPr="006C7462">
        <w:t>L also includes the revenue and pricing principles (RPP</w:t>
      </w:r>
      <w:r w:rsidR="00B4151D">
        <w:t>s</w:t>
      </w:r>
      <w:r w:rsidRPr="006C7462">
        <w:t>), which support the N</w:t>
      </w:r>
      <w:r>
        <w:t>G</w:t>
      </w:r>
      <w:r w:rsidRPr="006C7462">
        <w:t>O.</w:t>
      </w:r>
      <w:r w:rsidRPr="006C7462">
        <w:rPr>
          <w:rStyle w:val="FootnoteReference"/>
        </w:rPr>
        <w:footnoteReference w:id="87"/>
      </w:r>
      <w:r w:rsidRPr="006C7462">
        <w:t xml:space="preserve"> As the N</w:t>
      </w:r>
      <w:r>
        <w:t>G</w:t>
      </w:r>
      <w:r w:rsidRPr="006C7462">
        <w:t>L requires,</w:t>
      </w:r>
      <w:r w:rsidRPr="006C7462">
        <w:rPr>
          <w:rStyle w:val="FootnoteReference"/>
        </w:rPr>
        <w:footnoteReference w:id="88"/>
      </w:r>
      <w:r w:rsidRPr="006C7462">
        <w:t xml:space="preserve"> we have taken the RPPs into account throughout our analysis. The RPPs are: </w:t>
      </w:r>
    </w:p>
    <w:p w:rsidR="00696094" w:rsidRPr="00AF78C7" w:rsidRDefault="00696094" w:rsidP="00696094">
      <w:pPr>
        <w:pStyle w:val="AERquote"/>
      </w:pPr>
      <w:bookmarkStart w:id="169" w:name="id3d9e0c67_2587_487c_84b5_232488295210_a"/>
      <w:r w:rsidRPr="00AF78C7">
        <w:t xml:space="preserve">A service provider should be provided with a reasonable opportunity to recover at least the efficient costs the </w:t>
      </w:r>
      <w:r>
        <w:t>service provider</w:t>
      </w:r>
      <w:r w:rsidRPr="00AF78C7">
        <w:t xml:space="preserve"> incurs in—</w:t>
      </w:r>
      <w:bookmarkEnd w:id="169"/>
    </w:p>
    <w:p w:rsidR="00696094" w:rsidRPr="00AF78C7" w:rsidRDefault="00696094" w:rsidP="00696094">
      <w:pPr>
        <w:pStyle w:val="AERquotebullet1"/>
      </w:pPr>
      <w:r w:rsidRPr="00AF78C7">
        <w:t xml:space="preserve">providing </w:t>
      </w:r>
      <w:r>
        <w:t>reference</w:t>
      </w:r>
      <w:r w:rsidRPr="00AF78C7">
        <w:t xml:space="preserve"> services; and</w:t>
      </w:r>
    </w:p>
    <w:p w:rsidR="00696094" w:rsidRPr="00AF78C7" w:rsidRDefault="00696094" w:rsidP="00696094">
      <w:pPr>
        <w:pStyle w:val="AERquotebullet1"/>
      </w:pPr>
      <w:bookmarkStart w:id="170" w:name="id39d95c28_3773_4662_b32f_fead85a8dc26_0"/>
      <w:r w:rsidRPr="00AF78C7">
        <w:t>complying with a regulatory obligation or requirement or making a regulatory payment.</w:t>
      </w:r>
      <w:bookmarkEnd w:id="170"/>
    </w:p>
    <w:p w:rsidR="00696094" w:rsidRPr="00AF78C7" w:rsidRDefault="00696094" w:rsidP="00696094">
      <w:pPr>
        <w:pStyle w:val="AERquote"/>
      </w:pPr>
      <w:r w:rsidRPr="00AF78C7">
        <w:t xml:space="preserve">A service provider should be provided with effective incentives in order to promote economic efficiency with respect to </w:t>
      </w:r>
      <w:r>
        <w:t>reference</w:t>
      </w:r>
      <w:r w:rsidRPr="00AF78C7">
        <w:t xml:space="preserve"> services the </w:t>
      </w:r>
      <w:r>
        <w:t>service provider</w:t>
      </w:r>
      <w:r w:rsidRPr="00AF78C7">
        <w:t xml:space="preserve"> provides. The economic efficiency that should be promoted includes—</w:t>
      </w:r>
    </w:p>
    <w:p w:rsidR="00696094" w:rsidRPr="00AF78C7" w:rsidRDefault="00696094" w:rsidP="00696094">
      <w:pPr>
        <w:pStyle w:val="AERquotebullet1"/>
      </w:pPr>
      <w:r w:rsidRPr="00AF78C7">
        <w:t>efficient investment in</w:t>
      </w:r>
      <w:r>
        <w:t>, or in connection with, a pipeline</w:t>
      </w:r>
      <w:r w:rsidRPr="00AF78C7">
        <w:t xml:space="preserve"> with which the </w:t>
      </w:r>
      <w:r>
        <w:t>service provider</w:t>
      </w:r>
      <w:r w:rsidRPr="00AF78C7">
        <w:t xml:space="preserve"> provides </w:t>
      </w:r>
      <w:r>
        <w:t>reference</w:t>
      </w:r>
      <w:r w:rsidRPr="00AF78C7">
        <w:t xml:space="preserve"> services; and</w:t>
      </w:r>
    </w:p>
    <w:p w:rsidR="00696094" w:rsidRPr="003B504B" w:rsidRDefault="00696094" w:rsidP="00696094">
      <w:pPr>
        <w:pStyle w:val="AERquotebullet1"/>
      </w:pPr>
      <w:r w:rsidRPr="00AF78C7">
        <w:t xml:space="preserve">the efficient provision of </w:t>
      </w:r>
      <w:r>
        <w:t>pipeline</w:t>
      </w:r>
      <w:r w:rsidRPr="00AF78C7">
        <w:t xml:space="preserve"> services; and</w:t>
      </w:r>
    </w:p>
    <w:p w:rsidR="00696094" w:rsidRPr="00AF78C7" w:rsidRDefault="00696094" w:rsidP="00696094">
      <w:pPr>
        <w:pStyle w:val="AERquotebullet1"/>
      </w:pPr>
      <w:r w:rsidRPr="00AF78C7">
        <w:t xml:space="preserve">the efficient use of the </w:t>
      </w:r>
      <w:r>
        <w:t>pipeline</w:t>
      </w:r>
      <w:r w:rsidRPr="00AF78C7">
        <w:t>.</w:t>
      </w:r>
    </w:p>
    <w:p w:rsidR="00696094" w:rsidRPr="00AF78C7" w:rsidRDefault="00696094" w:rsidP="00696094">
      <w:pPr>
        <w:pStyle w:val="AERquote"/>
      </w:pPr>
      <w:r w:rsidRPr="00AF78C7">
        <w:t xml:space="preserve">Regard should be had to the </w:t>
      </w:r>
      <w:r>
        <w:t>capital</w:t>
      </w:r>
      <w:r w:rsidRPr="00AF78C7">
        <w:t xml:space="preserve"> base with respect to a </w:t>
      </w:r>
      <w:r>
        <w:t>pipeline</w:t>
      </w:r>
      <w:r w:rsidRPr="00AF78C7">
        <w:t xml:space="preserve"> adopted—</w:t>
      </w:r>
    </w:p>
    <w:p w:rsidR="00696094" w:rsidRPr="00AF78C7" w:rsidRDefault="00696094" w:rsidP="00696094">
      <w:pPr>
        <w:pStyle w:val="AERquotebullet1"/>
      </w:pPr>
      <w:r w:rsidRPr="00AF78C7">
        <w:t>in any previous—</w:t>
      </w:r>
    </w:p>
    <w:p w:rsidR="00696094" w:rsidRPr="008E433E" w:rsidRDefault="00696094" w:rsidP="00696094">
      <w:pPr>
        <w:pStyle w:val="AERquotebullet1"/>
        <w:numPr>
          <w:ilvl w:val="1"/>
          <w:numId w:val="22"/>
        </w:numPr>
      </w:pPr>
      <w:r>
        <w:t>full access arrangement</w:t>
      </w:r>
      <w:r w:rsidRPr="00AF78C7">
        <w:t>; or</w:t>
      </w:r>
    </w:p>
    <w:p w:rsidR="00696094" w:rsidRPr="008E433E" w:rsidRDefault="00696094" w:rsidP="00696094">
      <w:pPr>
        <w:pStyle w:val="AERquotebullet1"/>
        <w:numPr>
          <w:ilvl w:val="1"/>
          <w:numId w:val="22"/>
        </w:numPr>
      </w:pPr>
      <w:r>
        <w:t>decision of a relevant regulator under section 2 of the Gas Code</w:t>
      </w:r>
      <w:r w:rsidRPr="00AF78C7">
        <w:t>; or</w:t>
      </w:r>
    </w:p>
    <w:p w:rsidR="00696094" w:rsidRPr="00AF78C7" w:rsidRDefault="00696094" w:rsidP="00696094">
      <w:pPr>
        <w:pStyle w:val="AERquotebullet1"/>
      </w:pPr>
      <w:r w:rsidRPr="00AF78C7">
        <w:t>in the Rules.</w:t>
      </w:r>
    </w:p>
    <w:p w:rsidR="00696094" w:rsidRPr="00AF78C7" w:rsidRDefault="00696094" w:rsidP="00696094">
      <w:pPr>
        <w:pStyle w:val="AERquote"/>
      </w:pPr>
      <w:r>
        <w:t>A reference tariff</w:t>
      </w:r>
      <w:r w:rsidRPr="00AF78C7">
        <w:t xml:space="preserve"> should allow for a return commensurate with the regulatory and commercial risks involved in providing the </w:t>
      </w:r>
      <w:r>
        <w:t>reference</w:t>
      </w:r>
      <w:r w:rsidRPr="00AF78C7">
        <w:t xml:space="preserve"> service to which that </w:t>
      </w:r>
      <w:r>
        <w:t>tariff</w:t>
      </w:r>
      <w:r w:rsidRPr="00AF78C7">
        <w:t xml:space="preserve"> relates.</w:t>
      </w:r>
    </w:p>
    <w:p w:rsidR="00696094" w:rsidRPr="00AF78C7" w:rsidRDefault="00696094" w:rsidP="00696094">
      <w:pPr>
        <w:pStyle w:val="AERquote"/>
      </w:pPr>
      <w:r w:rsidRPr="00AF78C7">
        <w:t>Regard should be had to the economic costs and risks of the potential for under and over investment by a service provider in</w:t>
      </w:r>
      <w:r>
        <w:t xml:space="preserve"> a pipeline</w:t>
      </w:r>
      <w:r w:rsidRPr="00AF78C7">
        <w:t xml:space="preserve"> with which the </w:t>
      </w:r>
      <w:r>
        <w:t>service provider</w:t>
      </w:r>
      <w:r w:rsidRPr="00AF78C7">
        <w:t xml:space="preserve"> provides </w:t>
      </w:r>
      <w:r>
        <w:t>pipeline</w:t>
      </w:r>
      <w:r w:rsidRPr="00AF78C7">
        <w:t xml:space="preserve"> services.</w:t>
      </w:r>
    </w:p>
    <w:p w:rsidR="00696094" w:rsidRDefault="00696094" w:rsidP="00696094">
      <w:pPr>
        <w:pStyle w:val="AERquote"/>
      </w:pPr>
      <w:r w:rsidRPr="006C7462">
        <w:t xml:space="preserve">Regard should be had to the economic costs and risks of the potential for under and over utilisation of a </w:t>
      </w:r>
      <w:r>
        <w:t>pipeline</w:t>
      </w:r>
      <w:r w:rsidRPr="006C7462">
        <w:t xml:space="preserve"> with which a service provider provides </w:t>
      </w:r>
      <w:r>
        <w:t>pipeline</w:t>
      </w:r>
      <w:r w:rsidRPr="006C7462">
        <w:t xml:space="preserve"> services. </w:t>
      </w:r>
    </w:p>
    <w:p w:rsidR="00696094" w:rsidRDefault="00696094" w:rsidP="00696094">
      <w:pPr>
        <w:numPr>
          <w:ilvl w:val="0"/>
          <w:numId w:val="24"/>
        </w:numPr>
      </w:pPr>
      <w:r>
        <w:t>Consistent with Energy Ministers' views, we set the amount of revenue that service providers can recover from customers to balance all of the elements of the NGO and consider each of the RPPs.</w:t>
      </w:r>
      <w:r>
        <w:rPr>
          <w:rStyle w:val="FootnoteReference"/>
        </w:rPr>
        <w:footnoteReference w:id="89"/>
      </w:r>
      <w:r>
        <w:t xml:space="preserve"> </w:t>
      </w:r>
      <w:r w:rsidR="00A06587">
        <w:t>For example:</w:t>
      </w:r>
    </w:p>
    <w:p w:rsidR="00A06587" w:rsidRPr="00A35C7A" w:rsidRDefault="00A06587" w:rsidP="007B2712">
      <w:pPr>
        <w:pStyle w:val="AERbulletlistfirststyle"/>
      </w:pPr>
      <w:r w:rsidRPr="00232478">
        <w:t xml:space="preserve">In determining forecast opex and capex that reasonably reflects the opex and capex </w:t>
      </w:r>
      <w:r w:rsidRPr="00A06587">
        <w:t xml:space="preserve">criteria, we take into account the revenue and pricing principle that we should provide </w:t>
      </w:r>
      <w:r w:rsidRPr="00E90ACB">
        <w:t>AGN with a reasonable opportunity to recover at least efficient costs. (Refer to capex attachment 6 and opex attachment 7).</w:t>
      </w:r>
      <w:r w:rsidRPr="00A35C7A">
        <w:t xml:space="preserve"> </w:t>
      </w:r>
    </w:p>
    <w:p w:rsidR="00A06587" w:rsidRPr="00A35C7A" w:rsidRDefault="00A06587" w:rsidP="007B2712">
      <w:pPr>
        <w:pStyle w:val="AERbulletlistfirststyle"/>
      </w:pPr>
      <w:r w:rsidRPr="00A35C7A">
        <w:t xml:space="preserve">We take into account the economic costs and risks of the potential for under and over investment by a service provider in our assessment </w:t>
      </w:r>
      <w:r w:rsidRPr="00C10631">
        <w:t>AGN</w:t>
      </w:r>
      <w:r w:rsidRPr="00A06587">
        <w:t>'s</w:t>
      </w:r>
      <w:r w:rsidRPr="00E90ACB">
        <w:t xml:space="preserve"> forecast </w:t>
      </w:r>
      <w:r w:rsidR="0069608D">
        <w:t>capex</w:t>
      </w:r>
      <w:r w:rsidRPr="00E90ACB">
        <w:t xml:space="preserve"> and </w:t>
      </w:r>
      <w:r w:rsidR="0069608D">
        <w:t>opex</w:t>
      </w:r>
      <w:r w:rsidRPr="00E90ACB">
        <w:t xml:space="preserve"> proposals</w:t>
      </w:r>
      <w:r w:rsidRPr="00A35C7A">
        <w:t>. (Refer to capex attachment 6 and opex attachment 7).</w:t>
      </w:r>
    </w:p>
    <w:p w:rsidR="00A06587" w:rsidRPr="00A35C7A" w:rsidRDefault="00A06587" w:rsidP="007B2712">
      <w:pPr>
        <w:pStyle w:val="AERbulletlistfirststyle"/>
      </w:pPr>
      <w:r w:rsidRPr="00A35C7A">
        <w:t xml:space="preserve">We consider the economic costs and risks of the potential for under and over utilisation of </w:t>
      </w:r>
      <w:r w:rsidRPr="00C10631">
        <w:t>AGN</w:t>
      </w:r>
      <w:r w:rsidRPr="00A06587">
        <w:t>'s</w:t>
      </w:r>
      <w:r w:rsidRPr="00E90ACB">
        <w:t xml:space="preserve"> distribution system in our </w:t>
      </w:r>
      <w:r w:rsidR="00205AB9">
        <w:t xml:space="preserve">decisions on </w:t>
      </w:r>
      <w:r w:rsidRPr="00E90ACB">
        <w:t xml:space="preserve">demand forecasting and </w:t>
      </w:r>
      <w:r w:rsidR="007673BC">
        <w:t xml:space="preserve">forecast </w:t>
      </w:r>
      <w:r w:rsidRPr="00E90ACB">
        <w:t xml:space="preserve">augmentation </w:t>
      </w:r>
      <w:r w:rsidR="00205AB9">
        <w:t>capex</w:t>
      </w:r>
      <w:r w:rsidR="00205AB9" w:rsidRPr="00E90ACB">
        <w:t xml:space="preserve"> </w:t>
      </w:r>
      <w:r w:rsidRPr="00A35C7A">
        <w:t>(Refer to capex attachment 6 and demand attachment 13).</w:t>
      </w:r>
    </w:p>
    <w:p w:rsidR="00A06587" w:rsidRPr="00E90ACB" w:rsidRDefault="00A06587" w:rsidP="007B2712">
      <w:pPr>
        <w:pStyle w:val="AERbulletlistfirststyle"/>
      </w:pPr>
      <w:r w:rsidRPr="00A35C7A">
        <w:t>Our application o</w:t>
      </w:r>
      <w:r w:rsidR="007673BC">
        <w:t>f</w:t>
      </w:r>
      <w:r w:rsidRPr="00A35C7A">
        <w:t xml:space="preserve"> the </w:t>
      </w:r>
      <w:r w:rsidRPr="00C10631">
        <w:t>efficiency carryover mechanism</w:t>
      </w:r>
      <w:r w:rsidRPr="00A06587">
        <w:t xml:space="preserve"> in this </w:t>
      </w:r>
      <w:r w:rsidR="005A6845" w:rsidRPr="00A06587">
        <w:t>de</w:t>
      </w:r>
      <w:r w:rsidR="005A6845">
        <w:t>cis</w:t>
      </w:r>
      <w:r w:rsidR="005A6845" w:rsidRPr="00A06587">
        <w:t xml:space="preserve">ion </w:t>
      </w:r>
      <w:r w:rsidRPr="00A06587">
        <w:t>provides AGN</w:t>
      </w:r>
      <w:r w:rsidRPr="00E90ACB">
        <w:t xml:space="preserve"> with effective incentives which we consider will promote economic efficiency with respect to the </w:t>
      </w:r>
      <w:r w:rsidRPr="00A35C7A">
        <w:t>reference service that A</w:t>
      </w:r>
      <w:r w:rsidRPr="00C10631">
        <w:t xml:space="preserve">GN provides throughout the </w:t>
      </w:r>
      <w:r w:rsidRPr="00A06587">
        <w:t>access arrangement period. (Refer to attachments 9 and 14</w:t>
      </w:r>
      <w:r w:rsidRPr="00E90ACB">
        <w:t xml:space="preserve">). </w:t>
      </w:r>
    </w:p>
    <w:p w:rsidR="00A06587" w:rsidRPr="00A06587" w:rsidRDefault="00A06587" w:rsidP="007B2712">
      <w:pPr>
        <w:pStyle w:val="AERbulletlistfirststyle"/>
      </w:pPr>
      <w:r w:rsidRPr="00E90ACB">
        <w:t>We have determined AGN's opening capital base</w:t>
      </w:r>
      <w:r w:rsidRPr="00D42A60">
        <w:t xml:space="preserve"> taking into account the c</w:t>
      </w:r>
      <w:r w:rsidRPr="00886FD6">
        <w:t>apital</w:t>
      </w:r>
      <w:r w:rsidRPr="00A35C7A">
        <w:t xml:space="preserve"> adopted in the previous </w:t>
      </w:r>
      <w:r w:rsidR="005A6845">
        <w:t>access arrangement</w:t>
      </w:r>
      <w:r w:rsidRPr="00A35C7A">
        <w:t>. (Refer to attachment 2, capital</w:t>
      </w:r>
      <w:r w:rsidRPr="00C10631">
        <w:t xml:space="preserve"> base).</w:t>
      </w:r>
    </w:p>
    <w:p w:rsidR="00A06587" w:rsidRPr="00C10631" w:rsidRDefault="006F6954" w:rsidP="007B2712">
      <w:pPr>
        <w:pStyle w:val="AERbulletlistfirststyle"/>
      </w:pPr>
      <w:r w:rsidRPr="00A06587">
        <w:t>The allowed rate of return objective reflects the revenue and pricing principle in s</w:t>
      </w:r>
      <w:r w:rsidR="00205AB9">
        <w:t>ection</w:t>
      </w:r>
      <w:r>
        <w:t xml:space="preserve"> </w:t>
      </w:r>
      <w:r w:rsidRPr="00A06587">
        <w:t xml:space="preserve">24(5). </w:t>
      </w:r>
      <w:r w:rsidR="00A06587" w:rsidRPr="00A06587">
        <w:t>We have determined a rate of return that we consider will provide AGN</w:t>
      </w:r>
      <w:r w:rsidR="00A06587" w:rsidRPr="00E90ACB">
        <w:t xml:space="preserve"> </w:t>
      </w:r>
      <w:r w:rsidR="00A06587" w:rsidRPr="00A35C7A">
        <w:t xml:space="preserve">with a return commensurate with the regulatory and commercial risks involved in providing pipeline services. </w:t>
      </w:r>
      <w:r w:rsidR="00A06587" w:rsidRPr="00C10631">
        <w:t>(Refer to attachment 3, rate of return).</w:t>
      </w:r>
    </w:p>
    <w:p w:rsidR="00A06587" w:rsidRPr="00A35C7A" w:rsidRDefault="00A06587" w:rsidP="007B2712">
      <w:pPr>
        <w:pStyle w:val="AERbulletlistfirststyle"/>
      </w:pPr>
      <w:r w:rsidRPr="00A06587">
        <w:t>Our financing determinations provide AGN</w:t>
      </w:r>
      <w:r w:rsidRPr="00E90ACB">
        <w:t xml:space="preserve"> </w:t>
      </w:r>
      <w:r w:rsidRPr="00D42A60">
        <w:t>with a reasonable opportunity to recover at least the</w:t>
      </w:r>
      <w:r w:rsidRPr="00A35C7A">
        <w:t xml:space="preserve"> efficient costs of accessing debt and capital. (Refer to attachment 3, rate of return).</w:t>
      </w:r>
    </w:p>
    <w:p w:rsidR="00A06587" w:rsidRPr="001B46C8" w:rsidRDefault="00A06587" w:rsidP="00A06587">
      <w:pPr>
        <w:rPr>
          <w:rStyle w:val="AERbody"/>
        </w:rPr>
      </w:pPr>
      <w:r w:rsidRPr="001B46C8">
        <w:rPr>
          <w:rStyle w:val="AERbody"/>
        </w:rPr>
        <w:t xml:space="preserve">In </w:t>
      </w:r>
      <w:r>
        <w:rPr>
          <w:rStyle w:val="AERbody"/>
        </w:rPr>
        <w:t xml:space="preserve">some </w:t>
      </w:r>
      <w:r w:rsidRPr="001B46C8">
        <w:rPr>
          <w:rStyle w:val="AERbody"/>
        </w:rPr>
        <w:t xml:space="preserve">cases, our approach to a particular component (or part thereof) results in an outcome towards the end of the range of options </w:t>
      </w:r>
      <w:r>
        <w:rPr>
          <w:rStyle w:val="AERbody"/>
        </w:rPr>
        <w:t>that may be</w:t>
      </w:r>
      <w:r w:rsidRPr="001B46C8">
        <w:rPr>
          <w:rStyle w:val="AERbody"/>
        </w:rPr>
        <w:t xml:space="preserve"> favourable to the businesses, for example, our choice of equity beta.</w:t>
      </w:r>
      <w:r w:rsidRPr="00FF25A5">
        <w:rPr>
          <w:rStyle w:val="AERsuperscript"/>
        </w:rPr>
        <w:t xml:space="preserve"> </w:t>
      </w:r>
      <w:r w:rsidRPr="001B46C8">
        <w:rPr>
          <w:rStyle w:val="AERbody"/>
        </w:rPr>
        <w:t>Some of these decisions include:</w:t>
      </w:r>
    </w:p>
    <w:p w:rsidR="00A06587" w:rsidRPr="00A06587" w:rsidRDefault="00A06587" w:rsidP="007B2712">
      <w:pPr>
        <w:pStyle w:val="AERbulletlistfirststyle"/>
        <w:rPr>
          <w:rStyle w:val="AERbody"/>
        </w:rPr>
      </w:pPr>
      <w:r w:rsidRPr="00A06587">
        <w:rPr>
          <w:rStyle w:val="AERbody"/>
        </w:rPr>
        <w:t>selecting at the top of the range for the equity beta</w:t>
      </w:r>
    </w:p>
    <w:p w:rsidR="00A06587" w:rsidRPr="00E90ACB" w:rsidRDefault="00A06587" w:rsidP="007B2712">
      <w:pPr>
        <w:pStyle w:val="AERbulletlistfirststyle"/>
        <w:rPr>
          <w:rStyle w:val="AERbody"/>
        </w:rPr>
      </w:pPr>
      <w:r w:rsidRPr="00E90ACB">
        <w:rPr>
          <w:rStyle w:val="AERbody"/>
        </w:rPr>
        <w:t>setting the return on debt by reference to data for a BBB broad band credit rating, when the benchmark is BBB+</w:t>
      </w:r>
    </w:p>
    <w:p w:rsidR="00A06587" w:rsidRPr="001B46C8" w:rsidRDefault="00A06587" w:rsidP="007B2712">
      <w:pPr>
        <w:pStyle w:val="AERbulletlistfirststyle"/>
        <w:rPr>
          <w:rStyle w:val="AERbody"/>
        </w:rPr>
      </w:pPr>
      <w:r w:rsidRPr="00E90ACB">
        <w:rPr>
          <w:rStyle w:val="AERbody"/>
        </w:rPr>
        <w:t>the cash flow</w:t>
      </w:r>
      <w:r w:rsidRPr="001B46C8">
        <w:rPr>
          <w:rStyle w:val="AERbody"/>
        </w:rPr>
        <w:t xml:space="preserve"> timing assumptions in the post-tax revenue model. </w:t>
      </w:r>
    </w:p>
    <w:p w:rsidR="00A06587" w:rsidRDefault="00A06587" w:rsidP="00A06587">
      <w:pPr>
        <w:rPr>
          <w:rStyle w:val="AERbody"/>
        </w:rPr>
      </w:pPr>
      <w:r>
        <w:t>We</w:t>
      </w:r>
      <w:r w:rsidRPr="00A34B93">
        <w:t xml:space="preserve"> take into account the RPPs when exercising discretion </w:t>
      </w:r>
      <w:r>
        <w:t xml:space="preserve">about an appropriate estimate. </w:t>
      </w:r>
      <w:r w:rsidRPr="00A34B93">
        <w:t xml:space="preserve">This requires </w:t>
      </w:r>
      <w:r>
        <w:t xml:space="preserve">a </w:t>
      </w:r>
      <w:r w:rsidRPr="00A34B93">
        <w:t>recognition that</w:t>
      </w:r>
      <w:r>
        <w:t xml:space="preserve"> </w:t>
      </w:r>
      <w:r w:rsidRPr="00A34B93">
        <w:t>for the long term interests of consumer</w:t>
      </w:r>
      <w:r>
        <w:t>s,</w:t>
      </w:r>
      <w:r w:rsidRPr="00A34B93">
        <w:t xml:space="preserve"> the risk of under compensation for, or underinvestment by, a service provider may be less desirable than </w:t>
      </w:r>
      <w:r>
        <w:t xml:space="preserve">the risk of </w:t>
      </w:r>
      <w:r w:rsidRPr="00A34B93">
        <w:t>overcompensation or overinvestment.</w:t>
      </w:r>
      <w:r>
        <w:t xml:space="preserve"> However, </w:t>
      </w:r>
      <w:r w:rsidR="00E90ACB">
        <w:t>we are</w:t>
      </w:r>
      <w:r w:rsidRPr="00A34B93">
        <w:t xml:space="preserve"> also conscious of the risk of introducing an inherent bias towards higher amounts where estimates throughout the different components of the </w:t>
      </w:r>
      <w:r>
        <w:t>forecast revenue requirement</w:t>
      </w:r>
      <w:r w:rsidRPr="00A34B93">
        <w:t xml:space="preserve"> are each set too conservatively.</w:t>
      </w:r>
      <w:r>
        <w:rPr>
          <w:rStyle w:val="FootnoteReference"/>
        </w:rPr>
        <w:footnoteReference w:id="90"/>
      </w:r>
      <w:r w:rsidRPr="00A34B93">
        <w:t xml:space="preserve"> The legislative framework recognises the complexity of this task by providing </w:t>
      </w:r>
      <w:r w:rsidR="00E90ACB">
        <w:t>us</w:t>
      </w:r>
      <w:r w:rsidRPr="00A34B93">
        <w:t xml:space="preserve"> with significant discretion in many aspects of the decision-making process to make judgements on these matters.</w:t>
      </w:r>
    </w:p>
    <w:p w:rsidR="00696094" w:rsidRDefault="00696094" w:rsidP="00933D74">
      <w:pPr>
        <w:numPr>
          <w:ilvl w:val="0"/>
          <w:numId w:val="24"/>
        </w:numPr>
      </w:pPr>
      <w:r>
        <w:t>Part 9</w:t>
      </w:r>
      <w:r w:rsidRPr="00892ECD">
        <w:t xml:space="preserve"> of the N</w:t>
      </w:r>
      <w:r>
        <w:t>G</w:t>
      </w:r>
      <w:r w:rsidRPr="00892ECD">
        <w:t xml:space="preserve">R provides </w:t>
      </w:r>
      <w:r>
        <w:t xml:space="preserve">specifically for the </w:t>
      </w:r>
      <w:r w:rsidRPr="00892ECD">
        <w:t xml:space="preserve">economic regulation of </w:t>
      </w:r>
      <w:r>
        <w:t>covered pipelines. It includes detailed rules about the individual components of our decisions. These are intended to contribute to the achievement of the NGO</w:t>
      </w:r>
      <w:r w:rsidRPr="00715EF7">
        <w:t>.</w:t>
      </w:r>
    </w:p>
    <w:p w:rsidR="00710D26" w:rsidRDefault="00710D26" w:rsidP="00710D26">
      <w:pPr>
        <w:pStyle w:val="Heading2"/>
      </w:pPr>
      <w:bookmarkStart w:id="171" w:name="_Toc404154709"/>
      <w:bookmarkStart w:id="172" w:name="_Toc430002800"/>
      <w:bookmarkStart w:id="173" w:name="_Toc436037712"/>
      <w:bookmarkEnd w:id="171"/>
      <w:r>
        <w:t>Achieving the NGO to the greatest degree</w:t>
      </w:r>
      <w:bookmarkEnd w:id="172"/>
      <w:bookmarkEnd w:id="173"/>
    </w:p>
    <w:p w:rsidR="00E6107A" w:rsidRDefault="00E6107A" w:rsidP="00E6107A">
      <w:pPr>
        <w:numPr>
          <w:ilvl w:val="0"/>
          <w:numId w:val="24"/>
        </w:numPr>
      </w:pPr>
      <w:bookmarkStart w:id="174" w:name="_Toc409422588"/>
      <w:bookmarkStart w:id="175" w:name="_Ref409431158"/>
      <w:bookmarkStart w:id="176" w:name="_Toc411428071"/>
      <w:r w:rsidRPr="00C362C1">
        <w:t>A</w:t>
      </w:r>
      <w:r w:rsidR="00A25B38">
        <w:t xml:space="preserve">n access arrangement </w:t>
      </w:r>
      <w:r w:rsidR="00D42A60">
        <w:t xml:space="preserve">decision </w:t>
      </w:r>
      <w:r w:rsidR="00A25B38">
        <w:t>is</w:t>
      </w:r>
      <w:r w:rsidRPr="00C362C1">
        <w:t xml:space="preserve"> complex and must be considered as such.</w:t>
      </w:r>
      <w:r>
        <w:t xml:space="preserve"> In most instances, the provisions of the NGR do not point to a single answer, either for our decision as a whole or in respect of particular components. They require us </w:t>
      </w:r>
      <w:r w:rsidR="00B31B18">
        <w:t>to exercise our regulatory judg</w:t>
      </w:r>
      <w:r>
        <w:t xml:space="preserve">ment. For example, Part 9 of the NGR requires us to prepare forecasts, which are predictions about unknown future circumstances. As a result, there will likely always be more than one plausible forecast. There is substantial debate amongst stakeholders about the costs we must forecast, with both sides often supported by expert opinion. As a result, for certain components of our decision there may be several plausible answers or several </w:t>
      </w:r>
      <w:r w:rsidR="00D42A60">
        <w:t xml:space="preserve">plausible </w:t>
      </w:r>
      <w:r>
        <w:t xml:space="preserve">point estimates. </w:t>
      </w:r>
    </w:p>
    <w:p w:rsidR="00E6107A" w:rsidRDefault="00E6107A" w:rsidP="00E6107A">
      <w:pPr>
        <w:numPr>
          <w:ilvl w:val="0"/>
          <w:numId w:val="24"/>
        </w:numPr>
      </w:pPr>
      <w:r>
        <w:t xml:space="preserve">When the components of our decision are considered together, this means there will almost always be several potential, overall decisions. More than one of these may contribute to the achievement of the NGO. Where this is the case, our role is to make an overall decision that we are satisfied contributes to the achievement of the NGO to the </w:t>
      </w:r>
      <w:r w:rsidRPr="00366D90">
        <w:rPr>
          <w:rStyle w:val="AERtextitalic"/>
        </w:rPr>
        <w:t>greatest</w:t>
      </w:r>
      <w:r>
        <w:t xml:space="preserve"> degree.</w:t>
      </w:r>
      <w:r>
        <w:rPr>
          <w:rStyle w:val="FootnoteReference"/>
        </w:rPr>
        <w:footnoteReference w:id="91"/>
      </w:r>
      <w:r>
        <w:t xml:space="preserve"> </w:t>
      </w:r>
    </w:p>
    <w:p w:rsidR="00E6107A" w:rsidRDefault="00E6107A" w:rsidP="00E6107A">
      <w:pPr>
        <w:numPr>
          <w:ilvl w:val="0"/>
          <w:numId w:val="24"/>
        </w:numPr>
      </w:pPr>
      <w:r>
        <w:t xml:space="preserve">We approach this from a practical perspective, accepting that it is not possible to consider every permutation specifically. Where there are </w:t>
      </w:r>
      <w:r w:rsidR="00D42A60">
        <w:t xml:space="preserve">choices to be made among </w:t>
      </w:r>
      <w:r>
        <w:t xml:space="preserve">several plausible </w:t>
      </w:r>
      <w:r w:rsidR="00D42A60">
        <w:t>alternatives each of which would result in an overall decision that contributes to the achievement of the NGO</w:t>
      </w:r>
      <w:r>
        <w:t>, we have selected what we are satisfied</w:t>
      </w:r>
      <w:r w:rsidR="00D42A60">
        <w:t xml:space="preserve"> would result in an overall decision that</w:t>
      </w:r>
      <w:r>
        <w:t xml:space="preserve"> contributes to the </w:t>
      </w:r>
      <w:r w:rsidR="00D42A60">
        <w:t xml:space="preserve">achievement of the </w:t>
      </w:r>
      <w:r>
        <w:t xml:space="preserve">NGO to the greatest degree. </w:t>
      </w:r>
    </w:p>
    <w:p w:rsidR="00E6107A" w:rsidRDefault="00D42A60" w:rsidP="00E6107A">
      <w:r>
        <w:t>Also, in coming to this draft decision we have considered AGN’s proposal. We have examined each of the building block components of the forecast revenue requirement, and the incentive mechanisms that should apply across the next access arrangement period. We have considered submissions we received in regard to AGN’s proposal. We have conducted our own analysis and engaged expert consultants to help us better understand if and how AGN’s proposal contributes to the achievement of the NGO. We have also considered how the individual components of our decision relate to each other, the impact that particular components of our decision have on others, and have described these interrelationships in this draft decision</w:t>
      </w:r>
      <w:r w:rsidR="00886FD6">
        <w:t>. We have had regard to and weighed up all of the information assembled before us in making this draft decision, and have made as much of this information publicly available as practicable for the purposes of consultation.</w:t>
      </w:r>
    </w:p>
    <w:p w:rsidR="00886FD6" w:rsidRPr="00366D90" w:rsidRDefault="00886FD6" w:rsidP="00E6107A">
      <w:r>
        <w:t>Therefore, we are satisfied that among the options before us, our draft decision on AGN’s access arrangement for the 2016–21 access arrangement period contributes to achieving the NGO to the greatest degree.</w:t>
      </w:r>
    </w:p>
    <w:p w:rsidR="00710D26" w:rsidRDefault="00710D26" w:rsidP="00710D26">
      <w:pPr>
        <w:pStyle w:val="Heading3"/>
      </w:pPr>
      <w:bookmarkStart w:id="177" w:name="_Toc430002801"/>
      <w:bookmarkStart w:id="178" w:name="_Ref434235701"/>
      <w:bookmarkStart w:id="179" w:name="_Toc436037713"/>
      <w:bookmarkEnd w:id="174"/>
      <w:bookmarkEnd w:id="175"/>
      <w:bookmarkEnd w:id="176"/>
      <w:r>
        <w:t xml:space="preserve">Interrelationships between </w:t>
      </w:r>
      <w:r w:rsidR="0090716A">
        <w:t xml:space="preserve">individual </w:t>
      </w:r>
      <w:r>
        <w:t>components</w:t>
      </w:r>
      <w:bookmarkEnd w:id="177"/>
      <w:bookmarkEnd w:id="178"/>
      <w:bookmarkEnd w:id="179"/>
    </w:p>
    <w:p w:rsidR="00696094" w:rsidRPr="00C362C1" w:rsidRDefault="00696094" w:rsidP="00696094">
      <w:r w:rsidRPr="009D2C84">
        <w:t xml:space="preserve">Considering </w:t>
      </w:r>
      <w:r>
        <w:t>individual</w:t>
      </w:r>
      <w:r w:rsidRPr="009D2C84">
        <w:t xml:space="preserve"> components in isolation ignores the importance of interrelationships between components </w:t>
      </w:r>
      <w:r w:rsidR="0090716A">
        <w:t xml:space="preserve">of the overall decision, </w:t>
      </w:r>
      <w:r w:rsidRPr="009D2C84">
        <w:t>and would not contribute to the achievement of the N</w:t>
      </w:r>
      <w:r>
        <w:t>G</w:t>
      </w:r>
      <w:r w:rsidRPr="009D2C84">
        <w:t>O. As outlined by Energy Ministers, considering the elements in isolation has resulted in regulatory failures in the past.</w:t>
      </w:r>
      <w:r w:rsidRPr="009D2C84">
        <w:rPr>
          <w:rStyle w:val="FootnoteReference"/>
        </w:rPr>
        <w:footnoteReference w:id="92"/>
      </w:r>
      <w:r w:rsidRPr="009D2C84">
        <w:t xml:space="preserve"> Interrelationships can take various forms, including:</w:t>
      </w:r>
    </w:p>
    <w:p w:rsidR="00696094" w:rsidRPr="00C362C1" w:rsidRDefault="00696094" w:rsidP="00696094">
      <w:pPr>
        <w:pStyle w:val="AERbulletlistfirststyle"/>
      </w:pPr>
      <w:r w:rsidRPr="00C362C1">
        <w:t xml:space="preserve">underlying drivers and context which are likely to affect many constituent components of our decision. For example, forecast demand affects </w:t>
      </w:r>
      <w:r w:rsidR="007673BC">
        <w:t xml:space="preserve">forecasts of </w:t>
      </w:r>
      <w:r w:rsidRPr="00C362C1">
        <w:t xml:space="preserve">the efficient levels of capex and opex in the </w:t>
      </w:r>
      <w:r>
        <w:t>access</w:t>
      </w:r>
      <w:r w:rsidRPr="00C362C1">
        <w:t xml:space="preserve"> </w:t>
      </w:r>
      <w:r>
        <w:t xml:space="preserve">arrangement </w:t>
      </w:r>
      <w:r w:rsidRPr="00C362C1">
        <w:t xml:space="preserve">period </w:t>
      </w:r>
      <w:r>
        <w:t>(see attachment 6, 7 and 13)</w:t>
      </w:r>
      <w:r w:rsidRPr="00C362C1">
        <w:t>.</w:t>
      </w:r>
    </w:p>
    <w:p w:rsidR="00696094" w:rsidRPr="00C362C1" w:rsidRDefault="00696094" w:rsidP="00696094">
      <w:pPr>
        <w:pStyle w:val="AERbulletlistfirststyle"/>
      </w:pPr>
      <w:r w:rsidRPr="00C362C1">
        <w:t xml:space="preserve">direct mathematical links between different components of a decision. For example, the </w:t>
      </w:r>
      <w:r>
        <w:t>value of imputation credits (gamma)</w:t>
      </w:r>
      <w:r w:rsidRPr="00C362C1">
        <w:t xml:space="preserve"> has an impact on the appropriate tax allowance; the benchmark efficient entity's debt to equity ratio has a direct effect on the cost of equity, the cost of debt, and the overall vanilla rate of return</w:t>
      </w:r>
      <w:r>
        <w:t xml:space="preserve"> (see attachments 3, 4 and 8)</w:t>
      </w:r>
      <w:r w:rsidRPr="00C362C1">
        <w:t>.</w:t>
      </w:r>
    </w:p>
    <w:p w:rsidR="00696094" w:rsidRPr="00C362C1" w:rsidRDefault="00696094" w:rsidP="00696094">
      <w:pPr>
        <w:pStyle w:val="AERbulletlistfirststyle"/>
      </w:pPr>
      <w:r w:rsidRPr="00C362C1">
        <w:t>trade-offs between different components of revenue. For example, undertaking a particular capex project may affect the need for opex and vice versa</w:t>
      </w:r>
      <w:r>
        <w:t xml:space="preserve"> (see attachments 6 and 7)</w:t>
      </w:r>
      <w:r w:rsidRPr="00C362C1">
        <w:t>.</w:t>
      </w:r>
    </w:p>
    <w:p w:rsidR="00696094" w:rsidRPr="00C362C1" w:rsidRDefault="00696094" w:rsidP="00696094">
      <w:pPr>
        <w:pStyle w:val="AERbulletlistfirststyle"/>
      </w:pPr>
      <w:r w:rsidRPr="00C362C1">
        <w:t xml:space="preserve">trade-offs between forecast and actual regulatory measures. The reasons for one part of a proposal may have impacts on other parts of a proposal. For example, </w:t>
      </w:r>
      <w:r w:rsidR="006B4F81">
        <w:t xml:space="preserve">completion of forecast </w:t>
      </w:r>
      <w:r w:rsidRPr="00C362C1">
        <w:t>augmentation</w:t>
      </w:r>
      <w:r w:rsidR="006B4F81">
        <w:t xml:space="preserve"> (capex)</w:t>
      </w:r>
      <w:r w:rsidRPr="00C362C1">
        <w:t xml:space="preserve"> to the network </w:t>
      </w:r>
      <w:r w:rsidR="006B4F81">
        <w:t xml:space="preserve">will </w:t>
      </w:r>
      <w:r w:rsidRPr="00C362C1">
        <w:t xml:space="preserve">mean the </w:t>
      </w:r>
      <w:r>
        <w:t>service provider</w:t>
      </w:r>
      <w:r w:rsidRPr="00C362C1">
        <w:t xml:space="preserve"> has more assets to maintain</w:t>
      </w:r>
      <w:r w:rsidR="006B4F81">
        <w:t>,</w:t>
      </w:r>
      <w:r w:rsidRPr="00C362C1">
        <w:t xml:space="preserve"> leading to higher opex requirements</w:t>
      </w:r>
      <w:r>
        <w:t xml:space="preserve"> (see attachments 6 and 7)</w:t>
      </w:r>
      <w:r w:rsidRPr="00C362C1">
        <w:t>.</w:t>
      </w:r>
    </w:p>
    <w:p w:rsidR="00696094" w:rsidRPr="00C362C1" w:rsidRDefault="00696094" w:rsidP="00696094">
      <w:pPr>
        <w:pStyle w:val="AERbulletlistfirststyle"/>
      </w:pPr>
      <w:r w:rsidRPr="00C362C1">
        <w:t xml:space="preserve">the </w:t>
      </w:r>
      <w:r>
        <w:t>service provider</w:t>
      </w:r>
      <w:r w:rsidRPr="00C362C1">
        <w:t xml:space="preserve">'s </w:t>
      </w:r>
      <w:r>
        <w:t xml:space="preserve">approach </w:t>
      </w:r>
      <w:r w:rsidRPr="00C362C1">
        <w:t xml:space="preserve">to managing its network. The </w:t>
      </w:r>
      <w:r>
        <w:t>service provider</w:t>
      </w:r>
      <w:r w:rsidRPr="00C362C1">
        <w:t>'s governance arrangements and its approach to risk management will influence most aspects of the proposal, including capex/opex trade-offs</w:t>
      </w:r>
      <w:r>
        <w:t xml:space="preserve"> (see attachments 6 and 7)</w:t>
      </w:r>
      <w:r w:rsidRPr="00C362C1">
        <w:t>.</w:t>
      </w:r>
    </w:p>
    <w:p w:rsidR="00696094" w:rsidRPr="006C7462" w:rsidRDefault="00696094" w:rsidP="00696094">
      <w:r w:rsidRPr="009D2C84">
        <w:t>We have considered interrelationships</w:t>
      </w:r>
      <w:r w:rsidR="00A35C7A">
        <w:t>, including those above,</w:t>
      </w:r>
      <w:r w:rsidRPr="009D2C84">
        <w:t xml:space="preserve"> in our analysis of the </w:t>
      </w:r>
      <w:r w:rsidR="00A35C7A">
        <w:t>individual</w:t>
      </w:r>
      <w:r w:rsidR="00A35C7A" w:rsidRPr="009D2C84">
        <w:t xml:space="preserve"> </w:t>
      </w:r>
      <w:r w:rsidRPr="009D2C84">
        <w:t xml:space="preserve">components of our decision. </w:t>
      </w:r>
      <w:r>
        <w:t>These considerations are explored in the relevant attachments</w:t>
      </w:r>
      <w:r w:rsidRPr="009D2C84">
        <w:t>.</w:t>
      </w:r>
    </w:p>
    <w:p w:rsidR="00710D26" w:rsidRDefault="00710D26" w:rsidP="00710D26"/>
    <w:p w:rsidR="00710D26" w:rsidRDefault="00710D26" w:rsidP="00710D26">
      <w:pPr>
        <w:pStyle w:val="Heading1"/>
      </w:pPr>
      <w:bookmarkStart w:id="180" w:name="_Toc430002802"/>
      <w:bookmarkStart w:id="181" w:name="_Ref434235450"/>
      <w:bookmarkStart w:id="182" w:name="_Ref434479264"/>
      <w:bookmarkStart w:id="183" w:name="_Toc436037714"/>
      <w:r>
        <w:t>Consultation</w:t>
      </w:r>
      <w:bookmarkEnd w:id="180"/>
      <w:bookmarkEnd w:id="181"/>
      <w:bookmarkEnd w:id="182"/>
      <w:bookmarkEnd w:id="183"/>
    </w:p>
    <w:p w:rsidR="001B2C3C" w:rsidRDefault="001B2C3C" w:rsidP="00BE6A6D">
      <w:r>
        <w:t>Stakeholder participation is important to informed decision making under the NGL and NGR. It allows us to take a range of views into account when considering how a proposal or decision contributes to the NGO. Effective consultation and engagement provide confidence in our processes and are good regulatory practice. This is reflected in the consultation process set out in the NGR.</w:t>
      </w:r>
    </w:p>
    <w:p w:rsidR="00BE6A6D" w:rsidRDefault="004D75F5" w:rsidP="00BE6A6D">
      <w:r>
        <w:t>We p</w:t>
      </w:r>
      <w:r w:rsidRPr="000D6211">
        <w:t>ublish</w:t>
      </w:r>
      <w:r>
        <w:t>ed</w:t>
      </w:r>
      <w:r w:rsidRPr="000D6211">
        <w:t xml:space="preserve"> </w:t>
      </w:r>
      <w:r>
        <w:t>AGN's access arrangement revision proposal</w:t>
      </w:r>
      <w:r w:rsidRPr="000D6211">
        <w:t xml:space="preserve"> and supporting material</w:t>
      </w:r>
      <w:r>
        <w:t xml:space="preserve"> on our website in July 2015</w:t>
      </w:r>
      <w:r w:rsidR="001B2C3C">
        <w:t>,</w:t>
      </w:r>
      <w:r>
        <w:t xml:space="preserve"> and invited written submissions </w:t>
      </w:r>
      <w:r w:rsidRPr="000D6211">
        <w:t xml:space="preserve">on the </w:t>
      </w:r>
      <w:r>
        <w:t>access arrangement proposals.</w:t>
      </w:r>
      <w:r w:rsidR="00C12020">
        <w:rPr>
          <w:rStyle w:val="FootnoteReference"/>
        </w:rPr>
        <w:footnoteReference w:id="93"/>
      </w:r>
      <w:r w:rsidR="006D6632">
        <w:t xml:space="preserve"> </w:t>
      </w:r>
      <w:r w:rsidR="00997FDF">
        <w:t xml:space="preserve">We also sought advice on AGN's access arrangement proposal from the </w:t>
      </w:r>
      <w:r w:rsidR="00997FDF" w:rsidRPr="0000342D">
        <w:t>AER's Consumer Challenge Panel</w:t>
      </w:r>
      <w:r w:rsidR="00997FDF">
        <w:t xml:space="preserve"> (CCP). </w:t>
      </w:r>
      <w:r w:rsidR="006D6632">
        <w:t xml:space="preserve">During this consultation period, AER staff </w:t>
      </w:r>
      <w:r w:rsidR="00997FDF">
        <w:t xml:space="preserve">and members of the CCP </w:t>
      </w:r>
      <w:r w:rsidR="006D6632">
        <w:t xml:space="preserve">met with </w:t>
      </w:r>
      <w:r w:rsidR="00765070">
        <w:t xml:space="preserve">a number of </w:t>
      </w:r>
      <w:r w:rsidR="006D6632">
        <w:t>key stakeholders in Adelaide.</w:t>
      </w:r>
      <w:r>
        <w:t xml:space="preserve"> </w:t>
      </w:r>
      <w:r w:rsidR="00997FDF" w:rsidRPr="0000342D">
        <w:t xml:space="preserve">In developing this </w:t>
      </w:r>
      <w:r w:rsidR="00997FDF">
        <w:t>draft</w:t>
      </w:r>
      <w:r w:rsidR="00997FDF" w:rsidRPr="0000342D">
        <w:t xml:space="preserve"> decision we have considered views presented to us by all stakeholders.</w:t>
      </w:r>
      <w:r w:rsidR="00997FDF">
        <w:rPr>
          <w:rStyle w:val="FootnoteReference"/>
        </w:rPr>
        <w:footnoteReference w:id="94"/>
      </w:r>
      <w:r w:rsidR="00997FDF" w:rsidRPr="0000342D">
        <w:t xml:space="preserve"> </w:t>
      </w:r>
      <w:r>
        <w:t>We received 15 written submissions from stakeholders</w:t>
      </w:r>
      <w:r w:rsidR="00997FDF">
        <w:t>. This includes written advice from the CCP, which was presented to the AER Board in August 2015</w:t>
      </w:r>
      <w:r>
        <w:t>. A list of stakeholder submissions is provided in appendix </w:t>
      </w:r>
      <w:r w:rsidR="00E77648">
        <w:fldChar w:fldCharType="begin"/>
      </w:r>
      <w:r w:rsidR="00E77648">
        <w:instrText xml:space="preserve"> REF _Ref433813158 \r \h </w:instrText>
      </w:r>
      <w:r w:rsidR="00E77648">
        <w:fldChar w:fldCharType="separate"/>
      </w:r>
      <w:r w:rsidR="00E90DAD">
        <w:t>A</w:t>
      </w:r>
      <w:r w:rsidR="00E77648">
        <w:fldChar w:fldCharType="end"/>
      </w:r>
      <w:r w:rsidR="00997FDF">
        <w:t xml:space="preserve"> to this Overview</w:t>
      </w:r>
      <w:r>
        <w:t>.</w:t>
      </w:r>
      <w:r w:rsidR="00BE6A6D" w:rsidRPr="00BE6A6D">
        <w:t xml:space="preserve"> </w:t>
      </w:r>
      <w:r w:rsidR="00997FDF">
        <w:t>All submissions are available on our website.</w:t>
      </w:r>
    </w:p>
    <w:p w:rsidR="00BF32A5" w:rsidRPr="00276DDF" w:rsidRDefault="00BF32A5" w:rsidP="00BF32A5">
      <w:r>
        <w:t xml:space="preserve">This process builds on consultation undertaken by the AER as part of the Better Regulation program. </w:t>
      </w:r>
      <w:r w:rsidRPr="00276DDF">
        <w:t xml:space="preserve">Following the 2012 changes to the </w:t>
      </w:r>
      <w:r w:rsidR="00765070" w:rsidRPr="00BE24D3">
        <w:t>National Electricity Rules</w:t>
      </w:r>
      <w:r w:rsidR="00765070" w:rsidRPr="00276DDF">
        <w:t xml:space="preserve"> </w:t>
      </w:r>
      <w:r w:rsidR="00765070">
        <w:t>(</w:t>
      </w:r>
      <w:r w:rsidRPr="00276DDF">
        <w:t>NER</w:t>
      </w:r>
      <w:r w:rsidR="00765070">
        <w:t>)</w:t>
      </w:r>
      <w:r w:rsidR="00BE24D3">
        <w:t xml:space="preserve"> and NGR</w:t>
      </w:r>
      <w:r w:rsidRPr="00276DDF">
        <w:t>, we spent much of 2013 consulting on and refining our assessment methods and approaches to decision making. We referred to this as our Better Regulation program. The Better Regulation program was designed to be an inclusive process that provided an opportunity for all stakeholders to be engaged and provide their input.</w:t>
      </w:r>
      <w:r w:rsidRPr="00276DDF">
        <w:rPr>
          <w:rStyle w:val="FootnoteReference"/>
        </w:rPr>
        <w:footnoteReference w:id="95"/>
      </w:r>
      <w:r w:rsidRPr="00276DDF">
        <w:t xml:space="preserve"> </w:t>
      </w:r>
    </w:p>
    <w:p w:rsidR="00BF32A5" w:rsidRPr="00276DDF" w:rsidRDefault="00BF32A5" w:rsidP="00BF32A5">
      <w:pPr>
        <w:numPr>
          <w:ilvl w:val="0"/>
          <w:numId w:val="24"/>
        </w:numPr>
      </w:pPr>
      <w:r>
        <w:t xml:space="preserve">This </w:t>
      </w:r>
      <w:r w:rsidRPr="00276DDF">
        <w:t>gives us confidence the approaches set out in the Guidelines, which we have applied in this decision, will result in decisions that will or are likely to contribute to the achievement of the N</w:t>
      </w:r>
      <w:r w:rsidR="00BE24D3">
        <w:t>G</w:t>
      </w:r>
      <w:r w:rsidRPr="00276DDF">
        <w:t>O to the greatest</w:t>
      </w:r>
      <w:r>
        <w:t xml:space="preserve"> degree. Our Better Regulation g</w:t>
      </w:r>
      <w:r w:rsidRPr="00276DDF">
        <w:t>uidelines are available on our website and include:</w:t>
      </w:r>
      <w:r w:rsidRPr="00276DDF">
        <w:rPr>
          <w:rStyle w:val="FootnoteReference"/>
        </w:rPr>
        <w:footnoteReference w:id="96"/>
      </w:r>
    </w:p>
    <w:p w:rsidR="00BF32A5" w:rsidRPr="00276DDF" w:rsidRDefault="00BF32A5" w:rsidP="00BF32A5">
      <w:pPr>
        <w:pStyle w:val="AERbulletlistfirststyle"/>
      </w:pPr>
      <w:r w:rsidRPr="00276DDF">
        <w:t>Expenditure Forecast Assessment Guideline</w:t>
      </w:r>
    </w:p>
    <w:p w:rsidR="00BF32A5" w:rsidRPr="00276DDF" w:rsidRDefault="00BF32A5" w:rsidP="00BF32A5">
      <w:pPr>
        <w:pStyle w:val="AERbulletlistfirststyle"/>
      </w:pPr>
      <w:r w:rsidRPr="00276DDF">
        <w:t>Expenditure Incentives Guideline</w:t>
      </w:r>
    </w:p>
    <w:p w:rsidR="00BF32A5" w:rsidRPr="00276DDF" w:rsidRDefault="00BF32A5" w:rsidP="00BF32A5">
      <w:pPr>
        <w:pStyle w:val="AERbulletlistfirststyle"/>
      </w:pPr>
      <w:r w:rsidRPr="00276DDF">
        <w:t>Rate of Return Guideline</w:t>
      </w:r>
    </w:p>
    <w:p w:rsidR="00BF32A5" w:rsidRPr="00276DDF" w:rsidRDefault="00BF32A5" w:rsidP="00BF32A5">
      <w:pPr>
        <w:pStyle w:val="AERbulletlistfirststyle"/>
      </w:pPr>
      <w:r w:rsidRPr="00276DDF">
        <w:t>Consumer Engagement Guideline for Network Service Providers</w:t>
      </w:r>
    </w:p>
    <w:p w:rsidR="00BF32A5" w:rsidRPr="00276DDF" w:rsidRDefault="00BF32A5" w:rsidP="00BF32A5">
      <w:pPr>
        <w:pStyle w:val="AERbulletlistfirststyle"/>
      </w:pPr>
      <w:r w:rsidRPr="00276DDF">
        <w:t>Shared Assets Guideline</w:t>
      </w:r>
      <w:r w:rsidR="00E77648">
        <w:t>, and</w:t>
      </w:r>
    </w:p>
    <w:p w:rsidR="00BE24D3" w:rsidRDefault="00BF32A5" w:rsidP="00BE24D3">
      <w:pPr>
        <w:pStyle w:val="AERbulletlistfirststyle"/>
      </w:pPr>
      <w:r w:rsidRPr="00276DDF">
        <w:t>Confidentiality Guideline.</w:t>
      </w:r>
    </w:p>
    <w:p w:rsidR="00BE24D3" w:rsidRDefault="00BE24D3" w:rsidP="00BE24D3">
      <w:r w:rsidRPr="00BE24D3">
        <w:t>We acknowledge that the changes to the NGR were more limited than those to the National Electricity Rules. However, many of the concepts and analytical tools are the same and we involved gas service providers in consultation on all aspects of the Better Regulation program.</w:t>
      </w:r>
    </w:p>
    <w:p w:rsidR="001B2C3C" w:rsidRDefault="001B2C3C" w:rsidP="001B2C3C">
      <w:r>
        <w:t xml:space="preserve">AGN presented its access arrangement </w:t>
      </w:r>
      <w:r w:rsidR="007673BC">
        <w:t xml:space="preserve">revision proposal </w:t>
      </w:r>
      <w:r>
        <w:t xml:space="preserve">to the AER Board in August 2015. </w:t>
      </w:r>
      <w:r w:rsidRPr="00D0784D">
        <w:t xml:space="preserve">AER staff, including our technical advisors, directly engaged with </w:t>
      </w:r>
      <w:r>
        <w:t xml:space="preserve">AGN </w:t>
      </w:r>
      <w:r w:rsidRPr="00D0784D">
        <w:t>staff</w:t>
      </w:r>
      <w:r>
        <w:t xml:space="preserve"> </w:t>
      </w:r>
      <w:r w:rsidRPr="00D0784D">
        <w:t xml:space="preserve">throughout the review process, and tested material and information underpinning its </w:t>
      </w:r>
      <w:r w:rsidR="00E77648">
        <w:t xml:space="preserve">access </w:t>
      </w:r>
      <w:r>
        <w:t>arrangement revision</w:t>
      </w:r>
      <w:r w:rsidRPr="00D0784D">
        <w:t xml:space="preserve"> proposal. During this process, we requested and considered additional information from </w:t>
      </w:r>
      <w:r>
        <w:t>AGN</w:t>
      </w:r>
      <w:r w:rsidRPr="00D0784D">
        <w:t xml:space="preserve"> to help us understand its proposal.</w:t>
      </w:r>
      <w:r>
        <w:t xml:space="preserve"> </w:t>
      </w:r>
    </w:p>
    <w:p w:rsidR="00A35C7A" w:rsidRDefault="00516A8F" w:rsidP="00A35C7A">
      <w:r>
        <w:t xml:space="preserve">AGN </w:t>
      </w:r>
      <w:r w:rsidR="001B2C3C">
        <w:t xml:space="preserve">also </w:t>
      </w:r>
      <w:r>
        <w:t>undert</w:t>
      </w:r>
      <w:r w:rsidR="00BE6A6D">
        <w:t>ook its own</w:t>
      </w:r>
      <w:r>
        <w:t xml:space="preserve"> stakeholder engagement in the development of its </w:t>
      </w:r>
      <w:r w:rsidR="00BE6A6D">
        <w:t>p</w:t>
      </w:r>
      <w:r>
        <w:t>roposal</w:t>
      </w:r>
      <w:r w:rsidR="00CE5F98">
        <w:t xml:space="preserve">. </w:t>
      </w:r>
      <w:r w:rsidR="002E2208">
        <w:t>Submissions received by us from Business SA,</w:t>
      </w:r>
      <w:r w:rsidR="002E2208" w:rsidRPr="00CE5F98">
        <w:rPr>
          <w:rStyle w:val="FootnoteReference"/>
        </w:rPr>
        <w:t xml:space="preserve"> </w:t>
      </w:r>
      <w:r w:rsidR="002E2208">
        <w:rPr>
          <w:rStyle w:val="FootnoteReference"/>
        </w:rPr>
        <w:footnoteReference w:id="97"/>
      </w:r>
      <w:r w:rsidR="002E2208">
        <w:t xml:space="preserve"> the South Australian Council on Social Service (SACOSS)</w:t>
      </w:r>
      <w:r w:rsidR="002E2208" w:rsidRPr="00CE5F98">
        <w:rPr>
          <w:rStyle w:val="FootnoteReference"/>
        </w:rPr>
        <w:t xml:space="preserve"> </w:t>
      </w:r>
      <w:r w:rsidR="002E2208">
        <w:rPr>
          <w:rStyle w:val="FootnoteReference"/>
        </w:rPr>
        <w:footnoteReference w:id="98"/>
      </w:r>
      <w:r w:rsidR="002E2208">
        <w:t xml:space="preserve"> and the Energy Consumers Council of SA (ECCSA),</w:t>
      </w:r>
      <w:r w:rsidR="002E2208" w:rsidRPr="00CE5F98">
        <w:rPr>
          <w:rStyle w:val="FootnoteReference"/>
        </w:rPr>
        <w:t xml:space="preserve"> </w:t>
      </w:r>
      <w:r w:rsidR="002E2208">
        <w:rPr>
          <w:rStyle w:val="FootnoteReference"/>
        </w:rPr>
        <w:footnoteReference w:id="99"/>
      </w:r>
      <w:r w:rsidR="002E2208">
        <w:t xml:space="preserve"> and advice from the Consumer Challenge Panel</w:t>
      </w:r>
      <w:r w:rsidR="002E2208" w:rsidRPr="002E2208">
        <w:t xml:space="preserve"> </w:t>
      </w:r>
      <w:r w:rsidR="002E2208">
        <w:t>recognise that AGN has taken important steps to involving consumers in the regulatory process</w:t>
      </w:r>
      <w:r w:rsidR="002E2208">
        <w:rPr>
          <w:rStyle w:val="FootnoteReference"/>
        </w:rPr>
        <w:t xml:space="preserve"> </w:t>
      </w:r>
      <w:r w:rsidR="002E2208">
        <w:t>.</w:t>
      </w:r>
      <w:r w:rsidR="002E2208">
        <w:rPr>
          <w:rStyle w:val="FootnoteReference"/>
        </w:rPr>
        <w:footnoteReference w:id="100"/>
      </w:r>
      <w:r w:rsidR="002E2208">
        <w:t xml:space="preserve"> </w:t>
      </w:r>
      <w:r w:rsidR="00CE5F98">
        <w:t>We</w:t>
      </w:r>
      <w:r w:rsidR="00A35C7A">
        <w:t xml:space="preserve"> </w:t>
      </w:r>
      <w:r w:rsidR="002E2208">
        <w:t>support this view</w:t>
      </w:r>
      <w:r w:rsidR="00A35C7A">
        <w:t xml:space="preserve">. </w:t>
      </w:r>
      <w:r w:rsidR="002E2208">
        <w:t xml:space="preserve">Submissions also </w:t>
      </w:r>
      <w:r w:rsidR="00A35C7A">
        <w:t>indicate there are further opportunities for AGN</w:t>
      </w:r>
      <w:r w:rsidR="001B2C3C">
        <w:t xml:space="preserve"> (and us)</w:t>
      </w:r>
      <w:r w:rsidR="00A35C7A">
        <w:t xml:space="preserve"> to improve </w:t>
      </w:r>
      <w:r w:rsidR="001B2C3C">
        <w:t>our</w:t>
      </w:r>
      <w:r w:rsidR="00A35C7A">
        <w:t xml:space="preserve"> engagement</w:t>
      </w:r>
      <w:r w:rsidR="001B2C3C">
        <w:t xml:space="preserve">. </w:t>
      </w:r>
      <w:r w:rsidR="00A35C7A">
        <w:t xml:space="preserve">We </w:t>
      </w:r>
      <w:r w:rsidR="001B2C3C">
        <w:t xml:space="preserve">will consider this in </w:t>
      </w:r>
      <w:r w:rsidR="00A35C7A">
        <w:t xml:space="preserve">developing </w:t>
      </w:r>
      <w:r w:rsidR="001B2C3C">
        <w:t xml:space="preserve">our </w:t>
      </w:r>
      <w:r w:rsidR="00A35C7A">
        <w:t>consumer engagement programs going forward</w:t>
      </w:r>
      <w:r w:rsidR="001B2C3C">
        <w:t>, and encourage AGN to do the same</w:t>
      </w:r>
      <w:r w:rsidR="00A35C7A">
        <w:t>.</w:t>
      </w:r>
    </w:p>
    <w:p w:rsidR="00A35C7A" w:rsidRDefault="00A35C7A" w:rsidP="00686E8D"/>
    <w:p w:rsidR="00710D26" w:rsidRPr="00EB26F8" w:rsidRDefault="00710D26" w:rsidP="00EB26F8">
      <w:pPr>
        <w:pStyle w:val="Heading7"/>
      </w:pPr>
      <w:bookmarkStart w:id="184" w:name="_Toc430002805"/>
      <w:bookmarkStart w:id="185" w:name="_Ref433813158"/>
      <w:bookmarkStart w:id="186" w:name="_Ref433883402"/>
      <w:bookmarkStart w:id="187" w:name="_Ref434479462"/>
      <w:r w:rsidRPr="00EB26F8">
        <w:t>List of submissions</w:t>
      </w:r>
      <w:bookmarkEnd w:id="184"/>
      <w:bookmarkEnd w:id="185"/>
      <w:bookmarkEnd w:id="186"/>
      <w:bookmarkEnd w:id="187"/>
    </w:p>
    <w:tbl>
      <w:tblPr>
        <w:tblStyle w:val="AERtable-text0"/>
        <w:tblW w:w="0" w:type="auto"/>
        <w:tblLook w:val="04A0" w:firstRow="1" w:lastRow="0" w:firstColumn="1" w:lastColumn="0" w:noHBand="0" w:noVBand="1"/>
      </w:tblPr>
      <w:tblGrid>
        <w:gridCol w:w="6487"/>
        <w:gridCol w:w="2206"/>
      </w:tblGrid>
      <w:tr w:rsidR="00710D26" w:rsidTr="007E1200">
        <w:trPr>
          <w:cnfStyle w:val="100000000000" w:firstRow="1" w:lastRow="0" w:firstColumn="0" w:lastColumn="0" w:oddVBand="0" w:evenVBand="0" w:oddHBand="0" w:evenHBand="0" w:firstRowFirstColumn="0" w:firstRowLastColumn="0" w:lastRowFirstColumn="0" w:lastRowLastColumn="0"/>
        </w:trPr>
        <w:tc>
          <w:tcPr>
            <w:tcW w:w="6487" w:type="dxa"/>
          </w:tcPr>
          <w:p w:rsidR="00710D26" w:rsidRDefault="00710D26" w:rsidP="007E1200">
            <w:r>
              <w:t>Submission from</w:t>
            </w:r>
          </w:p>
        </w:tc>
        <w:tc>
          <w:tcPr>
            <w:tcW w:w="2206" w:type="dxa"/>
          </w:tcPr>
          <w:p w:rsidR="00710D26" w:rsidRDefault="00710D26" w:rsidP="007E1200">
            <w:r>
              <w:t>Date received</w:t>
            </w:r>
          </w:p>
        </w:tc>
      </w:tr>
      <w:tr w:rsidR="002B7C1A" w:rsidTr="007E1200">
        <w:tc>
          <w:tcPr>
            <w:tcW w:w="6487" w:type="dxa"/>
          </w:tcPr>
          <w:p w:rsidR="002B7C1A" w:rsidRDefault="002B7C1A" w:rsidP="007E1200">
            <w:r>
              <w:t>AGL</w:t>
            </w:r>
            <w:r w:rsidR="00765070">
              <w:t xml:space="preserve"> Energy Ltd</w:t>
            </w:r>
          </w:p>
        </w:tc>
        <w:tc>
          <w:tcPr>
            <w:tcW w:w="2206" w:type="dxa"/>
          </w:tcPr>
          <w:p w:rsidR="002B7C1A" w:rsidRDefault="002B7C1A" w:rsidP="007E1200">
            <w:r>
              <w:t>11 August 2015</w:t>
            </w:r>
          </w:p>
        </w:tc>
      </w:tr>
      <w:tr w:rsidR="002B7C1A" w:rsidTr="007E1200">
        <w:trPr>
          <w:cnfStyle w:val="000000010000" w:firstRow="0" w:lastRow="0" w:firstColumn="0" w:lastColumn="0" w:oddVBand="0" w:evenVBand="0" w:oddHBand="0" w:evenHBand="1" w:firstRowFirstColumn="0" w:firstRowLastColumn="0" w:lastRowFirstColumn="0" w:lastRowLastColumn="0"/>
        </w:trPr>
        <w:tc>
          <w:tcPr>
            <w:tcW w:w="6487" w:type="dxa"/>
          </w:tcPr>
          <w:p w:rsidR="002B7C1A" w:rsidRDefault="002B7C1A" w:rsidP="007E1200">
            <w:r>
              <w:t>Alternative Technology Association</w:t>
            </w:r>
          </w:p>
        </w:tc>
        <w:tc>
          <w:tcPr>
            <w:tcW w:w="2206" w:type="dxa"/>
          </w:tcPr>
          <w:p w:rsidR="002B7C1A" w:rsidRDefault="002B7C1A" w:rsidP="007E1200">
            <w:r>
              <w:t>10 August 2015</w:t>
            </w:r>
          </w:p>
        </w:tc>
      </w:tr>
      <w:tr w:rsidR="002B7C1A" w:rsidTr="007E1200">
        <w:tc>
          <w:tcPr>
            <w:tcW w:w="6487" w:type="dxa"/>
          </w:tcPr>
          <w:p w:rsidR="002B7C1A" w:rsidRDefault="002B7C1A" w:rsidP="007E1200">
            <w:r>
              <w:t>Business SA</w:t>
            </w:r>
          </w:p>
        </w:tc>
        <w:tc>
          <w:tcPr>
            <w:tcW w:w="2206" w:type="dxa"/>
          </w:tcPr>
          <w:p w:rsidR="002B7C1A" w:rsidRDefault="002B7C1A" w:rsidP="002B7C1A">
            <w:r>
              <w:t>10 August 2015</w:t>
            </w:r>
          </w:p>
        </w:tc>
      </w:tr>
      <w:tr w:rsidR="002B7C1A" w:rsidTr="007E1200">
        <w:trPr>
          <w:cnfStyle w:val="000000010000" w:firstRow="0" w:lastRow="0" w:firstColumn="0" w:lastColumn="0" w:oddVBand="0" w:evenVBand="0" w:oddHBand="0" w:evenHBand="1" w:firstRowFirstColumn="0" w:firstRowLastColumn="0" w:lastRowFirstColumn="0" w:lastRowLastColumn="0"/>
        </w:trPr>
        <w:tc>
          <w:tcPr>
            <w:tcW w:w="6487" w:type="dxa"/>
          </w:tcPr>
          <w:p w:rsidR="002B7C1A" w:rsidRDefault="002B7C1A" w:rsidP="007E1200">
            <w:r>
              <w:t>Consumer Challenge Panel</w:t>
            </w:r>
          </w:p>
        </w:tc>
        <w:tc>
          <w:tcPr>
            <w:tcW w:w="2206" w:type="dxa"/>
          </w:tcPr>
          <w:p w:rsidR="002B7C1A" w:rsidRDefault="002B7C1A" w:rsidP="007E1200">
            <w:r>
              <w:t>25 August 2015</w:t>
            </w:r>
          </w:p>
        </w:tc>
      </w:tr>
      <w:tr w:rsidR="002B7C1A" w:rsidTr="007E1200">
        <w:tc>
          <w:tcPr>
            <w:tcW w:w="6487" w:type="dxa"/>
          </w:tcPr>
          <w:p w:rsidR="002B7C1A" w:rsidRDefault="004A6E14" w:rsidP="00535F27">
            <w:r>
              <w:t>Cit</w:t>
            </w:r>
            <w:r w:rsidR="00765070">
              <w:t>i</w:t>
            </w:r>
            <w:r>
              <w:t xml:space="preserve">Power </w:t>
            </w:r>
            <w:r w:rsidR="00765070">
              <w:t xml:space="preserve">and </w:t>
            </w:r>
            <w:r>
              <w:t>Powercor</w:t>
            </w:r>
          </w:p>
        </w:tc>
        <w:tc>
          <w:tcPr>
            <w:tcW w:w="2206" w:type="dxa"/>
          </w:tcPr>
          <w:p w:rsidR="002B7C1A" w:rsidRDefault="004A6E14" w:rsidP="007E1200">
            <w:r>
              <w:t>24 July 2015</w:t>
            </w:r>
          </w:p>
        </w:tc>
      </w:tr>
      <w:tr w:rsidR="002B7C1A" w:rsidTr="007E1200">
        <w:trPr>
          <w:cnfStyle w:val="000000010000" w:firstRow="0" w:lastRow="0" w:firstColumn="0" w:lastColumn="0" w:oddVBand="0" w:evenVBand="0" w:oddHBand="0" w:evenHBand="1" w:firstRowFirstColumn="0" w:firstRowLastColumn="0" w:lastRowFirstColumn="0" w:lastRowLastColumn="0"/>
        </w:trPr>
        <w:tc>
          <w:tcPr>
            <w:tcW w:w="6487" w:type="dxa"/>
          </w:tcPr>
          <w:p w:rsidR="002B7C1A" w:rsidRDefault="004A6E14" w:rsidP="00535F27">
            <w:r>
              <w:t>E</w:t>
            </w:r>
            <w:r w:rsidR="00535F27">
              <w:t xml:space="preserve">nergy </w:t>
            </w:r>
            <w:r>
              <w:t>C</w:t>
            </w:r>
            <w:r w:rsidR="00535F27">
              <w:t xml:space="preserve">onsumers </w:t>
            </w:r>
            <w:r>
              <w:t>C</w:t>
            </w:r>
            <w:r w:rsidR="00535F27">
              <w:t xml:space="preserve">oalition of </w:t>
            </w:r>
            <w:r>
              <w:t>S</w:t>
            </w:r>
            <w:r w:rsidR="00535F27">
              <w:t>outh Australia</w:t>
            </w:r>
          </w:p>
        </w:tc>
        <w:tc>
          <w:tcPr>
            <w:tcW w:w="2206" w:type="dxa"/>
          </w:tcPr>
          <w:p w:rsidR="002B7C1A" w:rsidRDefault="004A6E14" w:rsidP="007E1200">
            <w:r>
              <w:t>16 August 2015</w:t>
            </w:r>
          </w:p>
        </w:tc>
      </w:tr>
      <w:tr w:rsidR="002B7C1A" w:rsidTr="007E1200">
        <w:tc>
          <w:tcPr>
            <w:tcW w:w="6487" w:type="dxa"/>
          </w:tcPr>
          <w:p w:rsidR="002B7C1A" w:rsidRDefault="004A6E14" w:rsidP="007E1200">
            <w:r>
              <w:t>E</w:t>
            </w:r>
            <w:r w:rsidR="00535F27">
              <w:t xml:space="preserve">nergy </w:t>
            </w:r>
            <w:r>
              <w:t>N</w:t>
            </w:r>
            <w:r w:rsidR="00535F27">
              <w:t xml:space="preserve">etworks </w:t>
            </w:r>
            <w:r>
              <w:t>A</w:t>
            </w:r>
            <w:r w:rsidR="00535F27">
              <w:t>ssociation</w:t>
            </w:r>
          </w:p>
        </w:tc>
        <w:tc>
          <w:tcPr>
            <w:tcW w:w="2206" w:type="dxa"/>
          </w:tcPr>
          <w:p w:rsidR="002B7C1A" w:rsidRDefault="004A6E14" w:rsidP="007E1200">
            <w:r>
              <w:t>2 September 2015</w:t>
            </w:r>
          </w:p>
        </w:tc>
      </w:tr>
      <w:tr w:rsidR="002B7C1A" w:rsidTr="007E1200">
        <w:trPr>
          <w:cnfStyle w:val="000000010000" w:firstRow="0" w:lastRow="0" w:firstColumn="0" w:lastColumn="0" w:oddVBand="0" w:evenVBand="0" w:oddHBand="0" w:evenHBand="1" w:firstRowFirstColumn="0" w:firstRowLastColumn="0" w:lastRowFirstColumn="0" w:lastRowLastColumn="0"/>
        </w:trPr>
        <w:tc>
          <w:tcPr>
            <w:tcW w:w="6487" w:type="dxa"/>
          </w:tcPr>
          <w:p w:rsidR="002B7C1A" w:rsidRDefault="004A6E14" w:rsidP="007E1200">
            <w:r>
              <w:t>Jemena</w:t>
            </w:r>
            <w:r w:rsidR="00765070">
              <w:t xml:space="preserve"> Electricity Networks</w:t>
            </w:r>
          </w:p>
        </w:tc>
        <w:tc>
          <w:tcPr>
            <w:tcW w:w="2206" w:type="dxa"/>
          </w:tcPr>
          <w:p w:rsidR="002B7C1A" w:rsidRDefault="004A6E14" w:rsidP="007E1200">
            <w:r>
              <w:t>24 July 2015</w:t>
            </w:r>
          </w:p>
        </w:tc>
      </w:tr>
      <w:tr w:rsidR="002B7C1A" w:rsidTr="007E1200">
        <w:tc>
          <w:tcPr>
            <w:tcW w:w="6487" w:type="dxa"/>
          </w:tcPr>
          <w:p w:rsidR="002B7C1A" w:rsidRDefault="006F6954" w:rsidP="007E1200">
            <w:r>
              <w:t>Multinet</w:t>
            </w:r>
            <w:r w:rsidR="004A6E14">
              <w:t xml:space="preserve"> Gas</w:t>
            </w:r>
          </w:p>
        </w:tc>
        <w:tc>
          <w:tcPr>
            <w:tcW w:w="2206" w:type="dxa"/>
          </w:tcPr>
          <w:p w:rsidR="002B7C1A" w:rsidRDefault="004A6E14" w:rsidP="007E1200">
            <w:r>
              <w:t>24 July 2015</w:t>
            </w:r>
          </w:p>
        </w:tc>
      </w:tr>
      <w:tr w:rsidR="002B7C1A" w:rsidTr="007E1200">
        <w:trPr>
          <w:cnfStyle w:val="000000010000" w:firstRow="0" w:lastRow="0" w:firstColumn="0" w:lastColumn="0" w:oddVBand="0" w:evenVBand="0" w:oddHBand="0" w:evenHBand="1" w:firstRowFirstColumn="0" w:firstRowLastColumn="0" w:lastRowFirstColumn="0" w:lastRowLastColumn="0"/>
        </w:trPr>
        <w:tc>
          <w:tcPr>
            <w:tcW w:w="6487" w:type="dxa"/>
          </w:tcPr>
          <w:p w:rsidR="002B7C1A" w:rsidRDefault="004A6E14" w:rsidP="007E1200">
            <w:r>
              <w:t>Nyrstar</w:t>
            </w:r>
            <w:r w:rsidR="00765070">
              <w:t xml:space="preserve"> Port Pirie Pty Ltd</w:t>
            </w:r>
          </w:p>
        </w:tc>
        <w:tc>
          <w:tcPr>
            <w:tcW w:w="2206" w:type="dxa"/>
          </w:tcPr>
          <w:p w:rsidR="002B7C1A" w:rsidRDefault="004A6E14" w:rsidP="007E1200">
            <w:r>
              <w:t>10 August 2015</w:t>
            </w:r>
          </w:p>
        </w:tc>
      </w:tr>
      <w:tr w:rsidR="002B7C1A" w:rsidTr="007E1200">
        <w:tc>
          <w:tcPr>
            <w:tcW w:w="6487" w:type="dxa"/>
          </w:tcPr>
          <w:p w:rsidR="002B7C1A" w:rsidRDefault="004A6E14" w:rsidP="007E1200">
            <w:r>
              <w:t xml:space="preserve">Origin </w:t>
            </w:r>
            <w:r w:rsidR="00765070">
              <w:t>Energy LPG</w:t>
            </w:r>
          </w:p>
        </w:tc>
        <w:tc>
          <w:tcPr>
            <w:tcW w:w="2206" w:type="dxa"/>
          </w:tcPr>
          <w:p w:rsidR="002B7C1A" w:rsidRDefault="004A6E14" w:rsidP="007E1200">
            <w:r>
              <w:t>10 August 2015</w:t>
            </w:r>
          </w:p>
        </w:tc>
      </w:tr>
      <w:tr w:rsidR="002B7C1A" w:rsidTr="007E1200">
        <w:trPr>
          <w:cnfStyle w:val="000000010000" w:firstRow="0" w:lastRow="0" w:firstColumn="0" w:lastColumn="0" w:oddVBand="0" w:evenVBand="0" w:oddHBand="0" w:evenHBand="1" w:firstRowFirstColumn="0" w:firstRowLastColumn="0" w:lastRowFirstColumn="0" w:lastRowLastColumn="0"/>
        </w:trPr>
        <w:tc>
          <w:tcPr>
            <w:tcW w:w="6487" w:type="dxa"/>
          </w:tcPr>
          <w:p w:rsidR="002B7C1A" w:rsidRDefault="004A6E14" w:rsidP="007E1200">
            <w:r>
              <w:t xml:space="preserve">Government </w:t>
            </w:r>
            <w:r w:rsidR="00B660DD">
              <w:t>of South Australia</w:t>
            </w:r>
          </w:p>
        </w:tc>
        <w:tc>
          <w:tcPr>
            <w:tcW w:w="2206" w:type="dxa"/>
          </w:tcPr>
          <w:p w:rsidR="002B7C1A" w:rsidRDefault="004A6E14" w:rsidP="007E1200">
            <w:r>
              <w:t>21 August 2015</w:t>
            </w:r>
          </w:p>
        </w:tc>
      </w:tr>
      <w:tr w:rsidR="004A6E14" w:rsidTr="007E1200">
        <w:tc>
          <w:tcPr>
            <w:tcW w:w="6487" w:type="dxa"/>
          </w:tcPr>
          <w:p w:rsidR="004A6E14" w:rsidRDefault="00B660DD" w:rsidP="00B660DD">
            <w:r>
              <w:t>South Australian Council of Social Service</w:t>
            </w:r>
          </w:p>
        </w:tc>
        <w:tc>
          <w:tcPr>
            <w:tcW w:w="2206" w:type="dxa"/>
          </w:tcPr>
          <w:p w:rsidR="004A6E14" w:rsidRDefault="004A6E14" w:rsidP="007E1200">
            <w:r>
              <w:t>8 August 2015</w:t>
            </w:r>
          </w:p>
        </w:tc>
      </w:tr>
      <w:tr w:rsidR="004A6E14" w:rsidTr="007E1200">
        <w:trPr>
          <w:cnfStyle w:val="000000010000" w:firstRow="0" w:lastRow="0" w:firstColumn="0" w:lastColumn="0" w:oddVBand="0" w:evenVBand="0" w:oddHBand="0" w:evenHBand="1" w:firstRowFirstColumn="0" w:firstRowLastColumn="0" w:lastRowFirstColumn="0" w:lastRowLastColumn="0"/>
        </w:trPr>
        <w:tc>
          <w:tcPr>
            <w:tcW w:w="6487" w:type="dxa"/>
          </w:tcPr>
          <w:p w:rsidR="004A6E14" w:rsidRDefault="00B660DD" w:rsidP="00B660DD">
            <w:r>
              <w:t xml:space="preserve">South Australian Wine Industry Association </w:t>
            </w:r>
            <w:r w:rsidR="006F6954">
              <w:t>Inc.</w:t>
            </w:r>
          </w:p>
        </w:tc>
        <w:tc>
          <w:tcPr>
            <w:tcW w:w="2206" w:type="dxa"/>
          </w:tcPr>
          <w:p w:rsidR="004A6E14" w:rsidRDefault="004A6E14" w:rsidP="007E1200">
            <w:r>
              <w:t>10 August 2015</w:t>
            </w:r>
          </w:p>
        </w:tc>
      </w:tr>
      <w:tr w:rsidR="004A6E14" w:rsidTr="007E1200">
        <w:tc>
          <w:tcPr>
            <w:tcW w:w="6487" w:type="dxa"/>
          </w:tcPr>
          <w:p w:rsidR="004A6E14" w:rsidRDefault="004A6E14" w:rsidP="007E1200">
            <w:r>
              <w:t>United Energy</w:t>
            </w:r>
          </w:p>
        </w:tc>
        <w:tc>
          <w:tcPr>
            <w:tcW w:w="2206" w:type="dxa"/>
          </w:tcPr>
          <w:p w:rsidR="004A6E14" w:rsidRDefault="004A6E14" w:rsidP="007E1200">
            <w:r>
              <w:t>24 July 2015</w:t>
            </w:r>
          </w:p>
        </w:tc>
      </w:tr>
    </w:tbl>
    <w:p w:rsidR="00474EC7" w:rsidRPr="003C3D54" w:rsidRDefault="00474EC7" w:rsidP="003C3D54"/>
    <w:sectPr w:rsidR="00474EC7" w:rsidRPr="003C3D54" w:rsidSect="0085054D">
      <w:headerReference w:type="even" r:id="rId20"/>
      <w:footerReference w:type="even" r:id="rId21"/>
      <w:footerReference w:type="default" r:id="rId22"/>
      <w:headerReference w:type="first" r:id="rId23"/>
      <w:pgSz w:w="11906" w:h="16838" w:code="9"/>
      <w:pgMar w:top="1440" w:right="1700" w:bottom="1582" w:left="1729" w:header="720" w:footer="0" w:gutter="0"/>
      <w:pgNumType w:start="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DAD" w:rsidRPr="00290C63" w:rsidRDefault="00E90DAD" w:rsidP="00290C63">
      <w:r>
        <w:separator/>
      </w:r>
    </w:p>
    <w:p w:rsidR="00E90DAD" w:rsidRDefault="00E90DAD"/>
  </w:endnote>
  <w:endnote w:type="continuationSeparator" w:id="0">
    <w:p w:rsidR="00E90DAD" w:rsidRPr="00290C63" w:rsidRDefault="00E90DAD" w:rsidP="00290C63">
      <w:r>
        <w:continuationSeparator/>
      </w:r>
    </w:p>
    <w:p w:rsidR="00E90DAD" w:rsidRDefault="00E90D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DAD" w:rsidRDefault="00E90DAD">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E90DAD" w:rsidRDefault="00E90DAD">
    <w:pPr>
      <w:pStyle w:val="Footer"/>
    </w:pPr>
  </w:p>
  <w:p w:rsidR="00E90DAD" w:rsidRDefault="00E90DAD">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E90DAD" w:rsidRPr="00CA52A2" w:rsidRDefault="00E90DAD" w:rsidP="00CA52A2">
        <w:pPr>
          <w:pStyle w:val="Footer"/>
        </w:pPr>
        <w:r w:rsidRPr="00CA52A2">
          <w:fldChar w:fldCharType="begin"/>
        </w:r>
        <w:r>
          <w:instrText xml:space="preserve"> PAGE   \* MERGEFORMAT </w:instrText>
        </w:r>
        <w:r w:rsidRPr="00CA52A2">
          <w:fldChar w:fldCharType="separate"/>
        </w:r>
        <w:r w:rsidR="00C31BA6">
          <w:rPr>
            <w:noProof/>
          </w:rPr>
          <w:t>3</w:t>
        </w:r>
        <w:r w:rsidRPr="00CA52A2">
          <w:fldChar w:fldCharType="end"/>
        </w:r>
        <w:r w:rsidRPr="00CA52A2">
          <w:t xml:space="preserve">          </w:t>
        </w:r>
        <w:r>
          <w:t xml:space="preserve">Overview </w:t>
        </w:r>
        <w:r w:rsidRPr="00CA52A2">
          <w:t xml:space="preserve">| </w:t>
        </w:r>
        <w:r>
          <w:t>Draft decision: Australian Gas Networks Access Arrangement 2016</w:t>
        </w:r>
        <w:r w:rsidRPr="00CA52A2">
          <w:t>–</w:t>
        </w:r>
        <w:r>
          <w:t>21</w:t>
        </w:r>
      </w:p>
    </w:sdtContent>
  </w:sdt>
  <w:p w:rsidR="00E90DAD" w:rsidRDefault="00E90DAD">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DAD" w:rsidRPr="00290C63" w:rsidRDefault="00E90DAD" w:rsidP="00290C63">
      <w:r>
        <w:separator/>
      </w:r>
    </w:p>
    <w:p w:rsidR="00E90DAD" w:rsidRDefault="00E90DAD"/>
  </w:footnote>
  <w:footnote w:type="continuationSeparator" w:id="0">
    <w:p w:rsidR="00E90DAD" w:rsidRPr="00290C63" w:rsidRDefault="00E90DAD" w:rsidP="00290C63">
      <w:r>
        <w:continuationSeparator/>
      </w:r>
    </w:p>
    <w:p w:rsidR="00E90DAD" w:rsidRDefault="00E90DAD"/>
  </w:footnote>
  <w:footnote w:id="1">
    <w:p w:rsidR="00E90DAD" w:rsidRDefault="00E90DAD" w:rsidP="00F8052A">
      <w:pPr>
        <w:pStyle w:val="FootnoteText"/>
      </w:pPr>
      <w:r>
        <w:rPr>
          <w:rStyle w:val="FootnoteReference"/>
        </w:rPr>
        <w:footnoteRef/>
      </w:r>
      <w:r>
        <w:t xml:space="preserve"> </w:t>
      </w:r>
      <w:r>
        <w:tab/>
        <w:t>Pipeline ‘coverage’ under the NGL determines the level of regulation that applies to a particular pipeline or network. AGN’s South Australian distribution network is a covered pipeline. Under section 132 of the NGL, AGN must therefore submit for our approval an access arrangement in respect of the services it provides through the covered pipeline.</w:t>
      </w:r>
    </w:p>
  </w:footnote>
  <w:footnote w:id="2">
    <w:p w:rsidR="00E90DAD" w:rsidRDefault="00E90DAD" w:rsidP="0008233B">
      <w:pPr>
        <w:pStyle w:val="FootnoteText"/>
      </w:pPr>
      <w:r>
        <w:rPr>
          <w:rStyle w:val="FootnoteReference"/>
        </w:rPr>
        <w:footnoteRef/>
      </w:r>
      <w:r>
        <w:t xml:space="preserve"> </w:t>
      </w:r>
      <w:r>
        <w:tab/>
        <w:t>NGL, s. 23.</w:t>
      </w:r>
    </w:p>
  </w:footnote>
  <w:footnote w:id="3">
    <w:p w:rsidR="00E90DAD" w:rsidRDefault="00E90DAD" w:rsidP="0008233B">
      <w:pPr>
        <w:pStyle w:val="FootnoteText"/>
      </w:pPr>
      <w:r>
        <w:rPr>
          <w:rStyle w:val="FootnoteReference"/>
        </w:rPr>
        <w:footnoteRef/>
      </w:r>
      <w:r>
        <w:t xml:space="preserve"> </w:t>
      </w:r>
      <w:r>
        <w:tab/>
        <w:t xml:space="preserve">The revenue and pricing principles (RPPs) state a regulated network service provider should be provided with effective incentives in order to promote economic efficiency with respect to </w:t>
      </w:r>
      <w:r w:rsidRPr="009E2FE0">
        <w:t>reference services the service provider provides</w:t>
      </w:r>
      <w:r>
        <w:t xml:space="preserve">. </w:t>
      </w:r>
    </w:p>
  </w:footnote>
  <w:footnote w:id="4">
    <w:p w:rsidR="00E90DAD" w:rsidRDefault="00E90DAD" w:rsidP="0008233B">
      <w:pPr>
        <w:pStyle w:val="FootnoteText"/>
      </w:pPr>
      <w:r>
        <w:rPr>
          <w:rStyle w:val="FootnoteReference"/>
        </w:rPr>
        <w:footnoteRef/>
      </w:r>
      <w:r>
        <w:t xml:space="preserve"> </w:t>
      </w:r>
      <w:r>
        <w:tab/>
        <w:t xml:space="preserve">AEMC, </w:t>
      </w:r>
      <w:r w:rsidRPr="00144760">
        <w:rPr>
          <w:rStyle w:val="AERtextitalic"/>
        </w:rPr>
        <w:t>Consultation paper: National Electricity Amendment (Demand Management Incentive Scheme) Rule 2015</w:t>
      </w:r>
      <w:r>
        <w:t xml:space="preserve">, February 2015, p. 3. </w:t>
      </w:r>
    </w:p>
  </w:footnote>
  <w:footnote w:id="5">
    <w:p w:rsidR="00E90DAD" w:rsidRDefault="00E90DAD">
      <w:pPr>
        <w:pStyle w:val="FootnoteText"/>
      </w:pPr>
      <w:r>
        <w:rPr>
          <w:rStyle w:val="FootnoteReference"/>
        </w:rPr>
        <w:footnoteRef/>
      </w:r>
      <w:r>
        <w:t xml:space="preserve"> </w:t>
      </w:r>
      <w:r>
        <w:tab/>
        <w:t>Includes ancillary reference services revenue.</w:t>
      </w:r>
    </w:p>
  </w:footnote>
  <w:footnote w:id="6">
    <w:p w:rsidR="00E90DAD" w:rsidRDefault="00E90DAD" w:rsidP="00E307A9">
      <w:pPr>
        <w:pStyle w:val="FootnoteText"/>
      </w:pPr>
      <w:r>
        <w:rPr>
          <w:rStyle w:val="FootnoteReference"/>
        </w:rPr>
        <w:footnoteRef/>
      </w:r>
      <w:r>
        <w:t xml:space="preserve"> </w:t>
      </w:r>
      <w:r>
        <w:tab/>
        <w:t>NGL, s. 23.</w:t>
      </w:r>
    </w:p>
  </w:footnote>
  <w:footnote w:id="7">
    <w:p w:rsidR="00E90DAD" w:rsidRDefault="00E90DAD" w:rsidP="00E307A9">
      <w:pPr>
        <w:pStyle w:val="FootnoteText"/>
      </w:pPr>
      <w:r>
        <w:rPr>
          <w:rStyle w:val="FootnoteReference"/>
        </w:rPr>
        <w:footnoteRef/>
      </w:r>
      <w:r>
        <w:t xml:space="preserve"> </w:t>
      </w:r>
      <w:r>
        <w:tab/>
      </w:r>
      <w:r w:rsidRPr="00DA3756">
        <w:t xml:space="preserve">For the remaining years of the </w:t>
      </w:r>
      <w:r>
        <w:t>access arrangement</w:t>
      </w:r>
      <w:r w:rsidRPr="00DA3756">
        <w:t xml:space="preserve"> period, we will update the rate of return annually.</w:t>
      </w:r>
    </w:p>
  </w:footnote>
  <w:footnote w:id="8">
    <w:p w:rsidR="00E90DAD" w:rsidRPr="003C399B" w:rsidRDefault="00E90DAD">
      <w:pPr>
        <w:pStyle w:val="FootnoteText"/>
      </w:pPr>
      <w:r>
        <w:rPr>
          <w:rStyle w:val="FootnoteReference"/>
        </w:rPr>
        <w:footnoteRef/>
      </w:r>
      <w:r>
        <w:t xml:space="preserve"> </w:t>
      </w:r>
      <w:r>
        <w:tab/>
        <w:t xml:space="preserve">AER, </w:t>
      </w:r>
      <w:r>
        <w:rPr>
          <w:i/>
        </w:rPr>
        <w:t>Rate of Return Guideline</w:t>
      </w:r>
      <w:r>
        <w:t xml:space="preserve">, December 2013: </w:t>
      </w:r>
      <w:hyperlink r:id="rId1" w:history="1">
        <w:r w:rsidRPr="008D7A72">
          <w:rPr>
            <w:rStyle w:val="Hyperlink"/>
            <w:sz w:val="16"/>
          </w:rPr>
          <w:t>http://www.aer.gov.au/networks-pipelines/guidelines-schemes-models-reviews/rate-of-return-guideline</w:t>
        </w:r>
      </w:hyperlink>
      <w:r>
        <w:t>.</w:t>
      </w:r>
    </w:p>
  </w:footnote>
  <w:footnote w:id="9">
    <w:p w:rsidR="00E90DAD" w:rsidRDefault="00E90DAD" w:rsidP="00B60D3F">
      <w:pPr>
        <w:pStyle w:val="FootnoteText"/>
      </w:pPr>
      <w:r>
        <w:rPr>
          <w:rStyle w:val="FootnoteReference"/>
        </w:rPr>
        <w:footnoteRef/>
      </w:r>
      <w:r>
        <w:t xml:space="preserve"> </w:t>
      </w:r>
      <w:r>
        <w:tab/>
        <w:t xml:space="preserve">A full list of submissions is provided in Appendix </w:t>
      </w:r>
      <w:r>
        <w:fldChar w:fldCharType="begin"/>
      </w:r>
      <w:r>
        <w:instrText xml:space="preserve"> REF _Ref433883402 \r \h </w:instrText>
      </w:r>
      <w:r>
        <w:fldChar w:fldCharType="separate"/>
      </w:r>
      <w:r>
        <w:t>A</w:t>
      </w:r>
      <w:r>
        <w:fldChar w:fldCharType="end"/>
      </w:r>
      <w:r>
        <w:t xml:space="preserve"> to this overview. These submissions are discussed further in Attachments 3 (Rate of Return) and 4 (Value of Imputation Credits) to this draft decision.</w:t>
      </w:r>
    </w:p>
  </w:footnote>
  <w:footnote w:id="10">
    <w:p w:rsidR="00E90DAD" w:rsidRDefault="00E90DAD" w:rsidP="002757A7">
      <w:pPr>
        <w:pStyle w:val="FootnoteText"/>
      </w:pPr>
      <w:r>
        <w:rPr>
          <w:rStyle w:val="FootnoteReference"/>
        </w:rPr>
        <w:footnoteRef/>
      </w:r>
      <w:r>
        <w:t xml:space="preserve"> </w:t>
      </w:r>
      <w:r>
        <w:tab/>
      </w:r>
      <w:r w:rsidRPr="000F20D1">
        <w:t xml:space="preserve">AGN, </w:t>
      </w:r>
      <w:r w:rsidRPr="000F20D1">
        <w:rPr>
          <w:i/>
        </w:rPr>
        <w:t>Access arrangement information</w:t>
      </w:r>
      <w:r w:rsidRPr="000F20D1">
        <w:t>, July 2015, p</w:t>
      </w:r>
      <w:r>
        <w:t>p</w:t>
      </w:r>
      <w:r w:rsidRPr="000F20D1">
        <w:t>. 16</w:t>
      </w:r>
      <w:r>
        <w:t>2–165</w:t>
      </w:r>
      <w:r w:rsidRPr="000F20D1">
        <w:t>.</w:t>
      </w:r>
    </w:p>
  </w:footnote>
  <w:footnote w:id="11">
    <w:p w:rsidR="00E90DAD" w:rsidRDefault="00E90DAD" w:rsidP="002757A7">
      <w:pPr>
        <w:pStyle w:val="FootnoteText"/>
      </w:pPr>
      <w:r>
        <w:rPr>
          <w:rStyle w:val="FootnoteReference"/>
        </w:rPr>
        <w:footnoteRef/>
      </w:r>
      <w:r>
        <w:t xml:space="preserve"> </w:t>
      </w:r>
      <w:r>
        <w:tab/>
        <w:t>NGR, r. 89.</w:t>
      </w:r>
    </w:p>
  </w:footnote>
  <w:footnote w:id="12">
    <w:p w:rsidR="00E90DAD" w:rsidRDefault="00E90DAD" w:rsidP="002757A7">
      <w:pPr>
        <w:pStyle w:val="FootnoteText"/>
      </w:pPr>
      <w:r>
        <w:rPr>
          <w:rStyle w:val="FootnoteReference"/>
        </w:rPr>
        <w:footnoteRef/>
      </w:r>
      <w:r>
        <w:t xml:space="preserve"> </w:t>
      </w:r>
      <w:r>
        <w:tab/>
        <w:t>NGR, r. 89(1)(e).</w:t>
      </w:r>
    </w:p>
  </w:footnote>
  <w:footnote w:id="13">
    <w:p w:rsidR="00E90DAD" w:rsidRDefault="00E90DAD">
      <w:pPr>
        <w:pStyle w:val="FootnoteText"/>
      </w:pPr>
      <w:r>
        <w:rPr>
          <w:rStyle w:val="FootnoteReference"/>
        </w:rPr>
        <w:footnoteRef/>
      </w:r>
      <w:r>
        <w:t xml:space="preserve"> </w:t>
      </w:r>
      <w:r>
        <w:tab/>
        <w:t xml:space="preserve">AGN, </w:t>
      </w:r>
      <w:r w:rsidRPr="00741727">
        <w:rPr>
          <w:rStyle w:val="AERtextitalic"/>
        </w:rPr>
        <w:t>Access Arrangement Information for AGN's South Australian Natural Gas Distribution Network</w:t>
      </w:r>
      <w:r>
        <w:t xml:space="preserve"> (July 2015), p. 116.</w:t>
      </w:r>
    </w:p>
  </w:footnote>
  <w:footnote w:id="14">
    <w:p w:rsidR="00E90DAD" w:rsidRDefault="00E90DAD">
      <w:pPr>
        <w:pStyle w:val="FootnoteText"/>
      </w:pPr>
      <w:r>
        <w:rPr>
          <w:rStyle w:val="FootnoteReference"/>
        </w:rPr>
        <w:footnoteRef/>
      </w:r>
      <w:r>
        <w:t xml:space="preserve"> </w:t>
      </w:r>
      <w:r>
        <w:tab/>
        <w:t>Our draft decision approves a 'regulatory change' pass through event. Where there are substantial changes to AGN's obligations which materially impact the cost of providing reference services, those changes are passed through to customers in the form of lower (or higher) distribution charges.</w:t>
      </w:r>
    </w:p>
  </w:footnote>
  <w:footnote w:id="15">
    <w:p w:rsidR="00E90DAD" w:rsidRDefault="00E90DAD">
      <w:pPr>
        <w:pStyle w:val="FootnoteText"/>
      </w:pPr>
      <w:r>
        <w:rPr>
          <w:rStyle w:val="FootnoteReference"/>
        </w:rPr>
        <w:footnoteRef/>
      </w:r>
      <w:r>
        <w:t xml:space="preserve"> </w:t>
      </w:r>
      <w:r>
        <w:tab/>
        <w:t>NGR, r. 79(2).</w:t>
      </w:r>
    </w:p>
  </w:footnote>
  <w:footnote w:id="16">
    <w:p w:rsidR="00E90DAD" w:rsidRDefault="00E90DAD">
      <w:pPr>
        <w:pStyle w:val="FootnoteText"/>
      </w:pPr>
      <w:r>
        <w:rPr>
          <w:rStyle w:val="FootnoteReference"/>
        </w:rPr>
        <w:footnoteRef/>
      </w:r>
      <w:r>
        <w:t xml:space="preserve"> </w:t>
      </w:r>
      <w:r>
        <w:tab/>
        <w:t>NGR, r. 79(1)(a).</w:t>
      </w:r>
    </w:p>
  </w:footnote>
  <w:footnote w:id="17">
    <w:p w:rsidR="00E90DAD" w:rsidRDefault="00E90DAD" w:rsidP="00503F96">
      <w:pPr>
        <w:pStyle w:val="FootnoteText"/>
      </w:pPr>
      <w:r>
        <w:rPr>
          <w:rStyle w:val="FootnoteReference"/>
        </w:rPr>
        <w:footnoteRef/>
      </w:r>
      <w:r>
        <w:t xml:space="preserve"> </w:t>
      </w:r>
      <w:r>
        <w:tab/>
        <w:t xml:space="preserve">The revenue and pricing principles (RPPs) state a regulated network service provider should be provided with effective incentives in order to promote economic efficiency with respect to </w:t>
      </w:r>
      <w:r w:rsidRPr="009E2FE0">
        <w:t>reference services the service provider provides</w:t>
      </w:r>
      <w:r>
        <w:t xml:space="preserve">. </w:t>
      </w:r>
    </w:p>
  </w:footnote>
  <w:footnote w:id="18">
    <w:p w:rsidR="00E90DAD" w:rsidRDefault="00E90DAD" w:rsidP="00FA758C">
      <w:pPr>
        <w:pStyle w:val="FootnoteText"/>
      </w:pPr>
      <w:r>
        <w:rPr>
          <w:rStyle w:val="FootnoteReference"/>
        </w:rPr>
        <w:footnoteRef/>
      </w:r>
      <w:r>
        <w:t xml:space="preserve"> </w:t>
      </w:r>
      <w:r>
        <w:tab/>
        <w:t xml:space="preserve">ActewAGL, </w:t>
      </w:r>
      <w:r w:rsidRPr="00E56F28">
        <w:rPr>
          <w:i/>
        </w:rPr>
        <w:t>Access arrangement information for the 2016–21 access arrangement, Attachment 10</w:t>
      </w:r>
      <w:r>
        <w:t xml:space="preserve">, June 2015, p. 13; APTNT, </w:t>
      </w:r>
      <w:r w:rsidRPr="007F5D66">
        <w:rPr>
          <w:i/>
        </w:rPr>
        <w:t>Amadeus gas pipeline, Access arrangement revision proposal, Submission</w:t>
      </w:r>
      <w:r>
        <w:t>, August 2015, p. 169.</w:t>
      </w:r>
    </w:p>
  </w:footnote>
  <w:footnote w:id="19">
    <w:p w:rsidR="00E90DAD" w:rsidRDefault="00E90DAD" w:rsidP="005B21C1">
      <w:pPr>
        <w:pStyle w:val="FootnoteText"/>
      </w:pPr>
      <w:r>
        <w:rPr>
          <w:rStyle w:val="FootnoteReference"/>
        </w:rPr>
        <w:footnoteRef/>
      </w:r>
      <w:r>
        <w:t xml:space="preserve"> </w:t>
      </w:r>
      <w:r>
        <w:tab/>
        <w:t>Where actual demand across the 2016–21 access arrangement period varies from the demand forecast in the access arrangement, AGN's actual revenue will vary from the revenue allowance determined in our decision. In general, if actual demand is above forecast demand, AGN's actual revenue will be above forecast revenue, and vice versa.</w:t>
      </w:r>
    </w:p>
  </w:footnote>
  <w:footnote w:id="20">
    <w:p w:rsidR="00E90DAD" w:rsidRDefault="00E90DAD" w:rsidP="005B21C1">
      <w:pPr>
        <w:pStyle w:val="FootnoteText"/>
      </w:pPr>
      <w:r>
        <w:rPr>
          <w:rStyle w:val="FootnoteReference"/>
        </w:rPr>
        <w:footnoteRef/>
      </w:r>
      <w:r>
        <w:t xml:space="preserve"> </w:t>
      </w:r>
      <w:r>
        <w:tab/>
        <w:t>NGR, r. 76.</w:t>
      </w:r>
    </w:p>
  </w:footnote>
  <w:footnote w:id="21">
    <w:p w:rsidR="00E90DAD" w:rsidRDefault="00E90DAD" w:rsidP="005B21C1">
      <w:pPr>
        <w:pStyle w:val="FootnoteText"/>
      </w:pPr>
      <w:r>
        <w:rPr>
          <w:rStyle w:val="FootnoteReference"/>
        </w:rPr>
        <w:footnoteRef/>
      </w:r>
      <w:r>
        <w:t xml:space="preserve"> </w:t>
      </w:r>
      <w:r>
        <w:tab/>
        <w:t>NGR, r. 41(2).</w:t>
      </w:r>
    </w:p>
  </w:footnote>
  <w:footnote w:id="22">
    <w:p w:rsidR="00E90DAD" w:rsidRDefault="00E90DAD" w:rsidP="005B21C1">
      <w:pPr>
        <w:pStyle w:val="FootnoteText"/>
      </w:pPr>
      <w:r>
        <w:rPr>
          <w:rStyle w:val="FootnoteReference"/>
        </w:rPr>
        <w:footnoteRef/>
      </w:r>
      <w:r>
        <w:t xml:space="preserve"> </w:t>
      </w:r>
      <w:r>
        <w:tab/>
        <w:t>This amount includes revenues for ancillary reference services. See AGN</w:t>
      </w:r>
      <w:r w:rsidRPr="002D4706">
        <w:t xml:space="preserve">, </w:t>
      </w:r>
      <w:r>
        <w:rPr>
          <w:rStyle w:val="AERtextitalic"/>
        </w:rPr>
        <w:t xml:space="preserve">Access arrangement information, </w:t>
      </w:r>
      <w:r w:rsidRPr="002D4706">
        <w:t>Ju</w:t>
      </w:r>
      <w:r>
        <w:t>ly</w:t>
      </w:r>
      <w:r w:rsidRPr="002D4706">
        <w:t xml:space="preserve"> 201</w:t>
      </w:r>
      <w:r>
        <w:t>5</w:t>
      </w:r>
      <w:r w:rsidRPr="002D4706">
        <w:t>, p.</w:t>
      </w:r>
      <w:r>
        <w:t xml:space="preserve"> 214.</w:t>
      </w:r>
    </w:p>
  </w:footnote>
  <w:footnote w:id="23">
    <w:p w:rsidR="00E90DAD" w:rsidRDefault="00E90DAD" w:rsidP="005B21C1">
      <w:pPr>
        <w:pStyle w:val="FootnoteText"/>
      </w:pPr>
      <w:r>
        <w:rPr>
          <w:rStyle w:val="FootnoteReference"/>
        </w:rPr>
        <w:footnoteRef/>
      </w:r>
      <w:r>
        <w:t xml:space="preserve"> </w:t>
      </w:r>
      <w:r>
        <w:tab/>
      </w:r>
      <w:r w:rsidRPr="002D4706">
        <w:t xml:space="preserve">This is calculated by smoothing </w:t>
      </w:r>
      <w:r>
        <w:t xml:space="preserve">the unsmoothed </w:t>
      </w:r>
      <w:r w:rsidRPr="002D4706">
        <w:t xml:space="preserve">building block revenue </w:t>
      </w:r>
      <w:r>
        <w:t>for the 2016–21 access arrangement period as set in this draft decision.</w:t>
      </w:r>
    </w:p>
  </w:footnote>
  <w:footnote w:id="24">
    <w:p w:rsidR="00E90DAD" w:rsidRDefault="00E90DAD" w:rsidP="005B21C1">
      <w:pPr>
        <w:pStyle w:val="FootnoteText"/>
      </w:pPr>
      <w:r>
        <w:rPr>
          <w:rStyle w:val="FootnoteReference"/>
        </w:rPr>
        <w:footnoteRef/>
      </w:r>
      <w:r>
        <w:t xml:space="preserve"> </w:t>
      </w:r>
      <w:r>
        <w:tab/>
        <w:t>AGN</w:t>
      </w:r>
      <w:r w:rsidRPr="002D4706">
        <w:t xml:space="preserve">, </w:t>
      </w:r>
      <w:r>
        <w:rPr>
          <w:rStyle w:val="AERtextitalic"/>
        </w:rPr>
        <w:t xml:space="preserve">Access arrangement information, </w:t>
      </w:r>
      <w:r w:rsidRPr="002D4706">
        <w:t>Ju</w:t>
      </w:r>
      <w:r>
        <w:t>ly</w:t>
      </w:r>
      <w:r w:rsidRPr="002D4706">
        <w:t xml:space="preserve"> 201</w:t>
      </w:r>
      <w:r>
        <w:t>5</w:t>
      </w:r>
      <w:r w:rsidRPr="002D4706">
        <w:t>, p.</w:t>
      </w:r>
      <w:r>
        <w:t xml:space="preserve"> 214.</w:t>
      </w:r>
    </w:p>
  </w:footnote>
  <w:footnote w:id="25">
    <w:p w:rsidR="00E90DAD" w:rsidRDefault="00E90DAD" w:rsidP="005B21C1">
      <w:pPr>
        <w:pStyle w:val="FootnoteText"/>
      </w:pPr>
      <w:r>
        <w:rPr>
          <w:rStyle w:val="FootnoteReference"/>
        </w:rPr>
        <w:footnoteRef/>
      </w:r>
      <w:r>
        <w:t xml:space="preserve"> </w:t>
      </w:r>
      <w:r>
        <w:tab/>
        <w:t>The tariff path for 2011–21 uses actual inflation outcomes for the 2011–15 period, and estimated inflation for 2015–21.</w:t>
      </w:r>
    </w:p>
  </w:footnote>
  <w:footnote w:id="26">
    <w:p w:rsidR="00E90DAD" w:rsidRDefault="00E90DAD" w:rsidP="00570509">
      <w:pPr>
        <w:pStyle w:val="FootnoteText"/>
      </w:pPr>
      <w:r>
        <w:rPr>
          <w:rStyle w:val="FootnoteReference"/>
        </w:rPr>
        <w:footnoteRef/>
      </w:r>
      <w:r>
        <w:t xml:space="preserve"> </w:t>
      </w:r>
      <w:r>
        <w:tab/>
        <w:t>The revenue equalisation occurs in NPV terms, discounting the yearly cash flows at the rate of return to reflect the time value of money.</w:t>
      </w:r>
    </w:p>
  </w:footnote>
  <w:footnote w:id="27">
    <w:p w:rsidR="00E90DAD" w:rsidRDefault="00E90DAD" w:rsidP="00570509">
      <w:pPr>
        <w:pStyle w:val="FootnoteText"/>
      </w:pPr>
      <w:r>
        <w:rPr>
          <w:rStyle w:val="FootnoteReference"/>
        </w:rPr>
        <w:footnoteRef/>
      </w:r>
      <w:r>
        <w:t xml:space="preserve"> </w:t>
      </w:r>
      <w:r>
        <w:tab/>
        <w:t>NGL, ss. 23, 24.</w:t>
      </w:r>
    </w:p>
  </w:footnote>
  <w:footnote w:id="28">
    <w:p w:rsidR="00E90DAD" w:rsidRDefault="00E90DAD" w:rsidP="005B21C1">
      <w:pPr>
        <w:pStyle w:val="FootnoteText"/>
      </w:pPr>
      <w:r>
        <w:rPr>
          <w:rStyle w:val="FootnoteReference"/>
        </w:rPr>
        <w:footnoteRef/>
      </w:r>
      <w:r>
        <w:t xml:space="preserve"> </w:t>
      </w:r>
      <w:r>
        <w:tab/>
      </w:r>
      <w:hyperlink r:id="rId2" w:history="1">
        <w:r w:rsidRPr="00C41950">
          <w:rPr>
            <w:rStyle w:val="Hyperlink"/>
            <w:color w:val="auto"/>
            <w:sz w:val="16"/>
            <w:u w:val="none"/>
          </w:rPr>
          <w:t>http://www.aer.gov.au/Better-regulation</w:t>
        </w:r>
      </w:hyperlink>
      <w:r>
        <w:rPr>
          <w:rStyle w:val="Hyperlink"/>
          <w:color w:val="auto"/>
          <w:sz w:val="16"/>
          <w:u w:val="none"/>
        </w:rPr>
        <w:t>.</w:t>
      </w:r>
    </w:p>
  </w:footnote>
  <w:footnote w:id="29">
    <w:p w:rsidR="00E90DAD" w:rsidRDefault="00E90DAD" w:rsidP="00F059DE">
      <w:pPr>
        <w:pStyle w:val="FootnoteText"/>
      </w:pPr>
      <w:r>
        <w:rPr>
          <w:rStyle w:val="FootnoteReference"/>
        </w:rPr>
        <w:footnoteRef/>
      </w:r>
      <w:r>
        <w:t xml:space="preserve"> </w:t>
      </w:r>
      <w:r>
        <w:tab/>
        <w:t>The size of the capital base also impacts the benchmark debt raising cost allowance. However, this amount is usually relatively small and therefore not a significant determinant of revenues overall.</w:t>
      </w:r>
    </w:p>
  </w:footnote>
  <w:footnote w:id="30">
    <w:p w:rsidR="00E90DAD" w:rsidRDefault="00E90DAD" w:rsidP="00ED15A0">
      <w:pPr>
        <w:pStyle w:val="FootnoteText"/>
      </w:pPr>
      <w:r>
        <w:rPr>
          <w:rStyle w:val="FootnoteReference"/>
        </w:rPr>
        <w:footnoteRef/>
      </w:r>
      <w:r>
        <w:t xml:space="preserve"> </w:t>
      </w:r>
      <w:r>
        <w:tab/>
        <w:t xml:space="preserve">NGR, </w:t>
      </w:r>
      <w:r>
        <w:rPr>
          <w:rFonts w:eastAsia="Calibri"/>
        </w:rPr>
        <w:t>r. 77(2).</w:t>
      </w:r>
    </w:p>
  </w:footnote>
  <w:footnote w:id="31">
    <w:p w:rsidR="00E90DAD" w:rsidRDefault="00E90DAD" w:rsidP="005C6CE2">
      <w:pPr>
        <w:pStyle w:val="FootnoteText"/>
      </w:pPr>
      <w:r>
        <w:rPr>
          <w:rStyle w:val="FootnoteReference"/>
        </w:rPr>
        <w:footnoteRef/>
      </w:r>
      <w:r>
        <w:t xml:space="preserve"> </w:t>
      </w:r>
      <w:r>
        <w:tab/>
        <w:t>NGR, r. 87(1).</w:t>
      </w:r>
    </w:p>
  </w:footnote>
  <w:footnote w:id="32">
    <w:p w:rsidR="00E90DAD" w:rsidRDefault="00E90DAD" w:rsidP="005C6CE2">
      <w:pPr>
        <w:pStyle w:val="FootnoteText"/>
      </w:pPr>
      <w:r>
        <w:rPr>
          <w:rStyle w:val="FootnoteReference"/>
        </w:rPr>
        <w:footnoteRef/>
      </w:r>
      <w:r>
        <w:t xml:space="preserve"> </w:t>
      </w:r>
      <w:r>
        <w:tab/>
        <w:t>NGR, r. 87(3).</w:t>
      </w:r>
    </w:p>
  </w:footnote>
  <w:footnote w:id="33">
    <w:p w:rsidR="00E90DAD" w:rsidRDefault="00E90DAD" w:rsidP="005C6CE2">
      <w:pPr>
        <w:pStyle w:val="FootnoteText"/>
      </w:pPr>
      <w:r>
        <w:rPr>
          <w:rStyle w:val="FootnoteReference"/>
        </w:rPr>
        <w:footnoteRef/>
      </w:r>
      <w:r>
        <w:t xml:space="preserve"> </w:t>
      </w:r>
      <w:r>
        <w:tab/>
        <w:t xml:space="preserve">The </w:t>
      </w:r>
      <w:r w:rsidRPr="006F54C5">
        <w:t xml:space="preserve">nominal vanilla </w:t>
      </w:r>
      <w:r>
        <w:t>rate of return formula</w:t>
      </w:r>
      <w:r w:rsidRPr="006F54C5">
        <w:t xml:space="preserve"> combines a post-tax return on equity and pre-tax return on debt, for consistency with other building blocks.</w:t>
      </w:r>
    </w:p>
  </w:footnote>
  <w:footnote w:id="34">
    <w:p w:rsidR="00E90DAD" w:rsidRPr="008B48DE" w:rsidRDefault="00E90DAD" w:rsidP="005C6CE2">
      <w:pPr>
        <w:pStyle w:val="FootnoteText"/>
      </w:pPr>
      <w:r>
        <w:rPr>
          <w:rStyle w:val="FootnoteReference"/>
        </w:rPr>
        <w:footnoteRef/>
      </w:r>
      <w:r>
        <w:t xml:space="preserve"> </w:t>
      </w:r>
      <w:r>
        <w:tab/>
        <w:t xml:space="preserve">NGR, r. 87(9)(b); AER, </w:t>
      </w:r>
      <w:r>
        <w:rPr>
          <w:i/>
        </w:rPr>
        <w:t>Rate of Return Guideline</w:t>
      </w:r>
      <w:r>
        <w:t>, December 2013.</w:t>
      </w:r>
    </w:p>
  </w:footnote>
  <w:footnote w:id="35">
    <w:p w:rsidR="00E90DAD" w:rsidRDefault="00E90DAD" w:rsidP="005C6CE2">
      <w:pPr>
        <w:pStyle w:val="FootnoteText"/>
      </w:pPr>
      <w:r>
        <w:rPr>
          <w:rStyle w:val="FootnoteReference"/>
        </w:rPr>
        <w:footnoteRef/>
      </w:r>
      <w:r>
        <w:t xml:space="preserve"> </w:t>
      </w:r>
      <w:r>
        <w:tab/>
        <w:t>NGR, r. 87(2).</w:t>
      </w:r>
    </w:p>
  </w:footnote>
  <w:footnote w:id="36">
    <w:p w:rsidR="00E90DAD" w:rsidRDefault="00E90DAD" w:rsidP="005C6CE2">
      <w:pPr>
        <w:pStyle w:val="FootnoteText"/>
      </w:pPr>
      <w:r>
        <w:rPr>
          <w:rStyle w:val="FootnoteReference"/>
        </w:rPr>
        <w:footnoteRef/>
      </w:r>
      <w:r>
        <w:t xml:space="preserve"> </w:t>
      </w:r>
      <w:r>
        <w:tab/>
        <w:t xml:space="preserve">ENA, </w:t>
      </w:r>
      <w:r w:rsidRPr="00DC34B0">
        <w:rPr>
          <w:rStyle w:val="AERtextitalic"/>
        </w:rPr>
        <w:t>Response to the Draft Rate of Return Guideline of the AER</w:t>
      </w:r>
      <w:r>
        <w:t xml:space="preserve">, 11 October 2013, p. 1; AER, </w:t>
      </w:r>
      <w:r w:rsidRPr="00DC34B0">
        <w:rPr>
          <w:rStyle w:val="AERtextitalic"/>
        </w:rPr>
        <w:t>Better regulation: Explanatory statement Rate of Return Guideline, Appendices</w:t>
      </w:r>
      <w:r>
        <w:t>, December 2013, Appendix I, Table I.4, pp. 185</w:t>
      </w:r>
      <w:r>
        <w:rPr>
          <w:rFonts w:cs="Arial"/>
        </w:rPr>
        <w:t>−</w:t>
      </w:r>
      <w:r>
        <w:t>186.</w:t>
      </w:r>
    </w:p>
  </w:footnote>
  <w:footnote w:id="37">
    <w:p w:rsidR="00E90DAD" w:rsidRDefault="00E90DAD" w:rsidP="005C6CE2">
      <w:pPr>
        <w:pStyle w:val="FootnoteText"/>
      </w:pPr>
      <w:r>
        <w:rPr>
          <w:rStyle w:val="FootnoteReference"/>
        </w:rPr>
        <w:footnoteRef/>
      </w:r>
      <w:r>
        <w:t xml:space="preserve"> </w:t>
      </w:r>
      <w:r>
        <w:tab/>
        <w:t>NGR, r. 87(13).</w:t>
      </w:r>
    </w:p>
  </w:footnote>
  <w:footnote w:id="38">
    <w:p w:rsidR="00E90DAD" w:rsidRDefault="00E90DAD" w:rsidP="005C6CE2">
      <w:pPr>
        <w:pStyle w:val="FootnoteText"/>
      </w:pPr>
      <w:r>
        <w:rPr>
          <w:rStyle w:val="FootnoteReference"/>
        </w:rPr>
        <w:footnoteRef/>
      </w:r>
      <w:r>
        <w:t xml:space="preserve"> </w:t>
      </w:r>
      <w:r>
        <w:tab/>
        <w:t xml:space="preserve">See AER: </w:t>
      </w:r>
      <w:hyperlink r:id="rId3" w:history="1">
        <w:r w:rsidRPr="00E35EFD">
          <w:rPr>
            <w:rStyle w:val="AERtextsize8"/>
          </w:rPr>
          <w:t>http://www.aer.gov.au/node/18859</w:t>
        </w:r>
      </w:hyperlink>
      <w:r>
        <w:rPr>
          <w:rStyle w:val="AERtextsize8"/>
        </w:rPr>
        <w:t xml:space="preserve">. </w:t>
      </w:r>
    </w:p>
  </w:footnote>
  <w:footnote w:id="39">
    <w:p w:rsidR="00E90DAD" w:rsidRDefault="00E90DAD" w:rsidP="005C6CE2">
      <w:pPr>
        <w:pStyle w:val="FootnoteText"/>
      </w:pPr>
      <w:r>
        <w:rPr>
          <w:rStyle w:val="FootnoteReference"/>
        </w:rPr>
        <w:footnoteRef/>
      </w:r>
      <w:r>
        <w:t xml:space="preserve"> </w:t>
      </w:r>
      <w:r>
        <w:tab/>
        <w:t>This involved determining the return on debt by reference to the return on BBB+ rated bonds over a 10-40 business day averaging period that occurred as close as practicable to the start of the access arrangement period.</w:t>
      </w:r>
    </w:p>
  </w:footnote>
  <w:footnote w:id="40">
    <w:p w:rsidR="00E90DAD" w:rsidRDefault="00E90DAD" w:rsidP="005C6CE2">
      <w:pPr>
        <w:pStyle w:val="FootnoteText"/>
      </w:pPr>
      <w:r>
        <w:rPr>
          <w:rStyle w:val="FootnoteReference"/>
        </w:rPr>
        <w:footnoteRef/>
      </w:r>
      <w:r>
        <w:t xml:space="preserve"> </w:t>
      </w:r>
      <w:r>
        <w:tab/>
        <w:t xml:space="preserve">In broad terms, this means that the return on debt for any year will represent the average return on debt over the previous ten years. </w:t>
      </w:r>
    </w:p>
  </w:footnote>
  <w:footnote w:id="41">
    <w:p w:rsidR="00E90DAD" w:rsidRDefault="00E90DAD" w:rsidP="005C6CE2">
      <w:pPr>
        <w:pStyle w:val="FootnoteText"/>
      </w:pPr>
      <w:r>
        <w:rPr>
          <w:rStyle w:val="FootnoteReference"/>
        </w:rPr>
        <w:footnoteRef/>
      </w:r>
      <w:r>
        <w:t xml:space="preserve"> </w:t>
      </w:r>
      <w:r>
        <w:tab/>
        <w:t>NGR, r. 87(5)(a).</w:t>
      </w:r>
    </w:p>
  </w:footnote>
  <w:footnote w:id="42">
    <w:p w:rsidR="00E90DAD" w:rsidRDefault="00E90DAD" w:rsidP="005C6CE2">
      <w:pPr>
        <w:pStyle w:val="FootnoteText"/>
      </w:pPr>
      <w:r>
        <w:rPr>
          <w:rStyle w:val="FootnoteReference"/>
        </w:rPr>
        <w:footnoteRef/>
      </w:r>
      <w:r>
        <w:t xml:space="preserve"> </w:t>
      </w:r>
      <w:r>
        <w:tab/>
        <w:t xml:space="preserve">McKenzie &amp; Partington, </w:t>
      </w:r>
      <w:r w:rsidRPr="00555743">
        <w:rPr>
          <w:rStyle w:val="AERtextitalic"/>
        </w:rPr>
        <w:t>Part A: Return on equity, Report to the AER</w:t>
      </w:r>
      <w:r>
        <w:t xml:space="preserve">, October 2014, p. 13; John Handley, </w:t>
      </w:r>
      <w:r w:rsidRPr="00450C4F">
        <w:rPr>
          <w:rStyle w:val="AERtextitalic"/>
        </w:rPr>
        <w:t>Advice on return on equity, Report prepared for the AER</w:t>
      </w:r>
      <w:r>
        <w:t>, October 2014, p. 3.</w:t>
      </w:r>
    </w:p>
  </w:footnote>
  <w:footnote w:id="43">
    <w:p w:rsidR="00E90DAD" w:rsidRDefault="00E90DAD" w:rsidP="005C6CE2">
      <w:pPr>
        <w:pStyle w:val="FootnoteText"/>
      </w:pPr>
      <w:r>
        <w:rPr>
          <w:rStyle w:val="FootnoteReference"/>
        </w:rPr>
        <w:footnoteRef/>
      </w:r>
      <w:r>
        <w:t xml:space="preserve"> </w:t>
      </w:r>
      <w:r>
        <w:tab/>
        <w:t>Our task is to determine the efficient financing costs commensurate with the risk of providing regulated network service by an efficient benchmark entity (allowed rate of return objective). Risks in this context are those which are compensated via the return on equity (systematic risks).</w:t>
      </w:r>
    </w:p>
  </w:footnote>
  <w:footnote w:id="44">
    <w:p w:rsidR="00E90DAD" w:rsidRDefault="00E90DAD" w:rsidP="00C659D1">
      <w:pPr>
        <w:pStyle w:val="FootnoteText"/>
      </w:pPr>
      <w:r>
        <w:rPr>
          <w:rStyle w:val="FootnoteReference"/>
        </w:rPr>
        <w:footnoteRef/>
      </w:r>
      <w:r>
        <w:t xml:space="preserve"> </w:t>
      </w:r>
      <w:r>
        <w:tab/>
      </w:r>
      <w:r w:rsidRPr="00E5005D">
        <w:t xml:space="preserve">Grant Samuel, </w:t>
      </w:r>
      <w:r w:rsidRPr="00E5005D">
        <w:rPr>
          <w:rStyle w:val="AERtextitalic"/>
        </w:rPr>
        <w:t>Envestra: Financial services guide and independent expert’s report</w:t>
      </w:r>
      <w:r w:rsidRPr="00E5005D">
        <w:t>, March 2014, Appendix 3.</w:t>
      </w:r>
    </w:p>
  </w:footnote>
  <w:footnote w:id="45">
    <w:p w:rsidR="00E90DAD" w:rsidRDefault="00E90DAD" w:rsidP="00C659D1">
      <w:pPr>
        <w:pStyle w:val="FootnoteText"/>
      </w:pPr>
      <w:r>
        <w:rPr>
          <w:rStyle w:val="FootnoteReference"/>
        </w:rPr>
        <w:footnoteRef/>
      </w:r>
      <w:r>
        <w:t xml:space="preserve"> </w:t>
      </w:r>
      <w:r>
        <w:tab/>
        <w:t>ActewAGL, Ausgrid, Directlink, Endeavour Energy, Energex, Ergon Energy, Essential Energy, Jemena Gas Networks, SA Power Networks, TasNetworks, and TransGrid. Jemena Gas Networks' revised proposals contained an indicative return on equity based on an indicative risk free rate averaging period. On 27 March 2015 JGN provided submissions that updated its approach using values derived from its proposed averaging periods. We have shown the 27 March 2015 updates.</w:t>
      </w:r>
    </w:p>
  </w:footnote>
  <w:footnote w:id="46">
    <w:p w:rsidR="00E90DAD" w:rsidRDefault="00E90DAD" w:rsidP="00C659D1">
      <w:pPr>
        <w:pStyle w:val="FootnoteText"/>
      </w:pPr>
      <w:r>
        <w:rPr>
          <w:rStyle w:val="FootnoteReference"/>
        </w:rPr>
        <w:footnoteRef/>
      </w:r>
      <w:r>
        <w:t xml:space="preserve"> </w:t>
      </w:r>
      <w:r>
        <w:tab/>
        <w:t xml:space="preserve">Alliance of Electricity Consumers, </w:t>
      </w:r>
      <w:r>
        <w:rPr>
          <w:rStyle w:val="AERtextitalic"/>
        </w:rPr>
        <w:t xml:space="preserve">Submission </w:t>
      </w:r>
      <w:r w:rsidRPr="00B25053">
        <w:rPr>
          <w:rStyle w:val="AERtextitalic"/>
        </w:rPr>
        <w:t>to the Australian Energy Regulator's Preliminary Decision (Queensland)</w:t>
      </w:r>
      <w:r>
        <w:t xml:space="preserve">, July 2015, p. 29; Origin Energy, </w:t>
      </w:r>
      <w:r w:rsidRPr="00B25053">
        <w:rPr>
          <w:rStyle w:val="AERtextitalic"/>
        </w:rPr>
        <w:t>Submission to AER Preliminary Decision SA Power Networks</w:t>
      </w:r>
      <w:r>
        <w:t>, July 2015, p. 9</w:t>
      </w:r>
      <w:r w:rsidRPr="00E5005D">
        <w:t>.</w:t>
      </w:r>
    </w:p>
  </w:footnote>
  <w:footnote w:id="47">
    <w:p w:rsidR="00E90DAD" w:rsidRDefault="00E90DAD" w:rsidP="005C6CE2">
      <w:pPr>
        <w:pStyle w:val="FootnoteText"/>
      </w:pPr>
      <w:r>
        <w:rPr>
          <w:rStyle w:val="FootnoteReference"/>
        </w:rPr>
        <w:footnoteRef/>
      </w:r>
      <w:r>
        <w:t xml:space="preserve"> </w:t>
      </w:r>
      <w:r>
        <w:tab/>
      </w:r>
      <w:r w:rsidRPr="00890E69">
        <w:rPr>
          <w:rStyle w:val="AERtextitalic"/>
        </w:rPr>
        <w:t>Income Tax Assessment Act 1997</w:t>
      </w:r>
      <w:r>
        <w:t>, parts 3–6.</w:t>
      </w:r>
    </w:p>
  </w:footnote>
  <w:footnote w:id="48">
    <w:p w:rsidR="00E90DAD" w:rsidRDefault="00E90DAD" w:rsidP="005C6CE2">
      <w:pPr>
        <w:pStyle w:val="FootnoteText"/>
      </w:pPr>
      <w:r>
        <w:rPr>
          <w:rStyle w:val="FootnoteReference"/>
        </w:rPr>
        <w:footnoteRef/>
      </w:r>
      <w:r>
        <w:t xml:space="preserve"> </w:t>
      </w:r>
      <w:r>
        <w:tab/>
        <w:t>NGR, rr. 76(c) and 87A.</w:t>
      </w:r>
    </w:p>
  </w:footnote>
  <w:footnote w:id="49">
    <w:p w:rsidR="00E90DAD" w:rsidRDefault="00E90DAD" w:rsidP="00BA28F3">
      <w:pPr>
        <w:pStyle w:val="FootnoteText"/>
      </w:pPr>
      <w:r>
        <w:rPr>
          <w:rStyle w:val="FootnoteReference"/>
        </w:rPr>
        <w:footnoteRef/>
      </w:r>
      <w:r>
        <w:t xml:space="preserve"> </w:t>
      </w:r>
      <w:r>
        <w:tab/>
        <w:t>Under our standard approach,</w:t>
      </w:r>
      <w:r w:rsidRPr="00847540">
        <w:t xml:space="preserve"> the distinction is made between straight-line depreciation and regulatory depreciation. The difference being that regulatory depreciation is the straight-line depreciation minus the indexation adjustment.</w:t>
      </w:r>
    </w:p>
  </w:footnote>
  <w:footnote w:id="50">
    <w:p w:rsidR="00E90DAD" w:rsidRDefault="00E90DAD" w:rsidP="00D77E30">
      <w:pPr>
        <w:pStyle w:val="FootnoteText"/>
      </w:pPr>
      <w:r>
        <w:rPr>
          <w:rStyle w:val="FootnoteReference"/>
        </w:rPr>
        <w:footnoteRef/>
      </w:r>
      <w:r>
        <w:t xml:space="preserve"> </w:t>
      </w:r>
      <w:r>
        <w:tab/>
        <w:t>NGR, r. 76(b).</w:t>
      </w:r>
    </w:p>
  </w:footnote>
  <w:footnote w:id="51">
    <w:p w:rsidR="00E90DAD" w:rsidRDefault="00E90DAD">
      <w:pPr>
        <w:pStyle w:val="FootnoteText"/>
      </w:pPr>
      <w:r>
        <w:rPr>
          <w:rStyle w:val="FootnoteReference"/>
        </w:rPr>
        <w:footnoteRef/>
      </w:r>
      <w:r>
        <w:t xml:space="preserve"> </w:t>
      </w:r>
      <w:r>
        <w:tab/>
        <w:t>NGR, r. 89.</w:t>
      </w:r>
    </w:p>
  </w:footnote>
  <w:footnote w:id="52">
    <w:p w:rsidR="00E90DAD" w:rsidRDefault="00E90DAD">
      <w:pPr>
        <w:pStyle w:val="FootnoteText"/>
      </w:pPr>
      <w:r>
        <w:rPr>
          <w:rStyle w:val="FootnoteReference"/>
        </w:rPr>
        <w:footnoteRef/>
      </w:r>
      <w:r>
        <w:t xml:space="preserve"> </w:t>
      </w:r>
      <w:r>
        <w:tab/>
        <w:t>NGL, s. 28; NGR, r. 100(1). The NGO is set out in NGL, s. 23. The revenue and pricing principles are set out in NGL, s. 24.</w:t>
      </w:r>
    </w:p>
  </w:footnote>
  <w:footnote w:id="53">
    <w:p w:rsidR="00E90DAD" w:rsidRDefault="00E90DAD" w:rsidP="00D77E30">
      <w:pPr>
        <w:pStyle w:val="FootnoteText"/>
      </w:pPr>
      <w:r>
        <w:rPr>
          <w:rStyle w:val="FootnoteReference"/>
        </w:rPr>
        <w:footnoteRef/>
      </w:r>
      <w:r>
        <w:t xml:space="preserve"> </w:t>
      </w:r>
      <w:r>
        <w:tab/>
        <w:t>Regulatory depreciation allowance is the net total of the straight-line depreciation (negative) and the annual inflation indexation (positive) on the projected capital base.</w:t>
      </w:r>
    </w:p>
  </w:footnote>
  <w:footnote w:id="54">
    <w:p w:rsidR="00E90DAD" w:rsidRDefault="00E90DAD" w:rsidP="00141F1F">
      <w:pPr>
        <w:pStyle w:val="FootnoteText"/>
      </w:pPr>
      <w:r>
        <w:rPr>
          <w:rStyle w:val="FootnoteReference"/>
        </w:rPr>
        <w:footnoteRef/>
      </w:r>
      <w:r>
        <w:t xml:space="preserve"> </w:t>
      </w:r>
      <w:r>
        <w:tab/>
      </w:r>
      <w:r w:rsidRPr="000F20D1">
        <w:t xml:space="preserve">AGN, </w:t>
      </w:r>
      <w:r w:rsidRPr="000F20D1">
        <w:rPr>
          <w:i/>
        </w:rPr>
        <w:t>Access arrangement information</w:t>
      </w:r>
      <w:r w:rsidRPr="000F20D1">
        <w:t>, July 2015, p</w:t>
      </w:r>
      <w:r>
        <w:t xml:space="preserve">. 163; see also Incenta, </w:t>
      </w:r>
      <w:r w:rsidRPr="00813832">
        <w:rPr>
          <w:rStyle w:val="AERtextitalic"/>
        </w:rPr>
        <w:t>Using the profile of prices during an access arrangement period and return of capital to improve financial metrics</w:t>
      </w:r>
      <w:r>
        <w:t>, 17 </w:t>
      </w:r>
      <w:r w:rsidRPr="00717501">
        <w:t>June 2015</w:t>
      </w:r>
      <w:r>
        <w:t>, pp. 14–16.</w:t>
      </w:r>
    </w:p>
  </w:footnote>
  <w:footnote w:id="55">
    <w:p w:rsidR="00E90DAD" w:rsidRDefault="00E90DAD" w:rsidP="00141F1F">
      <w:pPr>
        <w:pStyle w:val="FootnoteText"/>
      </w:pPr>
      <w:r>
        <w:rPr>
          <w:rStyle w:val="FootnoteReference"/>
        </w:rPr>
        <w:footnoteRef/>
      </w:r>
      <w:r>
        <w:t xml:space="preserve"> </w:t>
      </w:r>
      <w:r>
        <w:tab/>
        <w:t xml:space="preserve">Incenta Economic Consulting, </w:t>
      </w:r>
      <w:r w:rsidRPr="00813832">
        <w:rPr>
          <w:rStyle w:val="AERtextitalic"/>
        </w:rPr>
        <w:t>Using the profile of prices during an access arrangement period and return of capital to improve financial metrics</w:t>
      </w:r>
      <w:r>
        <w:t>, 17 </w:t>
      </w:r>
      <w:r w:rsidRPr="00717501">
        <w:t>June 2015</w:t>
      </w:r>
      <w:r>
        <w:t xml:space="preserve"> (attachment 5.1 to the AAI).</w:t>
      </w:r>
    </w:p>
  </w:footnote>
  <w:footnote w:id="56">
    <w:p w:rsidR="00E90DAD" w:rsidRDefault="00E90DAD" w:rsidP="00141F1F">
      <w:pPr>
        <w:pStyle w:val="FootnoteText"/>
      </w:pPr>
      <w:r>
        <w:rPr>
          <w:rStyle w:val="FootnoteReference"/>
        </w:rPr>
        <w:footnoteRef/>
      </w:r>
      <w:r>
        <w:t xml:space="preserve"> </w:t>
      </w:r>
      <w:r>
        <w:tab/>
      </w:r>
      <w:r w:rsidRPr="000F20D1">
        <w:t xml:space="preserve">AGN, </w:t>
      </w:r>
      <w:r w:rsidRPr="000F20D1">
        <w:rPr>
          <w:i/>
        </w:rPr>
        <w:t>Access arrangement information</w:t>
      </w:r>
      <w:r w:rsidRPr="000F20D1">
        <w:t>, July 2015, p</w:t>
      </w:r>
      <w:r>
        <w:t>p</w:t>
      </w:r>
      <w:r w:rsidRPr="000F20D1">
        <w:t xml:space="preserve">. </w:t>
      </w:r>
      <w:r>
        <w:t xml:space="preserve">95–97, </w:t>
      </w:r>
      <w:r w:rsidRPr="000F20D1">
        <w:t>16</w:t>
      </w:r>
      <w:r>
        <w:t>2–165</w:t>
      </w:r>
      <w:r w:rsidRPr="000F20D1">
        <w:t>.</w:t>
      </w:r>
    </w:p>
  </w:footnote>
  <w:footnote w:id="57">
    <w:p w:rsidR="00E90DAD" w:rsidRDefault="00E90DAD" w:rsidP="00141F1F">
      <w:pPr>
        <w:pStyle w:val="FootnoteText"/>
      </w:pPr>
      <w:r>
        <w:rPr>
          <w:rStyle w:val="FootnoteReference"/>
        </w:rPr>
        <w:footnoteRef/>
      </w:r>
      <w:r>
        <w:t xml:space="preserve"> </w:t>
      </w:r>
      <w:r>
        <w:tab/>
      </w:r>
      <w:r w:rsidRPr="000F20D1">
        <w:t xml:space="preserve">AGN, </w:t>
      </w:r>
      <w:r w:rsidRPr="000F20D1">
        <w:rPr>
          <w:i/>
        </w:rPr>
        <w:t>Access arrangement information</w:t>
      </w:r>
      <w:r w:rsidRPr="000F20D1">
        <w:t>, July 2015, p</w:t>
      </w:r>
      <w:r>
        <w:t>p</w:t>
      </w:r>
      <w:r w:rsidRPr="000F20D1">
        <w:t>. 16</w:t>
      </w:r>
      <w:r>
        <w:t>4–165.</w:t>
      </w:r>
    </w:p>
  </w:footnote>
  <w:footnote w:id="58">
    <w:p w:rsidR="00E90DAD" w:rsidRDefault="00E90DAD" w:rsidP="00141F1F">
      <w:pPr>
        <w:pStyle w:val="FootnoteText"/>
      </w:pPr>
      <w:r>
        <w:rPr>
          <w:rStyle w:val="FootnoteReference"/>
        </w:rPr>
        <w:footnoteRef/>
      </w:r>
      <w:r>
        <w:t xml:space="preserve"> </w:t>
      </w:r>
      <w:r>
        <w:tab/>
        <w:t xml:space="preserve">Alternative Technology Association, </w:t>
      </w:r>
      <w:r w:rsidRPr="00BA1FE1">
        <w:rPr>
          <w:i/>
        </w:rPr>
        <w:t>Australian Gas Network (SA) access arrangement proposal</w:t>
      </w:r>
      <w:r>
        <w:t xml:space="preserve">, August 2015, pp. 10–11; Energy Consumers Coalition of SA, </w:t>
      </w:r>
      <w:r w:rsidRPr="00D971C4">
        <w:rPr>
          <w:i/>
        </w:rPr>
        <w:t>AER review of AGN proposal 2015</w:t>
      </w:r>
      <w:r>
        <w:t xml:space="preserve">, August 2015, p. 32; Origin Energy LPG, </w:t>
      </w:r>
      <w:r w:rsidRPr="00BA1FE1">
        <w:rPr>
          <w:i/>
        </w:rPr>
        <w:t>Australian Gas Networks 2016–21 access arrangement proposal for its south Australian gas distribution network</w:t>
      </w:r>
      <w:r>
        <w:t>, August 2015, pp. 4–5.</w:t>
      </w:r>
    </w:p>
  </w:footnote>
  <w:footnote w:id="59">
    <w:p w:rsidR="00E90DAD" w:rsidRDefault="00E90DAD" w:rsidP="000F769E">
      <w:pPr>
        <w:pStyle w:val="FootnoteText"/>
      </w:pPr>
      <w:r>
        <w:rPr>
          <w:rStyle w:val="FootnoteReference"/>
        </w:rPr>
        <w:footnoteRef/>
      </w:r>
      <w:r>
        <w:t xml:space="preserve"> </w:t>
      </w:r>
      <w:r>
        <w:tab/>
        <w:t>NGR, r. 77(2)(b).</w:t>
      </w:r>
    </w:p>
  </w:footnote>
  <w:footnote w:id="60">
    <w:p w:rsidR="00E90DAD" w:rsidRDefault="00E90DAD" w:rsidP="000F769E">
      <w:pPr>
        <w:pStyle w:val="FootnoteText"/>
      </w:pPr>
      <w:r>
        <w:rPr>
          <w:rStyle w:val="FootnoteReference"/>
        </w:rPr>
        <w:footnoteRef/>
      </w:r>
      <w:r>
        <w:t xml:space="preserve"> </w:t>
      </w:r>
      <w:r>
        <w:tab/>
        <w:t>NGR, r. 79.</w:t>
      </w:r>
    </w:p>
  </w:footnote>
  <w:footnote w:id="61">
    <w:p w:rsidR="00E90DAD" w:rsidRDefault="00E90DAD">
      <w:pPr>
        <w:pStyle w:val="FootnoteText"/>
      </w:pPr>
      <w:r>
        <w:rPr>
          <w:rStyle w:val="FootnoteReference"/>
        </w:rPr>
        <w:footnoteRef/>
      </w:r>
      <w:r>
        <w:t xml:space="preserve"> </w:t>
      </w:r>
      <w:r>
        <w:tab/>
        <w:t>Capex for 2015–16 will be assessed as part of our next review, when actual data for that year will be available.</w:t>
      </w:r>
    </w:p>
  </w:footnote>
  <w:footnote w:id="62">
    <w:p w:rsidR="00E90DAD" w:rsidRDefault="00E90DAD">
      <w:pPr>
        <w:pStyle w:val="FootnoteText"/>
      </w:pPr>
      <w:r>
        <w:rPr>
          <w:rStyle w:val="FootnoteReference"/>
        </w:rPr>
        <w:footnoteRef/>
      </w:r>
      <w:r>
        <w:t xml:space="preserve"> </w:t>
      </w:r>
      <w:r>
        <w:tab/>
        <w:t>NGR, r. 79(1)(a).</w:t>
      </w:r>
    </w:p>
  </w:footnote>
  <w:footnote w:id="63">
    <w:p w:rsidR="00E90DAD" w:rsidRDefault="00E90DAD" w:rsidP="00C4707E">
      <w:pPr>
        <w:pStyle w:val="FootnoteText"/>
      </w:pPr>
      <w:r>
        <w:rPr>
          <w:rStyle w:val="FootnoteReference"/>
        </w:rPr>
        <w:footnoteRef/>
      </w:r>
      <w:r>
        <w:t xml:space="preserve"> </w:t>
      </w:r>
      <w:r>
        <w:tab/>
        <w:t>This capex category includes distribution system capex that does not fall into any of the other capex categories.</w:t>
      </w:r>
    </w:p>
  </w:footnote>
  <w:footnote w:id="64">
    <w:p w:rsidR="00E90DAD" w:rsidRDefault="00E90DAD" w:rsidP="005C6CE2">
      <w:pPr>
        <w:pStyle w:val="FootnoteText"/>
      </w:pPr>
      <w:r>
        <w:rPr>
          <w:rStyle w:val="FootnoteReference"/>
        </w:rPr>
        <w:footnoteRef/>
      </w:r>
      <w:r>
        <w:t xml:space="preserve"> </w:t>
      </w:r>
      <w:r>
        <w:tab/>
      </w:r>
      <w:r w:rsidRPr="00D70A4C">
        <w:t>NGR, r. 91, r. 74.</w:t>
      </w:r>
    </w:p>
  </w:footnote>
  <w:footnote w:id="65">
    <w:p w:rsidR="00E90DAD" w:rsidRDefault="00E90DAD" w:rsidP="000F769E">
      <w:pPr>
        <w:pStyle w:val="FootnoteText"/>
      </w:pPr>
      <w:r>
        <w:rPr>
          <w:rStyle w:val="FootnoteReference"/>
        </w:rPr>
        <w:footnoteRef/>
      </w:r>
      <w:r>
        <w:t xml:space="preserve"> </w:t>
      </w:r>
      <w:r>
        <w:tab/>
        <w:t>NGR, r. 91.</w:t>
      </w:r>
    </w:p>
  </w:footnote>
  <w:footnote w:id="66">
    <w:p w:rsidR="00E90DAD" w:rsidRDefault="00E90DAD" w:rsidP="00E56AE1">
      <w:pPr>
        <w:pStyle w:val="FootnoteText"/>
      </w:pPr>
      <w:r>
        <w:rPr>
          <w:rStyle w:val="FootnoteReference"/>
        </w:rPr>
        <w:footnoteRef/>
      </w:r>
      <w:r>
        <w:t xml:space="preserve"> </w:t>
      </w:r>
      <w:r>
        <w:tab/>
        <w:t xml:space="preserve">ESCV, </w:t>
      </w:r>
      <w:r w:rsidRPr="00383279">
        <w:rPr>
          <w:i/>
        </w:rPr>
        <w:t>Gas distribution system code, Review of UAFG benchmarks</w:t>
      </w:r>
      <w:r>
        <w:t xml:space="preserve">, draft decision, March 2013, p. 8. </w:t>
      </w:r>
    </w:p>
  </w:footnote>
  <w:footnote w:id="67">
    <w:p w:rsidR="00E90DAD" w:rsidRDefault="00E90DAD" w:rsidP="00840954">
      <w:pPr>
        <w:pStyle w:val="FootnoteText"/>
      </w:pPr>
      <w:r>
        <w:rPr>
          <w:rStyle w:val="FootnoteReference"/>
        </w:rPr>
        <w:footnoteRef/>
      </w:r>
      <w:r>
        <w:t xml:space="preserve"> </w:t>
      </w:r>
      <w:r>
        <w:tab/>
        <w:t xml:space="preserve">AGN, </w:t>
      </w:r>
      <w:r w:rsidRPr="0026390C">
        <w:rPr>
          <w:rStyle w:val="AERtextitalic"/>
        </w:rPr>
        <w:t>Access Arrangement Information for AGN's South Australian Natural Gas Distribution Network</w:t>
      </w:r>
      <w:r>
        <w:t xml:space="preserve"> (July 2015), p. 116.</w:t>
      </w:r>
    </w:p>
  </w:footnote>
  <w:footnote w:id="68">
    <w:p w:rsidR="00E90DAD" w:rsidRDefault="00E90DAD">
      <w:pPr>
        <w:pStyle w:val="FootnoteText"/>
      </w:pPr>
      <w:r>
        <w:rPr>
          <w:rStyle w:val="FootnoteReference"/>
        </w:rPr>
        <w:footnoteRef/>
      </w:r>
      <w:r>
        <w:t xml:space="preserve"> </w:t>
      </w:r>
      <w:r>
        <w:tab/>
        <w:t>This number differs from the $5.7 million initially provided in AGN’s access arrangement RIN and which was outlined in its proposed access arrangement. The explanation for the difference is that AGN subsequently provided updated insurance amounts, which are an excluded cost category in its existing efficiency carryover mechanism. We accept that the updated amounts should be applied in calculating AGN’s carryover amounts.</w:t>
      </w:r>
    </w:p>
  </w:footnote>
  <w:footnote w:id="69">
    <w:p w:rsidR="00E90DAD" w:rsidRDefault="00E90DAD" w:rsidP="00863B34">
      <w:pPr>
        <w:pStyle w:val="FootnoteText"/>
      </w:pPr>
      <w:r>
        <w:rPr>
          <w:rStyle w:val="FootnoteReference"/>
        </w:rPr>
        <w:footnoteRef/>
      </w:r>
      <w:r>
        <w:t xml:space="preserve"> </w:t>
      </w:r>
      <w:r>
        <w:tab/>
        <w:t>An outcome of the efficiency carryover mechanism that applied to AGN in the 2011–16 access arrangement is that increases or decreases in opex relative to the allowance are shared approximately 30:70 between network service providers and consumers.</w:t>
      </w:r>
    </w:p>
  </w:footnote>
  <w:footnote w:id="70">
    <w:p w:rsidR="00E90DAD" w:rsidRDefault="00E90DAD" w:rsidP="00C87A87">
      <w:pPr>
        <w:pStyle w:val="FootnoteText"/>
      </w:pPr>
      <w:r>
        <w:rPr>
          <w:rStyle w:val="FootnoteReference"/>
        </w:rPr>
        <w:footnoteRef/>
      </w:r>
      <w:r>
        <w:t xml:space="preserve"> </w:t>
      </w:r>
      <w:r>
        <w:tab/>
        <w:t xml:space="preserve">AER, </w:t>
      </w:r>
      <w:r w:rsidRPr="00A049C4">
        <w:rPr>
          <w:rStyle w:val="AERtextitalic"/>
        </w:rPr>
        <w:t>Efficient Benefit Sharing Scheme for Electricity Network Service Providers</w:t>
      </w:r>
      <w:r>
        <w:t>, November 2013.</w:t>
      </w:r>
    </w:p>
  </w:footnote>
  <w:footnote w:id="71">
    <w:p w:rsidR="00E90DAD" w:rsidRDefault="00E90DAD" w:rsidP="009945CB">
      <w:pPr>
        <w:pStyle w:val="FootnoteText"/>
      </w:pPr>
      <w:r>
        <w:rPr>
          <w:rStyle w:val="FootnoteReference"/>
        </w:rPr>
        <w:footnoteRef/>
      </w:r>
      <w:r>
        <w:t xml:space="preserve"> </w:t>
      </w:r>
      <w:r>
        <w:tab/>
        <w:t>NGR, r. 76(c).</w:t>
      </w:r>
    </w:p>
  </w:footnote>
  <w:footnote w:id="72">
    <w:p w:rsidR="00E90DAD" w:rsidRDefault="00E90DAD" w:rsidP="009945CB">
      <w:pPr>
        <w:pStyle w:val="FootnoteText"/>
      </w:pPr>
      <w:r>
        <w:rPr>
          <w:rStyle w:val="FootnoteReference"/>
        </w:rPr>
        <w:footnoteRef/>
      </w:r>
      <w:r>
        <w:t xml:space="preserve"> </w:t>
      </w:r>
      <w:r>
        <w:tab/>
        <w:t>AGN</w:t>
      </w:r>
      <w:r w:rsidRPr="00F406F0">
        <w:t xml:space="preserve">, </w:t>
      </w:r>
      <w:r w:rsidRPr="00F406F0">
        <w:rPr>
          <w:rStyle w:val="AERtextitalic"/>
        </w:rPr>
        <w:t>Access arrangement information</w:t>
      </w:r>
      <w:r w:rsidRPr="00F406F0">
        <w:t xml:space="preserve">, </w:t>
      </w:r>
      <w:r>
        <w:t>July 2015</w:t>
      </w:r>
      <w:r w:rsidRPr="00F406F0">
        <w:t xml:space="preserve">, p. </w:t>
      </w:r>
      <w:r>
        <w:t>179</w:t>
      </w:r>
      <w:r w:rsidRPr="00F406F0">
        <w:t>.</w:t>
      </w:r>
    </w:p>
  </w:footnote>
  <w:footnote w:id="73">
    <w:p w:rsidR="00E90DAD" w:rsidRDefault="00E90DAD" w:rsidP="00954449">
      <w:pPr>
        <w:pStyle w:val="FootnoteText"/>
      </w:pPr>
      <w:r>
        <w:rPr>
          <w:rStyle w:val="FootnoteReference"/>
        </w:rPr>
        <w:footnoteRef/>
      </w:r>
      <w:r>
        <w:t xml:space="preserve"> </w:t>
      </w:r>
      <w:r>
        <w:tab/>
        <w:t>NGR, r. 87A.</w:t>
      </w:r>
    </w:p>
  </w:footnote>
  <w:footnote w:id="74">
    <w:p w:rsidR="00E90DAD" w:rsidRDefault="00E90DAD" w:rsidP="009321EF">
      <w:pPr>
        <w:pStyle w:val="FootnoteText"/>
      </w:pPr>
      <w:r>
        <w:rPr>
          <w:rStyle w:val="FootnoteReference"/>
        </w:rPr>
        <w:footnoteRef/>
      </w:r>
      <w:r>
        <w:t xml:space="preserve"> </w:t>
      </w:r>
      <w:r>
        <w:tab/>
        <w:t>NGR, r. 74(2).</w:t>
      </w:r>
    </w:p>
  </w:footnote>
  <w:footnote w:id="75">
    <w:p w:rsidR="00E90DAD" w:rsidRDefault="00E90DAD" w:rsidP="00A62C1D">
      <w:pPr>
        <w:pStyle w:val="FootnoteText"/>
      </w:pPr>
      <w:r>
        <w:rPr>
          <w:rStyle w:val="FootnoteReference"/>
        </w:rPr>
        <w:footnoteRef/>
      </w:r>
      <w:r>
        <w:t xml:space="preserve"> </w:t>
      </w:r>
      <w:r>
        <w:tab/>
      </w:r>
      <w:r w:rsidRPr="001537B8">
        <w:t xml:space="preserve">AGN, </w:t>
      </w:r>
      <w:r w:rsidRPr="001537B8">
        <w:rPr>
          <w:rStyle w:val="AERtextitalic"/>
        </w:rPr>
        <w:t>Access arrangement information</w:t>
      </w:r>
      <w:r w:rsidRPr="001537B8">
        <w:t xml:space="preserve">, July 2015, p. </w:t>
      </w:r>
      <w:r>
        <w:t xml:space="preserve">104; Origin Energy, </w:t>
      </w:r>
      <w:r w:rsidRPr="005E37C2">
        <w:rPr>
          <w:rStyle w:val="AERtextitalic"/>
        </w:rPr>
        <w:t>Response to Australian Gas Networks’ proposal for the 2016–2021 regulatory control period for its South Australia gas distribution network</w:t>
      </w:r>
      <w:r>
        <w:t>, August 2015, p. 6.</w:t>
      </w:r>
    </w:p>
  </w:footnote>
  <w:footnote w:id="76">
    <w:p w:rsidR="00E90DAD" w:rsidRDefault="00E90DAD">
      <w:pPr>
        <w:pStyle w:val="FootnoteText"/>
      </w:pPr>
      <w:r>
        <w:rPr>
          <w:rStyle w:val="FootnoteReference"/>
        </w:rPr>
        <w:footnoteRef/>
      </w:r>
      <w:r>
        <w:t xml:space="preserve"> </w:t>
      </w:r>
      <w:r>
        <w:tab/>
      </w:r>
      <w:r w:rsidRPr="00A62C1D">
        <w:t>NGR, rr. 93</w:t>
      </w:r>
      <w:r>
        <w:t>,</w:t>
      </w:r>
      <w:r w:rsidRPr="00A62C1D">
        <w:t xml:space="preserve"> 94.</w:t>
      </w:r>
    </w:p>
  </w:footnote>
  <w:footnote w:id="77">
    <w:p w:rsidR="00E90DAD" w:rsidRDefault="00E90DAD" w:rsidP="00E451F0">
      <w:pPr>
        <w:pStyle w:val="FootnoteText"/>
      </w:pPr>
      <w:r>
        <w:rPr>
          <w:rStyle w:val="FootnoteReference"/>
        </w:rPr>
        <w:footnoteRef/>
      </w:r>
      <w:r>
        <w:t xml:space="preserve"> </w:t>
      </w:r>
      <w:r>
        <w:tab/>
        <w:t xml:space="preserve">Origin Energy, </w:t>
      </w:r>
      <w:r w:rsidRPr="00B950DB">
        <w:rPr>
          <w:rStyle w:val="AERtextitalic"/>
        </w:rPr>
        <w:t>Submission on Australian Gas Networks (South Australia) Access Arrangement Proposal 2016–21</w:t>
      </w:r>
      <w:r>
        <w:t>,</w:t>
      </w:r>
      <w:r w:rsidRPr="00B950DB">
        <w:t xml:space="preserve"> 10 August 2015</w:t>
      </w:r>
      <w:r>
        <w:t>, p. 6.</w:t>
      </w:r>
    </w:p>
  </w:footnote>
  <w:footnote w:id="78">
    <w:p w:rsidR="00E90DAD" w:rsidRDefault="00E90DAD" w:rsidP="00F45D99">
      <w:pPr>
        <w:pStyle w:val="FootnoteText"/>
      </w:pPr>
      <w:r>
        <w:rPr>
          <w:rStyle w:val="FootnoteReference"/>
        </w:rPr>
        <w:footnoteRef/>
      </w:r>
      <w:r>
        <w:t xml:space="preserve"> </w:t>
      </w:r>
      <w:r>
        <w:tab/>
        <w:t xml:space="preserve">ActewAGL, </w:t>
      </w:r>
      <w:r w:rsidRPr="00E56F28">
        <w:rPr>
          <w:i/>
        </w:rPr>
        <w:t>Access arrangement information for the 2016–21 access arrangement, Attachment 10</w:t>
      </w:r>
      <w:r>
        <w:t xml:space="preserve">, June 2015, p. 13; APTNT, </w:t>
      </w:r>
      <w:r w:rsidRPr="007F5D66">
        <w:rPr>
          <w:i/>
        </w:rPr>
        <w:t>Amadeus gas pipeline, Access arrangement revision proposal, Submission</w:t>
      </w:r>
      <w:r>
        <w:t>, August 2015, p. 169.</w:t>
      </w:r>
    </w:p>
  </w:footnote>
  <w:footnote w:id="79">
    <w:p w:rsidR="00E90DAD" w:rsidRDefault="00E90DAD" w:rsidP="00243737">
      <w:pPr>
        <w:pStyle w:val="FootnoteText"/>
      </w:pPr>
      <w:r>
        <w:rPr>
          <w:rStyle w:val="FootnoteReference"/>
        </w:rPr>
        <w:footnoteRef/>
      </w:r>
      <w:r>
        <w:t xml:space="preserve"> </w:t>
      </w:r>
      <w:r>
        <w:tab/>
        <w:t xml:space="preserve">ESCOSA, </w:t>
      </w:r>
      <w:r w:rsidRPr="004A097E">
        <w:rPr>
          <w:rStyle w:val="AERtextitalic"/>
        </w:rPr>
        <w:t>Australian Gas Networks Jurisdictional Service Standards for the 2016-2021 Regulatory Period, Final Decision</w:t>
      </w:r>
      <w:r>
        <w:t>, June 2015, p. 21. AGN provided this decision as Attachment 3.10 to its Access Arrangement Information.</w:t>
      </w:r>
    </w:p>
  </w:footnote>
  <w:footnote w:id="80">
    <w:p w:rsidR="00E90DAD" w:rsidRDefault="00E90DAD" w:rsidP="00696094">
      <w:pPr>
        <w:pStyle w:val="FootnoteText"/>
      </w:pPr>
      <w:r>
        <w:rPr>
          <w:rStyle w:val="FootnoteReference"/>
        </w:rPr>
        <w:footnoteRef/>
      </w:r>
      <w:r>
        <w:t xml:space="preserve"> </w:t>
      </w:r>
      <w:r>
        <w:tab/>
        <w:t>NGL, s. 23.</w:t>
      </w:r>
    </w:p>
  </w:footnote>
  <w:footnote w:id="81">
    <w:p w:rsidR="00E90DAD" w:rsidRDefault="00E90DAD" w:rsidP="00C91C77">
      <w:pPr>
        <w:pStyle w:val="FootnoteText"/>
      </w:pPr>
      <w:r>
        <w:rPr>
          <w:rStyle w:val="FootnoteReference"/>
        </w:rPr>
        <w:footnoteRef/>
      </w:r>
      <w:r>
        <w:t xml:space="preserve"> </w:t>
      </w:r>
      <w:r>
        <w:tab/>
        <w:t xml:space="preserve">Hansard, </w:t>
      </w:r>
      <w:r w:rsidRPr="00A12D0C">
        <w:rPr>
          <w:rStyle w:val="AERtextitalic"/>
        </w:rPr>
        <w:t>SA House of Assembly</w:t>
      </w:r>
      <w:r>
        <w:t>, 9 February 2005, pp. 1451</w:t>
      </w:r>
      <w:r>
        <w:rPr>
          <w:rFonts w:cs="Gautami"/>
        </w:rPr>
        <w:t>–</w:t>
      </w:r>
      <w:r>
        <w:t>1460.</w:t>
      </w:r>
    </w:p>
    <w:p w:rsidR="00E90DAD" w:rsidRDefault="00E90DAD" w:rsidP="00C91C77">
      <w:pPr>
        <w:pStyle w:val="FootnoteText"/>
      </w:pPr>
      <w:r>
        <w:tab/>
        <w:t xml:space="preserve">Hansard, </w:t>
      </w:r>
      <w:r w:rsidRPr="00A12D0C">
        <w:rPr>
          <w:rStyle w:val="AERtextitalic"/>
        </w:rPr>
        <w:t>SA House of Assembly</w:t>
      </w:r>
      <w:r>
        <w:t>, 27 September 2007, pp. 963</w:t>
      </w:r>
      <w:r>
        <w:rPr>
          <w:rFonts w:cs="Gautami"/>
        </w:rPr>
        <w:t>–</w:t>
      </w:r>
      <w:r>
        <w:t xml:space="preserve">972. </w:t>
      </w:r>
    </w:p>
    <w:p w:rsidR="00E90DAD" w:rsidRDefault="00E90DAD" w:rsidP="00C91C77">
      <w:pPr>
        <w:pStyle w:val="FootnoteText"/>
      </w:pPr>
      <w:r>
        <w:tab/>
        <w:t xml:space="preserve">Hansard, </w:t>
      </w:r>
      <w:r w:rsidRPr="00A12D0C">
        <w:rPr>
          <w:rStyle w:val="AERtextitalic"/>
        </w:rPr>
        <w:t>SA House of Assembly</w:t>
      </w:r>
      <w:r>
        <w:t>, 26 September 2013, pp. 7171</w:t>
      </w:r>
      <w:r>
        <w:rPr>
          <w:rFonts w:cs="Gautami"/>
        </w:rPr>
        <w:t>–</w:t>
      </w:r>
      <w:r>
        <w:t>7176.</w:t>
      </w:r>
    </w:p>
  </w:footnote>
  <w:footnote w:id="82">
    <w:p w:rsidR="00E90DAD" w:rsidRDefault="00E90DAD" w:rsidP="00C91C77">
      <w:pPr>
        <w:pStyle w:val="FootnoteText"/>
      </w:pPr>
      <w:r>
        <w:rPr>
          <w:rStyle w:val="FootnoteReference"/>
        </w:rPr>
        <w:footnoteRef/>
      </w:r>
      <w:r>
        <w:tab/>
        <w:t xml:space="preserve">Hansard, </w:t>
      </w:r>
      <w:r w:rsidRPr="00A12D0C">
        <w:rPr>
          <w:rStyle w:val="AERtextitalic"/>
        </w:rPr>
        <w:t>SA House of Assembly</w:t>
      </w:r>
      <w:r>
        <w:t>, 26 September 2013, p. 7173.</w:t>
      </w:r>
    </w:p>
  </w:footnote>
  <w:footnote w:id="83">
    <w:p w:rsidR="00E90DAD" w:rsidRDefault="00E90DAD" w:rsidP="00C91C77">
      <w:pPr>
        <w:pStyle w:val="FootnoteText"/>
      </w:pPr>
      <w:r>
        <w:rPr>
          <w:rStyle w:val="FootnoteReference"/>
        </w:rPr>
        <w:footnoteRef/>
      </w:r>
      <w:r>
        <w:t xml:space="preserve"> </w:t>
      </w:r>
      <w:r>
        <w:tab/>
        <w:t xml:space="preserve">Hansard, </w:t>
      </w:r>
      <w:r w:rsidRPr="00A12D0C">
        <w:rPr>
          <w:rStyle w:val="AERtextitalic"/>
        </w:rPr>
        <w:t>SA House of Assembly</w:t>
      </w:r>
      <w:r>
        <w:t>, 9 February 2005, p. 1452.</w:t>
      </w:r>
    </w:p>
  </w:footnote>
  <w:footnote w:id="84">
    <w:p w:rsidR="00E90DAD" w:rsidRPr="001114AA" w:rsidRDefault="00E90DAD" w:rsidP="00C91C77">
      <w:pPr>
        <w:pStyle w:val="FootnoteText"/>
      </w:pPr>
      <w:r>
        <w:rPr>
          <w:rStyle w:val="FootnoteReference"/>
        </w:rPr>
        <w:footnoteRef/>
      </w:r>
      <w:r>
        <w:t xml:space="preserve"> </w:t>
      </w:r>
      <w:r>
        <w:tab/>
      </w:r>
      <w:r>
        <w:rPr>
          <w:rStyle w:val="AERtextitalic"/>
        </w:rPr>
        <w:t>Re Michael: Ex parte Epic Energy</w:t>
      </w:r>
      <w:r w:rsidRPr="001114AA">
        <w:t xml:space="preserve"> [2002] WASCA 231 at [143].</w:t>
      </w:r>
    </w:p>
    <w:p w:rsidR="00E90DAD" w:rsidRDefault="00E90DAD" w:rsidP="00C91C77">
      <w:pPr>
        <w:pStyle w:val="FootnoteText"/>
      </w:pPr>
      <w:r>
        <w:tab/>
        <w:t>Energy Ministers also accept this view – see Hansard, SA House of Assembly, 26 September 2013 p. 7172.</w:t>
      </w:r>
    </w:p>
    <w:p w:rsidR="00E90DAD" w:rsidRDefault="00E90DAD" w:rsidP="00C91C77">
      <w:pPr>
        <w:pStyle w:val="FootnoteText"/>
      </w:pPr>
      <w:r>
        <w:tab/>
      </w:r>
      <w:r w:rsidRPr="000102D7">
        <w:t xml:space="preserve">AEMC, </w:t>
      </w:r>
      <w:r w:rsidRPr="000102D7">
        <w:rPr>
          <w:rStyle w:val="AERtextitalic"/>
        </w:rPr>
        <w:t xml:space="preserve">Rule Determination National Electricity Amendment (Economic Regulation of </w:t>
      </w:r>
      <w:r>
        <w:rPr>
          <w:rStyle w:val="AERtextitalic"/>
        </w:rPr>
        <w:t>Transmission Services</w:t>
      </w:r>
      <w:r w:rsidRPr="000102D7">
        <w:rPr>
          <w:rStyle w:val="AERtextitalic"/>
        </w:rPr>
        <w:t>) Rule 20</w:t>
      </w:r>
      <w:r>
        <w:rPr>
          <w:rStyle w:val="AERtextitalic"/>
        </w:rPr>
        <w:t xml:space="preserve">06 No. 18, </w:t>
      </w:r>
      <w:r>
        <w:t>p. 50.</w:t>
      </w:r>
    </w:p>
  </w:footnote>
  <w:footnote w:id="85">
    <w:p w:rsidR="00E90DAD" w:rsidRDefault="00E90DAD" w:rsidP="00C91C77">
      <w:pPr>
        <w:pStyle w:val="FootnoteText"/>
      </w:pPr>
      <w:r>
        <w:rPr>
          <w:rStyle w:val="FootnoteReference"/>
        </w:rPr>
        <w:footnoteRef/>
      </w:r>
      <w:r>
        <w:t xml:space="preserve"> </w:t>
      </w:r>
      <w:r>
        <w:tab/>
        <w:t>NGL, s. 24(7).</w:t>
      </w:r>
    </w:p>
  </w:footnote>
  <w:footnote w:id="86">
    <w:p w:rsidR="00E90DAD" w:rsidRDefault="00E90DAD" w:rsidP="00C91C77">
      <w:pPr>
        <w:pStyle w:val="FootnoteText"/>
      </w:pPr>
      <w:r>
        <w:rPr>
          <w:rStyle w:val="FootnoteReference"/>
        </w:rPr>
        <w:footnoteRef/>
      </w:r>
      <w:r>
        <w:t xml:space="preserve"> </w:t>
      </w:r>
      <w:r>
        <w:tab/>
        <w:t>NGL, s. 24(6).</w:t>
      </w:r>
    </w:p>
  </w:footnote>
  <w:footnote w:id="87">
    <w:p w:rsidR="00E90DAD" w:rsidRDefault="00E90DAD" w:rsidP="00696094">
      <w:pPr>
        <w:pStyle w:val="FootnoteText"/>
      </w:pPr>
      <w:r>
        <w:rPr>
          <w:rStyle w:val="FootnoteReference"/>
        </w:rPr>
        <w:footnoteRef/>
      </w:r>
      <w:r>
        <w:t xml:space="preserve"> </w:t>
      </w:r>
      <w:r>
        <w:tab/>
        <w:t>NGL, s. 24.</w:t>
      </w:r>
    </w:p>
  </w:footnote>
  <w:footnote w:id="88">
    <w:p w:rsidR="00E90DAD" w:rsidRDefault="00E90DAD" w:rsidP="00696094">
      <w:pPr>
        <w:pStyle w:val="FootnoteText"/>
      </w:pPr>
      <w:r>
        <w:rPr>
          <w:rStyle w:val="FootnoteReference"/>
        </w:rPr>
        <w:footnoteRef/>
      </w:r>
      <w:r>
        <w:t xml:space="preserve"> </w:t>
      </w:r>
      <w:r>
        <w:tab/>
        <w:t>NGL, s. 28(2).</w:t>
      </w:r>
    </w:p>
  </w:footnote>
  <w:footnote w:id="89">
    <w:p w:rsidR="00E90DAD" w:rsidRDefault="00E90DAD" w:rsidP="00696094">
      <w:pPr>
        <w:pStyle w:val="FootnoteText"/>
      </w:pPr>
      <w:r>
        <w:rPr>
          <w:rStyle w:val="FootnoteReference"/>
        </w:rPr>
        <w:footnoteRef/>
      </w:r>
      <w:r>
        <w:t xml:space="preserve"> </w:t>
      </w:r>
      <w:r>
        <w:tab/>
        <w:t>Hansard, SA House of Assembly, 27 September 2007 pp. 965, Hansard, SA House of Assembly, 9 April 2008 p. 2886, Hansard, SA House of Assembly, 26 September 2013, p. 7173.</w:t>
      </w:r>
    </w:p>
  </w:footnote>
  <w:footnote w:id="90">
    <w:p w:rsidR="00E90DAD" w:rsidRDefault="00E90DAD" w:rsidP="00A06587">
      <w:pPr>
        <w:pStyle w:val="FootnoteText"/>
      </w:pPr>
      <w:r>
        <w:rPr>
          <w:rStyle w:val="FootnoteReference"/>
        </w:rPr>
        <w:footnoteRef/>
      </w:r>
      <w:r>
        <w:t xml:space="preserve"> </w:t>
      </w:r>
      <w:r w:rsidRPr="00A34B93">
        <w:t xml:space="preserve"> </w:t>
      </w:r>
      <w:r>
        <w:tab/>
      </w:r>
      <w:r w:rsidRPr="003F64E8">
        <w:t>AEMC, Rule Determination, National Electricity Amendment (Economic Regulation of Transmission Services) Rule 2006 No. 18, 16 November 2016, p. 52.</w:t>
      </w:r>
    </w:p>
  </w:footnote>
  <w:footnote w:id="91">
    <w:p w:rsidR="00E90DAD" w:rsidRDefault="00E90DAD" w:rsidP="00E6107A">
      <w:pPr>
        <w:pStyle w:val="FootnoteText"/>
      </w:pPr>
      <w:r>
        <w:rPr>
          <w:rStyle w:val="FootnoteReference"/>
        </w:rPr>
        <w:footnoteRef/>
      </w:r>
      <w:r>
        <w:t xml:space="preserve"> </w:t>
      </w:r>
      <w:r>
        <w:tab/>
        <w:t xml:space="preserve">NGL, s. 28(1)(b)(iii). </w:t>
      </w:r>
    </w:p>
  </w:footnote>
  <w:footnote w:id="92">
    <w:p w:rsidR="00E90DAD" w:rsidRDefault="00E90DAD" w:rsidP="00696094">
      <w:pPr>
        <w:pStyle w:val="FootnoteText"/>
      </w:pPr>
      <w:r>
        <w:rPr>
          <w:rStyle w:val="FootnoteReference"/>
        </w:rPr>
        <w:footnoteRef/>
      </w:r>
      <w:r>
        <w:t xml:space="preserve"> </w:t>
      </w:r>
      <w:r>
        <w:tab/>
        <w:t xml:space="preserve">SCER, </w:t>
      </w:r>
      <w:r w:rsidRPr="002921E2">
        <w:rPr>
          <w:rStyle w:val="AERtextitalic"/>
        </w:rPr>
        <w:t>Regulation Impact Statement: Limited Merits Review of Decision-Making in the Electricity and Gas Regulatory Frameworks – Decision Paper</w:t>
      </w:r>
      <w:r w:rsidRPr="00356A31">
        <w:t>, 6 June 2013 p. 6</w:t>
      </w:r>
      <w:r>
        <w:t>.</w:t>
      </w:r>
    </w:p>
  </w:footnote>
  <w:footnote w:id="93">
    <w:p w:rsidR="00E90DAD" w:rsidRDefault="00E90DAD">
      <w:pPr>
        <w:pStyle w:val="FootnoteText"/>
      </w:pPr>
      <w:r>
        <w:rPr>
          <w:rStyle w:val="FootnoteReference"/>
        </w:rPr>
        <w:footnoteRef/>
      </w:r>
      <w:r>
        <w:t xml:space="preserve"> </w:t>
      </w:r>
      <w:r>
        <w:tab/>
        <w:t>NGR, r. 58(1).</w:t>
      </w:r>
    </w:p>
  </w:footnote>
  <w:footnote w:id="94">
    <w:p w:rsidR="00E90DAD" w:rsidRDefault="00E90DAD" w:rsidP="00997FDF">
      <w:pPr>
        <w:pStyle w:val="FootnoteText"/>
      </w:pPr>
      <w:r>
        <w:rPr>
          <w:rStyle w:val="FootnoteReference"/>
        </w:rPr>
        <w:footnoteRef/>
      </w:r>
      <w:r>
        <w:t xml:space="preserve"> </w:t>
      </w:r>
      <w:r>
        <w:tab/>
        <w:t>NGR, r. 59(1).</w:t>
      </w:r>
    </w:p>
  </w:footnote>
  <w:footnote w:id="95">
    <w:p w:rsidR="00E90DAD" w:rsidRDefault="00E90DAD" w:rsidP="00BF32A5">
      <w:pPr>
        <w:pStyle w:val="FootnoteText"/>
      </w:pPr>
      <w:r>
        <w:rPr>
          <w:rStyle w:val="FootnoteReference"/>
        </w:rPr>
        <w:footnoteRef/>
      </w:r>
      <w:r>
        <w:t xml:space="preserve"> </w:t>
      </w:r>
      <w:r>
        <w:tab/>
        <w:t xml:space="preserve">AER, </w:t>
      </w:r>
      <w:r w:rsidRPr="009D1CE9">
        <w:rPr>
          <w:rStyle w:val="AERtextitalic"/>
        </w:rPr>
        <w:t>Overview of the Better Regulation reform package</w:t>
      </w:r>
      <w:r>
        <w:t>, April 2014, pp. 4 and 7</w:t>
      </w:r>
      <w:r>
        <w:rPr>
          <w:rFonts w:cs="Gautami"/>
        </w:rPr>
        <w:t>–</w:t>
      </w:r>
      <w:r>
        <w:t>13.</w:t>
      </w:r>
    </w:p>
  </w:footnote>
  <w:footnote w:id="96">
    <w:p w:rsidR="00E90DAD" w:rsidRDefault="00E90DAD" w:rsidP="00BF32A5">
      <w:pPr>
        <w:pStyle w:val="FootnoteText"/>
      </w:pPr>
      <w:r>
        <w:rPr>
          <w:rStyle w:val="FootnoteReference"/>
        </w:rPr>
        <w:footnoteRef/>
      </w:r>
      <w:r>
        <w:t xml:space="preserve"> </w:t>
      </w:r>
      <w:r>
        <w:tab/>
        <w:t xml:space="preserve">See AER, </w:t>
      </w:r>
      <w:r w:rsidRPr="00E77648">
        <w:t>http://www.aer.gov.au/networks-pipelines/better-regulation</w:t>
      </w:r>
      <w:r>
        <w:t>.</w:t>
      </w:r>
    </w:p>
  </w:footnote>
  <w:footnote w:id="97">
    <w:p w:rsidR="00E90DAD" w:rsidRDefault="00E90DAD" w:rsidP="002E2208">
      <w:pPr>
        <w:pStyle w:val="FootnoteText"/>
      </w:pPr>
      <w:r>
        <w:rPr>
          <w:rStyle w:val="FootnoteReference"/>
        </w:rPr>
        <w:footnoteRef/>
      </w:r>
      <w:r>
        <w:t xml:space="preserve"> </w:t>
      </w:r>
      <w:r>
        <w:tab/>
        <w:t xml:space="preserve">Business SA, </w:t>
      </w:r>
      <w:r w:rsidRPr="00686E8D">
        <w:rPr>
          <w:i/>
        </w:rPr>
        <w:t>Submission to AER on proposed Australian Gas Networks Access Arrangement (2016-21),</w:t>
      </w:r>
      <w:r>
        <w:t xml:space="preserve"> 10 </w:t>
      </w:r>
      <w:r w:rsidRPr="00683483">
        <w:t>August 2015</w:t>
      </w:r>
      <w:r>
        <w:t>, p. 4.</w:t>
      </w:r>
    </w:p>
  </w:footnote>
  <w:footnote w:id="98">
    <w:p w:rsidR="00E90DAD" w:rsidRDefault="00E90DAD" w:rsidP="002E2208">
      <w:pPr>
        <w:pStyle w:val="FootnoteText"/>
        <w:tabs>
          <w:tab w:val="clear" w:pos="340"/>
          <w:tab w:val="right" w:pos="8477"/>
        </w:tabs>
      </w:pPr>
      <w:r>
        <w:rPr>
          <w:rStyle w:val="FootnoteReference"/>
        </w:rPr>
        <w:footnoteRef/>
      </w:r>
      <w:r>
        <w:t xml:space="preserve"> </w:t>
      </w:r>
      <w:r>
        <w:tab/>
        <w:t xml:space="preserve">SACOSS, </w:t>
      </w:r>
      <w:r w:rsidRPr="0097442A">
        <w:rPr>
          <w:i/>
        </w:rPr>
        <w:t>Submission on AGN’s regulatory proposal for the 2016-2021 Access Arrangement (AA) period</w:t>
      </w:r>
      <w:r>
        <w:t xml:space="preserve">, </w:t>
      </w:r>
      <w:r w:rsidRPr="00683483">
        <w:t>8</w:t>
      </w:r>
      <w:r>
        <w:t> </w:t>
      </w:r>
      <w:r w:rsidRPr="00683483">
        <w:t>August 2015</w:t>
      </w:r>
      <w:r>
        <w:t>.</w:t>
      </w:r>
      <w:r>
        <w:tab/>
      </w:r>
    </w:p>
  </w:footnote>
  <w:footnote w:id="99">
    <w:p w:rsidR="00E90DAD" w:rsidRDefault="00E90DAD" w:rsidP="002E2208">
      <w:pPr>
        <w:pStyle w:val="FootnoteText"/>
      </w:pPr>
      <w:r>
        <w:rPr>
          <w:rStyle w:val="FootnoteReference"/>
        </w:rPr>
        <w:footnoteRef/>
      </w:r>
      <w:r>
        <w:t xml:space="preserve"> </w:t>
      </w:r>
      <w:r>
        <w:tab/>
        <w:t>ECCSA,</w:t>
      </w:r>
      <w:r w:rsidRPr="00683483">
        <w:t xml:space="preserve"> </w:t>
      </w:r>
      <w:r w:rsidRPr="007E1200">
        <w:rPr>
          <w:i/>
        </w:rPr>
        <w:t>Australian Energy Regulator SA Gas Distribution Revenue Reset AGN Application response</w:t>
      </w:r>
      <w:r>
        <w:t>,</w:t>
      </w:r>
      <w:r w:rsidRPr="00683483">
        <w:t xml:space="preserve"> 16 August 2015</w:t>
      </w:r>
      <w:r>
        <w:t>.</w:t>
      </w:r>
    </w:p>
  </w:footnote>
  <w:footnote w:id="100">
    <w:p w:rsidR="00E90DAD" w:rsidRDefault="00E90DAD" w:rsidP="002E2208">
      <w:pPr>
        <w:pStyle w:val="FootnoteText"/>
      </w:pPr>
      <w:r>
        <w:rPr>
          <w:rStyle w:val="FootnoteReference"/>
        </w:rPr>
        <w:footnoteRef/>
      </w:r>
      <w:r>
        <w:t xml:space="preserve"> </w:t>
      </w:r>
      <w:r>
        <w:tab/>
        <w:t xml:space="preserve">CCP8, </w:t>
      </w:r>
      <w:r w:rsidRPr="00686E8D">
        <w:rPr>
          <w:i/>
        </w:rPr>
        <w:t xml:space="preserve">Advice to AER from Consumer Challenge Panel sub-panel 8 regarding Australian Gas Networks’ (SA) Access Arrangement 2016-2021 Proposal, </w:t>
      </w:r>
      <w:r w:rsidRPr="00B00E6B">
        <w:t>25 August 2015</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DAD" w:rsidRDefault="00C31BA6">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E90DAD">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DAD" w:rsidRDefault="00C31BA6">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1C15170"/>
    <w:multiLevelType w:val="hybridMultilevel"/>
    <w:tmpl w:val="0C9C039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7">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7920EEE"/>
    <w:multiLevelType w:val="hybridMultilevel"/>
    <w:tmpl w:val="F6780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C439B6"/>
    <w:multiLevelType w:val="hybridMultilevel"/>
    <w:tmpl w:val="6D105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1E54D49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F4DADDAE"/>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0"/>
  </w:num>
  <w:num w:numId="15">
    <w:abstractNumId w:val="13"/>
  </w:num>
  <w:num w:numId="16">
    <w:abstractNumId w:val="21"/>
  </w:num>
  <w:num w:numId="17">
    <w:abstractNumId w:val="9"/>
  </w:num>
  <w:num w:numId="18">
    <w:abstractNumId w:val="15"/>
  </w:num>
  <w:num w:numId="19">
    <w:abstractNumId w:val="22"/>
  </w:num>
  <w:num w:numId="20">
    <w:abstractNumId w:val="28"/>
  </w:num>
  <w:num w:numId="21">
    <w:abstractNumId w:val="25"/>
  </w:num>
  <w:num w:numId="22">
    <w:abstractNumId w:val="23"/>
  </w:num>
  <w:num w:numId="23">
    <w:abstractNumId w:val="16"/>
  </w:num>
  <w:num w:numId="24">
    <w:abstractNumId w:val="24"/>
  </w:num>
  <w:num w:numId="25">
    <w:abstractNumId w:val="26"/>
  </w:num>
  <w:num w:numId="26">
    <w:abstractNumId w:val="17"/>
  </w:num>
  <w:num w:numId="27">
    <w:abstractNumId w:val="14"/>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1"/>
  </w:num>
  <w:num w:numId="31">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5AXkbTSUYlcyb0O6iyrDdM47Hohp15vdyjpgR87EZaI=" w:saltValue="lJKZi81uGyClZJ3tlK6QJA=="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Templates\ausnet - prelim decision - attachment 2.docx"/>
  </w:docVars>
  <w:rsids>
    <w:rsidRoot w:val="00961A4A"/>
    <w:rsid w:val="00001B78"/>
    <w:rsid w:val="00002C1D"/>
    <w:rsid w:val="00003901"/>
    <w:rsid w:val="000054CD"/>
    <w:rsid w:val="00010286"/>
    <w:rsid w:val="00010DDC"/>
    <w:rsid w:val="00011C35"/>
    <w:rsid w:val="00016C4D"/>
    <w:rsid w:val="00017708"/>
    <w:rsid w:val="00021202"/>
    <w:rsid w:val="00021C2B"/>
    <w:rsid w:val="00022A3B"/>
    <w:rsid w:val="0002517F"/>
    <w:rsid w:val="00026495"/>
    <w:rsid w:val="00026B24"/>
    <w:rsid w:val="00031193"/>
    <w:rsid w:val="00032619"/>
    <w:rsid w:val="0003454E"/>
    <w:rsid w:val="0003578C"/>
    <w:rsid w:val="000401AF"/>
    <w:rsid w:val="00046A20"/>
    <w:rsid w:val="00054375"/>
    <w:rsid w:val="00055206"/>
    <w:rsid w:val="00061794"/>
    <w:rsid w:val="00063247"/>
    <w:rsid w:val="00070F9F"/>
    <w:rsid w:val="0007137B"/>
    <w:rsid w:val="0008233B"/>
    <w:rsid w:val="00085663"/>
    <w:rsid w:val="00085EBF"/>
    <w:rsid w:val="00091B15"/>
    <w:rsid w:val="000951E7"/>
    <w:rsid w:val="00097309"/>
    <w:rsid w:val="000A3020"/>
    <w:rsid w:val="000A6C05"/>
    <w:rsid w:val="000A6C7B"/>
    <w:rsid w:val="000A753F"/>
    <w:rsid w:val="000B4584"/>
    <w:rsid w:val="000C03D6"/>
    <w:rsid w:val="000C2B40"/>
    <w:rsid w:val="000D06C1"/>
    <w:rsid w:val="000D122C"/>
    <w:rsid w:val="000D154B"/>
    <w:rsid w:val="000D2119"/>
    <w:rsid w:val="000D3016"/>
    <w:rsid w:val="000D44F4"/>
    <w:rsid w:val="000E1270"/>
    <w:rsid w:val="000E1819"/>
    <w:rsid w:val="000E4821"/>
    <w:rsid w:val="000E6C72"/>
    <w:rsid w:val="000E721F"/>
    <w:rsid w:val="000F0190"/>
    <w:rsid w:val="000F0B2B"/>
    <w:rsid w:val="000F2F63"/>
    <w:rsid w:val="000F3E72"/>
    <w:rsid w:val="000F48B1"/>
    <w:rsid w:val="000F769E"/>
    <w:rsid w:val="00100068"/>
    <w:rsid w:val="001002BF"/>
    <w:rsid w:val="00103A67"/>
    <w:rsid w:val="00103C3D"/>
    <w:rsid w:val="00113A06"/>
    <w:rsid w:val="00116EB2"/>
    <w:rsid w:val="00120581"/>
    <w:rsid w:val="00124609"/>
    <w:rsid w:val="00125ECB"/>
    <w:rsid w:val="001269B3"/>
    <w:rsid w:val="00126A4C"/>
    <w:rsid w:val="00132E30"/>
    <w:rsid w:val="00133A17"/>
    <w:rsid w:val="00140746"/>
    <w:rsid w:val="00141F1F"/>
    <w:rsid w:val="00142AB6"/>
    <w:rsid w:val="0014573B"/>
    <w:rsid w:val="00146A27"/>
    <w:rsid w:val="00153B3F"/>
    <w:rsid w:val="00154107"/>
    <w:rsid w:val="00154CB0"/>
    <w:rsid w:val="00155C38"/>
    <w:rsid w:val="001573E4"/>
    <w:rsid w:val="00160756"/>
    <w:rsid w:val="001626DF"/>
    <w:rsid w:val="00164E0C"/>
    <w:rsid w:val="001720EF"/>
    <w:rsid w:val="0017232E"/>
    <w:rsid w:val="00172A13"/>
    <w:rsid w:val="001733AC"/>
    <w:rsid w:val="00174102"/>
    <w:rsid w:val="001754EE"/>
    <w:rsid w:val="00180157"/>
    <w:rsid w:val="00185CB9"/>
    <w:rsid w:val="0018661C"/>
    <w:rsid w:val="00186689"/>
    <w:rsid w:val="00186844"/>
    <w:rsid w:val="001868E9"/>
    <w:rsid w:val="00186F77"/>
    <w:rsid w:val="001926A4"/>
    <w:rsid w:val="00192AD5"/>
    <w:rsid w:val="00193AFB"/>
    <w:rsid w:val="001A0B08"/>
    <w:rsid w:val="001A15A1"/>
    <w:rsid w:val="001A5994"/>
    <w:rsid w:val="001A6D2A"/>
    <w:rsid w:val="001B1596"/>
    <w:rsid w:val="001B2C3C"/>
    <w:rsid w:val="001B45A0"/>
    <w:rsid w:val="001B530F"/>
    <w:rsid w:val="001B6273"/>
    <w:rsid w:val="001B7D00"/>
    <w:rsid w:val="001C4D9E"/>
    <w:rsid w:val="001C7368"/>
    <w:rsid w:val="001D055E"/>
    <w:rsid w:val="001D2B16"/>
    <w:rsid w:val="001E3641"/>
    <w:rsid w:val="001E6C20"/>
    <w:rsid w:val="001E6FEC"/>
    <w:rsid w:val="001F05A4"/>
    <w:rsid w:val="001F1166"/>
    <w:rsid w:val="001F26ED"/>
    <w:rsid w:val="001F2E8C"/>
    <w:rsid w:val="001F492E"/>
    <w:rsid w:val="001F6070"/>
    <w:rsid w:val="001F6DA3"/>
    <w:rsid w:val="002010BC"/>
    <w:rsid w:val="002016E7"/>
    <w:rsid w:val="002019E3"/>
    <w:rsid w:val="00201E74"/>
    <w:rsid w:val="00201F98"/>
    <w:rsid w:val="00202E03"/>
    <w:rsid w:val="002040E4"/>
    <w:rsid w:val="00204169"/>
    <w:rsid w:val="0020478D"/>
    <w:rsid w:val="0020492C"/>
    <w:rsid w:val="00205A33"/>
    <w:rsid w:val="00205AB9"/>
    <w:rsid w:val="00211418"/>
    <w:rsid w:val="002148EA"/>
    <w:rsid w:val="002164FB"/>
    <w:rsid w:val="00222675"/>
    <w:rsid w:val="002238D6"/>
    <w:rsid w:val="00224DB9"/>
    <w:rsid w:val="00225A8C"/>
    <w:rsid w:val="0022629B"/>
    <w:rsid w:val="00227DCE"/>
    <w:rsid w:val="00232091"/>
    <w:rsid w:val="0023276C"/>
    <w:rsid w:val="00233775"/>
    <w:rsid w:val="002365F4"/>
    <w:rsid w:val="00243737"/>
    <w:rsid w:val="00243CAD"/>
    <w:rsid w:val="00246935"/>
    <w:rsid w:val="00251745"/>
    <w:rsid w:val="00254D9B"/>
    <w:rsid w:val="002564DE"/>
    <w:rsid w:val="00263AC0"/>
    <w:rsid w:val="00264264"/>
    <w:rsid w:val="0026772D"/>
    <w:rsid w:val="002757A7"/>
    <w:rsid w:val="0028495F"/>
    <w:rsid w:val="00286841"/>
    <w:rsid w:val="00286874"/>
    <w:rsid w:val="00286D1F"/>
    <w:rsid w:val="00286DEF"/>
    <w:rsid w:val="00287EE2"/>
    <w:rsid w:val="00290C63"/>
    <w:rsid w:val="002945BA"/>
    <w:rsid w:val="00296B65"/>
    <w:rsid w:val="00296DCF"/>
    <w:rsid w:val="002970ED"/>
    <w:rsid w:val="00297F67"/>
    <w:rsid w:val="002A2D1A"/>
    <w:rsid w:val="002A7830"/>
    <w:rsid w:val="002A7DEF"/>
    <w:rsid w:val="002B0E68"/>
    <w:rsid w:val="002B1003"/>
    <w:rsid w:val="002B2DEC"/>
    <w:rsid w:val="002B573C"/>
    <w:rsid w:val="002B7C1A"/>
    <w:rsid w:val="002C233C"/>
    <w:rsid w:val="002C2A8C"/>
    <w:rsid w:val="002C44C1"/>
    <w:rsid w:val="002D72E8"/>
    <w:rsid w:val="002E2208"/>
    <w:rsid w:val="002E4F9F"/>
    <w:rsid w:val="002E739B"/>
    <w:rsid w:val="002E7B22"/>
    <w:rsid w:val="002F1241"/>
    <w:rsid w:val="002F1CDC"/>
    <w:rsid w:val="002F6F7E"/>
    <w:rsid w:val="002F7986"/>
    <w:rsid w:val="00301B40"/>
    <w:rsid w:val="003029EE"/>
    <w:rsid w:val="0030370B"/>
    <w:rsid w:val="00303908"/>
    <w:rsid w:val="0030499B"/>
    <w:rsid w:val="003052B8"/>
    <w:rsid w:val="00305CC8"/>
    <w:rsid w:val="00307EE0"/>
    <w:rsid w:val="00307F6D"/>
    <w:rsid w:val="00310133"/>
    <w:rsid w:val="003177A2"/>
    <w:rsid w:val="00321D2D"/>
    <w:rsid w:val="003228E1"/>
    <w:rsid w:val="00322ABF"/>
    <w:rsid w:val="00325AA5"/>
    <w:rsid w:val="003271B5"/>
    <w:rsid w:val="00327A1E"/>
    <w:rsid w:val="00331264"/>
    <w:rsid w:val="00334C8D"/>
    <w:rsid w:val="0033516F"/>
    <w:rsid w:val="00343A18"/>
    <w:rsid w:val="00344473"/>
    <w:rsid w:val="00345731"/>
    <w:rsid w:val="003479C5"/>
    <w:rsid w:val="003518B3"/>
    <w:rsid w:val="0035466A"/>
    <w:rsid w:val="0035574B"/>
    <w:rsid w:val="00363DB0"/>
    <w:rsid w:val="00367727"/>
    <w:rsid w:val="00382364"/>
    <w:rsid w:val="003846F1"/>
    <w:rsid w:val="00392332"/>
    <w:rsid w:val="003931A7"/>
    <w:rsid w:val="003A5FF5"/>
    <w:rsid w:val="003A6A58"/>
    <w:rsid w:val="003B1CB6"/>
    <w:rsid w:val="003B2B91"/>
    <w:rsid w:val="003B484F"/>
    <w:rsid w:val="003B6D52"/>
    <w:rsid w:val="003B7FBA"/>
    <w:rsid w:val="003C0CBE"/>
    <w:rsid w:val="003C248C"/>
    <w:rsid w:val="003C399B"/>
    <w:rsid w:val="003C3D54"/>
    <w:rsid w:val="003D0887"/>
    <w:rsid w:val="003D0E94"/>
    <w:rsid w:val="003D364D"/>
    <w:rsid w:val="003F174D"/>
    <w:rsid w:val="003F7442"/>
    <w:rsid w:val="0040279B"/>
    <w:rsid w:val="00405D97"/>
    <w:rsid w:val="00407023"/>
    <w:rsid w:val="0041073C"/>
    <w:rsid w:val="00415F31"/>
    <w:rsid w:val="00421B6E"/>
    <w:rsid w:val="00423A77"/>
    <w:rsid w:val="0042473A"/>
    <w:rsid w:val="00436394"/>
    <w:rsid w:val="00440114"/>
    <w:rsid w:val="0044248B"/>
    <w:rsid w:val="00446671"/>
    <w:rsid w:val="00447ED6"/>
    <w:rsid w:val="0045298E"/>
    <w:rsid w:val="0045777E"/>
    <w:rsid w:val="0046043C"/>
    <w:rsid w:val="0046257A"/>
    <w:rsid w:val="00462EFB"/>
    <w:rsid w:val="004633CC"/>
    <w:rsid w:val="00467023"/>
    <w:rsid w:val="00472B75"/>
    <w:rsid w:val="00474C01"/>
    <w:rsid w:val="00474EC7"/>
    <w:rsid w:val="00476954"/>
    <w:rsid w:val="00476C42"/>
    <w:rsid w:val="00476EBB"/>
    <w:rsid w:val="00480B4B"/>
    <w:rsid w:val="00484A78"/>
    <w:rsid w:val="00485DC4"/>
    <w:rsid w:val="00487BA1"/>
    <w:rsid w:val="0049086C"/>
    <w:rsid w:val="00491033"/>
    <w:rsid w:val="00493016"/>
    <w:rsid w:val="004932A6"/>
    <w:rsid w:val="004A097E"/>
    <w:rsid w:val="004A43D1"/>
    <w:rsid w:val="004A6E14"/>
    <w:rsid w:val="004B0D11"/>
    <w:rsid w:val="004B355D"/>
    <w:rsid w:val="004B4412"/>
    <w:rsid w:val="004C1837"/>
    <w:rsid w:val="004C348C"/>
    <w:rsid w:val="004C4F0F"/>
    <w:rsid w:val="004C540B"/>
    <w:rsid w:val="004D100B"/>
    <w:rsid w:val="004D19F1"/>
    <w:rsid w:val="004D1E2C"/>
    <w:rsid w:val="004D2068"/>
    <w:rsid w:val="004D2DF0"/>
    <w:rsid w:val="004D4124"/>
    <w:rsid w:val="004D55BA"/>
    <w:rsid w:val="004D75F5"/>
    <w:rsid w:val="004E0FE3"/>
    <w:rsid w:val="004E22EC"/>
    <w:rsid w:val="004E5D6D"/>
    <w:rsid w:val="004F058B"/>
    <w:rsid w:val="004F0CDF"/>
    <w:rsid w:val="004F6080"/>
    <w:rsid w:val="004F6A0E"/>
    <w:rsid w:val="00500453"/>
    <w:rsid w:val="00502306"/>
    <w:rsid w:val="00503F96"/>
    <w:rsid w:val="00504121"/>
    <w:rsid w:val="00506C3A"/>
    <w:rsid w:val="005107B4"/>
    <w:rsid w:val="0051419B"/>
    <w:rsid w:val="00516A8F"/>
    <w:rsid w:val="00526487"/>
    <w:rsid w:val="00530128"/>
    <w:rsid w:val="00532169"/>
    <w:rsid w:val="00532467"/>
    <w:rsid w:val="0053398B"/>
    <w:rsid w:val="00535F27"/>
    <w:rsid w:val="00537FD0"/>
    <w:rsid w:val="00537FD6"/>
    <w:rsid w:val="00542636"/>
    <w:rsid w:val="005436D2"/>
    <w:rsid w:val="00544849"/>
    <w:rsid w:val="00550310"/>
    <w:rsid w:val="00556C7B"/>
    <w:rsid w:val="00562739"/>
    <w:rsid w:val="00563116"/>
    <w:rsid w:val="00564A4D"/>
    <w:rsid w:val="00564A76"/>
    <w:rsid w:val="0056588A"/>
    <w:rsid w:val="00567BA5"/>
    <w:rsid w:val="00570509"/>
    <w:rsid w:val="00571B35"/>
    <w:rsid w:val="00571D57"/>
    <w:rsid w:val="005766F2"/>
    <w:rsid w:val="00577A09"/>
    <w:rsid w:val="005823B8"/>
    <w:rsid w:val="005829C2"/>
    <w:rsid w:val="00584D8F"/>
    <w:rsid w:val="00585797"/>
    <w:rsid w:val="0058665C"/>
    <w:rsid w:val="00586819"/>
    <w:rsid w:val="005903F5"/>
    <w:rsid w:val="00591D0C"/>
    <w:rsid w:val="0059704C"/>
    <w:rsid w:val="00597AB3"/>
    <w:rsid w:val="005A404D"/>
    <w:rsid w:val="005A4F2B"/>
    <w:rsid w:val="005A6845"/>
    <w:rsid w:val="005A6C3A"/>
    <w:rsid w:val="005A7EBA"/>
    <w:rsid w:val="005B1E3C"/>
    <w:rsid w:val="005B21C1"/>
    <w:rsid w:val="005B3580"/>
    <w:rsid w:val="005B3CFE"/>
    <w:rsid w:val="005B3FB7"/>
    <w:rsid w:val="005B704A"/>
    <w:rsid w:val="005C0A7F"/>
    <w:rsid w:val="005C26CC"/>
    <w:rsid w:val="005C4C9C"/>
    <w:rsid w:val="005C6CE2"/>
    <w:rsid w:val="005D0FC8"/>
    <w:rsid w:val="005D48D9"/>
    <w:rsid w:val="005D7BA2"/>
    <w:rsid w:val="005E36C2"/>
    <w:rsid w:val="006007DE"/>
    <w:rsid w:val="00600CED"/>
    <w:rsid w:val="00601638"/>
    <w:rsid w:val="006037CD"/>
    <w:rsid w:val="00610EF9"/>
    <w:rsid w:val="00612F4F"/>
    <w:rsid w:val="00615778"/>
    <w:rsid w:val="00615C6B"/>
    <w:rsid w:val="00617C81"/>
    <w:rsid w:val="00621B11"/>
    <w:rsid w:val="00621DCE"/>
    <w:rsid w:val="00624713"/>
    <w:rsid w:val="00632B43"/>
    <w:rsid w:val="00632D6D"/>
    <w:rsid w:val="00635BC6"/>
    <w:rsid w:val="00636535"/>
    <w:rsid w:val="0064010C"/>
    <w:rsid w:val="00640167"/>
    <w:rsid w:val="00642C3E"/>
    <w:rsid w:val="00645834"/>
    <w:rsid w:val="00651C3A"/>
    <w:rsid w:val="00651CB2"/>
    <w:rsid w:val="00652E08"/>
    <w:rsid w:val="006560B0"/>
    <w:rsid w:val="006560CA"/>
    <w:rsid w:val="0066104A"/>
    <w:rsid w:val="00662BB6"/>
    <w:rsid w:val="00663DAD"/>
    <w:rsid w:val="00665649"/>
    <w:rsid w:val="006672AA"/>
    <w:rsid w:val="00670633"/>
    <w:rsid w:val="00671CEA"/>
    <w:rsid w:val="00675E20"/>
    <w:rsid w:val="00676679"/>
    <w:rsid w:val="00683483"/>
    <w:rsid w:val="00683C89"/>
    <w:rsid w:val="00686E8D"/>
    <w:rsid w:val="00691D9A"/>
    <w:rsid w:val="0069608D"/>
    <w:rsid w:val="00696094"/>
    <w:rsid w:val="006B2395"/>
    <w:rsid w:val="006B45A4"/>
    <w:rsid w:val="006B4CF9"/>
    <w:rsid w:val="006B4F81"/>
    <w:rsid w:val="006B5486"/>
    <w:rsid w:val="006B785B"/>
    <w:rsid w:val="006B7AC8"/>
    <w:rsid w:val="006C0BCE"/>
    <w:rsid w:val="006C1736"/>
    <w:rsid w:val="006C21B9"/>
    <w:rsid w:val="006C4798"/>
    <w:rsid w:val="006C50F0"/>
    <w:rsid w:val="006C641E"/>
    <w:rsid w:val="006C6958"/>
    <w:rsid w:val="006C718F"/>
    <w:rsid w:val="006C7325"/>
    <w:rsid w:val="006D3C72"/>
    <w:rsid w:val="006D550F"/>
    <w:rsid w:val="006D6632"/>
    <w:rsid w:val="006D699E"/>
    <w:rsid w:val="006F3AD1"/>
    <w:rsid w:val="006F3FC8"/>
    <w:rsid w:val="006F68A1"/>
    <w:rsid w:val="006F6954"/>
    <w:rsid w:val="006F7D03"/>
    <w:rsid w:val="0070011E"/>
    <w:rsid w:val="00701CAB"/>
    <w:rsid w:val="00707563"/>
    <w:rsid w:val="00710D26"/>
    <w:rsid w:val="00714123"/>
    <w:rsid w:val="007153BE"/>
    <w:rsid w:val="00715702"/>
    <w:rsid w:val="00715DC0"/>
    <w:rsid w:val="0072127D"/>
    <w:rsid w:val="0072348C"/>
    <w:rsid w:val="00724A37"/>
    <w:rsid w:val="007303C3"/>
    <w:rsid w:val="00741727"/>
    <w:rsid w:val="00741C46"/>
    <w:rsid w:val="00741E23"/>
    <w:rsid w:val="007429BE"/>
    <w:rsid w:val="00743223"/>
    <w:rsid w:val="00744F32"/>
    <w:rsid w:val="00746E01"/>
    <w:rsid w:val="00747EEA"/>
    <w:rsid w:val="00757364"/>
    <w:rsid w:val="00757BDF"/>
    <w:rsid w:val="00760660"/>
    <w:rsid w:val="007609D0"/>
    <w:rsid w:val="00761403"/>
    <w:rsid w:val="00763E5D"/>
    <w:rsid w:val="00765070"/>
    <w:rsid w:val="00765C55"/>
    <w:rsid w:val="007673BC"/>
    <w:rsid w:val="00767740"/>
    <w:rsid w:val="00776737"/>
    <w:rsid w:val="00777EE6"/>
    <w:rsid w:val="007826C4"/>
    <w:rsid w:val="00782EEA"/>
    <w:rsid w:val="00790815"/>
    <w:rsid w:val="0079153C"/>
    <w:rsid w:val="00792047"/>
    <w:rsid w:val="00796446"/>
    <w:rsid w:val="00796766"/>
    <w:rsid w:val="007979A6"/>
    <w:rsid w:val="00797B3D"/>
    <w:rsid w:val="00797C3B"/>
    <w:rsid w:val="007A59EB"/>
    <w:rsid w:val="007A5DC1"/>
    <w:rsid w:val="007A62A4"/>
    <w:rsid w:val="007B186E"/>
    <w:rsid w:val="007B2712"/>
    <w:rsid w:val="007B2C72"/>
    <w:rsid w:val="007B7CDA"/>
    <w:rsid w:val="007C025A"/>
    <w:rsid w:val="007C1063"/>
    <w:rsid w:val="007C1C53"/>
    <w:rsid w:val="007C36C5"/>
    <w:rsid w:val="007C4637"/>
    <w:rsid w:val="007C5E42"/>
    <w:rsid w:val="007C74BB"/>
    <w:rsid w:val="007C7E1F"/>
    <w:rsid w:val="007D0650"/>
    <w:rsid w:val="007D42D8"/>
    <w:rsid w:val="007D456E"/>
    <w:rsid w:val="007E043F"/>
    <w:rsid w:val="007E1200"/>
    <w:rsid w:val="007E24AE"/>
    <w:rsid w:val="007E41FA"/>
    <w:rsid w:val="007E4904"/>
    <w:rsid w:val="007E4CB5"/>
    <w:rsid w:val="007E7E78"/>
    <w:rsid w:val="007F066B"/>
    <w:rsid w:val="007F213A"/>
    <w:rsid w:val="007F2258"/>
    <w:rsid w:val="007F2808"/>
    <w:rsid w:val="007F2DCD"/>
    <w:rsid w:val="007F5164"/>
    <w:rsid w:val="007F75C4"/>
    <w:rsid w:val="00803287"/>
    <w:rsid w:val="008033C4"/>
    <w:rsid w:val="008051AA"/>
    <w:rsid w:val="00806C88"/>
    <w:rsid w:val="0081034E"/>
    <w:rsid w:val="00814420"/>
    <w:rsid w:val="00814815"/>
    <w:rsid w:val="008148A2"/>
    <w:rsid w:val="008157E7"/>
    <w:rsid w:val="008221F2"/>
    <w:rsid w:val="00824A99"/>
    <w:rsid w:val="00825985"/>
    <w:rsid w:val="00826BB4"/>
    <w:rsid w:val="00827394"/>
    <w:rsid w:val="0083141E"/>
    <w:rsid w:val="0083158A"/>
    <w:rsid w:val="00833AB6"/>
    <w:rsid w:val="008344F6"/>
    <w:rsid w:val="0083510F"/>
    <w:rsid w:val="00837E20"/>
    <w:rsid w:val="008408C5"/>
    <w:rsid w:val="00840954"/>
    <w:rsid w:val="008430E1"/>
    <w:rsid w:val="0084752C"/>
    <w:rsid w:val="0085054D"/>
    <w:rsid w:val="00850571"/>
    <w:rsid w:val="00851209"/>
    <w:rsid w:val="00856540"/>
    <w:rsid w:val="0085722A"/>
    <w:rsid w:val="00863B34"/>
    <w:rsid w:val="00864B35"/>
    <w:rsid w:val="00877D3C"/>
    <w:rsid w:val="00882481"/>
    <w:rsid w:val="008830A7"/>
    <w:rsid w:val="008837AC"/>
    <w:rsid w:val="00886E42"/>
    <w:rsid w:val="00886FD6"/>
    <w:rsid w:val="00892BB2"/>
    <w:rsid w:val="008A1694"/>
    <w:rsid w:val="008A256F"/>
    <w:rsid w:val="008A3285"/>
    <w:rsid w:val="008A587D"/>
    <w:rsid w:val="008A7C25"/>
    <w:rsid w:val="008B35CD"/>
    <w:rsid w:val="008B48DE"/>
    <w:rsid w:val="008B5FCC"/>
    <w:rsid w:val="008B7544"/>
    <w:rsid w:val="008C3374"/>
    <w:rsid w:val="008C5486"/>
    <w:rsid w:val="008C5943"/>
    <w:rsid w:val="008C708B"/>
    <w:rsid w:val="008D1661"/>
    <w:rsid w:val="008D6800"/>
    <w:rsid w:val="008E5D96"/>
    <w:rsid w:val="008E7031"/>
    <w:rsid w:val="008E77DE"/>
    <w:rsid w:val="008E7E24"/>
    <w:rsid w:val="008F07A3"/>
    <w:rsid w:val="008F34DD"/>
    <w:rsid w:val="008F7C87"/>
    <w:rsid w:val="009001B6"/>
    <w:rsid w:val="00900E1B"/>
    <w:rsid w:val="00901C3C"/>
    <w:rsid w:val="00903D47"/>
    <w:rsid w:val="00907102"/>
    <w:rsid w:val="0090716A"/>
    <w:rsid w:val="00907CB5"/>
    <w:rsid w:val="009233EE"/>
    <w:rsid w:val="00923BB6"/>
    <w:rsid w:val="009254E5"/>
    <w:rsid w:val="00926971"/>
    <w:rsid w:val="009272AD"/>
    <w:rsid w:val="009277DC"/>
    <w:rsid w:val="00931E9F"/>
    <w:rsid w:val="009321EF"/>
    <w:rsid w:val="00932AEF"/>
    <w:rsid w:val="00933D74"/>
    <w:rsid w:val="009352CE"/>
    <w:rsid w:val="00944BE4"/>
    <w:rsid w:val="00944C85"/>
    <w:rsid w:val="00945147"/>
    <w:rsid w:val="009460AA"/>
    <w:rsid w:val="0094797C"/>
    <w:rsid w:val="00951702"/>
    <w:rsid w:val="00951978"/>
    <w:rsid w:val="00954449"/>
    <w:rsid w:val="009545B7"/>
    <w:rsid w:val="009564D2"/>
    <w:rsid w:val="00960F04"/>
    <w:rsid w:val="00960FBE"/>
    <w:rsid w:val="00961A4A"/>
    <w:rsid w:val="00962222"/>
    <w:rsid w:val="009661DE"/>
    <w:rsid w:val="0097442A"/>
    <w:rsid w:val="0097503B"/>
    <w:rsid w:val="00975C2B"/>
    <w:rsid w:val="00980B4B"/>
    <w:rsid w:val="009820F1"/>
    <w:rsid w:val="00983C25"/>
    <w:rsid w:val="009856B7"/>
    <w:rsid w:val="00985AEA"/>
    <w:rsid w:val="00985C86"/>
    <w:rsid w:val="00986F00"/>
    <w:rsid w:val="009872D3"/>
    <w:rsid w:val="009945CB"/>
    <w:rsid w:val="00996C06"/>
    <w:rsid w:val="00997F7C"/>
    <w:rsid w:val="00997FDF"/>
    <w:rsid w:val="009A1B5F"/>
    <w:rsid w:val="009A304B"/>
    <w:rsid w:val="009A5113"/>
    <w:rsid w:val="009A5FC3"/>
    <w:rsid w:val="009A6F94"/>
    <w:rsid w:val="009A7DD1"/>
    <w:rsid w:val="009B0909"/>
    <w:rsid w:val="009B6F84"/>
    <w:rsid w:val="009B74B0"/>
    <w:rsid w:val="009C069B"/>
    <w:rsid w:val="009C16CB"/>
    <w:rsid w:val="009C1B47"/>
    <w:rsid w:val="009D2B54"/>
    <w:rsid w:val="009D3906"/>
    <w:rsid w:val="009D558F"/>
    <w:rsid w:val="009D6B46"/>
    <w:rsid w:val="009E1E8E"/>
    <w:rsid w:val="009E20A6"/>
    <w:rsid w:val="009E506E"/>
    <w:rsid w:val="009E66CF"/>
    <w:rsid w:val="009E6C21"/>
    <w:rsid w:val="009E6F93"/>
    <w:rsid w:val="009F4940"/>
    <w:rsid w:val="009F52FA"/>
    <w:rsid w:val="009F5BA1"/>
    <w:rsid w:val="00A02A88"/>
    <w:rsid w:val="00A0562E"/>
    <w:rsid w:val="00A05910"/>
    <w:rsid w:val="00A06085"/>
    <w:rsid w:val="00A06587"/>
    <w:rsid w:val="00A0726D"/>
    <w:rsid w:val="00A10BF9"/>
    <w:rsid w:val="00A22FDC"/>
    <w:rsid w:val="00A25B38"/>
    <w:rsid w:val="00A32FBB"/>
    <w:rsid w:val="00A35453"/>
    <w:rsid w:val="00A35C7A"/>
    <w:rsid w:val="00A37FC7"/>
    <w:rsid w:val="00A40C49"/>
    <w:rsid w:val="00A428EE"/>
    <w:rsid w:val="00A4478A"/>
    <w:rsid w:val="00A44852"/>
    <w:rsid w:val="00A45FC1"/>
    <w:rsid w:val="00A4650A"/>
    <w:rsid w:val="00A474FA"/>
    <w:rsid w:val="00A50502"/>
    <w:rsid w:val="00A57D04"/>
    <w:rsid w:val="00A60A26"/>
    <w:rsid w:val="00A61598"/>
    <w:rsid w:val="00A62C1D"/>
    <w:rsid w:val="00A6588E"/>
    <w:rsid w:val="00A65BCD"/>
    <w:rsid w:val="00A67127"/>
    <w:rsid w:val="00A7168D"/>
    <w:rsid w:val="00A72C0A"/>
    <w:rsid w:val="00A77A4D"/>
    <w:rsid w:val="00A80331"/>
    <w:rsid w:val="00A84A99"/>
    <w:rsid w:val="00A84F46"/>
    <w:rsid w:val="00A871F4"/>
    <w:rsid w:val="00A93392"/>
    <w:rsid w:val="00AA1035"/>
    <w:rsid w:val="00AA1D10"/>
    <w:rsid w:val="00AB46C0"/>
    <w:rsid w:val="00AB6AF7"/>
    <w:rsid w:val="00AC1AC5"/>
    <w:rsid w:val="00AC1B2C"/>
    <w:rsid w:val="00AC3264"/>
    <w:rsid w:val="00AC47F6"/>
    <w:rsid w:val="00AD2498"/>
    <w:rsid w:val="00AD5061"/>
    <w:rsid w:val="00AD618F"/>
    <w:rsid w:val="00AD6345"/>
    <w:rsid w:val="00AE1385"/>
    <w:rsid w:val="00AE1BF1"/>
    <w:rsid w:val="00AF0DD2"/>
    <w:rsid w:val="00AF518A"/>
    <w:rsid w:val="00B00E6B"/>
    <w:rsid w:val="00B01075"/>
    <w:rsid w:val="00B0209D"/>
    <w:rsid w:val="00B03444"/>
    <w:rsid w:val="00B0378E"/>
    <w:rsid w:val="00B07CEA"/>
    <w:rsid w:val="00B13048"/>
    <w:rsid w:val="00B16DFF"/>
    <w:rsid w:val="00B1716D"/>
    <w:rsid w:val="00B17A1D"/>
    <w:rsid w:val="00B207A0"/>
    <w:rsid w:val="00B209FF"/>
    <w:rsid w:val="00B2358A"/>
    <w:rsid w:val="00B26598"/>
    <w:rsid w:val="00B31B18"/>
    <w:rsid w:val="00B3438D"/>
    <w:rsid w:val="00B36956"/>
    <w:rsid w:val="00B37130"/>
    <w:rsid w:val="00B37339"/>
    <w:rsid w:val="00B40CAA"/>
    <w:rsid w:val="00B4151D"/>
    <w:rsid w:val="00B41CCC"/>
    <w:rsid w:val="00B50BD1"/>
    <w:rsid w:val="00B514DD"/>
    <w:rsid w:val="00B51F3F"/>
    <w:rsid w:val="00B52115"/>
    <w:rsid w:val="00B523A5"/>
    <w:rsid w:val="00B52AF0"/>
    <w:rsid w:val="00B54B40"/>
    <w:rsid w:val="00B54E3B"/>
    <w:rsid w:val="00B561BD"/>
    <w:rsid w:val="00B56E03"/>
    <w:rsid w:val="00B60D3F"/>
    <w:rsid w:val="00B61EDF"/>
    <w:rsid w:val="00B62D95"/>
    <w:rsid w:val="00B660DD"/>
    <w:rsid w:val="00B67036"/>
    <w:rsid w:val="00B70034"/>
    <w:rsid w:val="00B757A6"/>
    <w:rsid w:val="00B75B5B"/>
    <w:rsid w:val="00B807D2"/>
    <w:rsid w:val="00B8080B"/>
    <w:rsid w:val="00B80F94"/>
    <w:rsid w:val="00B82223"/>
    <w:rsid w:val="00B824F5"/>
    <w:rsid w:val="00B853DA"/>
    <w:rsid w:val="00B86177"/>
    <w:rsid w:val="00B871D9"/>
    <w:rsid w:val="00B87BA5"/>
    <w:rsid w:val="00B87C39"/>
    <w:rsid w:val="00B930C9"/>
    <w:rsid w:val="00B93B66"/>
    <w:rsid w:val="00B9562D"/>
    <w:rsid w:val="00BA00DA"/>
    <w:rsid w:val="00BA065C"/>
    <w:rsid w:val="00BA0EC4"/>
    <w:rsid w:val="00BA28F3"/>
    <w:rsid w:val="00BA40D9"/>
    <w:rsid w:val="00BA4665"/>
    <w:rsid w:val="00BA48D1"/>
    <w:rsid w:val="00BA60D9"/>
    <w:rsid w:val="00BA77F3"/>
    <w:rsid w:val="00BB2FB2"/>
    <w:rsid w:val="00BB3304"/>
    <w:rsid w:val="00BB3FD7"/>
    <w:rsid w:val="00BB58E3"/>
    <w:rsid w:val="00BB637D"/>
    <w:rsid w:val="00BB7528"/>
    <w:rsid w:val="00BC02AF"/>
    <w:rsid w:val="00BC09FD"/>
    <w:rsid w:val="00BC2483"/>
    <w:rsid w:val="00BC2BC1"/>
    <w:rsid w:val="00BD09F7"/>
    <w:rsid w:val="00BD2AA0"/>
    <w:rsid w:val="00BD310B"/>
    <w:rsid w:val="00BD3446"/>
    <w:rsid w:val="00BE1F1B"/>
    <w:rsid w:val="00BE24D3"/>
    <w:rsid w:val="00BE47B5"/>
    <w:rsid w:val="00BE4CF5"/>
    <w:rsid w:val="00BE5F8D"/>
    <w:rsid w:val="00BE6A6D"/>
    <w:rsid w:val="00BF0814"/>
    <w:rsid w:val="00BF315C"/>
    <w:rsid w:val="00BF32A5"/>
    <w:rsid w:val="00C00B42"/>
    <w:rsid w:val="00C01149"/>
    <w:rsid w:val="00C032A2"/>
    <w:rsid w:val="00C04223"/>
    <w:rsid w:val="00C059E8"/>
    <w:rsid w:val="00C06471"/>
    <w:rsid w:val="00C10631"/>
    <w:rsid w:val="00C12020"/>
    <w:rsid w:val="00C149F0"/>
    <w:rsid w:val="00C1722F"/>
    <w:rsid w:val="00C252BF"/>
    <w:rsid w:val="00C25FA6"/>
    <w:rsid w:val="00C26FD0"/>
    <w:rsid w:val="00C270A1"/>
    <w:rsid w:val="00C275C4"/>
    <w:rsid w:val="00C31B9C"/>
    <w:rsid w:val="00C31BA6"/>
    <w:rsid w:val="00C34655"/>
    <w:rsid w:val="00C35949"/>
    <w:rsid w:val="00C37AB3"/>
    <w:rsid w:val="00C40ABB"/>
    <w:rsid w:val="00C42ACA"/>
    <w:rsid w:val="00C45424"/>
    <w:rsid w:val="00C45FD0"/>
    <w:rsid w:val="00C4707E"/>
    <w:rsid w:val="00C51473"/>
    <w:rsid w:val="00C538A9"/>
    <w:rsid w:val="00C53B5A"/>
    <w:rsid w:val="00C54F5A"/>
    <w:rsid w:val="00C569B4"/>
    <w:rsid w:val="00C56A3E"/>
    <w:rsid w:val="00C659D1"/>
    <w:rsid w:val="00C67710"/>
    <w:rsid w:val="00C67A92"/>
    <w:rsid w:val="00C67EA8"/>
    <w:rsid w:val="00C70647"/>
    <w:rsid w:val="00C72C4E"/>
    <w:rsid w:val="00C7497E"/>
    <w:rsid w:val="00C76390"/>
    <w:rsid w:val="00C82806"/>
    <w:rsid w:val="00C84560"/>
    <w:rsid w:val="00C84F52"/>
    <w:rsid w:val="00C86679"/>
    <w:rsid w:val="00C87A87"/>
    <w:rsid w:val="00C87CD5"/>
    <w:rsid w:val="00C91C77"/>
    <w:rsid w:val="00C9588C"/>
    <w:rsid w:val="00C971D8"/>
    <w:rsid w:val="00CA489E"/>
    <w:rsid w:val="00CA52A2"/>
    <w:rsid w:val="00CA5840"/>
    <w:rsid w:val="00CA6D53"/>
    <w:rsid w:val="00CB0279"/>
    <w:rsid w:val="00CB6267"/>
    <w:rsid w:val="00CB666B"/>
    <w:rsid w:val="00CC3E42"/>
    <w:rsid w:val="00CC7F1D"/>
    <w:rsid w:val="00CD218B"/>
    <w:rsid w:val="00CE484B"/>
    <w:rsid w:val="00CE4F85"/>
    <w:rsid w:val="00CE5F98"/>
    <w:rsid w:val="00CE7982"/>
    <w:rsid w:val="00CF0DEE"/>
    <w:rsid w:val="00CF2C05"/>
    <w:rsid w:val="00CF5940"/>
    <w:rsid w:val="00CF6EDE"/>
    <w:rsid w:val="00D006AE"/>
    <w:rsid w:val="00D01CF0"/>
    <w:rsid w:val="00D01EFD"/>
    <w:rsid w:val="00D0442A"/>
    <w:rsid w:val="00D061F1"/>
    <w:rsid w:val="00D120DE"/>
    <w:rsid w:val="00D17683"/>
    <w:rsid w:val="00D2078D"/>
    <w:rsid w:val="00D2626B"/>
    <w:rsid w:val="00D279C3"/>
    <w:rsid w:val="00D309E2"/>
    <w:rsid w:val="00D328AF"/>
    <w:rsid w:val="00D32B14"/>
    <w:rsid w:val="00D33663"/>
    <w:rsid w:val="00D40FFF"/>
    <w:rsid w:val="00D41B3E"/>
    <w:rsid w:val="00D42A60"/>
    <w:rsid w:val="00D45694"/>
    <w:rsid w:val="00D47482"/>
    <w:rsid w:val="00D55DD4"/>
    <w:rsid w:val="00D57BC4"/>
    <w:rsid w:val="00D60F22"/>
    <w:rsid w:val="00D61388"/>
    <w:rsid w:val="00D61A54"/>
    <w:rsid w:val="00D64DEA"/>
    <w:rsid w:val="00D7168E"/>
    <w:rsid w:val="00D71E57"/>
    <w:rsid w:val="00D743E4"/>
    <w:rsid w:val="00D74C8C"/>
    <w:rsid w:val="00D75AA2"/>
    <w:rsid w:val="00D75B2F"/>
    <w:rsid w:val="00D77E30"/>
    <w:rsid w:val="00D80893"/>
    <w:rsid w:val="00D82144"/>
    <w:rsid w:val="00D84854"/>
    <w:rsid w:val="00D848B4"/>
    <w:rsid w:val="00D879B6"/>
    <w:rsid w:val="00D92CF1"/>
    <w:rsid w:val="00D92D38"/>
    <w:rsid w:val="00D932ED"/>
    <w:rsid w:val="00D950F5"/>
    <w:rsid w:val="00D9746F"/>
    <w:rsid w:val="00DA21E7"/>
    <w:rsid w:val="00DA4752"/>
    <w:rsid w:val="00DA61F3"/>
    <w:rsid w:val="00DA69FA"/>
    <w:rsid w:val="00DA6B93"/>
    <w:rsid w:val="00DB0480"/>
    <w:rsid w:val="00DB0F93"/>
    <w:rsid w:val="00DB1A67"/>
    <w:rsid w:val="00DB2C06"/>
    <w:rsid w:val="00DB2C2A"/>
    <w:rsid w:val="00DB37D9"/>
    <w:rsid w:val="00DB5074"/>
    <w:rsid w:val="00DB5B21"/>
    <w:rsid w:val="00DC73F2"/>
    <w:rsid w:val="00DC7981"/>
    <w:rsid w:val="00DD2043"/>
    <w:rsid w:val="00DD3121"/>
    <w:rsid w:val="00DD5CFD"/>
    <w:rsid w:val="00DD7B45"/>
    <w:rsid w:val="00DE1093"/>
    <w:rsid w:val="00DE4EFA"/>
    <w:rsid w:val="00DE5520"/>
    <w:rsid w:val="00DE563D"/>
    <w:rsid w:val="00DE5E2E"/>
    <w:rsid w:val="00DE772C"/>
    <w:rsid w:val="00DF08B0"/>
    <w:rsid w:val="00DF312A"/>
    <w:rsid w:val="00DF6413"/>
    <w:rsid w:val="00E04818"/>
    <w:rsid w:val="00E06442"/>
    <w:rsid w:val="00E06BCF"/>
    <w:rsid w:val="00E1001C"/>
    <w:rsid w:val="00E131D6"/>
    <w:rsid w:val="00E14F2B"/>
    <w:rsid w:val="00E218B7"/>
    <w:rsid w:val="00E23802"/>
    <w:rsid w:val="00E23993"/>
    <w:rsid w:val="00E257D6"/>
    <w:rsid w:val="00E25B8C"/>
    <w:rsid w:val="00E26EDB"/>
    <w:rsid w:val="00E275CE"/>
    <w:rsid w:val="00E307A9"/>
    <w:rsid w:val="00E347FF"/>
    <w:rsid w:val="00E426EF"/>
    <w:rsid w:val="00E43770"/>
    <w:rsid w:val="00E451F0"/>
    <w:rsid w:val="00E472B1"/>
    <w:rsid w:val="00E47E3F"/>
    <w:rsid w:val="00E50811"/>
    <w:rsid w:val="00E50B3B"/>
    <w:rsid w:val="00E51783"/>
    <w:rsid w:val="00E51D65"/>
    <w:rsid w:val="00E526A6"/>
    <w:rsid w:val="00E56AE1"/>
    <w:rsid w:val="00E6107A"/>
    <w:rsid w:val="00E6200B"/>
    <w:rsid w:val="00E64923"/>
    <w:rsid w:val="00E65485"/>
    <w:rsid w:val="00E65C85"/>
    <w:rsid w:val="00E66199"/>
    <w:rsid w:val="00E707B2"/>
    <w:rsid w:val="00E711C7"/>
    <w:rsid w:val="00E72608"/>
    <w:rsid w:val="00E755EC"/>
    <w:rsid w:val="00E7624D"/>
    <w:rsid w:val="00E77648"/>
    <w:rsid w:val="00E80E3C"/>
    <w:rsid w:val="00E80E7C"/>
    <w:rsid w:val="00E83F2E"/>
    <w:rsid w:val="00E90ACB"/>
    <w:rsid w:val="00E90DAD"/>
    <w:rsid w:val="00E93980"/>
    <w:rsid w:val="00EA286C"/>
    <w:rsid w:val="00EA3D42"/>
    <w:rsid w:val="00EA54BE"/>
    <w:rsid w:val="00EA6B1B"/>
    <w:rsid w:val="00EB26F8"/>
    <w:rsid w:val="00EB5BC8"/>
    <w:rsid w:val="00EB606C"/>
    <w:rsid w:val="00EC04F1"/>
    <w:rsid w:val="00EC650B"/>
    <w:rsid w:val="00EC697C"/>
    <w:rsid w:val="00ED0EC2"/>
    <w:rsid w:val="00ED15A0"/>
    <w:rsid w:val="00ED7323"/>
    <w:rsid w:val="00EE28F3"/>
    <w:rsid w:val="00EE5025"/>
    <w:rsid w:val="00EE50D1"/>
    <w:rsid w:val="00EE77FA"/>
    <w:rsid w:val="00EF21E0"/>
    <w:rsid w:val="00EF5110"/>
    <w:rsid w:val="00F02211"/>
    <w:rsid w:val="00F0334E"/>
    <w:rsid w:val="00F048A2"/>
    <w:rsid w:val="00F059DE"/>
    <w:rsid w:val="00F10411"/>
    <w:rsid w:val="00F142AD"/>
    <w:rsid w:val="00F15882"/>
    <w:rsid w:val="00F171E0"/>
    <w:rsid w:val="00F20BD3"/>
    <w:rsid w:val="00F2526A"/>
    <w:rsid w:val="00F25487"/>
    <w:rsid w:val="00F36912"/>
    <w:rsid w:val="00F373A5"/>
    <w:rsid w:val="00F42BEC"/>
    <w:rsid w:val="00F451F2"/>
    <w:rsid w:val="00F45D99"/>
    <w:rsid w:val="00F47559"/>
    <w:rsid w:val="00F61176"/>
    <w:rsid w:val="00F61C9E"/>
    <w:rsid w:val="00F63255"/>
    <w:rsid w:val="00F64B8B"/>
    <w:rsid w:val="00F64C7B"/>
    <w:rsid w:val="00F65B25"/>
    <w:rsid w:val="00F65C18"/>
    <w:rsid w:val="00F676DD"/>
    <w:rsid w:val="00F6794A"/>
    <w:rsid w:val="00F71667"/>
    <w:rsid w:val="00F753E0"/>
    <w:rsid w:val="00F75A26"/>
    <w:rsid w:val="00F76706"/>
    <w:rsid w:val="00F768C8"/>
    <w:rsid w:val="00F77F55"/>
    <w:rsid w:val="00F8052A"/>
    <w:rsid w:val="00F81B8D"/>
    <w:rsid w:val="00F83FAD"/>
    <w:rsid w:val="00F848D9"/>
    <w:rsid w:val="00F8653A"/>
    <w:rsid w:val="00F9004E"/>
    <w:rsid w:val="00F9155A"/>
    <w:rsid w:val="00F92349"/>
    <w:rsid w:val="00F9272E"/>
    <w:rsid w:val="00F9358B"/>
    <w:rsid w:val="00F93714"/>
    <w:rsid w:val="00F952A0"/>
    <w:rsid w:val="00F96835"/>
    <w:rsid w:val="00FA05C3"/>
    <w:rsid w:val="00FA07DD"/>
    <w:rsid w:val="00FA1E1F"/>
    <w:rsid w:val="00FA2E8D"/>
    <w:rsid w:val="00FA3C7F"/>
    <w:rsid w:val="00FA3E91"/>
    <w:rsid w:val="00FA45CE"/>
    <w:rsid w:val="00FA758C"/>
    <w:rsid w:val="00FB0BF0"/>
    <w:rsid w:val="00FB0D22"/>
    <w:rsid w:val="00FB4402"/>
    <w:rsid w:val="00FB60FE"/>
    <w:rsid w:val="00FB74E2"/>
    <w:rsid w:val="00FC2458"/>
    <w:rsid w:val="00FC71DC"/>
    <w:rsid w:val="00FC7502"/>
    <w:rsid w:val="00FC762C"/>
    <w:rsid w:val="00FC7CF6"/>
    <w:rsid w:val="00FD2ED2"/>
    <w:rsid w:val="00FD5614"/>
    <w:rsid w:val="00FD5E78"/>
    <w:rsid w:val="00FD6A21"/>
    <w:rsid w:val="00FE0BE1"/>
    <w:rsid w:val="00FE1123"/>
    <w:rsid w:val="00FE1DE9"/>
    <w:rsid w:val="00FE322E"/>
    <w:rsid w:val="00FE36AF"/>
    <w:rsid w:val="00FE39C2"/>
    <w:rsid w:val="00FE3C32"/>
    <w:rsid w:val="00FE64AE"/>
    <w:rsid w:val="00FF2418"/>
    <w:rsid w:val="00FF3122"/>
    <w:rsid w:val="00FF49E7"/>
    <w:rsid w:val="00FF5BD0"/>
    <w:rsid w:val="00FF6B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uiPriority="2"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link w:val="ListParagraphChar"/>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E93980"/>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2"/>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paragraph" w:customStyle="1" w:styleId="AERfactsheetbodytext">
    <w:name w:val="AER factsheet body text"/>
    <w:basedOn w:val="Normal"/>
    <w:rsid w:val="00C26FD0"/>
    <w:pPr>
      <w:spacing w:before="0" w:after="120" w:line="252" w:lineRule="auto"/>
    </w:pPr>
    <w:rPr>
      <w:rFonts w:ascii="MS Reference Sans Serif" w:hAnsi="MS Reference Sans Serif" w:cs="Times New Roman"/>
      <w:spacing w:val="-10"/>
      <w:sz w:val="18"/>
      <w:szCs w:val="18"/>
    </w:rPr>
  </w:style>
  <w:style w:type="character" w:customStyle="1" w:styleId="ListParagraphChar">
    <w:name w:val="List Paragraph Char"/>
    <w:link w:val="ListParagraph"/>
    <w:uiPriority w:val="34"/>
    <w:rsid w:val="00E83F2E"/>
    <w:rPr>
      <w:rFonts w:ascii="Arial" w:hAnsi="Arial"/>
    </w:rPr>
  </w:style>
  <w:style w:type="paragraph" w:customStyle="1" w:styleId="Bulletpoint">
    <w:name w:val="Bullet point"/>
    <w:basedOn w:val="ListBullet"/>
    <w:qFormat/>
    <w:rsid w:val="00856540"/>
    <w:pPr>
      <w:numPr>
        <w:numId w:val="0"/>
      </w:numPr>
      <w:spacing w:line="240" w:lineRule="auto"/>
      <w:ind w:left="360" w:hanging="360"/>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uiPriority="2"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link w:val="ListParagraphChar"/>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E93980"/>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2"/>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paragraph" w:customStyle="1" w:styleId="AERfactsheetbodytext">
    <w:name w:val="AER factsheet body text"/>
    <w:basedOn w:val="Normal"/>
    <w:rsid w:val="00C26FD0"/>
    <w:pPr>
      <w:spacing w:before="0" w:after="120" w:line="252" w:lineRule="auto"/>
    </w:pPr>
    <w:rPr>
      <w:rFonts w:ascii="MS Reference Sans Serif" w:hAnsi="MS Reference Sans Serif" w:cs="Times New Roman"/>
      <w:spacing w:val="-10"/>
      <w:sz w:val="18"/>
      <w:szCs w:val="18"/>
    </w:rPr>
  </w:style>
  <w:style w:type="character" w:customStyle="1" w:styleId="ListParagraphChar">
    <w:name w:val="List Paragraph Char"/>
    <w:link w:val="ListParagraph"/>
    <w:uiPriority w:val="34"/>
    <w:rsid w:val="00E83F2E"/>
    <w:rPr>
      <w:rFonts w:ascii="Arial" w:hAnsi="Arial"/>
    </w:rPr>
  </w:style>
  <w:style w:type="paragraph" w:customStyle="1" w:styleId="Bulletpoint">
    <w:name w:val="Bullet point"/>
    <w:basedOn w:val="ListBullet"/>
    <w:qFormat/>
    <w:rsid w:val="00856540"/>
    <w:pPr>
      <w:numPr>
        <w:numId w:val="0"/>
      </w:numPr>
      <w:spacing w:line="240" w:lineRule="auto"/>
      <w:ind w:left="360" w:hanging="36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192108">
      <w:bodyDiv w:val="1"/>
      <w:marLeft w:val="0"/>
      <w:marRight w:val="0"/>
      <w:marTop w:val="0"/>
      <w:marBottom w:val="0"/>
      <w:divBdr>
        <w:top w:val="none" w:sz="0" w:space="0" w:color="auto"/>
        <w:left w:val="none" w:sz="0" w:space="0" w:color="auto"/>
        <w:bottom w:val="none" w:sz="0" w:space="0" w:color="auto"/>
        <w:right w:val="none" w:sz="0" w:space="0" w:color="auto"/>
      </w:divBdr>
    </w:div>
    <w:div w:id="510148900">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758252948">
      <w:bodyDiv w:val="1"/>
      <w:marLeft w:val="0"/>
      <w:marRight w:val="0"/>
      <w:marTop w:val="0"/>
      <w:marBottom w:val="0"/>
      <w:divBdr>
        <w:top w:val="none" w:sz="0" w:space="0" w:color="auto"/>
        <w:left w:val="none" w:sz="0" w:space="0" w:color="auto"/>
        <w:bottom w:val="none" w:sz="0" w:space="0" w:color="auto"/>
        <w:right w:val="none" w:sz="0" w:space="0" w:color="auto"/>
      </w:divBdr>
    </w:div>
    <w:div w:id="977805796">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38645264">
      <w:bodyDiv w:val="1"/>
      <w:marLeft w:val="0"/>
      <w:marRight w:val="0"/>
      <w:marTop w:val="0"/>
      <w:marBottom w:val="0"/>
      <w:divBdr>
        <w:top w:val="none" w:sz="0" w:space="0" w:color="auto"/>
        <w:left w:val="none" w:sz="0" w:space="0" w:color="auto"/>
        <w:bottom w:val="none" w:sz="0" w:space="0" w:color="auto"/>
        <w:right w:val="none" w:sz="0" w:space="0" w:color="auto"/>
      </w:divBdr>
    </w:div>
    <w:div w:id="1738362129">
      <w:bodyDiv w:val="1"/>
      <w:marLeft w:val="0"/>
      <w:marRight w:val="0"/>
      <w:marTop w:val="0"/>
      <w:marBottom w:val="0"/>
      <w:divBdr>
        <w:top w:val="none" w:sz="0" w:space="0" w:color="auto"/>
        <w:left w:val="none" w:sz="0" w:space="0" w:color="auto"/>
        <w:bottom w:val="none" w:sz="0" w:space="0" w:color="auto"/>
        <w:right w:val="none" w:sz="0" w:space="0" w:color="auto"/>
      </w:divBdr>
    </w:div>
    <w:div w:id="1851525580">
      <w:bodyDiv w:val="1"/>
      <w:marLeft w:val="0"/>
      <w:marRight w:val="0"/>
      <w:marTop w:val="0"/>
      <w:marBottom w:val="0"/>
      <w:divBdr>
        <w:top w:val="none" w:sz="0" w:space="0" w:color="auto"/>
        <w:left w:val="none" w:sz="0" w:space="0" w:color="auto"/>
        <w:bottom w:val="none" w:sz="0" w:space="0" w:color="auto"/>
        <w:right w:val="none" w:sz="0" w:space="0" w:color="auto"/>
      </w:divBdr>
    </w:div>
    <w:div w:id="207304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5.png"/><Relationship Id="rId23"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image" Target="media/image8.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aer.gov.au/node/18859" TargetMode="External"/><Relationship Id="rId2" Type="http://schemas.openxmlformats.org/officeDocument/2006/relationships/hyperlink" Target="http://www.aer.gov.au/Better-regulation" TargetMode="External"/><Relationship Id="rId1" Type="http://schemas.openxmlformats.org/officeDocument/2006/relationships/hyperlink" Target="http://www.aer.gov.au/networks-pipelines/guidelines-schemes-models-reviews/rate-of-return-guideline"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7213718548864085"/>
          <c:y val="2.2272866451630759E-2"/>
          <c:w val="0.82455251757390291"/>
          <c:h val="0.76436675080686689"/>
        </c:manualLayout>
      </c:layout>
      <c:barChart>
        <c:barDir val="col"/>
        <c:grouping val="stacked"/>
        <c:varyColors val="0"/>
        <c:ser>
          <c:idx val="0"/>
          <c:order val="0"/>
          <c:tx>
            <c:strRef>
              <c:f>'ERP (4.2)'!$B$4</c:f>
              <c:strCache>
                <c:ptCount val="1"/>
                <c:pt idx="0">
                  <c:v>lower bound</c:v>
                </c:pt>
              </c:strCache>
            </c:strRef>
          </c:tx>
          <c:spPr>
            <a:noFill/>
          </c:spPr>
          <c:invertIfNegative val="0"/>
          <c:cat>
            <c:strRef>
              <c:f>'ERP (4.2)'!$A$5:$A$14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Aug-15</c:v>
                </c:pt>
              </c:strCache>
            </c:strRef>
          </c:cat>
          <c:val>
            <c:numRef>
              <c:f>'ERP (4.2)'!$B$5:$B$14</c:f>
              <c:numCache>
                <c:formatCode>_(* #,##0.00_);_(* \(#,##0.00\);_(* "-"??_);_(@_)</c:formatCode>
                <c:ptCount val="10"/>
                <c:pt idx="0">
                  <c:v>6.3904695945945997</c:v>
                </c:pt>
                <c:pt idx="1">
                  <c:v>2.04</c:v>
                </c:pt>
                <c:pt idx="2">
                  <c:v>2.9</c:v>
                </c:pt>
                <c:pt idx="3" formatCode="General">
                  <c:v>0</c:v>
                </c:pt>
                <c:pt idx="4" formatCode="General">
                  <c:v>3.5</c:v>
                </c:pt>
                <c:pt idx="5" formatCode="General">
                  <c:v>3.5999999999999996</c:v>
                </c:pt>
                <c:pt idx="6" formatCode="General">
                  <c:v>3.3</c:v>
                </c:pt>
              </c:numCache>
            </c:numRef>
          </c:val>
        </c:ser>
        <c:ser>
          <c:idx val="1"/>
          <c:order val="1"/>
          <c:tx>
            <c:strRef>
              <c:f>'ERP (4.2)'!$C$4</c:f>
              <c:strCache>
                <c:ptCount val="1"/>
                <c:pt idx="0">
                  <c:v>upper bound</c:v>
                </c:pt>
              </c:strCache>
            </c:strRef>
          </c:tx>
          <c:spPr>
            <a:solidFill>
              <a:schemeClr val="accent1">
                <a:lumMod val="60000"/>
                <a:lumOff val="40000"/>
              </a:schemeClr>
            </a:solidFill>
          </c:spPr>
          <c:invertIfNegative val="0"/>
          <c:dPt>
            <c:idx val="0"/>
            <c:invertIfNegative val="0"/>
            <c:bubble3D val="0"/>
            <c:spPr>
              <a:solidFill>
                <a:schemeClr val="accent2"/>
              </a:solidFill>
            </c:spPr>
          </c:dPt>
          <c:dPt>
            <c:idx val="1"/>
            <c:invertIfNegative val="0"/>
            <c:bubble3D val="0"/>
            <c:spPr>
              <a:solidFill>
                <a:schemeClr val="accent3">
                  <a:lumMod val="60000"/>
                  <a:lumOff val="40000"/>
                </a:schemeClr>
              </a:solidFill>
            </c:spPr>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Pt>
            <c:idx val="8"/>
            <c:invertIfNegative val="0"/>
            <c:bubble3D val="0"/>
          </c:dPt>
          <c:dPt>
            <c:idx val="9"/>
            <c:invertIfNegative val="0"/>
            <c:bubble3D val="0"/>
          </c:dPt>
          <c:dPt>
            <c:idx val="10"/>
            <c:invertIfNegative val="0"/>
            <c:bubble3D val="0"/>
          </c:dPt>
          <c:dPt>
            <c:idx val="11"/>
            <c:invertIfNegative val="0"/>
            <c:bubble3D val="0"/>
          </c:dPt>
          <c:dPt>
            <c:idx val="12"/>
            <c:invertIfNegative val="0"/>
            <c:bubble3D val="0"/>
          </c:dPt>
          <c:dPt>
            <c:idx val="13"/>
            <c:invertIfNegative val="0"/>
            <c:bubble3D val="0"/>
          </c:dPt>
          <c:cat>
            <c:strRef>
              <c:f>'ERP (4.2)'!$A$5:$A$14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Aug-15</c:v>
                </c:pt>
              </c:strCache>
            </c:strRef>
          </c:cat>
          <c:val>
            <c:numRef>
              <c:f>'ERP (4.2)'!$C$5:$C$14</c:f>
              <c:numCache>
                <c:formatCode>_(* #,##0.00_);_(* \(#,##0.00\);_(* "-"??_);_(@_)</c:formatCode>
                <c:ptCount val="10"/>
                <c:pt idx="0">
                  <c:v>0.84952437367277334</c:v>
                </c:pt>
                <c:pt idx="1">
                  <c:v>3.952</c:v>
                </c:pt>
                <c:pt idx="2">
                  <c:v>4.0469999999999988</c:v>
                </c:pt>
                <c:pt idx="3" formatCode="General">
                  <c:v>4.55</c:v>
                </c:pt>
                <c:pt idx="4" formatCode="General">
                  <c:v>1.7</c:v>
                </c:pt>
                <c:pt idx="5" formatCode="General">
                  <c:v>1.6714285714285735</c:v>
                </c:pt>
                <c:pt idx="6" formatCode="General">
                  <c:v>4.17</c:v>
                </c:pt>
              </c:numCache>
            </c:numRef>
          </c:val>
        </c:ser>
        <c:ser>
          <c:idx val="2"/>
          <c:order val="2"/>
          <c:spPr>
            <a:pattFill prst="wdUpDiag">
              <a:fgClr>
                <a:schemeClr val="bg1"/>
              </a:fgClr>
              <a:bgClr>
                <a:schemeClr val="accent1">
                  <a:lumMod val="60000"/>
                  <a:lumOff val="40000"/>
                </a:schemeClr>
              </a:bgClr>
            </a:pattFill>
            <a:ln w="28575">
              <a:noFill/>
            </a:ln>
          </c:spPr>
          <c:invertIfNegative val="0"/>
          <c:cat>
            <c:strRef>
              <c:f>'ERP (4.2)'!$A$5:$A$14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Aug-15</c:v>
                </c:pt>
              </c:strCache>
            </c:strRef>
          </c:cat>
          <c:val>
            <c:numRef>
              <c:f>'ERP (4.2)'!$D$5:$D$14</c:f>
              <c:numCache>
                <c:formatCode>General</c:formatCode>
                <c:ptCount val="10"/>
                <c:pt idx="5">
                  <c:v>0.88857142857142613</c:v>
                </c:pt>
                <c:pt idx="6">
                  <c:v>4.83</c:v>
                </c:pt>
              </c:numCache>
            </c:numRef>
          </c:val>
        </c:ser>
        <c:ser>
          <c:idx val="5"/>
          <c:order val="5"/>
          <c:tx>
            <c:strRef>
              <c:f>'ERP (4.2)'!$G$4</c:f>
              <c:strCache>
                <c:ptCount val="1"/>
              </c:strCache>
            </c:strRef>
          </c:tx>
          <c:spPr>
            <a:solidFill>
              <a:schemeClr val="tx2">
                <a:lumMod val="20000"/>
                <a:lumOff val="80000"/>
              </a:schemeClr>
            </a:solidFill>
            <a:ln w="28575">
              <a:noFill/>
            </a:ln>
          </c:spPr>
          <c:invertIfNegative val="0"/>
          <c:cat>
            <c:strRef>
              <c:f>'ERP (4.2)'!$A$5:$A$14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Aug-15</c:v>
                </c:pt>
              </c:strCache>
            </c:strRef>
          </c:cat>
          <c:val>
            <c:numRef>
              <c:f>'ERP (4.2)'!$G$6:$G$13</c:f>
              <c:numCache>
                <c:formatCode>General</c:formatCode>
                <c:ptCount val="8"/>
              </c:numCache>
            </c:numRef>
          </c:val>
        </c:ser>
        <c:dLbls>
          <c:showLegendKey val="0"/>
          <c:showVal val="0"/>
          <c:showCatName val="0"/>
          <c:showSerName val="0"/>
          <c:showPercent val="0"/>
          <c:showBubbleSize val="0"/>
        </c:dLbls>
        <c:gapWidth val="150"/>
        <c:overlap val="100"/>
        <c:axId val="42315136"/>
        <c:axId val="42316928"/>
      </c:barChart>
      <c:lineChart>
        <c:grouping val="standard"/>
        <c:varyColors val="0"/>
        <c:ser>
          <c:idx val="3"/>
          <c:order val="3"/>
          <c:tx>
            <c:strRef>
              <c:f>'ERP (4.2)'!$E$4</c:f>
              <c:strCache>
                <c:ptCount val="1"/>
                <c:pt idx="0">
                  <c:v>DRP</c:v>
                </c:pt>
              </c:strCache>
            </c:strRef>
          </c:tx>
          <c:spPr>
            <a:ln w="19050">
              <a:noFill/>
            </a:ln>
          </c:spPr>
          <c:marker>
            <c:symbol val="x"/>
            <c:size val="11"/>
            <c:spPr>
              <a:noFill/>
              <a:ln w="19050">
                <a:solidFill>
                  <a:schemeClr val="accent1">
                    <a:lumMod val="60000"/>
                    <a:lumOff val="40000"/>
                  </a:schemeClr>
                </a:solidFill>
              </a:ln>
            </c:spPr>
          </c:marker>
          <c:cat>
            <c:strRef>
              <c:f>'ERP (4.2)'!$A$5:$A$14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Aug-15</c:v>
                </c:pt>
              </c:strCache>
            </c:strRef>
          </c:cat>
          <c:val>
            <c:numRef>
              <c:f>'ERP (4.2)'!$E$5:$E$14</c:f>
              <c:numCache>
                <c:formatCode>General</c:formatCode>
                <c:ptCount val="10"/>
                <c:pt idx="7">
                  <c:v>2.0806999999999998</c:v>
                </c:pt>
                <c:pt idx="8">
                  <c:v>1.9239601471927008</c:v>
                </c:pt>
                <c:pt idx="9">
                  <c:v>2.5415027992852885</c:v>
                </c:pt>
              </c:numCache>
            </c:numRef>
          </c:val>
          <c:smooth val="0"/>
        </c:ser>
        <c:ser>
          <c:idx val="4"/>
          <c:order val="4"/>
          <c:tx>
            <c:strRef>
              <c:f>'ERP (4.2)'!$F$4</c:f>
              <c:strCache>
                <c:ptCount val="1"/>
                <c:pt idx="0">
                  <c:v>AER point estimate</c:v>
                </c:pt>
              </c:strCache>
            </c:strRef>
          </c:tx>
          <c:spPr>
            <a:ln>
              <a:solidFill>
                <a:schemeClr val="accent3">
                  <a:lumMod val="50000"/>
                </a:schemeClr>
              </a:solidFill>
            </a:ln>
          </c:spPr>
          <c:marker>
            <c:symbol val="none"/>
          </c:marker>
          <c:cat>
            <c:strRef>
              <c:f>'ERP (4.2)'!$A$5:$A$14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Aug-15</c:v>
                </c:pt>
              </c:strCache>
            </c:strRef>
          </c:cat>
          <c:val>
            <c:numRef>
              <c:f>'ERP (4.2)'!$F$5:$F$14</c:f>
              <c:numCache>
                <c:formatCode>General</c:formatCode>
                <c:ptCount val="10"/>
                <c:pt idx="0">
                  <c:v>4.55</c:v>
                </c:pt>
                <c:pt idx="1">
                  <c:v>4.55</c:v>
                </c:pt>
                <c:pt idx="2">
                  <c:v>4.55</c:v>
                </c:pt>
                <c:pt idx="3">
                  <c:v>4.55</c:v>
                </c:pt>
                <c:pt idx="4">
                  <c:v>4.55</c:v>
                </c:pt>
                <c:pt idx="5">
                  <c:v>4.55</c:v>
                </c:pt>
                <c:pt idx="6">
                  <c:v>4.55</c:v>
                </c:pt>
                <c:pt idx="7">
                  <c:v>4.55</c:v>
                </c:pt>
                <c:pt idx="8">
                  <c:v>4.55</c:v>
                </c:pt>
                <c:pt idx="9">
                  <c:v>4.55</c:v>
                </c:pt>
              </c:numCache>
            </c:numRef>
          </c:val>
          <c:smooth val="0"/>
        </c:ser>
        <c:dLbls>
          <c:showLegendKey val="0"/>
          <c:showVal val="0"/>
          <c:showCatName val="0"/>
          <c:showSerName val="0"/>
          <c:showPercent val="0"/>
          <c:showBubbleSize val="0"/>
        </c:dLbls>
        <c:marker val="1"/>
        <c:smooth val="0"/>
        <c:axId val="42315136"/>
        <c:axId val="42316928"/>
      </c:lineChart>
      <c:catAx>
        <c:axId val="42315136"/>
        <c:scaling>
          <c:orientation val="minMax"/>
        </c:scaling>
        <c:delete val="0"/>
        <c:axPos val="b"/>
        <c:majorTickMark val="out"/>
        <c:minorTickMark val="none"/>
        <c:tickLblPos val="nextTo"/>
        <c:txPr>
          <a:bodyPr rot="-1260000" vert="horz" anchor="t" anchorCtr="0"/>
          <a:lstStyle/>
          <a:p>
            <a:pPr>
              <a:defRPr>
                <a:cs typeface="Gautami" panose="02000500000000000000" pitchFamily="2"/>
              </a:defRPr>
            </a:pPr>
            <a:endParaRPr lang="en-US"/>
          </a:p>
        </c:txPr>
        <c:crossAx val="42316928"/>
        <c:crosses val="autoZero"/>
        <c:auto val="1"/>
        <c:lblAlgn val="ctr"/>
        <c:lblOffset val="100"/>
        <c:noMultiLvlLbl val="0"/>
      </c:catAx>
      <c:valAx>
        <c:axId val="42316928"/>
        <c:scaling>
          <c:orientation val="minMax"/>
        </c:scaling>
        <c:delete val="0"/>
        <c:axPos val="l"/>
        <c:majorGridlines>
          <c:spPr>
            <a:ln>
              <a:solidFill>
                <a:schemeClr val="bg1">
                  <a:lumMod val="75000"/>
                </a:schemeClr>
              </a:solidFill>
            </a:ln>
          </c:spPr>
        </c:majorGridlines>
        <c:title>
          <c:tx>
            <c:rich>
              <a:bodyPr rot="0" vert="horz"/>
              <a:lstStyle/>
              <a:p>
                <a:pPr>
                  <a:defRPr sz="1000"/>
                </a:pPr>
                <a:r>
                  <a:rPr lang="en-AU" sz="1000"/>
                  <a:t>Equity</a:t>
                </a:r>
              </a:p>
              <a:p>
                <a:pPr>
                  <a:defRPr sz="1000"/>
                </a:pPr>
                <a:r>
                  <a:rPr lang="en-AU" sz="1000"/>
                  <a:t>risk</a:t>
                </a:r>
              </a:p>
              <a:p>
                <a:pPr>
                  <a:defRPr sz="1000"/>
                </a:pPr>
                <a:r>
                  <a:rPr lang="en-AU" sz="1000"/>
                  <a:t>premium</a:t>
                </a:r>
              </a:p>
              <a:p>
                <a:pPr>
                  <a:defRPr sz="1000"/>
                </a:pPr>
                <a:r>
                  <a:rPr lang="en-AU" sz="1000"/>
                  <a:t>(%) </a:t>
                </a:r>
              </a:p>
            </c:rich>
          </c:tx>
          <c:layout>
            <c:manualLayout>
              <c:xMode val="edge"/>
              <c:yMode val="edge"/>
              <c:x val="1.1294594887048513E-2"/>
              <c:y val="0.39664517321963932"/>
            </c:manualLayout>
          </c:layout>
          <c:overlay val="0"/>
        </c:title>
        <c:numFmt formatCode="#,##0.0" sourceLinked="0"/>
        <c:majorTickMark val="out"/>
        <c:minorTickMark val="none"/>
        <c:tickLblPos val="nextTo"/>
        <c:crossAx val="42315136"/>
        <c:crosses val="autoZero"/>
        <c:crossBetween val="between"/>
        <c:majorUnit val="1"/>
      </c:val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1FC84F-744F-4300-ABE6-D2ACACCCA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7BF9FE28</Template>
  <TotalTime>0</TotalTime>
  <Pages>62</Pages>
  <Words>16865</Words>
  <Characters>96131</Characters>
  <Application>Microsoft Office Word</Application>
  <DocSecurity>0</DocSecurity>
  <Lines>801</Lines>
  <Paragraphs>225</Paragraphs>
  <ScaleCrop>false</ScaleCrop>
  <Company/>
  <LinksUpToDate>false</LinksUpToDate>
  <CharactersWithSpaces>112771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2015-11-23T05:32:00Z</dcterms:created>
  <dcterms:modified xsi:type="dcterms:W3CDTF">2015-11-23T05:32:00Z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8432050</vt:lpwstr>
  </property>
</Properties>
</file>