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239E" w:rsidRDefault="00F8239E" w:rsidP="00F8239E">
      <w:pPr>
        <w:pStyle w:val="HeadingOrange"/>
      </w:pPr>
      <w:bookmarkStart w:id="0" w:name="_Toc396839231"/>
      <w:bookmarkStart w:id="1" w:name="_GoBack"/>
      <w:bookmarkEnd w:id="1"/>
      <w:r w:rsidRPr="00F8239E">
        <w:rPr>
          <w:noProof/>
          <w:lang w:eastAsia="en-AU"/>
        </w:rPr>
        <w:drawing>
          <wp:anchor distT="0" distB="0" distL="114300" distR="114300" simplePos="0" relativeHeight="251660288" behindDoc="1" locked="0" layoutInCell="1" allowOverlap="1" wp14:anchorId="1186198A" wp14:editId="608E8FEF">
            <wp:simplePos x="0" y="0"/>
            <wp:positionH relativeFrom="column">
              <wp:posOffset>-1014730</wp:posOffset>
            </wp:positionH>
            <wp:positionV relativeFrom="paragraph">
              <wp:posOffset>-944245</wp:posOffset>
            </wp:positionV>
            <wp:extent cx="7657465" cy="10791825"/>
            <wp:effectExtent l="0" t="0" r="0"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465" cy="10791825"/>
                    </a:xfrm>
                    <a:prstGeom prst="rect">
                      <a:avLst/>
                    </a:prstGeom>
                    <a:noFill/>
                    <a:ln w="9525">
                      <a:noFill/>
                      <a:miter lim="800000"/>
                      <a:headEnd/>
                      <a:tailEnd/>
                    </a:ln>
                  </pic:spPr>
                </pic:pic>
              </a:graphicData>
            </a:graphic>
          </wp:anchor>
        </w:drawing>
      </w:r>
      <w:r w:rsidRPr="00F8239E">
        <w:rPr>
          <w:noProof/>
          <w:lang w:eastAsia="en-AU"/>
        </w:rPr>
        <w:drawing>
          <wp:anchor distT="0" distB="0" distL="114300" distR="114300" simplePos="0" relativeHeight="251659264" behindDoc="1" locked="0" layoutInCell="1" allowOverlap="1" wp14:anchorId="5834A4A1" wp14:editId="769CA866">
            <wp:simplePos x="0" y="0"/>
            <wp:positionH relativeFrom="column">
              <wp:posOffset>8280400</wp:posOffset>
            </wp:positionH>
            <wp:positionV relativeFrom="paragraph">
              <wp:posOffset>-946150</wp:posOffset>
            </wp:positionV>
            <wp:extent cx="7635875" cy="10784205"/>
            <wp:effectExtent l="19050" t="0" r="3175" b="0"/>
            <wp:wrapNone/>
            <wp:docPr id="3" name="Picture 3" descr="AER-final-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final-orange"/>
                    <pic:cNvPicPr>
                      <a:picLocks noChangeAspect="1" noChangeArrowheads="1"/>
                    </pic:cNvPicPr>
                  </pic:nvPicPr>
                  <pic:blipFill>
                    <a:blip r:embed="rId9" cstate="print"/>
                    <a:srcRect/>
                    <a:stretch>
                      <a:fillRect/>
                    </a:stretch>
                  </pic:blipFill>
                  <pic:spPr bwMode="auto">
                    <a:xfrm>
                      <a:off x="0" y="0"/>
                      <a:ext cx="7635875" cy="10784205"/>
                    </a:xfrm>
                    <a:prstGeom prst="rect">
                      <a:avLst/>
                    </a:prstGeom>
                    <a:noFill/>
                    <a:ln w="9525">
                      <a:noFill/>
                      <a:miter lim="800000"/>
                      <a:headEnd/>
                      <a:tailEnd/>
                    </a:ln>
                  </pic:spPr>
                </pic:pic>
              </a:graphicData>
            </a:graphic>
          </wp:anchor>
        </w:drawing>
      </w:r>
    </w:p>
    <w:p w:rsidR="00F8239E" w:rsidRDefault="00F8239E" w:rsidP="00F8239E">
      <w:pPr>
        <w:pStyle w:val="AERtitle1"/>
      </w:pPr>
    </w:p>
    <w:p w:rsidR="00F8239E" w:rsidRDefault="00F8239E" w:rsidP="00F8239E">
      <w:pPr>
        <w:pStyle w:val="AERtitle1"/>
      </w:pPr>
    </w:p>
    <w:p w:rsidR="00F8239E" w:rsidRDefault="00F8239E" w:rsidP="00F8239E">
      <w:pPr>
        <w:pStyle w:val="AERtitle1"/>
      </w:pPr>
    </w:p>
    <w:p w:rsidR="00F8239E" w:rsidRDefault="00F8239E" w:rsidP="00F8239E">
      <w:pPr>
        <w:pStyle w:val="AERtitle1"/>
      </w:pPr>
    </w:p>
    <w:p w:rsidR="00F8239E" w:rsidRDefault="00F8239E" w:rsidP="00F8239E">
      <w:pPr>
        <w:pStyle w:val="AERtitle1"/>
      </w:pPr>
    </w:p>
    <w:p w:rsidR="00F8239E" w:rsidRDefault="00F8239E" w:rsidP="00F8239E">
      <w:pPr>
        <w:pStyle w:val="AERtitle1"/>
      </w:pPr>
    </w:p>
    <w:p w:rsidR="00F8239E" w:rsidRDefault="00F8239E" w:rsidP="00F8239E">
      <w:pPr>
        <w:pStyle w:val="AERtitle1"/>
      </w:pPr>
      <w:r>
        <w:t>Draft decision</w:t>
      </w:r>
    </w:p>
    <w:p w:rsidR="00F8239E" w:rsidRDefault="00F8239E" w:rsidP="00F8239E">
      <w:pPr>
        <w:pStyle w:val="AERtitle1"/>
      </w:pPr>
      <w:r>
        <w:t>Directlink transmission determination</w:t>
      </w:r>
    </w:p>
    <w:p w:rsidR="00F8239E" w:rsidRDefault="00F8239E" w:rsidP="00F8239E">
      <w:pPr>
        <w:pStyle w:val="AERtitle1"/>
      </w:pPr>
      <w:r>
        <w:t>2015-16 to 2019-20</w:t>
      </w:r>
    </w:p>
    <w:p w:rsidR="00F8239E" w:rsidRDefault="00F8239E" w:rsidP="00F8239E">
      <w:pPr>
        <w:pStyle w:val="AERtitle1"/>
      </w:pPr>
      <w:r>
        <w:t>Attachment 11: Service target performance incentive scheme</w:t>
      </w:r>
    </w:p>
    <w:p w:rsidR="00F8239E" w:rsidRDefault="00F8239E" w:rsidP="00F8239E"/>
    <w:p w:rsidR="00F8239E" w:rsidRDefault="00F8239E" w:rsidP="00F8239E"/>
    <w:p w:rsidR="00F8239E" w:rsidRPr="00F6235D" w:rsidRDefault="00F8239E" w:rsidP="00F8239E"/>
    <w:p w:rsidR="00F8239E" w:rsidRPr="00F6235D" w:rsidRDefault="00F8239E" w:rsidP="00F8239E">
      <w:pPr>
        <w:pStyle w:val="AERtitle2"/>
      </w:pPr>
      <w:r>
        <w:t>November 2014</w:t>
      </w:r>
    </w:p>
    <w:p w:rsidR="00F8239E" w:rsidRPr="00F6235D" w:rsidRDefault="00F8239E" w:rsidP="00F8239E">
      <w:r w:rsidRPr="00F6235D">
        <w:t xml:space="preserve"> </w:t>
      </w:r>
    </w:p>
    <w:p w:rsidR="00F8239E" w:rsidRPr="00EF0E19" w:rsidRDefault="00F8239E" w:rsidP="00F8239E">
      <w:pPr>
        <w:rPr>
          <w:rStyle w:val="AERtextbold"/>
        </w:rPr>
      </w:pPr>
      <w:r>
        <w:rPr>
          <w:rStyle w:val="AERtextbold"/>
        </w:rPr>
        <w:br w:type="page"/>
      </w:r>
    </w:p>
    <w:p w:rsidR="00F8239E" w:rsidRPr="00B06FB7" w:rsidRDefault="00F8239E" w:rsidP="00F8239E">
      <w:pPr>
        <w:pStyle w:val="AERbodytextnospace"/>
        <w:rPr>
          <w:rStyle w:val="AERtextbold"/>
        </w:rPr>
      </w:pPr>
      <w:r w:rsidRPr="008F1A4A">
        <w:rPr>
          <w:rStyle w:val="AERtextbold"/>
        </w:rPr>
        <w:lastRenderedPageBreak/>
        <w:t xml:space="preserve">© Commonwealth of Australia </w:t>
      </w:r>
      <w:r w:rsidRPr="00B06FB7">
        <w:rPr>
          <w:rStyle w:val="AERtextbold"/>
        </w:rPr>
        <w:t>2014</w:t>
      </w:r>
    </w:p>
    <w:p w:rsidR="00F8239E" w:rsidRPr="00B06FB7" w:rsidRDefault="00F8239E" w:rsidP="00F8239E">
      <w:r w:rsidRPr="00B06FB7">
        <w:t>This work is copyright. In addition to any use permitted under the Copyright Act 1968, all material contained within this work is provided under a Creative Commons Attribution 3.0 Australia licence, with the exception of:</w:t>
      </w:r>
    </w:p>
    <w:p w:rsidR="00F8239E" w:rsidRPr="00B06FB7" w:rsidRDefault="00F8239E" w:rsidP="00F8239E">
      <w:pPr>
        <w:pStyle w:val="AERbulletlistfirststyle"/>
      </w:pPr>
      <w:r w:rsidRPr="00B06FB7">
        <w:t>the Commonwealth Coat of Arms</w:t>
      </w:r>
    </w:p>
    <w:p w:rsidR="00F8239E" w:rsidRPr="00B06FB7" w:rsidRDefault="00F8239E" w:rsidP="00F8239E">
      <w:pPr>
        <w:pStyle w:val="AERbulletlistfirststyle"/>
      </w:pPr>
      <w:r w:rsidRPr="00B06FB7">
        <w:t>the ACCC and AER logos</w:t>
      </w:r>
    </w:p>
    <w:p w:rsidR="00F8239E" w:rsidRPr="00E750B2" w:rsidRDefault="00F8239E" w:rsidP="00F8239E">
      <w:r w:rsidRPr="00B06FB7">
        <w:t>any illustration, diagram, photograph or graphic over which the Australian Competition and Consumer Commission does not hold copyright, but which may be part of or contained within this publication.</w:t>
      </w:r>
    </w:p>
    <w:p w:rsidR="00F8239E" w:rsidRPr="00B06FB7" w:rsidRDefault="00F8239E" w:rsidP="00F8239E">
      <w:r w:rsidRPr="00B06FB7">
        <w:t>The details of the relevant licence conditions are available on the Creative Commons website, as is the full legal code for the CC BY 3.0 AU licence.</w:t>
      </w:r>
    </w:p>
    <w:p w:rsidR="00F8239E" w:rsidRPr="00B06FB7" w:rsidRDefault="00F8239E" w:rsidP="004F0D27">
      <w:pPr>
        <w:numPr>
          <w:ilvl w:val="0"/>
          <w:numId w:val="6"/>
        </w:numPr>
      </w:pPr>
      <w:r w:rsidRPr="00B06FB7">
        <w:t>Requests and inquiries concerning reproduction and rights should be addressed to the Director, Corporate Communications, ACCC, GPO Box 3131, Canberra ACT 2601, or</w:t>
      </w:r>
    </w:p>
    <w:p w:rsidR="00F8239E" w:rsidRPr="00B06FB7" w:rsidRDefault="00F8239E" w:rsidP="004F0D27">
      <w:pPr>
        <w:numPr>
          <w:ilvl w:val="0"/>
          <w:numId w:val="6"/>
        </w:numPr>
      </w:pPr>
      <w:r w:rsidRPr="00B06FB7">
        <w:t xml:space="preserve"> </w:t>
      </w:r>
      <w:hyperlink r:id="rId10" w:history="1">
        <w:r w:rsidRPr="00B06FB7">
          <w:t>publishing.unit@accc.gov.au</w:t>
        </w:r>
      </w:hyperlink>
      <w:r w:rsidRPr="00B06FB7">
        <w:t xml:space="preserve"> .</w:t>
      </w:r>
    </w:p>
    <w:p w:rsidR="00F8239E" w:rsidRDefault="00F8239E" w:rsidP="00F8239E">
      <w:r>
        <w:t>Inquiries about this document should be addressed to:</w:t>
      </w:r>
    </w:p>
    <w:p w:rsidR="00F8239E" w:rsidRDefault="00F8239E" w:rsidP="00F8239E">
      <w:pPr>
        <w:pStyle w:val="AERbodytextnospace"/>
      </w:pPr>
      <w:r>
        <w:t>Australian Energy Regulator</w:t>
      </w:r>
    </w:p>
    <w:p w:rsidR="00F8239E" w:rsidRDefault="00F8239E" w:rsidP="00F8239E">
      <w:pPr>
        <w:pStyle w:val="AERbodytextnospace"/>
      </w:pPr>
      <w:r>
        <w:t>GPO Box 520</w:t>
      </w:r>
    </w:p>
    <w:p w:rsidR="00F8239E" w:rsidRDefault="00F8239E" w:rsidP="00F8239E">
      <w:pPr>
        <w:pStyle w:val="AERbodytextnospace"/>
      </w:pPr>
      <w:r>
        <w:t>Melbourne  Vic  3001</w:t>
      </w:r>
    </w:p>
    <w:p w:rsidR="00F8239E" w:rsidRDefault="00F8239E" w:rsidP="00F8239E">
      <w:pPr>
        <w:pStyle w:val="AERbodytextnospace"/>
      </w:pPr>
      <w:r>
        <w:t>Tel: (03) 9290 1444</w:t>
      </w:r>
    </w:p>
    <w:p w:rsidR="00F8239E" w:rsidRDefault="00F8239E" w:rsidP="00F8239E">
      <w:pPr>
        <w:pStyle w:val="AERbodytextnospace"/>
      </w:pPr>
      <w:r>
        <w:t>Fax: (03) 9290 1457</w:t>
      </w:r>
    </w:p>
    <w:p w:rsidR="00F8239E" w:rsidRDefault="00F8239E" w:rsidP="00F8239E">
      <w:pPr>
        <w:pStyle w:val="AERbodytextnospace"/>
      </w:pPr>
      <w:r>
        <w:t xml:space="preserve">Email: </w:t>
      </w:r>
      <w:hyperlink r:id="rId11" w:history="1">
        <w:r w:rsidRPr="003E184A">
          <w:rPr>
            <w:rStyle w:val="Hyperlink"/>
          </w:rPr>
          <w:t>AERInquiry@aer.gov.au</w:t>
        </w:r>
      </w:hyperlink>
    </w:p>
    <w:p w:rsidR="00F8239E" w:rsidRPr="008F1A4A" w:rsidRDefault="00F8239E" w:rsidP="00F8239E"/>
    <w:p w:rsidR="00F8239E" w:rsidRDefault="00F8239E" w:rsidP="00F8239E">
      <w:r>
        <w:t>AER reference: 53446</w:t>
      </w:r>
    </w:p>
    <w:p w:rsidR="00F8239E" w:rsidRPr="00F8239E" w:rsidRDefault="00F8239E" w:rsidP="00F8239E">
      <w:r>
        <w:br w:type="page"/>
      </w:r>
    </w:p>
    <w:p w:rsidR="00F8239E" w:rsidRPr="009134B1" w:rsidRDefault="00F8239E" w:rsidP="004F0D27">
      <w:pPr>
        <w:pStyle w:val="UnnumberedHeading"/>
        <w:numPr>
          <w:ilvl w:val="0"/>
          <w:numId w:val="1"/>
        </w:numPr>
      </w:pPr>
      <w:bookmarkStart w:id="2" w:name="_Toc404153950"/>
      <w:bookmarkStart w:id="3" w:name="_Toc404155330"/>
      <w:bookmarkStart w:id="4" w:name="_Toc404191274"/>
      <w:bookmarkStart w:id="5" w:name="_Toc404277693"/>
      <w:r w:rsidRPr="009134B1">
        <w:lastRenderedPageBreak/>
        <w:t>Note</w:t>
      </w:r>
      <w:bookmarkEnd w:id="2"/>
      <w:bookmarkEnd w:id="3"/>
      <w:bookmarkEnd w:id="4"/>
      <w:bookmarkEnd w:id="5"/>
    </w:p>
    <w:p w:rsidR="00F8239E" w:rsidRPr="009134B1" w:rsidRDefault="00F8239E" w:rsidP="00F8239E">
      <w:pPr>
        <w:pStyle w:val="AERbodytext"/>
      </w:pPr>
      <w:r w:rsidRPr="009134B1">
        <w:t xml:space="preserve">This attachment forms part of the AER's draft decision on </w:t>
      </w:r>
      <w:r>
        <w:t>Directlink'</w:t>
      </w:r>
      <w:r w:rsidRPr="009134B1">
        <w:t>s revenue proposal 2015–</w:t>
      </w:r>
      <w:r>
        <w:t>20</w:t>
      </w:r>
      <w:r w:rsidRPr="009134B1">
        <w:t>. It should be read with other parts of the draft decision.</w:t>
      </w:r>
    </w:p>
    <w:p w:rsidR="00F8239E" w:rsidRPr="009134B1" w:rsidRDefault="00F8239E" w:rsidP="00F8239E">
      <w:pPr>
        <w:pStyle w:val="AERbodytext"/>
      </w:pPr>
      <w:r w:rsidRPr="009134B1">
        <w:t>The draft decision includes the following documents:</w:t>
      </w:r>
    </w:p>
    <w:p w:rsidR="00F8239E" w:rsidRPr="009134B1" w:rsidRDefault="00F8239E" w:rsidP="00F8239E">
      <w:pPr>
        <w:pStyle w:val="AERbodytext"/>
      </w:pPr>
      <w:r w:rsidRPr="009134B1">
        <w:t>Overview</w:t>
      </w:r>
    </w:p>
    <w:p w:rsidR="00F8239E" w:rsidRPr="009134B1" w:rsidRDefault="00F8239E" w:rsidP="00F8239E">
      <w:pPr>
        <w:pStyle w:val="AERbodytext"/>
      </w:pPr>
      <w:r w:rsidRPr="009134B1">
        <w:t>Attachment 1 – maximum allowed revenue</w:t>
      </w:r>
    </w:p>
    <w:p w:rsidR="00F8239E" w:rsidRPr="009134B1" w:rsidRDefault="00F8239E" w:rsidP="00F8239E">
      <w:pPr>
        <w:pStyle w:val="AERbodytext"/>
      </w:pPr>
      <w:r w:rsidRPr="009134B1">
        <w:t>Attachment 2 – regulatory asset base</w:t>
      </w:r>
    </w:p>
    <w:p w:rsidR="00F8239E" w:rsidRPr="009134B1" w:rsidRDefault="00F8239E" w:rsidP="00F8239E">
      <w:pPr>
        <w:pStyle w:val="AERbodytext"/>
      </w:pPr>
      <w:r w:rsidRPr="009134B1">
        <w:t>Attachment 3 – rate of return</w:t>
      </w:r>
    </w:p>
    <w:p w:rsidR="00F8239E" w:rsidRPr="009134B1" w:rsidRDefault="00F8239E" w:rsidP="00F8239E">
      <w:pPr>
        <w:pStyle w:val="AERbodytext"/>
      </w:pPr>
      <w:r w:rsidRPr="009134B1">
        <w:t>Attachment 4 – value of imputation credits</w:t>
      </w:r>
    </w:p>
    <w:p w:rsidR="00F8239E" w:rsidRPr="009134B1" w:rsidRDefault="00F8239E" w:rsidP="00F8239E">
      <w:pPr>
        <w:pStyle w:val="AERbodytext"/>
      </w:pPr>
      <w:r w:rsidRPr="009134B1">
        <w:t>Attachment 5 – regulatory depreciation</w:t>
      </w:r>
    </w:p>
    <w:p w:rsidR="00F8239E" w:rsidRPr="009134B1" w:rsidRDefault="00F8239E" w:rsidP="00F8239E">
      <w:pPr>
        <w:pStyle w:val="AERbodytext"/>
      </w:pPr>
      <w:r w:rsidRPr="009134B1">
        <w:t xml:space="preserve">Attachment 6 – capital expenditure </w:t>
      </w:r>
    </w:p>
    <w:p w:rsidR="00F8239E" w:rsidRPr="009134B1" w:rsidRDefault="00F8239E" w:rsidP="00F8239E">
      <w:pPr>
        <w:pStyle w:val="AERbodytext"/>
      </w:pPr>
      <w:r w:rsidRPr="009134B1">
        <w:t>Attachment 7 – operating expenditure</w:t>
      </w:r>
    </w:p>
    <w:p w:rsidR="00F8239E" w:rsidRPr="009134B1" w:rsidRDefault="00F8239E" w:rsidP="00F8239E">
      <w:pPr>
        <w:pStyle w:val="AERbodytext"/>
      </w:pPr>
      <w:r w:rsidRPr="009134B1">
        <w:t>Attachment 8 – corporate income tax</w:t>
      </w:r>
    </w:p>
    <w:p w:rsidR="00F8239E" w:rsidRPr="009134B1" w:rsidRDefault="00F8239E" w:rsidP="00F8239E">
      <w:pPr>
        <w:pStyle w:val="AERbodytext"/>
      </w:pPr>
      <w:r w:rsidRPr="009134B1">
        <w:t>Attachment 9 – efficiency benefit sharing scheme</w:t>
      </w:r>
    </w:p>
    <w:p w:rsidR="00F8239E" w:rsidRPr="009134B1" w:rsidRDefault="00F8239E" w:rsidP="00F8239E">
      <w:pPr>
        <w:pStyle w:val="AERbodytext"/>
      </w:pPr>
      <w:r w:rsidRPr="009134B1">
        <w:t>Attachment 10 – capital expenditure sharing scheme</w:t>
      </w:r>
    </w:p>
    <w:p w:rsidR="00F8239E" w:rsidRPr="009134B1" w:rsidRDefault="00F8239E" w:rsidP="00F8239E">
      <w:pPr>
        <w:pStyle w:val="AERbodytext"/>
      </w:pPr>
      <w:r w:rsidRPr="009134B1">
        <w:t>Attachment 11 – service target performance incentive scheme</w:t>
      </w:r>
    </w:p>
    <w:p w:rsidR="00F8239E" w:rsidRPr="009134B1" w:rsidRDefault="00F8239E" w:rsidP="00F8239E">
      <w:pPr>
        <w:pStyle w:val="AERbodytext"/>
      </w:pPr>
      <w:r w:rsidRPr="009134B1">
        <w:t>Attachment 12 – pricing methodology</w:t>
      </w:r>
      <w:r>
        <w:t xml:space="preserve"> and negotiated services</w:t>
      </w:r>
    </w:p>
    <w:p w:rsidR="00F8239E" w:rsidRPr="009134B1" w:rsidRDefault="00F8239E" w:rsidP="00F8239E">
      <w:pPr>
        <w:pStyle w:val="AERbodytext"/>
      </w:pPr>
      <w:r w:rsidRPr="009134B1">
        <w:t>Attachment 13 – pass through events</w:t>
      </w:r>
    </w:p>
    <w:p w:rsidR="00F8239E" w:rsidRDefault="00F8239E" w:rsidP="00F8239E"/>
    <w:p w:rsidR="00F8239E" w:rsidRDefault="00F8239E" w:rsidP="004F0D27">
      <w:pPr>
        <w:pStyle w:val="UnnumberedHeading"/>
        <w:numPr>
          <w:ilvl w:val="0"/>
          <w:numId w:val="1"/>
        </w:numPr>
      </w:pPr>
      <w:bookmarkStart w:id="6" w:name="_Toc404277694"/>
      <w:r>
        <w:lastRenderedPageBreak/>
        <w:t>Contents</w:t>
      </w:r>
      <w:bookmarkEnd w:id="6"/>
    </w:p>
    <w:sdt>
      <w:sdtPr>
        <w:rPr>
          <w:rFonts w:ascii="Gautami" w:eastAsia="Calibri" w:hAnsi="Gautami"/>
          <w:b w:val="0"/>
          <w:bCs w:val="0"/>
          <w:color w:val="auto"/>
          <w:sz w:val="20"/>
          <w:szCs w:val="20"/>
          <w:lang w:val="en-AU"/>
        </w:rPr>
        <w:id w:val="1247461416"/>
        <w:docPartObj>
          <w:docPartGallery w:val="Table of Contents"/>
          <w:docPartUnique/>
        </w:docPartObj>
      </w:sdtPr>
      <w:sdtEndPr/>
      <w:sdtContent>
        <w:p w:rsidR="00F8239E" w:rsidRPr="00F0258A" w:rsidRDefault="00F8239E" w:rsidP="00F8239E">
          <w:pPr>
            <w:pStyle w:val="TOCHeading"/>
          </w:pPr>
        </w:p>
        <w:p w:rsidR="00D2559E" w:rsidRDefault="00F8239E">
          <w:pPr>
            <w:pStyle w:val="TOC1"/>
            <w:tabs>
              <w:tab w:val="right" w:leader="dot" w:pos="9016"/>
            </w:tabs>
            <w:rPr>
              <w:rFonts w:asciiTheme="minorHAnsi" w:eastAsiaTheme="minorEastAsia" w:hAnsiTheme="minorHAnsi" w:cstheme="minorBidi"/>
              <w:b w:val="0"/>
              <w:bCs w:val="0"/>
              <w:noProof/>
              <w:sz w:val="22"/>
              <w:szCs w:val="22"/>
              <w:lang w:eastAsia="en-AU"/>
            </w:rPr>
          </w:pPr>
          <w:r w:rsidRPr="00F0258A">
            <w:fldChar w:fldCharType="begin"/>
          </w:r>
          <w:r w:rsidRPr="00F8239E">
            <w:instrText xml:space="preserve"> TOC \o "1-3" \h \z \u </w:instrText>
          </w:r>
          <w:r w:rsidRPr="00F0258A">
            <w:fldChar w:fldCharType="separate"/>
          </w:r>
          <w:hyperlink w:anchor="_Toc404277693" w:history="1">
            <w:r w:rsidR="00D2559E" w:rsidRPr="001A7D0F">
              <w:rPr>
                <w:rStyle w:val="Hyperlink"/>
                <w:noProof/>
              </w:rPr>
              <w:t>Note</w:t>
            </w:r>
            <w:r w:rsidR="00D2559E">
              <w:rPr>
                <w:noProof/>
                <w:webHidden/>
              </w:rPr>
              <w:tab/>
            </w:r>
            <w:r w:rsidR="00D2559E">
              <w:rPr>
                <w:noProof/>
                <w:webHidden/>
              </w:rPr>
              <w:fldChar w:fldCharType="begin"/>
            </w:r>
            <w:r w:rsidR="00D2559E">
              <w:rPr>
                <w:noProof/>
                <w:webHidden/>
              </w:rPr>
              <w:instrText xml:space="preserve"> PAGEREF _Toc404277693 \h </w:instrText>
            </w:r>
            <w:r w:rsidR="00D2559E">
              <w:rPr>
                <w:noProof/>
                <w:webHidden/>
              </w:rPr>
            </w:r>
            <w:r w:rsidR="00D2559E">
              <w:rPr>
                <w:noProof/>
                <w:webHidden/>
              </w:rPr>
              <w:fldChar w:fldCharType="separate"/>
            </w:r>
            <w:r w:rsidR="00D2559E">
              <w:rPr>
                <w:noProof/>
                <w:webHidden/>
              </w:rPr>
              <w:t>11-3</w:t>
            </w:r>
            <w:r w:rsidR="00D2559E">
              <w:rPr>
                <w:noProof/>
                <w:webHidden/>
              </w:rPr>
              <w:fldChar w:fldCharType="end"/>
            </w:r>
          </w:hyperlink>
        </w:p>
        <w:p w:rsidR="00D2559E" w:rsidRDefault="00CD5DB7">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277694" w:history="1">
            <w:r w:rsidR="00D2559E" w:rsidRPr="001A7D0F">
              <w:rPr>
                <w:rStyle w:val="Hyperlink"/>
                <w:noProof/>
              </w:rPr>
              <w:t>Contents</w:t>
            </w:r>
            <w:r w:rsidR="00D2559E">
              <w:rPr>
                <w:noProof/>
                <w:webHidden/>
              </w:rPr>
              <w:tab/>
            </w:r>
            <w:r w:rsidR="00D2559E">
              <w:rPr>
                <w:noProof/>
                <w:webHidden/>
              </w:rPr>
              <w:fldChar w:fldCharType="begin"/>
            </w:r>
            <w:r w:rsidR="00D2559E">
              <w:rPr>
                <w:noProof/>
                <w:webHidden/>
              </w:rPr>
              <w:instrText xml:space="preserve"> PAGEREF _Toc404277694 \h </w:instrText>
            </w:r>
            <w:r w:rsidR="00D2559E">
              <w:rPr>
                <w:noProof/>
                <w:webHidden/>
              </w:rPr>
            </w:r>
            <w:r w:rsidR="00D2559E">
              <w:rPr>
                <w:noProof/>
                <w:webHidden/>
              </w:rPr>
              <w:fldChar w:fldCharType="separate"/>
            </w:r>
            <w:r w:rsidR="00D2559E">
              <w:rPr>
                <w:noProof/>
                <w:webHidden/>
              </w:rPr>
              <w:t>11-4</w:t>
            </w:r>
            <w:r w:rsidR="00D2559E">
              <w:rPr>
                <w:noProof/>
                <w:webHidden/>
              </w:rPr>
              <w:fldChar w:fldCharType="end"/>
            </w:r>
          </w:hyperlink>
        </w:p>
        <w:p w:rsidR="00D2559E" w:rsidRDefault="00CD5DB7">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277695" w:history="1">
            <w:r w:rsidR="00D2559E" w:rsidRPr="001A7D0F">
              <w:rPr>
                <w:rStyle w:val="Hyperlink"/>
                <w:noProof/>
              </w:rPr>
              <w:t>Shortened forms</w:t>
            </w:r>
            <w:r w:rsidR="00D2559E">
              <w:rPr>
                <w:noProof/>
                <w:webHidden/>
              </w:rPr>
              <w:tab/>
            </w:r>
            <w:r w:rsidR="00D2559E">
              <w:rPr>
                <w:noProof/>
                <w:webHidden/>
              </w:rPr>
              <w:fldChar w:fldCharType="begin"/>
            </w:r>
            <w:r w:rsidR="00D2559E">
              <w:rPr>
                <w:noProof/>
                <w:webHidden/>
              </w:rPr>
              <w:instrText xml:space="preserve"> PAGEREF _Toc404277695 \h </w:instrText>
            </w:r>
            <w:r w:rsidR="00D2559E">
              <w:rPr>
                <w:noProof/>
                <w:webHidden/>
              </w:rPr>
            </w:r>
            <w:r w:rsidR="00D2559E">
              <w:rPr>
                <w:noProof/>
                <w:webHidden/>
              </w:rPr>
              <w:fldChar w:fldCharType="separate"/>
            </w:r>
            <w:r w:rsidR="00D2559E">
              <w:rPr>
                <w:noProof/>
                <w:webHidden/>
              </w:rPr>
              <w:t>11-5</w:t>
            </w:r>
            <w:r w:rsidR="00D2559E">
              <w:rPr>
                <w:noProof/>
                <w:webHidden/>
              </w:rPr>
              <w:fldChar w:fldCharType="end"/>
            </w:r>
          </w:hyperlink>
        </w:p>
        <w:p w:rsidR="00D2559E" w:rsidRDefault="00CD5DB7">
          <w:pPr>
            <w:pStyle w:val="TOC1"/>
            <w:tabs>
              <w:tab w:val="left" w:pos="600"/>
              <w:tab w:val="right" w:leader="dot" w:pos="9016"/>
            </w:tabs>
            <w:rPr>
              <w:rFonts w:asciiTheme="minorHAnsi" w:eastAsiaTheme="minorEastAsia" w:hAnsiTheme="minorHAnsi" w:cstheme="minorBidi"/>
              <w:b w:val="0"/>
              <w:bCs w:val="0"/>
              <w:noProof/>
              <w:sz w:val="22"/>
              <w:szCs w:val="22"/>
              <w:lang w:eastAsia="en-AU"/>
            </w:rPr>
          </w:pPr>
          <w:hyperlink w:anchor="_Toc404277696" w:history="1">
            <w:r w:rsidR="00D2559E" w:rsidRPr="001A7D0F">
              <w:rPr>
                <w:rStyle w:val="Hyperlink"/>
                <w:noProof/>
              </w:rPr>
              <w:t>11</w:t>
            </w:r>
            <w:r w:rsidR="00D2559E">
              <w:rPr>
                <w:rFonts w:asciiTheme="minorHAnsi" w:eastAsiaTheme="minorEastAsia" w:hAnsiTheme="minorHAnsi" w:cstheme="minorBidi"/>
                <w:b w:val="0"/>
                <w:bCs w:val="0"/>
                <w:noProof/>
                <w:sz w:val="22"/>
                <w:szCs w:val="22"/>
                <w:lang w:eastAsia="en-AU"/>
              </w:rPr>
              <w:tab/>
            </w:r>
            <w:r w:rsidR="00D2559E" w:rsidRPr="001A7D0F">
              <w:rPr>
                <w:rStyle w:val="Hyperlink"/>
                <w:noProof/>
              </w:rPr>
              <w:t>Service target performance incentive scheme (STPIS)</w:t>
            </w:r>
            <w:r w:rsidR="00D2559E">
              <w:rPr>
                <w:noProof/>
                <w:webHidden/>
              </w:rPr>
              <w:tab/>
            </w:r>
            <w:r w:rsidR="00D2559E">
              <w:rPr>
                <w:noProof/>
                <w:webHidden/>
              </w:rPr>
              <w:fldChar w:fldCharType="begin"/>
            </w:r>
            <w:r w:rsidR="00D2559E">
              <w:rPr>
                <w:noProof/>
                <w:webHidden/>
              </w:rPr>
              <w:instrText xml:space="preserve"> PAGEREF _Toc404277696 \h </w:instrText>
            </w:r>
            <w:r w:rsidR="00D2559E">
              <w:rPr>
                <w:noProof/>
                <w:webHidden/>
              </w:rPr>
            </w:r>
            <w:r w:rsidR="00D2559E">
              <w:rPr>
                <w:noProof/>
                <w:webHidden/>
              </w:rPr>
              <w:fldChar w:fldCharType="separate"/>
            </w:r>
            <w:r w:rsidR="00D2559E">
              <w:rPr>
                <w:noProof/>
                <w:webHidden/>
              </w:rPr>
              <w:t>11-7</w:t>
            </w:r>
            <w:r w:rsidR="00D2559E">
              <w:rPr>
                <w:noProof/>
                <w:webHidden/>
              </w:rPr>
              <w:fldChar w:fldCharType="end"/>
            </w:r>
          </w:hyperlink>
        </w:p>
        <w:p w:rsidR="00D2559E" w:rsidRDefault="00CD5DB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277697" w:history="1">
            <w:r w:rsidR="00D2559E" w:rsidRPr="001A7D0F">
              <w:rPr>
                <w:rStyle w:val="Hyperlink"/>
                <w:noProof/>
              </w:rPr>
              <w:t>11.1</w:t>
            </w:r>
            <w:r w:rsidR="00D2559E">
              <w:rPr>
                <w:rFonts w:asciiTheme="minorHAnsi" w:eastAsiaTheme="minorEastAsia" w:hAnsiTheme="minorHAnsi" w:cstheme="minorBidi"/>
                <w:iCs w:val="0"/>
                <w:noProof/>
                <w:sz w:val="22"/>
                <w:szCs w:val="22"/>
                <w:lang w:eastAsia="en-AU"/>
              </w:rPr>
              <w:tab/>
            </w:r>
            <w:r w:rsidR="00D2559E" w:rsidRPr="001A7D0F">
              <w:rPr>
                <w:rStyle w:val="Hyperlink"/>
                <w:noProof/>
              </w:rPr>
              <w:t>Draft decision</w:t>
            </w:r>
            <w:r w:rsidR="00D2559E">
              <w:rPr>
                <w:noProof/>
                <w:webHidden/>
              </w:rPr>
              <w:tab/>
            </w:r>
            <w:r w:rsidR="00D2559E">
              <w:rPr>
                <w:noProof/>
                <w:webHidden/>
              </w:rPr>
              <w:fldChar w:fldCharType="begin"/>
            </w:r>
            <w:r w:rsidR="00D2559E">
              <w:rPr>
                <w:noProof/>
                <w:webHidden/>
              </w:rPr>
              <w:instrText xml:space="preserve"> PAGEREF _Toc404277697 \h </w:instrText>
            </w:r>
            <w:r w:rsidR="00D2559E">
              <w:rPr>
                <w:noProof/>
                <w:webHidden/>
              </w:rPr>
            </w:r>
            <w:r w:rsidR="00D2559E">
              <w:rPr>
                <w:noProof/>
                <w:webHidden/>
              </w:rPr>
              <w:fldChar w:fldCharType="separate"/>
            </w:r>
            <w:r w:rsidR="00D2559E">
              <w:rPr>
                <w:noProof/>
                <w:webHidden/>
              </w:rPr>
              <w:t>11-8</w:t>
            </w:r>
            <w:r w:rsidR="00D2559E">
              <w:rPr>
                <w:noProof/>
                <w:webHidden/>
              </w:rPr>
              <w:fldChar w:fldCharType="end"/>
            </w:r>
          </w:hyperlink>
        </w:p>
        <w:p w:rsidR="00D2559E" w:rsidRDefault="00CD5DB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277698" w:history="1">
            <w:r w:rsidR="00D2559E" w:rsidRPr="001A7D0F">
              <w:rPr>
                <w:rStyle w:val="Hyperlink"/>
                <w:noProof/>
              </w:rPr>
              <w:t>11.2</w:t>
            </w:r>
            <w:r w:rsidR="00D2559E">
              <w:rPr>
                <w:rFonts w:asciiTheme="minorHAnsi" w:eastAsiaTheme="minorEastAsia" w:hAnsiTheme="minorHAnsi" w:cstheme="minorBidi"/>
                <w:iCs w:val="0"/>
                <w:noProof/>
                <w:sz w:val="22"/>
                <w:szCs w:val="22"/>
                <w:lang w:eastAsia="en-AU"/>
              </w:rPr>
              <w:tab/>
            </w:r>
            <w:r w:rsidR="00D2559E" w:rsidRPr="001A7D0F">
              <w:rPr>
                <w:rStyle w:val="Hyperlink"/>
                <w:noProof/>
              </w:rPr>
              <w:t>Directlink's proposal</w:t>
            </w:r>
            <w:r w:rsidR="00D2559E">
              <w:rPr>
                <w:noProof/>
                <w:webHidden/>
              </w:rPr>
              <w:tab/>
            </w:r>
            <w:r w:rsidR="00D2559E">
              <w:rPr>
                <w:noProof/>
                <w:webHidden/>
              </w:rPr>
              <w:fldChar w:fldCharType="begin"/>
            </w:r>
            <w:r w:rsidR="00D2559E">
              <w:rPr>
                <w:noProof/>
                <w:webHidden/>
              </w:rPr>
              <w:instrText xml:space="preserve"> PAGEREF _Toc404277698 \h </w:instrText>
            </w:r>
            <w:r w:rsidR="00D2559E">
              <w:rPr>
                <w:noProof/>
                <w:webHidden/>
              </w:rPr>
            </w:r>
            <w:r w:rsidR="00D2559E">
              <w:rPr>
                <w:noProof/>
                <w:webHidden/>
              </w:rPr>
              <w:fldChar w:fldCharType="separate"/>
            </w:r>
            <w:r w:rsidR="00D2559E">
              <w:rPr>
                <w:noProof/>
                <w:webHidden/>
              </w:rPr>
              <w:t>11-9</w:t>
            </w:r>
            <w:r w:rsidR="00D2559E">
              <w:rPr>
                <w:noProof/>
                <w:webHidden/>
              </w:rPr>
              <w:fldChar w:fldCharType="end"/>
            </w:r>
          </w:hyperlink>
        </w:p>
        <w:p w:rsidR="00D2559E" w:rsidRDefault="00CD5DB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277699" w:history="1">
            <w:r w:rsidR="00D2559E" w:rsidRPr="001A7D0F">
              <w:rPr>
                <w:rStyle w:val="Hyperlink"/>
                <w:noProof/>
              </w:rPr>
              <w:t>11.3</w:t>
            </w:r>
            <w:r w:rsidR="00D2559E">
              <w:rPr>
                <w:rFonts w:asciiTheme="minorHAnsi" w:eastAsiaTheme="minorEastAsia" w:hAnsiTheme="minorHAnsi" w:cstheme="minorBidi"/>
                <w:iCs w:val="0"/>
                <w:noProof/>
                <w:sz w:val="22"/>
                <w:szCs w:val="22"/>
                <w:lang w:eastAsia="en-AU"/>
              </w:rPr>
              <w:tab/>
            </w:r>
            <w:r w:rsidR="00D2559E" w:rsidRPr="001A7D0F">
              <w:rPr>
                <w:rStyle w:val="Hyperlink"/>
                <w:noProof/>
              </w:rPr>
              <w:t>AER's assessment approach</w:t>
            </w:r>
            <w:r w:rsidR="00D2559E">
              <w:rPr>
                <w:noProof/>
                <w:webHidden/>
              </w:rPr>
              <w:tab/>
            </w:r>
            <w:r w:rsidR="00D2559E">
              <w:rPr>
                <w:noProof/>
                <w:webHidden/>
              </w:rPr>
              <w:fldChar w:fldCharType="begin"/>
            </w:r>
            <w:r w:rsidR="00D2559E">
              <w:rPr>
                <w:noProof/>
                <w:webHidden/>
              </w:rPr>
              <w:instrText xml:space="preserve"> PAGEREF _Toc404277699 \h </w:instrText>
            </w:r>
            <w:r w:rsidR="00D2559E">
              <w:rPr>
                <w:noProof/>
                <w:webHidden/>
              </w:rPr>
            </w:r>
            <w:r w:rsidR="00D2559E">
              <w:rPr>
                <w:noProof/>
                <w:webHidden/>
              </w:rPr>
              <w:fldChar w:fldCharType="separate"/>
            </w:r>
            <w:r w:rsidR="00D2559E">
              <w:rPr>
                <w:noProof/>
                <w:webHidden/>
              </w:rPr>
              <w:t>11-10</w:t>
            </w:r>
            <w:r w:rsidR="00D2559E">
              <w:rPr>
                <w:noProof/>
                <w:webHidden/>
              </w:rPr>
              <w:fldChar w:fldCharType="end"/>
            </w:r>
          </w:hyperlink>
        </w:p>
        <w:p w:rsidR="00D2559E" w:rsidRDefault="00CD5DB7">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277700" w:history="1">
            <w:r w:rsidR="00D2559E" w:rsidRPr="001A7D0F">
              <w:rPr>
                <w:rStyle w:val="Hyperlink"/>
                <w:noProof/>
              </w:rPr>
              <w:t>11.3.1</w:t>
            </w:r>
            <w:r w:rsidR="00D2559E">
              <w:rPr>
                <w:rFonts w:asciiTheme="minorHAnsi" w:eastAsiaTheme="minorEastAsia" w:hAnsiTheme="minorHAnsi" w:cstheme="minorBidi"/>
                <w:noProof/>
                <w:sz w:val="22"/>
                <w:szCs w:val="22"/>
                <w:lang w:eastAsia="en-AU"/>
              </w:rPr>
              <w:tab/>
            </w:r>
            <w:r w:rsidR="00D2559E" w:rsidRPr="001A7D0F">
              <w:rPr>
                <w:rStyle w:val="Hyperlink"/>
                <w:noProof/>
              </w:rPr>
              <w:t>Interrelationships</w:t>
            </w:r>
            <w:r w:rsidR="00D2559E">
              <w:rPr>
                <w:noProof/>
                <w:webHidden/>
              </w:rPr>
              <w:tab/>
            </w:r>
            <w:r w:rsidR="00D2559E">
              <w:rPr>
                <w:noProof/>
                <w:webHidden/>
              </w:rPr>
              <w:fldChar w:fldCharType="begin"/>
            </w:r>
            <w:r w:rsidR="00D2559E">
              <w:rPr>
                <w:noProof/>
                <w:webHidden/>
              </w:rPr>
              <w:instrText xml:space="preserve"> PAGEREF _Toc404277700 \h </w:instrText>
            </w:r>
            <w:r w:rsidR="00D2559E">
              <w:rPr>
                <w:noProof/>
                <w:webHidden/>
              </w:rPr>
            </w:r>
            <w:r w:rsidR="00D2559E">
              <w:rPr>
                <w:noProof/>
                <w:webHidden/>
              </w:rPr>
              <w:fldChar w:fldCharType="separate"/>
            </w:r>
            <w:r w:rsidR="00D2559E">
              <w:rPr>
                <w:noProof/>
                <w:webHidden/>
              </w:rPr>
              <w:t>11-11</w:t>
            </w:r>
            <w:r w:rsidR="00D2559E">
              <w:rPr>
                <w:noProof/>
                <w:webHidden/>
              </w:rPr>
              <w:fldChar w:fldCharType="end"/>
            </w:r>
          </w:hyperlink>
        </w:p>
        <w:p w:rsidR="00D2559E" w:rsidRDefault="00CD5DB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277701" w:history="1">
            <w:r w:rsidR="00D2559E" w:rsidRPr="001A7D0F">
              <w:rPr>
                <w:rStyle w:val="Hyperlink"/>
                <w:noProof/>
              </w:rPr>
              <w:t>11.4</w:t>
            </w:r>
            <w:r w:rsidR="00D2559E">
              <w:rPr>
                <w:rFonts w:asciiTheme="minorHAnsi" w:eastAsiaTheme="minorEastAsia" w:hAnsiTheme="minorHAnsi" w:cstheme="minorBidi"/>
                <w:iCs w:val="0"/>
                <w:noProof/>
                <w:sz w:val="22"/>
                <w:szCs w:val="22"/>
                <w:lang w:eastAsia="en-AU"/>
              </w:rPr>
              <w:tab/>
            </w:r>
            <w:r w:rsidR="00D2559E" w:rsidRPr="001A7D0F">
              <w:rPr>
                <w:rStyle w:val="Hyperlink"/>
                <w:noProof/>
              </w:rPr>
              <w:t>Reasons for draft decision</w:t>
            </w:r>
            <w:r w:rsidR="00D2559E">
              <w:rPr>
                <w:noProof/>
                <w:webHidden/>
              </w:rPr>
              <w:tab/>
            </w:r>
            <w:r w:rsidR="00D2559E">
              <w:rPr>
                <w:noProof/>
                <w:webHidden/>
              </w:rPr>
              <w:fldChar w:fldCharType="begin"/>
            </w:r>
            <w:r w:rsidR="00D2559E">
              <w:rPr>
                <w:noProof/>
                <w:webHidden/>
              </w:rPr>
              <w:instrText xml:space="preserve"> PAGEREF _Toc404277701 \h </w:instrText>
            </w:r>
            <w:r w:rsidR="00D2559E">
              <w:rPr>
                <w:noProof/>
                <w:webHidden/>
              </w:rPr>
            </w:r>
            <w:r w:rsidR="00D2559E">
              <w:rPr>
                <w:noProof/>
                <w:webHidden/>
              </w:rPr>
              <w:fldChar w:fldCharType="separate"/>
            </w:r>
            <w:r w:rsidR="00D2559E">
              <w:rPr>
                <w:noProof/>
                <w:webHidden/>
              </w:rPr>
              <w:t>11-12</w:t>
            </w:r>
            <w:r w:rsidR="00D2559E">
              <w:rPr>
                <w:noProof/>
                <w:webHidden/>
              </w:rPr>
              <w:fldChar w:fldCharType="end"/>
            </w:r>
          </w:hyperlink>
        </w:p>
        <w:p w:rsidR="00F8239E" w:rsidRPr="00F0258A" w:rsidRDefault="00F8239E" w:rsidP="00F8239E">
          <w:r w:rsidRPr="00F0258A">
            <w:fldChar w:fldCharType="end"/>
          </w:r>
        </w:p>
      </w:sdtContent>
    </w:sdt>
    <w:p w:rsidR="00F8239E" w:rsidRDefault="00F8239E" w:rsidP="004F0D27">
      <w:pPr>
        <w:pStyle w:val="UnnumberedHeading"/>
        <w:numPr>
          <w:ilvl w:val="0"/>
          <w:numId w:val="1"/>
        </w:numPr>
      </w:pPr>
      <w:bookmarkStart w:id="7" w:name="_Toc404277695"/>
      <w:r>
        <w:lastRenderedPageBreak/>
        <w:t>Shortened forms</w:t>
      </w:r>
      <w:bookmarkEnd w:id="7"/>
    </w:p>
    <w:tbl>
      <w:tblPr>
        <w:tblStyle w:val="AERtable-numbers"/>
        <w:tblW w:w="0" w:type="auto"/>
        <w:tblLook w:val="04A0" w:firstRow="1" w:lastRow="0" w:firstColumn="1" w:lastColumn="0" w:noHBand="0" w:noVBand="1"/>
      </w:tblPr>
      <w:tblGrid>
        <w:gridCol w:w="4621"/>
        <w:gridCol w:w="4621"/>
      </w:tblGrid>
      <w:tr w:rsidR="00F8239E" w:rsidRPr="00307E24" w:rsidTr="00DD19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Shortened form</w:t>
            </w:r>
          </w:p>
        </w:tc>
        <w:tc>
          <w:tcPr>
            <w:tcW w:w="4621" w:type="dxa"/>
          </w:tcPr>
          <w:p w:rsidR="00F8239E" w:rsidRPr="00307E24" w:rsidRDefault="00F8239E" w:rsidP="004F0D27">
            <w:pPr>
              <w:numPr>
                <w:ilvl w:val="0"/>
                <w:numId w:val="6"/>
              </w:numPr>
              <w:cnfStyle w:val="100000000000" w:firstRow="1" w:lastRow="0" w:firstColumn="0" w:lastColumn="0" w:oddVBand="0" w:evenVBand="0" w:oddHBand="0" w:evenHBand="0" w:firstRowFirstColumn="0" w:firstRowLastColumn="0" w:lastRowFirstColumn="0" w:lastRowLastColumn="0"/>
            </w:pPr>
            <w:r w:rsidRPr="00307E24">
              <w:t>Extended form</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AARR</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aggregate annual revenue requirement</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AEMC</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Australian Energy Market Commission</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AEMO</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Australian Energy Market Operator</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AER</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Australian Energy Regulator</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ASRR</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aggregate service revenue requirement</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augex</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augmentation expenditure</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capex</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capital expenditure</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CCP</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Consumer Challenge Panel</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CESS</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capital expenditure sharing scheme</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CPI</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consumer price index</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DRP</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debt risk premium</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EBSS</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efficiency benefit sharing scheme</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ERP</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equity risk premium</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MAR</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maximum allowed revenue</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MRP</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market risk premium</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NEL</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national electricity law</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NEM</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national electricity market</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NEO</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national electricity objective</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NER</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national electricity rules</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NSP</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network service provider</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NTSC</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negotiated transmission service criteria</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lastRenderedPageBreak/>
              <w:t>opex</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operating expenditure</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PPI</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partial performance indicators</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PTRM</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post-tax revenue model</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RAB</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regulatory asset base</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RBA</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Reserve Bank of Australia</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repex</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replacement expenditure</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RFM</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roll forward model</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RIN</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regulatory information notice</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RPP</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revenue pricing principles</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SLCAPM</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Sharpe-Lintner capital asset pricing model</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STPIS</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service target performance incentive scheme</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TNSP</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transmission network service provider</w:t>
            </w:r>
          </w:p>
        </w:tc>
      </w:tr>
      <w:tr w:rsidR="00F8239E" w:rsidRPr="00307E24" w:rsidTr="00F823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TUoS</w:t>
            </w:r>
          </w:p>
        </w:tc>
        <w:tc>
          <w:tcPr>
            <w:tcW w:w="4621" w:type="dxa"/>
          </w:tcPr>
          <w:p w:rsidR="00F8239E" w:rsidRPr="00307E24" w:rsidRDefault="00F8239E" w:rsidP="004F0D27">
            <w:pPr>
              <w:numPr>
                <w:ilvl w:val="0"/>
                <w:numId w:val="6"/>
              </w:numPr>
              <w:cnfStyle w:val="000000010000" w:firstRow="0" w:lastRow="0" w:firstColumn="0" w:lastColumn="0" w:oddVBand="0" w:evenVBand="0" w:oddHBand="0" w:evenHBand="1" w:firstRowFirstColumn="0" w:firstRowLastColumn="0" w:lastRowFirstColumn="0" w:lastRowLastColumn="0"/>
            </w:pPr>
            <w:r w:rsidRPr="00307E24">
              <w:t>transmission use of system</w:t>
            </w:r>
          </w:p>
        </w:tc>
      </w:tr>
      <w:tr w:rsidR="00F8239E" w:rsidRPr="00307E24" w:rsidTr="00F8239E">
        <w:tc>
          <w:tcPr>
            <w:cnfStyle w:val="001000000000" w:firstRow="0" w:lastRow="0" w:firstColumn="1" w:lastColumn="0" w:oddVBand="0" w:evenVBand="0" w:oddHBand="0" w:evenHBand="0" w:firstRowFirstColumn="0" w:firstRowLastColumn="0" w:lastRowFirstColumn="0" w:lastRowLastColumn="0"/>
            <w:tcW w:w="4621" w:type="dxa"/>
          </w:tcPr>
          <w:p w:rsidR="00F8239E" w:rsidRPr="00307E24" w:rsidRDefault="00F8239E" w:rsidP="004F0D27">
            <w:pPr>
              <w:numPr>
                <w:ilvl w:val="0"/>
                <w:numId w:val="6"/>
              </w:numPr>
            </w:pPr>
            <w:r w:rsidRPr="00307E24">
              <w:t>WACC</w:t>
            </w:r>
          </w:p>
        </w:tc>
        <w:tc>
          <w:tcPr>
            <w:tcW w:w="4621" w:type="dxa"/>
          </w:tcPr>
          <w:p w:rsidR="00F8239E" w:rsidRPr="00307E24" w:rsidRDefault="00F8239E" w:rsidP="004F0D27">
            <w:pPr>
              <w:numPr>
                <w:ilvl w:val="0"/>
                <w:numId w:val="6"/>
              </w:numPr>
              <w:cnfStyle w:val="000000000000" w:firstRow="0" w:lastRow="0" w:firstColumn="0" w:lastColumn="0" w:oddVBand="0" w:evenVBand="0" w:oddHBand="0" w:evenHBand="0" w:firstRowFirstColumn="0" w:firstRowLastColumn="0" w:lastRowFirstColumn="0" w:lastRowLastColumn="0"/>
            </w:pPr>
            <w:r w:rsidRPr="00307E24">
              <w:t>weighted average cost of capital</w:t>
            </w:r>
          </w:p>
        </w:tc>
      </w:tr>
    </w:tbl>
    <w:p w:rsidR="00F8239E" w:rsidRDefault="00F8239E" w:rsidP="00F8239E">
      <w:pPr>
        <w:pStyle w:val="AERbodytext"/>
      </w:pPr>
    </w:p>
    <w:p w:rsidR="00F8239E" w:rsidRDefault="00F8239E">
      <w:pPr>
        <w:spacing w:after="0" w:line="240" w:lineRule="auto"/>
        <w:jc w:val="left"/>
        <w:rPr>
          <w:rFonts w:eastAsia="Times New Roman"/>
          <w:b/>
          <w:bCs/>
          <w:color w:val="E36C0A"/>
          <w:sz w:val="36"/>
          <w:szCs w:val="28"/>
        </w:rPr>
      </w:pPr>
      <w:r>
        <w:br w:type="page"/>
      </w:r>
    </w:p>
    <w:p w:rsidR="00BE35A6" w:rsidRDefault="00BE35A6" w:rsidP="00F8239E">
      <w:pPr>
        <w:pStyle w:val="Heading1"/>
      </w:pPr>
      <w:bookmarkStart w:id="8" w:name="_Toc404277696"/>
      <w:r>
        <w:lastRenderedPageBreak/>
        <w:t>Service target performance incentive scheme</w:t>
      </w:r>
      <w:bookmarkEnd w:id="0"/>
      <w:r w:rsidR="00977589">
        <w:t xml:space="preserve"> (STPIS)</w:t>
      </w:r>
      <w:bookmarkEnd w:id="8"/>
    </w:p>
    <w:p w:rsidR="00DD0CB4" w:rsidRPr="00DD0CB4" w:rsidRDefault="00DD0CB4" w:rsidP="00DD0CB4">
      <w:pPr>
        <w:pStyle w:val="AERbodytext"/>
      </w:pPr>
      <w:r w:rsidRPr="00DD0CB4">
        <w:t xml:space="preserve">The service target performance incentive scheme (STPIS) provides a financial incentive to TNSPs to maintain and improve service performance. The STPIS aims to safeguard service quality for customers that may otherwise be affected as TNSPs seek out cost efficiencies at the expense of service quality. </w:t>
      </w:r>
    </w:p>
    <w:p w:rsidR="003441E0" w:rsidRPr="003441E0" w:rsidRDefault="003441E0" w:rsidP="003441E0">
      <w:pPr>
        <w:pStyle w:val="AERbodytext"/>
      </w:pPr>
      <w:r>
        <w:t>We</w:t>
      </w:r>
      <w:r w:rsidRPr="003441E0">
        <w:t xml:space="preserve"> create, administer and maintain the STPIS in accordance with the requirements of the</w:t>
      </w:r>
      <w:r>
        <w:t xml:space="preserve"> </w:t>
      </w:r>
      <w:r w:rsidRPr="003441E0">
        <w:t>National Electricity Rules (</w:t>
      </w:r>
      <w:r w:rsidR="004F0D27">
        <w:t>NER</w:t>
      </w:r>
      <w:r w:rsidRPr="003441E0">
        <w:t>). The purpose of the STPIS is to provide incentives to</w:t>
      </w:r>
      <w:r>
        <w:t xml:space="preserve"> </w:t>
      </w:r>
      <w:r w:rsidRPr="003441E0">
        <w:t>TNSPs to improve or maintain a high level of service for the benefit of participants in the National</w:t>
      </w:r>
      <w:r>
        <w:t xml:space="preserve"> </w:t>
      </w:r>
      <w:r w:rsidRPr="003441E0">
        <w:t>Electricity Market (NEM) and end users of electricity.</w:t>
      </w:r>
    </w:p>
    <w:p w:rsidR="003441E0" w:rsidRPr="003441E0" w:rsidRDefault="003441E0" w:rsidP="003441E0">
      <w:pPr>
        <w:pStyle w:val="AERbodytext"/>
      </w:pPr>
      <w:r w:rsidRPr="003441E0">
        <w:t>From 1 July 2015, Directlink will be subject to the service and market impact components of the</w:t>
      </w:r>
      <w:r>
        <w:t xml:space="preserve"> </w:t>
      </w:r>
      <w:r w:rsidRPr="003441E0">
        <w:t>STPIS. This is the first time Directlink will be assessed under the STPIS, as it is currently assessed</w:t>
      </w:r>
      <w:r>
        <w:t xml:space="preserve"> </w:t>
      </w:r>
      <w:r w:rsidRPr="003441E0">
        <w:t>under the ACCC service standards guidelines for the cur</w:t>
      </w:r>
      <w:r w:rsidR="00DD19FD">
        <w:t>rent regulatory period</w:t>
      </w:r>
      <w:r w:rsidRPr="003441E0">
        <w:t>.</w:t>
      </w:r>
    </w:p>
    <w:p w:rsidR="00055A39" w:rsidRDefault="00055A39" w:rsidP="007430EC">
      <w:pPr>
        <w:pStyle w:val="AERbodytext"/>
      </w:pPr>
      <w:r>
        <w:t xml:space="preserve">In the framework and approach paper, we </w:t>
      </w:r>
      <w:r w:rsidR="009404BE">
        <w:t xml:space="preserve">stated that </w:t>
      </w:r>
      <w:r>
        <w:t>version 4 of the STPIS should apply to Directlink</w:t>
      </w:r>
      <w:r w:rsidR="009404BE">
        <w:t>, i.e. the version that was current at the time</w:t>
      </w:r>
      <w:r>
        <w:t>.</w:t>
      </w:r>
      <w:r w:rsidRPr="00753271">
        <w:t xml:space="preserve"> However, we </w:t>
      </w:r>
      <w:r>
        <w:t>were</w:t>
      </w:r>
      <w:r w:rsidRPr="00753271">
        <w:t xml:space="preserve"> concerned that application of </w:t>
      </w:r>
      <w:r w:rsidR="009404BE">
        <w:t xml:space="preserve">version 4 of </w:t>
      </w:r>
      <w:r w:rsidRPr="00753271">
        <w:t xml:space="preserve">the STPIS to Directlink may produce incentive targets that do not promote the National Electricity Objective. </w:t>
      </w:r>
      <w:r>
        <w:t xml:space="preserve">This is because </w:t>
      </w:r>
      <w:r w:rsidRPr="00753271">
        <w:t xml:space="preserve">under </w:t>
      </w:r>
      <w:r w:rsidR="009404BE">
        <w:t xml:space="preserve">version 4 of the </w:t>
      </w:r>
      <w:r w:rsidRPr="00753271">
        <w:t xml:space="preserve"> STPIS, the </w:t>
      </w:r>
      <w:r w:rsidR="00631E15">
        <w:t>Market Impact Component (</w:t>
      </w:r>
      <w:r w:rsidRPr="00753271">
        <w:t>MIC</w:t>
      </w:r>
      <w:r w:rsidR="00631E15">
        <w:t>)</w:t>
      </w:r>
      <w:r w:rsidRPr="00753271">
        <w:t xml:space="preserve"> performance targets are set using the rolling average of three previous calendar years of actual performance data.</w:t>
      </w:r>
      <w:r w:rsidRPr="00753271">
        <w:rPr>
          <w:rStyle w:val="AERsuperscript"/>
        </w:rPr>
        <w:footnoteReference w:id="1"/>
      </w:r>
      <w:r w:rsidRPr="00753271">
        <w:t xml:space="preserve"> </w:t>
      </w:r>
      <w:r w:rsidR="009404BE">
        <w:t>In this regard</w:t>
      </w:r>
      <w:r w:rsidRPr="00753271">
        <w:t>, it may not be appropriate to apply Directlink’s recent performance data to set its performance targets for the next regulatory control period</w:t>
      </w:r>
      <w:r>
        <w:t xml:space="preserve"> due to </w:t>
      </w:r>
      <w:r w:rsidR="007A2BEA">
        <w:t xml:space="preserve">extended outages associated with </w:t>
      </w:r>
      <w:r>
        <w:t>fire damage</w:t>
      </w:r>
      <w:r w:rsidR="007A2BEA">
        <w:t xml:space="preserve"> to the Directlink facility</w:t>
      </w:r>
      <w:r w:rsidRPr="00753271">
        <w:t>.</w:t>
      </w:r>
      <w:r>
        <w:t xml:space="preserve"> We identified that amendments were required to the method for determining MIC targets for Directlink in light of the Mullumbimby fire.</w:t>
      </w:r>
    </w:p>
    <w:p w:rsidR="00055A39" w:rsidRDefault="000B4787" w:rsidP="00055A39">
      <w:pPr>
        <w:pStyle w:val="AERbodytext"/>
      </w:pPr>
      <w:r w:rsidRPr="000B4787">
        <w:t>We published version 4.1 of the STPIS in September 2014</w:t>
      </w:r>
      <w:r w:rsidR="009404BE">
        <w:t xml:space="preserve">. Version 4.1 amended </w:t>
      </w:r>
      <w:r w:rsidR="008700F3">
        <w:t>the scheme</w:t>
      </w:r>
      <w:r w:rsidR="007430EC">
        <w:t xml:space="preserve"> </w:t>
      </w:r>
      <w:r w:rsidR="009404BE">
        <w:t xml:space="preserve">to </w:t>
      </w:r>
      <w:r w:rsidR="007430EC">
        <w:t>specifically address Directlink's circumstances</w:t>
      </w:r>
      <w:r w:rsidR="009404BE">
        <w:t>, this version replaces the previous version 4</w:t>
      </w:r>
      <w:r w:rsidR="007430EC">
        <w:t xml:space="preserve">. </w:t>
      </w:r>
      <w:r w:rsidR="009404BE">
        <w:t>W</w:t>
      </w:r>
      <w:r w:rsidR="007430EC">
        <w:t xml:space="preserve">e extended the definition of MIC at section 4.2 </w:t>
      </w:r>
      <w:r w:rsidR="00C2567B">
        <w:t xml:space="preserve">of the scheme to exclude Directlink's performance against the market impact parameter </w:t>
      </w:r>
      <w:r w:rsidR="008700F3">
        <w:t xml:space="preserve">for the purpose of setting performance targets </w:t>
      </w:r>
      <w:r w:rsidR="00C2567B">
        <w:t>for the period starting on 12 August 2012 to the date when Directlink 'returned to normal service'.</w:t>
      </w:r>
      <w:r w:rsidR="00C2567B">
        <w:rPr>
          <w:rStyle w:val="FootnoteReference"/>
        </w:rPr>
        <w:footnoteReference w:id="2"/>
      </w:r>
      <w:r w:rsidR="00055A39">
        <w:t xml:space="preserve"> </w:t>
      </w:r>
      <w:r w:rsidR="007A2BEA">
        <w:t xml:space="preserve">The </w:t>
      </w:r>
      <w:r w:rsidR="008700F3">
        <w:t xml:space="preserve">service </w:t>
      </w:r>
      <w:r w:rsidR="00055A39">
        <w:t xml:space="preserve">component and </w:t>
      </w:r>
      <w:r w:rsidR="007A2BEA">
        <w:t xml:space="preserve">the </w:t>
      </w:r>
      <w:r w:rsidR="00055A39">
        <w:t>market impact component of version 4.1 of the STPIS will apply to Directlink for the 2015–20 regulatory control period</w:t>
      </w:r>
      <w:r w:rsidR="007A2BEA">
        <w:t>.</w:t>
      </w:r>
      <w:r w:rsidR="00055A39">
        <w:t xml:space="preserve"> </w:t>
      </w:r>
      <w:r w:rsidR="00055A39" w:rsidRPr="00976294">
        <w:t xml:space="preserve">The </w:t>
      </w:r>
      <w:r w:rsidR="00055A39">
        <w:t>network capability component does not apply to Directlink, as per clause 2.2</w:t>
      </w:r>
      <w:r w:rsidR="00B941F2">
        <w:t>(</w:t>
      </w:r>
      <w:r w:rsidR="00055A39">
        <w:t>a</w:t>
      </w:r>
      <w:r w:rsidR="00B941F2">
        <w:t>)</w:t>
      </w:r>
      <w:r w:rsidR="00055A39">
        <w:t xml:space="preserve"> of the STPIS.</w:t>
      </w:r>
    </w:p>
    <w:p w:rsidR="00055A39" w:rsidRPr="00F2071B" w:rsidRDefault="00055A39" w:rsidP="00055A39">
      <w:pPr>
        <w:pStyle w:val="AERbodytext"/>
      </w:pPr>
      <w:r w:rsidRPr="00F2071B">
        <w:t>The</w:t>
      </w:r>
      <w:r>
        <w:t xml:space="preserve"> service component </w:t>
      </w:r>
      <w:r w:rsidRPr="00F2071B">
        <w:t xml:space="preserve">provides a financial incentive for TNSPs to improve and maintain their service performance. </w:t>
      </w:r>
      <w:r>
        <w:t xml:space="preserve">This balances the incentive in the regulatory framework for TNSPs to reduce costs at the expense of </w:t>
      </w:r>
      <w:r w:rsidRPr="00E73EFA">
        <w:t xml:space="preserve">service performance. </w:t>
      </w:r>
      <w:r w:rsidRPr="00F2071B">
        <w:t xml:space="preserve">A TNSP's performance is compared against the performance target for each parameter </w:t>
      </w:r>
      <w:r>
        <w:t xml:space="preserve">under the service component </w:t>
      </w:r>
      <w:r w:rsidRPr="00F2071B">
        <w:t>during the regulatory control period. The TNSP may receive a financial bonus for service improvements, or a financial penalty for declines in service performance. The financial bon</w:t>
      </w:r>
      <w:r>
        <w:t>us (or penalty) is limited to 1 </w:t>
      </w:r>
      <w:r w:rsidRPr="00F2071B">
        <w:t>per cent of the TNSP's MAR for the relevant calendar year.</w:t>
      </w:r>
    </w:p>
    <w:p w:rsidR="00DF750E" w:rsidRDefault="00055A39" w:rsidP="00055A39">
      <w:pPr>
        <w:pStyle w:val="AERbodytext"/>
      </w:pPr>
      <w:r w:rsidRPr="006B2388">
        <w:t xml:space="preserve">The market impact component provides financial rewards to TNSPs for improvements in their performance measured against a performance target. </w:t>
      </w:r>
      <w:r w:rsidR="00DF750E">
        <w:t>A TNSP</w:t>
      </w:r>
      <w:r w:rsidRPr="006B2388">
        <w:t xml:space="preserve"> may earn up to 2 per cent of its MAR </w:t>
      </w:r>
      <w:r w:rsidRPr="006B2388">
        <w:lastRenderedPageBreak/>
        <w:t xml:space="preserve">for the relevant calendar year. Unlike the service component, the market impact component has no financial penalty. </w:t>
      </w:r>
      <w:r w:rsidRPr="003C1B71">
        <w:t xml:space="preserve">The </w:t>
      </w:r>
      <w:r>
        <w:t>market impact component</w:t>
      </w:r>
      <w:r w:rsidRPr="003C1B71">
        <w:t xml:space="preserve"> provides an incentive to TNSPs to minimise the impact of transmission outages that can affect</w:t>
      </w:r>
      <w:r>
        <w:t xml:space="preserve"> the NEM</w:t>
      </w:r>
      <w:r w:rsidRPr="003C1B71">
        <w:t xml:space="preserve"> </w:t>
      </w:r>
      <w:r>
        <w:t>spot price</w:t>
      </w:r>
      <w:r w:rsidRPr="003C1B71">
        <w:t xml:space="preserve">. </w:t>
      </w:r>
      <w:r w:rsidRPr="006B2388">
        <w:t xml:space="preserve">The market impact parameter </w:t>
      </w:r>
      <w:r>
        <w:t>measures</w:t>
      </w:r>
      <w:r w:rsidRPr="006B2388">
        <w:t xml:space="preserve"> the number of dispatch intervals when an outage of a TNSP's network results in a network outage constraint with a marginal value greater than $10/MWh.</w:t>
      </w:r>
      <w:r w:rsidRPr="006B2388">
        <w:rPr>
          <w:rStyle w:val="AERsuperscript"/>
        </w:rPr>
        <w:footnoteReference w:id="3"/>
      </w:r>
      <w:r w:rsidRPr="006B2388">
        <w:t xml:space="preserve"> </w:t>
      </w:r>
    </w:p>
    <w:p w:rsidR="00055A39" w:rsidRPr="00290EDB" w:rsidRDefault="00055A39" w:rsidP="00055A39">
      <w:pPr>
        <w:pStyle w:val="AERbodytext"/>
      </w:pPr>
      <w:r>
        <w:t>T</w:t>
      </w:r>
      <w:r w:rsidRPr="00290EDB">
        <w:t xml:space="preserve">he market impact parameter performance target </w:t>
      </w:r>
      <w:r>
        <w:t>is</w:t>
      </w:r>
      <w:r w:rsidRPr="00290EDB">
        <w:t xml:space="preserve"> </w:t>
      </w:r>
      <w:r w:rsidR="00DF750E">
        <w:t xml:space="preserve">typically </w:t>
      </w:r>
      <w:r w:rsidRPr="00290EDB">
        <w:t xml:space="preserve">an average of the previous three years of performance data. Performance </w:t>
      </w:r>
      <w:r w:rsidR="00DF750E">
        <w:t>is typically</w:t>
      </w:r>
      <w:r w:rsidRPr="00290EDB">
        <w:t xml:space="preserve"> measured as a rolling average of the most recent two years of performance data.</w:t>
      </w:r>
      <w:r w:rsidRPr="00290EDB">
        <w:rPr>
          <w:rStyle w:val="FootnoteReference"/>
        </w:rPr>
        <w:footnoteReference w:id="4"/>
      </w:r>
      <w:r w:rsidRPr="00290EDB">
        <w:t xml:space="preserve"> </w:t>
      </w:r>
      <w:r w:rsidR="00FD008B">
        <w:t>Performance</w:t>
      </w:r>
      <w:r w:rsidRPr="00290EDB">
        <w:t xml:space="preserve"> targets </w:t>
      </w:r>
      <w:r w:rsidR="00FD008B">
        <w:t>are</w:t>
      </w:r>
      <w:r w:rsidRPr="00290EDB">
        <w:t xml:space="preserve"> published annually after we have conducted the annual review of </w:t>
      </w:r>
      <w:r>
        <w:t>a TNSP's</w:t>
      </w:r>
      <w:r w:rsidRPr="00290EDB">
        <w:t xml:space="preserve"> STPIS performance.</w:t>
      </w:r>
    </w:p>
    <w:p w:rsidR="00BE35A6" w:rsidRDefault="00BE35A6" w:rsidP="004F0D27">
      <w:pPr>
        <w:pStyle w:val="Heading2"/>
        <w:numPr>
          <w:ilvl w:val="2"/>
          <w:numId w:val="1"/>
        </w:numPr>
      </w:pPr>
      <w:bookmarkStart w:id="9" w:name="_Toc396839232"/>
      <w:bookmarkStart w:id="10" w:name="_Toc404277697"/>
      <w:r w:rsidRPr="00B47945">
        <w:t>Draft decision</w:t>
      </w:r>
      <w:bookmarkEnd w:id="9"/>
      <w:bookmarkEnd w:id="10"/>
    </w:p>
    <w:p w:rsidR="00055A39" w:rsidRPr="00B941F2" w:rsidRDefault="00B941F2" w:rsidP="00B941F2">
      <w:r>
        <w:t>We will apply the s</w:t>
      </w:r>
      <w:r w:rsidRPr="00B941F2">
        <w:t xml:space="preserve">ervice component and </w:t>
      </w:r>
      <w:r>
        <w:t xml:space="preserve">the </w:t>
      </w:r>
      <w:r w:rsidRPr="00B941F2">
        <w:t>market impact component of version 4.1 of the STPIS to Directlink for the 2015–20 regulatory control period</w:t>
      </w:r>
      <w:r>
        <w:t>. We propose to apply the STPIS to Directlink in accordance with the details set out below.</w:t>
      </w:r>
    </w:p>
    <w:p w:rsidR="003944C3" w:rsidRPr="003944C3" w:rsidRDefault="003944C3" w:rsidP="003944C3">
      <w:pPr>
        <w:pStyle w:val="HeadingBoldBlue"/>
      </w:pPr>
      <w:r w:rsidRPr="003944C3">
        <w:t>Service component</w:t>
      </w:r>
    </w:p>
    <w:p w:rsidR="003944C3" w:rsidRPr="003944C3" w:rsidRDefault="003944C3" w:rsidP="00446C60">
      <w:pPr>
        <w:pStyle w:val="AERbodytext"/>
      </w:pPr>
      <w:r w:rsidRPr="003944C3">
        <w:t xml:space="preserve">We do not accept Directlink's proposed performance targets </w:t>
      </w:r>
      <w:r w:rsidR="00D475D1">
        <w:t xml:space="preserve">based on the average performance over the 2008–2012 period </w:t>
      </w:r>
      <w:r w:rsidRPr="003944C3">
        <w:t>because</w:t>
      </w:r>
      <w:r w:rsidR="00D475D1">
        <w:t xml:space="preserve"> we consider adjustment is required </w:t>
      </w:r>
      <w:r w:rsidR="00446C60">
        <w:t>to account for</w:t>
      </w:r>
      <w:r w:rsidR="00D475D1">
        <w:t xml:space="preserve"> the expected reliability improvement from increase in the volume of capital works planned during the regulatory control period. </w:t>
      </w:r>
      <w:r w:rsidR="000D1C81">
        <w:t>Adjustment to the proposed performance targets would also result in adjustments to the proposed caps and</w:t>
      </w:r>
      <w:r w:rsidR="008700F3">
        <w:t xml:space="preserve"> collars</w:t>
      </w:r>
      <w:r w:rsidR="00EC2457" w:rsidRPr="00EC2457">
        <w:t>.</w:t>
      </w:r>
      <w:r w:rsidR="00446C60">
        <w:rPr>
          <w:rStyle w:val="FootnoteReference"/>
        </w:rPr>
        <w:footnoteReference w:id="5"/>
      </w:r>
      <w:r w:rsidR="00EC2457">
        <w:t xml:space="preserve"> </w:t>
      </w:r>
      <w:r w:rsidR="00634ECD">
        <w:fldChar w:fldCharType="begin"/>
      </w:r>
      <w:r w:rsidR="00634ECD">
        <w:instrText xml:space="preserve"> REF _Ref401325205 \h </w:instrText>
      </w:r>
      <w:r w:rsidR="00634ECD">
        <w:fldChar w:fldCharType="separate"/>
      </w:r>
      <w:r w:rsidR="00585D99">
        <w:t>Table</w:t>
      </w:r>
      <w:r w:rsidR="00585D99" w:rsidRPr="003944C3">
        <w:t xml:space="preserve"> </w:t>
      </w:r>
      <w:r w:rsidR="00585D99">
        <w:t>11.</w:t>
      </w:r>
      <w:r w:rsidR="00585D99">
        <w:rPr>
          <w:noProof/>
        </w:rPr>
        <w:t>1</w:t>
      </w:r>
      <w:r w:rsidR="00634ECD">
        <w:fldChar w:fldCharType="end"/>
      </w:r>
      <w:r w:rsidR="00634ECD">
        <w:t xml:space="preserve"> </w:t>
      </w:r>
      <w:r w:rsidRPr="003944C3">
        <w:t xml:space="preserve">sets out our draft decision on Directlink's service component parameter values. </w:t>
      </w:r>
    </w:p>
    <w:p w:rsidR="003944C3" w:rsidRPr="003944C3" w:rsidRDefault="00B748DD" w:rsidP="003944C3">
      <w:pPr>
        <w:pStyle w:val="Caption"/>
      </w:pPr>
      <w:bookmarkStart w:id="11" w:name="_Ref401325205"/>
      <w:r>
        <w:t>Table</w:t>
      </w:r>
      <w:r w:rsidR="003944C3" w:rsidRPr="003944C3">
        <w:t xml:space="preserve"> </w:t>
      </w:r>
      <w:r w:rsidR="003D221F">
        <w:t>11</w:t>
      </w:r>
      <w:r>
        <w:t>.</w:t>
      </w:r>
      <w:fldSimple w:instr=" SEQ Table \* ARABIC \s 1 ">
        <w:r w:rsidR="00585D99">
          <w:rPr>
            <w:noProof/>
          </w:rPr>
          <w:t>1</w:t>
        </w:r>
      </w:fldSimple>
      <w:bookmarkEnd w:id="11"/>
      <w:r w:rsidR="003944C3" w:rsidRPr="003944C3">
        <w:tab/>
        <w:t>AER's draft decision on Directlink's parameter values and weightings for the service component of the STPIS</w:t>
      </w:r>
    </w:p>
    <w:tbl>
      <w:tblPr>
        <w:tblStyle w:val="AERtable-text"/>
        <w:tblW w:w="0" w:type="auto"/>
        <w:tblLook w:val="04A0" w:firstRow="1" w:lastRow="0" w:firstColumn="1" w:lastColumn="0" w:noHBand="0" w:noVBand="1"/>
      </w:tblPr>
      <w:tblGrid>
        <w:gridCol w:w="3085"/>
        <w:gridCol w:w="1539"/>
        <w:gridCol w:w="1539"/>
        <w:gridCol w:w="1539"/>
        <w:gridCol w:w="1540"/>
      </w:tblGrid>
      <w:tr w:rsidR="00577005" w:rsidTr="00D37CA5">
        <w:trPr>
          <w:cnfStyle w:val="100000000000" w:firstRow="1" w:lastRow="0" w:firstColumn="0" w:lastColumn="0" w:oddVBand="0" w:evenVBand="0" w:oddHBand="0" w:evenHBand="0" w:firstRowFirstColumn="0" w:firstRowLastColumn="0" w:lastRowFirstColumn="0" w:lastRowLastColumn="0"/>
          <w:cantSplit/>
          <w:tblHeader/>
        </w:trPr>
        <w:tc>
          <w:tcPr>
            <w:tcW w:w="3085" w:type="dxa"/>
          </w:tcPr>
          <w:p w:rsidR="002E6B8A" w:rsidRPr="001E0CCC" w:rsidRDefault="002E6B8A" w:rsidP="002E6B8A">
            <w:pPr>
              <w:pStyle w:val="AERbodytext"/>
            </w:pPr>
          </w:p>
        </w:tc>
        <w:tc>
          <w:tcPr>
            <w:tcW w:w="1539" w:type="dxa"/>
          </w:tcPr>
          <w:p w:rsidR="002E6B8A" w:rsidRPr="001E0CCC" w:rsidRDefault="002E6B8A" w:rsidP="002E6B8A">
            <w:pPr>
              <w:pStyle w:val="AERtabletextright"/>
            </w:pPr>
            <w:r w:rsidRPr="001E0CCC">
              <w:t>Collar</w:t>
            </w:r>
          </w:p>
        </w:tc>
        <w:tc>
          <w:tcPr>
            <w:tcW w:w="1539" w:type="dxa"/>
          </w:tcPr>
          <w:p w:rsidR="002E6B8A" w:rsidRPr="001E0CCC" w:rsidRDefault="002E6B8A" w:rsidP="002E6B8A">
            <w:pPr>
              <w:pStyle w:val="AERtabletextright"/>
            </w:pPr>
            <w:r w:rsidRPr="001E0CCC">
              <w:t>Target</w:t>
            </w:r>
          </w:p>
        </w:tc>
        <w:tc>
          <w:tcPr>
            <w:tcW w:w="1539" w:type="dxa"/>
          </w:tcPr>
          <w:p w:rsidR="002E6B8A" w:rsidRPr="001E0CCC" w:rsidRDefault="002E6B8A" w:rsidP="002E6B8A">
            <w:pPr>
              <w:pStyle w:val="AERtabletextright"/>
            </w:pPr>
            <w:r w:rsidRPr="001E0CCC">
              <w:t>Cap</w:t>
            </w:r>
          </w:p>
        </w:tc>
        <w:tc>
          <w:tcPr>
            <w:tcW w:w="1540" w:type="dxa"/>
          </w:tcPr>
          <w:p w:rsidR="002E6B8A" w:rsidRPr="001E0CCC" w:rsidRDefault="002E6B8A" w:rsidP="002E6B8A">
            <w:pPr>
              <w:pStyle w:val="AERtabletextright"/>
            </w:pPr>
            <w:r w:rsidRPr="001E0CCC">
              <w:t xml:space="preserve">Weighting </w:t>
            </w:r>
            <w:r w:rsidRPr="001E0CCC">
              <w:br/>
              <w:t>(% of MAR)</w:t>
            </w:r>
          </w:p>
        </w:tc>
      </w:tr>
      <w:tr w:rsidR="002E6B8A" w:rsidTr="004F0D27">
        <w:trPr>
          <w:cantSplit/>
        </w:trPr>
        <w:tc>
          <w:tcPr>
            <w:tcW w:w="3085" w:type="dxa"/>
          </w:tcPr>
          <w:p w:rsidR="002E6B8A" w:rsidRPr="001E0CCC" w:rsidRDefault="002E6B8A" w:rsidP="002E6B8A">
            <w:pPr>
              <w:pStyle w:val="AERbodytext"/>
              <w:rPr>
                <w:rStyle w:val="AERtextbold"/>
              </w:rPr>
            </w:pPr>
            <w:r w:rsidRPr="001E0CCC">
              <w:rPr>
                <w:rStyle w:val="AERtextbold"/>
              </w:rPr>
              <w:t>Average circuit outage rate</w:t>
            </w:r>
          </w:p>
        </w:tc>
        <w:tc>
          <w:tcPr>
            <w:tcW w:w="1539" w:type="dxa"/>
          </w:tcPr>
          <w:p w:rsidR="002E6B8A" w:rsidRPr="001E0CCC" w:rsidRDefault="002E6B8A" w:rsidP="002E6B8A">
            <w:pPr>
              <w:pStyle w:val="AERtabletextright"/>
            </w:pPr>
          </w:p>
        </w:tc>
        <w:tc>
          <w:tcPr>
            <w:tcW w:w="1539" w:type="dxa"/>
          </w:tcPr>
          <w:p w:rsidR="002E6B8A" w:rsidRPr="001E0CCC" w:rsidRDefault="002E6B8A" w:rsidP="002E6B8A">
            <w:pPr>
              <w:pStyle w:val="AERtabletextright"/>
            </w:pPr>
          </w:p>
        </w:tc>
        <w:tc>
          <w:tcPr>
            <w:tcW w:w="1539" w:type="dxa"/>
          </w:tcPr>
          <w:p w:rsidR="002E6B8A" w:rsidRPr="001E0CCC" w:rsidRDefault="002E6B8A" w:rsidP="002E6B8A">
            <w:pPr>
              <w:pStyle w:val="AERtabletextright"/>
            </w:pPr>
          </w:p>
        </w:tc>
        <w:tc>
          <w:tcPr>
            <w:tcW w:w="1540" w:type="dxa"/>
          </w:tcPr>
          <w:p w:rsidR="002E6B8A" w:rsidRPr="001E0CCC" w:rsidRDefault="002E6B8A" w:rsidP="002E6B8A">
            <w:pPr>
              <w:pStyle w:val="AERtabletextright"/>
            </w:pPr>
          </w:p>
        </w:tc>
      </w:tr>
      <w:tr w:rsidR="00577005" w:rsidTr="004F0D27">
        <w:trPr>
          <w:cnfStyle w:val="000000010000" w:firstRow="0" w:lastRow="0" w:firstColumn="0" w:lastColumn="0" w:oddVBand="0" w:evenVBand="0" w:oddHBand="0" w:evenHBand="1" w:firstRowFirstColumn="0" w:firstRowLastColumn="0" w:lastRowFirstColumn="0" w:lastRowLastColumn="0"/>
          <w:cantSplit/>
        </w:trPr>
        <w:tc>
          <w:tcPr>
            <w:tcW w:w="3085" w:type="dxa"/>
          </w:tcPr>
          <w:p w:rsidR="002E6B8A" w:rsidRPr="001E0CCC" w:rsidRDefault="002E6B8A" w:rsidP="002E6B8A">
            <w:pPr>
              <w:pStyle w:val="AERbodytext"/>
            </w:pPr>
            <w:r>
              <w:t>Circuit outage</w:t>
            </w:r>
            <w:r w:rsidRPr="001E0CCC">
              <w:t xml:space="preserve"> – fault</w:t>
            </w:r>
          </w:p>
        </w:tc>
        <w:tc>
          <w:tcPr>
            <w:tcW w:w="1539" w:type="dxa"/>
          </w:tcPr>
          <w:p w:rsidR="002E6B8A" w:rsidRPr="001E0CCC" w:rsidRDefault="00B748DD" w:rsidP="002E6B8A">
            <w:pPr>
              <w:pStyle w:val="AERtabletextright"/>
            </w:pPr>
            <w:r>
              <w:t>500.00%</w:t>
            </w:r>
          </w:p>
        </w:tc>
        <w:tc>
          <w:tcPr>
            <w:tcW w:w="1539" w:type="dxa"/>
          </w:tcPr>
          <w:p w:rsidR="002E6B8A" w:rsidRPr="001E0CCC" w:rsidRDefault="00B748DD" w:rsidP="002E6B8A">
            <w:pPr>
              <w:pStyle w:val="AERtabletextright"/>
            </w:pPr>
            <w:r>
              <w:t>333.00%</w:t>
            </w:r>
          </w:p>
        </w:tc>
        <w:tc>
          <w:tcPr>
            <w:tcW w:w="1539" w:type="dxa"/>
          </w:tcPr>
          <w:p w:rsidR="002E6B8A" w:rsidRPr="001E0CCC" w:rsidRDefault="00B748DD" w:rsidP="002E6B8A">
            <w:pPr>
              <w:pStyle w:val="AERtabletextright"/>
            </w:pPr>
            <w:r>
              <w:t>167.00%</w:t>
            </w:r>
          </w:p>
        </w:tc>
        <w:tc>
          <w:tcPr>
            <w:tcW w:w="1540" w:type="dxa"/>
          </w:tcPr>
          <w:p w:rsidR="002E6B8A" w:rsidRPr="002E6B8A" w:rsidRDefault="002E6B8A" w:rsidP="002E6B8A">
            <w:pPr>
              <w:pStyle w:val="AERtabletextright"/>
            </w:pPr>
            <w:r>
              <w:t>1.0</w:t>
            </w:r>
          </w:p>
        </w:tc>
      </w:tr>
      <w:tr w:rsidR="002E6B8A" w:rsidTr="004F0D27">
        <w:trPr>
          <w:cantSplit/>
        </w:trPr>
        <w:tc>
          <w:tcPr>
            <w:tcW w:w="3085" w:type="dxa"/>
          </w:tcPr>
          <w:p w:rsidR="002E6B8A" w:rsidRPr="001E0CCC" w:rsidRDefault="002E6B8A" w:rsidP="002E6B8A">
            <w:pPr>
              <w:pStyle w:val="AERbodytext"/>
            </w:pPr>
            <w:r>
              <w:t>Circuit outage</w:t>
            </w:r>
            <w:r w:rsidRPr="001E0CCC">
              <w:t xml:space="preserve"> – forced outage</w:t>
            </w:r>
          </w:p>
        </w:tc>
        <w:tc>
          <w:tcPr>
            <w:tcW w:w="1539" w:type="dxa"/>
          </w:tcPr>
          <w:p w:rsidR="002E6B8A" w:rsidRPr="001E0CCC" w:rsidRDefault="00454297" w:rsidP="002E6B8A">
            <w:pPr>
              <w:pStyle w:val="AERtabletextright"/>
            </w:pPr>
            <w:r>
              <w:t>383.31%</w:t>
            </w:r>
          </w:p>
        </w:tc>
        <w:tc>
          <w:tcPr>
            <w:tcW w:w="1539" w:type="dxa"/>
          </w:tcPr>
          <w:p w:rsidR="002E6B8A" w:rsidRPr="001E0CCC" w:rsidRDefault="00454297" w:rsidP="002E6B8A">
            <w:pPr>
              <w:pStyle w:val="AERtabletextright"/>
            </w:pPr>
            <w:r>
              <w:t>180%</w:t>
            </w:r>
          </w:p>
        </w:tc>
        <w:tc>
          <w:tcPr>
            <w:tcW w:w="1539" w:type="dxa"/>
          </w:tcPr>
          <w:p w:rsidR="002E6B8A" w:rsidRPr="001E0CCC" w:rsidRDefault="00454297" w:rsidP="002E6B8A">
            <w:pPr>
              <w:pStyle w:val="AERtabletextright"/>
            </w:pPr>
            <w:r>
              <w:t>35.19%</w:t>
            </w:r>
          </w:p>
        </w:tc>
        <w:tc>
          <w:tcPr>
            <w:tcW w:w="1540" w:type="dxa"/>
          </w:tcPr>
          <w:p w:rsidR="002E6B8A" w:rsidRPr="001E0CCC" w:rsidRDefault="002E6B8A" w:rsidP="002E6B8A">
            <w:pPr>
              <w:pStyle w:val="AERtabletextright"/>
            </w:pPr>
            <w:r w:rsidRPr="001E0CCC">
              <w:t>0.0</w:t>
            </w:r>
          </w:p>
        </w:tc>
      </w:tr>
      <w:tr w:rsidR="00577005" w:rsidTr="004F0D27">
        <w:trPr>
          <w:cnfStyle w:val="000000010000" w:firstRow="0" w:lastRow="0" w:firstColumn="0" w:lastColumn="0" w:oddVBand="0" w:evenVBand="0" w:oddHBand="0" w:evenHBand="1" w:firstRowFirstColumn="0" w:firstRowLastColumn="0" w:lastRowFirstColumn="0" w:lastRowLastColumn="0"/>
          <w:cantSplit/>
        </w:trPr>
        <w:tc>
          <w:tcPr>
            <w:tcW w:w="3085" w:type="dxa"/>
          </w:tcPr>
          <w:p w:rsidR="002E6B8A" w:rsidRPr="001E0CCC" w:rsidRDefault="002E6B8A" w:rsidP="002E6B8A">
            <w:pPr>
              <w:pStyle w:val="AERbodytext"/>
              <w:rPr>
                <w:rStyle w:val="AERtextbold"/>
              </w:rPr>
            </w:pPr>
            <w:r w:rsidRPr="001E0CCC">
              <w:rPr>
                <w:rStyle w:val="AERtextbold"/>
              </w:rPr>
              <w:t>Proper operation of equipment</w:t>
            </w:r>
            <w:r w:rsidR="002E1451">
              <w:rPr>
                <w:rStyle w:val="FootnoteReference"/>
                <w:b/>
              </w:rPr>
              <w:footnoteReference w:id="6"/>
            </w:r>
          </w:p>
        </w:tc>
        <w:tc>
          <w:tcPr>
            <w:tcW w:w="1539" w:type="dxa"/>
          </w:tcPr>
          <w:p w:rsidR="002E6B8A" w:rsidRPr="001E0CCC" w:rsidRDefault="002E6B8A" w:rsidP="002E6B8A">
            <w:pPr>
              <w:pStyle w:val="AERtabletextright"/>
            </w:pPr>
          </w:p>
        </w:tc>
        <w:tc>
          <w:tcPr>
            <w:tcW w:w="1539" w:type="dxa"/>
          </w:tcPr>
          <w:p w:rsidR="002E6B8A" w:rsidRPr="001E0CCC" w:rsidRDefault="002E6B8A" w:rsidP="002E6B8A">
            <w:pPr>
              <w:pStyle w:val="AERtabletextright"/>
            </w:pPr>
          </w:p>
        </w:tc>
        <w:tc>
          <w:tcPr>
            <w:tcW w:w="1539" w:type="dxa"/>
          </w:tcPr>
          <w:p w:rsidR="002E6B8A" w:rsidRPr="001E0CCC" w:rsidRDefault="002E6B8A" w:rsidP="002E6B8A">
            <w:pPr>
              <w:pStyle w:val="AERtabletextright"/>
            </w:pPr>
          </w:p>
        </w:tc>
        <w:tc>
          <w:tcPr>
            <w:tcW w:w="1540" w:type="dxa"/>
          </w:tcPr>
          <w:p w:rsidR="002E6B8A" w:rsidRPr="001E0CCC" w:rsidRDefault="002E6B8A" w:rsidP="002E6B8A">
            <w:pPr>
              <w:pStyle w:val="AERtabletextright"/>
            </w:pPr>
          </w:p>
        </w:tc>
      </w:tr>
      <w:tr w:rsidR="002E6B8A" w:rsidTr="004F0D27">
        <w:trPr>
          <w:cantSplit/>
        </w:trPr>
        <w:tc>
          <w:tcPr>
            <w:tcW w:w="3085" w:type="dxa"/>
          </w:tcPr>
          <w:p w:rsidR="002E6B8A" w:rsidRPr="002E6B8A" w:rsidRDefault="002E6B8A" w:rsidP="002E6B8A">
            <w:r>
              <w:t>Failure of protection system</w:t>
            </w:r>
          </w:p>
        </w:tc>
        <w:tc>
          <w:tcPr>
            <w:tcW w:w="1539" w:type="dxa"/>
          </w:tcPr>
          <w:p w:rsidR="002E6B8A" w:rsidRPr="001E0CCC" w:rsidRDefault="00454297" w:rsidP="002E6B8A">
            <w:pPr>
              <w:pStyle w:val="AERtabletextright"/>
            </w:pPr>
            <w:r>
              <w:t>8</w:t>
            </w:r>
          </w:p>
        </w:tc>
        <w:tc>
          <w:tcPr>
            <w:tcW w:w="1539" w:type="dxa"/>
          </w:tcPr>
          <w:p w:rsidR="002E6B8A" w:rsidRPr="001E0CCC" w:rsidRDefault="00454297" w:rsidP="002E6B8A">
            <w:pPr>
              <w:pStyle w:val="AERtabletextright"/>
            </w:pPr>
            <w:r>
              <w:t>4</w:t>
            </w:r>
          </w:p>
        </w:tc>
        <w:tc>
          <w:tcPr>
            <w:tcW w:w="1539" w:type="dxa"/>
          </w:tcPr>
          <w:p w:rsidR="002E6B8A" w:rsidRPr="001E0CCC" w:rsidRDefault="00454297" w:rsidP="002E6B8A">
            <w:pPr>
              <w:pStyle w:val="AERtabletextright"/>
            </w:pPr>
            <w:r>
              <w:t>1</w:t>
            </w:r>
          </w:p>
        </w:tc>
        <w:tc>
          <w:tcPr>
            <w:tcW w:w="1540" w:type="dxa"/>
          </w:tcPr>
          <w:p w:rsidR="002E6B8A" w:rsidRDefault="002E6B8A" w:rsidP="002E6B8A">
            <w:pPr>
              <w:pStyle w:val="AERtabletextright"/>
            </w:pPr>
            <w:r>
              <w:t>0.0</w:t>
            </w:r>
          </w:p>
        </w:tc>
      </w:tr>
      <w:tr w:rsidR="00577005" w:rsidTr="004F0D27">
        <w:trPr>
          <w:cnfStyle w:val="000000010000" w:firstRow="0" w:lastRow="0" w:firstColumn="0" w:lastColumn="0" w:oddVBand="0" w:evenVBand="0" w:oddHBand="0" w:evenHBand="1" w:firstRowFirstColumn="0" w:firstRowLastColumn="0" w:lastRowFirstColumn="0" w:lastRowLastColumn="0"/>
          <w:cantSplit/>
        </w:trPr>
        <w:tc>
          <w:tcPr>
            <w:tcW w:w="3085" w:type="dxa"/>
          </w:tcPr>
          <w:p w:rsidR="002E6B8A" w:rsidRDefault="002E6B8A" w:rsidP="002E6B8A">
            <w:r>
              <w:t>Material failure of SCADA</w:t>
            </w:r>
          </w:p>
        </w:tc>
        <w:tc>
          <w:tcPr>
            <w:tcW w:w="1539" w:type="dxa"/>
          </w:tcPr>
          <w:p w:rsidR="002E6B8A" w:rsidRPr="002E6B8A" w:rsidRDefault="002E6B8A" w:rsidP="002E6B8A">
            <w:pPr>
              <w:pStyle w:val="AERtabletextright"/>
            </w:pPr>
            <w:r>
              <w:t>n/a</w:t>
            </w:r>
          </w:p>
        </w:tc>
        <w:tc>
          <w:tcPr>
            <w:tcW w:w="1539" w:type="dxa"/>
          </w:tcPr>
          <w:p w:rsidR="002E6B8A" w:rsidRPr="002E6B8A" w:rsidRDefault="002E6B8A" w:rsidP="002E6B8A">
            <w:pPr>
              <w:pStyle w:val="AERtabletextright"/>
            </w:pPr>
            <w:r>
              <w:t>n/a</w:t>
            </w:r>
          </w:p>
        </w:tc>
        <w:tc>
          <w:tcPr>
            <w:tcW w:w="1539" w:type="dxa"/>
          </w:tcPr>
          <w:p w:rsidR="002E6B8A" w:rsidRPr="002E6B8A" w:rsidRDefault="002E6B8A" w:rsidP="002E6B8A">
            <w:pPr>
              <w:pStyle w:val="AERtabletextright"/>
            </w:pPr>
            <w:r>
              <w:t>n/a</w:t>
            </w:r>
          </w:p>
        </w:tc>
        <w:tc>
          <w:tcPr>
            <w:tcW w:w="1540" w:type="dxa"/>
          </w:tcPr>
          <w:p w:rsidR="002E6B8A" w:rsidRDefault="002E6B8A" w:rsidP="002E6B8A">
            <w:pPr>
              <w:pStyle w:val="AERtabletextright"/>
            </w:pPr>
            <w:r>
              <w:t>0.0</w:t>
            </w:r>
          </w:p>
        </w:tc>
      </w:tr>
      <w:tr w:rsidR="002E6B8A" w:rsidTr="004F0D27">
        <w:trPr>
          <w:cantSplit/>
        </w:trPr>
        <w:tc>
          <w:tcPr>
            <w:tcW w:w="3085" w:type="dxa"/>
          </w:tcPr>
          <w:p w:rsidR="002E6B8A" w:rsidRDefault="002E6B8A" w:rsidP="002E6B8A">
            <w:r>
              <w:lastRenderedPageBreak/>
              <w:t>Incorrect operational isolation of primary or secondary equipment</w:t>
            </w:r>
          </w:p>
        </w:tc>
        <w:tc>
          <w:tcPr>
            <w:tcW w:w="1539" w:type="dxa"/>
          </w:tcPr>
          <w:p w:rsidR="002E6B8A" w:rsidRDefault="002E6B8A" w:rsidP="002E6B8A">
            <w:pPr>
              <w:pStyle w:val="AERtabletextright"/>
            </w:pPr>
            <w:r>
              <w:t>n/a</w:t>
            </w:r>
          </w:p>
        </w:tc>
        <w:tc>
          <w:tcPr>
            <w:tcW w:w="1539" w:type="dxa"/>
          </w:tcPr>
          <w:p w:rsidR="002E6B8A" w:rsidRDefault="002E6B8A" w:rsidP="002E6B8A">
            <w:pPr>
              <w:pStyle w:val="AERtabletextright"/>
            </w:pPr>
            <w:r>
              <w:t>n/a</w:t>
            </w:r>
          </w:p>
        </w:tc>
        <w:tc>
          <w:tcPr>
            <w:tcW w:w="1539" w:type="dxa"/>
          </w:tcPr>
          <w:p w:rsidR="002E6B8A" w:rsidRDefault="002E6B8A" w:rsidP="002E6B8A">
            <w:pPr>
              <w:pStyle w:val="AERtabletextright"/>
            </w:pPr>
            <w:r>
              <w:t>n/a</w:t>
            </w:r>
          </w:p>
        </w:tc>
        <w:tc>
          <w:tcPr>
            <w:tcW w:w="1540" w:type="dxa"/>
          </w:tcPr>
          <w:p w:rsidR="002E6B8A" w:rsidRDefault="002E6B8A" w:rsidP="002E6B8A">
            <w:pPr>
              <w:pStyle w:val="AERtabletextright"/>
            </w:pPr>
            <w:r>
              <w:t>0.0</w:t>
            </w:r>
          </w:p>
        </w:tc>
      </w:tr>
    </w:tbl>
    <w:p w:rsidR="002E6B8A" w:rsidRPr="001E0CCC" w:rsidRDefault="002E6B8A" w:rsidP="002E6B8A">
      <w:pPr>
        <w:pStyle w:val="AERtablesource"/>
      </w:pPr>
      <w:r w:rsidRPr="001E0CCC">
        <w:t xml:space="preserve">Sources: AER analysis. </w:t>
      </w:r>
    </w:p>
    <w:p w:rsidR="003944C3" w:rsidRPr="003944C3" w:rsidRDefault="003944C3" w:rsidP="003944C3">
      <w:pPr>
        <w:pStyle w:val="HeadingBoldBlue"/>
      </w:pPr>
      <w:r w:rsidRPr="003944C3">
        <w:t>Market impact component</w:t>
      </w:r>
    </w:p>
    <w:p w:rsidR="00FD008B" w:rsidRPr="00FD008B" w:rsidRDefault="00FD008B" w:rsidP="00FD008B">
      <w:pPr>
        <w:pStyle w:val="AERbodytext"/>
      </w:pPr>
      <w:r w:rsidRPr="00FD008B">
        <w:t xml:space="preserve">We have validated and confirmed the relevant market impact performance data which was provided by Directlink subsequent to the submission of its </w:t>
      </w:r>
      <w:r w:rsidR="002F5741" w:rsidRPr="00FD008B">
        <w:t>201</w:t>
      </w:r>
      <w:r w:rsidR="002F5741">
        <w:t>5</w:t>
      </w:r>
      <w:r w:rsidRPr="00FD008B">
        <w:t>–20 revenue proposal.</w:t>
      </w:r>
      <w:r w:rsidRPr="00FD008B">
        <w:rPr>
          <w:rStyle w:val="FootnoteReference"/>
        </w:rPr>
        <w:footnoteReference w:id="7"/>
      </w:r>
      <w:r w:rsidRPr="00FD008B">
        <w:t xml:space="preserve"> As a result of our audit, we made adjustments to the market impact performance values submitted by Directlink. For the year ending 1</w:t>
      </w:r>
      <w:r w:rsidR="00022647">
        <w:t>1</w:t>
      </w:r>
      <w:r w:rsidRPr="00FD008B">
        <w:t xml:space="preserve"> August 2010, we adjusted Directlink's performance from 29</w:t>
      </w:r>
      <w:r w:rsidR="00A9190C">
        <w:t>49</w:t>
      </w:r>
      <w:r w:rsidRPr="00FD008B">
        <w:t xml:space="preserve"> to 28</w:t>
      </w:r>
      <w:r w:rsidR="00A9190C">
        <w:t>36</w:t>
      </w:r>
      <w:r w:rsidRPr="00FD008B">
        <w:t xml:space="preserve"> dispatch intervals. For the year ending 1</w:t>
      </w:r>
      <w:r w:rsidR="00022647">
        <w:t>1</w:t>
      </w:r>
      <w:r w:rsidRPr="00FD008B">
        <w:t xml:space="preserve"> August 2011, we adjusted Directlink's performance from </w:t>
      </w:r>
      <w:r w:rsidR="00FD5C57">
        <w:t>1030</w:t>
      </w:r>
      <w:r w:rsidRPr="00FD008B">
        <w:t xml:space="preserve"> to </w:t>
      </w:r>
      <w:r w:rsidR="00FD5C57">
        <w:t>1017</w:t>
      </w:r>
      <w:r w:rsidRPr="00FD008B">
        <w:t xml:space="preserve"> dispatch intervals. For the year ending 1</w:t>
      </w:r>
      <w:r w:rsidR="00022647">
        <w:t>1</w:t>
      </w:r>
      <w:r w:rsidRPr="00FD008B">
        <w:t xml:space="preserve"> August 2012, we adjusted Directlink's performance from </w:t>
      </w:r>
      <w:r w:rsidR="00A9190C">
        <w:t xml:space="preserve">365.5 </w:t>
      </w:r>
      <w:r w:rsidRPr="00FD008B">
        <w:t>to 375 dispatch intervals. Consequently, Directlink's market impact performance target for 2015 is 1</w:t>
      </w:r>
      <w:r w:rsidR="00FD5C57">
        <w:t>409</w:t>
      </w:r>
      <w:r w:rsidRPr="00FD008B">
        <w:t xml:space="preserve"> dispatch intervals.</w:t>
      </w:r>
      <w:r w:rsidRPr="00FD008B">
        <w:rPr>
          <w:rStyle w:val="FootnoteReference"/>
        </w:rPr>
        <w:footnoteReference w:id="8"/>
      </w:r>
    </w:p>
    <w:p w:rsidR="00BE35A6" w:rsidRDefault="00B1481A" w:rsidP="004F0D27">
      <w:pPr>
        <w:pStyle w:val="Heading2"/>
        <w:numPr>
          <w:ilvl w:val="2"/>
          <w:numId w:val="1"/>
        </w:numPr>
      </w:pPr>
      <w:bookmarkStart w:id="12" w:name="_Toc396839233"/>
      <w:bookmarkStart w:id="13" w:name="_Toc404277698"/>
      <w:r>
        <w:t>Directlink</w:t>
      </w:r>
      <w:r w:rsidR="00BE35A6">
        <w:t>'s proposal</w:t>
      </w:r>
      <w:bookmarkEnd w:id="12"/>
      <w:bookmarkEnd w:id="13"/>
    </w:p>
    <w:p w:rsidR="00BE35A6" w:rsidRDefault="00EE1541" w:rsidP="008A7A7E">
      <w:r>
        <w:t xml:space="preserve">On 10 July 2014, Directlink </w:t>
      </w:r>
      <w:r w:rsidR="00B30747">
        <w:t xml:space="preserve">submitted </w:t>
      </w:r>
      <w:r w:rsidR="0025198F">
        <w:t xml:space="preserve">that </w:t>
      </w:r>
      <w:r>
        <w:t xml:space="preserve">our proposed amendment to the STPIS </w:t>
      </w:r>
      <w:r w:rsidR="005C1AAD">
        <w:t xml:space="preserve">(that is, version 4.1) </w:t>
      </w:r>
      <w:r w:rsidR="0025198F">
        <w:t xml:space="preserve">reasonably </w:t>
      </w:r>
      <w:r>
        <w:t>accommodate</w:t>
      </w:r>
      <w:r w:rsidR="0025198F">
        <w:t>d</w:t>
      </w:r>
      <w:r>
        <w:t xml:space="preserve"> </w:t>
      </w:r>
      <w:r w:rsidR="0025198F">
        <w:t>the</w:t>
      </w:r>
      <w:r>
        <w:t xml:space="preserve"> abnormal operati</w:t>
      </w:r>
      <w:r w:rsidR="0025198F">
        <w:t>ng conditions resulting from the Mullumbimby fire</w:t>
      </w:r>
      <w:r>
        <w:t>.</w:t>
      </w:r>
      <w:r>
        <w:rPr>
          <w:rStyle w:val="FootnoteReference"/>
        </w:rPr>
        <w:footnoteReference w:id="9"/>
      </w:r>
      <w:r>
        <w:t xml:space="preserve"> As a result, </w:t>
      </w:r>
      <w:r w:rsidR="0025198F">
        <w:t xml:space="preserve">we understand that </w:t>
      </w:r>
      <w:r>
        <w:t xml:space="preserve">it </w:t>
      </w:r>
      <w:r w:rsidR="0025198F">
        <w:t>agrees</w:t>
      </w:r>
      <w:r w:rsidR="00B27937">
        <w:t xml:space="preserve"> </w:t>
      </w:r>
      <w:r w:rsidR="0025198F">
        <w:t xml:space="preserve">that </w:t>
      </w:r>
      <w:r>
        <w:t>versio</w:t>
      </w:r>
      <w:r w:rsidR="00446C60">
        <w:t xml:space="preserve">n 4.1 of the STPIS </w:t>
      </w:r>
      <w:r w:rsidR="0025198F">
        <w:t xml:space="preserve">should be applied </w:t>
      </w:r>
      <w:r w:rsidR="00446C60">
        <w:t>for the 2015–</w:t>
      </w:r>
      <w:r>
        <w:t>20 regulatory control period.</w:t>
      </w:r>
    </w:p>
    <w:p w:rsidR="008E30B6" w:rsidRDefault="008E30B6" w:rsidP="008E30B6">
      <w:pPr>
        <w:pStyle w:val="HeadingBoldBlue"/>
      </w:pPr>
      <w:r>
        <w:t>Service component</w:t>
      </w:r>
    </w:p>
    <w:p w:rsidR="008E30B6" w:rsidRDefault="008E30B6" w:rsidP="008E30B6">
      <w:r>
        <w:t>Directlink proposed to set the targets as the 5 year historical average performance from 2008 to 2012. It calculated caps and collars using 1 standard deviation.</w:t>
      </w:r>
      <w:r>
        <w:rPr>
          <w:rStyle w:val="FootnoteReference"/>
        </w:rPr>
        <w:footnoteReference w:id="10"/>
      </w:r>
    </w:p>
    <w:p w:rsidR="008E30B6" w:rsidRDefault="008E30B6" w:rsidP="008E30B6">
      <w:pPr>
        <w:pStyle w:val="AERbodytext"/>
      </w:pPr>
      <w:r>
        <w:fldChar w:fldCharType="begin"/>
      </w:r>
      <w:r>
        <w:instrText xml:space="preserve"> REF _Ref356810086 \h </w:instrText>
      </w:r>
      <w:r>
        <w:fldChar w:fldCharType="separate"/>
      </w:r>
      <w:r w:rsidR="00585D99">
        <w:t xml:space="preserve">Table </w:t>
      </w:r>
      <w:r w:rsidR="00585D99">
        <w:rPr>
          <w:noProof/>
        </w:rPr>
        <w:t>11</w:t>
      </w:r>
      <w:r w:rsidR="00585D99">
        <w:t>.</w:t>
      </w:r>
      <w:r w:rsidR="00585D99">
        <w:rPr>
          <w:noProof/>
        </w:rPr>
        <w:t>2</w:t>
      </w:r>
      <w:r>
        <w:fldChar w:fldCharType="end"/>
      </w:r>
      <w:r>
        <w:t xml:space="preserve"> sets out </w:t>
      </w:r>
      <w:r w:rsidR="002E6B8A">
        <w:t>Directlink</w:t>
      </w:r>
      <w:r>
        <w:t>'s proposed performance targets, caps and collars for each parameter under the service component of the STPIS. The STPIS prescribes each sub-parameter’s revenue weighting.</w:t>
      </w:r>
      <w:r>
        <w:rPr>
          <w:rStyle w:val="FootnoteReference"/>
        </w:rPr>
        <w:footnoteReference w:id="11"/>
      </w:r>
      <w:r>
        <w:t xml:space="preserve"> </w:t>
      </w:r>
    </w:p>
    <w:p w:rsidR="008E30B6" w:rsidRPr="00E02761" w:rsidRDefault="00B748DD" w:rsidP="008E30B6">
      <w:pPr>
        <w:pStyle w:val="Caption"/>
      </w:pPr>
      <w:bookmarkStart w:id="14" w:name="_Ref356810086"/>
      <w:r>
        <w:t>Table</w:t>
      </w:r>
      <w:r w:rsidR="008E30B6">
        <w:t xml:space="preserv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Table \* ARABIC \s 1 ">
        <w:r w:rsidR="00585D99">
          <w:rPr>
            <w:noProof/>
          </w:rPr>
          <w:t>2</w:t>
        </w:r>
      </w:fldSimple>
      <w:bookmarkEnd w:id="14"/>
      <w:r w:rsidR="008E30B6" w:rsidRPr="00E02761">
        <w:tab/>
      </w:r>
      <w:r w:rsidR="008E30B6">
        <w:t>Directlink's</w:t>
      </w:r>
      <w:r w:rsidR="008E30B6" w:rsidRPr="00E02761">
        <w:t xml:space="preserve"> proposed parameter values for the service component of the STPIS</w:t>
      </w:r>
    </w:p>
    <w:tbl>
      <w:tblPr>
        <w:tblStyle w:val="AERtable-numbers"/>
        <w:tblW w:w="0" w:type="auto"/>
        <w:tblLook w:val="04A0" w:firstRow="1" w:lastRow="0" w:firstColumn="1" w:lastColumn="0" w:noHBand="0" w:noVBand="1"/>
      </w:tblPr>
      <w:tblGrid>
        <w:gridCol w:w="3085"/>
        <w:gridCol w:w="1539"/>
        <w:gridCol w:w="1539"/>
        <w:gridCol w:w="1539"/>
        <w:gridCol w:w="1540"/>
      </w:tblGrid>
      <w:tr w:rsidR="002E6B8A" w:rsidTr="00D37CA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85" w:type="dxa"/>
          </w:tcPr>
          <w:p w:rsidR="002E6B8A" w:rsidRPr="001E0CCC" w:rsidRDefault="002E6B8A" w:rsidP="002E6B8A">
            <w:pPr>
              <w:pStyle w:val="AERbodytext"/>
            </w:pPr>
          </w:p>
        </w:tc>
        <w:tc>
          <w:tcPr>
            <w:tcW w:w="1539" w:type="dxa"/>
          </w:tcPr>
          <w:p w:rsidR="002E6B8A" w:rsidRPr="001E0CCC" w:rsidRDefault="002E6B8A" w:rsidP="002E6B8A">
            <w:pPr>
              <w:pStyle w:val="AERtabletextright"/>
              <w:cnfStyle w:val="100000000000" w:firstRow="1" w:lastRow="0" w:firstColumn="0" w:lastColumn="0" w:oddVBand="0" w:evenVBand="0" w:oddHBand="0" w:evenHBand="0" w:firstRowFirstColumn="0" w:firstRowLastColumn="0" w:lastRowFirstColumn="0" w:lastRowLastColumn="0"/>
            </w:pPr>
            <w:r w:rsidRPr="001E0CCC">
              <w:t>Collar</w:t>
            </w:r>
          </w:p>
        </w:tc>
        <w:tc>
          <w:tcPr>
            <w:tcW w:w="1539" w:type="dxa"/>
          </w:tcPr>
          <w:p w:rsidR="002E6B8A" w:rsidRPr="001E0CCC" w:rsidRDefault="002E6B8A" w:rsidP="002E6B8A">
            <w:pPr>
              <w:pStyle w:val="AERtabletextright"/>
              <w:cnfStyle w:val="100000000000" w:firstRow="1" w:lastRow="0" w:firstColumn="0" w:lastColumn="0" w:oddVBand="0" w:evenVBand="0" w:oddHBand="0" w:evenHBand="0" w:firstRowFirstColumn="0" w:firstRowLastColumn="0" w:lastRowFirstColumn="0" w:lastRowLastColumn="0"/>
            </w:pPr>
            <w:r w:rsidRPr="001E0CCC">
              <w:t>Target</w:t>
            </w:r>
          </w:p>
        </w:tc>
        <w:tc>
          <w:tcPr>
            <w:tcW w:w="1539" w:type="dxa"/>
          </w:tcPr>
          <w:p w:rsidR="002E6B8A" w:rsidRPr="001E0CCC" w:rsidRDefault="002E6B8A" w:rsidP="002E6B8A">
            <w:pPr>
              <w:pStyle w:val="AERtabletextright"/>
              <w:cnfStyle w:val="100000000000" w:firstRow="1" w:lastRow="0" w:firstColumn="0" w:lastColumn="0" w:oddVBand="0" w:evenVBand="0" w:oddHBand="0" w:evenHBand="0" w:firstRowFirstColumn="0" w:firstRowLastColumn="0" w:lastRowFirstColumn="0" w:lastRowLastColumn="0"/>
            </w:pPr>
            <w:r w:rsidRPr="001E0CCC">
              <w:t>Cap</w:t>
            </w:r>
          </w:p>
        </w:tc>
        <w:tc>
          <w:tcPr>
            <w:tcW w:w="1540" w:type="dxa"/>
          </w:tcPr>
          <w:p w:rsidR="002E6B8A" w:rsidRPr="001E0CCC" w:rsidRDefault="002E6B8A" w:rsidP="002E6B8A">
            <w:pPr>
              <w:pStyle w:val="AERtabletextright"/>
              <w:cnfStyle w:val="100000000000" w:firstRow="1" w:lastRow="0" w:firstColumn="0" w:lastColumn="0" w:oddVBand="0" w:evenVBand="0" w:oddHBand="0" w:evenHBand="0" w:firstRowFirstColumn="0" w:firstRowLastColumn="0" w:lastRowFirstColumn="0" w:lastRowLastColumn="0"/>
            </w:pPr>
            <w:r w:rsidRPr="001E0CCC">
              <w:t xml:space="preserve">Weighting </w:t>
            </w:r>
            <w:r w:rsidRPr="001E0CCC">
              <w:br/>
              <w:t>(% of MAR)</w:t>
            </w:r>
          </w:p>
        </w:tc>
      </w:tr>
      <w:tr w:rsidR="002E6B8A" w:rsidTr="007D6403">
        <w:tc>
          <w:tcPr>
            <w:cnfStyle w:val="001000000000" w:firstRow="0" w:lastRow="0" w:firstColumn="1" w:lastColumn="0" w:oddVBand="0" w:evenVBand="0" w:oddHBand="0" w:evenHBand="0" w:firstRowFirstColumn="0" w:firstRowLastColumn="0" w:lastRowFirstColumn="0" w:lastRowLastColumn="0"/>
            <w:tcW w:w="3085" w:type="dxa"/>
          </w:tcPr>
          <w:p w:rsidR="002E6B8A" w:rsidRPr="001E0CCC" w:rsidRDefault="002E6B8A" w:rsidP="002E6B8A">
            <w:pPr>
              <w:pStyle w:val="AERbodytext"/>
              <w:rPr>
                <w:rStyle w:val="AERtextbold"/>
              </w:rPr>
            </w:pPr>
            <w:r w:rsidRPr="001E0CCC">
              <w:rPr>
                <w:rStyle w:val="AERtextbold"/>
              </w:rPr>
              <w:t>Average circuit outage rate</w:t>
            </w: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p>
        </w:tc>
        <w:tc>
          <w:tcPr>
            <w:tcW w:w="1539" w:type="dxa"/>
          </w:tcPr>
          <w:p w:rsidR="002E6B8A" w:rsidRPr="001E0CCC" w:rsidRDefault="002E6B8A" w:rsidP="00B748DD">
            <w:pPr>
              <w:pStyle w:val="AERtabletextright"/>
              <w:jc w:val="center"/>
              <w:cnfStyle w:val="000000000000" w:firstRow="0" w:lastRow="0" w:firstColumn="0" w:lastColumn="0" w:oddVBand="0" w:evenVBand="0" w:oddHBand="0" w:evenHBand="0" w:firstRowFirstColumn="0" w:firstRowLastColumn="0" w:lastRowFirstColumn="0" w:lastRowLastColumn="0"/>
            </w:pP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p>
        </w:tc>
        <w:tc>
          <w:tcPr>
            <w:tcW w:w="1540"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p>
        </w:tc>
      </w:tr>
      <w:tr w:rsidR="002E6B8A" w:rsidTr="007D6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2E6B8A" w:rsidRPr="001E0CCC" w:rsidRDefault="002E6B8A" w:rsidP="002E6B8A">
            <w:pPr>
              <w:pStyle w:val="AERbodytext"/>
            </w:pPr>
            <w:r>
              <w:t>Circuit outage</w:t>
            </w:r>
            <w:r w:rsidRPr="001E0CCC">
              <w:t xml:space="preserve"> – fault</w:t>
            </w:r>
          </w:p>
        </w:tc>
        <w:tc>
          <w:tcPr>
            <w:tcW w:w="1539" w:type="dxa"/>
          </w:tcPr>
          <w:p w:rsidR="002E6B8A" w:rsidRPr="001E0CCC"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816%</w:t>
            </w:r>
          </w:p>
        </w:tc>
        <w:tc>
          <w:tcPr>
            <w:tcW w:w="1539" w:type="dxa"/>
          </w:tcPr>
          <w:p w:rsidR="002E6B8A" w:rsidRP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687</w:t>
            </w:r>
            <w:r w:rsidRPr="002E6B8A">
              <w:t>%</w:t>
            </w:r>
          </w:p>
        </w:tc>
        <w:tc>
          <w:tcPr>
            <w:tcW w:w="1539" w:type="dxa"/>
          </w:tcPr>
          <w:p w:rsidR="002E6B8A" w:rsidRP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557%</w:t>
            </w:r>
          </w:p>
        </w:tc>
        <w:tc>
          <w:tcPr>
            <w:tcW w:w="1540" w:type="dxa"/>
          </w:tcPr>
          <w:p w:rsidR="002E6B8A" w:rsidRP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1.0</w:t>
            </w:r>
          </w:p>
        </w:tc>
      </w:tr>
      <w:tr w:rsidR="002E6B8A" w:rsidTr="007D6403">
        <w:tc>
          <w:tcPr>
            <w:cnfStyle w:val="001000000000" w:firstRow="0" w:lastRow="0" w:firstColumn="1" w:lastColumn="0" w:oddVBand="0" w:evenVBand="0" w:oddHBand="0" w:evenHBand="0" w:firstRowFirstColumn="0" w:firstRowLastColumn="0" w:lastRowFirstColumn="0" w:lastRowLastColumn="0"/>
            <w:tcW w:w="3085" w:type="dxa"/>
          </w:tcPr>
          <w:p w:rsidR="002E6B8A" w:rsidRPr="001E0CCC" w:rsidRDefault="002E6B8A" w:rsidP="002E6B8A">
            <w:pPr>
              <w:pStyle w:val="AERbodytext"/>
            </w:pPr>
            <w:r>
              <w:t>Circuit outage</w:t>
            </w:r>
            <w:r w:rsidRPr="001E0CCC">
              <w:t xml:space="preserve"> – forced outage</w:t>
            </w: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339%</w:t>
            </w:r>
          </w:p>
        </w:tc>
        <w:tc>
          <w:tcPr>
            <w:tcW w:w="1539" w:type="dxa"/>
          </w:tcPr>
          <w:p w:rsidR="002E6B8A" w:rsidRPr="002E6B8A"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227%</w:t>
            </w: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114%</w:t>
            </w:r>
          </w:p>
        </w:tc>
        <w:tc>
          <w:tcPr>
            <w:tcW w:w="1540"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rsidRPr="001E0CCC">
              <w:t>0.0</w:t>
            </w:r>
          </w:p>
        </w:tc>
      </w:tr>
      <w:tr w:rsidR="002E6B8A" w:rsidTr="007D6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2E6B8A" w:rsidRPr="001E0CCC" w:rsidRDefault="002E6B8A" w:rsidP="002E6B8A">
            <w:pPr>
              <w:pStyle w:val="AERbodytext"/>
              <w:rPr>
                <w:rStyle w:val="AERtextbold"/>
              </w:rPr>
            </w:pPr>
            <w:r w:rsidRPr="001E0CCC">
              <w:rPr>
                <w:rStyle w:val="AERtextbold"/>
              </w:rPr>
              <w:lastRenderedPageBreak/>
              <w:t>Proper operation of equipment</w:t>
            </w:r>
          </w:p>
        </w:tc>
        <w:tc>
          <w:tcPr>
            <w:tcW w:w="1539" w:type="dxa"/>
          </w:tcPr>
          <w:p w:rsidR="002E6B8A" w:rsidRPr="001E0CCC"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p>
        </w:tc>
        <w:tc>
          <w:tcPr>
            <w:tcW w:w="1539" w:type="dxa"/>
          </w:tcPr>
          <w:p w:rsidR="002E6B8A" w:rsidRPr="001E0CCC"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p>
        </w:tc>
        <w:tc>
          <w:tcPr>
            <w:tcW w:w="1539" w:type="dxa"/>
          </w:tcPr>
          <w:p w:rsidR="002E6B8A" w:rsidRPr="001E0CCC"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p>
        </w:tc>
        <w:tc>
          <w:tcPr>
            <w:tcW w:w="1540" w:type="dxa"/>
          </w:tcPr>
          <w:p w:rsidR="002E6B8A" w:rsidRPr="001E0CCC"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p>
        </w:tc>
      </w:tr>
      <w:tr w:rsidR="002E6B8A" w:rsidTr="007D6403">
        <w:tc>
          <w:tcPr>
            <w:cnfStyle w:val="001000000000" w:firstRow="0" w:lastRow="0" w:firstColumn="1" w:lastColumn="0" w:oddVBand="0" w:evenVBand="0" w:oddHBand="0" w:evenHBand="0" w:firstRowFirstColumn="0" w:firstRowLastColumn="0" w:lastRowFirstColumn="0" w:lastRowLastColumn="0"/>
            <w:tcW w:w="3085" w:type="dxa"/>
          </w:tcPr>
          <w:p w:rsidR="002E6B8A" w:rsidRPr="002E6B8A" w:rsidRDefault="002E6B8A" w:rsidP="002E6B8A">
            <w:r>
              <w:t>Failure of protection system</w:t>
            </w: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5.41</w:t>
            </w: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4.00</w:t>
            </w:r>
          </w:p>
        </w:tc>
        <w:tc>
          <w:tcPr>
            <w:tcW w:w="1539" w:type="dxa"/>
          </w:tcPr>
          <w:p w:rsidR="002E6B8A" w:rsidRPr="001E0CCC"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2.59</w:t>
            </w:r>
          </w:p>
        </w:tc>
        <w:tc>
          <w:tcPr>
            <w:tcW w:w="1540" w:type="dxa"/>
          </w:tcPr>
          <w:p w:rsidR="002E6B8A"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0.0</w:t>
            </w:r>
          </w:p>
        </w:tc>
      </w:tr>
      <w:tr w:rsidR="002E6B8A" w:rsidTr="007D6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2E6B8A" w:rsidRDefault="002E6B8A" w:rsidP="002E6B8A">
            <w:r>
              <w:t>Material failure of SCADA</w:t>
            </w:r>
          </w:p>
        </w:tc>
        <w:tc>
          <w:tcPr>
            <w:tcW w:w="1539" w:type="dxa"/>
          </w:tcPr>
          <w:p w:rsidR="002E6B8A" w:rsidRP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n/a</w:t>
            </w:r>
          </w:p>
        </w:tc>
        <w:tc>
          <w:tcPr>
            <w:tcW w:w="1539" w:type="dxa"/>
          </w:tcPr>
          <w:p w:rsidR="002E6B8A" w:rsidRP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n/a</w:t>
            </w:r>
          </w:p>
        </w:tc>
        <w:tc>
          <w:tcPr>
            <w:tcW w:w="1539" w:type="dxa"/>
          </w:tcPr>
          <w:p w:rsidR="002E6B8A" w:rsidRP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n/a</w:t>
            </w:r>
          </w:p>
        </w:tc>
        <w:tc>
          <w:tcPr>
            <w:tcW w:w="1540" w:type="dxa"/>
          </w:tcPr>
          <w:p w:rsidR="002E6B8A" w:rsidRDefault="002E6B8A" w:rsidP="002E6B8A">
            <w:pPr>
              <w:pStyle w:val="AERtabletextright"/>
              <w:cnfStyle w:val="000000010000" w:firstRow="0" w:lastRow="0" w:firstColumn="0" w:lastColumn="0" w:oddVBand="0" w:evenVBand="0" w:oddHBand="0" w:evenHBand="1" w:firstRowFirstColumn="0" w:firstRowLastColumn="0" w:lastRowFirstColumn="0" w:lastRowLastColumn="0"/>
            </w:pPr>
            <w:r>
              <w:t>0.0</w:t>
            </w:r>
          </w:p>
        </w:tc>
      </w:tr>
      <w:tr w:rsidR="002E6B8A" w:rsidTr="007D6403">
        <w:tc>
          <w:tcPr>
            <w:cnfStyle w:val="001000000000" w:firstRow="0" w:lastRow="0" w:firstColumn="1" w:lastColumn="0" w:oddVBand="0" w:evenVBand="0" w:oddHBand="0" w:evenHBand="0" w:firstRowFirstColumn="0" w:firstRowLastColumn="0" w:lastRowFirstColumn="0" w:lastRowLastColumn="0"/>
            <w:tcW w:w="3085" w:type="dxa"/>
          </w:tcPr>
          <w:p w:rsidR="002E6B8A" w:rsidRDefault="002E6B8A" w:rsidP="002E6B8A">
            <w:r>
              <w:t>Incorrect operational isolation of primary or secondary equipment</w:t>
            </w:r>
          </w:p>
        </w:tc>
        <w:tc>
          <w:tcPr>
            <w:tcW w:w="1539" w:type="dxa"/>
          </w:tcPr>
          <w:p w:rsidR="002E6B8A"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n/a</w:t>
            </w:r>
          </w:p>
        </w:tc>
        <w:tc>
          <w:tcPr>
            <w:tcW w:w="1539" w:type="dxa"/>
          </w:tcPr>
          <w:p w:rsidR="002E6B8A"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n/a</w:t>
            </w:r>
          </w:p>
        </w:tc>
        <w:tc>
          <w:tcPr>
            <w:tcW w:w="1539" w:type="dxa"/>
          </w:tcPr>
          <w:p w:rsidR="002E6B8A"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n/a</w:t>
            </w:r>
          </w:p>
        </w:tc>
        <w:tc>
          <w:tcPr>
            <w:tcW w:w="1540" w:type="dxa"/>
          </w:tcPr>
          <w:p w:rsidR="002E6B8A" w:rsidRDefault="002E6B8A" w:rsidP="002E6B8A">
            <w:pPr>
              <w:pStyle w:val="AERtabletextright"/>
              <w:cnfStyle w:val="000000000000" w:firstRow="0" w:lastRow="0" w:firstColumn="0" w:lastColumn="0" w:oddVBand="0" w:evenVBand="0" w:oddHBand="0" w:evenHBand="0" w:firstRowFirstColumn="0" w:firstRowLastColumn="0" w:lastRowFirstColumn="0" w:lastRowLastColumn="0"/>
            </w:pPr>
            <w:r>
              <w:t>0.0</w:t>
            </w:r>
          </w:p>
        </w:tc>
      </w:tr>
    </w:tbl>
    <w:p w:rsidR="002E6B8A" w:rsidRPr="001E0CCC" w:rsidRDefault="002E6B8A" w:rsidP="002E6B8A">
      <w:pPr>
        <w:pStyle w:val="AERtablesource"/>
      </w:pPr>
      <w:r w:rsidRPr="001E0CCC">
        <w:t xml:space="preserve">Sources: </w:t>
      </w:r>
      <w:r>
        <w:tab/>
        <w:t xml:space="preserve">Directlink, </w:t>
      </w:r>
      <w:r w:rsidRPr="0090043A">
        <w:rPr>
          <w:rStyle w:val="AERtextitalic"/>
        </w:rPr>
        <w:t>Revenue proposal</w:t>
      </w:r>
      <w:r>
        <w:rPr>
          <w:rStyle w:val="AERtextitalic"/>
        </w:rPr>
        <w:t xml:space="preserve"> 2015–20</w:t>
      </w:r>
      <w:r>
        <w:t xml:space="preserve">, p.91; Directlink, </w:t>
      </w:r>
      <w:r w:rsidRPr="008E30B6">
        <w:rPr>
          <w:rStyle w:val="AERtextitalic"/>
        </w:rPr>
        <w:t>13(1)(d) Directlink average circuit outage rate calcs</w:t>
      </w:r>
      <w:r>
        <w:t>, 29 May 2014.</w:t>
      </w:r>
    </w:p>
    <w:p w:rsidR="008E30B6" w:rsidRDefault="008E30B6" w:rsidP="008E30B6">
      <w:pPr>
        <w:pStyle w:val="HeadingBoldBlue"/>
      </w:pPr>
      <w:r>
        <w:t>Market impact component</w:t>
      </w:r>
    </w:p>
    <w:p w:rsidR="00FD008B" w:rsidRPr="00FD008B" w:rsidRDefault="00FD008B" w:rsidP="00FD008B">
      <w:pPr>
        <w:pStyle w:val="AERbodytext"/>
      </w:pPr>
      <w:bookmarkStart w:id="15" w:name="_Toc396839234"/>
      <w:r w:rsidRPr="00FD008B">
        <w:t xml:space="preserve">Directlink did not submit market impact performance data </w:t>
      </w:r>
      <w:r w:rsidR="0041383B">
        <w:t xml:space="preserve">in </w:t>
      </w:r>
      <w:r w:rsidRPr="00FD008B">
        <w:t>its 201</w:t>
      </w:r>
      <w:r w:rsidR="00BD1345">
        <w:t>5</w:t>
      </w:r>
      <w:r w:rsidRPr="00FD008B">
        <w:t>–</w:t>
      </w:r>
      <w:r>
        <w:t>20</w:t>
      </w:r>
      <w:r w:rsidRPr="00FD008B">
        <w:t xml:space="preserve"> </w:t>
      </w:r>
      <w:r w:rsidR="0083003B">
        <w:t>revenue</w:t>
      </w:r>
      <w:r w:rsidRPr="00FD008B">
        <w:t xml:space="preserve"> proposal. Directlink's </w:t>
      </w:r>
      <w:r w:rsidR="0083003B">
        <w:t>revenue</w:t>
      </w:r>
      <w:r w:rsidRPr="00FD008B">
        <w:t xml:space="preserve"> proposal explained that performance data had not been collated since the market impact component of the STPIS has not historically applied to Directlink.</w:t>
      </w:r>
      <w:r w:rsidRPr="00FD008B">
        <w:rPr>
          <w:rStyle w:val="FootnoteReference"/>
        </w:rPr>
        <w:footnoteReference w:id="12"/>
      </w:r>
    </w:p>
    <w:p w:rsidR="00D3343F" w:rsidRPr="00FD008B" w:rsidRDefault="00E6760A" w:rsidP="00FD008B">
      <w:pPr>
        <w:pStyle w:val="AERbodytext"/>
      </w:pPr>
      <w:r>
        <w:t>W</w:t>
      </w:r>
      <w:r w:rsidR="00FD008B" w:rsidRPr="00FD008B">
        <w:t xml:space="preserve">e provided Directlink with relevant binding constraint data for the 2009–2013 calendar years which we extracted from our own databases </w:t>
      </w:r>
      <w:r w:rsidR="008E4B83">
        <w:t>(</w:t>
      </w:r>
      <w:r w:rsidR="00FD008B" w:rsidRPr="00FD008B">
        <w:t>sourced from AEMO</w:t>
      </w:r>
      <w:r w:rsidR="008E4B83">
        <w:t>)</w:t>
      </w:r>
      <w:r w:rsidR="00FD008B" w:rsidRPr="00FD008B">
        <w:t>.</w:t>
      </w:r>
      <w:r w:rsidR="005C1AAD">
        <w:rPr>
          <w:rStyle w:val="FootnoteReference"/>
        </w:rPr>
        <w:footnoteReference w:id="13"/>
      </w:r>
      <w:r w:rsidR="00FD008B" w:rsidRPr="00FD008B">
        <w:t xml:space="preserve"> Directlink used this data to propose </w:t>
      </w:r>
      <w:r w:rsidR="00FD008B">
        <w:t xml:space="preserve">the required </w:t>
      </w:r>
      <w:r w:rsidR="00FD008B" w:rsidRPr="00FD008B">
        <w:t>market impact parameter performance</w:t>
      </w:r>
      <w:r w:rsidR="00F83873">
        <w:t xml:space="preserve"> values</w:t>
      </w:r>
      <w:r w:rsidR="00FD008B" w:rsidRPr="00FD008B">
        <w:t>. For the years ending 1</w:t>
      </w:r>
      <w:r w:rsidR="00D3343F">
        <w:t>1</w:t>
      </w:r>
      <w:r w:rsidR="00FD008B" w:rsidRPr="00FD008B">
        <w:t xml:space="preserve"> August 2010, 1</w:t>
      </w:r>
      <w:r w:rsidR="00D3343F">
        <w:t>1</w:t>
      </w:r>
      <w:r w:rsidR="007D62AC">
        <w:t> </w:t>
      </w:r>
      <w:r w:rsidR="00FD008B" w:rsidRPr="00FD008B">
        <w:t>August 2011 and 1</w:t>
      </w:r>
      <w:r w:rsidR="00D3343F">
        <w:t>1</w:t>
      </w:r>
      <w:r w:rsidR="00FD008B" w:rsidRPr="00FD008B">
        <w:t xml:space="preserve"> August 2012, Directlink's proposed performance values are 29</w:t>
      </w:r>
      <w:r w:rsidR="00D3343F">
        <w:t>49</w:t>
      </w:r>
      <w:r w:rsidR="00FD008B" w:rsidRPr="00FD008B">
        <w:t xml:space="preserve">, </w:t>
      </w:r>
      <w:r w:rsidR="00FD5C57">
        <w:t>1030</w:t>
      </w:r>
      <w:r w:rsidR="00D3343F" w:rsidRPr="00FD008B">
        <w:t xml:space="preserve"> </w:t>
      </w:r>
      <w:r w:rsidR="00FD008B" w:rsidRPr="00FD008B">
        <w:t xml:space="preserve">and </w:t>
      </w:r>
      <w:r w:rsidR="00D3343F">
        <w:t>365.5</w:t>
      </w:r>
      <w:r w:rsidR="00D3343F" w:rsidRPr="00FD008B">
        <w:t xml:space="preserve"> </w:t>
      </w:r>
      <w:r w:rsidR="00FD008B" w:rsidRPr="00FD008B">
        <w:t>dispatch intervals respectively.</w:t>
      </w:r>
      <w:r w:rsidR="00FD008B" w:rsidRPr="00FD008B">
        <w:rPr>
          <w:rStyle w:val="FootnoteReference"/>
        </w:rPr>
        <w:footnoteReference w:id="14"/>
      </w:r>
      <w:r w:rsidR="00D3343F">
        <w:t xml:space="preserve"> </w:t>
      </w:r>
      <w:r>
        <w:t>The</w:t>
      </w:r>
      <w:r w:rsidR="00FD5C57">
        <w:t xml:space="preserve"> average of these values is 1448</w:t>
      </w:r>
      <w:r>
        <w:t>. Directlink did not apply for any exclusions by identifying an exclusion clause, however it provided comments on some of its data suggesting that it did not consider th</w:t>
      </w:r>
      <w:r w:rsidR="007D62AC">
        <w:t>at certain</w:t>
      </w:r>
      <w:r>
        <w:t xml:space="preserve"> count</w:t>
      </w:r>
      <w:r w:rsidR="007D62AC">
        <w:t>s</w:t>
      </w:r>
      <w:r>
        <w:t xml:space="preserve"> </w:t>
      </w:r>
      <w:r w:rsidR="007D62AC">
        <w:t>should</w:t>
      </w:r>
      <w:r>
        <w:t xml:space="preserve"> be included.</w:t>
      </w:r>
      <w:r>
        <w:rPr>
          <w:rStyle w:val="FootnoteReference"/>
        </w:rPr>
        <w:footnoteReference w:id="15"/>
      </w:r>
    </w:p>
    <w:p w:rsidR="00BE35A6" w:rsidRDefault="00BE35A6" w:rsidP="004F0D27">
      <w:pPr>
        <w:pStyle w:val="Heading2"/>
        <w:numPr>
          <w:ilvl w:val="2"/>
          <w:numId w:val="1"/>
        </w:numPr>
      </w:pPr>
      <w:bookmarkStart w:id="16" w:name="_Toc404277699"/>
      <w:r w:rsidRPr="00B47945">
        <w:t>AER's assessment approach</w:t>
      </w:r>
      <w:bookmarkEnd w:id="15"/>
      <w:bookmarkEnd w:id="16"/>
    </w:p>
    <w:p w:rsidR="00516767" w:rsidRPr="000D1C81" w:rsidRDefault="00516767" w:rsidP="00B30747">
      <w:r w:rsidRPr="000D1C81">
        <w:t>A revenue determination for a TNSP is to specify, amongst other things, the annual building block revenue requirement for each regulatory year of the regulatory control period.</w:t>
      </w:r>
      <w:r w:rsidRPr="00B30747">
        <w:rPr>
          <w:rStyle w:val="AERsuperscript"/>
        </w:rPr>
        <w:footnoteReference w:id="16"/>
      </w:r>
      <w:r w:rsidRPr="000D1C81">
        <w:t xml:space="preserve"> In turn, the annual building block revenue requirement must be determined using a building blocks approach, under which one of the building blocks is the </w:t>
      </w:r>
      <w:r w:rsidRPr="00132D09">
        <w:t>revenue increments or decrements (if any) for that year arising from the application of any STIPS (and</w:t>
      </w:r>
      <w:r w:rsidRPr="008700F3">
        <w:t xml:space="preserve"> other schemes).</w:t>
      </w:r>
      <w:r w:rsidRPr="00B30747">
        <w:rPr>
          <w:rStyle w:val="AERsuperscript"/>
        </w:rPr>
        <w:footnoteReference w:id="17"/>
      </w:r>
      <w:r w:rsidR="00F711A7" w:rsidRPr="000D1C81">
        <w:t xml:space="preserve"> As set out above, we have assessed Directlink's proposal against the requirements of the STIPS version 4.1.</w:t>
      </w:r>
    </w:p>
    <w:p w:rsidR="003944C3" w:rsidRPr="003944C3" w:rsidRDefault="003944C3" w:rsidP="003944C3">
      <w:pPr>
        <w:pStyle w:val="HeadingBoldBlue"/>
      </w:pPr>
      <w:r w:rsidRPr="003944C3">
        <w:t>Service component</w:t>
      </w:r>
    </w:p>
    <w:p w:rsidR="00F56C4A" w:rsidRDefault="00F56C4A" w:rsidP="00F56C4A">
      <w:pPr>
        <w:pStyle w:val="AERbodytext"/>
      </w:pPr>
      <w:r>
        <w:t>We assessed whether Directlink's proposed performance targets, caps and collars comply with the STPIS requirements for</w:t>
      </w:r>
      <w:r w:rsidR="008E4B83">
        <w:t xml:space="preserve"> the</w:t>
      </w:r>
      <w:r>
        <w:t>:</w:t>
      </w:r>
      <w:r>
        <w:rPr>
          <w:rStyle w:val="FootnoteReference"/>
        </w:rPr>
        <w:footnoteReference w:id="18"/>
      </w:r>
    </w:p>
    <w:p w:rsidR="00F56C4A" w:rsidRPr="00E02761" w:rsidRDefault="00F56C4A" w:rsidP="00F56C4A">
      <w:pPr>
        <w:pStyle w:val="AERbulletlistfirststyle"/>
      </w:pPr>
      <w:r>
        <w:t>average circuit outage rate, with two sub parameters,</w:t>
      </w:r>
      <w:r>
        <w:rPr>
          <w:rStyle w:val="FootnoteReference"/>
        </w:rPr>
        <w:footnoteReference w:id="19"/>
      </w:r>
      <w:r>
        <w:t xml:space="preserve"> and</w:t>
      </w:r>
    </w:p>
    <w:p w:rsidR="00F56C4A" w:rsidRPr="00E02761" w:rsidRDefault="00F56C4A" w:rsidP="00F56C4A">
      <w:pPr>
        <w:pStyle w:val="AERbulletlistfirststyle"/>
      </w:pPr>
      <w:r>
        <w:lastRenderedPageBreak/>
        <w:t>proper operation of equipment, with three sub-parameters</w:t>
      </w:r>
      <w:r w:rsidR="00B677C3">
        <w:t>.</w:t>
      </w:r>
      <w:r>
        <w:rPr>
          <w:rStyle w:val="FootnoteReference"/>
        </w:rPr>
        <w:footnoteReference w:id="20"/>
      </w:r>
    </w:p>
    <w:p w:rsidR="00F56C4A" w:rsidRPr="00E02761" w:rsidRDefault="00740AC2" w:rsidP="00F56C4A">
      <w:pPr>
        <w:pStyle w:val="AERbodytext"/>
      </w:pPr>
      <w:r>
        <w:t>According to the terms of the STPIS itself, w</w:t>
      </w:r>
      <w:r w:rsidR="00F56C4A">
        <w:t>e must accept Directlink's proposed parameter values if they comply with the requirements of the STPIS.</w:t>
      </w:r>
      <w:r w:rsidR="00F56C4A" w:rsidRPr="00E02761">
        <w:t xml:space="preserve"> We may reject them </w:t>
      </w:r>
      <w:r>
        <w:t xml:space="preserve">where we form the opinion that </w:t>
      </w:r>
      <w:r w:rsidR="00F56C4A" w:rsidRPr="00E02761">
        <w:t>they are inconsistent with the objectives of the STPIS.</w:t>
      </w:r>
      <w:r w:rsidR="00F56C4A" w:rsidRPr="00E02761">
        <w:rPr>
          <w:rStyle w:val="FootnoteReference"/>
        </w:rPr>
        <w:footnoteReference w:id="21"/>
      </w:r>
      <w:r w:rsidR="00F56C4A">
        <w:t xml:space="preserve"> We measure actual performance for the 'average circuit outage rate' parameters on a two year rolling average basis in accordance with appendix E of the STPIS. </w:t>
      </w:r>
    </w:p>
    <w:p w:rsidR="003944C3" w:rsidRPr="003944C3" w:rsidRDefault="003944C3" w:rsidP="003944C3">
      <w:pPr>
        <w:pStyle w:val="AERbodytext"/>
      </w:pPr>
      <w:r w:rsidRPr="003944C3">
        <w:t xml:space="preserve">We assessed </w:t>
      </w:r>
      <w:r>
        <w:t>Directlink</w:t>
      </w:r>
      <w:r w:rsidRPr="003944C3">
        <w:t>'s service component proposal against the requirements of the STPIS — that is, whether:</w:t>
      </w:r>
    </w:p>
    <w:p w:rsidR="003944C3" w:rsidRPr="003944C3" w:rsidRDefault="003944C3" w:rsidP="003944C3">
      <w:pPr>
        <w:pStyle w:val="AERbulletlistfirststyle"/>
      </w:pPr>
      <w:r>
        <w:t>Directlink</w:t>
      </w:r>
      <w:r w:rsidRPr="003944C3">
        <w:t>'s data recording systems and processes produce accurate and reliable data and whether the data is recorded consistently based on the parameter definitions under the STPIS</w:t>
      </w:r>
      <w:r w:rsidRPr="003944C3">
        <w:rPr>
          <w:rStyle w:val="FootnoteReference"/>
        </w:rPr>
        <w:footnoteReference w:id="22"/>
      </w:r>
    </w:p>
    <w:p w:rsidR="003944C3" w:rsidRPr="003944C3" w:rsidRDefault="003944C3" w:rsidP="003944C3">
      <w:pPr>
        <w:pStyle w:val="AERbulletlistfirststyle"/>
      </w:pPr>
      <w:r w:rsidRPr="003944C3">
        <w:t>the proposed performance targets equal to the average of the most recent five years of performance data</w:t>
      </w:r>
      <w:r w:rsidRPr="003944C3">
        <w:rPr>
          <w:rStyle w:val="FootnoteReference"/>
        </w:rPr>
        <w:footnoteReference w:id="23"/>
      </w:r>
    </w:p>
    <w:p w:rsidR="003944C3" w:rsidRPr="003944C3" w:rsidRDefault="003944C3" w:rsidP="003944C3">
      <w:pPr>
        <w:pStyle w:val="AERbulletlistfirststyle"/>
      </w:pPr>
      <w:r w:rsidRPr="003944C3">
        <w:t>any adjustments to the proposed targets are warranted and reasonable</w:t>
      </w:r>
      <w:r w:rsidRPr="003944C3">
        <w:rPr>
          <w:rStyle w:val="FootnoteReference"/>
        </w:rPr>
        <w:footnoteReference w:id="24"/>
      </w:r>
    </w:p>
    <w:p w:rsidR="003944C3" w:rsidRPr="003944C3" w:rsidRDefault="003944C3" w:rsidP="003944C3">
      <w:pPr>
        <w:pStyle w:val="AERbulletlistfirststyle"/>
      </w:pPr>
      <w:r>
        <w:t xml:space="preserve">Directlink </w:t>
      </w:r>
      <w:r w:rsidRPr="003944C3">
        <w:t>used a sound methodology, with reference to the performance target, to calculate the proposed caps and collars</w:t>
      </w:r>
      <w:r w:rsidRPr="003944C3">
        <w:rPr>
          <w:rStyle w:val="FootnoteReference"/>
        </w:rPr>
        <w:footnoteReference w:id="25"/>
      </w:r>
    </w:p>
    <w:p w:rsidR="003944C3" w:rsidRPr="003944C3" w:rsidRDefault="003944C3" w:rsidP="003944C3">
      <w:pPr>
        <w:pStyle w:val="AERbulletlistfirststyle"/>
      </w:pPr>
      <w:r w:rsidRPr="003944C3">
        <w:t>any adjustment to the performance target was applied to the cap and collar of that parameter.</w:t>
      </w:r>
      <w:r w:rsidRPr="003944C3">
        <w:rPr>
          <w:rStyle w:val="FootnoteReference"/>
        </w:rPr>
        <w:footnoteReference w:id="26"/>
      </w:r>
    </w:p>
    <w:p w:rsidR="003944C3" w:rsidRPr="003944C3" w:rsidRDefault="003944C3" w:rsidP="003944C3">
      <w:pPr>
        <w:pStyle w:val="HeadingBoldBlue"/>
      </w:pPr>
      <w:r w:rsidRPr="003944C3">
        <w:t>Market impact component</w:t>
      </w:r>
    </w:p>
    <w:p w:rsidR="00FD008B" w:rsidRPr="00FD008B" w:rsidRDefault="00FD008B" w:rsidP="00FD008B">
      <w:pPr>
        <w:pStyle w:val="AERbodytext"/>
      </w:pPr>
      <w:r w:rsidRPr="00FD008B">
        <w:t xml:space="preserve">We have audited Directlink's market impact performance data for the period </w:t>
      </w:r>
      <w:r w:rsidRPr="00FD008B">
        <w:rPr>
          <w:rStyle w:val="AERbody"/>
        </w:rPr>
        <w:t>1</w:t>
      </w:r>
      <w:r w:rsidR="00D3343F">
        <w:rPr>
          <w:rStyle w:val="AERbody"/>
        </w:rPr>
        <w:t>2</w:t>
      </w:r>
      <w:r w:rsidRPr="00FD008B">
        <w:rPr>
          <w:rStyle w:val="AERbody"/>
        </w:rPr>
        <w:t xml:space="preserve"> August 2009 to 1</w:t>
      </w:r>
      <w:r w:rsidR="00D3343F">
        <w:rPr>
          <w:rStyle w:val="AERbody"/>
        </w:rPr>
        <w:t>1</w:t>
      </w:r>
      <w:r w:rsidR="007D62AC">
        <w:rPr>
          <w:rStyle w:val="AERbody"/>
        </w:rPr>
        <w:t> </w:t>
      </w:r>
      <w:r w:rsidRPr="00FD008B">
        <w:rPr>
          <w:rStyle w:val="AERbody"/>
        </w:rPr>
        <w:t>August 2012</w:t>
      </w:r>
      <w:r w:rsidRPr="00FD008B">
        <w:t xml:space="preserve"> using the following approach:</w:t>
      </w:r>
    </w:p>
    <w:p w:rsidR="00FD008B" w:rsidRPr="00FD008B" w:rsidRDefault="00FD008B" w:rsidP="00FD008B">
      <w:pPr>
        <w:pStyle w:val="AERbulletlistfirststyle"/>
      </w:pPr>
      <w:r w:rsidRPr="00FD008B">
        <w:t>independently calculating (using AEMO data) the number of dispatch intervals related to binding outage constraints and validating that the outages were attributable to the TNSP</w:t>
      </w:r>
    </w:p>
    <w:p w:rsidR="00FD008B" w:rsidRPr="00FD008B" w:rsidRDefault="00FD008B" w:rsidP="00FD008B">
      <w:pPr>
        <w:pStyle w:val="AERbulletlistfirststyle"/>
      </w:pPr>
      <w:r w:rsidRPr="00FD008B">
        <w:t xml:space="preserve">searching AEMO Market Notices to confirm the validity of </w:t>
      </w:r>
      <w:r w:rsidR="008E4B83">
        <w:t xml:space="preserve">the </w:t>
      </w:r>
      <w:r w:rsidRPr="00FD008B">
        <w:t>TNSP’s classification of constraints as outage related, and</w:t>
      </w:r>
    </w:p>
    <w:p w:rsidR="00FD008B" w:rsidRPr="00FD008B" w:rsidRDefault="00FD008B" w:rsidP="00FD008B">
      <w:pPr>
        <w:pStyle w:val="AERbulletlistfirststyle"/>
      </w:pPr>
      <w:r w:rsidRPr="00FD008B">
        <w:t xml:space="preserve">cross-checking network outage request information provided by AEMO to confirm the classification of constraints as outage related. </w:t>
      </w:r>
    </w:p>
    <w:p w:rsidR="00BE35A6" w:rsidRPr="00ED09CD" w:rsidRDefault="00BE35A6" w:rsidP="004F0D27">
      <w:pPr>
        <w:pStyle w:val="Heading3"/>
        <w:numPr>
          <w:ilvl w:val="3"/>
          <w:numId w:val="1"/>
        </w:numPr>
      </w:pPr>
      <w:bookmarkStart w:id="17" w:name="_Toc396839235"/>
      <w:bookmarkStart w:id="18" w:name="_Toc404277700"/>
      <w:r w:rsidRPr="00ED09CD">
        <w:t>Interrelationships</w:t>
      </w:r>
      <w:bookmarkEnd w:id="17"/>
      <w:bookmarkEnd w:id="18"/>
    </w:p>
    <w:p w:rsidR="00F56C4A" w:rsidRPr="00A270A8" w:rsidRDefault="00F56C4A" w:rsidP="00F56C4A">
      <w:r>
        <w:t>T</w:t>
      </w:r>
      <w:r w:rsidRPr="00A270A8">
        <w:t xml:space="preserve">he NER requires the STPIS to take into account any other incentives provided for in the </w:t>
      </w:r>
      <w:r w:rsidR="004F0D27">
        <w:t>NER</w:t>
      </w:r>
      <w:r w:rsidRPr="00A270A8">
        <w:t xml:space="preserve"> that TNSPs have to minimise capital or operating expenditure.</w:t>
      </w:r>
      <w:r w:rsidRPr="00A270A8">
        <w:rPr>
          <w:rStyle w:val="FootnoteReference"/>
        </w:rPr>
        <w:footnoteReference w:id="27"/>
      </w:r>
      <w:r w:rsidRPr="00A270A8">
        <w:t xml:space="preserve"> One of the objectives of the STPIS is to assist in the setting of efficient capital and operating expenditure allowances by balancing the </w:t>
      </w:r>
      <w:r w:rsidRPr="00A270A8">
        <w:lastRenderedPageBreak/>
        <w:t>incentive to reduce actual expenditure with the need to maintain and improve reliability for customers and reduce the market impact of transmission congestion.</w:t>
      </w:r>
      <w:r w:rsidRPr="00A270A8">
        <w:rPr>
          <w:rStyle w:val="FootnoteReference"/>
        </w:rPr>
        <w:footnoteReference w:id="28"/>
      </w:r>
    </w:p>
    <w:p w:rsidR="00F56C4A" w:rsidRDefault="00F56C4A" w:rsidP="00F56C4A">
      <w:pPr>
        <w:pStyle w:val="AERbodytext"/>
      </w:pPr>
      <w:r>
        <w:t>T</w:t>
      </w:r>
      <w:r w:rsidRPr="006455B3">
        <w:t>he STPIS allows us to adjust the performance targets of the service component for the expected effects on the TNSP’s performance from any increases or decreases in the volume of capital works planned during the regulatory control period.</w:t>
      </w:r>
      <w:r>
        <w:rPr>
          <w:rStyle w:val="FootnoteReference"/>
        </w:rPr>
        <w:footnoteReference w:id="29"/>
      </w:r>
      <w:r>
        <w:t xml:space="preserve"> We consider planned reliability improvement works in setting the performance targets of the service component. </w:t>
      </w:r>
    </w:p>
    <w:p w:rsidR="00BE35A6" w:rsidRDefault="00BE35A6" w:rsidP="004F0D27">
      <w:pPr>
        <w:pStyle w:val="Heading2"/>
        <w:numPr>
          <w:ilvl w:val="2"/>
          <w:numId w:val="1"/>
        </w:numPr>
      </w:pPr>
      <w:bookmarkStart w:id="19" w:name="_Toc396839236"/>
      <w:bookmarkStart w:id="20" w:name="_Toc404277701"/>
      <w:r w:rsidRPr="00B47945">
        <w:t>Reasons for draft decision</w:t>
      </w:r>
      <w:bookmarkEnd w:id="19"/>
      <w:bookmarkEnd w:id="20"/>
    </w:p>
    <w:p w:rsidR="00F56C4A" w:rsidRDefault="00F56C4A" w:rsidP="00F56C4A">
      <w:pPr>
        <w:pStyle w:val="AERbodytext"/>
      </w:pPr>
      <w:r>
        <w:t xml:space="preserve">The following section sets out our consideration </w:t>
      </w:r>
      <w:r w:rsidR="00954E49">
        <w:t xml:space="preserve">of the application of </w:t>
      </w:r>
      <w:r>
        <w:t xml:space="preserve">the STPIS to Directlink for the 2015–20 regulatory control period. </w:t>
      </w:r>
    </w:p>
    <w:p w:rsidR="002E6B8A" w:rsidRDefault="002E6B8A" w:rsidP="002E6B8A">
      <w:pPr>
        <w:pStyle w:val="HeadingBoldBlue"/>
      </w:pPr>
      <w:r>
        <w:t>Service component</w:t>
      </w:r>
    </w:p>
    <w:p w:rsidR="00B27937" w:rsidRDefault="00822C6C" w:rsidP="00B27937">
      <w:pPr>
        <w:pStyle w:val="AERbodytext"/>
      </w:pPr>
      <w:r>
        <w:t>Directlink</w:t>
      </w:r>
      <w:r w:rsidR="00B27937">
        <w:t xml:space="preserve"> is subject to version 4.1 of the STPIS for the 2015</w:t>
      </w:r>
      <w:r w:rsidR="00B30747">
        <w:t>–</w:t>
      </w:r>
      <w:r>
        <w:t>20</w:t>
      </w:r>
      <w:r w:rsidR="00B27937">
        <w:t xml:space="preserve"> regulatory control period. The new version includes a parameter called 'average circuit outage rate' introduced in version 4 of the STPIS. This parameter replaced the 'transmission circuit availability' parameter under previous versions of the STPIS.</w:t>
      </w:r>
    </w:p>
    <w:p w:rsidR="00B27937" w:rsidRDefault="00B27937" w:rsidP="00B27937">
      <w:pPr>
        <w:pStyle w:val="HeadingBoldItalic"/>
      </w:pPr>
      <w:r>
        <w:t>Performance targets</w:t>
      </w:r>
    </w:p>
    <w:p w:rsidR="00F96BAE" w:rsidRDefault="00F96BAE" w:rsidP="00F96BAE">
      <w:pPr>
        <w:pStyle w:val="AERbodytext"/>
      </w:pPr>
      <w:r>
        <w:t>Directlink must propose a performance target, a collar and a cap for the parameters applicable to it under the service component in accordance with clause 3.2 of the STPIS. The proposed caps and collars must be calculated by reference to the proposed performance targets and using a sound methodology.</w:t>
      </w:r>
      <w:r>
        <w:rPr>
          <w:rStyle w:val="FootnoteReference"/>
        </w:rPr>
        <w:footnoteReference w:id="30"/>
      </w:r>
      <w:r>
        <w:t xml:space="preserve"> Clause 3.2(k) of the scheme allows us to make adjustment to the performance targets if there is an increase in the volume of capital works that is expected to affect the reliability performance of Directlink.</w:t>
      </w:r>
      <w:r w:rsidRPr="00F96BAE">
        <w:t xml:space="preserve"> </w:t>
      </w:r>
      <w:r>
        <w:t>The scheme also states that adjustments to the proposed performance target may result in adjustment to the proposed caps and collars.</w:t>
      </w:r>
      <w:r>
        <w:rPr>
          <w:rStyle w:val="FootnoteReference"/>
        </w:rPr>
        <w:footnoteReference w:id="31"/>
      </w:r>
    </w:p>
    <w:p w:rsidR="000A5AB9" w:rsidRDefault="000A5AB9" w:rsidP="00F96BAE">
      <w:pPr>
        <w:pStyle w:val="AERbodytext"/>
      </w:pPr>
      <w:r>
        <w:t xml:space="preserve">In reviewing Directlink's circuit outage data, we noted </w:t>
      </w:r>
      <w:r w:rsidR="00157885">
        <w:t xml:space="preserve">Directlink has incorrectly classified some "circuit outage – fault" events as "circuit outage – forced outage" events. We have discussed this issue with Directlink and reclassified those outage events from "forced outage" to "fault" and the revised data was confirmed by Directlink on 11 September 2014. </w:t>
      </w:r>
      <w:r w:rsidR="00042EA3">
        <w:fldChar w:fldCharType="begin"/>
      </w:r>
      <w:r w:rsidR="00042EA3">
        <w:instrText xml:space="preserve"> REF _Ref401307769 \h </w:instrText>
      </w:r>
      <w:r w:rsidR="00042EA3">
        <w:fldChar w:fldCharType="separate"/>
      </w:r>
      <w:r w:rsidR="00585D99">
        <w:t xml:space="preserve">Table </w:t>
      </w:r>
      <w:r w:rsidR="00585D99">
        <w:rPr>
          <w:noProof/>
        </w:rPr>
        <w:t>11</w:t>
      </w:r>
      <w:r w:rsidR="00585D99">
        <w:t>.</w:t>
      </w:r>
      <w:r w:rsidR="00585D99">
        <w:rPr>
          <w:noProof/>
        </w:rPr>
        <w:t>3</w:t>
      </w:r>
      <w:r w:rsidR="00042EA3">
        <w:fldChar w:fldCharType="end"/>
      </w:r>
      <w:r w:rsidR="00042EA3">
        <w:t xml:space="preserve"> </w:t>
      </w:r>
      <w:r w:rsidR="00157885">
        <w:t>below sets of the data that formed the basis of our assessment.</w:t>
      </w:r>
      <w:r w:rsidR="00175A72">
        <w:rPr>
          <w:rStyle w:val="FootnoteReference"/>
        </w:rPr>
        <w:footnoteReference w:id="32"/>
      </w:r>
      <w:r w:rsidR="00175A72">
        <w:t xml:space="preserve"> </w:t>
      </w:r>
      <w:r w:rsidR="00157885">
        <w:t xml:space="preserve"> </w:t>
      </w:r>
    </w:p>
    <w:p w:rsidR="00175A72" w:rsidRDefault="00B748DD" w:rsidP="0024144B">
      <w:pPr>
        <w:pStyle w:val="Caption"/>
      </w:pPr>
      <w:bookmarkStart w:id="21" w:name="_Ref401307769"/>
      <w:r>
        <w:t>Table</w:t>
      </w:r>
      <w:r w:rsidR="0024144B">
        <w:t xml:space="preserv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Table \* ARABIC \s 1 ">
        <w:r w:rsidR="00585D99">
          <w:rPr>
            <w:noProof/>
          </w:rPr>
          <w:t>3</w:t>
        </w:r>
      </w:fldSimple>
      <w:bookmarkEnd w:id="21"/>
      <w:r w:rsidR="0024144B">
        <w:tab/>
        <w:t xml:space="preserve">Directlink's </w:t>
      </w:r>
      <w:r w:rsidR="008E4B83">
        <w:t>revised</w:t>
      </w:r>
      <w:r w:rsidR="008E4B83" w:rsidRPr="00E02761">
        <w:t xml:space="preserve"> </w:t>
      </w:r>
      <w:r w:rsidR="008E4B83">
        <w:t xml:space="preserve">performance </w:t>
      </w:r>
      <w:r w:rsidR="0024144B">
        <w:t>data for service component</w:t>
      </w:r>
    </w:p>
    <w:tbl>
      <w:tblPr>
        <w:tblStyle w:val="AERtable-numbers"/>
        <w:tblW w:w="0" w:type="auto"/>
        <w:tblLook w:val="04A0" w:firstRow="1" w:lastRow="0" w:firstColumn="1" w:lastColumn="0" w:noHBand="0" w:noVBand="1"/>
      </w:tblPr>
      <w:tblGrid>
        <w:gridCol w:w="3392"/>
        <w:gridCol w:w="1170"/>
        <w:gridCol w:w="1170"/>
        <w:gridCol w:w="1170"/>
        <w:gridCol w:w="1170"/>
        <w:gridCol w:w="1170"/>
      </w:tblGrid>
      <w:tr w:rsidR="00175A72" w:rsidTr="00D37CA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392" w:type="dxa"/>
          </w:tcPr>
          <w:p w:rsidR="00175A72" w:rsidRDefault="00175A72" w:rsidP="00F96BAE">
            <w:pPr>
              <w:pStyle w:val="AERbodytext"/>
            </w:pPr>
            <w:r>
              <w:t>Parameter</w:t>
            </w:r>
          </w:p>
        </w:tc>
        <w:tc>
          <w:tcPr>
            <w:tcW w:w="1170" w:type="dxa"/>
          </w:tcPr>
          <w:p w:rsidR="00175A72" w:rsidRDefault="00175A72" w:rsidP="00F96BAE">
            <w:pPr>
              <w:pStyle w:val="AERbodytext"/>
              <w:cnfStyle w:val="100000000000" w:firstRow="1" w:lastRow="0" w:firstColumn="0" w:lastColumn="0" w:oddVBand="0" w:evenVBand="0" w:oddHBand="0" w:evenHBand="0" w:firstRowFirstColumn="0" w:firstRowLastColumn="0" w:lastRowFirstColumn="0" w:lastRowLastColumn="0"/>
            </w:pPr>
            <w:r>
              <w:t>2008</w:t>
            </w:r>
          </w:p>
        </w:tc>
        <w:tc>
          <w:tcPr>
            <w:tcW w:w="1170" w:type="dxa"/>
          </w:tcPr>
          <w:p w:rsidR="00175A72" w:rsidRDefault="00175A72" w:rsidP="00175A72">
            <w:pPr>
              <w:pStyle w:val="AERbodytext"/>
              <w:numPr>
                <w:ilvl w:val="0"/>
                <w:numId w:val="0"/>
              </w:numPr>
              <w:cnfStyle w:val="100000000000" w:firstRow="1" w:lastRow="0" w:firstColumn="0" w:lastColumn="0" w:oddVBand="0" w:evenVBand="0" w:oddHBand="0" w:evenHBand="0" w:firstRowFirstColumn="0" w:firstRowLastColumn="0" w:lastRowFirstColumn="0" w:lastRowLastColumn="0"/>
            </w:pPr>
            <w:r>
              <w:t>2009</w:t>
            </w:r>
          </w:p>
        </w:tc>
        <w:tc>
          <w:tcPr>
            <w:tcW w:w="1170" w:type="dxa"/>
          </w:tcPr>
          <w:p w:rsidR="00175A72" w:rsidRDefault="00175A72" w:rsidP="00175A72">
            <w:pPr>
              <w:pStyle w:val="AERbodytext"/>
              <w:numPr>
                <w:ilvl w:val="0"/>
                <w:numId w:val="0"/>
              </w:numPr>
              <w:cnfStyle w:val="100000000000" w:firstRow="1" w:lastRow="0" w:firstColumn="0" w:lastColumn="0" w:oddVBand="0" w:evenVBand="0" w:oddHBand="0" w:evenHBand="0" w:firstRowFirstColumn="0" w:firstRowLastColumn="0" w:lastRowFirstColumn="0" w:lastRowLastColumn="0"/>
            </w:pPr>
            <w:r>
              <w:t>2010</w:t>
            </w:r>
          </w:p>
        </w:tc>
        <w:tc>
          <w:tcPr>
            <w:tcW w:w="1170" w:type="dxa"/>
          </w:tcPr>
          <w:p w:rsidR="00175A72" w:rsidRDefault="00175A72" w:rsidP="00175A72">
            <w:pPr>
              <w:pStyle w:val="AERbodytext"/>
              <w:numPr>
                <w:ilvl w:val="0"/>
                <w:numId w:val="0"/>
              </w:numPr>
              <w:cnfStyle w:val="100000000000" w:firstRow="1" w:lastRow="0" w:firstColumn="0" w:lastColumn="0" w:oddVBand="0" w:evenVBand="0" w:oddHBand="0" w:evenHBand="0" w:firstRowFirstColumn="0" w:firstRowLastColumn="0" w:lastRowFirstColumn="0" w:lastRowLastColumn="0"/>
            </w:pPr>
            <w:r>
              <w:t>2011</w:t>
            </w:r>
          </w:p>
        </w:tc>
        <w:tc>
          <w:tcPr>
            <w:tcW w:w="1170" w:type="dxa"/>
          </w:tcPr>
          <w:p w:rsidR="00175A72" w:rsidRDefault="00175A72" w:rsidP="00175A72">
            <w:pPr>
              <w:pStyle w:val="AERbodytext"/>
              <w:numPr>
                <w:ilvl w:val="0"/>
                <w:numId w:val="0"/>
              </w:numPr>
              <w:cnfStyle w:val="100000000000" w:firstRow="1" w:lastRow="0" w:firstColumn="0" w:lastColumn="0" w:oddVBand="0" w:evenVBand="0" w:oddHBand="0" w:evenHBand="0" w:firstRowFirstColumn="0" w:firstRowLastColumn="0" w:lastRowFirstColumn="0" w:lastRowLastColumn="0"/>
            </w:pPr>
            <w:r>
              <w:t>2012</w:t>
            </w:r>
          </w:p>
        </w:tc>
      </w:tr>
      <w:tr w:rsidR="00175A72" w:rsidTr="00175A72">
        <w:tc>
          <w:tcPr>
            <w:cnfStyle w:val="001000000000" w:firstRow="0" w:lastRow="0" w:firstColumn="1" w:lastColumn="0" w:oddVBand="0" w:evenVBand="0" w:oddHBand="0" w:evenHBand="0" w:firstRowFirstColumn="0" w:firstRowLastColumn="0" w:lastRowFirstColumn="0" w:lastRowLastColumn="0"/>
            <w:tcW w:w="3392" w:type="dxa"/>
          </w:tcPr>
          <w:p w:rsidR="00175A72" w:rsidRPr="00175A72" w:rsidRDefault="00175A72" w:rsidP="00F96BAE">
            <w:pPr>
              <w:pStyle w:val="AERbodytext"/>
              <w:rPr>
                <w:rStyle w:val="AERtextbold"/>
              </w:rPr>
            </w:pPr>
            <w:r w:rsidRPr="00175A72">
              <w:rPr>
                <w:rStyle w:val="AERtextbold"/>
              </w:rPr>
              <w:t>Average circuit outage rate</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p>
        </w:tc>
      </w:tr>
      <w:tr w:rsidR="00175A72" w:rsidTr="00175A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2" w:type="dxa"/>
          </w:tcPr>
          <w:p w:rsidR="00175A72" w:rsidRDefault="00175A72" w:rsidP="00F96BAE">
            <w:pPr>
              <w:pStyle w:val="AERbodytext"/>
            </w:pPr>
            <w:r>
              <w:t>circuit outage rate – fault</w:t>
            </w: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r>
              <w:t>800.00%</w:t>
            </w: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r>
              <w:t>533.33%</w:t>
            </w: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r>
              <w:t>733.33%</w:t>
            </w: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r>
              <w:t>866.67%</w:t>
            </w: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r>
              <w:t>733.33%</w:t>
            </w:r>
          </w:p>
        </w:tc>
      </w:tr>
      <w:tr w:rsidR="00175A72" w:rsidTr="00175A72">
        <w:tc>
          <w:tcPr>
            <w:cnfStyle w:val="001000000000" w:firstRow="0" w:lastRow="0" w:firstColumn="1" w:lastColumn="0" w:oddVBand="0" w:evenVBand="0" w:oddHBand="0" w:evenHBand="0" w:firstRowFirstColumn="0" w:firstRowLastColumn="0" w:lastRowFirstColumn="0" w:lastRowLastColumn="0"/>
            <w:tcW w:w="3392" w:type="dxa"/>
          </w:tcPr>
          <w:p w:rsidR="00175A72" w:rsidRDefault="00175A72" w:rsidP="00F96BAE">
            <w:pPr>
              <w:pStyle w:val="AERbodytext"/>
            </w:pPr>
            <w:r>
              <w:t>circuit outage rate – forced outages</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r>
              <w:t>166.67%</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r>
              <w:t>33.33%</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r>
              <w:t>366.67%</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r>
              <w:t>166.67%</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r>
              <w:t>166.67%</w:t>
            </w:r>
          </w:p>
        </w:tc>
      </w:tr>
      <w:tr w:rsidR="00175A72" w:rsidTr="00175A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2" w:type="dxa"/>
          </w:tcPr>
          <w:p w:rsidR="00175A72" w:rsidRPr="00175A72" w:rsidRDefault="00175A72" w:rsidP="00175A72">
            <w:pPr>
              <w:pStyle w:val="AERbodytext"/>
              <w:rPr>
                <w:rStyle w:val="AERtextbold"/>
              </w:rPr>
            </w:pPr>
            <w:r w:rsidRPr="00175A72">
              <w:rPr>
                <w:rStyle w:val="AERtextbold"/>
              </w:rPr>
              <w:lastRenderedPageBreak/>
              <w:t xml:space="preserve">Proper operation of equipment </w:t>
            </w: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p>
        </w:tc>
        <w:tc>
          <w:tcPr>
            <w:tcW w:w="1170" w:type="dxa"/>
          </w:tcPr>
          <w:p w:rsidR="00175A72" w:rsidRDefault="00175A72" w:rsidP="00F96BAE">
            <w:pPr>
              <w:pStyle w:val="AERbodytext"/>
              <w:cnfStyle w:val="000000010000" w:firstRow="0" w:lastRow="0" w:firstColumn="0" w:lastColumn="0" w:oddVBand="0" w:evenVBand="0" w:oddHBand="0" w:evenHBand="1" w:firstRowFirstColumn="0" w:firstRowLastColumn="0" w:lastRowFirstColumn="0" w:lastRowLastColumn="0"/>
            </w:pPr>
          </w:p>
        </w:tc>
      </w:tr>
      <w:tr w:rsidR="00175A72" w:rsidTr="00175A72">
        <w:tc>
          <w:tcPr>
            <w:cnfStyle w:val="001000000000" w:firstRow="0" w:lastRow="0" w:firstColumn="1" w:lastColumn="0" w:oddVBand="0" w:evenVBand="0" w:oddHBand="0" w:evenHBand="0" w:firstRowFirstColumn="0" w:firstRowLastColumn="0" w:lastRowFirstColumn="0" w:lastRowLastColumn="0"/>
            <w:tcW w:w="3392" w:type="dxa"/>
          </w:tcPr>
          <w:p w:rsidR="00175A72" w:rsidRDefault="00175A72" w:rsidP="00F96BAE">
            <w:pPr>
              <w:pStyle w:val="AERbodytext"/>
            </w:pPr>
            <w:r w:rsidRPr="00A227A5">
              <w:t>Failure of protection system</w:t>
            </w:r>
          </w:p>
        </w:tc>
        <w:tc>
          <w:tcPr>
            <w:tcW w:w="1170" w:type="dxa"/>
          </w:tcPr>
          <w:p w:rsidR="00175A72" w:rsidRDefault="00175A72" w:rsidP="00F96BAE">
            <w:pPr>
              <w:pStyle w:val="AERbodytext"/>
              <w:cnfStyle w:val="000000000000" w:firstRow="0" w:lastRow="0" w:firstColumn="0" w:lastColumn="0" w:oddVBand="0" w:evenVBand="0" w:oddHBand="0" w:evenHBand="0" w:firstRowFirstColumn="0" w:firstRowLastColumn="0" w:lastRowFirstColumn="0" w:lastRowLastColumn="0"/>
            </w:pPr>
            <w:r>
              <w:t>5</w:t>
            </w:r>
          </w:p>
        </w:tc>
        <w:tc>
          <w:tcPr>
            <w:tcW w:w="1170" w:type="dxa"/>
          </w:tcPr>
          <w:p w:rsidR="00175A72" w:rsidRDefault="00175A72" w:rsidP="00175A72">
            <w:pPr>
              <w:pStyle w:val="AERbodytext"/>
              <w:numPr>
                <w:ilvl w:val="0"/>
                <w:numId w:val="0"/>
              </w:numPr>
              <w:cnfStyle w:val="000000000000" w:firstRow="0" w:lastRow="0" w:firstColumn="0" w:lastColumn="0" w:oddVBand="0" w:evenVBand="0" w:oddHBand="0" w:evenHBand="0" w:firstRowFirstColumn="0" w:firstRowLastColumn="0" w:lastRowFirstColumn="0" w:lastRowLastColumn="0"/>
            </w:pPr>
            <w:r>
              <w:t>3</w:t>
            </w:r>
          </w:p>
        </w:tc>
        <w:tc>
          <w:tcPr>
            <w:tcW w:w="1170" w:type="dxa"/>
          </w:tcPr>
          <w:p w:rsidR="00175A72" w:rsidRDefault="00175A72" w:rsidP="00175A72">
            <w:pPr>
              <w:pStyle w:val="AERbodytext"/>
              <w:numPr>
                <w:ilvl w:val="0"/>
                <w:numId w:val="0"/>
              </w:numPr>
              <w:cnfStyle w:val="000000000000" w:firstRow="0" w:lastRow="0" w:firstColumn="0" w:lastColumn="0" w:oddVBand="0" w:evenVBand="0" w:oddHBand="0" w:evenHBand="0" w:firstRowFirstColumn="0" w:firstRowLastColumn="0" w:lastRowFirstColumn="0" w:lastRowLastColumn="0"/>
            </w:pPr>
            <w:r>
              <w:t>4</w:t>
            </w:r>
          </w:p>
        </w:tc>
        <w:tc>
          <w:tcPr>
            <w:tcW w:w="1170" w:type="dxa"/>
          </w:tcPr>
          <w:p w:rsidR="00175A72" w:rsidRDefault="00175A72" w:rsidP="00175A72">
            <w:pPr>
              <w:pStyle w:val="AERbodytext"/>
              <w:numPr>
                <w:ilvl w:val="0"/>
                <w:numId w:val="0"/>
              </w:numPr>
              <w:cnfStyle w:val="000000000000" w:firstRow="0" w:lastRow="0" w:firstColumn="0" w:lastColumn="0" w:oddVBand="0" w:evenVBand="0" w:oddHBand="0" w:evenHBand="0" w:firstRowFirstColumn="0" w:firstRowLastColumn="0" w:lastRowFirstColumn="0" w:lastRowLastColumn="0"/>
            </w:pPr>
            <w:r>
              <w:t>2</w:t>
            </w:r>
          </w:p>
        </w:tc>
        <w:tc>
          <w:tcPr>
            <w:tcW w:w="1170" w:type="dxa"/>
          </w:tcPr>
          <w:p w:rsidR="00175A72" w:rsidRDefault="00175A72" w:rsidP="00175A72">
            <w:pPr>
              <w:pStyle w:val="AERbodytext"/>
              <w:numPr>
                <w:ilvl w:val="0"/>
                <w:numId w:val="0"/>
              </w:numPr>
              <w:cnfStyle w:val="000000000000" w:firstRow="0" w:lastRow="0" w:firstColumn="0" w:lastColumn="0" w:oddVBand="0" w:evenVBand="0" w:oddHBand="0" w:evenHBand="0" w:firstRowFirstColumn="0" w:firstRowLastColumn="0" w:lastRowFirstColumn="0" w:lastRowLastColumn="0"/>
            </w:pPr>
            <w:r>
              <w:t>6</w:t>
            </w:r>
          </w:p>
        </w:tc>
      </w:tr>
    </w:tbl>
    <w:p w:rsidR="00175A72" w:rsidRDefault="00042EA3" w:rsidP="00105525">
      <w:pPr>
        <w:pStyle w:val="AERtablesource"/>
      </w:pPr>
      <w:r>
        <w:t xml:space="preserve">Source: AER, </w:t>
      </w:r>
      <w:r w:rsidRPr="00042EA3">
        <w:rPr>
          <w:rStyle w:val="AERtextitalic"/>
        </w:rPr>
        <w:t>revised Directlink average circuit outage rate calc</w:t>
      </w:r>
      <w:r w:rsidR="00105525">
        <w:rPr>
          <w:rStyle w:val="AERtextitalic"/>
        </w:rPr>
        <w:t>.xl</w:t>
      </w:r>
      <w:r w:rsidRPr="00042EA3">
        <w:rPr>
          <w:rStyle w:val="AERtextitalic"/>
        </w:rPr>
        <w:t>s</w:t>
      </w:r>
      <w:r w:rsidR="00105525">
        <w:rPr>
          <w:rStyle w:val="AERtextitalic"/>
        </w:rPr>
        <w:t xml:space="preserve">, </w:t>
      </w:r>
      <w:r w:rsidR="00105525" w:rsidRPr="00105525">
        <w:rPr>
          <w:rStyle w:val="AERtextitalic"/>
          <w:i w:val="0"/>
        </w:rPr>
        <w:t>confirmed with Directlink on 11 September 2014</w:t>
      </w:r>
    </w:p>
    <w:p w:rsidR="005320F9" w:rsidRDefault="00042EA3" w:rsidP="00F96BAE">
      <w:pPr>
        <w:pStyle w:val="AERbodytext"/>
      </w:pPr>
      <w:r>
        <w:t xml:space="preserve">We note that </w:t>
      </w:r>
      <w:r w:rsidR="000A5AB9">
        <w:t xml:space="preserve">Directlink has proposed substantial increases in </w:t>
      </w:r>
      <w:r>
        <w:t xml:space="preserve">operating and capital expenditure for the 2015–20 </w:t>
      </w:r>
      <w:r w:rsidR="005320F9">
        <w:t>regulatory</w:t>
      </w:r>
      <w:r>
        <w:t xml:space="preserve"> control period,</w:t>
      </w:r>
      <w:r w:rsidR="000A5AB9">
        <w:t xml:space="preserve"> with much of this justified on the basis of improved reliability outcomes. </w:t>
      </w:r>
      <w:r w:rsidR="005320F9">
        <w:t xml:space="preserve">We have approved </w:t>
      </w:r>
      <w:r w:rsidR="00752017">
        <w:t>a total capital allowance of $25.6</w:t>
      </w:r>
      <w:r w:rsidR="005320F9">
        <w:t xml:space="preserve"> million </w:t>
      </w:r>
      <w:r w:rsidR="00752017">
        <w:t>for Directlink, which is a substantial increase in capex compared to the historical levels. Under this circumstance, we do not consider it is reasonable to simply set the performance targets equal to Directlink's average performance history over the past five years without adjustment.</w:t>
      </w:r>
    </w:p>
    <w:p w:rsidR="00EA57EC" w:rsidRDefault="00EA57EC" w:rsidP="00752017">
      <w:pPr>
        <w:pStyle w:val="AERbodytext"/>
      </w:pPr>
      <w:r>
        <w:t>Directlink submitted that t</w:t>
      </w:r>
      <w:r w:rsidRPr="00EA57EC">
        <w:t xml:space="preserve">here are two different types of faults </w:t>
      </w:r>
      <w:r>
        <w:t>that would result in reliability reduction, they are:</w:t>
      </w:r>
      <w:r>
        <w:rPr>
          <w:rStyle w:val="FootnoteReference"/>
        </w:rPr>
        <w:footnoteReference w:id="33"/>
      </w:r>
    </w:p>
    <w:p w:rsidR="00EA57EC" w:rsidRDefault="00EA57EC" w:rsidP="00EA57EC">
      <w:pPr>
        <w:pStyle w:val="AERbulletlistfirststyle"/>
      </w:pPr>
      <w:r w:rsidRPr="00EA57EC">
        <w:t>a cable fault, which can cause a single circuit to be offline for a number of days;</w:t>
      </w:r>
    </w:p>
    <w:p w:rsidR="00EA57EC" w:rsidRDefault="00EA57EC" w:rsidP="00EA57EC">
      <w:pPr>
        <w:pStyle w:val="AERbulletlistfirststyle"/>
      </w:pPr>
      <w:r>
        <w:t>a</w:t>
      </w:r>
      <w:r w:rsidRPr="00EA57EC">
        <w:t xml:space="preserve"> fault at a converter station, which could result in a catastrophic failure and result in that circuit (and potentially other circuits) being off line for an extended period.</w:t>
      </w:r>
    </w:p>
    <w:p w:rsidR="00752017" w:rsidRDefault="00EA57EC" w:rsidP="00752017">
      <w:pPr>
        <w:pStyle w:val="AERbodytext"/>
      </w:pPr>
      <w:r>
        <w:t>It also submitted there have been 138 cable faults since its system was commission</w:t>
      </w:r>
      <w:r w:rsidR="008679FF">
        <w:t>ed</w:t>
      </w:r>
      <w:r>
        <w:t xml:space="preserve"> in 2000.</w:t>
      </w:r>
      <w:r>
        <w:rPr>
          <w:rStyle w:val="FootnoteReference"/>
        </w:rPr>
        <w:footnoteReference w:id="34"/>
      </w:r>
      <w:r>
        <w:t xml:space="preserve"> </w:t>
      </w:r>
      <w:r w:rsidR="00752017">
        <w:t xml:space="preserve">This is an average of around 10 </w:t>
      </w:r>
      <w:r>
        <w:t xml:space="preserve">cable faults </w:t>
      </w:r>
      <w:r w:rsidR="00752017">
        <w:t xml:space="preserve">per annum, as </w:t>
      </w:r>
      <w:r>
        <w:t xml:space="preserve">illustrated in </w:t>
      </w:r>
      <w:r w:rsidR="00634ECD">
        <w:fldChar w:fldCharType="begin"/>
      </w:r>
      <w:r w:rsidR="00634ECD">
        <w:instrText xml:space="preserve"> REF _Ref401325291 \h </w:instrText>
      </w:r>
      <w:r w:rsidR="00634ECD">
        <w:fldChar w:fldCharType="separate"/>
      </w:r>
      <w:r w:rsidR="00585D99">
        <w:t xml:space="preserve">Figure </w:t>
      </w:r>
      <w:r w:rsidR="00585D99">
        <w:rPr>
          <w:noProof/>
        </w:rPr>
        <w:t>11</w:t>
      </w:r>
      <w:r w:rsidR="00585D99">
        <w:t>.</w:t>
      </w:r>
      <w:r w:rsidR="00585D99">
        <w:rPr>
          <w:noProof/>
        </w:rPr>
        <w:t>1</w:t>
      </w:r>
      <w:r w:rsidR="00634ECD">
        <w:fldChar w:fldCharType="end"/>
      </w:r>
      <w:r w:rsidR="00634ECD">
        <w:t xml:space="preserve"> </w:t>
      </w:r>
      <w:r>
        <w:t>below.</w:t>
      </w:r>
    </w:p>
    <w:p w:rsidR="00EA57EC" w:rsidRDefault="00634ECD" w:rsidP="00634ECD">
      <w:pPr>
        <w:pStyle w:val="Caption"/>
      </w:pPr>
      <w:bookmarkStart w:id="22" w:name="_Ref401325291"/>
      <w:r>
        <w:t xml:space="preserve">Figure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Figure \* ARABIC \s 1 ">
        <w:r w:rsidR="00585D99">
          <w:rPr>
            <w:noProof/>
          </w:rPr>
          <w:t>1</w:t>
        </w:r>
      </w:fldSimple>
      <w:bookmarkEnd w:id="22"/>
      <w:r>
        <w:tab/>
      </w:r>
      <w:r w:rsidR="00EA57EC">
        <w:t>Directlink's reported historical cable faults</w:t>
      </w:r>
    </w:p>
    <w:p w:rsidR="00752017" w:rsidRDefault="00EA57EC" w:rsidP="00752017">
      <w:pPr>
        <w:pStyle w:val="AERbodytext"/>
      </w:pPr>
      <w:r w:rsidRPr="00EA57EC">
        <w:rPr>
          <w:noProof/>
          <w:lang w:eastAsia="en-AU"/>
        </w:rPr>
        <w:drawing>
          <wp:inline distT="0" distB="0" distL="0" distR="0" wp14:anchorId="72F5512E" wp14:editId="483842C7">
            <wp:extent cx="5704762" cy="3142857"/>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704762" cy="3142857"/>
                    </a:xfrm>
                    <a:prstGeom prst="rect">
                      <a:avLst/>
                    </a:prstGeom>
                  </pic:spPr>
                </pic:pic>
              </a:graphicData>
            </a:graphic>
          </wp:inline>
        </w:drawing>
      </w:r>
    </w:p>
    <w:p w:rsidR="00EA57EC" w:rsidRDefault="00EA57EC" w:rsidP="00EA57EC">
      <w:pPr>
        <w:pStyle w:val="AERtablesource"/>
      </w:pPr>
      <w:r>
        <w:t xml:space="preserve">Source: Directlink, </w:t>
      </w:r>
      <w:r w:rsidRPr="00EA57EC">
        <w:rPr>
          <w:rStyle w:val="AERtextitalic"/>
        </w:rPr>
        <w:t>Revenue proposal 2015–20</w:t>
      </w:r>
      <w:r w:rsidRPr="00EA57EC">
        <w:t>, p.</w:t>
      </w:r>
      <w:r>
        <w:t>31</w:t>
      </w:r>
    </w:p>
    <w:p w:rsidR="00FA2EC0" w:rsidRPr="00FA2EC0" w:rsidRDefault="00FA2EC0" w:rsidP="00FA2EC0">
      <w:pPr>
        <w:pStyle w:val="AERbodytext"/>
        <w:rPr>
          <w:lang w:eastAsia="en-AU"/>
        </w:rPr>
      </w:pPr>
      <w:r>
        <w:lastRenderedPageBreak/>
        <w:t xml:space="preserve">Directlink noted its historical cable repair strategy was </w:t>
      </w:r>
      <w:r w:rsidRPr="00FA2EC0">
        <w:t>focused on a short section of the cable surrounding a fault</w:t>
      </w:r>
      <w:r>
        <w:t xml:space="preserve"> and</w:t>
      </w:r>
      <w:r w:rsidRPr="00FA2EC0">
        <w:t xml:space="preserve"> experience has shown that another fault often occurs nearby</w:t>
      </w:r>
      <w:r>
        <w:t xml:space="preserve">. </w:t>
      </w:r>
      <w:r w:rsidRPr="00FA2EC0">
        <w:rPr>
          <w:lang w:eastAsia="en-AU"/>
        </w:rPr>
        <w:t xml:space="preserve">Directlink has now developed a </w:t>
      </w:r>
      <w:r>
        <w:t xml:space="preserve">new </w:t>
      </w:r>
      <w:r w:rsidRPr="00FA2EC0">
        <w:rPr>
          <w:lang w:eastAsia="en-AU"/>
        </w:rPr>
        <w:t>strategy to replace longer segments of cable during cable repair operations</w:t>
      </w:r>
      <w:r>
        <w:t xml:space="preserve"> which requires additional operating and capital expenditure. As shown in </w:t>
      </w:r>
      <w:r w:rsidR="00634ECD">
        <w:fldChar w:fldCharType="begin"/>
      </w:r>
      <w:r w:rsidR="00634ECD">
        <w:instrText xml:space="preserve"> REF _Ref401325291 \h </w:instrText>
      </w:r>
      <w:r w:rsidR="00634ECD">
        <w:fldChar w:fldCharType="separate"/>
      </w:r>
      <w:r w:rsidR="00585D99">
        <w:t xml:space="preserve">Figure </w:t>
      </w:r>
      <w:r w:rsidR="00585D99">
        <w:rPr>
          <w:noProof/>
        </w:rPr>
        <w:t>11</w:t>
      </w:r>
      <w:r w:rsidR="00585D99">
        <w:t>.</w:t>
      </w:r>
      <w:r w:rsidR="00585D99">
        <w:rPr>
          <w:noProof/>
        </w:rPr>
        <w:t>1</w:t>
      </w:r>
      <w:r w:rsidR="00634ECD">
        <w:fldChar w:fldCharType="end"/>
      </w:r>
      <w:r w:rsidR="00634ECD">
        <w:t xml:space="preserve"> </w:t>
      </w:r>
      <w:r>
        <w:t>above,</w:t>
      </w:r>
      <w:r w:rsidRPr="00FA2EC0">
        <w:rPr>
          <w:lang w:eastAsia="en-AU"/>
        </w:rPr>
        <w:t xml:space="preserve"> this strategy appears to be delivering positive outcomes.</w:t>
      </w:r>
      <w:r>
        <w:rPr>
          <w:rStyle w:val="FootnoteReference"/>
          <w:lang w:eastAsia="en-AU"/>
        </w:rPr>
        <w:footnoteReference w:id="35"/>
      </w:r>
      <w:r w:rsidRPr="00FA2EC0">
        <w:rPr>
          <w:lang w:eastAsia="en-AU"/>
        </w:rPr>
        <w:t xml:space="preserve"> </w:t>
      </w:r>
    </w:p>
    <w:p w:rsidR="00752017" w:rsidRDefault="00FA2EC0" w:rsidP="00752017">
      <w:pPr>
        <w:pStyle w:val="AERbodytext"/>
      </w:pPr>
      <w:r>
        <w:t xml:space="preserve">We have analysed the historical circuit outages by their major cause—that is by cable fault, control system fault and other cause. </w:t>
      </w:r>
      <w:r w:rsidR="00634ECD">
        <w:fldChar w:fldCharType="begin"/>
      </w:r>
      <w:r w:rsidR="00634ECD">
        <w:instrText xml:space="preserve"> REF _Ref401325359 \h </w:instrText>
      </w:r>
      <w:r w:rsidR="00634ECD">
        <w:fldChar w:fldCharType="separate"/>
      </w:r>
      <w:r w:rsidR="00585D99">
        <w:t xml:space="preserve">Figure </w:t>
      </w:r>
      <w:r w:rsidR="00585D99">
        <w:rPr>
          <w:noProof/>
        </w:rPr>
        <w:t>11</w:t>
      </w:r>
      <w:r w:rsidR="00585D99">
        <w:t>.</w:t>
      </w:r>
      <w:r w:rsidR="00585D99">
        <w:rPr>
          <w:noProof/>
        </w:rPr>
        <w:t>2</w:t>
      </w:r>
      <w:r w:rsidR="00634ECD">
        <w:fldChar w:fldCharType="end"/>
      </w:r>
      <w:r w:rsidR="00634ECD">
        <w:t xml:space="preserve"> </w:t>
      </w:r>
      <w:r>
        <w:t xml:space="preserve">indicates cable faults and control system failures are the key causes of </w:t>
      </w:r>
      <w:r w:rsidR="005D5526">
        <w:t xml:space="preserve">Directlink's </w:t>
      </w:r>
      <w:r>
        <w:t xml:space="preserve">circuit outages. We have also observed a clear reducing trend in cable faults since 2010, which is likely to be the result of Directlink's new </w:t>
      </w:r>
      <w:r w:rsidR="005D5526">
        <w:t>cable repair strategy.</w:t>
      </w:r>
    </w:p>
    <w:p w:rsidR="00752017" w:rsidRPr="00752017" w:rsidRDefault="00634ECD" w:rsidP="00634ECD">
      <w:pPr>
        <w:pStyle w:val="Caption"/>
      </w:pPr>
      <w:bookmarkStart w:id="23" w:name="_Ref401325359"/>
      <w:r>
        <w:t xml:space="preserve">Figure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Figure \* ARABIC \s 1 ">
        <w:r w:rsidR="00585D99">
          <w:rPr>
            <w:noProof/>
          </w:rPr>
          <w:t>2</w:t>
        </w:r>
      </w:fldSimple>
      <w:bookmarkEnd w:id="23"/>
      <w:r w:rsidR="00752017" w:rsidRPr="00752017">
        <w:tab/>
      </w:r>
      <w:r w:rsidR="005D5526">
        <w:t>Directlink's a</w:t>
      </w:r>
      <w:r w:rsidR="00752017" w:rsidRPr="00752017">
        <w:t xml:space="preserve">nnual </w:t>
      </w:r>
      <w:r w:rsidR="005D5526">
        <w:t xml:space="preserve">circuit </w:t>
      </w:r>
      <w:r w:rsidR="00752017" w:rsidRPr="00752017">
        <w:t>outages by major cause</w:t>
      </w:r>
      <w:r w:rsidR="00105525">
        <w:t xml:space="preserve"> (number of outages)</w:t>
      </w:r>
    </w:p>
    <w:p w:rsidR="00752017" w:rsidRDefault="00752017" w:rsidP="005D5526">
      <w:pPr>
        <w:pStyle w:val="AERtablesource"/>
      </w:pPr>
      <w:r w:rsidRPr="00752017">
        <w:rPr>
          <w:noProof/>
          <w:lang w:eastAsia="en-AU"/>
        </w:rPr>
        <w:drawing>
          <wp:inline distT="0" distB="0" distL="0" distR="0" wp14:anchorId="3166A9E1" wp14:editId="4A8FF18F">
            <wp:extent cx="5731510" cy="3177929"/>
            <wp:effectExtent l="0" t="0" r="254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3177929"/>
                    </a:xfrm>
                    <a:prstGeom prst="rect">
                      <a:avLst/>
                    </a:prstGeom>
                    <a:noFill/>
                    <a:ln>
                      <a:noFill/>
                    </a:ln>
                  </pic:spPr>
                </pic:pic>
              </a:graphicData>
            </a:graphic>
          </wp:inline>
        </w:drawing>
      </w:r>
    </w:p>
    <w:p w:rsidR="005D5526" w:rsidRPr="005D5526" w:rsidRDefault="005D5526" w:rsidP="005D5526">
      <w:pPr>
        <w:pStyle w:val="AERtablesource"/>
      </w:pPr>
      <w:r>
        <w:t xml:space="preserve">Source: </w:t>
      </w:r>
      <w:r>
        <w:tab/>
        <w:t>AER analysis</w:t>
      </w:r>
    </w:p>
    <w:p w:rsidR="00D049C9" w:rsidRDefault="00454297" w:rsidP="00752017">
      <w:pPr>
        <w:pStyle w:val="AERbodytext"/>
      </w:pPr>
      <w:r>
        <w:t xml:space="preserve">The historical trend </w:t>
      </w:r>
      <w:r w:rsidR="004F0D27">
        <w:t xml:space="preserve">in Figure 11.3 </w:t>
      </w:r>
      <w:r>
        <w:t>shows a decreasing prevalence of cable faults, even after adjusting for the reduced availability in 2012 and 2013.</w:t>
      </w:r>
      <w:r w:rsidR="005849EE">
        <w:rPr>
          <w:rStyle w:val="FootnoteReference"/>
        </w:rPr>
        <w:footnoteReference w:id="36"/>
      </w:r>
      <w:r>
        <w:t xml:space="preserve"> We expect cable faults to decrease further as a result of </w:t>
      </w:r>
      <w:r w:rsidR="00D049C9">
        <w:t xml:space="preserve">this improved cable repair strategy and </w:t>
      </w:r>
      <w:r>
        <w:t xml:space="preserve">increased capex allowance. </w:t>
      </w:r>
      <w:r w:rsidR="005849EE">
        <w:t xml:space="preserve">We have applied this trend to </w:t>
      </w:r>
      <w:r w:rsidR="00D049C9">
        <w:t>the start of next regulatory control period</w:t>
      </w:r>
      <w:r w:rsidR="005849EE">
        <w:t xml:space="preserve"> and estimated </w:t>
      </w:r>
      <w:r w:rsidR="00D92459">
        <w:t>2.15</w:t>
      </w:r>
      <w:r w:rsidR="005849EE">
        <w:t xml:space="preserve"> cable fault</w:t>
      </w:r>
      <w:r w:rsidR="00D92459">
        <w:t>s</w:t>
      </w:r>
      <w:r w:rsidR="005849EE">
        <w:t xml:space="preserve"> </w:t>
      </w:r>
      <w:r w:rsidR="00D049C9">
        <w:t>per annum in 2015</w:t>
      </w:r>
      <w:r w:rsidR="005849EE">
        <w:t xml:space="preserve">.  </w:t>
      </w:r>
    </w:p>
    <w:p w:rsidR="00D049C9" w:rsidRDefault="00634ECD" w:rsidP="00634ECD">
      <w:pPr>
        <w:pStyle w:val="Caption"/>
      </w:pPr>
      <w:r>
        <w:lastRenderedPageBreak/>
        <w:t xml:space="preserve">Figure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Figure \* ARABIC \s 1 ">
        <w:r w:rsidR="00585D99">
          <w:rPr>
            <w:noProof/>
          </w:rPr>
          <w:t>3</w:t>
        </w:r>
      </w:fldSimple>
      <w:r>
        <w:tab/>
      </w:r>
      <w:r w:rsidR="00D049C9">
        <w:t>Observed cable faults trend for Directlink</w:t>
      </w:r>
      <w:r w:rsidR="00105525">
        <w:t xml:space="preserve"> (number of cable faults)</w:t>
      </w:r>
    </w:p>
    <w:p w:rsidR="00D049C9" w:rsidRDefault="00D049C9" w:rsidP="00D049C9">
      <w:pPr>
        <w:pStyle w:val="AERbodytext"/>
      </w:pPr>
      <w:r w:rsidRPr="00D049C9">
        <w:rPr>
          <w:noProof/>
          <w:lang w:eastAsia="en-AU"/>
        </w:rPr>
        <w:drawing>
          <wp:inline distT="0" distB="0" distL="0" distR="0" wp14:anchorId="0F32C61B" wp14:editId="29E6B467">
            <wp:extent cx="5731510" cy="314829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3148294"/>
                    </a:xfrm>
                    <a:prstGeom prst="rect">
                      <a:avLst/>
                    </a:prstGeom>
                    <a:noFill/>
                    <a:ln>
                      <a:noFill/>
                    </a:ln>
                  </pic:spPr>
                </pic:pic>
              </a:graphicData>
            </a:graphic>
          </wp:inline>
        </w:drawing>
      </w:r>
    </w:p>
    <w:p w:rsidR="00D049C9" w:rsidRDefault="00D049C9" w:rsidP="00D049C9">
      <w:pPr>
        <w:pStyle w:val="AERtablesource"/>
      </w:pPr>
      <w:r w:rsidRPr="00D049C9">
        <w:t xml:space="preserve">Source: </w:t>
      </w:r>
      <w:r w:rsidRPr="00D049C9">
        <w:tab/>
        <w:t>AER analysis</w:t>
      </w:r>
    </w:p>
    <w:p w:rsidR="00D92459" w:rsidRDefault="00D92459" w:rsidP="00D92459">
      <w:pPr>
        <w:pStyle w:val="AERbodytext"/>
      </w:pPr>
      <w:r>
        <w:t>We also observe a decreasing trend for other faults as illustrated in</w:t>
      </w:r>
      <w:r w:rsidR="00634ECD">
        <w:t xml:space="preserve"> </w:t>
      </w:r>
      <w:r w:rsidR="00634ECD">
        <w:fldChar w:fldCharType="begin"/>
      </w:r>
      <w:r w:rsidR="00634ECD">
        <w:instrText xml:space="preserve"> REF _Ref401325400 \h </w:instrText>
      </w:r>
      <w:r w:rsidR="00634ECD">
        <w:fldChar w:fldCharType="separate"/>
      </w:r>
      <w:r w:rsidR="00585D99">
        <w:t xml:space="preserve">Figure </w:t>
      </w:r>
      <w:r w:rsidR="00585D99">
        <w:rPr>
          <w:noProof/>
        </w:rPr>
        <w:t>11</w:t>
      </w:r>
      <w:r w:rsidR="00585D99">
        <w:t>.</w:t>
      </w:r>
      <w:r w:rsidR="00585D99">
        <w:rPr>
          <w:noProof/>
        </w:rPr>
        <w:t>4</w:t>
      </w:r>
      <w:r w:rsidR="00634ECD">
        <w:fldChar w:fldCharType="end"/>
      </w:r>
      <w:r>
        <w:t>. This is likely to be a result of Directlink's improved maintenance practice</w:t>
      </w:r>
      <w:r w:rsidR="007B1AE8">
        <w:t>s</w:t>
      </w:r>
      <w:r>
        <w:t xml:space="preserve">. Similar to the cable faults, we have applied this trend to the start of next regulatory control period and estimated 6.50 other fault outages per annum in 2015.  </w:t>
      </w:r>
    </w:p>
    <w:p w:rsidR="00D92459" w:rsidRPr="00D92459" w:rsidRDefault="00634ECD" w:rsidP="00634ECD">
      <w:pPr>
        <w:pStyle w:val="Caption"/>
      </w:pPr>
      <w:bookmarkStart w:id="24" w:name="_Ref401325400"/>
      <w:r>
        <w:t xml:space="preserve">Figure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Figure \* ARABIC \s 1 ">
        <w:r w:rsidR="00585D99">
          <w:rPr>
            <w:noProof/>
          </w:rPr>
          <w:t>4</w:t>
        </w:r>
      </w:fldSimple>
      <w:bookmarkEnd w:id="24"/>
      <w:r>
        <w:tab/>
      </w:r>
      <w:r w:rsidR="00D92459" w:rsidRPr="00D92459">
        <w:t xml:space="preserve">Observed </w:t>
      </w:r>
      <w:r w:rsidR="00D92459">
        <w:t>other fault outages</w:t>
      </w:r>
      <w:r w:rsidR="00D92459" w:rsidRPr="00D92459">
        <w:t xml:space="preserve"> trend for Directlink</w:t>
      </w:r>
    </w:p>
    <w:p w:rsidR="00D049C9" w:rsidRDefault="00D92459" w:rsidP="00D92459">
      <w:pPr>
        <w:pStyle w:val="AERbodytext"/>
        <w:numPr>
          <w:ilvl w:val="0"/>
          <w:numId w:val="0"/>
        </w:numPr>
      </w:pPr>
      <w:r w:rsidRPr="00D92459">
        <w:rPr>
          <w:noProof/>
          <w:lang w:eastAsia="en-AU"/>
        </w:rPr>
        <w:drawing>
          <wp:inline distT="0" distB="0" distL="0" distR="0" wp14:anchorId="12A3AEE9" wp14:editId="2C79CBCE">
            <wp:extent cx="5731510" cy="349380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3493809"/>
                    </a:xfrm>
                    <a:prstGeom prst="rect">
                      <a:avLst/>
                    </a:prstGeom>
                    <a:noFill/>
                    <a:ln>
                      <a:noFill/>
                    </a:ln>
                  </pic:spPr>
                </pic:pic>
              </a:graphicData>
            </a:graphic>
          </wp:inline>
        </w:drawing>
      </w:r>
    </w:p>
    <w:p w:rsidR="00D92459" w:rsidRDefault="00D92459" w:rsidP="00D92459">
      <w:pPr>
        <w:pStyle w:val="AERtablesource"/>
      </w:pPr>
      <w:r w:rsidRPr="00D049C9">
        <w:t xml:space="preserve">Source: </w:t>
      </w:r>
      <w:r w:rsidRPr="00D049C9">
        <w:tab/>
        <w:t>AER analysis</w:t>
      </w:r>
    </w:p>
    <w:p w:rsidR="00D92459" w:rsidRDefault="00D92459" w:rsidP="00D92459">
      <w:pPr>
        <w:pStyle w:val="AERbodytext"/>
        <w:numPr>
          <w:ilvl w:val="0"/>
          <w:numId w:val="0"/>
        </w:numPr>
      </w:pPr>
      <w:r>
        <w:lastRenderedPageBreak/>
        <w:t xml:space="preserve">We have </w:t>
      </w:r>
      <w:r w:rsidR="00132D09">
        <w:t>rounded</w:t>
      </w:r>
      <w:r w:rsidR="009C10AB">
        <w:t xml:space="preserve"> up the above estimated outages </w:t>
      </w:r>
      <w:r>
        <w:t xml:space="preserve">and consider a reasonable </w:t>
      </w:r>
      <w:r w:rsidR="00C7030B">
        <w:t>target</w:t>
      </w:r>
      <w:r>
        <w:t xml:space="preserve"> </w:t>
      </w:r>
      <w:r w:rsidR="00C7030B">
        <w:t>for "circuit outage – fault", after taking into account Directlink's historical performance and increased allowed capex in the 2015–20 regulatory control period, is a total of 10 circuit outages per annum. As Directlink has a total of three cables, this equates to a "circuit outage rate – fault" of 333.</w:t>
      </w:r>
      <w:r w:rsidR="007B1AE8">
        <w:t>33</w:t>
      </w:r>
      <w:r w:rsidR="00C7030B">
        <w:t xml:space="preserve"> per cent.</w:t>
      </w:r>
    </w:p>
    <w:p w:rsidR="00752017" w:rsidRDefault="00C7030B" w:rsidP="00752017">
      <w:pPr>
        <w:pStyle w:val="AERbodytext"/>
      </w:pPr>
      <w:r>
        <w:t>Our analysis</w:t>
      </w:r>
      <w:r w:rsidR="00752017">
        <w:t xml:space="preserve"> of forced </w:t>
      </w:r>
      <w:r w:rsidR="0097562C">
        <w:t xml:space="preserve">outages shows a slight increasing trend </w:t>
      </w:r>
      <w:r w:rsidR="00752017">
        <w:t xml:space="preserve">over </w:t>
      </w:r>
      <w:r>
        <w:t>the 2007–</w:t>
      </w:r>
      <w:r w:rsidR="00752017">
        <w:t>2013</w:t>
      </w:r>
      <w:r w:rsidR="0097562C">
        <w:t xml:space="preserve"> period</w:t>
      </w:r>
      <w:r w:rsidR="00752017">
        <w:t xml:space="preserve">, as </w:t>
      </w:r>
      <w:r>
        <w:t>illustrated</w:t>
      </w:r>
      <w:r w:rsidR="00752017">
        <w:t xml:space="preserve"> in </w:t>
      </w:r>
      <w:r w:rsidR="00634ECD">
        <w:fldChar w:fldCharType="begin"/>
      </w:r>
      <w:r w:rsidR="00634ECD">
        <w:instrText xml:space="preserve"> REF _Ref401325436 \h </w:instrText>
      </w:r>
      <w:r w:rsidR="00634ECD">
        <w:fldChar w:fldCharType="separate"/>
      </w:r>
      <w:r w:rsidR="00585D99">
        <w:t xml:space="preserve">Figure </w:t>
      </w:r>
      <w:r w:rsidR="00585D99">
        <w:rPr>
          <w:noProof/>
        </w:rPr>
        <w:t>11</w:t>
      </w:r>
      <w:r w:rsidR="00585D99">
        <w:t>.</w:t>
      </w:r>
      <w:r w:rsidR="00585D99">
        <w:rPr>
          <w:noProof/>
        </w:rPr>
        <w:t>5</w:t>
      </w:r>
      <w:r w:rsidR="00634ECD">
        <w:fldChar w:fldCharType="end"/>
      </w:r>
      <w:r w:rsidR="00105525">
        <w:t xml:space="preserve">. </w:t>
      </w:r>
      <w:r w:rsidR="00752017">
        <w:t xml:space="preserve">However, </w:t>
      </w:r>
      <w:r w:rsidR="0097562C">
        <w:t xml:space="preserve">we note </w:t>
      </w:r>
      <w:r w:rsidR="00752017">
        <w:t xml:space="preserve">the majority of forced outages are associated with faulty IGBTs. </w:t>
      </w:r>
      <w:r w:rsidR="00D653B6">
        <w:t xml:space="preserve">Directlink expected its </w:t>
      </w:r>
      <w:r w:rsidR="00752017" w:rsidRPr="00514BC2">
        <w:t xml:space="preserve">IGBT failure rate </w:t>
      </w:r>
      <w:r w:rsidR="00D653B6">
        <w:t>will</w:t>
      </w:r>
      <w:r w:rsidR="00752017" w:rsidRPr="00514BC2">
        <w:t xml:space="preserve"> improve </w:t>
      </w:r>
      <w:r w:rsidR="00D653B6">
        <w:t>following</w:t>
      </w:r>
      <w:r w:rsidR="00752017" w:rsidRPr="00514BC2">
        <w:t xml:space="preserve"> the planned capital works and </w:t>
      </w:r>
      <w:r w:rsidR="00752017">
        <w:t>through its management strategy for these devices</w:t>
      </w:r>
      <w:r w:rsidR="00752017" w:rsidRPr="00514BC2">
        <w:t>.</w:t>
      </w:r>
      <w:r w:rsidR="00752017">
        <w:t xml:space="preserve"> Therefore </w:t>
      </w:r>
      <w:r w:rsidR="00D653B6">
        <w:t>we set the performance target for "circuit outage rate – forced outage" at 180.00 per cent based on the average performance</w:t>
      </w:r>
      <w:r w:rsidR="00D653B6" w:rsidRPr="00D653B6">
        <w:t xml:space="preserve"> </w:t>
      </w:r>
      <w:r w:rsidR="00D653B6">
        <w:t>over the 2008–2012 period without adjustment. Similarly, we set the performance target for "failure of protection system" at 4 based on the average performance</w:t>
      </w:r>
      <w:r w:rsidR="00D653B6" w:rsidRPr="00D653B6">
        <w:t xml:space="preserve"> </w:t>
      </w:r>
      <w:r w:rsidR="00D653B6">
        <w:t xml:space="preserve">over the 2008–2012 period without adjustment. </w:t>
      </w:r>
    </w:p>
    <w:p w:rsidR="00752017" w:rsidRDefault="00634ECD" w:rsidP="00634ECD">
      <w:pPr>
        <w:pStyle w:val="Caption"/>
      </w:pPr>
      <w:bookmarkStart w:id="25" w:name="_Ref401325436"/>
      <w:r>
        <w:t xml:space="preserve">Figure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t>.</w:t>
      </w:r>
      <w:fldSimple w:instr=" SEQ Figure \* ARABIC \s 1 ">
        <w:r w:rsidR="00585D99">
          <w:rPr>
            <w:noProof/>
          </w:rPr>
          <w:t>5</w:t>
        </w:r>
      </w:fldSimple>
      <w:bookmarkEnd w:id="25"/>
      <w:r>
        <w:tab/>
      </w:r>
      <w:r w:rsidR="0097562C" w:rsidRPr="00D92459">
        <w:t xml:space="preserve">Observed </w:t>
      </w:r>
      <w:r w:rsidR="00D653B6">
        <w:t>forced</w:t>
      </w:r>
      <w:r w:rsidR="0097562C">
        <w:t xml:space="preserve"> outages</w:t>
      </w:r>
      <w:r w:rsidR="0097562C" w:rsidRPr="00D92459">
        <w:t xml:space="preserve"> trend for Directlink</w:t>
      </w:r>
      <w:r w:rsidR="00105525">
        <w:t xml:space="preserve"> (number of outages)</w:t>
      </w:r>
    </w:p>
    <w:p w:rsidR="00752017" w:rsidRDefault="00D653B6" w:rsidP="00D653B6">
      <w:pPr>
        <w:pStyle w:val="AERbodytext"/>
      </w:pPr>
      <w:r w:rsidRPr="00D653B6">
        <w:rPr>
          <w:noProof/>
          <w:lang w:eastAsia="en-AU"/>
        </w:rPr>
        <w:drawing>
          <wp:inline distT="0" distB="0" distL="0" distR="0" wp14:anchorId="578C694A" wp14:editId="40B0125A">
            <wp:extent cx="5731510" cy="276049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510" cy="2760491"/>
                    </a:xfrm>
                    <a:prstGeom prst="rect">
                      <a:avLst/>
                    </a:prstGeom>
                    <a:noFill/>
                    <a:ln>
                      <a:noFill/>
                    </a:ln>
                  </pic:spPr>
                </pic:pic>
              </a:graphicData>
            </a:graphic>
          </wp:inline>
        </w:drawing>
      </w:r>
    </w:p>
    <w:p w:rsidR="00D653B6" w:rsidRPr="00D653B6" w:rsidRDefault="00D653B6" w:rsidP="00D653B6">
      <w:pPr>
        <w:pStyle w:val="AERtablesource"/>
      </w:pPr>
      <w:r w:rsidRPr="00D653B6">
        <w:t xml:space="preserve">Source: </w:t>
      </w:r>
      <w:r w:rsidRPr="00D653B6">
        <w:tab/>
        <w:t>AER analysis</w:t>
      </w:r>
    </w:p>
    <w:p w:rsidR="00B27937" w:rsidRDefault="00B27937" w:rsidP="00B27937">
      <w:pPr>
        <w:pStyle w:val="HeadingBoldItalic"/>
      </w:pPr>
      <w:r>
        <w:t>Caps and collars</w:t>
      </w:r>
    </w:p>
    <w:p w:rsidR="00B27937" w:rsidRPr="00F9662C" w:rsidRDefault="00B27937" w:rsidP="00B27937">
      <w:pPr>
        <w:pStyle w:val="AERbodytext"/>
      </w:pPr>
      <w:r w:rsidRPr="00F9662C">
        <w:t>Proposed caps and collars must be calculated with reference to the proposed performance targets using a sound method</w:t>
      </w:r>
      <w:r>
        <w:t>ology</w:t>
      </w:r>
      <w:r w:rsidRPr="00F9662C">
        <w:t>.</w:t>
      </w:r>
      <w:r w:rsidRPr="00F9662C">
        <w:rPr>
          <w:rStyle w:val="FootnoteReference"/>
        </w:rPr>
        <w:footnoteReference w:id="37"/>
      </w:r>
      <w:r w:rsidRPr="00F9662C">
        <w:t xml:space="preserve"> In the past, we have generally accepted approaches that use five years of performance data to derive a statistical distribution, with the caps and collars set at two standard deviations either side of the mean (if using a normal distribution), or at the 5th and 95th percentiles (if using </w:t>
      </w:r>
      <w:r>
        <w:t>a</w:t>
      </w:r>
      <w:r w:rsidRPr="00F9662C">
        <w:t xml:space="preserve"> distribution</w:t>
      </w:r>
      <w:r>
        <w:t xml:space="preserve"> other than the normal distribution</w:t>
      </w:r>
      <w:r w:rsidRPr="00F9662C">
        <w:t xml:space="preserve">). </w:t>
      </w:r>
    </w:p>
    <w:p w:rsidR="00B27937" w:rsidRPr="00F9662C" w:rsidRDefault="00B27937" w:rsidP="00B27937">
      <w:pPr>
        <w:pStyle w:val="AERbodytext"/>
      </w:pPr>
      <w:r w:rsidRPr="00F9662C">
        <w:t xml:space="preserve">The </w:t>
      </w:r>
      <w:r w:rsidR="002C56FD">
        <w:t xml:space="preserve">statistical </w:t>
      </w:r>
      <w:r w:rsidRPr="00F9662C">
        <w:t xml:space="preserve">distribution </w:t>
      </w:r>
      <w:r w:rsidR="002C56FD">
        <w:t xml:space="preserve">type </w:t>
      </w:r>
      <w:r w:rsidRPr="00F9662C">
        <w:t xml:space="preserve">selected to calculate the caps and collars for a particular parameter must be conceptually sound. </w:t>
      </w:r>
      <w:r w:rsidR="008244BA">
        <w:t>Consistent with the approach that we have applied in the past decisions, t</w:t>
      </w:r>
      <w:r w:rsidRPr="00F9662C">
        <w:t>he following principles should be applied when selecting a distribution to calculate caps and collars:</w:t>
      </w:r>
      <w:r w:rsidR="00132D09">
        <w:rPr>
          <w:rStyle w:val="FootnoteReference"/>
        </w:rPr>
        <w:footnoteReference w:id="38"/>
      </w:r>
    </w:p>
    <w:p w:rsidR="00B27937" w:rsidRPr="00F9662C" w:rsidRDefault="00B27937" w:rsidP="00B27937">
      <w:pPr>
        <w:pStyle w:val="AERbulletlistfirststyle"/>
      </w:pPr>
      <w:r w:rsidRPr="00F9662C">
        <w:t xml:space="preserve">the chosen distribution should reflect any inherent skewness of the performance data. </w:t>
      </w:r>
    </w:p>
    <w:p w:rsidR="00B27937" w:rsidRPr="00F9662C" w:rsidRDefault="00B27937" w:rsidP="00B27937">
      <w:pPr>
        <w:pStyle w:val="AERbulletlistfirststyle"/>
      </w:pPr>
      <w:r w:rsidRPr="00F9662C">
        <w:lastRenderedPageBreak/>
        <w:t xml:space="preserve">the distribution should not imply that impossible values are reasonably likely. For example, the distribution for an average circuit outage rate sub-parameter should not imply that values below zero per cent are reasonably likely. </w:t>
      </w:r>
    </w:p>
    <w:p w:rsidR="00B27937" w:rsidRPr="00F9662C" w:rsidRDefault="00B27937" w:rsidP="00B27937">
      <w:pPr>
        <w:pStyle w:val="AERbulletlistfirststyle"/>
      </w:pPr>
      <w:r w:rsidRPr="00F9662C">
        <w:t xml:space="preserve">discrete distributions should be used to represent discrete data. For example, a discrete distribution such as the Poisson distribution should be used when calculating caps and collars for loss of supply sub-parameters. Continuous distributions should not be used. </w:t>
      </w:r>
    </w:p>
    <w:p w:rsidR="00B27937" w:rsidRDefault="00B27937" w:rsidP="00B27937">
      <w:r w:rsidRPr="00F9662C">
        <w:t xml:space="preserve">Using standard deviations to set caps and collars is appropriate when a normal distribution is selected. However, when </w:t>
      </w:r>
      <w:r>
        <w:t>a normal distribution is not selected</w:t>
      </w:r>
      <w:r w:rsidRPr="00F9662C">
        <w:t>, the better measure to use is the percentiles. This is consistent with the EMCa's advice for the 2013 SP AusNet transmission decision.</w:t>
      </w:r>
      <w:r w:rsidRPr="00F9662C">
        <w:rPr>
          <w:rStyle w:val="FootnoteReference"/>
        </w:rPr>
        <w:footnoteReference w:id="39"/>
      </w:r>
      <w:r w:rsidRPr="00F9662C">
        <w:t xml:space="preserve"> </w:t>
      </w:r>
    </w:p>
    <w:p w:rsidR="00B27937" w:rsidRDefault="00275614" w:rsidP="00B27937">
      <w:pPr>
        <w:pStyle w:val="AERbodytext"/>
      </w:pPr>
      <w:r>
        <w:t>Directlink</w:t>
      </w:r>
      <w:r w:rsidR="00B27937">
        <w:t xml:space="preserve"> has not attempted to fit a statistical distribution to </w:t>
      </w:r>
      <w:r w:rsidR="00B27937" w:rsidRPr="00C23A9A">
        <w:t>five years of performance data</w:t>
      </w:r>
      <w:r w:rsidR="00B27937">
        <w:t xml:space="preserve">. It calculated standard deviation from the five data points and derived caps and collars using </w:t>
      </w:r>
      <w:r>
        <w:t>one standard deviation</w:t>
      </w:r>
      <w:r w:rsidR="00B27937">
        <w:t>.</w:t>
      </w:r>
      <w:r w:rsidR="00B27937">
        <w:rPr>
          <w:rStyle w:val="FootnoteReference"/>
        </w:rPr>
        <w:footnoteReference w:id="40"/>
      </w:r>
      <w:r w:rsidR="00B27937">
        <w:t xml:space="preserve"> </w:t>
      </w:r>
    </w:p>
    <w:p w:rsidR="00156337" w:rsidRDefault="00B27937" w:rsidP="00B27937">
      <w:pPr>
        <w:pStyle w:val="AERbodytext"/>
      </w:pPr>
      <w:r>
        <w:t>We do not consider the caps and collars calculated based on this approach is sound.</w:t>
      </w:r>
      <w:r w:rsidR="00156337">
        <w:t xml:space="preserve"> </w:t>
      </w:r>
      <w:r w:rsidR="00156337">
        <w:fldChar w:fldCharType="begin"/>
      </w:r>
      <w:r w:rsidR="00156337">
        <w:instrText xml:space="preserve"> REF _Ref401314923 \h </w:instrText>
      </w:r>
      <w:r w:rsidR="00156337">
        <w:fldChar w:fldCharType="separate"/>
      </w:r>
      <w:r w:rsidR="00585D99">
        <w:t xml:space="preserve">Table </w:t>
      </w:r>
      <w:r w:rsidR="00585D99">
        <w:rPr>
          <w:noProof/>
        </w:rPr>
        <w:t>11</w:t>
      </w:r>
      <w:r w:rsidR="00585D99">
        <w:t>.</w:t>
      </w:r>
      <w:r w:rsidR="00585D99">
        <w:rPr>
          <w:noProof/>
        </w:rPr>
        <w:t>4</w:t>
      </w:r>
      <w:r w:rsidR="00156337">
        <w:fldChar w:fldCharType="end"/>
      </w:r>
      <w:r w:rsidR="00156337">
        <w:t xml:space="preserve"> sets out the caps and collars derived from our principle based approach as discussed above for the "circuit outage rate – forced outages" and "failure of protection system" sub-parameters.</w:t>
      </w:r>
    </w:p>
    <w:p w:rsidR="00B27937" w:rsidRPr="00374883" w:rsidRDefault="00B748DD" w:rsidP="00B748DD">
      <w:pPr>
        <w:pStyle w:val="Caption"/>
      </w:pPr>
      <w:bookmarkStart w:id="26" w:name="_Ref401314923"/>
      <w:r>
        <w:t xml:space="preserve">Table </w:t>
      </w:r>
      <w:r w:rsidR="00CD5DB7">
        <w:fldChar w:fldCharType="begin"/>
      </w:r>
      <w:r w:rsidR="00CD5DB7">
        <w:instrText xml:space="preserve"> STYLERE</w:instrText>
      </w:r>
      <w:r w:rsidR="00CD5DB7">
        <w:instrText xml:space="preserve">F 1 \s </w:instrText>
      </w:r>
      <w:r w:rsidR="00CD5DB7">
        <w:fldChar w:fldCharType="separate"/>
      </w:r>
      <w:r w:rsidR="00585D99">
        <w:rPr>
          <w:noProof/>
        </w:rPr>
        <w:t>11</w:t>
      </w:r>
      <w:r w:rsidR="00CD5DB7">
        <w:rPr>
          <w:noProof/>
        </w:rPr>
        <w:fldChar w:fldCharType="end"/>
      </w:r>
      <w:r>
        <w:t>.</w:t>
      </w:r>
      <w:fldSimple w:instr=" SEQ Table \* ARABIC \s 1 ">
        <w:r w:rsidR="00585D99">
          <w:rPr>
            <w:noProof/>
          </w:rPr>
          <w:t>4</w:t>
        </w:r>
      </w:fldSimple>
      <w:bookmarkEnd w:id="26"/>
      <w:r w:rsidR="00B27937" w:rsidRPr="00374883">
        <w:tab/>
      </w:r>
      <w:r w:rsidR="00B27937">
        <w:t>C</w:t>
      </w:r>
      <w:r w:rsidR="00B27937" w:rsidRPr="00374883">
        <w:t>aps and collars</w:t>
      </w:r>
      <w:r w:rsidR="00B27937">
        <w:t xml:space="preserve"> derived from our preferred method</w:t>
      </w:r>
    </w:p>
    <w:tbl>
      <w:tblPr>
        <w:tblStyle w:val="AERtable-numbers"/>
        <w:tblW w:w="0" w:type="auto"/>
        <w:tblLook w:val="04A0" w:firstRow="1" w:lastRow="0" w:firstColumn="1" w:lastColumn="0" w:noHBand="0" w:noVBand="1"/>
      </w:tblPr>
      <w:tblGrid>
        <w:gridCol w:w="2660"/>
        <w:gridCol w:w="1559"/>
        <w:gridCol w:w="2410"/>
        <w:gridCol w:w="2613"/>
      </w:tblGrid>
      <w:tr w:rsidR="00B27937" w:rsidRPr="00682A64" w:rsidTr="00EA57E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B27937" w:rsidRPr="00B27937" w:rsidRDefault="00B27937" w:rsidP="00B27937">
            <w:pPr>
              <w:pStyle w:val="AERtabletextleft"/>
            </w:pPr>
            <w:r w:rsidRPr="00682A64">
              <w:t>Parameter</w:t>
            </w:r>
          </w:p>
        </w:tc>
        <w:tc>
          <w:tcPr>
            <w:tcW w:w="1559" w:type="dxa"/>
          </w:tcPr>
          <w:p w:rsidR="00B27937" w:rsidRPr="00B27937" w:rsidRDefault="00B27937" w:rsidP="00B27937">
            <w:pPr>
              <w:pStyle w:val="AERtabletextleft"/>
              <w:cnfStyle w:val="100000000000" w:firstRow="1" w:lastRow="0" w:firstColumn="0" w:lastColumn="0" w:oddVBand="0" w:evenVBand="0" w:oddHBand="0" w:evenHBand="0" w:firstRowFirstColumn="0" w:firstRowLastColumn="0" w:lastRowFirstColumn="0" w:lastRowLastColumn="0"/>
            </w:pPr>
            <w:r w:rsidRPr="00682A64">
              <w:t>Distribution</w:t>
            </w:r>
          </w:p>
        </w:tc>
        <w:tc>
          <w:tcPr>
            <w:tcW w:w="2410" w:type="dxa"/>
          </w:tcPr>
          <w:p w:rsidR="00B27937" w:rsidRPr="00B27937" w:rsidRDefault="00B27937" w:rsidP="00B27937">
            <w:pPr>
              <w:pStyle w:val="AERtabletextright"/>
              <w:cnfStyle w:val="100000000000" w:firstRow="1" w:lastRow="0" w:firstColumn="0" w:lastColumn="0" w:oddVBand="0" w:evenVBand="0" w:oddHBand="0" w:evenHBand="0" w:firstRowFirstColumn="0" w:firstRowLastColumn="0" w:lastRowFirstColumn="0" w:lastRowLastColumn="0"/>
            </w:pPr>
            <w:r w:rsidRPr="00682A64">
              <w:t>Cap (</w:t>
            </w:r>
            <w:r w:rsidRPr="00B27937">
              <w:t>5th percentile)</w:t>
            </w:r>
          </w:p>
        </w:tc>
        <w:tc>
          <w:tcPr>
            <w:tcW w:w="2613" w:type="dxa"/>
          </w:tcPr>
          <w:p w:rsidR="00B27937" w:rsidRPr="00B27937" w:rsidRDefault="00B27937" w:rsidP="00B27937">
            <w:pPr>
              <w:pStyle w:val="AERtabletextright"/>
              <w:cnfStyle w:val="100000000000" w:firstRow="1" w:lastRow="0" w:firstColumn="0" w:lastColumn="0" w:oddVBand="0" w:evenVBand="0" w:oddHBand="0" w:evenHBand="0" w:firstRowFirstColumn="0" w:firstRowLastColumn="0" w:lastRowFirstColumn="0" w:lastRowLastColumn="0"/>
            </w:pPr>
            <w:r w:rsidRPr="00682A64">
              <w:t>Collar (</w:t>
            </w:r>
            <w:r w:rsidRPr="00B27937">
              <w:t>95th percentile)</w:t>
            </w:r>
          </w:p>
        </w:tc>
      </w:tr>
      <w:tr w:rsidR="00B27937" w:rsidRPr="00682A64" w:rsidTr="00EA57EC">
        <w:tc>
          <w:tcPr>
            <w:cnfStyle w:val="001000000000" w:firstRow="0" w:lastRow="0" w:firstColumn="1" w:lastColumn="0" w:oddVBand="0" w:evenVBand="0" w:oddHBand="0" w:evenHBand="0" w:firstRowFirstColumn="0" w:firstRowLastColumn="0" w:lastRowFirstColumn="0" w:lastRowLastColumn="0"/>
            <w:tcW w:w="2660" w:type="dxa"/>
          </w:tcPr>
          <w:p w:rsidR="00B27937" w:rsidRPr="00B27937" w:rsidRDefault="00B27937" w:rsidP="00B27937">
            <w:pPr>
              <w:pStyle w:val="AERtabletextleft"/>
              <w:rPr>
                <w:rStyle w:val="AERtextbold"/>
              </w:rPr>
            </w:pPr>
            <w:r w:rsidRPr="00374883">
              <w:rPr>
                <w:rStyle w:val="AERtextbold"/>
              </w:rPr>
              <w:t>Average circuit outage rate</w:t>
            </w:r>
          </w:p>
        </w:tc>
        <w:tc>
          <w:tcPr>
            <w:tcW w:w="1559" w:type="dxa"/>
          </w:tcPr>
          <w:p w:rsidR="00B27937" w:rsidRPr="00682A64" w:rsidRDefault="00B27937" w:rsidP="00B27937">
            <w:pPr>
              <w:pStyle w:val="AERtabletextleft"/>
              <w:cnfStyle w:val="000000000000" w:firstRow="0" w:lastRow="0" w:firstColumn="0" w:lastColumn="0" w:oddVBand="0" w:evenVBand="0" w:oddHBand="0" w:evenHBand="0" w:firstRowFirstColumn="0" w:firstRowLastColumn="0" w:lastRowFirstColumn="0" w:lastRowLastColumn="0"/>
            </w:pPr>
          </w:p>
        </w:tc>
        <w:tc>
          <w:tcPr>
            <w:tcW w:w="2410" w:type="dxa"/>
          </w:tcPr>
          <w:p w:rsidR="00B27937" w:rsidRPr="00682A64" w:rsidRDefault="00B27937" w:rsidP="00B27937">
            <w:pPr>
              <w:pStyle w:val="AERtabletextright"/>
              <w:cnfStyle w:val="000000000000" w:firstRow="0" w:lastRow="0" w:firstColumn="0" w:lastColumn="0" w:oddVBand="0" w:evenVBand="0" w:oddHBand="0" w:evenHBand="0" w:firstRowFirstColumn="0" w:firstRowLastColumn="0" w:lastRowFirstColumn="0" w:lastRowLastColumn="0"/>
            </w:pPr>
          </w:p>
        </w:tc>
        <w:tc>
          <w:tcPr>
            <w:tcW w:w="2613" w:type="dxa"/>
          </w:tcPr>
          <w:p w:rsidR="00B27937" w:rsidRPr="00682A64" w:rsidRDefault="00B27937" w:rsidP="00B27937">
            <w:pPr>
              <w:pStyle w:val="AERtabletextright"/>
              <w:cnfStyle w:val="000000000000" w:firstRow="0" w:lastRow="0" w:firstColumn="0" w:lastColumn="0" w:oddVBand="0" w:evenVBand="0" w:oddHBand="0" w:evenHBand="0" w:firstRowFirstColumn="0" w:firstRowLastColumn="0" w:lastRowFirstColumn="0" w:lastRowLastColumn="0"/>
            </w:pPr>
          </w:p>
        </w:tc>
      </w:tr>
      <w:tr w:rsidR="00B748DD" w:rsidRPr="00682A64" w:rsidTr="00EA57E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B748DD" w:rsidRDefault="00B748DD" w:rsidP="00B748DD">
            <w:pPr>
              <w:pStyle w:val="AERbodytext"/>
            </w:pPr>
            <w:r>
              <w:t>circuit outage rate – forced outages</w:t>
            </w:r>
          </w:p>
        </w:tc>
        <w:tc>
          <w:tcPr>
            <w:tcW w:w="1559" w:type="dxa"/>
          </w:tcPr>
          <w:p w:rsidR="00B748DD" w:rsidRPr="00B748DD" w:rsidRDefault="00B748DD" w:rsidP="00B748DD">
            <w:pPr>
              <w:pStyle w:val="AERtabletextleft"/>
              <w:cnfStyle w:val="000000010000" w:firstRow="0" w:lastRow="0" w:firstColumn="0" w:lastColumn="0" w:oddVBand="0" w:evenVBand="0" w:oddHBand="0" w:evenHBand="1" w:firstRowFirstColumn="0" w:firstRowLastColumn="0" w:lastRowFirstColumn="0" w:lastRowLastColumn="0"/>
            </w:pPr>
            <w:r>
              <w:t>Weibull</w:t>
            </w:r>
          </w:p>
        </w:tc>
        <w:tc>
          <w:tcPr>
            <w:tcW w:w="2410" w:type="dxa"/>
          </w:tcPr>
          <w:p w:rsidR="00B748DD" w:rsidRPr="00B748DD" w:rsidRDefault="00B748DD" w:rsidP="00B748DD">
            <w:pPr>
              <w:pStyle w:val="AERtabletextright"/>
              <w:cnfStyle w:val="000000010000" w:firstRow="0" w:lastRow="0" w:firstColumn="0" w:lastColumn="0" w:oddVBand="0" w:evenVBand="0" w:oddHBand="0" w:evenHBand="1" w:firstRowFirstColumn="0" w:firstRowLastColumn="0" w:lastRowFirstColumn="0" w:lastRowLastColumn="0"/>
            </w:pPr>
            <w:r>
              <w:t>35.19%</w:t>
            </w:r>
          </w:p>
        </w:tc>
        <w:tc>
          <w:tcPr>
            <w:tcW w:w="2613" w:type="dxa"/>
          </w:tcPr>
          <w:p w:rsidR="00B748DD" w:rsidRPr="00B748DD" w:rsidRDefault="00B748DD" w:rsidP="00B748DD">
            <w:pPr>
              <w:pStyle w:val="AERtabletextright"/>
              <w:cnfStyle w:val="000000010000" w:firstRow="0" w:lastRow="0" w:firstColumn="0" w:lastColumn="0" w:oddVBand="0" w:evenVBand="0" w:oddHBand="0" w:evenHBand="1" w:firstRowFirstColumn="0" w:firstRowLastColumn="0" w:lastRowFirstColumn="0" w:lastRowLastColumn="0"/>
            </w:pPr>
            <w:r>
              <w:t>383.31%</w:t>
            </w:r>
          </w:p>
        </w:tc>
      </w:tr>
      <w:tr w:rsidR="00B27937" w:rsidRPr="00682A64" w:rsidTr="00EA57EC">
        <w:tc>
          <w:tcPr>
            <w:cnfStyle w:val="001000000000" w:firstRow="0" w:lastRow="0" w:firstColumn="1" w:lastColumn="0" w:oddVBand="0" w:evenVBand="0" w:oddHBand="0" w:evenHBand="0" w:firstRowFirstColumn="0" w:firstRowLastColumn="0" w:lastRowFirstColumn="0" w:lastRowLastColumn="0"/>
            <w:tcW w:w="2660" w:type="dxa"/>
          </w:tcPr>
          <w:p w:rsidR="00B27937" w:rsidRPr="00B27937" w:rsidRDefault="00B27937" w:rsidP="00B27937">
            <w:pPr>
              <w:pStyle w:val="AERtabletextleft"/>
              <w:rPr>
                <w:rStyle w:val="AERtextbold"/>
              </w:rPr>
            </w:pPr>
            <w:r w:rsidRPr="004D5AC9">
              <w:rPr>
                <w:rStyle w:val="AERtextbold"/>
              </w:rPr>
              <w:t>Proper operation of equipment</w:t>
            </w:r>
          </w:p>
        </w:tc>
        <w:tc>
          <w:tcPr>
            <w:tcW w:w="1559" w:type="dxa"/>
          </w:tcPr>
          <w:p w:rsidR="00B27937" w:rsidRPr="0062474D" w:rsidRDefault="00B27937" w:rsidP="00B27937">
            <w:pPr>
              <w:pStyle w:val="AERtabletextleft"/>
              <w:cnfStyle w:val="000000000000" w:firstRow="0" w:lastRow="0" w:firstColumn="0" w:lastColumn="0" w:oddVBand="0" w:evenVBand="0" w:oddHBand="0" w:evenHBand="0" w:firstRowFirstColumn="0" w:firstRowLastColumn="0" w:lastRowFirstColumn="0" w:lastRowLastColumn="0"/>
            </w:pPr>
          </w:p>
        </w:tc>
        <w:tc>
          <w:tcPr>
            <w:tcW w:w="2410" w:type="dxa"/>
          </w:tcPr>
          <w:p w:rsidR="00B27937" w:rsidRPr="0062474D" w:rsidRDefault="00B27937" w:rsidP="00B27937">
            <w:pPr>
              <w:pStyle w:val="AERtabletextright"/>
              <w:cnfStyle w:val="000000000000" w:firstRow="0" w:lastRow="0" w:firstColumn="0" w:lastColumn="0" w:oddVBand="0" w:evenVBand="0" w:oddHBand="0" w:evenHBand="0" w:firstRowFirstColumn="0" w:firstRowLastColumn="0" w:lastRowFirstColumn="0" w:lastRowLastColumn="0"/>
            </w:pPr>
          </w:p>
        </w:tc>
        <w:tc>
          <w:tcPr>
            <w:tcW w:w="2613" w:type="dxa"/>
          </w:tcPr>
          <w:p w:rsidR="00B27937" w:rsidRPr="0062474D" w:rsidRDefault="00B27937" w:rsidP="00B27937">
            <w:pPr>
              <w:pStyle w:val="AERtabletextright"/>
              <w:cnfStyle w:val="000000000000" w:firstRow="0" w:lastRow="0" w:firstColumn="0" w:lastColumn="0" w:oddVBand="0" w:evenVBand="0" w:oddHBand="0" w:evenHBand="0" w:firstRowFirstColumn="0" w:firstRowLastColumn="0" w:lastRowFirstColumn="0" w:lastRowLastColumn="0"/>
            </w:pPr>
          </w:p>
        </w:tc>
      </w:tr>
      <w:tr w:rsidR="00B27937" w:rsidRPr="00682A64" w:rsidTr="00EA57E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B27937" w:rsidRPr="00B27937" w:rsidRDefault="00B27937" w:rsidP="00B27937">
            <w:pPr>
              <w:pStyle w:val="AERtabletextleft"/>
            </w:pPr>
            <w:r w:rsidRPr="00682A64">
              <w:t>Failure of protection system</w:t>
            </w:r>
          </w:p>
        </w:tc>
        <w:tc>
          <w:tcPr>
            <w:tcW w:w="1559" w:type="dxa"/>
          </w:tcPr>
          <w:p w:rsidR="00B27937" w:rsidRPr="00B27937" w:rsidRDefault="00B27937" w:rsidP="00B27937">
            <w:pPr>
              <w:pStyle w:val="AERtabletextleft"/>
              <w:cnfStyle w:val="000000010000" w:firstRow="0" w:lastRow="0" w:firstColumn="0" w:lastColumn="0" w:oddVBand="0" w:evenVBand="0" w:oddHBand="0" w:evenHBand="1" w:firstRowFirstColumn="0" w:firstRowLastColumn="0" w:lastRowFirstColumn="0" w:lastRowLastColumn="0"/>
            </w:pPr>
            <w:r>
              <w:t>Poisson</w:t>
            </w:r>
          </w:p>
        </w:tc>
        <w:tc>
          <w:tcPr>
            <w:tcW w:w="2410" w:type="dxa"/>
          </w:tcPr>
          <w:p w:rsidR="00B27937" w:rsidRPr="00B27937" w:rsidRDefault="00B748DD" w:rsidP="00B27937">
            <w:pPr>
              <w:pStyle w:val="AERtabletextright"/>
              <w:cnfStyle w:val="000000010000" w:firstRow="0" w:lastRow="0" w:firstColumn="0" w:lastColumn="0" w:oddVBand="0" w:evenVBand="0" w:oddHBand="0" w:evenHBand="1" w:firstRowFirstColumn="0" w:firstRowLastColumn="0" w:lastRowFirstColumn="0" w:lastRowLastColumn="0"/>
            </w:pPr>
            <w:r>
              <w:t>1</w:t>
            </w:r>
          </w:p>
        </w:tc>
        <w:tc>
          <w:tcPr>
            <w:tcW w:w="2613" w:type="dxa"/>
          </w:tcPr>
          <w:p w:rsidR="00B27937" w:rsidRPr="00B27937" w:rsidRDefault="00B748DD" w:rsidP="00B27937">
            <w:pPr>
              <w:pStyle w:val="AERtabletextright"/>
              <w:cnfStyle w:val="000000010000" w:firstRow="0" w:lastRow="0" w:firstColumn="0" w:lastColumn="0" w:oddVBand="0" w:evenVBand="0" w:oddHBand="0" w:evenHBand="1" w:firstRowFirstColumn="0" w:firstRowLastColumn="0" w:lastRowFirstColumn="0" w:lastRowLastColumn="0"/>
            </w:pPr>
            <w:r>
              <w:t>8</w:t>
            </w:r>
          </w:p>
        </w:tc>
      </w:tr>
    </w:tbl>
    <w:p w:rsidR="00B27937" w:rsidRPr="00374883" w:rsidRDefault="00B27937" w:rsidP="00B27937">
      <w:pPr>
        <w:pStyle w:val="AERtablesource"/>
      </w:pPr>
      <w:r w:rsidRPr="00374883">
        <w:t xml:space="preserve">Source: </w:t>
      </w:r>
      <w:r w:rsidRPr="00374883">
        <w:tab/>
      </w:r>
      <w:r>
        <w:t>AER analysis</w:t>
      </w:r>
    </w:p>
    <w:p w:rsidR="00156337" w:rsidRDefault="00156337" w:rsidP="00156337">
      <w:pPr>
        <w:pStyle w:val="AERbodytext"/>
      </w:pPr>
      <w:r>
        <w:t xml:space="preserve">As we have adjusted the proposed performance target for the "circuit outage rate – fault" </w:t>
      </w:r>
      <w:r w:rsidR="0031738F">
        <w:t>sub-</w:t>
      </w:r>
      <w:r>
        <w:t xml:space="preserve">parameter, we cannot apply our principle based approach to calculate the cap and collar for that </w:t>
      </w:r>
      <w:r w:rsidR="0031738F">
        <w:t>sub-</w:t>
      </w:r>
      <w:r>
        <w:t xml:space="preserve">parameter. </w:t>
      </w:r>
      <w:r w:rsidR="0031738F">
        <w:t xml:space="preserve">Our proposed target for this sub-parameter is 10 faults per annum and we consider it is reasonable to apply a symmetrical incentive of 5 faults per annum above and below the proposed target. This leads to a cap of </w:t>
      </w:r>
      <w:r w:rsidR="00AA4B06">
        <w:t>166.67 per cent and a collar of 500.00 per cent.</w:t>
      </w:r>
    </w:p>
    <w:p w:rsidR="002E6B8A" w:rsidRDefault="002E6B8A" w:rsidP="002E6B8A">
      <w:pPr>
        <w:pStyle w:val="HeadingBoldBlue"/>
      </w:pPr>
      <w:r>
        <w:t>Market impact component</w:t>
      </w:r>
    </w:p>
    <w:p w:rsidR="00F83873" w:rsidRDefault="00F83873" w:rsidP="00F83873">
      <w:pPr>
        <w:pStyle w:val="AERbodytext"/>
      </w:pPr>
      <w:r w:rsidRPr="00F83873">
        <w:t>Our amendments to the STPIS</w:t>
      </w:r>
      <w:r w:rsidR="00E84FAD" w:rsidRPr="00E84FAD">
        <w:t xml:space="preserve"> </w:t>
      </w:r>
      <w:r w:rsidR="00E84FAD" w:rsidRPr="00F83873">
        <w:t>in September 2014</w:t>
      </w:r>
      <w:r w:rsidRPr="00F83873">
        <w:t>, as foreshadowed in our Framework and Approach</w:t>
      </w:r>
      <w:r w:rsidR="008679FF">
        <w:t xml:space="preserve"> Paper</w:t>
      </w:r>
      <w:r w:rsidRPr="00F83873">
        <w:t xml:space="preserve">, acknowledge that Directlink's performance </w:t>
      </w:r>
      <w:r w:rsidR="00E84FAD">
        <w:t xml:space="preserve">during the period </w:t>
      </w:r>
      <w:r w:rsidR="006B7F90">
        <w:t xml:space="preserve">of </w:t>
      </w:r>
      <w:r w:rsidRPr="00F83873">
        <w:t>the Mullumbimby fire may not allow an appropriate benchmark for setting its performance targets.</w:t>
      </w:r>
      <w:r w:rsidRPr="00F83873">
        <w:rPr>
          <w:rStyle w:val="FootnoteReference"/>
        </w:rPr>
        <w:footnoteReference w:id="41"/>
      </w:r>
    </w:p>
    <w:p w:rsidR="00F81262" w:rsidRPr="00F81262" w:rsidRDefault="00896DDE" w:rsidP="00F81262">
      <w:pPr>
        <w:pStyle w:val="AERbodytext"/>
      </w:pPr>
      <w:r>
        <w:t>T</w:t>
      </w:r>
      <w:r w:rsidR="00F81262" w:rsidRPr="00F81262">
        <w:t>he AER review</w:t>
      </w:r>
      <w:r>
        <w:t>ed</w:t>
      </w:r>
      <w:r w:rsidR="00F81262" w:rsidRPr="00F81262">
        <w:t xml:space="preserve"> the applicability of Version 4</w:t>
      </w:r>
      <w:r w:rsidR="006E2A2B">
        <w:t xml:space="preserve"> </w:t>
      </w:r>
      <w:r w:rsidR="00F81262" w:rsidRPr="00F81262">
        <w:t xml:space="preserve">to Directlink, in light of exceptional outages of its equipment in 2012. Consequently </w:t>
      </w:r>
      <w:r>
        <w:t>we</w:t>
      </w:r>
      <w:r w:rsidR="00F81262" w:rsidRPr="00F81262">
        <w:t xml:space="preserve"> recognised that an amendment to the scheme was warranted to specifically address the</w:t>
      </w:r>
      <w:r w:rsidR="006E2A2B">
        <w:t xml:space="preserve"> </w:t>
      </w:r>
      <w:r w:rsidR="00F81262" w:rsidRPr="00F81262">
        <w:t>Directlink situation.</w:t>
      </w:r>
      <w:r w:rsidR="006E2A2B">
        <w:t xml:space="preserve"> </w:t>
      </w:r>
      <w:r w:rsidR="00F81262" w:rsidRPr="00F81262">
        <w:t xml:space="preserve">In 2012, fire at the Mullumbimby end of Directlink caused </w:t>
      </w:r>
      <w:r w:rsidR="00F81262" w:rsidRPr="00F81262">
        <w:lastRenderedPageBreak/>
        <w:t>extensive equipment damage resulting in a</w:t>
      </w:r>
      <w:r w:rsidR="006E2A2B">
        <w:t xml:space="preserve"> </w:t>
      </w:r>
      <w:r w:rsidR="00F81262" w:rsidRPr="00F81262">
        <w:t>material long term reduction in its operational capability. The service component of the scheme</w:t>
      </w:r>
      <w:r w:rsidR="006E2A2B">
        <w:t xml:space="preserve"> </w:t>
      </w:r>
      <w:r w:rsidR="00F81262" w:rsidRPr="00F81262">
        <w:t>includes clauses that enable the AER to adjust both the period over which performance is calculated</w:t>
      </w:r>
      <w:r w:rsidR="006E2A2B">
        <w:t xml:space="preserve"> </w:t>
      </w:r>
      <w:r w:rsidR="00F81262" w:rsidRPr="00F81262">
        <w:t>and make adjustments for statistical outliers that may occur as a result of circumstances such as</w:t>
      </w:r>
      <w:r w:rsidR="006E2A2B">
        <w:t xml:space="preserve"> </w:t>
      </w:r>
      <w:r w:rsidR="00F81262" w:rsidRPr="00F81262">
        <w:t>these when setting performance targets.</w:t>
      </w:r>
    </w:p>
    <w:p w:rsidR="00F81262" w:rsidRPr="00F83873" w:rsidRDefault="00F81262" w:rsidP="00B81D83">
      <w:pPr>
        <w:pStyle w:val="AERbodytext"/>
      </w:pPr>
      <w:r w:rsidRPr="00F81262">
        <w:t>However, the market impact component had no such clauses. To promote consistency and avoid</w:t>
      </w:r>
      <w:r w:rsidR="006E2A2B">
        <w:t xml:space="preserve"> </w:t>
      </w:r>
      <w:r w:rsidR="00B81D83" w:rsidRPr="00B81D83">
        <w:t>potential unintended consequences the AER amend</w:t>
      </w:r>
      <w:r w:rsidR="00896DDE">
        <w:t>ed</w:t>
      </w:r>
      <w:r w:rsidR="00B81D83" w:rsidRPr="00B81D83">
        <w:t xml:space="preserve"> the STPIS. Ordinarily, the rolling target</w:t>
      </w:r>
      <w:r w:rsidR="006E2A2B">
        <w:t xml:space="preserve"> </w:t>
      </w:r>
      <w:r w:rsidR="00B81D83" w:rsidRPr="00B81D83">
        <w:t>ensures the benchmark for setting performance targets is relevant to the TNSP's current maintenance</w:t>
      </w:r>
      <w:r w:rsidR="006E2A2B">
        <w:t xml:space="preserve"> </w:t>
      </w:r>
      <w:r w:rsidR="00B81D83" w:rsidRPr="00B81D83">
        <w:t>and construction activities. The amendment realign</w:t>
      </w:r>
      <w:r w:rsidR="00896DDE">
        <w:t>s</w:t>
      </w:r>
      <w:r w:rsidR="00B81D83" w:rsidRPr="00B81D83">
        <w:t xml:space="preserve"> the period over which Directlink’s targets and</w:t>
      </w:r>
      <w:r w:rsidR="006E2A2B">
        <w:t xml:space="preserve"> </w:t>
      </w:r>
      <w:r w:rsidR="00B81D83" w:rsidRPr="00B81D83">
        <w:t>measures are calculated to avoid distortions from Directlink’s recent historical performance which may</w:t>
      </w:r>
      <w:r w:rsidR="006E2A2B">
        <w:t xml:space="preserve"> </w:t>
      </w:r>
      <w:r w:rsidR="00B81D83" w:rsidRPr="00B81D83">
        <w:t>distort the quality and reliability incentives for Directlink for the next regulatory control period.</w:t>
      </w:r>
    </w:p>
    <w:p w:rsidR="00F83873" w:rsidRPr="00F83873" w:rsidRDefault="00F83873" w:rsidP="00F83873">
      <w:pPr>
        <w:pStyle w:val="AERbodytext"/>
        <w:rPr>
          <w:rStyle w:val="AERtextitalic"/>
        </w:rPr>
      </w:pPr>
      <w:r w:rsidRPr="00F83873">
        <w:t xml:space="preserve">To minimise the distortion of the quality and reliability incentives for Directlink during the </w:t>
      </w:r>
      <w:r w:rsidR="003B16F6" w:rsidRPr="00F83873">
        <w:t>201</w:t>
      </w:r>
      <w:r w:rsidR="003B16F6">
        <w:t>5</w:t>
      </w:r>
      <w:r w:rsidRPr="00F83873">
        <w:t>–20 regulatory control period, version 4.1 of the STPIS excludes Directlink's performance against the market impact parameter for the period beginning the day of the Mullumbimby fire on 12 August 2012 to the date when Directlink returns to normal service (referred to as the "Directlink fire excluded period").</w:t>
      </w:r>
      <w:r w:rsidRPr="00F83873">
        <w:rPr>
          <w:rStyle w:val="FootnoteReference"/>
        </w:rPr>
        <w:footnoteReference w:id="42"/>
      </w:r>
      <w:r w:rsidRPr="00F83873">
        <w:t xml:space="preserve"> </w:t>
      </w:r>
      <w:r w:rsidRPr="00F83873">
        <w:rPr>
          <w:rStyle w:val="AERtextitalic"/>
          <w:i w:val="0"/>
        </w:rPr>
        <w:t>The date that Directlink returns to normal service is the date set by the AER that it considers Directlink is reasonably capable of sustaining reliability performance similar or better than the reliability performance exhibited prior to the fire, which will be no later than 31 December 2015.</w:t>
      </w:r>
      <w:r w:rsidRPr="00F83873">
        <w:rPr>
          <w:rStyle w:val="FootnoteReference"/>
        </w:rPr>
        <w:footnoteReference w:id="43"/>
      </w:r>
    </w:p>
    <w:p w:rsidR="001D3FCF" w:rsidRDefault="00F83873" w:rsidP="00F83873">
      <w:pPr>
        <w:pStyle w:val="AERbodytext"/>
        <w:rPr>
          <w:rStyle w:val="AERbody"/>
        </w:rPr>
      </w:pPr>
      <w:r w:rsidRPr="00F83873">
        <w:t>Typically, for the purposes of setting a market impact parameter performance target for 2015, we would validate performance data for the preceding three years and average that performance to calculate the 2015 performance target.</w:t>
      </w:r>
      <w:r w:rsidR="001D3FCF">
        <w:t xml:space="preserve"> </w:t>
      </w:r>
      <w:r w:rsidRPr="00F83873">
        <w:t xml:space="preserve">However, given that the Directlink fire excluded period interrupts the three years preceding 2015, version 4.1 of the STPIS provides that the period </w:t>
      </w:r>
      <w:r w:rsidRPr="00F83873">
        <w:rPr>
          <w:rStyle w:val="AERbody"/>
        </w:rPr>
        <w:t>immediately prior to the Directlink fire excluded period is included for the purposes of calculating the performance target.</w:t>
      </w:r>
      <w:r w:rsidRPr="00F83873">
        <w:rPr>
          <w:rStyle w:val="FootnoteReference"/>
        </w:rPr>
        <w:footnoteReference w:id="44"/>
      </w:r>
      <w:r w:rsidR="001D3FCF">
        <w:rPr>
          <w:rStyle w:val="AERbody"/>
        </w:rPr>
        <w:t xml:space="preserve"> </w:t>
      </w:r>
      <w:r w:rsidRPr="00F83873">
        <w:rPr>
          <w:rStyle w:val="AERbody"/>
        </w:rPr>
        <w:t>Therefore, in order to calculate Directlink's 2015 market impact parameter performance target, we validated and confirmed market impact performance data for the period 1</w:t>
      </w:r>
      <w:r w:rsidR="006E2A2B">
        <w:rPr>
          <w:rStyle w:val="AERbody"/>
        </w:rPr>
        <w:t>2</w:t>
      </w:r>
      <w:r w:rsidR="00260F27">
        <w:rPr>
          <w:rStyle w:val="AERbody"/>
        </w:rPr>
        <w:t> </w:t>
      </w:r>
      <w:r w:rsidRPr="00F83873">
        <w:rPr>
          <w:rStyle w:val="AERbody"/>
        </w:rPr>
        <w:t>August 2009 to 1</w:t>
      </w:r>
      <w:r w:rsidR="006E2A2B">
        <w:rPr>
          <w:rStyle w:val="AERbody"/>
        </w:rPr>
        <w:t>1</w:t>
      </w:r>
      <w:r w:rsidRPr="00F83873">
        <w:rPr>
          <w:rStyle w:val="AERbody"/>
        </w:rPr>
        <w:t xml:space="preserve"> August 2012. </w:t>
      </w:r>
    </w:p>
    <w:p w:rsidR="001D3FCF" w:rsidRDefault="001D3FCF" w:rsidP="001D3FCF">
      <w:pPr>
        <w:pStyle w:val="AERbodytext"/>
        <w:numPr>
          <w:ilvl w:val="0"/>
          <w:numId w:val="0"/>
        </w:numPr>
      </w:pPr>
      <w:r>
        <w:rPr>
          <w:rStyle w:val="AERbody"/>
        </w:rPr>
        <w:t>Similarly, f</w:t>
      </w:r>
      <w:r w:rsidR="00F83873" w:rsidRPr="00F83873">
        <w:rPr>
          <w:rStyle w:val="AERbody"/>
        </w:rPr>
        <w:t>or the purposes of calculating Directlink's market impact parameter performance targets for 2016, 2017 and 2018 and its calendar year performance for 2015 and 2016, if the Directlink fire excluded period interrupts the relevant measurement period for either the performance target or calendar year performance, the period immediately prior to the Directlink fire excluded period is included to make up the balance.</w:t>
      </w:r>
      <w:r w:rsidR="00F83873" w:rsidRPr="00F83873">
        <w:rPr>
          <w:rStyle w:val="FootnoteReference"/>
        </w:rPr>
        <w:footnoteReference w:id="45"/>
      </w:r>
      <w:r w:rsidR="00F83873" w:rsidRPr="00F83873">
        <w:rPr>
          <w:rStyle w:val="AERbody"/>
        </w:rPr>
        <w:t xml:space="preserve"> Accordingly, no financial incentive will apply to Directlink during the Directlink fire excluded period.</w:t>
      </w:r>
      <w:r w:rsidR="00F83873" w:rsidRPr="00F83873">
        <w:rPr>
          <w:rStyle w:val="FootnoteReference"/>
        </w:rPr>
        <w:footnoteReference w:id="46"/>
      </w:r>
      <w:r>
        <w:rPr>
          <w:rStyle w:val="AERbody"/>
        </w:rPr>
        <w:t xml:space="preserve"> </w:t>
      </w:r>
      <w:r w:rsidRPr="001D3FCF">
        <w:rPr>
          <w:rStyle w:val="AERbody"/>
        </w:rPr>
        <w:t>Directlink</w:t>
      </w:r>
      <w:r w:rsidRPr="001D3FCF">
        <w:t>'s market impact parameter</w:t>
      </w:r>
      <w:r w:rsidR="008679FF">
        <w:t xml:space="preserve"> performance</w:t>
      </w:r>
      <w:r w:rsidRPr="001D3FCF">
        <w:t xml:space="preserve"> targets that will apply within the </w:t>
      </w:r>
      <w:r w:rsidR="008679FF">
        <w:t xml:space="preserve">remainder of the </w:t>
      </w:r>
      <w:r w:rsidR="008679FF" w:rsidRPr="001D3FCF">
        <w:t>201</w:t>
      </w:r>
      <w:r w:rsidR="008679FF">
        <w:t>5</w:t>
      </w:r>
      <w:r w:rsidRPr="001D3FCF">
        <w:t>–20 regulatory control period will be published annually as part of our service standards compliance reporting process.</w:t>
      </w:r>
      <w:r w:rsidRPr="001D3FCF">
        <w:rPr>
          <w:rStyle w:val="FootnoteReference"/>
        </w:rPr>
        <w:footnoteReference w:id="47"/>
      </w:r>
    </w:p>
    <w:p w:rsidR="000E369B" w:rsidRPr="00FD008B" w:rsidRDefault="00FD008B" w:rsidP="000E369B">
      <w:pPr>
        <w:spacing w:after="0" w:line="240" w:lineRule="auto"/>
        <w:jc w:val="left"/>
      </w:pPr>
      <w:r w:rsidRPr="00FD008B">
        <w:t xml:space="preserve">Our audit of Directlink's market impact performance data for the period </w:t>
      </w:r>
      <w:r w:rsidRPr="00FD008B">
        <w:rPr>
          <w:rStyle w:val="AERbody"/>
        </w:rPr>
        <w:t>1</w:t>
      </w:r>
      <w:r w:rsidR="006E2A2B">
        <w:rPr>
          <w:rStyle w:val="AERbody"/>
        </w:rPr>
        <w:t>2</w:t>
      </w:r>
      <w:r w:rsidRPr="00FD008B">
        <w:rPr>
          <w:rStyle w:val="AERbody"/>
        </w:rPr>
        <w:t xml:space="preserve"> August 2009 to 1</w:t>
      </w:r>
      <w:r w:rsidR="006E2A2B">
        <w:rPr>
          <w:rStyle w:val="AERbody"/>
        </w:rPr>
        <w:t>1</w:t>
      </w:r>
      <w:r w:rsidRPr="00FD008B">
        <w:rPr>
          <w:rStyle w:val="AERbody"/>
        </w:rPr>
        <w:t xml:space="preserve"> August 2012 </w:t>
      </w:r>
      <w:r w:rsidRPr="00FD008B">
        <w:t>resulted in a number of adjustments. These adjustments are show</w:t>
      </w:r>
      <w:r w:rsidR="003B16F6">
        <w:t>n</w:t>
      </w:r>
      <w:r w:rsidRPr="00FD008B">
        <w:t xml:space="preserve"> in</w:t>
      </w:r>
      <w:r w:rsidR="000E369B">
        <w:t xml:space="preserve"> </w:t>
      </w:r>
      <w:r w:rsidR="000E369B">
        <w:fldChar w:fldCharType="begin"/>
      </w:r>
      <w:r w:rsidR="000E369B">
        <w:instrText xml:space="preserve"> REF _Ref403049543 \h </w:instrText>
      </w:r>
      <w:r w:rsidR="000E369B">
        <w:fldChar w:fldCharType="separate"/>
      </w:r>
      <w:r w:rsidR="00585D99" w:rsidRPr="00FD008B">
        <w:t xml:space="preserve">Table </w:t>
      </w:r>
      <w:r w:rsidR="00585D99">
        <w:rPr>
          <w:noProof/>
        </w:rPr>
        <w:t>11</w:t>
      </w:r>
      <w:r w:rsidR="00585D99" w:rsidRPr="00FD008B">
        <w:t>.</w:t>
      </w:r>
      <w:r w:rsidR="00585D99">
        <w:rPr>
          <w:noProof/>
        </w:rPr>
        <w:t>5</w:t>
      </w:r>
      <w:r w:rsidR="000E369B">
        <w:fldChar w:fldCharType="end"/>
      </w:r>
    </w:p>
    <w:p w:rsidR="00FD008B" w:rsidRPr="00FD008B" w:rsidRDefault="00FD008B" w:rsidP="00577005">
      <w:pPr>
        <w:spacing w:after="0" w:line="240" w:lineRule="auto"/>
        <w:jc w:val="left"/>
      </w:pPr>
      <w:r w:rsidRPr="00FD008B">
        <w:t>.</w:t>
      </w:r>
    </w:p>
    <w:p w:rsidR="00896DDE" w:rsidRDefault="00896DDE">
      <w:pPr>
        <w:spacing w:after="0" w:line="240" w:lineRule="auto"/>
        <w:jc w:val="left"/>
        <w:rPr>
          <w:rFonts w:eastAsia="Times New Roman"/>
          <w:b/>
          <w:bCs/>
          <w:szCs w:val="18"/>
        </w:rPr>
      </w:pPr>
      <w:bookmarkStart w:id="27" w:name="_Ref373763907"/>
      <w:r>
        <w:br w:type="page"/>
      </w:r>
    </w:p>
    <w:p w:rsidR="00FD008B" w:rsidRPr="00FD008B" w:rsidRDefault="00FD008B" w:rsidP="00FD008B">
      <w:pPr>
        <w:pStyle w:val="Caption"/>
      </w:pPr>
      <w:bookmarkStart w:id="28" w:name="_Ref403049543"/>
      <w:r w:rsidRPr="00FD008B">
        <w:lastRenderedPageBreak/>
        <w:t xml:space="preserve">Table </w:t>
      </w:r>
      <w:r w:rsidR="00CD5DB7">
        <w:fldChar w:fldCharType="begin"/>
      </w:r>
      <w:r w:rsidR="00CD5DB7">
        <w:instrText xml:space="preserve"> STYLEREF 1 \s </w:instrText>
      </w:r>
      <w:r w:rsidR="00CD5DB7">
        <w:fldChar w:fldCharType="separate"/>
      </w:r>
      <w:r w:rsidR="00585D99">
        <w:rPr>
          <w:noProof/>
        </w:rPr>
        <w:t>11</w:t>
      </w:r>
      <w:r w:rsidR="00CD5DB7">
        <w:rPr>
          <w:noProof/>
        </w:rPr>
        <w:fldChar w:fldCharType="end"/>
      </w:r>
      <w:r w:rsidRPr="00FD008B">
        <w:t>.</w:t>
      </w:r>
      <w:fldSimple w:instr=" SEQ Table \* ARABIC \s 1 ">
        <w:r w:rsidR="00585D99">
          <w:rPr>
            <w:noProof/>
          </w:rPr>
          <w:t>5</w:t>
        </w:r>
      </w:fldSimple>
      <w:bookmarkEnd w:id="27"/>
      <w:bookmarkEnd w:id="28"/>
      <w:r w:rsidRPr="00FD008B">
        <w:tab/>
        <w:t>AER adjustments to Directlink's market impact component performance data</w:t>
      </w:r>
    </w:p>
    <w:tbl>
      <w:tblPr>
        <w:tblStyle w:val="AERtable-text"/>
        <w:tblW w:w="0" w:type="auto"/>
        <w:tblLayout w:type="fixed"/>
        <w:tblLook w:val="04A0" w:firstRow="1" w:lastRow="0" w:firstColumn="1" w:lastColumn="0" w:noHBand="0" w:noVBand="1"/>
      </w:tblPr>
      <w:tblGrid>
        <w:gridCol w:w="1951"/>
        <w:gridCol w:w="2126"/>
        <w:gridCol w:w="4985"/>
      </w:tblGrid>
      <w:tr w:rsidR="00FD008B" w:rsidTr="00D37CA5">
        <w:trPr>
          <w:cnfStyle w:val="100000000000" w:firstRow="1" w:lastRow="0" w:firstColumn="0" w:lastColumn="0" w:oddVBand="0" w:evenVBand="0" w:oddHBand="0" w:evenHBand="0" w:firstRowFirstColumn="0" w:firstRowLastColumn="0" w:lastRowFirstColumn="0" w:lastRowLastColumn="0"/>
          <w:tblHeader/>
        </w:trPr>
        <w:tc>
          <w:tcPr>
            <w:tcW w:w="1951" w:type="dxa"/>
          </w:tcPr>
          <w:p w:rsidR="00FD008B" w:rsidRPr="00FD008B" w:rsidRDefault="00FD008B" w:rsidP="00FD008B">
            <w:pPr>
              <w:pStyle w:val="AERtabletextleft"/>
            </w:pPr>
            <w:r w:rsidRPr="00FD008B">
              <w:t>Constraint</w:t>
            </w:r>
          </w:p>
        </w:tc>
        <w:tc>
          <w:tcPr>
            <w:tcW w:w="2126" w:type="dxa"/>
          </w:tcPr>
          <w:p w:rsidR="00FD008B" w:rsidRPr="00FD008B" w:rsidRDefault="00FD008B" w:rsidP="00FD008B">
            <w:pPr>
              <w:pStyle w:val="AERtabletextright"/>
            </w:pPr>
            <w:r w:rsidRPr="00FD008B">
              <w:t>Adjustment</w:t>
            </w:r>
          </w:p>
        </w:tc>
        <w:tc>
          <w:tcPr>
            <w:tcW w:w="4985" w:type="dxa"/>
          </w:tcPr>
          <w:p w:rsidR="00FD008B" w:rsidRPr="00FD008B" w:rsidRDefault="00FD008B" w:rsidP="00FD008B">
            <w:pPr>
              <w:pStyle w:val="AERtabletextleft"/>
            </w:pPr>
            <w:r w:rsidRPr="00FD008B">
              <w:t>Reason</w:t>
            </w:r>
          </w:p>
        </w:tc>
      </w:tr>
      <w:tr w:rsidR="00E6760A" w:rsidTr="00143C7C">
        <w:tc>
          <w:tcPr>
            <w:tcW w:w="1951" w:type="dxa"/>
            <w:vAlign w:val="bottom"/>
          </w:tcPr>
          <w:p w:rsidR="00E6760A" w:rsidRPr="00E6760A" w:rsidRDefault="00E6760A" w:rsidP="00E6760A">
            <w:pPr>
              <w:pStyle w:val="AERtabletextleft"/>
            </w:pPr>
            <w:r w:rsidRPr="00E6760A">
              <w:t>N&gt;Q-FDNA</w:t>
            </w:r>
          </w:p>
        </w:tc>
        <w:tc>
          <w:tcPr>
            <w:tcW w:w="2126" w:type="dxa"/>
          </w:tcPr>
          <w:p w:rsidR="00E6760A" w:rsidRPr="00E6760A" w:rsidRDefault="00E6760A" w:rsidP="00E6760A">
            <w:pPr>
              <w:pStyle w:val="AERtabletextright"/>
            </w:pPr>
            <w:r>
              <w:t>+9 counts</w:t>
            </w:r>
          </w:p>
        </w:tc>
        <w:tc>
          <w:tcPr>
            <w:tcW w:w="4985" w:type="dxa"/>
            <w:vAlign w:val="bottom"/>
          </w:tcPr>
          <w:p w:rsidR="00E6760A" w:rsidRPr="00E6760A" w:rsidRDefault="00E6760A" w:rsidP="00FF29A1">
            <w:pPr>
              <w:pStyle w:val="AERbodytext"/>
            </w:pPr>
            <w:r w:rsidRPr="00E6760A">
              <w:t>1/11/2009 Directlink Flow Direction Signalling Not Available</w:t>
            </w:r>
            <w:r w:rsidR="00A9190C">
              <w:t>.</w:t>
            </w:r>
            <w:r w:rsidRPr="00E6760A">
              <w:t xml:space="preserve"> </w:t>
            </w:r>
          </w:p>
        </w:tc>
      </w:tr>
      <w:tr w:rsidR="00E6760A" w:rsidTr="00143C7C">
        <w:trPr>
          <w:cnfStyle w:val="000000010000" w:firstRow="0" w:lastRow="0" w:firstColumn="0" w:lastColumn="0" w:oddVBand="0" w:evenVBand="0" w:oddHBand="0" w:evenHBand="1" w:firstRowFirstColumn="0" w:firstRowLastColumn="0" w:lastRowFirstColumn="0" w:lastRowLastColumn="0"/>
        </w:trPr>
        <w:tc>
          <w:tcPr>
            <w:tcW w:w="1951" w:type="dxa"/>
            <w:vAlign w:val="bottom"/>
          </w:tcPr>
          <w:p w:rsidR="00E6760A" w:rsidRPr="00E6760A" w:rsidRDefault="00E6760A" w:rsidP="00E6760A">
            <w:pPr>
              <w:pStyle w:val="AERtabletextleft"/>
            </w:pPr>
            <w:r w:rsidRPr="00E6760A">
              <w:t>NQTE_030</w:t>
            </w:r>
          </w:p>
        </w:tc>
        <w:tc>
          <w:tcPr>
            <w:tcW w:w="2126" w:type="dxa"/>
          </w:tcPr>
          <w:p w:rsidR="00E6760A" w:rsidRPr="00E6760A" w:rsidRDefault="00E6760A" w:rsidP="00E6760A">
            <w:pPr>
              <w:pStyle w:val="AERtabletextright"/>
            </w:pPr>
            <w:r>
              <w:t>+14 counts</w:t>
            </w:r>
          </w:p>
        </w:tc>
        <w:tc>
          <w:tcPr>
            <w:tcW w:w="4985" w:type="dxa"/>
            <w:vAlign w:val="bottom"/>
          </w:tcPr>
          <w:p w:rsidR="00E6760A" w:rsidRPr="00E6760A" w:rsidRDefault="00E6760A" w:rsidP="00957627">
            <w:pPr>
              <w:pStyle w:val="AERbodytext"/>
            </w:pPr>
            <w:r w:rsidRPr="00E6760A">
              <w:t>21/8/2009 There is a short notice outage of the Directlink Emergency Tripping Scheme in the NSW Region</w:t>
            </w:r>
            <w:r w:rsidR="00A9190C">
              <w:t xml:space="preserve"> so this is included in the scheme</w:t>
            </w:r>
            <w:r w:rsidRPr="00E6760A">
              <w:t xml:space="preserve">. </w:t>
            </w:r>
          </w:p>
        </w:tc>
      </w:tr>
      <w:tr w:rsidR="00E6760A" w:rsidTr="00143C7C">
        <w:tc>
          <w:tcPr>
            <w:tcW w:w="1951" w:type="dxa"/>
            <w:vAlign w:val="bottom"/>
          </w:tcPr>
          <w:p w:rsidR="00E6760A" w:rsidRPr="00E6760A" w:rsidRDefault="00E6760A" w:rsidP="00E6760A">
            <w:pPr>
              <w:pStyle w:val="AERtabletextleft"/>
            </w:pPr>
            <w:r w:rsidRPr="00E6760A">
              <w:t>N&gt;&gt;N-DTSS_20</w:t>
            </w:r>
          </w:p>
        </w:tc>
        <w:tc>
          <w:tcPr>
            <w:tcW w:w="2126" w:type="dxa"/>
          </w:tcPr>
          <w:p w:rsidR="00E6760A" w:rsidRPr="00E6760A" w:rsidRDefault="00E6760A" w:rsidP="00E6760A">
            <w:pPr>
              <w:pStyle w:val="AERtabletextright"/>
            </w:pPr>
            <w:r>
              <w:t>+15 counts</w:t>
            </w:r>
          </w:p>
        </w:tc>
        <w:tc>
          <w:tcPr>
            <w:tcW w:w="4985" w:type="dxa"/>
            <w:vAlign w:val="bottom"/>
          </w:tcPr>
          <w:p w:rsidR="00E6760A" w:rsidRPr="00E6760A" w:rsidRDefault="00E6760A" w:rsidP="00957627">
            <w:pPr>
              <w:pStyle w:val="AERbodytext"/>
            </w:pPr>
            <w:r w:rsidRPr="00E6760A">
              <w:t xml:space="preserve">9/11/2012 Essential Energy requested outage for TNA-BLA line protection work. </w:t>
            </w:r>
            <w:r w:rsidR="005342DE">
              <w:t>P</w:t>
            </w:r>
            <w:r w:rsidRPr="00E6760A">
              <w:t>lanned outage requested by third part</w:t>
            </w:r>
            <w:r w:rsidR="005342DE">
              <w:t xml:space="preserve">ies are </w:t>
            </w:r>
            <w:r w:rsidRPr="00E6760A">
              <w:t>inclu</w:t>
            </w:r>
            <w:r w:rsidR="005342DE">
              <w:t>ded in the scheme</w:t>
            </w:r>
            <w:r w:rsidRPr="00E6760A">
              <w:t>.</w:t>
            </w:r>
          </w:p>
        </w:tc>
      </w:tr>
      <w:tr w:rsidR="00E6760A" w:rsidTr="00143C7C">
        <w:trPr>
          <w:cnfStyle w:val="000000010000" w:firstRow="0" w:lastRow="0" w:firstColumn="0" w:lastColumn="0" w:oddVBand="0" w:evenVBand="0" w:oddHBand="0" w:evenHBand="1" w:firstRowFirstColumn="0" w:firstRowLastColumn="0" w:lastRowFirstColumn="0" w:lastRowLastColumn="0"/>
          <w:trHeight w:val="1099"/>
        </w:trPr>
        <w:tc>
          <w:tcPr>
            <w:tcW w:w="1951" w:type="dxa"/>
            <w:vAlign w:val="bottom"/>
          </w:tcPr>
          <w:p w:rsidR="00E6760A" w:rsidRPr="00E6760A" w:rsidRDefault="00E6760A" w:rsidP="00E6760A">
            <w:pPr>
              <w:pStyle w:val="AERtabletextleft"/>
            </w:pPr>
            <w:r w:rsidRPr="00E6760A">
              <w:t>NQTE_020</w:t>
            </w:r>
          </w:p>
        </w:tc>
        <w:tc>
          <w:tcPr>
            <w:tcW w:w="2126" w:type="dxa"/>
          </w:tcPr>
          <w:p w:rsidR="00E6760A" w:rsidRPr="00E6760A" w:rsidRDefault="00E6760A" w:rsidP="00E6760A">
            <w:pPr>
              <w:pStyle w:val="AERtabletextright"/>
            </w:pPr>
            <w:r>
              <w:t>+4 counts</w:t>
            </w:r>
          </w:p>
        </w:tc>
        <w:tc>
          <w:tcPr>
            <w:tcW w:w="4985" w:type="dxa"/>
            <w:vAlign w:val="bottom"/>
          </w:tcPr>
          <w:p w:rsidR="00E6760A" w:rsidRPr="00E6760A" w:rsidRDefault="00E6760A" w:rsidP="00A9190C">
            <w:pPr>
              <w:pStyle w:val="AERbodytext"/>
            </w:pPr>
            <w:r w:rsidRPr="00E6760A">
              <w:t xml:space="preserve">17/02/2012 Constraint is an inability to control Directlink. </w:t>
            </w:r>
          </w:p>
        </w:tc>
      </w:tr>
      <w:tr w:rsidR="00E6760A" w:rsidTr="00143C7C">
        <w:tc>
          <w:tcPr>
            <w:tcW w:w="1951" w:type="dxa"/>
            <w:vAlign w:val="bottom"/>
          </w:tcPr>
          <w:p w:rsidR="00E6760A" w:rsidRPr="00E6760A" w:rsidRDefault="00E6760A" w:rsidP="00E6760A">
            <w:pPr>
              <w:pStyle w:val="AERtabletextleft"/>
            </w:pPr>
            <w:r w:rsidRPr="00E6760A">
              <w:t>N_X_MBTE_3A</w:t>
            </w:r>
          </w:p>
        </w:tc>
        <w:tc>
          <w:tcPr>
            <w:tcW w:w="2126" w:type="dxa"/>
          </w:tcPr>
          <w:p w:rsidR="00E6760A" w:rsidRPr="00E6760A" w:rsidRDefault="00143C7C" w:rsidP="00E6760A">
            <w:pPr>
              <w:pStyle w:val="AERtabletextright"/>
            </w:pPr>
            <w:r>
              <w:t>+2.5</w:t>
            </w:r>
            <w:r w:rsidR="00AA6A58">
              <w:t xml:space="preserve"> counts</w:t>
            </w:r>
          </w:p>
        </w:tc>
        <w:tc>
          <w:tcPr>
            <w:tcW w:w="4985" w:type="dxa"/>
            <w:vAlign w:val="bottom"/>
          </w:tcPr>
          <w:p w:rsidR="00E6760A" w:rsidRPr="00E6760A" w:rsidRDefault="00E6760A" w:rsidP="00957627">
            <w:pPr>
              <w:pStyle w:val="AERbodytext"/>
            </w:pPr>
            <w:r w:rsidRPr="00E6760A">
              <w:t xml:space="preserve">23-24/7/2012 Outage for Essential Energy protection work at Mullumbimby. </w:t>
            </w:r>
            <w:r w:rsidR="005342DE">
              <w:t>P</w:t>
            </w:r>
            <w:r w:rsidRPr="00E6760A">
              <w:t>lanned outage requested by third party</w:t>
            </w:r>
            <w:r w:rsidR="005342DE">
              <w:t xml:space="preserve"> is </w:t>
            </w:r>
            <w:r w:rsidR="005342DE" w:rsidRPr="005342DE">
              <w:t xml:space="preserve">an inclusion </w:t>
            </w:r>
            <w:r w:rsidR="005342DE">
              <w:t>in the scheme</w:t>
            </w:r>
            <w:r w:rsidRPr="00E6760A">
              <w:t xml:space="preserve">. Directlink applied a 50% weight. </w:t>
            </w:r>
          </w:p>
        </w:tc>
      </w:tr>
      <w:tr w:rsidR="00E6760A" w:rsidTr="00143C7C">
        <w:trPr>
          <w:cnfStyle w:val="000000010000" w:firstRow="0" w:lastRow="0" w:firstColumn="0" w:lastColumn="0" w:oddVBand="0" w:evenVBand="0" w:oddHBand="0" w:evenHBand="1" w:firstRowFirstColumn="0" w:firstRowLastColumn="0" w:lastRowFirstColumn="0" w:lastRowLastColumn="0"/>
        </w:trPr>
        <w:tc>
          <w:tcPr>
            <w:tcW w:w="1951" w:type="dxa"/>
          </w:tcPr>
          <w:p w:rsidR="00E6760A" w:rsidRPr="00E6760A" w:rsidRDefault="00E6760A" w:rsidP="00E6760A">
            <w:pPr>
              <w:pStyle w:val="AERtabletextleft"/>
            </w:pPr>
            <w:r w:rsidRPr="00E6760A">
              <w:t>N_X_MBTE_3B</w:t>
            </w:r>
          </w:p>
        </w:tc>
        <w:tc>
          <w:tcPr>
            <w:tcW w:w="2126" w:type="dxa"/>
          </w:tcPr>
          <w:p w:rsidR="00E6760A" w:rsidRPr="00E6760A" w:rsidRDefault="00FD5C57" w:rsidP="000C0EB4">
            <w:pPr>
              <w:pStyle w:val="AERtabletextright"/>
            </w:pPr>
            <w:r>
              <w:t>+28.5</w:t>
            </w:r>
            <w:r w:rsidR="000C0EB4">
              <w:t xml:space="preserve"> counts</w:t>
            </w:r>
          </w:p>
        </w:tc>
        <w:tc>
          <w:tcPr>
            <w:tcW w:w="4985" w:type="dxa"/>
            <w:vAlign w:val="bottom"/>
          </w:tcPr>
          <w:p w:rsidR="00E6760A" w:rsidRPr="00E6760A" w:rsidRDefault="00E6760A" w:rsidP="005342DE">
            <w:pPr>
              <w:pStyle w:val="AERbodytext"/>
            </w:pPr>
            <w:r w:rsidRPr="00E6760A">
              <w:t xml:space="preserve">22/07/2010 </w:t>
            </w:r>
            <w:r w:rsidR="005342DE" w:rsidRPr="005342DE">
              <w:t>Country Energy Requested Outag</w:t>
            </w:r>
            <w:r w:rsidR="005342DE">
              <w:t xml:space="preserve">e - Terranora Bus zone breakers, which is a </w:t>
            </w:r>
            <w:r w:rsidRPr="00E6760A">
              <w:t xml:space="preserve">planned outage requested by third party. This is an inclusion for TNSP count. Increase weight to 1. </w:t>
            </w:r>
          </w:p>
        </w:tc>
      </w:tr>
      <w:tr w:rsidR="00E6760A" w:rsidTr="00143C7C">
        <w:tc>
          <w:tcPr>
            <w:tcW w:w="1951" w:type="dxa"/>
          </w:tcPr>
          <w:p w:rsidR="00E6760A" w:rsidRPr="00E6760A" w:rsidRDefault="00E6760A" w:rsidP="00E6760A">
            <w:pPr>
              <w:pStyle w:val="AERtabletextleft"/>
            </w:pPr>
          </w:p>
        </w:tc>
        <w:tc>
          <w:tcPr>
            <w:tcW w:w="2126" w:type="dxa"/>
          </w:tcPr>
          <w:p w:rsidR="00E6760A" w:rsidRPr="00E6760A" w:rsidRDefault="00957627" w:rsidP="00957627">
            <w:pPr>
              <w:pStyle w:val="AERtabletextright"/>
            </w:pPr>
            <w:r>
              <w:t>-</w:t>
            </w:r>
            <w:r w:rsidR="00FD5C57">
              <w:t>5</w:t>
            </w:r>
            <w:r w:rsidR="005342DE" w:rsidRPr="005342DE">
              <w:t xml:space="preserve"> counts </w:t>
            </w:r>
          </w:p>
        </w:tc>
        <w:tc>
          <w:tcPr>
            <w:tcW w:w="4985" w:type="dxa"/>
            <w:vAlign w:val="bottom"/>
          </w:tcPr>
          <w:p w:rsidR="00E6760A" w:rsidRPr="00E6760A" w:rsidRDefault="00E6760A" w:rsidP="005342DE">
            <w:pPr>
              <w:pStyle w:val="AERbodytext"/>
            </w:pPr>
            <w:r w:rsidRPr="00E6760A">
              <w:t>9/08/2010 Auxiliary power failure from the Country Energy distribution network</w:t>
            </w:r>
            <w:r w:rsidR="005342DE">
              <w:t xml:space="preserve"> i</w:t>
            </w:r>
            <w:r w:rsidRPr="00E6760A">
              <w:t xml:space="preserve">mplies </w:t>
            </w:r>
            <w:r w:rsidR="005342DE">
              <w:t xml:space="preserve">an </w:t>
            </w:r>
            <w:r w:rsidRPr="00E6760A">
              <w:t>unplanned outa</w:t>
            </w:r>
            <w:r w:rsidR="005342DE">
              <w:t>ge caused by third party system,</w:t>
            </w:r>
            <w:r w:rsidRPr="00E6760A">
              <w:t xml:space="preserve"> therefore </w:t>
            </w:r>
            <w:r w:rsidRPr="00957627">
              <w:rPr>
                <w:rStyle w:val="AERtextbold"/>
              </w:rPr>
              <w:t>exclusion clause 3</w:t>
            </w:r>
            <w:r w:rsidRPr="00E6760A">
              <w:t xml:space="preserve">. </w:t>
            </w:r>
          </w:p>
        </w:tc>
      </w:tr>
      <w:tr w:rsidR="00E6760A" w:rsidTr="00143C7C">
        <w:trPr>
          <w:cnfStyle w:val="000000010000" w:firstRow="0" w:lastRow="0" w:firstColumn="0" w:lastColumn="0" w:oddVBand="0" w:evenVBand="0" w:oddHBand="0" w:evenHBand="1" w:firstRowFirstColumn="0" w:firstRowLastColumn="0" w:lastRowFirstColumn="0" w:lastRowLastColumn="0"/>
        </w:trPr>
        <w:tc>
          <w:tcPr>
            <w:tcW w:w="1951" w:type="dxa"/>
          </w:tcPr>
          <w:p w:rsidR="00E6760A" w:rsidRPr="00E6760A" w:rsidRDefault="00E6760A" w:rsidP="00E6760A">
            <w:pPr>
              <w:pStyle w:val="AERtabletextleft"/>
            </w:pPr>
          </w:p>
        </w:tc>
        <w:tc>
          <w:tcPr>
            <w:tcW w:w="2126" w:type="dxa"/>
          </w:tcPr>
          <w:p w:rsidR="00E6760A" w:rsidRPr="00E6760A" w:rsidRDefault="007C6961" w:rsidP="00E6760A">
            <w:pPr>
              <w:pStyle w:val="AERtabletextright"/>
            </w:pPr>
            <w:r>
              <w:t>+</w:t>
            </w:r>
            <w:r w:rsidR="00FD5C57">
              <w:t>21.5</w:t>
            </w:r>
            <w:r w:rsidR="00957627">
              <w:t xml:space="preserve"> counts</w:t>
            </w:r>
          </w:p>
        </w:tc>
        <w:tc>
          <w:tcPr>
            <w:tcW w:w="4985" w:type="dxa"/>
            <w:vAlign w:val="bottom"/>
          </w:tcPr>
          <w:p w:rsidR="00E6760A" w:rsidRPr="00E6760A" w:rsidRDefault="00E6760A" w:rsidP="00957627">
            <w:pPr>
              <w:pStyle w:val="AERbodytext"/>
            </w:pPr>
            <w:r w:rsidRPr="00E6760A">
              <w:t>10</w:t>
            </w:r>
            <w:r w:rsidR="00957627">
              <w:t>–11</w:t>
            </w:r>
            <w:r w:rsidRPr="00E6760A">
              <w:t xml:space="preserve">/8/2010 County Energy Requested outage for work at Terranora. </w:t>
            </w:r>
            <w:r w:rsidR="005342DE">
              <w:t>P</w:t>
            </w:r>
            <w:r w:rsidRPr="00E6760A">
              <w:t>lanned outage requested by third part</w:t>
            </w:r>
            <w:r w:rsidR="005342DE">
              <w:t>ies are included in the scheme</w:t>
            </w:r>
            <w:r w:rsidRPr="00E6760A">
              <w:t>.</w:t>
            </w:r>
          </w:p>
        </w:tc>
      </w:tr>
      <w:tr w:rsidR="00E6760A" w:rsidTr="00143C7C">
        <w:tc>
          <w:tcPr>
            <w:tcW w:w="1951" w:type="dxa"/>
          </w:tcPr>
          <w:p w:rsidR="00E6760A" w:rsidRPr="00E6760A" w:rsidRDefault="00E6760A" w:rsidP="00E6760A">
            <w:pPr>
              <w:pStyle w:val="AERtabletextleft"/>
            </w:pPr>
          </w:p>
        </w:tc>
        <w:tc>
          <w:tcPr>
            <w:tcW w:w="2126" w:type="dxa"/>
          </w:tcPr>
          <w:p w:rsidR="00E6760A" w:rsidRPr="00E6760A" w:rsidRDefault="005342DE" w:rsidP="00957627">
            <w:pPr>
              <w:pStyle w:val="AERtabletextright"/>
            </w:pPr>
            <w:r>
              <w:t>+</w:t>
            </w:r>
            <w:r w:rsidR="00FD5C57">
              <w:t>17</w:t>
            </w:r>
            <w:r>
              <w:t xml:space="preserve"> counts</w:t>
            </w:r>
          </w:p>
        </w:tc>
        <w:tc>
          <w:tcPr>
            <w:tcW w:w="4985" w:type="dxa"/>
            <w:vAlign w:val="bottom"/>
          </w:tcPr>
          <w:p w:rsidR="00E6760A" w:rsidRPr="00E6760A" w:rsidRDefault="00E6760A" w:rsidP="00957627">
            <w:pPr>
              <w:pStyle w:val="AERbodytext"/>
            </w:pPr>
            <w:r w:rsidRPr="00E6760A">
              <w:t>14</w:t>
            </w:r>
            <w:r w:rsidR="005342DE">
              <w:t>–15</w:t>
            </w:r>
            <w:r w:rsidR="00957627">
              <w:t>/8/</w:t>
            </w:r>
            <w:r w:rsidR="005342DE">
              <w:t xml:space="preserve">2010 </w:t>
            </w:r>
            <w:r w:rsidRPr="00E6760A">
              <w:t>County Energy Requeste</w:t>
            </w:r>
            <w:r w:rsidR="005342DE">
              <w:t>d outage for work at Terranora.</w:t>
            </w:r>
            <w:r w:rsidR="005342DE" w:rsidRPr="00E6760A">
              <w:t xml:space="preserve"> </w:t>
            </w:r>
            <w:r w:rsidR="005342DE" w:rsidRPr="005342DE">
              <w:t xml:space="preserve">Comment implies planned outage requested by third party. This is an inclusion for TNSP count. </w:t>
            </w:r>
          </w:p>
        </w:tc>
      </w:tr>
      <w:tr w:rsidR="007C1514" w:rsidTr="00143C7C">
        <w:trPr>
          <w:cnfStyle w:val="000000010000" w:firstRow="0" w:lastRow="0" w:firstColumn="0" w:lastColumn="0" w:oddVBand="0" w:evenVBand="0" w:oddHBand="0" w:evenHBand="1" w:firstRowFirstColumn="0" w:firstRowLastColumn="0" w:lastRowFirstColumn="0" w:lastRowLastColumn="0"/>
        </w:trPr>
        <w:tc>
          <w:tcPr>
            <w:tcW w:w="1951" w:type="dxa"/>
          </w:tcPr>
          <w:p w:rsidR="007C1514" w:rsidRPr="00E6760A" w:rsidRDefault="007C1514" w:rsidP="007C1514">
            <w:pPr>
              <w:pStyle w:val="AERtabletextleft"/>
            </w:pPr>
          </w:p>
        </w:tc>
        <w:tc>
          <w:tcPr>
            <w:tcW w:w="2126" w:type="dxa"/>
          </w:tcPr>
          <w:p w:rsidR="007C1514" w:rsidRPr="007C1514" w:rsidRDefault="007C1514" w:rsidP="007C1514">
            <w:pPr>
              <w:pStyle w:val="AERtabletextright"/>
            </w:pPr>
            <w:r>
              <w:t>+</w:t>
            </w:r>
            <w:r w:rsidR="00FD5C57">
              <w:t>19.5</w:t>
            </w:r>
            <w:r w:rsidRPr="007C1514">
              <w:t xml:space="preserve"> counts</w:t>
            </w:r>
          </w:p>
        </w:tc>
        <w:tc>
          <w:tcPr>
            <w:tcW w:w="4985" w:type="dxa"/>
            <w:vAlign w:val="bottom"/>
          </w:tcPr>
          <w:p w:rsidR="007C1514" w:rsidRPr="00E6760A" w:rsidRDefault="007C1514" w:rsidP="007C1514">
            <w:pPr>
              <w:pStyle w:val="AERbodytext"/>
            </w:pPr>
            <w:r w:rsidRPr="00E6760A">
              <w:t>8</w:t>
            </w:r>
            <w:r>
              <w:t>–9/11/20</w:t>
            </w:r>
            <w:r w:rsidRPr="00E6760A">
              <w:t>11 Essential Energy requested outage for TNA-BLA line protection work</w:t>
            </w:r>
            <w:r>
              <w:t>. P</w:t>
            </w:r>
            <w:r w:rsidRPr="00E6760A">
              <w:t xml:space="preserve">lanned outage requested by third party. This is an inclusion for TNSP count. </w:t>
            </w:r>
          </w:p>
        </w:tc>
      </w:tr>
      <w:tr w:rsidR="005342DE" w:rsidTr="00143C7C">
        <w:tc>
          <w:tcPr>
            <w:tcW w:w="1951" w:type="dxa"/>
          </w:tcPr>
          <w:p w:rsidR="005342DE" w:rsidRPr="005342DE" w:rsidRDefault="005342DE" w:rsidP="005342DE">
            <w:pPr>
              <w:pStyle w:val="AERtabletextleft"/>
            </w:pPr>
          </w:p>
        </w:tc>
        <w:tc>
          <w:tcPr>
            <w:tcW w:w="2126" w:type="dxa"/>
          </w:tcPr>
          <w:p w:rsidR="005342DE" w:rsidRPr="005342DE" w:rsidRDefault="00FD5C57" w:rsidP="007C6961">
            <w:pPr>
              <w:pStyle w:val="AERtabletextright"/>
            </w:pPr>
            <w:r>
              <w:t>+4</w:t>
            </w:r>
            <w:r w:rsidR="005342DE" w:rsidRPr="005342DE">
              <w:t xml:space="preserve"> counts</w:t>
            </w:r>
          </w:p>
        </w:tc>
        <w:tc>
          <w:tcPr>
            <w:tcW w:w="4985" w:type="dxa"/>
            <w:vAlign w:val="bottom"/>
          </w:tcPr>
          <w:p w:rsidR="005342DE" w:rsidRPr="005342DE" w:rsidRDefault="005342DE" w:rsidP="00957627">
            <w:pPr>
              <w:pStyle w:val="AERbodytext"/>
            </w:pPr>
            <w:r w:rsidRPr="005342DE">
              <w:t>6</w:t>
            </w:r>
            <w:r w:rsidR="00957627">
              <w:t>/6/2012</w:t>
            </w:r>
            <w:r w:rsidRPr="005342DE">
              <w:t xml:space="preserve"> Outage for Essential Energy protection work at Mullumbimby. Comment implies planned outage requested by third party.</w:t>
            </w:r>
          </w:p>
        </w:tc>
      </w:tr>
      <w:tr w:rsidR="00E6760A" w:rsidTr="00143C7C">
        <w:trPr>
          <w:cnfStyle w:val="000000010000" w:firstRow="0" w:lastRow="0" w:firstColumn="0" w:lastColumn="0" w:oddVBand="0" w:evenVBand="0" w:oddHBand="0" w:evenHBand="1" w:firstRowFirstColumn="0" w:firstRowLastColumn="0" w:lastRowFirstColumn="0" w:lastRowLastColumn="0"/>
        </w:trPr>
        <w:tc>
          <w:tcPr>
            <w:tcW w:w="1951" w:type="dxa"/>
          </w:tcPr>
          <w:p w:rsidR="00E6760A" w:rsidRPr="00E6760A" w:rsidRDefault="00E6760A" w:rsidP="00E6760A">
            <w:pPr>
              <w:pStyle w:val="AERtabletextleft"/>
            </w:pPr>
          </w:p>
        </w:tc>
        <w:tc>
          <w:tcPr>
            <w:tcW w:w="2126" w:type="dxa"/>
          </w:tcPr>
          <w:p w:rsidR="00E6760A" w:rsidRPr="00E6760A" w:rsidRDefault="00FD5C57" w:rsidP="00E6760A">
            <w:pPr>
              <w:pStyle w:val="AERtabletextright"/>
            </w:pPr>
            <w:r>
              <w:t>+16</w:t>
            </w:r>
            <w:r w:rsidR="000C0EB4">
              <w:t xml:space="preserve"> counts</w:t>
            </w:r>
          </w:p>
        </w:tc>
        <w:tc>
          <w:tcPr>
            <w:tcW w:w="4985" w:type="dxa"/>
            <w:vAlign w:val="bottom"/>
          </w:tcPr>
          <w:p w:rsidR="00E6760A" w:rsidRPr="00E6760A" w:rsidRDefault="00E6760A" w:rsidP="00957627">
            <w:pPr>
              <w:pStyle w:val="AERbodytext"/>
            </w:pPr>
            <w:r w:rsidRPr="00E6760A">
              <w:t>18</w:t>
            </w:r>
            <w:r w:rsidR="00957627">
              <w:t>/7/20</w:t>
            </w:r>
            <w:r w:rsidRPr="00E6760A">
              <w:t xml:space="preserve">12 Outage for Essential Energy protection work at Mullumbimby. </w:t>
            </w:r>
            <w:r w:rsidR="005342DE">
              <w:t>P</w:t>
            </w:r>
            <w:r w:rsidRPr="00E6760A">
              <w:t>lanned outage requested by third party</w:t>
            </w:r>
            <w:r w:rsidR="005342DE">
              <w:t xml:space="preserve"> is included in the scheme</w:t>
            </w:r>
            <w:r w:rsidRPr="00E6760A">
              <w:t xml:space="preserve">. </w:t>
            </w:r>
          </w:p>
        </w:tc>
      </w:tr>
      <w:tr w:rsidR="00E6760A" w:rsidTr="00143C7C">
        <w:tc>
          <w:tcPr>
            <w:tcW w:w="1951" w:type="dxa"/>
          </w:tcPr>
          <w:p w:rsidR="00E6760A" w:rsidRPr="00E6760A" w:rsidRDefault="00E6760A" w:rsidP="00E6760A">
            <w:pPr>
              <w:pStyle w:val="AERtabletextleft"/>
            </w:pPr>
          </w:p>
        </w:tc>
        <w:tc>
          <w:tcPr>
            <w:tcW w:w="2126" w:type="dxa"/>
          </w:tcPr>
          <w:p w:rsidR="00E6760A" w:rsidRPr="00E6760A" w:rsidRDefault="00FD5C57" w:rsidP="00E6760A">
            <w:pPr>
              <w:pStyle w:val="AERtabletextright"/>
            </w:pPr>
            <w:r>
              <w:t>+9.5</w:t>
            </w:r>
            <w:r w:rsidR="000C0EB4">
              <w:t xml:space="preserve"> counts</w:t>
            </w:r>
          </w:p>
        </w:tc>
        <w:tc>
          <w:tcPr>
            <w:tcW w:w="4985" w:type="dxa"/>
            <w:vAlign w:val="bottom"/>
          </w:tcPr>
          <w:p w:rsidR="00E6760A" w:rsidRPr="00E6760A" w:rsidRDefault="00E6760A" w:rsidP="00957627">
            <w:pPr>
              <w:pStyle w:val="AERbodytext"/>
            </w:pPr>
            <w:r w:rsidRPr="00E6760A">
              <w:t>23</w:t>
            </w:r>
            <w:r w:rsidR="00957627">
              <w:t>/7/20</w:t>
            </w:r>
            <w:r w:rsidRPr="00E6760A">
              <w:t xml:space="preserve">12 Outage for Essential Energy protection work at Mullumbimby. </w:t>
            </w:r>
            <w:r w:rsidR="005342DE" w:rsidRPr="005342DE">
              <w:t>Planned outage requested by third party is included in the scheme.</w:t>
            </w:r>
          </w:p>
        </w:tc>
      </w:tr>
      <w:tr w:rsidR="00E6760A" w:rsidTr="00143C7C">
        <w:trPr>
          <w:cnfStyle w:val="000000010000" w:firstRow="0" w:lastRow="0" w:firstColumn="0" w:lastColumn="0" w:oddVBand="0" w:evenVBand="0" w:oddHBand="0" w:evenHBand="1" w:firstRowFirstColumn="0" w:firstRowLastColumn="0" w:lastRowFirstColumn="0" w:lastRowLastColumn="0"/>
        </w:trPr>
        <w:tc>
          <w:tcPr>
            <w:tcW w:w="1951" w:type="dxa"/>
            <w:vAlign w:val="bottom"/>
          </w:tcPr>
          <w:p w:rsidR="00E6760A" w:rsidRPr="00E6760A" w:rsidRDefault="00E6760A" w:rsidP="00E6760A">
            <w:pPr>
              <w:pStyle w:val="AERtabletextleft"/>
            </w:pPr>
            <w:r w:rsidRPr="00E6760A">
              <w:lastRenderedPageBreak/>
              <w:t>#N-Q-MNSP1_RAMP_I_F</w:t>
            </w:r>
          </w:p>
        </w:tc>
        <w:tc>
          <w:tcPr>
            <w:tcW w:w="2126" w:type="dxa"/>
          </w:tcPr>
          <w:p w:rsidR="00E6760A" w:rsidRPr="00E6760A" w:rsidRDefault="007152DE" w:rsidP="00E6760A">
            <w:pPr>
              <w:pStyle w:val="AERtabletextright"/>
            </w:pPr>
            <w:r>
              <w:t>-52 counts</w:t>
            </w:r>
          </w:p>
        </w:tc>
        <w:tc>
          <w:tcPr>
            <w:tcW w:w="4985" w:type="dxa"/>
            <w:vAlign w:val="bottom"/>
          </w:tcPr>
          <w:p w:rsidR="00E6760A" w:rsidRPr="00E6760A" w:rsidRDefault="00E6760A" w:rsidP="00957627">
            <w:pPr>
              <w:pStyle w:val="AERbodytext"/>
            </w:pPr>
            <w:r w:rsidRPr="00E6760A">
              <w:t xml:space="preserve">AER did not accept 52 counts for RAMP constraints (6 </w:t>
            </w:r>
            <w:r w:rsidR="007152DE">
              <w:t>in year ending 12</w:t>
            </w:r>
            <w:r w:rsidR="00957627">
              <w:t>/8/</w:t>
            </w:r>
            <w:r w:rsidR="007152DE">
              <w:t>2010</w:t>
            </w:r>
            <w:r w:rsidRPr="00E6760A">
              <w:t>,</w:t>
            </w:r>
            <w:r w:rsidR="007152DE">
              <w:t xml:space="preserve"> </w:t>
            </w:r>
            <w:r w:rsidRPr="00E6760A">
              <w:t>38</w:t>
            </w:r>
            <w:r w:rsidR="007152DE">
              <w:t xml:space="preserve"> in year ending 12/8/2011</w:t>
            </w:r>
            <w:r w:rsidRPr="00E6760A">
              <w:t>,</w:t>
            </w:r>
            <w:r w:rsidR="007152DE">
              <w:t xml:space="preserve"> </w:t>
            </w:r>
            <w:r w:rsidRPr="00E6760A">
              <w:t>8</w:t>
            </w:r>
            <w:r w:rsidR="007152DE">
              <w:t xml:space="preserve"> in year ending 12</w:t>
            </w:r>
            <w:r w:rsidR="00957627">
              <w:t>/8/</w:t>
            </w:r>
            <w:r w:rsidR="007152DE">
              <w:t>2012</w:t>
            </w:r>
            <w:r w:rsidRPr="00E6760A">
              <w:t xml:space="preserve">): </w:t>
            </w:r>
            <w:r w:rsidR="007152DE">
              <w:t xml:space="preserve">Ramping constraints are </w:t>
            </w:r>
            <w:r w:rsidRPr="00E6760A">
              <w:t xml:space="preserve">not in </w:t>
            </w:r>
            <w:r w:rsidR="007152DE">
              <w:t xml:space="preserve">the </w:t>
            </w:r>
            <w:r w:rsidRPr="00E6760A">
              <w:t>scheme</w:t>
            </w:r>
            <w:r w:rsidR="007152DE">
              <w:t>.</w:t>
            </w:r>
          </w:p>
        </w:tc>
      </w:tr>
      <w:tr w:rsidR="00E6760A" w:rsidTr="00143C7C">
        <w:tc>
          <w:tcPr>
            <w:tcW w:w="1951" w:type="dxa"/>
            <w:vAlign w:val="bottom"/>
          </w:tcPr>
          <w:p w:rsidR="00E6760A" w:rsidRPr="00E6760A" w:rsidRDefault="00E6760A" w:rsidP="00E6760A">
            <w:pPr>
              <w:pStyle w:val="AERtabletextleft"/>
            </w:pPr>
            <w:r w:rsidRPr="00E6760A">
              <w:t>#N-Q-MNSP1_I_E</w:t>
            </w:r>
          </w:p>
        </w:tc>
        <w:tc>
          <w:tcPr>
            <w:tcW w:w="2126" w:type="dxa"/>
          </w:tcPr>
          <w:p w:rsidR="00E6760A" w:rsidRPr="00E6760A" w:rsidRDefault="006D2621" w:rsidP="006D2621">
            <w:pPr>
              <w:pStyle w:val="AERtabletextright"/>
            </w:pPr>
            <w:r>
              <w:t>-</w:t>
            </w:r>
            <w:r w:rsidR="007152DE">
              <w:t xml:space="preserve">220 counts </w:t>
            </w:r>
          </w:p>
        </w:tc>
        <w:tc>
          <w:tcPr>
            <w:tcW w:w="4985" w:type="dxa"/>
            <w:vAlign w:val="bottom"/>
          </w:tcPr>
          <w:p w:rsidR="00E6760A" w:rsidRPr="00E6760A" w:rsidRDefault="00E6760A" w:rsidP="00957627">
            <w:pPr>
              <w:pStyle w:val="AERbodytext"/>
            </w:pPr>
            <w:r w:rsidRPr="00E6760A">
              <w:t xml:space="preserve">AER changed </w:t>
            </w:r>
            <w:r w:rsidR="007152DE">
              <w:t xml:space="preserve">inclusion </w:t>
            </w:r>
            <w:r w:rsidRPr="00E6760A">
              <w:t>weight to zero</w:t>
            </w:r>
            <w:r w:rsidR="007152DE">
              <w:t xml:space="preserve"> </w:t>
            </w:r>
            <w:r w:rsidR="007152DE" w:rsidRPr="007152DE">
              <w:t>(</w:t>
            </w:r>
            <w:r w:rsidR="007152DE">
              <w:t>15</w:t>
            </w:r>
            <w:r w:rsidR="007152DE" w:rsidRPr="007152DE">
              <w:t>6 in year ending 12</w:t>
            </w:r>
            <w:r w:rsidR="00957627">
              <w:t>/8/</w:t>
            </w:r>
            <w:r w:rsidR="007152DE" w:rsidRPr="007152DE">
              <w:t xml:space="preserve">2010, </w:t>
            </w:r>
            <w:r w:rsidR="007152DE">
              <w:t>11</w:t>
            </w:r>
            <w:r w:rsidR="007152DE" w:rsidRPr="007152DE">
              <w:t xml:space="preserve"> in year ending 12/8/2011, </w:t>
            </w:r>
            <w:r w:rsidR="007152DE">
              <w:t>53</w:t>
            </w:r>
            <w:r w:rsidR="007152DE" w:rsidRPr="007152DE">
              <w:t xml:space="preserve"> in year ending 12</w:t>
            </w:r>
            <w:r w:rsidR="00957627">
              <w:t>/8/</w:t>
            </w:r>
            <w:r w:rsidR="007152DE" w:rsidRPr="007152DE">
              <w:t xml:space="preserve">2012): </w:t>
            </w:r>
            <w:r w:rsidR="007152DE">
              <w:t xml:space="preserve">AEMO market notices suggest these </w:t>
            </w:r>
            <w:r w:rsidR="006D2621">
              <w:t xml:space="preserve">counts were associated with </w:t>
            </w:r>
            <w:r w:rsidR="00957627">
              <w:t xml:space="preserve">managing </w:t>
            </w:r>
            <w:r w:rsidR="006D2621">
              <w:t>negative settlement residues, which are not in the scope of STPIS</w:t>
            </w:r>
            <w:r w:rsidR="007152DE">
              <w:t>.</w:t>
            </w:r>
          </w:p>
        </w:tc>
      </w:tr>
    </w:tbl>
    <w:p w:rsidR="00FD008B" w:rsidRPr="00C46CBB" w:rsidRDefault="00FD008B" w:rsidP="00C46CBB">
      <w:pPr>
        <w:pStyle w:val="AERtablesource"/>
      </w:pPr>
      <w:r w:rsidRPr="00FD008B">
        <w:t xml:space="preserve">Source: </w:t>
      </w:r>
      <w:r w:rsidR="00C46CBB" w:rsidRPr="00C46CBB">
        <w:t xml:space="preserve">Directlink email dated 20 August 2014 in response to </w:t>
      </w:r>
      <w:r w:rsidR="00C46CBB" w:rsidRPr="0077331D">
        <w:rPr>
          <w:rStyle w:val="AERtexthighlight"/>
          <w:shd w:val="clear" w:color="auto" w:fill="auto"/>
        </w:rPr>
        <w:t>AER, Information request Directlink - STPIS 01, 1 August 2014.</w:t>
      </w:r>
    </w:p>
    <w:p w:rsidR="00615949" w:rsidRDefault="00FD008B" w:rsidP="001D3FCF">
      <w:pPr>
        <w:pStyle w:val="AERbodytext"/>
        <w:numPr>
          <w:ilvl w:val="0"/>
          <w:numId w:val="0"/>
        </w:numPr>
        <w:rPr>
          <w:rStyle w:val="AERbody"/>
        </w:rPr>
      </w:pPr>
      <w:r w:rsidRPr="00FD008B">
        <w:rPr>
          <w:rStyle w:val="AERbody"/>
        </w:rPr>
        <w:t>Given the above adjustments, we revised Directlink's performance for the year ending 1</w:t>
      </w:r>
      <w:r w:rsidR="006E2A2B">
        <w:rPr>
          <w:rStyle w:val="AERbody"/>
        </w:rPr>
        <w:t>1</w:t>
      </w:r>
      <w:r w:rsidRPr="00FD008B">
        <w:rPr>
          <w:rStyle w:val="AERbody"/>
        </w:rPr>
        <w:t xml:space="preserve"> August 2010 from 29</w:t>
      </w:r>
      <w:r w:rsidR="005342DE">
        <w:rPr>
          <w:rStyle w:val="AERbody"/>
        </w:rPr>
        <w:t>49</w:t>
      </w:r>
      <w:r w:rsidRPr="00FD008B">
        <w:rPr>
          <w:rStyle w:val="AERbody"/>
        </w:rPr>
        <w:t xml:space="preserve"> to 28</w:t>
      </w:r>
      <w:r w:rsidR="005342DE">
        <w:rPr>
          <w:rStyle w:val="AERbody"/>
        </w:rPr>
        <w:t>36</w:t>
      </w:r>
      <w:r w:rsidRPr="00FD008B">
        <w:rPr>
          <w:rStyle w:val="AERbody"/>
        </w:rPr>
        <w:t xml:space="preserve"> dispatch intervals, its performance for the year ending 1</w:t>
      </w:r>
      <w:r w:rsidR="006E2A2B">
        <w:rPr>
          <w:rStyle w:val="AERbody"/>
        </w:rPr>
        <w:t>1</w:t>
      </w:r>
      <w:r w:rsidRPr="00FD008B">
        <w:rPr>
          <w:rStyle w:val="AERbody"/>
        </w:rPr>
        <w:t xml:space="preserve"> August 2011 from </w:t>
      </w:r>
      <w:r w:rsidR="00FD5C57">
        <w:rPr>
          <w:rStyle w:val="AERbody"/>
        </w:rPr>
        <w:t>1030</w:t>
      </w:r>
      <w:r w:rsidR="005342DE" w:rsidRPr="00FD008B">
        <w:rPr>
          <w:rStyle w:val="AERbody"/>
        </w:rPr>
        <w:t xml:space="preserve"> </w:t>
      </w:r>
      <w:r w:rsidRPr="00FD008B">
        <w:rPr>
          <w:rStyle w:val="AERbody"/>
        </w:rPr>
        <w:t xml:space="preserve">to </w:t>
      </w:r>
      <w:r w:rsidR="00FD5C57">
        <w:rPr>
          <w:rStyle w:val="AERbody"/>
        </w:rPr>
        <w:t>1017</w:t>
      </w:r>
      <w:r w:rsidR="005342DE" w:rsidRPr="00FD008B">
        <w:rPr>
          <w:rStyle w:val="AERbody"/>
        </w:rPr>
        <w:t xml:space="preserve"> </w:t>
      </w:r>
      <w:r w:rsidRPr="00FD008B">
        <w:rPr>
          <w:rStyle w:val="AERbody"/>
        </w:rPr>
        <w:t>dispatch intervals and its performance for the year ending 1</w:t>
      </w:r>
      <w:r w:rsidR="006E2A2B">
        <w:rPr>
          <w:rStyle w:val="AERbody"/>
        </w:rPr>
        <w:t>1</w:t>
      </w:r>
      <w:r w:rsidRPr="00FD008B">
        <w:rPr>
          <w:rStyle w:val="AERbody"/>
        </w:rPr>
        <w:t xml:space="preserve"> August 2012 from </w:t>
      </w:r>
      <w:r w:rsidR="005342DE">
        <w:rPr>
          <w:rStyle w:val="AERbody"/>
        </w:rPr>
        <w:t>365.5</w:t>
      </w:r>
      <w:r w:rsidR="005342DE" w:rsidRPr="00FD008B">
        <w:rPr>
          <w:rStyle w:val="AERbody"/>
        </w:rPr>
        <w:t xml:space="preserve"> </w:t>
      </w:r>
      <w:r w:rsidRPr="00FD008B">
        <w:rPr>
          <w:rStyle w:val="AERbody"/>
        </w:rPr>
        <w:t xml:space="preserve">to 375 dispatch intervals. </w:t>
      </w:r>
    </w:p>
    <w:p w:rsidR="00615949" w:rsidRDefault="006E2A2B" w:rsidP="00C46CBB">
      <w:pPr>
        <w:pStyle w:val="AERbodytext"/>
        <w:numPr>
          <w:ilvl w:val="0"/>
          <w:numId w:val="0"/>
        </w:numPr>
        <w:rPr>
          <w:rStyle w:val="FootnoteReference"/>
        </w:rPr>
      </w:pPr>
      <w:r w:rsidRPr="006E2A2B">
        <w:t xml:space="preserve">Consequently, Directlink's market impact parameter performance target for 2015 is </w:t>
      </w:r>
      <w:r w:rsidR="003B0369">
        <w:t xml:space="preserve">revised downwards from </w:t>
      </w:r>
      <w:r w:rsidRPr="006E2A2B">
        <w:t>14</w:t>
      </w:r>
      <w:r w:rsidR="003B0369">
        <w:t>4</w:t>
      </w:r>
      <w:r w:rsidR="00FD5C57">
        <w:t>8</w:t>
      </w:r>
      <w:r w:rsidRPr="006E2A2B">
        <w:t xml:space="preserve"> dispatch intervals</w:t>
      </w:r>
      <w:r w:rsidR="003B0369">
        <w:t xml:space="preserve"> </w:t>
      </w:r>
      <w:r w:rsidR="00FD5C57">
        <w:t>(proposed) to 1409</w:t>
      </w:r>
      <w:r w:rsidR="003B0369">
        <w:t xml:space="preserve"> dispatch intervals</w:t>
      </w:r>
      <w:r w:rsidRPr="006E2A2B">
        <w:t>.</w:t>
      </w:r>
      <w:r w:rsidR="00615949" w:rsidRPr="00615949">
        <w:t xml:space="preserve"> </w:t>
      </w:r>
      <w:r w:rsidR="00C46CBB">
        <w:t xml:space="preserve">When determining </w:t>
      </w:r>
      <w:r w:rsidR="00F45439">
        <w:t>Directlink's</w:t>
      </w:r>
      <w:r w:rsidR="00615949">
        <w:t xml:space="preserve"> performance measure for</w:t>
      </w:r>
      <w:r w:rsidR="00615949" w:rsidRPr="008F7983">
        <w:t xml:space="preserve"> the last half of 2015, we </w:t>
      </w:r>
      <w:r w:rsidR="00F45439">
        <w:t xml:space="preserve">will </w:t>
      </w:r>
      <w:r w:rsidR="00615949">
        <w:t>calculate</w:t>
      </w:r>
      <w:r w:rsidR="00615949" w:rsidRPr="008F7983">
        <w:t xml:space="preserve"> </w:t>
      </w:r>
      <w:r w:rsidR="00F45439">
        <w:t>its</w:t>
      </w:r>
      <w:r w:rsidR="00615949" w:rsidRPr="008F7983">
        <w:t xml:space="preserve"> performance using the method set</w:t>
      </w:r>
      <w:r w:rsidR="00615949">
        <w:t xml:space="preserve"> out in Appendix F of the STPIS, with the incentive payment pro-rated in accordance with clause 4.2(i) and Appendix D.</w:t>
      </w:r>
    </w:p>
    <w:p w:rsidR="00BE35A6" w:rsidRPr="00884725" w:rsidRDefault="00FD008B" w:rsidP="001D3FCF">
      <w:pPr>
        <w:pStyle w:val="AERbodytext"/>
        <w:numPr>
          <w:ilvl w:val="0"/>
          <w:numId w:val="0"/>
        </w:numPr>
      </w:pPr>
      <w:r w:rsidRPr="00FD008B">
        <w:rPr>
          <w:rStyle w:val="AERbody"/>
        </w:rPr>
        <w:t>In arriving</w:t>
      </w:r>
      <w:r w:rsidRPr="00FD008B">
        <w:t xml:space="preserve"> at this revision, we </w:t>
      </w:r>
      <w:r w:rsidR="006E2A2B">
        <w:t xml:space="preserve">offered </w:t>
      </w:r>
      <w:r w:rsidR="003B0369">
        <w:t>Directlink t</w:t>
      </w:r>
      <w:r w:rsidR="006E2A2B">
        <w:t>he opportunity to provide feedback and comment on the analysis</w:t>
      </w:r>
      <w:r w:rsidR="003B0369">
        <w:t xml:space="preserve"> and proposed adjustments</w:t>
      </w:r>
      <w:r w:rsidRPr="00FD008B">
        <w:t>.</w:t>
      </w:r>
      <w:r w:rsidRPr="00FD008B">
        <w:rPr>
          <w:rStyle w:val="FootnoteReference"/>
        </w:rPr>
        <w:footnoteReference w:id="48"/>
      </w:r>
    </w:p>
    <w:sectPr w:rsidR="00BE35A6" w:rsidRPr="00884725" w:rsidSect="00154861">
      <w:footerReference w:type="even" r:id="rId17"/>
      <w:footerReference w:type="default" r:id="rId18"/>
      <w:pgSz w:w="11906" w:h="16838"/>
      <w:pgMar w:top="1440" w:right="1440" w:bottom="1440" w:left="1440" w:header="708" w:footer="708"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39E" w:rsidRPr="00AB4345" w:rsidRDefault="00F8239E" w:rsidP="00AB4345">
      <w:r>
        <w:separator/>
      </w:r>
    </w:p>
  </w:endnote>
  <w:endnote w:type="continuationSeparator" w:id="0">
    <w:p w:rsidR="00F8239E" w:rsidRPr="00AB4345" w:rsidRDefault="00F8239E"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F8239E" w:rsidRPr="00824CC8" w:rsidRDefault="00F8239E" w:rsidP="00824CC8">
        <w:pPr>
          <w:pStyle w:val="Footer"/>
        </w:pPr>
        <w:r w:rsidRPr="00824CC8">
          <w:fldChar w:fldCharType="begin"/>
        </w:r>
        <w:r w:rsidRPr="00824CC8">
          <w:instrText xml:space="preserve"> PAGE   \* MERGEFORMAT </w:instrText>
        </w:r>
        <w:r w:rsidRPr="00824CC8">
          <w:fldChar w:fldCharType="separate"/>
        </w:r>
        <w:r w:rsidR="00CD5DB7">
          <w:rPr>
            <w:noProof/>
          </w:rPr>
          <w:t>11-20</w:t>
        </w:r>
        <w:r w:rsidRPr="00824CC8">
          <w:fldChar w:fldCharType="end"/>
        </w:r>
        <w:r w:rsidRPr="00824CC8">
          <w:tab/>
        </w:r>
        <w:r w:rsidRPr="00824CC8">
          <w:rPr>
            <w:rStyle w:val="AERbody"/>
          </w:rPr>
          <w:t xml:space="preserve">Attachment </w:t>
        </w:r>
        <w:r>
          <w:rPr>
            <w:rStyle w:val="AERbody"/>
          </w:rPr>
          <w:t>11</w:t>
        </w:r>
        <w:r w:rsidRPr="00824CC8">
          <w:rPr>
            <w:rStyle w:val="AERbody"/>
          </w:rPr>
          <w:t xml:space="preserve"> | </w:t>
        </w:r>
        <w:r w:rsidR="00DD19FD">
          <w:rPr>
            <w:rStyle w:val="AERbody"/>
          </w:rPr>
          <w:t>Service target performance incentive scheme</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39E" w:rsidRPr="00824CC8" w:rsidRDefault="00F8239E" w:rsidP="00824CC8">
    <w:pPr>
      <w:pStyle w:val="Footer"/>
      <w:rPr>
        <w:rStyle w:val="AERbody"/>
      </w:rPr>
    </w:pPr>
    <w:r>
      <w:rPr>
        <w:rStyle w:val="AERbody"/>
      </w:rPr>
      <w:t>Draft decision: Directlink transmission determination 2015-20</w:t>
    </w:r>
    <w:r w:rsidRPr="00210880">
      <w:rPr>
        <w:rStyle w:val="AERbody"/>
      </w:rPr>
      <w:t xml:space="preserve"> | Attachment </w:t>
    </w:r>
    <w:r>
      <w:rPr>
        <w:rStyle w:val="AERbody"/>
      </w:rPr>
      <w:t>11</w:t>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CD5DB7">
      <w:rPr>
        <w:rStyle w:val="AERbody"/>
        <w:noProof/>
      </w:rPr>
      <w:t>11-19</w:t>
    </w:r>
    <w:r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39E" w:rsidRPr="00AB4345" w:rsidRDefault="00F8239E" w:rsidP="00AB4345">
      <w:r>
        <w:separator/>
      </w:r>
    </w:p>
  </w:footnote>
  <w:footnote w:type="continuationSeparator" w:id="0">
    <w:p w:rsidR="00F8239E" w:rsidRPr="00AB4345" w:rsidRDefault="00F8239E" w:rsidP="00AB4345">
      <w:r>
        <w:continuationSeparator/>
      </w:r>
    </w:p>
  </w:footnote>
  <w:footnote w:id="1">
    <w:p w:rsidR="00F8239E" w:rsidRDefault="00F8239E" w:rsidP="00055A39">
      <w:pPr>
        <w:pStyle w:val="FootnoteText"/>
      </w:pPr>
      <w:r>
        <w:rPr>
          <w:rStyle w:val="FootnoteReference"/>
        </w:rPr>
        <w:footnoteRef/>
      </w:r>
      <w:r>
        <w:t xml:space="preserve"> </w:t>
      </w:r>
      <w:r>
        <w:tab/>
        <w:t xml:space="preserve">AER, </w:t>
      </w:r>
      <w:r>
        <w:rPr>
          <w:i/>
        </w:rPr>
        <w:t xml:space="preserve">Electricity TNSP, </w:t>
      </w:r>
      <w:r>
        <w:rPr>
          <w:rStyle w:val="AERtextitalic"/>
        </w:rPr>
        <w:t xml:space="preserve">STPIS, </w:t>
      </w:r>
      <w:r w:rsidRPr="00AB1A03">
        <w:rPr>
          <w:rStyle w:val="AERtextitalic"/>
          <w:i w:val="0"/>
        </w:rPr>
        <w:t>December 2012, clause 4.2(d) and Appendix F.</w:t>
      </w:r>
      <w:r>
        <w:rPr>
          <w:rStyle w:val="AERtextitalic"/>
        </w:rPr>
        <w:t xml:space="preserve"> </w:t>
      </w:r>
    </w:p>
  </w:footnote>
  <w:footnote w:id="2">
    <w:p w:rsidR="00F8239E" w:rsidRDefault="00F8239E">
      <w:pPr>
        <w:pStyle w:val="FootnoteText"/>
      </w:pPr>
      <w:r>
        <w:rPr>
          <w:rStyle w:val="FootnoteReference"/>
        </w:rPr>
        <w:footnoteRef/>
      </w:r>
      <w:r>
        <w:t xml:space="preserve"> </w:t>
      </w:r>
      <w:r>
        <w:tab/>
        <w:t xml:space="preserve">AER, </w:t>
      </w:r>
      <w:r w:rsidRPr="00C2567B">
        <w:rPr>
          <w:rStyle w:val="AERtextitalic"/>
        </w:rPr>
        <w:t>Final decision - electricity transmission network service providers service target performance incentive scheme</w:t>
      </w:r>
      <w:r>
        <w:t>, September 2014, p.9.</w:t>
      </w:r>
    </w:p>
  </w:footnote>
  <w:footnote w:id="3">
    <w:p w:rsidR="00F8239E" w:rsidRDefault="00F8239E" w:rsidP="00055A39">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8832C5">
        <w:rPr>
          <w:rStyle w:val="AERtextitalic"/>
          <w:i w:val="0"/>
        </w:rPr>
        <w:t>September 2014</w:t>
      </w:r>
      <w:r>
        <w:rPr>
          <w:rStyle w:val="AERtextitalic"/>
        </w:rPr>
        <w:t xml:space="preserve">, </w:t>
      </w:r>
      <w:r w:rsidRPr="00971FB6">
        <w:rPr>
          <w:rStyle w:val="AERtextitalic"/>
          <w:i w:val="0"/>
        </w:rPr>
        <w:t>Appendix C.</w:t>
      </w:r>
      <w:r>
        <w:rPr>
          <w:rStyle w:val="AERtextitalic"/>
        </w:rPr>
        <w:t xml:space="preserve"> </w:t>
      </w:r>
    </w:p>
  </w:footnote>
  <w:footnote w:id="4">
    <w:p w:rsidR="00F8239E" w:rsidRDefault="00F8239E" w:rsidP="00055A39">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8832C5">
        <w:rPr>
          <w:rStyle w:val="AERtextitalic"/>
          <w:i w:val="0"/>
        </w:rPr>
        <w:t>September 2014,</w:t>
      </w:r>
      <w:r w:rsidRPr="00971FB6">
        <w:rPr>
          <w:rStyle w:val="AERtextitalic"/>
          <w:i w:val="0"/>
        </w:rPr>
        <w:t xml:space="preserve"> clause 4.2(d) and Appendix F.</w:t>
      </w:r>
      <w:r>
        <w:rPr>
          <w:rStyle w:val="AERtextitalic"/>
        </w:rPr>
        <w:t xml:space="preserve"> </w:t>
      </w:r>
    </w:p>
  </w:footnote>
  <w:footnote w:id="5">
    <w:p w:rsidR="00F8239E" w:rsidRDefault="00F8239E" w:rsidP="00446C60">
      <w:pPr>
        <w:pStyle w:val="FootnoteText"/>
      </w:pPr>
      <w:r>
        <w:rPr>
          <w:rStyle w:val="FootnoteReference"/>
        </w:rPr>
        <w:footnoteRef/>
      </w:r>
      <w:r>
        <w:t xml:space="preserve"> </w:t>
      </w:r>
      <w:r>
        <w:tab/>
        <w:t>The cap specifies the level of performance that results in a TNSP receiving the maximum financial reward attributed to a parameter; the collar specifies the level for receiving the maximum financial penalty.</w:t>
      </w:r>
    </w:p>
  </w:footnote>
  <w:footnote w:id="6">
    <w:p w:rsidR="00F8239E" w:rsidRDefault="00F8239E">
      <w:pPr>
        <w:pStyle w:val="FootnoteText"/>
      </w:pPr>
      <w:r>
        <w:rPr>
          <w:rStyle w:val="FootnoteReference"/>
        </w:rPr>
        <w:footnoteRef/>
      </w:r>
      <w:r>
        <w:t xml:space="preserve"> </w:t>
      </w:r>
      <w:r>
        <w:tab/>
        <w:t xml:space="preserve">Directlink noted the STPIS applies weight to only the "circuit outage </w:t>
      </w:r>
      <w:r>
        <w:softHyphen/>
        <w:t xml:space="preserve"> fault" parameter, therefore Directlink only proposed values for the "failure of protection system" sub-parameter under the proper operation of equipment section. It did not have historical data for other "proper operation of equipment" sub-parameters and will commence collecting data to report against those sub-parameters in the future. As the scheme requires the provision of values for parameters unless there is no data, we accept the approach proposed by Directlink.</w:t>
      </w:r>
    </w:p>
  </w:footnote>
  <w:footnote w:id="7">
    <w:p w:rsidR="00F8239E" w:rsidRDefault="00F8239E" w:rsidP="00FD008B">
      <w:pPr>
        <w:pStyle w:val="FootnoteText"/>
      </w:pPr>
      <w:r>
        <w:rPr>
          <w:rStyle w:val="FootnoteReference"/>
        </w:rPr>
        <w:footnoteRef/>
      </w:r>
      <w:r>
        <w:t xml:space="preserve"> </w:t>
      </w:r>
      <w:r>
        <w:tab/>
      </w:r>
      <w:r w:rsidRPr="00DA3F22">
        <w:rPr>
          <w:rStyle w:val="AERtexthighlight"/>
          <w:shd w:val="clear" w:color="auto" w:fill="auto"/>
        </w:rPr>
        <w:t>AER, Information request Directlink - STPIS 01, 1 August 2014.</w:t>
      </w:r>
    </w:p>
  </w:footnote>
  <w:footnote w:id="8">
    <w:p w:rsidR="00F8239E" w:rsidRDefault="00F8239E" w:rsidP="00FD008B">
      <w:pPr>
        <w:pStyle w:val="FootnoteText"/>
      </w:pPr>
      <w:r>
        <w:rPr>
          <w:rStyle w:val="FootnoteReference"/>
        </w:rPr>
        <w:footnoteRef/>
      </w:r>
      <w:r>
        <w:t xml:space="preserve"> </w:t>
      </w:r>
      <w:r>
        <w:tab/>
      </w:r>
      <w:r w:rsidRPr="008F7983">
        <w:t xml:space="preserve">Regarding </w:t>
      </w:r>
      <w:r>
        <w:t>the performance measure for</w:t>
      </w:r>
      <w:r w:rsidRPr="008F7983">
        <w:t xml:space="preserve"> the last half of 2015, we </w:t>
      </w:r>
      <w:r>
        <w:t>calculate</w:t>
      </w:r>
      <w:r w:rsidRPr="008F7983">
        <w:t xml:space="preserve"> the performance using the method set out in Appendix F of the STPIS</w:t>
      </w:r>
      <w:r>
        <w:t>, with the incentive payment pro-rated in accordance with clause 4.2(i) and Appendix D.</w:t>
      </w:r>
    </w:p>
  </w:footnote>
  <w:footnote w:id="9">
    <w:p w:rsidR="00F8239E" w:rsidRDefault="00F8239E">
      <w:pPr>
        <w:pStyle w:val="FootnoteText"/>
      </w:pPr>
      <w:r>
        <w:rPr>
          <w:rStyle w:val="FootnoteReference"/>
        </w:rPr>
        <w:footnoteRef/>
      </w:r>
      <w:r>
        <w:t xml:space="preserve"> </w:t>
      </w:r>
      <w:r>
        <w:tab/>
        <w:t xml:space="preserve">Directlink, </w:t>
      </w:r>
      <w:r w:rsidRPr="00EE1541">
        <w:rPr>
          <w:rStyle w:val="AERtextitalic"/>
        </w:rPr>
        <w:t>Submission to Directlink interconnector proposed amendments to the STPIS</w:t>
      </w:r>
      <w:r>
        <w:t>, 10 July 2014.</w:t>
      </w:r>
    </w:p>
  </w:footnote>
  <w:footnote w:id="10">
    <w:p w:rsidR="00F8239E" w:rsidRDefault="00F8239E" w:rsidP="008E30B6">
      <w:pPr>
        <w:pStyle w:val="FootnoteText"/>
      </w:pPr>
      <w:r>
        <w:rPr>
          <w:rStyle w:val="FootnoteReference"/>
        </w:rPr>
        <w:footnoteRef/>
      </w:r>
      <w:r>
        <w:t xml:space="preserve"> </w:t>
      </w:r>
      <w:r>
        <w:tab/>
        <w:t xml:space="preserve">Directlink, </w:t>
      </w:r>
      <w:r w:rsidRPr="0090043A">
        <w:rPr>
          <w:rStyle w:val="AERtextitalic"/>
        </w:rPr>
        <w:t>Revenue proposal</w:t>
      </w:r>
      <w:r>
        <w:rPr>
          <w:rStyle w:val="AERtextitalic"/>
        </w:rPr>
        <w:t xml:space="preserve"> 2015–20</w:t>
      </w:r>
      <w:r>
        <w:t xml:space="preserve">, p.91; Directlink, </w:t>
      </w:r>
      <w:r w:rsidRPr="008E30B6">
        <w:rPr>
          <w:rStyle w:val="AERtextitalic"/>
        </w:rPr>
        <w:t>13(1)(d) Directlink average circuit outage rate calcs</w:t>
      </w:r>
      <w:r>
        <w:t>, 29 May 2014.</w:t>
      </w:r>
    </w:p>
  </w:footnote>
  <w:footnote w:id="11">
    <w:p w:rsidR="00F8239E" w:rsidRDefault="00F8239E" w:rsidP="00B677C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320ABA">
        <w:rPr>
          <w:rStyle w:val="AERtextitalic"/>
          <w:i w:val="0"/>
        </w:rPr>
        <w:t>September 2014, clause 3.4.</w:t>
      </w:r>
      <w:r>
        <w:rPr>
          <w:rStyle w:val="AERtextitalic"/>
        </w:rPr>
        <w:t xml:space="preserve"> </w:t>
      </w:r>
    </w:p>
  </w:footnote>
  <w:footnote w:id="12">
    <w:p w:rsidR="00F8239E" w:rsidRDefault="00F8239E" w:rsidP="00FD008B">
      <w:pPr>
        <w:pStyle w:val="FootnoteText"/>
      </w:pPr>
      <w:r>
        <w:rPr>
          <w:rStyle w:val="FootnoteReference"/>
        </w:rPr>
        <w:footnoteRef/>
      </w:r>
      <w:r>
        <w:t xml:space="preserve"> </w:t>
      </w:r>
      <w:r>
        <w:tab/>
        <w:t xml:space="preserve">Directlink, </w:t>
      </w:r>
      <w:r w:rsidR="0083003B">
        <w:t>Revenue</w:t>
      </w:r>
      <w:r>
        <w:t xml:space="preserve"> Proposal, Attachment 1.1, </w:t>
      </w:r>
      <w:r>
        <w:rPr>
          <w:rStyle w:val="AERtextitalic"/>
        </w:rPr>
        <w:t xml:space="preserve">Reset Regulatory Information Notice: Compliance Checklist, </w:t>
      </w:r>
      <w:r>
        <w:t>May 2014, p. 20.</w:t>
      </w:r>
    </w:p>
  </w:footnote>
  <w:footnote w:id="13">
    <w:p w:rsidR="00F8239E" w:rsidRPr="007D62AC" w:rsidRDefault="00F8239E" w:rsidP="007D62AC">
      <w:pPr>
        <w:pStyle w:val="FootnoteText"/>
      </w:pPr>
      <w:r>
        <w:rPr>
          <w:rStyle w:val="FootnoteReference"/>
        </w:rPr>
        <w:footnoteRef/>
      </w:r>
      <w:r>
        <w:t xml:space="preserve"> </w:t>
      </w:r>
      <w:r>
        <w:tab/>
      </w:r>
      <w:r w:rsidRPr="00615949">
        <w:rPr>
          <w:rStyle w:val="AERtexthighlight"/>
          <w:shd w:val="clear" w:color="auto" w:fill="auto"/>
        </w:rPr>
        <w:t>AER, Information request Directlink - STPIS 01, 1 August 2014</w:t>
      </w:r>
      <w:r w:rsidRPr="00F45439">
        <w:rPr>
          <w:rStyle w:val="AERtexthighlight"/>
          <w:shd w:val="clear" w:color="auto" w:fill="auto"/>
        </w:rPr>
        <w:t>.</w:t>
      </w:r>
    </w:p>
  </w:footnote>
  <w:footnote w:id="14">
    <w:p w:rsidR="00F8239E" w:rsidRDefault="00F8239E" w:rsidP="00FD008B">
      <w:pPr>
        <w:pStyle w:val="FootnoteText"/>
      </w:pPr>
      <w:r>
        <w:rPr>
          <w:rStyle w:val="FootnoteReference"/>
        </w:rPr>
        <w:footnoteRef/>
      </w:r>
      <w:r>
        <w:t xml:space="preserve"> </w:t>
      </w:r>
      <w:r>
        <w:tab/>
        <w:t xml:space="preserve">Directlink email dated 20 August 2014 in response to </w:t>
      </w:r>
      <w:r w:rsidRPr="00DA3F22">
        <w:rPr>
          <w:rStyle w:val="AERtexthighlight"/>
          <w:shd w:val="clear" w:color="auto" w:fill="auto"/>
        </w:rPr>
        <w:t>AER, Information request Directlink - STPIS 01, 1 August 2014.</w:t>
      </w:r>
    </w:p>
  </w:footnote>
  <w:footnote w:id="15">
    <w:p w:rsidR="00F8239E" w:rsidRDefault="00F8239E">
      <w:pPr>
        <w:pStyle w:val="FootnoteText"/>
      </w:pPr>
      <w:r>
        <w:rPr>
          <w:rStyle w:val="FootnoteReference"/>
        </w:rPr>
        <w:footnoteRef/>
      </w:r>
      <w:r>
        <w:t xml:space="preserve"> </w:t>
      </w:r>
      <w:r>
        <w:tab/>
        <w:t>For example, by setting the inclusion count weight to zero and providing brief reasoning.</w:t>
      </w:r>
    </w:p>
  </w:footnote>
  <w:footnote w:id="16">
    <w:p w:rsidR="00F8239E" w:rsidRDefault="00F8239E">
      <w:pPr>
        <w:pStyle w:val="FootnoteText"/>
      </w:pPr>
      <w:r>
        <w:rPr>
          <w:rStyle w:val="FootnoteReference"/>
        </w:rPr>
        <w:footnoteRef/>
      </w:r>
      <w:r>
        <w:t xml:space="preserve"> </w:t>
      </w:r>
      <w:r>
        <w:tab/>
        <w:t>NER, clause 6A.4.2(a)(2).</w:t>
      </w:r>
    </w:p>
  </w:footnote>
  <w:footnote w:id="17">
    <w:p w:rsidR="00F8239E" w:rsidRDefault="00F8239E">
      <w:pPr>
        <w:pStyle w:val="FootnoteText"/>
      </w:pPr>
      <w:r>
        <w:rPr>
          <w:rStyle w:val="FootnoteReference"/>
        </w:rPr>
        <w:footnoteRef/>
      </w:r>
      <w:r>
        <w:t xml:space="preserve"> </w:t>
      </w:r>
      <w:r>
        <w:tab/>
        <w:t>NER, clauses 6A.5.4(a)(5), 6A.5.4(b)(5) and 6A.7.4.</w:t>
      </w:r>
    </w:p>
  </w:footnote>
  <w:footnote w:id="18">
    <w:p w:rsidR="00F8239E" w:rsidRDefault="00F8239E" w:rsidP="00F56C4A">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nce Incentive Scheme</w:t>
      </w:r>
      <w:r w:rsidRPr="00C03D08">
        <w:rPr>
          <w:rStyle w:val="AERtextitalic"/>
        </w:rPr>
        <w:t xml:space="preserve">, </w:t>
      </w:r>
      <w:r w:rsidRPr="009D4DA5">
        <w:rPr>
          <w:rStyle w:val="AERtextitalic"/>
          <w:i w:val="0"/>
        </w:rPr>
        <w:t>September 2014</w:t>
      </w:r>
      <w:r>
        <w:rPr>
          <w:rStyle w:val="AERtextitalic"/>
        </w:rPr>
        <w:t xml:space="preserve">, </w:t>
      </w:r>
      <w:r w:rsidRPr="00E16B4E">
        <w:t>clause 3.</w:t>
      </w:r>
      <w:r>
        <w:t>2</w:t>
      </w:r>
      <w:r w:rsidRPr="00E16B4E">
        <w:t>.</w:t>
      </w:r>
      <w:r>
        <w:t xml:space="preserve"> </w:t>
      </w:r>
    </w:p>
  </w:footnote>
  <w:footnote w:id="19">
    <w:p w:rsidR="00F8239E" w:rsidRDefault="00F8239E" w:rsidP="00F56C4A">
      <w:pPr>
        <w:pStyle w:val="FootnoteText"/>
      </w:pPr>
      <w:r>
        <w:rPr>
          <w:rStyle w:val="FootnoteReference"/>
        </w:rPr>
        <w:footnoteRef/>
      </w:r>
      <w:r>
        <w:t xml:space="preserve"> </w:t>
      </w:r>
      <w:r>
        <w:tab/>
        <w:t xml:space="preserve">They are circuit outage rate – fault and circuit outage rate – forced outage </w:t>
      </w:r>
    </w:p>
  </w:footnote>
  <w:footnote w:id="20">
    <w:p w:rsidR="00F8239E" w:rsidRDefault="00F8239E" w:rsidP="00F56C4A">
      <w:pPr>
        <w:pStyle w:val="FootnoteText"/>
      </w:pPr>
      <w:r>
        <w:rPr>
          <w:rStyle w:val="FootnoteReference"/>
        </w:rPr>
        <w:footnoteRef/>
      </w:r>
      <w:r>
        <w:t xml:space="preserve"> </w:t>
      </w:r>
      <w:r>
        <w:tab/>
        <w:t>They are failure of protection system, material failure of SCADA system and incorrect operational isolation of primary or secondary equipment.</w:t>
      </w:r>
    </w:p>
  </w:footnote>
  <w:footnote w:id="21">
    <w:p w:rsidR="00F8239E" w:rsidRPr="001E7D29" w:rsidRDefault="00F8239E" w:rsidP="00F56C4A">
      <w:pPr>
        <w:pStyle w:val="FootnoteText"/>
      </w:pPr>
      <w:r>
        <w:rPr>
          <w:rStyle w:val="FootnoteReference"/>
        </w:rPr>
        <w:footnoteRef/>
      </w:r>
      <w:r>
        <w:t xml:space="preserve"> </w:t>
      </w:r>
      <w:r>
        <w:tab/>
        <w:t xml:space="preserve">AER, </w:t>
      </w:r>
      <w:r>
        <w:rPr>
          <w:rStyle w:val="AERtextitalic"/>
        </w:rPr>
        <w:t xml:space="preserve">Final – Service Target Performance Incentive Scheme, </w:t>
      </w:r>
      <w:r w:rsidRPr="00971FB6">
        <w:rPr>
          <w:rStyle w:val="AERtextitalic"/>
          <w:i w:val="0"/>
        </w:rPr>
        <w:t>September 2014, clause 3.2.</w:t>
      </w:r>
      <w:r>
        <w:rPr>
          <w:rStyle w:val="AERtextitalic"/>
        </w:rPr>
        <w:t xml:space="preserve"> </w:t>
      </w:r>
    </w:p>
  </w:footnote>
  <w:footnote w:id="22">
    <w:p w:rsidR="00F8239E" w:rsidRPr="008E4B83" w:rsidRDefault="00F8239E" w:rsidP="008E4B8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nce Incentive Scheme</w:t>
      </w:r>
      <w:r w:rsidRPr="001E7D29">
        <w:rPr>
          <w:rStyle w:val="AERtextitalic"/>
        </w:rPr>
        <w:t xml:space="preserve">, </w:t>
      </w:r>
      <w:r w:rsidRPr="008679FF">
        <w:rPr>
          <w:rStyle w:val="AERtextitalic"/>
          <w:i w:val="0"/>
        </w:rPr>
        <w:t>September 2014, clause 3.2(d).</w:t>
      </w:r>
    </w:p>
  </w:footnote>
  <w:footnote w:id="23">
    <w:p w:rsidR="00F8239E" w:rsidRPr="008E4B83" w:rsidRDefault="00F8239E" w:rsidP="008E4B8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nce Incentive Scheme</w:t>
      </w:r>
      <w:r w:rsidRPr="001E7D29">
        <w:rPr>
          <w:rStyle w:val="AERtextitalic"/>
        </w:rPr>
        <w:t xml:space="preserve">, </w:t>
      </w:r>
      <w:r w:rsidRPr="008679FF">
        <w:rPr>
          <w:rStyle w:val="AERtextitalic"/>
          <w:i w:val="0"/>
        </w:rPr>
        <w:t>September 2014, clause 3.2(g).</w:t>
      </w:r>
    </w:p>
  </w:footnote>
  <w:footnote w:id="24">
    <w:p w:rsidR="00F8239E" w:rsidRPr="008E4B83" w:rsidRDefault="00F8239E" w:rsidP="008E4B8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nce Incentive Scheme</w:t>
      </w:r>
      <w:r w:rsidRPr="001E7D29">
        <w:rPr>
          <w:rStyle w:val="AERtextitalic"/>
        </w:rPr>
        <w:t xml:space="preserve">, </w:t>
      </w:r>
      <w:r w:rsidRPr="008679FF">
        <w:rPr>
          <w:rStyle w:val="AERtextitalic"/>
          <w:i w:val="0"/>
        </w:rPr>
        <w:t>September 2014, clause 3.2(k).</w:t>
      </w:r>
    </w:p>
  </w:footnote>
  <w:footnote w:id="25">
    <w:p w:rsidR="00F8239E" w:rsidRPr="008E4B83" w:rsidRDefault="00F8239E" w:rsidP="008E4B8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nce Incentive Scheme</w:t>
      </w:r>
      <w:r w:rsidRPr="001E7D29">
        <w:rPr>
          <w:rStyle w:val="AERtextitalic"/>
        </w:rPr>
        <w:t xml:space="preserve">, </w:t>
      </w:r>
      <w:r w:rsidRPr="008679FF">
        <w:rPr>
          <w:rStyle w:val="AERtextitalic"/>
          <w:i w:val="0"/>
        </w:rPr>
        <w:t xml:space="preserve">September 2014, clause 3.2(e). </w:t>
      </w:r>
    </w:p>
  </w:footnote>
  <w:footnote w:id="26">
    <w:p w:rsidR="00F8239E" w:rsidRPr="008E4B83" w:rsidRDefault="00F8239E" w:rsidP="008E4B8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nce Incentive Scheme</w:t>
      </w:r>
      <w:r w:rsidRPr="001E7D29">
        <w:rPr>
          <w:rStyle w:val="AERtextitalic"/>
        </w:rPr>
        <w:t xml:space="preserve">, </w:t>
      </w:r>
      <w:r w:rsidRPr="008679FF">
        <w:rPr>
          <w:rStyle w:val="AERtextitalic"/>
          <w:i w:val="0"/>
        </w:rPr>
        <w:t xml:space="preserve">September 2014, clause 3.2(e). </w:t>
      </w:r>
    </w:p>
  </w:footnote>
  <w:footnote w:id="27">
    <w:p w:rsidR="00F8239E" w:rsidRDefault="00F8239E" w:rsidP="00F56C4A">
      <w:pPr>
        <w:pStyle w:val="FootnoteText"/>
      </w:pPr>
      <w:r>
        <w:rPr>
          <w:rStyle w:val="FootnoteReference"/>
        </w:rPr>
        <w:footnoteRef/>
      </w:r>
      <w:r>
        <w:t xml:space="preserve"> </w:t>
      </w:r>
      <w:r>
        <w:tab/>
      </w:r>
      <w:r w:rsidR="004F0D27">
        <w:t xml:space="preserve">NER, cl. </w:t>
      </w:r>
      <w:r w:rsidRPr="00C12663">
        <w:t>6A.7.4(b)(5)</w:t>
      </w:r>
      <w:r>
        <w:t>.</w:t>
      </w:r>
    </w:p>
  </w:footnote>
  <w:footnote w:id="28">
    <w:p w:rsidR="00F8239E" w:rsidRDefault="00F8239E" w:rsidP="008E4B83">
      <w:pPr>
        <w:pStyle w:val="FootnoteText"/>
      </w:pPr>
      <w:r>
        <w:rPr>
          <w:rStyle w:val="FootnoteReference"/>
        </w:rPr>
        <w:footnoteRef/>
      </w:r>
      <w:r>
        <w:t xml:space="preserve"> </w:t>
      </w:r>
      <w:r>
        <w:tab/>
        <w:t xml:space="preserve">AER, </w:t>
      </w:r>
      <w:r>
        <w:rPr>
          <w:rStyle w:val="AERtextitalic"/>
        </w:rPr>
        <w:t xml:space="preserve">Final – Service Target Performance Incentive Scheme, </w:t>
      </w:r>
      <w:r w:rsidRPr="008679FF">
        <w:rPr>
          <w:rStyle w:val="AERtextitalic"/>
          <w:i w:val="0"/>
        </w:rPr>
        <w:t>September 2014</w:t>
      </w:r>
      <w:r w:rsidRPr="008E4B83">
        <w:rPr>
          <w:rStyle w:val="FootnoteReference"/>
          <w:vertAlign w:val="baseline"/>
        </w:rPr>
        <w:t>,</w:t>
      </w:r>
      <w:r w:rsidRPr="0021530A">
        <w:rPr>
          <w:rStyle w:val="FootnoteReference"/>
          <w:vertAlign w:val="baseline"/>
        </w:rPr>
        <w:t xml:space="preserve"> c</w:t>
      </w:r>
      <w:r w:rsidRPr="0021530A">
        <w:t>lause 1.4.</w:t>
      </w:r>
      <w:r>
        <w:rPr>
          <w:rStyle w:val="FootnoteReference"/>
        </w:rPr>
        <w:t xml:space="preserve"> </w:t>
      </w:r>
      <w:r>
        <w:rPr>
          <w:rStyle w:val="AERtextitalic"/>
        </w:rPr>
        <w:t xml:space="preserve"> </w:t>
      </w:r>
    </w:p>
  </w:footnote>
  <w:footnote w:id="29">
    <w:p w:rsidR="00F8239E" w:rsidRDefault="00F8239E" w:rsidP="00F56C4A">
      <w:pPr>
        <w:pStyle w:val="FootnoteText"/>
      </w:pPr>
      <w:r>
        <w:rPr>
          <w:rStyle w:val="FootnoteReference"/>
        </w:rPr>
        <w:footnoteRef/>
      </w:r>
      <w:r>
        <w:t xml:space="preserve"> </w:t>
      </w:r>
      <w:r>
        <w:tab/>
        <w:t xml:space="preserve">AER, </w:t>
      </w:r>
      <w:r>
        <w:rPr>
          <w:rStyle w:val="AERtextitalic"/>
        </w:rPr>
        <w:t xml:space="preserve">Final – Service Target Performance Incentive Scheme, </w:t>
      </w:r>
      <w:r w:rsidRPr="00B30747">
        <w:rPr>
          <w:rStyle w:val="AERtextitalic"/>
        </w:rPr>
        <w:t>September 2014,</w:t>
      </w:r>
      <w:r>
        <w:t>clause 3.2(k)</w:t>
      </w:r>
    </w:p>
  </w:footnote>
  <w:footnote w:id="30">
    <w:p w:rsidR="00F8239E" w:rsidRDefault="00F8239E">
      <w:pPr>
        <w:pStyle w:val="FootnoteText"/>
      </w:pPr>
      <w:r>
        <w:rPr>
          <w:rStyle w:val="FootnoteReference"/>
        </w:rPr>
        <w:footnoteRef/>
      </w:r>
      <w:r>
        <w:t xml:space="preserve"> </w:t>
      </w:r>
      <w:r>
        <w:tab/>
        <w:t xml:space="preserve">AER, </w:t>
      </w:r>
      <w:r>
        <w:rPr>
          <w:rStyle w:val="AERtextitalic"/>
        </w:rPr>
        <w:t xml:space="preserve">Final – Service Target Performance Incentive Scheme, </w:t>
      </w:r>
      <w:r w:rsidRPr="00B30747">
        <w:rPr>
          <w:rStyle w:val="AERtextitalic"/>
        </w:rPr>
        <w:t>September 2014,</w:t>
      </w:r>
      <w:r>
        <w:t>clause 3.2(e)</w:t>
      </w:r>
    </w:p>
  </w:footnote>
  <w:footnote w:id="31">
    <w:p w:rsidR="00F8239E" w:rsidRDefault="00F8239E">
      <w:pPr>
        <w:pStyle w:val="FootnoteText"/>
      </w:pPr>
      <w:r>
        <w:rPr>
          <w:rStyle w:val="FootnoteReference"/>
        </w:rPr>
        <w:footnoteRef/>
      </w:r>
      <w:r>
        <w:t xml:space="preserve"> </w:t>
      </w:r>
      <w:r>
        <w:tab/>
        <w:t xml:space="preserve">AER, </w:t>
      </w:r>
      <w:r>
        <w:rPr>
          <w:rStyle w:val="AERtextitalic"/>
        </w:rPr>
        <w:t xml:space="preserve">Final – Service Target Performance Incentive Scheme, </w:t>
      </w:r>
      <w:r w:rsidRPr="00B30747">
        <w:rPr>
          <w:rStyle w:val="AERtextitalic"/>
        </w:rPr>
        <w:t>September 2014,</w:t>
      </w:r>
      <w:r>
        <w:t>clause 3.2(e)</w:t>
      </w:r>
    </w:p>
  </w:footnote>
  <w:footnote w:id="32">
    <w:p w:rsidR="00F8239E" w:rsidRDefault="00F8239E">
      <w:pPr>
        <w:pStyle w:val="FootnoteText"/>
      </w:pPr>
      <w:r>
        <w:rPr>
          <w:rStyle w:val="FootnoteReference"/>
        </w:rPr>
        <w:footnoteRef/>
      </w:r>
      <w:r>
        <w:t xml:space="preserve"> </w:t>
      </w:r>
      <w:r>
        <w:tab/>
        <w:t>Note we consider the data from 2008–2012 is relevant as the 2013 data does not represent Directlink's normal performance as all three cables were out of service from 6 August 2013.</w:t>
      </w:r>
    </w:p>
  </w:footnote>
  <w:footnote w:id="33">
    <w:p w:rsidR="00F8239E" w:rsidRDefault="00F8239E">
      <w:pPr>
        <w:pStyle w:val="FootnoteText"/>
      </w:pPr>
      <w:r>
        <w:rPr>
          <w:rStyle w:val="FootnoteReference"/>
        </w:rPr>
        <w:footnoteRef/>
      </w:r>
      <w:r>
        <w:t xml:space="preserve"> </w:t>
      </w:r>
      <w:r>
        <w:tab/>
        <w:t xml:space="preserve">Directlink, </w:t>
      </w:r>
      <w:r w:rsidRPr="0090043A">
        <w:rPr>
          <w:rStyle w:val="AERtextitalic"/>
        </w:rPr>
        <w:t>Revenue proposal</w:t>
      </w:r>
      <w:r>
        <w:rPr>
          <w:rStyle w:val="AERtextitalic"/>
        </w:rPr>
        <w:t xml:space="preserve"> 2015–20</w:t>
      </w:r>
      <w:r>
        <w:t>, p.30</w:t>
      </w:r>
    </w:p>
  </w:footnote>
  <w:footnote w:id="34">
    <w:p w:rsidR="00F8239E" w:rsidRDefault="00F8239E">
      <w:pPr>
        <w:pStyle w:val="FootnoteText"/>
      </w:pPr>
      <w:r>
        <w:rPr>
          <w:rStyle w:val="FootnoteReference"/>
        </w:rPr>
        <w:footnoteRef/>
      </w:r>
      <w:r>
        <w:t xml:space="preserve"> </w:t>
      </w:r>
      <w:r>
        <w:tab/>
        <w:t xml:space="preserve">Directlink, </w:t>
      </w:r>
      <w:r w:rsidRPr="0090043A">
        <w:rPr>
          <w:rStyle w:val="AERtextitalic"/>
        </w:rPr>
        <w:t>Revenue proposal</w:t>
      </w:r>
      <w:r>
        <w:rPr>
          <w:rStyle w:val="AERtextitalic"/>
        </w:rPr>
        <w:t xml:space="preserve"> 2015–20</w:t>
      </w:r>
      <w:r>
        <w:t>, p.31.</w:t>
      </w:r>
    </w:p>
  </w:footnote>
  <w:footnote w:id="35">
    <w:p w:rsidR="00F8239E" w:rsidRDefault="00F8239E">
      <w:pPr>
        <w:pStyle w:val="FootnoteText"/>
      </w:pPr>
      <w:r>
        <w:rPr>
          <w:rStyle w:val="FootnoteReference"/>
        </w:rPr>
        <w:footnoteRef/>
      </w:r>
      <w:r>
        <w:t xml:space="preserve"> </w:t>
      </w:r>
      <w:r>
        <w:tab/>
        <w:t xml:space="preserve">Directlink, </w:t>
      </w:r>
      <w:r w:rsidRPr="0090043A">
        <w:rPr>
          <w:rStyle w:val="AERtextitalic"/>
        </w:rPr>
        <w:t>Revenue proposal</w:t>
      </w:r>
      <w:r>
        <w:rPr>
          <w:rStyle w:val="AERtextitalic"/>
        </w:rPr>
        <w:t xml:space="preserve"> 2015–20</w:t>
      </w:r>
      <w:r>
        <w:t>, p.31.</w:t>
      </w:r>
    </w:p>
  </w:footnote>
  <w:footnote w:id="36">
    <w:p w:rsidR="00F8239E" w:rsidRDefault="00F8239E">
      <w:pPr>
        <w:pStyle w:val="FootnoteText"/>
      </w:pPr>
      <w:r>
        <w:rPr>
          <w:rStyle w:val="FootnoteReference"/>
        </w:rPr>
        <w:footnoteRef/>
      </w:r>
      <w:r>
        <w:t xml:space="preserve"> </w:t>
      </w:r>
      <w:r>
        <w:tab/>
        <w:t>We examined the data for the 2010 to 2013 period as it reflects the improvement that Directlink has achieved from implementing its new cable repair strategy.</w:t>
      </w:r>
      <w:r w:rsidRPr="009C10AB">
        <w:t xml:space="preserve"> It is not possible to have a cable fault if the cable is out of service, so the outage rates of cable are increased in proportion to the time that the cables were out of service. Only the unusually long outages following the fire are included in the adjustment. In 2012 all 3 cables were out of service </w:t>
      </w:r>
      <w:r>
        <w:t>during</w:t>
      </w:r>
      <w:r w:rsidRPr="009C10AB">
        <w:t xml:space="preserve"> 14-23 Aug</w:t>
      </w:r>
      <w:r>
        <w:t>ust </w:t>
      </w:r>
      <w:r w:rsidRPr="009C10AB">
        <w:t>2012, and then one was out of service to the end of year. In 2013 one cable was out of service all year and all 3 cables were out of service from 6 Aug</w:t>
      </w:r>
      <w:r>
        <w:t>ust</w:t>
      </w:r>
      <w:r w:rsidRPr="009C10AB">
        <w:t xml:space="preserve"> 2013 to the end of year.</w:t>
      </w:r>
    </w:p>
  </w:footnote>
  <w:footnote w:id="37">
    <w:p w:rsidR="00F8239E" w:rsidRDefault="00F8239E" w:rsidP="00B27937">
      <w:pPr>
        <w:pStyle w:val="FootnoteText"/>
      </w:pPr>
      <w:r>
        <w:rPr>
          <w:rStyle w:val="FootnoteReference"/>
        </w:rPr>
        <w:footnoteRef/>
      </w:r>
      <w:r>
        <w:t xml:space="preserve"> </w:t>
      </w:r>
      <w:r>
        <w:tab/>
        <w:t xml:space="preserve">AER, </w:t>
      </w:r>
      <w:r>
        <w:rPr>
          <w:rStyle w:val="AERtextitalic"/>
        </w:rPr>
        <w:t xml:space="preserve">Final – Service Target Performance Incentive Scheme, </w:t>
      </w:r>
      <w:r w:rsidRPr="00971FB6">
        <w:rPr>
          <w:rStyle w:val="AERtextitalic"/>
          <w:i w:val="0"/>
        </w:rPr>
        <w:t>September 2014</w:t>
      </w:r>
      <w:r w:rsidRPr="00D00637">
        <w:rPr>
          <w:rStyle w:val="AERtextitalic"/>
        </w:rPr>
        <w:t xml:space="preserve">, </w:t>
      </w:r>
      <w:r w:rsidRPr="00971FB6">
        <w:rPr>
          <w:rStyle w:val="AERtextitalic"/>
          <w:i w:val="0"/>
        </w:rPr>
        <w:t>clause 3.2(e).</w:t>
      </w:r>
      <w:r>
        <w:rPr>
          <w:rStyle w:val="AERtextitalic"/>
        </w:rPr>
        <w:t xml:space="preserve"> </w:t>
      </w:r>
    </w:p>
  </w:footnote>
  <w:footnote w:id="38">
    <w:p w:rsidR="00F8239E" w:rsidRDefault="00F8239E">
      <w:pPr>
        <w:pStyle w:val="FootnoteText"/>
      </w:pPr>
      <w:r>
        <w:rPr>
          <w:rStyle w:val="FootnoteReference"/>
        </w:rPr>
        <w:footnoteRef/>
      </w:r>
      <w:r>
        <w:t xml:space="preserve"> </w:t>
      </w:r>
      <w:r>
        <w:tab/>
        <w:t xml:space="preserve">We have applied this approach consistently in the past decisions. See: AER, </w:t>
      </w:r>
      <w:r w:rsidRPr="00105525">
        <w:rPr>
          <w:rStyle w:val="AERtextitalic"/>
        </w:rPr>
        <w:t>Final decision SP AusNet  transmission determination 2014</w:t>
      </w:r>
      <w:r w:rsidRPr="00105525">
        <w:rPr>
          <w:rStyle w:val="AERtextitalic"/>
          <w:rFonts w:hint="eastAsia"/>
        </w:rPr>
        <w:t>–</w:t>
      </w:r>
      <w:r w:rsidRPr="00105525">
        <w:rPr>
          <w:rStyle w:val="AERtextitalic"/>
        </w:rPr>
        <w:t>15 to 2016</w:t>
      </w:r>
      <w:r w:rsidRPr="00105525">
        <w:rPr>
          <w:rStyle w:val="AERtextitalic"/>
          <w:rFonts w:hint="eastAsia"/>
        </w:rPr>
        <w:t>–</w:t>
      </w:r>
      <w:r w:rsidRPr="00105525">
        <w:rPr>
          <w:rStyle w:val="AERtextitalic"/>
        </w:rPr>
        <w:t>17</w:t>
      </w:r>
      <w:r>
        <w:t xml:space="preserve">, January 2014, p.161-162 </w:t>
      </w:r>
    </w:p>
  </w:footnote>
  <w:footnote w:id="39">
    <w:p w:rsidR="00F8239E" w:rsidRDefault="00F8239E" w:rsidP="00B27937">
      <w:pPr>
        <w:pStyle w:val="FootnoteText"/>
      </w:pPr>
      <w:r>
        <w:rPr>
          <w:rStyle w:val="FootnoteReference"/>
        </w:rPr>
        <w:footnoteRef/>
      </w:r>
      <w:r>
        <w:t xml:space="preserve"> </w:t>
      </w:r>
      <w:r>
        <w:tab/>
        <w:t xml:space="preserve">EMCa, </w:t>
      </w:r>
      <w:r w:rsidRPr="00D66427">
        <w:rPr>
          <w:rStyle w:val="AERtextitalic"/>
        </w:rPr>
        <w:t>SP AusNet technical review</w:t>
      </w:r>
      <w:r>
        <w:t xml:space="preserve">, August 2013, p. 107, paragraph 396–8. </w:t>
      </w:r>
    </w:p>
  </w:footnote>
  <w:footnote w:id="40">
    <w:p w:rsidR="00F8239E" w:rsidRDefault="00F8239E" w:rsidP="00B27937">
      <w:pPr>
        <w:pStyle w:val="FootnoteText"/>
      </w:pPr>
      <w:r>
        <w:rPr>
          <w:rStyle w:val="FootnoteReference"/>
        </w:rPr>
        <w:footnoteRef/>
      </w:r>
      <w:r>
        <w:t xml:space="preserve"> </w:t>
      </w:r>
      <w:r>
        <w:tab/>
        <w:t xml:space="preserve">Directlink, </w:t>
      </w:r>
      <w:r w:rsidRPr="00275614">
        <w:rPr>
          <w:rStyle w:val="AERtextitalic"/>
        </w:rPr>
        <w:t>Directlink average circuit outage rate calcs.xlsx</w:t>
      </w:r>
      <w:r>
        <w:t>, May 2014.</w:t>
      </w:r>
    </w:p>
  </w:footnote>
  <w:footnote w:id="41">
    <w:p w:rsidR="00F8239E" w:rsidRDefault="00F8239E" w:rsidP="00F83873">
      <w:pPr>
        <w:pStyle w:val="FootnoteText"/>
      </w:pPr>
      <w:r>
        <w:rPr>
          <w:rStyle w:val="FootnoteReference"/>
        </w:rPr>
        <w:footnoteRef/>
      </w:r>
      <w:r>
        <w:t xml:space="preserve"> </w:t>
      </w:r>
      <w:r>
        <w:tab/>
        <w:t xml:space="preserve">AER, </w:t>
      </w:r>
      <w:r>
        <w:rPr>
          <w:rStyle w:val="AERtextitalic"/>
        </w:rPr>
        <w:t xml:space="preserve">Final framework and approach paper for Directlink, </w:t>
      </w:r>
      <w:r>
        <w:t>January 2014, p. 13.</w:t>
      </w:r>
    </w:p>
  </w:footnote>
  <w:footnote w:id="42">
    <w:p w:rsidR="00F8239E" w:rsidRPr="00A34329" w:rsidRDefault="00F8239E" w:rsidP="00F8387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3D58D1">
        <w:rPr>
          <w:rStyle w:val="AERtextitalic"/>
          <w:i w:val="0"/>
        </w:rPr>
        <w:t>September 2014, clause 4.2(e)</w:t>
      </w:r>
      <w:r>
        <w:rPr>
          <w:rStyle w:val="AERtextitalic"/>
        </w:rPr>
        <w:t>.</w:t>
      </w:r>
    </w:p>
  </w:footnote>
  <w:footnote w:id="43">
    <w:p w:rsidR="00F8239E" w:rsidRDefault="00F8239E" w:rsidP="00F8387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A34329">
        <w:rPr>
          <w:rStyle w:val="AERtextitalic"/>
          <w:i w:val="0"/>
        </w:rPr>
        <w:t>September 2014, clause 4.2(f).</w:t>
      </w:r>
    </w:p>
  </w:footnote>
  <w:footnote w:id="44">
    <w:p w:rsidR="00F8239E" w:rsidRDefault="00F8239E" w:rsidP="00F8387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Pr>
          <w:rStyle w:val="AERtextitalic"/>
          <w:i w:val="0"/>
        </w:rPr>
        <w:t>September 2014, clause 4.2(g)</w:t>
      </w:r>
      <w:r w:rsidRPr="00B71B72">
        <w:rPr>
          <w:rStyle w:val="AERtextitalic"/>
          <w:i w:val="0"/>
        </w:rPr>
        <w:t xml:space="preserve"> and Appendix F.</w:t>
      </w:r>
    </w:p>
  </w:footnote>
  <w:footnote w:id="45">
    <w:p w:rsidR="00F8239E" w:rsidRDefault="00F8239E" w:rsidP="00F8387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C02D65">
        <w:rPr>
          <w:rStyle w:val="AERtextitalic"/>
          <w:i w:val="0"/>
        </w:rPr>
        <w:t>September 2014, clauses 4.2(g) and (h) and Appendix F.</w:t>
      </w:r>
    </w:p>
  </w:footnote>
  <w:footnote w:id="46">
    <w:p w:rsidR="00F8239E" w:rsidRDefault="00F8239E" w:rsidP="00F83873">
      <w:pPr>
        <w:pStyle w:val="FootnoteText"/>
      </w:pPr>
      <w:r>
        <w:rPr>
          <w:rStyle w:val="FootnoteReference"/>
        </w:rPr>
        <w:footnoteRef/>
      </w:r>
      <w:r>
        <w:t xml:space="preserve"> </w:t>
      </w:r>
      <w:r>
        <w:tab/>
        <w:t xml:space="preserve">AER, </w:t>
      </w:r>
      <w:r w:rsidRPr="001E7D29">
        <w:rPr>
          <w:rStyle w:val="AERtextitalic"/>
        </w:rPr>
        <w:t>Final –</w:t>
      </w:r>
      <w:r>
        <w:rPr>
          <w:rStyle w:val="AERtextitalic"/>
        </w:rPr>
        <w:t xml:space="preserve"> Service Target P</w:t>
      </w:r>
      <w:r w:rsidRPr="001E7D29">
        <w:rPr>
          <w:rStyle w:val="AERtextitalic"/>
        </w:rPr>
        <w:t>erforma</w:t>
      </w:r>
      <w:r>
        <w:rPr>
          <w:rStyle w:val="AERtextitalic"/>
        </w:rPr>
        <w:t xml:space="preserve">nce Incentive Scheme, </w:t>
      </w:r>
      <w:r w:rsidRPr="00C02D65">
        <w:rPr>
          <w:rStyle w:val="AERtextitalic"/>
          <w:i w:val="0"/>
        </w:rPr>
        <w:t>September 2014, clause 4.2(i).</w:t>
      </w:r>
    </w:p>
  </w:footnote>
  <w:footnote w:id="47">
    <w:p w:rsidR="00F8239E" w:rsidRDefault="00F8239E" w:rsidP="001D3FCF">
      <w:pPr>
        <w:pStyle w:val="FootnoteText"/>
      </w:pPr>
      <w:r>
        <w:rPr>
          <w:rStyle w:val="FootnoteReference"/>
        </w:rPr>
        <w:footnoteRef/>
      </w:r>
      <w:r>
        <w:t xml:space="preserve"> </w:t>
      </w:r>
      <w:r>
        <w:tab/>
        <w:t xml:space="preserve">Our annual service standards compliance reports are available at </w:t>
      </w:r>
      <w:hyperlink r:id="rId1" w:history="1">
        <w:r w:rsidRPr="00DB55B3">
          <w:rPr>
            <w:rStyle w:val="Hyperlink"/>
          </w:rPr>
          <w:t>http://www.aer.gov.au/node/484</w:t>
        </w:r>
      </w:hyperlink>
      <w:r>
        <w:t xml:space="preserve">. </w:t>
      </w:r>
    </w:p>
  </w:footnote>
  <w:footnote w:id="48">
    <w:p w:rsidR="00F8239E" w:rsidRPr="00C267B7" w:rsidRDefault="00F8239E" w:rsidP="00C46CBB">
      <w:pPr>
        <w:pStyle w:val="FootnoteText"/>
        <w:rPr>
          <w:rStyle w:val="AERtexthighlight"/>
        </w:rPr>
      </w:pPr>
      <w:r>
        <w:rPr>
          <w:rStyle w:val="FootnoteReference"/>
        </w:rPr>
        <w:footnoteRef/>
      </w:r>
      <w:r>
        <w:t xml:space="preserve"> </w:t>
      </w:r>
      <w:r>
        <w:tab/>
      </w:r>
      <w:r w:rsidRPr="00C46CBB">
        <w:t>Directlink email dated 29 September</w:t>
      </w:r>
      <w:r w:rsidRPr="00F45439">
        <w:t xml:space="preserve"> 2014 in response to </w:t>
      </w:r>
      <w:r w:rsidRPr="0077331D">
        <w:rPr>
          <w:rStyle w:val="AERtexthighlight"/>
          <w:shd w:val="clear" w:color="auto" w:fill="auto"/>
        </w:rPr>
        <w:t>AER email dated 25 September 2014.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
    <w:nsid w:val="2FB612CC"/>
    <w:multiLevelType w:val="multilevel"/>
    <w:tmpl w:val="950A1C52"/>
    <w:styleLink w:val="AERHeadings"/>
    <w:lvl w:ilvl="0">
      <w:start w:val="1"/>
      <w:numFmt w:val="none"/>
      <w:pStyle w:val="UnnumberedHeading"/>
      <w:lvlText w:val="%1"/>
      <w:lvlJc w:val="left"/>
      <w:pPr>
        <w:tabs>
          <w:tab w:val="num" w:pos="0"/>
        </w:tabs>
        <w:ind w:left="0" w:firstLine="0"/>
      </w:pPr>
      <w:rPr>
        <w:rFonts w:hint="default"/>
      </w:rPr>
    </w:lvl>
    <w:lvl w:ilvl="1">
      <w:start w:val="11"/>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6"/>
  </w:num>
  <w:num w:numId="5">
    <w:abstractNumId w:val="0"/>
  </w:num>
  <w:num w:numId="6">
    <w:abstractNumId w:val="5"/>
  </w:num>
  <w:num w:numId="7">
    <w:abstractNumId w:val="3"/>
  </w:num>
  <w:num w:numId="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3"/>
  <w:removePersonalInformation/>
  <w:removeDateAndTime/>
  <w:documentProtection w:formatting="1" w:enforcement="1" w:cryptProviderType="rsaFull" w:cryptAlgorithmClass="hash" w:cryptAlgorithmType="typeAny" w:cryptAlgorithmSid="4" w:cryptSpinCount="100000" w:hash="9rrisXOhxL946icrv+78ZTaJY2c=" w:salt="eGmvsOpErYee81jbYUC47w=="/>
  <w:defaultTabStop w:val="720"/>
  <w:evenAndOddHeader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currentname" w:val="C:\Documents and Settings\jyang\Local Settings\Temporary Internet Files\Content.MSO\B8E05F3A.tmp"/>
  </w:docVars>
  <w:rsids>
    <w:rsidRoot w:val="000C052F"/>
    <w:rsid w:val="00002CEA"/>
    <w:rsid w:val="00011129"/>
    <w:rsid w:val="00011205"/>
    <w:rsid w:val="00016581"/>
    <w:rsid w:val="00022606"/>
    <w:rsid w:val="00022647"/>
    <w:rsid w:val="0003484A"/>
    <w:rsid w:val="00040599"/>
    <w:rsid w:val="00040749"/>
    <w:rsid w:val="00042EA3"/>
    <w:rsid w:val="00054088"/>
    <w:rsid w:val="00055A39"/>
    <w:rsid w:val="0006715A"/>
    <w:rsid w:val="00083EAA"/>
    <w:rsid w:val="000A1CC2"/>
    <w:rsid w:val="000A5342"/>
    <w:rsid w:val="000A5AB9"/>
    <w:rsid w:val="000B15CA"/>
    <w:rsid w:val="000B357A"/>
    <w:rsid w:val="000B4787"/>
    <w:rsid w:val="000C052F"/>
    <w:rsid w:val="000C0EB4"/>
    <w:rsid w:val="000C3430"/>
    <w:rsid w:val="000C3FA6"/>
    <w:rsid w:val="000D03C2"/>
    <w:rsid w:val="000D04B1"/>
    <w:rsid w:val="000D1C81"/>
    <w:rsid w:val="000D401F"/>
    <w:rsid w:val="000E1A25"/>
    <w:rsid w:val="000E369B"/>
    <w:rsid w:val="000E6381"/>
    <w:rsid w:val="000F3A6A"/>
    <w:rsid w:val="001033B3"/>
    <w:rsid w:val="00105525"/>
    <w:rsid w:val="00105636"/>
    <w:rsid w:val="00116D47"/>
    <w:rsid w:val="00127A66"/>
    <w:rsid w:val="0013022D"/>
    <w:rsid w:val="00132D09"/>
    <w:rsid w:val="001374C9"/>
    <w:rsid w:val="00143C7C"/>
    <w:rsid w:val="001543D2"/>
    <w:rsid w:val="00154861"/>
    <w:rsid w:val="00156337"/>
    <w:rsid w:val="00157885"/>
    <w:rsid w:val="0016353F"/>
    <w:rsid w:val="00174026"/>
    <w:rsid w:val="00175A72"/>
    <w:rsid w:val="001802F2"/>
    <w:rsid w:val="00180887"/>
    <w:rsid w:val="00182071"/>
    <w:rsid w:val="001856EE"/>
    <w:rsid w:val="0019164F"/>
    <w:rsid w:val="00194C3C"/>
    <w:rsid w:val="001A5FAF"/>
    <w:rsid w:val="001C12E5"/>
    <w:rsid w:val="001D05D8"/>
    <w:rsid w:val="001D3FCF"/>
    <w:rsid w:val="001E0CCC"/>
    <w:rsid w:val="001E13F7"/>
    <w:rsid w:val="001E6B97"/>
    <w:rsid w:val="0020257E"/>
    <w:rsid w:val="0020711E"/>
    <w:rsid w:val="00210880"/>
    <w:rsid w:val="00212A23"/>
    <w:rsid w:val="002257B9"/>
    <w:rsid w:val="0023137D"/>
    <w:rsid w:val="002318B2"/>
    <w:rsid w:val="00240105"/>
    <w:rsid w:val="0024144B"/>
    <w:rsid w:val="00246DB6"/>
    <w:rsid w:val="0025198F"/>
    <w:rsid w:val="00260F27"/>
    <w:rsid w:val="00266710"/>
    <w:rsid w:val="00275614"/>
    <w:rsid w:val="00277B54"/>
    <w:rsid w:val="002805B8"/>
    <w:rsid w:val="002938CE"/>
    <w:rsid w:val="002B6640"/>
    <w:rsid w:val="002C2882"/>
    <w:rsid w:val="002C56FD"/>
    <w:rsid w:val="002D378A"/>
    <w:rsid w:val="002D61AC"/>
    <w:rsid w:val="002E1451"/>
    <w:rsid w:val="002E4720"/>
    <w:rsid w:val="002E6B8A"/>
    <w:rsid w:val="002F20DD"/>
    <w:rsid w:val="002F5741"/>
    <w:rsid w:val="003032EA"/>
    <w:rsid w:val="00303452"/>
    <w:rsid w:val="003072DC"/>
    <w:rsid w:val="00310D5B"/>
    <w:rsid w:val="0031738F"/>
    <w:rsid w:val="0032071E"/>
    <w:rsid w:val="00320ABA"/>
    <w:rsid w:val="00324B52"/>
    <w:rsid w:val="00330F8E"/>
    <w:rsid w:val="003324F7"/>
    <w:rsid w:val="00334F88"/>
    <w:rsid w:val="003441E0"/>
    <w:rsid w:val="003636AA"/>
    <w:rsid w:val="003707DB"/>
    <w:rsid w:val="00374952"/>
    <w:rsid w:val="00375AEC"/>
    <w:rsid w:val="00376236"/>
    <w:rsid w:val="0037652C"/>
    <w:rsid w:val="003800E4"/>
    <w:rsid w:val="00380FF5"/>
    <w:rsid w:val="003944C3"/>
    <w:rsid w:val="00394FC5"/>
    <w:rsid w:val="00397D9B"/>
    <w:rsid w:val="003A6174"/>
    <w:rsid w:val="003B0369"/>
    <w:rsid w:val="003B0A14"/>
    <w:rsid w:val="003B16F6"/>
    <w:rsid w:val="003B7FE3"/>
    <w:rsid w:val="003D221F"/>
    <w:rsid w:val="003D58D1"/>
    <w:rsid w:val="003E0004"/>
    <w:rsid w:val="004030AB"/>
    <w:rsid w:val="00412282"/>
    <w:rsid w:val="0041383B"/>
    <w:rsid w:val="004256BA"/>
    <w:rsid w:val="00431999"/>
    <w:rsid w:val="00432FBC"/>
    <w:rsid w:val="00433D80"/>
    <w:rsid w:val="0043442E"/>
    <w:rsid w:val="00435682"/>
    <w:rsid w:val="00446C60"/>
    <w:rsid w:val="00454297"/>
    <w:rsid w:val="00456081"/>
    <w:rsid w:val="00464B28"/>
    <w:rsid w:val="00464F5D"/>
    <w:rsid w:val="00474FBD"/>
    <w:rsid w:val="00491D7D"/>
    <w:rsid w:val="00496EFB"/>
    <w:rsid w:val="004A7457"/>
    <w:rsid w:val="004C3F45"/>
    <w:rsid w:val="004D1CC2"/>
    <w:rsid w:val="004E40EF"/>
    <w:rsid w:val="004E73F7"/>
    <w:rsid w:val="004F0D27"/>
    <w:rsid w:val="004F76A0"/>
    <w:rsid w:val="00500E7F"/>
    <w:rsid w:val="00512BE9"/>
    <w:rsid w:val="00516767"/>
    <w:rsid w:val="0052179D"/>
    <w:rsid w:val="005320F9"/>
    <w:rsid w:val="005329A5"/>
    <w:rsid w:val="005331AF"/>
    <w:rsid w:val="005342DE"/>
    <w:rsid w:val="00534D08"/>
    <w:rsid w:val="005456A9"/>
    <w:rsid w:val="00555D52"/>
    <w:rsid w:val="005566D7"/>
    <w:rsid w:val="00561F7F"/>
    <w:rsid w:val="00566B35"/>
    <w:rsid w:val="005732CC"/>
    <w:rsid w:val="00575422"/>
    <w:rsid w:val="00577005"/>
    <w:rsid w:val="005849EE"/>
    <w:rsid w:val="00585D99"/>
    <w:rsid w:val="005938C6"/>
    <w:rsid w:val="005A0431"/>
    <w:rsid w:val="005B3752"/>
    <w:rsid w:val="005B61C2"/>
    <w:rsid w:val="005C1AAD"/>
    <w:rsid w:val="005C5FFE"/>
    <w:rsid w:val="005D11C9"/>
    <w:rsid w:val="005D26B7"/>
    <w:rsid w:val="005D4AA1"/>
    <w:rsid w:val="005D5526"/>
    <w:rsid w:val="005E4F37"/>
    <w:rsid w:val="0060146C"/>
    <w:rsid w:val="0060207D"/>
    <w:rsid w:val="006039F2"/>
    <w:rsid w:val="006061B0"/>
    <w:rsid w:val="0060732E"/>
    <w:rsid w:val="006076A9"/>
    <w:rsid w:val="00615949"/>
    <w:rsid w:val="006273A8"/>
    <w:rsid w:val="00631E15"/>
    <w:rsid w:val="00634ECD"/>
    <w:rsid w:val="006544EA"/>
    <w:rsid w:val="006571D6"/>
    <w:rsid w:val="0066569F"/>
    <w:rsid w:val="006744D1"/>
    <w:rsid w:val="0069004B"/>
    <w:rsid w:val="00696A51"/>
    <w:rsid w:val="006A2C89"/>
    <w:rsid w:val="006B08EB"/>
    <w:rsid w:val="006B22E5"/>
    <w:rsid w:val="006B40D1"/>
    <w:rsid w:val="006B481F"/>
    <w:rsid w:val="006B5C7F"/>
    <w:rsid w:val="006B7F90"/>
    <w:rsid w:val="006D2621"/>
    <w:rsid w:val="006E2A2B"/>
    <w:rsid w:val="006F2D81"/>
    <w:rsid w:val="006F638E"/>
    <w:rsid w:val="00703E42"/>
    <w:rsid w:val="00711271"/>
    <w:rsid w:val="007152DE"/>
    <w:rsid w:val="007270DB"/>
    <w:rsid w:val="00730428"/>
    <w:rsid w:val="007328A8"/>
    <w:rsid w:val="007368AD"/>
    <w:rsid w:val="007375AE"/>
    <w:rsid w:val="00740AC2"/>
    <w:rsid w:val="007430EC"/>
    <w:rsid w:val="00746A42"/>
    <w:rsid w:val="00750EE5"/>
    <w:rsid w:val="00751D2A"/>
    <w:rsid w:val="00752017"/>
    <w:rsid w:val="00753271"/>
    <w:rsid w:val="00755095"/>
    <w:rsid w:val="0077331D"/>
    <w:rsid w:val="00796A07"/>
    <w:rsid w:val="00797D8C"/>
    <w:rsid w:val="007A2BEA"/>
    <w:rsid w:val="007B1AE8"/>
    <w:rsid w:val="007C1514"/>
    <w:rsid w:val="007C6961"/>
    <w:rsid w:val="007D22E6"/>
    <w:rsid w:val="007D62AC"/>
    <w:rsid w:val="007D6403"/>
    <w:rsid w:val="007E788F"/>
    <w:rsid w:val="007F10E3"/>
    <w:rsid w:val="007F2C0E"/>
    <w:rsid w:val="007F38EA"/>
    <w:rsid w:val="007F6CD5"/>
    <w:rsid w:val="00804AEB"/>
    <w:rsid w:val="00822C6C"/>
    <w:rsid w:val="008244BA"/>
    <w:rsid w:val="008249D7"/>
    <w:rsid w:val="00824CC8"/>
    <w:rsid w:val="0083003B"/>
    <w:rsid w:val="00836D17"/>
    <w:rsid w:val="00840A55"/>
    <w:rsid w:val="00841E25"/>
    <w:rsid w:val="008464CD"/>
    <w:rsid w:val="008515EE"/>
    <w:rsid w:val="00861C4E"/>
    <w:rsid w:val="00866D21"/>
    <w:rsid w:val="008679FF"/>
    <w:rsid w:val="008700F3"/>
    <w:rsid w:val="00872D85"/>
    <w:rsid w:val="00883DDA"/>
    <w:rsid w:val="008874B6"/>
    <w:rsid w:val="00891FF9"/>
    <w:rsid w:val="00893367"/>
    <w:rsid w:val="00893D07"/>
    <w:rsid w:val="00895D1C"/>
    <w:rsid w:val="00896DDE"/>
    <w:rsid w:val="008A7A7E"/>
    <w:rsid w:val="008B7956"/>
    <w:rsid w:val="008C3722"/>
    <w:rsid w:val="008C3B67"/>
    <w:rsid w:val="008C3F48"/>
    <w:rsid w:val="008D49B4"/>
    <w:rsid w:val="008D7498"/>
    <w:rsid w:val="008E30B6"/>
    <w:rsid w:val="008E4B83"/>
    <w:rsid w:val="008E4F9C"/>
    <w:rsid w:val="008F4D9A"/>
    <w:rsid w:val="0092525B"/>
    <w:rsid w:val="00932E96"/>
    <w:rsid w:val="009404BE"/>
    <w:rsid w:val="009418E6"/>
    <w:rsid w:val="0094235F"/>
    <w:rsid w:val="0094279F"/>
    <w:rsid w:val="0094601E"/>
    <w:rsid w:val="00946B98"/>
    <w:rsid w:val="0095052A"/>
    <w:rsid w:val="00954E49"/>
    <w:rsid w:val="00957627"/>
    <w:rsid w:val="009658F0"/>
    <w:rsid w:val="00971655"/>
    <w:rsid w:val="00971C63"/>
    <w:rsid w:val="0097562C"/>
    <w:rsid w:val="00976FE0"/>
    <w:rsid w:val="00977589"/>
    <w:rsid w:val="009A4AE9"/>
    <w:rsid w:val="009C10AB"/>
    <w:rsid w:val="009C71D5"/>
    <w:rsid w:val="009C7D87"/>
    <w:rsid w:val="009F7CE4"/>
    <w:rsid w:val="00A11162"/>
    <w:rsid w:val="00A34329"/>
    <w:rsid w:val="00A43227"/>
    <w:rsid w:val="00A46CCD"/>
    <w:rsid w:val="00A55BDF"/>
    <w:rsid w:val="00A65133"/>
    <w:rsid w:val="00A652C5"/>
    <w:rsid w:val="00A85C5A"/>
    <w:rsid w:val="00A9144B"/>
    <w:rsid w:val="00A9190C"/>
    <w:rsid w:val="00A96A08"/>
    <w:rsid w:val="00AA0161"/>
    <w:rsid w:val="00AA4171"/>
    <w:rsid w:val="00AA4B06"/>
    <w:rsid w:val="00AA6852"/>
    <w:rsid w:val="00AA6A58"/>
    <w:rsid w:val="00AB1D08"/>
    <w:rsid w:val="00AB4080"/>
    <w:rsid w:val="00AB4345"/>
    <w:rsid w:val="00AB5BD7"/>
    <w:rsid w:val="00AC0135"/>
    <w:rsid w:val="00AC070D"/>
    <w:rsid w:val="00AC1B94"/>
    <w:rsid w:val="00AD0616"/>
    <w:rsid w:val="00AD34FF"/>
    <w:rsid w:val="00AD4DE6"/>
    <w:rsid w:val="00AD782F"/>
    <w:rsid w:val="00AE6DBC"/>
    <w:rsid w:val="00AF047E"/>
    <w:rsid w:val="00AF3E95"/>
    <w:rsid w:val="00AF5C7D"/>
    <w:rsid w:val="00AF7C67"/>
    <w:rsid w:val="00B11DC4"/>
    <w:rsid w:val="00B1481A"/>
    <w:rsid w:val="00B15FE9"/>
    <w:rsid w:val="00B278F4"/>
    <w:rsid w:val="00B27937"/>
    <w:rsid w:val="00B30747"/>
    <w:rsid w:val="00B32824"/>
    <w:rsid w:val="00B404A2"/>
    <w:rsid w:val="00B47945"/>
    <w:rsid w:val="00B51883"/>
    <w:rsid w:val="00B61CC0"/>
    <w:rsid w:val="00B61FD4"/>
    <w:rsid w:val="00B674DB"/>
    <w:rsid w:val="00B677C3"/>
    <w:rsid w:val="00B71B72"/>
    <w:rsid w:val="00B72BE7"/>
    <w:rsid w:val="00B748DD"/>
    <w:rsid w:val="00B81D83"/>
    <w:rsid w:val="00B82E8D"/>
    <w:rsid w:val="00B9264D"/>
    <w:rsid w:val="00B941F2"/>
    <w:rsid w:val="00B94D99"/>
    <w:rsid w:val="00B951E5"/>
    <w:rsid w:val="00BA2A5C"/>
    <w:rsid w:val="00BB3FA1"/>
    <w:rsid w:val="00BB4E9F"/>
    <w:rsid w:val="00BB62BB"/>
    <w:rsid w:val="00BC05C5"/>
    <w:rsid w:val="00BC3C5E"/>
    <w:rsid w:val="00BD04BE"/>
    <w:rsid w:val="00BD1345"/>
    <w:rsid w:val="00BD4E35"/>
    <w:rsid w:val="00BE35A6"/>
    <w:rsid w:val="00BE473E"/>
    <w:rsid w:val="00BE6F28"/>
    <w:rsid w:val="00BF29FA"/>
    <w:rsid w:val="00C02D65"/>
    <w:rsid w:val="00C04D2B"/>
    <w:rsid w:val="00C21B97"/>
    <w:rsid w:val="00C2567B"/>
    <w:rsid w:val="00C302D2"/>
    <w:rsid w:val="00C37E8B"/>
    <w:rsid w:val="00C46CBB"/>
    <w:rsid w:val="00C55293"/>
    <w:rsid w:val="00C65A61"/>
    <w:rsid w:val="00C7030B"/>
    <w:rsid w:val="00C737C5"/>
    <w:rsid w:val="00CA3540"/>
    <w:rsid w:val="00CA6DED"/>
    <w:rsid w:val="00CC49D4"/>
    <w:rsid w:val="00CC4AF2"/>
    <w:rsid w:val="00CD5DB7"/>
    <w:rsid w:val="00CE6F5A"/>
    <w:rsid w:val="00CE7021"/>
    <w:rsid w:val="00CF42CF"/>
    <w:rsid w:val="00D049C9"/>
    <w:rsid w:val="00D102E9"/>
    <w:rsid w:val="00D15993"/>
    <w:rsid w:val="00D1688F"/>
    <w:rsid w:val="00D2117F"/>
    <w:rsid w:val="00D22138"/>
    <w:rsid w:val="00D25317"/>
    <w:rsid w:val="00D2559E"/>
    <w:rsid w:val="00D330D4"/>
    <w:rsid w:val="00D3343F"/>
    <w:rsid w:val="00D37CA5"/>
    <w:rsid w:val="00D43A2E"/>
    <w:rsid w:val="00D475D1"/>
    <w:rsid w:val="00D65099"/>
    <w:rsid w:val="00D653B6"/>
    <w:rsid w:val="00D66E8B"/>
    <w:rsid w:val="00D85715"/>
    <w:rsid w:val="00D8706C"/>
    <w:rsid w:val="00D92459"/>
    <w:rsid w:val="00DA3F22"/>
    <w:rsid w:val="00DA4C62"/>
    <w:rsid w:val="00DB6828"/>
    <w:rsid w:val="00DB6A17"/>
    <w:rsid w:val="00DB7C29"/>
    <w:rsid w:val="00DC2373"/>
    <w:rsid w:val="00DC55A8"/>
    <w:rsid w:val="00DC6DBC"/>
    <w:rsid w:val="00DD0CB4"/>
    <w:rsid w:val="00DD19FD"/>
    <w:rsid w:val="00DD4E84"/>
    <w:rsid w:val="00DD5520"/>
    <w:rsid w:val="00DE056A"/>
    <w:rsid w:val="00DE2329"/>
    <w:rsid w:val="00DF16C2"/>
    <w:rsid w:val="00DF750E"/>
    <w:rsid w:val="00E00F76"/>
    <w:rsid w:val="00E21E75"/>
    <w:rsid w:val="00E23741"/>
    <w:rsid w:val="00E265BF"/>
    <w:rsid w:val="00E31161"/>
    <w:rsid w:val="00E3207A"/>
    <w:rsid w:val="00E33825"/>
    <w:rsid w:val="00E47227"/>
    <w:rsid w:val="00E519DC"/>
    <w:rsid w:val="00E66295"/>
    <w:rsid w:val="00E6760A"/>
    <w:rsid w:val="00E807DA"/>
    <w:rsid w:val="00E84E3A"/>
    <w:rsid w:val="00E84FAD"/>
    <w:rsid w:val="00EA05AF"/>
    <w:rsid w:val="00EA2CE9"/>
    <w:rsid w:val="00EA57EC"/>
    <w:rsid w:val="00EB5CDF"/>
    <w:rsid w:val="00EC2457"/>
    <w:rsid w:val="00EC43B9"/>
    <w:rsid w:val="00ED09CD"/>
    <w:rsid w:val="00ED3B9D"/>
    <w:rsid w:val="00ED4D69"/>
    <w:rsid w:val="00EE1541"/>
    <w:rsid w:val="00EE362F"/>
    <w:rsid w:val="00EF0E19"/>
    <w:rsid w:val="00F002FB"/>
    <w:rsid w:val="00F0258A"/>
    <w:rsid w:val="00F114AE"/>
    <w:rsid w:val="00F151D2"/>
    <w:rsid w:val="00F16A7D"/>
    <w:rsid w:val="00F43054"/>
    <w:rsid w:val="00F43CA0"/>
    <w:rsid w:val="00F440D1"/>
    <w:rsid w:val="00F45439"/>
    <w:rsid w:val="00F55030"/>
    <w:rsid w:val="00F56C4A"/>
    <w:rsid w:val="00F65002"/>
    <w:rsid w:val="00F711A7"/>
    <w:rsid w:val="00F7696F"/>
    <w:rsid w:val="00F81262"/>
    <w:rsid w:val="00F8209B"/>
    <w:rsid w:val="00F8239E"/>
    <w:rsid w:val="00F83873"/>
    <w:rsid w:val="00F96BAE"/>
    <w:rsid w:val="00F97CD9"/>
    <w:rsid w:val="00FA0576"/>
    <w:rsid w:val="00FA2EC0"/>
    <w:rsid w:val="00FB50B4"/>
    <w:rsid w:val="00FD008B"/>
    <w:rsid w:val="00FD4B97"/>
    <w:rsid w:val="00FD5C57"/>
    <w:rsid w:val="00FD7D52"/>
    <w:rsid w:val="00FE55EB"/>
    <w:rsid w:val="00FF29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semiHidden/>
    <w:qFormat/>
    <w:rsid w:val="00F97CD9"/>
    <w:pPr>
      <w:spacing w:after="240" w:line="288" w:lineRule="auto"/>
      <w:jc w:val="both"/>
    </w:pPr>
    <w:rPr>
      <w:lang w:eastAsia="en-US"/>
    </w:rPr>
  </w:style>
  <w:style w:type="paragraph" w:styleId="Heading1">
    <w:name w:val="heading 1"/>
    <w:next w:val="AERbodytext"/>
    <w:link w:val="Heading1Char"/>
    <w:uiPriority w:val="9"/>
    <w:qFormat/>
    <w:rsid w:val="00B94D99"/>
    <w:pPr>
      <w:keepNext/>
      <w:keepLines/>
      <w:pageBreakBefore/>
      <w:numPr>
        <w:ilvl w:val="1"/>
        <w:numId w:val="8"/>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qFormat/>
    <w:rsid w:val="005A0431"/>
    <w:pPr>
      <w:numPr>
        <w:ilvl w:val="5"/>
      </w:numPr>
      <w:outlineLvl w:val="4"/>
    </w:pPr>
    <w:rPr>
      <w:i/>
      <w:sz w:val="20"/>
    </w:rPr>
  </w:style>
  <w:style w:type="paragraph" w:styleId="Heading6">
    <w:name w:val="heading 6"/>
    <w:basedOn w:val="Heading5"/>
    <w:next w:val="AERbodytext"/>
    <w:link w:val="Heading6Char"/>
    <w:uiPriority w:val="9"/>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1"/>
      </w:numPr>
    </w:pPr>
  </w:style>
  <w:style w:type="character" w:customStyle="1" w:styleId="Heading1Char">
    <w:name w:val="Heading 1 Char"/>
    <w:basedOn w:val="DefaultParagraphFont"/>
    <w:link w:val="Heading1"/>
    <w:uiPriority w:val="9"/>
    <w:rsid w:val="00B94D99"/>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eastAsia="Times New Roman"/>
      <w:b/>
      <w:color w:val="E36C0A"/>
      <w:sz w:val="28"/>
      <w:szCs w:val="26"/>
      <w:lang w:eastAsia="en-US"/>
    </w:rPr>
  </w:style>
  <w:style w:type="character" w:customStyle="1" w:styleId="Heading3Char">
    <w:name w:val="Heading 3 Char"/>
    <w:basedOn w:val="DefaultParagraphFont"/>
    <w:link w:val="Heading3"/>
    <w:uiPriority w:val="9"/>
    <w:rsid w:val="000A1CC2"/>
    <w:rPr>
      <w:rFonts w:eastAsia="Times New Roman"/>
      <w:b/>
      <w:bCs/>
      <w:color w:val="E36C0A"/>
      <w:sz w:val="24"/>
      <w:szCs w:val="26"/>
      <w:lang w:eastAsia="en-US"/>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eastAsia="Times New Roman"/>
      <w:b/>
      <w:bCs/>
      <w:iCs/>
      <w:color w:val="E36C0A"/>
      <w:sz w:val="36"/>
      <w:szCs w:val="24"/>
      <w:lang w:eastAsia="en-US"/>
    </w:rPr>
  </w:style>
  <w:style w:type="character" w:customStyle="1" w:styleId="Heading8Char">
    <w:name w:val="Heading 8 Char"/>
    <w:basedOn w:val="DefaultParagraphFont"/>
    <w:link w:val="Heading8"/>
    <w:uiPriority w:val="9"/>
    <w:rsid w:val="00303452"/>
    <w:rPr>
      <w:rFonts w:eastAsia="Times New Roman"/>
      <w:b/>
      <w:bCs/>
      <w:iCs/>
      <w:color w:val="E36C0A"/>
      <w:sz w:val="28"/>
      <w:lang w:eastAsia="en-US"/>
    </w:rPr>
  </w:style>
  <w:style w:type="character" w:customStyle="1" w:styleId="Heading9Char">
    <w:name w:val="Heading 9 Char"/>
    <w:basedOn w:val="DefaultParagraphFont"/>
    <w:link w:val="Heading9"/>
    <w:uiPriority w:val="9"/>
    <w:rsid w:val="00303452"/>
    <w:rPr>
      <w:rFonts w:eastAsia="Times New Roman"/>
      <w:b/>
      <w:bCs/>
      <w:color w:val="E36C0A"/>
      <w:sz w:val="24"/>
      <w:lang w:eastAsia="en-US"/>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6"/>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2"/>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5"/>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3"/>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4"/>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o,Style 3,Style 12,fr,Appel note de bas de p,Style 124,(NECG) Footnote Reference3,(NECG) Footnote Reference4,(NECG) Footnote Reference5"/>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B94D99"/>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6"/>
      </w:numPr>
    </w:pPr>
  </w:style>
  <w:style w:type="numbering" w:customStyle="1" w:styleId="OldAERheadings">
    <w:name w:val="Old AER headings"/>
    <w:uiPriority w:val="99"/>
    <w:locked/>
    <w:rsid w:val="008515EE"/>
    <w:pPr>
      <w:numPr>
        <w:numId w:val="7"/>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B94D99"/>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semiHidden/>
    <w:unhideWhenUs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 w:type="paragraph" w:styleId="Revision">
    <w:name w:val="Revision"/>
    <w:hidden/>
    <w:uiPriority w:val="99"/>
    <w:semiHidden/>
    <w:rsid w:val="003B7FE3"/>
    <w:rPr>
      <w:lang w:eastAsia="en-US"/>
    </w:rPr>
  </w:style>
  <w:style w:type="character" w:styleId="FollowedHyperlink">
    <w:name w:val="FollowedHyperlink"/>
    <w:basedOn w:val="DefaultParagraphFont"/>
    <w:uiPriority w:val="99"/>
    <w:semiHidden/>
    <w:unhideWhenUsed/>
    <w:rsid w:val="003B7FE3"/>
    <w:rPr>
      <w:color w:val="800080" w:themeColor="followedHyperlink"/>
      <w:u w:val="single"/>
    </w:rPr>
  </w:style>
  <w:style w:type="paragraph" w:styleId="Quote">
    <w:name w:val="Quote"/>
    <w:basedOn w:val="Normal"/>
    <w:next w:val="Normal"/>
    <w:link w:val="QuoteChar"/>
    <w:uiPriority w:val="29"/>
    <w:unhideWhenUsed/>
    <w:qFormat/>
    <w:rsid w:val="003B7FE3"/>
    <w:rPr>
      <w:i/>
      <w:iCs/>
      <w:color w:val="000000"/>
    </w:rPr>
  </w:style>
  <w:style w:type="character" w:customStyle="1" w:styleId="QuoteChar">
    <w:name w:val="Quote Char"/>
    <w:basedOn w:val="DefaultParagraphFont"/>
    <w:link w:val="Quote"/>
    <w:uiPriority w:val="29"/>
    <w:rsid w:val="003B7FE3"/>
    <w:rPr>
      <w:i/>
      <w:iCs/>
      <w:color w:val="00000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1"/>
      </w:numPr>
    </w:pPr>
  </w:style>
  <w:style w:type="numbering" w:customStyle="1" w:styleId="Heading1Char">
    <w:name w:val="OldAERheadings"/>
    <w:pPr>
      <w:numPr>
        <w:numId w:val="7"/>
      </w:numPr>
    </w:pPr>
  </w:style>
  <w:style w:type="numbering" w:customStyle="1" w:styleId="Heading2Char">
    <w:name w:val="AERnumberedlist"/>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208603">
      <w:bodyDiv w:val="1"/>
      <w:marLeft w:val="0"/>
      <w:marRight w:val="0"/>
      <w:marTop w:val="0"/>
      <w:marBottom w:val="0"/>
      <w:divBdr>
        <w:top w:val="none" w:sz="0" w:space="0" w:color="auto"/>
        <w:left w:val="none" w:sz="0" w:space="0" w:color="auto"/>
        <w:bottom w:val="none" w:sz="0" w:space="0" w:color="auto"/>
        <w:right w:val="none" w:sz="0" w:space="0" w:color="auto"/>
      </w:divBdr>
    </w:div>
    <w:div w:id="322047670">
      <w:bodyDiv w:val="1"/>
      <w:marLeft w:val="0"/>
      <w:marRight w:val="0"/>
      <w:marTop w:val="0"/>
      <w:marBottom w:val="0"/>
      <w:divBdr>
        <w:top w:val="none" w:sz="0" w:space="0" w:color="auto"/>
        <w:left w:val="none" w:sz="0" w:space="0" w:color="auto"/>
        <w:bottom w:val="none" w:sz="0" w:space="0" w:color="auto"/>
        <w:right w:val="none" w:sz="0" w:space="0" w:color="auto"/>
      </w:divBdr>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814371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emf"/><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7.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ERInquiry@aer.gov.au" TargetMode="External"/><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hyperlink" Target="mailto:publishing.unit@accc.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emf"/></Relationships>
</file>

<file path=word/_rels/footnotes.xml.rels><?xml version="1.0" encoding="UTF-8" standalone="yes"?>
<Relationships xmlns="http://schemas.openxmlformats.org/package/2006/relationships"><Relationship Id="rId1" Type="http://schemas.openxmlformats.org/officeDocument/2006/relationships/hyperlink" Target="http://www.aer.gov.au/node/4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D434B9E9.dotm</Template>
  <TotalTime>0</TotalTime>
  <Pages>20</Pages>
  <Words>5034</Words>
  <Characters>28695</Characters>
  <Application>Microsoft Office Word</Application>
  <DocSecurity>0</DocSecurity>
  <Lines>239</Lines>
  <Paragraphs>67</Paragraphs>
  <ScaleCrop>false</ScaleCrop>
  <Company/>
  <LinksUpToDate>false</LinksUpToDate>
  <CharactersWithSpaces>33662</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2014-11-26T04:28:00Z</dcterms:created>
  <dcterms:modified xsi:type="dcterms:W3CDTF">2014-11-26T04:28:00Z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8287226</vt:lpwstr>
  </property>
</Properties>
</file>